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4"/>
        <w:gridCol w:w="269"/>
        <w:gridCol w:w="8"/>
      </w:tblGrid>
      <w:tr w:rsidR="006B20E4" w:rsidRPr="00A320C3" w14:paraId="7672D271" w14:textId="77777777">
        <w:trPr>
          <w:gridAfter w:val="3"/>
          <w:wAfter w:w="311" w:type="dxa"/>
          <w:trHeight w:val="526"/>
        </w:trPr>
        <w:tc>
          <w:tcPr>
            <w:tcW w:w="9336" w:type="dxa"/>
            <w:shd w:val="clear" w:color="auto" w:fill="FFFFFF"/>
          </w:tcPr>
          <w:p w14:paraId="1CA4B9A6" w14:textId="5EEC0887" w:rsidR="006B20E4" w:rsidRPr="00A320C3" w:rsidRDefault="00216774" w:rsidP="006B20E4">
            <w:pPr>
              <w:pStyle w:val="Contenudetableau"/>
              <w:ind w:right="267"/>
              <w:jc w:val="right"/>
              <w:rPr>
                <w:rFonts w:ascii="Calibri" w:hAnsi="Calibri" w:cs="Tahoma"/>
                <w:b/>
                <w:bCs/>
                <w:sz w:val="96"/>
                <w:szCs w:val="96"/>
                <w:lang w:val="en-GB"/>
              </w:rPr>
            </w:pPr>
            <w:r>
              <w:rPr>
                <w:rFonts w:ascii="Calibri" w:hAnsi="Calibri" w:cs="Tahoma"/>
                <w:b/>
                <w:bCs/>
                <w:sz w:val="96"/>
                <w:szCs w:val="96"/>
                <w:lang w:val="en-GB"/>
              </w:rPr>
              <w:t>VIET NAM</w:t>
            </w:r>
          </w:p>
        </w:tc>
      </w:tr>
      <w:tr w:rsidR="006B20E4" w:rsidRPr="00A320C3" w14:paraId="46CAD495" w14:textId="77777777">
        <w:trPr>
          <w:gridAfter w:val="3"/>
          <w:wAfter w:w="311" w:type="dxa"/>
          <w:trHeight w:val="1415"/>
        </w:trPr>
        <w:tc>
          <w:tcPr>
            <w:tcW w:w="9336" w:type="dxa"/>
            <w:shd w:val="clear" w:color="auto" w:fill="FFFFFF"/>
            <w:tcMar>
              <w:top w:w="55" w:type="dxa"/>
              <w:left w:w="55" w:type="dxa"/>
              <w:bottom w:w="55" w:type="dxa"/>
              <w:right w:w="55" w:type="dxa"/>
            </w:tcMar>
          </w:tcPr>
          <w:p w14:paraId="2E0041A5"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p w14:paraId="5AE335E0" w14:textId="77777777" w:rsidR="006B20E4" w:rsidRPr="00A320C3" w:rsidRDefault="006B20E4" w:rsidP="006B20E4">
            <w:pPr>
              <w:pStyle w:val="Contenudetableau"/>
              <w:spacing w:line="360" w:lineRule="auto"/>
              <w:ind w:right="288"/>
              <w:jc w:val="right"/>
              <w:rPr>
                <w:rFonts w:ascii="Calibri" w:hAnsi="Calibri"/>
                <w:b/>
                <w:color w:val="000000"/>
                <w:sz w:val="36"/>
                <w:szCs w:val="36"/>
                <w:lang w:val="en-GB"/>
              </w:rPr>
            </w:pPr>
            <w:r w:rsidRPr="00A320C3">
              <w:rPr>
                <w:rFonts w:ascii="Calibri" w:hAnsi="Calibri"/>
                <w:b/>
                <w:color w:val="000000"/>
                <w:sz w:val="36"/>
                <w:szCs w:val="36"/>
                <w:lang w:val="en-GB"/>
              </w:rPr>
              <w:t>Civil Society Report on the Implementation of the ICCPR</w:t>
            </w:r>
          </w:p>
          <w:p w14:paraId="5996B188" w14:textId="2F8DBE81" w:rsidR="006B20E4" w:rsidRPr="00A320C3" w:rsidRDefault="006B20E4" w:rsidP="006B20E4">
            <w:pPr>
              <w:pStyle w:val="Contenudetableau"/>
              <w:spacing w:line="360" w:lineRule="auto"/>
              <w:ind w:right="288"/>
              <w:jc w:val="right"/>
              <w:rPr>
                <w:rFonts w:ascii="Calibri" w:hAnsi="Calibri"/>
                <w:b/>
                <w:color w:val="000000"/>
                <w:sz w:val="36"/>
                <w:szCs w:val="36"/>
                <w:lang w:val="en-GB"/>
              </w:rPr>
            </w:pPr>
            <w:r w:rsidRPr="00A320C3">
              <w:rPr>
                <w:rFonts w:ascii="Calibri" w:hAnsi="Calibri"/>
                <w:b/>
                <w:color w:val="000000"/>
                <w:sz w:val="36"/>
                <w:szCs w:val="36"/>
                <w:lang w:val="en-GB"/>
              </w:rPr>
              <w:t xml:space="preserve">(Replies </w:t>
            </w:r>
            <w:r w:rsidR="003E77EA">
              <w:rPr>
                <w:rFonts w:ascii="Calibri" w:hAnsi="Calibri"/>
                <w:b/>
                <w:color w:val="000000"/>
                <w:sz w:val="36"/>
                <w:szCs w:val="36"/>
                <w:lang w:val="en-GB"/>
              </w:rPr>
              <w:t>to the List of Issues CCPR</w:t>
            </w:r>
            <w:r w:rsidR="003E77EA" w:rsidRPr="00D55534">
              <w:rPr>
                <w:rFonts w:ascii="Calibri" w:hAnsi="Calibri"/>
                <w:b/>
                <w:color w:val="000000"/>
                <w:sz w:val="36"/>
                <w:szCs w:val="36"/>
                <w:lang w:val="en-GB"/>
              </w:rPr>
              <w:t>/C/</w:t>
            </w:r>
            <w:r w:rsidR="00216774">
              <w:rPr>
                <w:rFonts w:ascii="Calibri" w:hAnsi="Calibri"/>
                <w:b/>
                <w:color w:val="000000"/>
                <w:sz w:val="36"/>
                <w:szCs w:val="36"/>
                <w:lang w:val="en-GB"/>
              </w:rPr>
              <w:t>VNM</w:t>
            </w:r>
            <w:r w:rsidR="003E77EA" w:rsidRPr="00D55534">
              <w:rPr>
                <w:rFonts w:ascii="Calibri" w:hAnsi="Calibri"/>
                <w:b/>
                <w:color w:val="000000"/>
                <w:sz w:val="36"/>
                <w:szCs w:val="36"/>
                <w:lang w:val="en-GB"/>
              </w:rPr>
              <w:t>/Q/</w:t>
            </w:r>
            <w:r w:rsidR="00216774">
              <w:rPr>
                <w:rFonts w:ascii="Calibri" w:hAnsi="Calibri"/>
                <w:b/>
                <w:color w:val="000000"/>
                <w:sz w:val="36"/>
                <w:szCs w:val="36"/>
                <w:lang w:val="en-GB"/>
              </w:rPr>
              <w:t>3</w:t>
            </w:r>
            <w:r w:rsidRPr="00D55534">
              <w:rPr>
                <w:rFonts w:ascii="Calibri" w:hAnsi="Calibri"/>
                <w:b/>
                <w:color w:val="000000"/>
                <w:sz w:val="36"/>
                <w:szCs w:val="36"/>
                <w:lang w:val="en-GB"/>
              </w:rPr>
              <w:t>)</w:t>
            </w:r>
          </w:p>
          <w:p w14:paraId="0525A279"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p w14:paraId="0FD6BD4C" w14:textId="6978B00B" w:rsidR="006B20E4" w:rsidRPr="00121A64" w:rsidRDefault="005E7555" w:rsidP="005E7555">
            <w:pPr>
              <w:autoSpaceDE w:val="0"/>
              <w:autoSpaceDN w:val="0"/>
              <w:adjustRightInd w:val="0"/>
              <w:spacing w:after="0" w:line="240" w:lineRule="auto"/>
              <w:ind w:right="319"/>
              <w:jc w:val="right"/>
              <w:rPr>
                <w:color w:val="000000"/>
                <w:sz w:val="32"/>
                <w:szCs w:val="32"/>
                <w:lang w:val="en-GB"/>
              </w:rPr>
            </w:pPr>
            <w:r>
              <w:rPr>
                <w:color w:val="000000"/>
                <w:sz w:val="32"/>
                <w:szCs w:val="32"/>
                <w:lang w:val="en-GB"/>
              </w:rPr>
              <w:t xml:space="preserve"> F</w:t>
            </w:r>
            <w:r w:rsidR="006B20E4" w:rsidRPr="00A320C3">
              <w:rPr>
                <w:color w:val="000000"/>
                <w:sz w:val="32"/>
                <w:szCs w:val="32"/>
                <w:lang w:val="en-GB"/>
              </w:rPr>
              <w:t xml:space="preserve">or the Review of the </w:t>
            </w:r>
            <w:r w:rsidR="00216774">
              <w:rPr>
                <w:color w:val="000000"/>
                <w:sz w:val="32"/>
                <w:szCs w:val="32"/>
                <w:lang w:val="en-GB"/>
              </w:rPr>
              <w:t>third</w:t>
            </w:r>
            <w:r w:rsidR="003E77EA" w:rsidRPr="00121A64">
              <w:rPr>
                <w:color w:val="000000"/>
                <w:sz w:val="32"/>
                <w:szCs w:val="32"/>
                <w:lang w:val="en-GB"/>
              </w:rPr>
              <w:t xml:space="preserve"> </w:t>
            </w:r>
            <w:r w:rsidR="0036223A">
              <w:rPr>
                <w:color w:val="000000"/>
                <w:sz w:val="32"/>
                <w:szCs w:val="32"/>
                <w:lang w:val="en-GB"/>
              </w:rPr>
              <w:t>State</w:t>
            </w:r>
            <w:r w:rsidR="006B20E4" w:rsidRPr="00A320C3">
              <w:rPr>
                <w:color w:val="000000"/>
                <w:sz w:val="32"/>
                <w:szCs w:val="32"/>
                <w:lang w:val="en-GB"/>
              </w:rPr>
              <w:t xml:space="preserve"> Report of </w:t>
            </w:r>
            <w:r w:rsidR="00216774">
              <w:rPr>
                <w:color w:val="000000"/>
                <w:sz w:val="32"/>
                <w:szCs w:val="32"/>
                <w:lang w:val="en-GB"/>
              </w:rPr>
              <w:t>Viet Nam</w:t>
            </w:r>
            <w:r w:rsidR="006B20E4" w:rsidRPr="00121A64">
              <w:rPr>
                <w:color w:val="000000"/>
                <w:sz w:val="32"/>
                <w:szCs w:val="32"/>
                <w:lang w:val="en-GB"/>
              </w:rPr>
              <w:t xml:space="preserve"> (</w:t>
            </w:r>
            <w:r w:rsidR="003E77EA" w:rsidRPr="00121A64">
              <w:rPr>
                <w:rFonts w:cs="Tahoma"/>
                <w:bCs/>
                <w:sz w:val="32"/>
                <w:szCs w:val="32"/>
                <w:lang w:val="en-GB"/>
              </w:rPr>
              <w:t>CCPR/C</w:t>
            </w:r>
            <w:r w:rsidR="00121A64" w:rsidRPr="00121A64">
              <w:rPr>
                <w:rFonts w:cs="Tahoma"/>
                <w:bCs/>
                <w:sz w:val="32"/>
                <w:szCs w:val="32"/>
                <w:lang w:val="en-GB"/>
              </w:rPr>
              <w:t>/</w:t>
            </w:r>
            <w:r w:rsidR="00216774">
              <w:rPr>
                <w:rFonts w:cs="Tahoma"/>
                <w:bCs/>
                <w:sz w:val="32"/>
                <w:szCs w:val="32"/>
                <w:lang w:val="en-GB"/>
              </w:rPr>
              <w:t>VNM/3</w:t>
            </w:r>
            <w:r w:rsidR="006B20E4" w:rsidRPr="00121A64">
              <w:rPr>
                <w:rFonts w:cs="Tahoma"/>
                <w:bCs/>
                <w:sz w:val="32"/>
                <w:szCs w:val="32"/>
                <w:lang w:val="en-GB"/>
              </w:rPr>
              <w:t>)</w:t>
            </w:r>
          </w:p>
          <w:p w14:paraId="3C28CF12" w14:textId="5D212B48" w:rsidR="00146A70" w:rsidRPr="00121A64" w:rsidRDefault="006B20E4" w:rsidP="005E7555">
            <w:pPr>
              <w:autoSpaceDE w:val="0"/>
              <w:autoSpaceDN w:val="0"/>
              <w:adjustRightInd w:val="0"/>
              <w:spacing w:after="0" w:line="240" w:lineRule="auto"/>
              <w:ind w:right="319"/>
              <w:jc w:val="right"/>
              <w:rPr>
                <w:color w:val="000000"/>
                <w:sz w:val="32"/>
                <w:szCs w:val="32"/>
                <w:lang w:val="en-GB"/>
              </w:rPr>
            </w:pPr>
            <w:r w:rsidRPr="00121A64">
              <w:rPr>
                <w:color w:val="000000"/>
                <w:sz w:val="32"/>
                <w:szCs w:val="32"/>
                <w:lang w:val="en-GB"/>
              </w:rPr>
              <w:t xml:space="preserve">At the </w:t>
            </w:r>
            <w:r w:rsidR="00121A64" w:rsidRPr="00121A64">
              <w:rPr>
                <w:color w:val="000000"/>
                <w:sz w:val="32"/>
                <w:szCs w:val="32"/>
                <w:lang w:val="en-GB"/>
              </w:rPr>
              <w:t>1</w:t>
            </w:r>
            <w:r w:rsidR="00216774">
              <w:rPr>
                <w:color w:val="000000"/>
                <w:sz w:val="32"/>
                <w:szCs w:val="32"/>
                <w:lang w:val="en-GB"/>
              </w:rPr>
              <w:t>25</w:t>
            </w:r>
            <w:r w:rsidRPr="00121A64">
              <w:rPr>
                <w:color w:val="000000"/>
                <w:sz w:val="32"/>
                <w:szCs w:val="32"/>
                <w:vertAlign w:val="superscript"/>
                <w:lang w:val="en-GB"/>
              </w:rPr>
              <w:t>th</w:t>
            </w:r>
            <w:r w:rsidRPr="00121A64">
              <w:rPr>
                <w:color w:val="000000"/>
                <w:sz w:val="32"/>
                <w:szCs w:val="32"/>
                <w:lang w:val="en-GB"/>
              </w:rPr>
              <w:t xml:space="preserve"> session of the Human Rights Committee </w:t>
            </w:r>
          </w:p>
          <w:p w14:paraId="049CC3CE" w14:textId="02A8A555" w:rsidR="006B20E4" w:rsidRPr="00A320C3" w:rsidRDefault="006B20E4" w:rsidP="005E7555">
            <w:pPr>
              <w:autoSpaceDE w:val="0"/>
              <w:autoSpaceDN w:val="0"/>
              <w:adjustRightInd w:val="0"/>
              <w:spacing w:after="0" w:line="240" w:lineRule="auto"/>
              <w:ind w:right="319"/>
              <w:jc w:val="right"/>
              <w:rPr>
                <w:color w:val="000000"/>
                <w:sz w:val="32"/>
                <w:szCs w:val="32"/>
                <w:lang w:val="en-GB"/>
              </w:rPr>
            </w:pPr>
            <w:r w:rsidRPr="00121A64">
              <w:rPr>
                <w:color w:val="000000"/>
                <w:sz w:val="32"/>
                <w:szCs w:val="32"/>
                <w:lang w:val="en-GB"/>
              </w:rPr>
              <w:t>(Geneva</w:t>
            </w:r>
            <w:r w:rsidR="00216774">
              <w:rPr>
                <w:color w:val="000000"/>
                <w:sz w:val="32"/>
                <w:szCs w:val="32"/>
                <w:lang w:val="en-GB"/>
              </w:rPr>
              <w:t xml:space="preserve">, 4 – 29 </w:t>
            </w:r>
            <w:r w:rsidR="00121A64" w:rsidRPr="00121A64">
              <w:rPr>
                <w:color w:val="000000"/>
                <w:sz w:val="32"/>
                <w:szCs w:val="32"/>
                <w:lang w:val="en-GB"/>
              </w:rPr>
              <w:t>March</w:t>
            </w:r>
            <w:r w:rsidRPr="00121A64">
              <w:rPr>
                <w:color w:val="000000"/>
                <w:sz w:val="32"/>
                <w:szCs w:val="32"/>
                <w:lang w:val="en-GB"/>
              </w:rPr>
              <w:t xml:space="preserve"> </w:t>
            </w:r>
            <w:r w:rsidR="00216774">
              <w:rPr>
                <w:color w:val="000000"/>
                <w:sz w:val="32"/>
                <w:szCs w:val="32"/>
                <w:lang w:val="en-GB"/>
              </w:rPr>
              <w:t>2019</w:t>
            </w:r>
            <w:r w:rsidRPr="00121A64">
              <w:rPr>
                <w:color w:val="000000"/>
                <w:sz w:val="32"/>
                <w:szCs w:val="32"/>
                <w:lang w:val="en-GB"/>
              </w:rPr>
              <w:t>)</w:t>
            </w:r>
          </w:p>
          <w:p w14:paraId="0D105649"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tc>
      </w:tr>
      <w:tr w:rsidR="006B20E4" w:rsidRPr="00424376" w14:paraId="2383C970" w14:textId="77777777">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3"/>
          </w:tcPr>
          <w:p w14:paraId="6E4A3C75" w14:textId="77777777" w:rsidR="00146A70" w:rsidRPr="00A320C3" w:rsidRDefault="00146A70" w:rsidP="002D540C">
            <w:pPr>
              <w:spacing w:after="0" w:line="240" w:lineRule="auto"/>
              <w:contextualSpacing/>
              <w:rPr>
                <w:sz w:val="28"/>
                <w:szCs w:val="28"/>
                <w:lang w:val="en-GB"/>
              </w:rPr>
            </w:pPr>
          </w:p>
          <w:p w14:paraId="30FE36A9" w14:textId="77777777" w:rsidR="006B20E4" w:rsidRPr="00424376" w:rsidRDefault="005E7555" w:rsidP="005E7555">
            <w:pPr>
              <w:spacing w:after="0" w:line="240" w:lineRule="auto"/>
              <w:contextualSpacing/>
              <w:rPr>
                <w:b/>
                <w:color w:val="000000"/>
                <w:sz w:val="32"/>
                <w:szCs w:val="32"/>
                <w:lang w:val="en-GB"/>
              </w:rPr>
            </w:pPr>
            <w:r>
              <w:rPr>
                <w:sz w:val="32"/>
                <w:szCs w:val="32"/>
                <w:lang w:val="en-GB"/>
              </w:rPr>
              <w:t>Submitted b</w:t>
            </w:r>
            <w:r w:rsidR="00146A70" w:rsidRPr="00A320C3">
              <w:rPr>
                <w:sz w:val="32"/>
                <w:szCs w:val="32"/>
                <w:lang w:val="en-GB"/>
              </w:rPr>
              <w:t>y</w:t>
            </w:r>
            <w:r>
              <w:rPr>
                <w:sz w:val="32"/>
                <w:szCs w:val="32"/>
                <w:lang w:val="en-GB"/>
              </w:rPr>
              <w:t>:</w:t>
            </w:r>
            <w:r w:rsidR="00146A70" w:rsidRPr="00A320C3">
              <w:rPr>
                <w:sz w:val="32"/>
                <w:szCs w:val="32"/>
                <w:lang w:val="en-GB"/>
              </w:rPr>
              <w:t xml:space="preserve"> </w:t>
            </w:r>
            <w:r>
              <w:rPr>
                <w:i/>
                <w:sz w:val="32"/>
                <w:szCs w:val="32"/>
                <w:highlight w:val="yellow"/>
                <w:lang w:val="en-GB"/>
              </w:rPr>
              <w:t xml:space="preserve">Name of </w:t>
            </w:r>
            <w:r w:rsidR="003E77EA" w:rsidRPr="005E7555">
              <w:rPr>
                <w:i/>
                <w:sz w:val="32"/>
                <w:szCs w:val="32"/>
                <w:highlight w:val="yellow"/>
                <w:lang w:val="en-GB"/>
              </w:rPr>
              <w:t>NGO</w:t>
            </w:r>
            <w:r>
              <w:rPr>
                <w:i/>
                <w:sz w:val="32"/>
                <w:szCs w:val="32"/>
                <w:highlight w:val="yellow"/>
                <w:lang w:val="en-GB"/>
              </w:rPr>
              <w:t>(</w:t>
            </w:r>
            <w:r w:rsidR="003E77EA" w:rsidRPr="005E7555">
              <w:rPr>
                <w:i/>
                <w:sz w:val="32"/>
                <w:szCs w:val="32"/>
                <w:highlight w:val="yellow"/>
                <w:lang w:val="en-GB"/>
              </w:rPr>
              <w:t>s</w:t>
            </w:r>
            <w:r>
              <w:rPr>
                <w:i/>
                <w:sz w:val="32"/>
                <w:szCs w:val="32"/>
                <w:highlight w:val="yellow"/>
                <w:lang w:val="en-GB"/>
              </w:rPr>
              <w:t>) / Coalition / Network</w:t>
            </w:r>
          </w:p>
        </w:tc>
      </w:tr>
      <w:tr w:rsidR="006B20E4" w:rsidRPr="00424376" w14:paraId="01D38EE9" w14:textId="77777777">
        <w:tblPrEx>
          <w:tblBorders>
            <w:right w:val="none" w:sz="0" w:space="0" w:color="auto"/>
          </w:tblBorders>
          <w:shd w:val="clear" w:color="auto" w:fill="auto"/>
        </w:tblPrEx>
        <w:trPr>
          <w:gridAfter w:val="2"/>
          <w:wAfter w:w="277" w:type="dxa"/>
          <w:trHeight w:val="495"/>
        </w:trPr>
        <w:tc>
          <w:tcPr>
            <w:tcW w:w="9370" w:type="dxa"/>
            <w:gridSpan w:val="2"/>
          </w:tcPr>
          <w:p w14:paraId="11D39193" w14:textId="77777777" w:rsidR="006B20E4" w:rsidRPr="00424376" w:rsidRDefault="006B20E4" w:rsidP="006B20E4">
            <w:pPr>
              <w:jc w:val="right"/>
              <w:rPr>
                <w:rFonts w:cs="Tahoma"/>
                <w:i/>
                <w:iCs/>
                <w:sz w:val="32"/>
                <w:szCs w:val="32"/>
                <w:lang w:val="en-GB"/>
              </w:rPr>
            </w:pPr>
          </w:p>
          <w:p w14:paraId="7C847D9B" w14:textId="77777777" w:rsidR="006B20E4" w:rsidRPr="00424376" w:rsidRDefault="003E77EA" w:rsidP="003E77EA">
            <w:pPr>
              <w:jc w:val="right"/>
              <w:rPr>
                <w:rFonts w:cs="Tahoma"/>
                <w:i/>
                <w:iCs/>
                <w:sz w:val="32"/>
                <w:szCs w:val="32"/>
                <w:lang w:val="en-GB"/>
              </w:rPr>
            </w:pPr>
            <w:r w:rsidRPr="003E77EA">
              <w:rPr>
                <w:rFonts w:cs="Tahoma"/>
                <w:i/>
                <w:iCs/>
                <w:sz w:val="32"/>
                <w:szCs w:val="32"/>
                <w:highlight w:val="yellow"/>
                <w:lang w:val="en-GB"/>
              </w:rPr>
              <w:t>Place</w:t>
            </w:r>
            <w:r w:rsidR="006B20E4" w:rsidRPr="003E77EA">
              <w:rPr>
                <w:rFonts w:cs="Tahoma"/>
                <w:i/>
                <w:iCs/>
                <w:sz w:val="32"/>
                <w:szCs w:val="32"/>
                <w:highlight w:val="yellow"/>
                <w:lang w:val="en-GB"/>
              </w:rPr>
              <w:t xml:space="preserve">, </w:t>
            </w:r>
            <w:r w:rsidRPr="003E77EA">
              <w:rPr>
                <w:rFonts w:cs="Tahoma"/>
                <w:i/>
                <w:iCs/>
                <w:sz w:val="32"/>
                <w:szCs w:val="32"/>
                <w:highlight w:val="yellow"/>
                <w:lang w:val="en-GB"/>
              </w:rPr>
              <w:t>DATE</w:t>
            </w:r>
            <w:r w:rsidR="006B20E4" w:rsidRPr="00424376">
              <w:rPr>
                <w:rFonts w:cs="Tahoma"/>
                <w:i/>
                <w:iCs/>
                <w:sz w:val="32"/>
                <w:szCs w:val="32"/>
                <w:lang w:val="en-GB"/>
              </w:rPr>
              <w:t xml:space="preserve"> </w:t>
            </w:r>
          </w:p>
        </w:tc>
      </w:tr>
      <w:tr w:rsidR="006B20E4" w:rsidRPr="00424376" w14:paraId="5D4D8894" w14:textId="77777777" w:rsidTr="00773156">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4"/>
          </w:tcPr>
          <w:p w14:paraId="2C1E2DD4" w14:textId="77777777" w:rsidR="00773156" w:rsidRPr="00424376" w:rsidRDefault="00773156" w:rsidP="00773156">
            <w:pPr>
              <w:tabs>
                <w:tab w:val="left" w:pos="2400"/>
              </w:tabs>
              <w:spacing w:after="120"/>
              <w:rPr>
                <w:sz w:val="28"/>
                <w:szCs w:val="28"/>
                <w:lang w:val="en-GB"/>
              </w:rPr>
            </w:pPr>
          </w:p>
          <w:tbl>
            <w:tblPr>
              <w:tblW w:w="9669" w:type="dxa"/>
              <w:tblLayout w:type="fixed"/>
              <w:tblLook w:val="04A0" w:firstRow="1" w:lastRow="0" w:firstColumn="1" w:lastColumn="0" w:noHBand="0" w:noVBand="1"/>
            </w:tblPr>
            <w:tblGrid>
              <w:gridCol w:w="4688"/>
              <w:gridCol w:w="4981"/>
            </w:tblGrid>
            <w:tr w:rsidR="00773156" w:rsidRPr="00510356" w14:paraId="150CB467" w14:textId="77777777" w:rsidTr="00FE6F98">
              <w:trPr>
                <w:trHeight w:val="362"/>
              </w:trPr>
              <w:tc>
                <w:tcPr>
                  <w:tcW w:w="9669" w:type="dxa"/>
                  <w:gridSpan w:val="2"/>
                  <w:tcBorders>
                    <w:bottom w:val="single" w:sz="36" w:space="0" w:color="C6D9F1"/>
                  </w:tcBorders>
                </w:tcPr>
                <w:p w14:paraId="1CD0E5CD" w14:textId="77777777" w:rsidR="00773156" w:rsidRPr="00773156" w:rsidRDefault="00773156" w:rsidP="00794AEC">
                  <w:pPr>
                    <w:framePr w:hSpace="141" w:wrap="around" w:vAnchor="page" w:hAnchor="page" w:x="1541" w:y="2941"/>
                    <w:spacing w:after="120"/>
                    <w:rPr>
                      <w:sz w:val="24"/>
                      <w:szCs w:val="24"/>
                    </w:rPr>
                  </w:pPr>
                  <w:r w:rsidRPr="00773156">
                    <w:rPr>
                      <w:rFonts w:cs="Tahoma"/>
                      <w:b/>
                      <w:color w:val="000000"/>
                      <w:sz w:val="24"/>
                      <w:szCs w:val="24"/>
                    </w:rPr>
                    <w:t>With the support of :</w:t>
                  </w:r>
                </w:p>
              </w:tc>
            </w:tr>
            <w:tr w:rsidR="00773156" w14:paraId="58FFA671" w14:textId="77777777" w:rsidTr="00FE6F98">
              <w:trPr>
                <w:gridAfter w:val="1"/>
                <w:wAfter w:w="4981" w:type="dxa"/>
                <w:trHeight w:val="1564"/>
              </w:trPr>
              <w:tc>
                <w:tcPr>
                  <w:tcW w:w="4688" w:type="dxa"/>
                  <w:tcBorders>
                    <w:top w:val="single" w:sz="36" w:space="0" w:color="C6D9F1"/>
                  </w:tcBorders>
                </w:tcPr>
                <w:p w14:paraId="23719F79" w14:textId="77777777" w:rsidR="00773156" w:rsidRDefault="00CD5DA8" w:rsidP="00794AEC">
                  <w:pPr>
                    <w:framePr w:hSpace="141" w:wrap="around" w:vAnchor="page" w:hAnchor="page" w:x="1541" w:y="2941"/>
                    <w:spacing w:after="120"/>
                  </w:pPr>
                  <w:r>
                    <w:rPr>
                      <w:rFonts w:ascii="Times New Roman" w:eastAsia="Lucida Sans Unicode" w:hAnsi="Times New Roman"/>
                      <w:noProof/>
                      <w:kern w:val="1"/>
                      <w:sz w:val="24"/>
                      <w:szCs w:val="24"/>
                      <w:lang w:val="en-US"/>
                    </w:rPr>
                    <w:drawing>
                      <wp:anchor distT="0" distB="0" distL="0" distR="0" simplePos="0" relativeHeight="251657728" behindDoc="0" locked="0" layoutInCell="1" allowOverlap="1" wp14:anchorId="78436572" wp14:editId="4C97B6CE">
                        <wp:simplePos x="0" y="0"/>
                        <wp:positionH relativeFrom="column">
                          <wp:posOffset>-8890</wp:posOffset>
                        </wp:positionH>
                        <wp:positionV relativeFrom="paragraph">
                          <wp:posOffset>87630</wp:posOffset>
                        </wp:positionV>
                        <wp:extent cx="2230755" cy="632460"/>
                        <wp:effectExtent l="0" t="0" r="4445"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755"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2A133CF" w14:textId="77777777" w:rsidR="006B20E4" w:rsidRPr="00424376" w:rsidRDefault="006B20E4" w:rsidP="00773156">
            <w:pPr>
              <w:tabs>
                <w:tab w:val="left" w:pos="2400"/>
              </w:tabs>
              <w:spacing w:after="120"/>
              <w:rPr>
                <w:sz w:val="28"/>
                <w:szCs w:val="28"/>
                <w:lang w:val="en-GB"/>
              </w:rPr>
            </w:pPr>
          </w:p>
        </w:tc>
      </w:tr>
    </w:tbl>
    <w:p w14:paraId="027D83B1" w14:textId="77777777" w:rsidR="006B20E4" w:rsidRPr="00424376" w:rsidRDefault="006B20E4" w:rsidP="006B20E4">
      <w:pPr>
        <w:rPr>
          <w:b/>
          <w:color w:val="000000"/>
          <w:sz w:val="24"/>
          <w:szCs w:val="24"/>
          <w:lang w:val="en-GB"/>
        </w:rPr>
      </w:pPr>
    </w:p>
    <w:p w14:paraId="2431BC53" w14:textId="77777777" w:rsidR="006B20E4" w:rsidRPr="00424376" w:rsidRDefault="006B20E4" w:rsidP="006B20E4">
      <w:pPr>
        <w:autoSpaceDE w:val="0"/>
        <w:autoSpaceDN w:val="0"/>
        <w:adjustRightInd w:val="0"/>
        <w:rPr>
          <w:b/>
          <w:color w:val="000000"/>
          <w:sz w:val="24"/>
          <w:szCs w:val="24"/>
          <w:lang w:val="en-GB"/>
        </w:rPr>
      </w:pPr>
    </w:p>
    <w:p w14:paraId="23127746" w14:textId="77777777" w:rsidR="006B20E4" w:rsidRPr="00424376" w:rsidRDefault="006B20E4" w:rsidP="006B20E4">
      <w:pPr>
        <w:tabs>
          <w:tab w:val="left" w:pos="2540"/>
        </w:tabs>
        <w:autoSpaceDE w:val="0"/>
        <w:autoSpaceDN w:val="0"/>
        <w:adjustRightInd w:val="0"/>
        <w:rPr>
          <w:b/>
          <w:color w:val="000000"/>
          <w:sz w:val="24"/>
          <w:szCs w:val="24"/>
          <w:lang w:val="en-GB"/>
        </w:rPr>
        <w:sectPr w:rsidR="006B20E4" w:rsidRPr="00424376" w:rsidSect="004E557F">
          <w:headerReference w:type="default" r:id="rId10"/>
          <w:footerReference w:type="even" r:id="rId11"/>
          <w:footerReference w:type="default" r:id="rId12"/>
          <w:pgSz w:w="11906" w:h="16838"/>
          <w:pgMar w:top="1440" w:right="1440" w:bottom="1440" w:left="1440" w:header="709" w:footer="709" w:gutter="0"/>
          <w:cols w:space="708"/>
          <w:rtlGutter/>
          <w:docGrid w:linePitch="360"/>
        </w:sectPr>
      </w:pPr>
    </w:p>
    <w:p w14:paraId="16768EFA" w14:textId="77777777" w:rsidR="006B20E4" w:rsidRPr="00424376" w:rsidRDefault="006B20E4" w:rsidP="004E557F">
      <w:pPr>
        <w:tabs>
          <w:tab w:val="left" w:pos="7040"/>
        </w:tabs>
        <w:spacing w:after="240" w:line="240" w:lineRule="auto"/>
        <w:rPr>
          <w:b/>
          <w:i/>
          <w:sz w:val="32"/>
          <w:szCs w:val="32"/>
          <w:lang w:val="en-GB"/>
        </w:rPr>
      </w:pPr>
      <w:r w:rsidRPr="00424376">
        <w:rPr>
          <w:b/>
          <w:i/>
          <w:sz w:val="32"/>
          <w:szCs w:val="32"/>
          <w:lang w:val="en-GB"/>
        </w:rPr>
        <w:lastRenderedPageBreak/>
        <w:t>Table of Contents</w:t>
      </w:r>
      <w:r w:rsidRPr="00424376">
        <w:rPr>
          <w:b/>
          <w:i/>
          <w:sz w:val="32"/>
          <w:szCs w:val="32"/>
          <w:lang w:val="en-GB"/>
        </w:rPr>
        <w:tab/>
      </w:r>
    </w:p>
    <w:p w14:paraId="5D57B86D" w14:textId="77777777" w:rsidR="006B20E4" w:rsidRPr="00424376" w:rsidRDefault="006B20E4" w:rsidP="004E557F">
      <w:pPr>
        <w:numPr>
          <w:ilvl w:val="0"/>
          <w:numId w:val="1"/>
        </w:numPr>
        <w:spacing w:after="120" w:line="240" w:lineRule="auto"/>
        <w:ind w:left="714" w:hanging="357"/>
        <w:rPr>
          <w:b/>
          <w:sz w:val="28"/>
          <w:szCs w:val="28"/>
          <w:lang w:val="en-GB"/>
        </w:rPr>
      </w:pPr>
      <w:r w:rsidRPr="00424376">
        <w:rPr>
          <w:b/>
          <w:sz w:val="28"/>
          <w:szCs w:val="28"/>
          <w:lang w:val="en-GB"/>
        </w:rPr>
        <w:t>Introduction</w:t>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412E2E">
        <w:rPr>
          <w:b/>
          <w:sz w:val="28"/>
          <w:szCs w:val="28"/>
          <w:lang w:val="en-GB"/>
        </w:rPr>
        <w:t>3</w:t>
      </w:r>
    </w:p>
    <w:p w14:paraId="094B22DD" w14:textId="77777777" w:rsidR="0028099D" w:rsidRPr="009C0313" w:rsidRDefault="006B20E4" w:rsidP="009C0313">
      <w:pPr>
        <w:pStyle w:val="LightGrid-Accent31"/>
        <w:numPr>
          <w:ilvl w:val="1"/>
          <w:numId w:val="1"/>
        </w:numPr>
        <w:spacing w:after="60" w:line="240" w:lineRule="auto"/>
        <w:ind w:left="1434" w:hanging="357"/>
        <w:contextualSpacing w:val="0"/>
        <w:rPr>
          <w:sz w:val="24"/>
          <w:szCs w:val="24"/>
          <w:highlight w:val="yellow"/>
          <w:lang w:val="en-GB"/>
        </w:rPr>
      </w:pPr>
      <w:r w:rsidRPr="009C0313">
        <w:rPr>
          <w:sz w:val="24"/>
          <w:szCs w:val="24"/>
          <w:highlight w:val="yellow"/>
          <w:lang w:val="en-GB"/>
        </w:rPr>
        <w:t>Joining Organisations</w:t>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412E2E" w:rsidRPr="009C0313">
        <w:rPr>
          <w:sz w:val="24"/>
          <w:szCs w:val="24"/>
          <w:highlight w:val="yellow"/>
          <w:lang w:val="en-GB"/>
        </w:rPr>
        <w:t>3</w:t>
      </w:r>
    </w:p>
    <w:p w14:paraId="22853607" w14:textId="77777777" w:rsidR="00263F61" w:rsidRPr="009C0313" w:rsidRDefault="006B20E4" w:rsidP="009C0313">
      <w:pPr>
        <w:pStyle w:val="LightGrid-Accent31"/>
        <w:numPr>
          <w:ilvl w:val="1"/>
          <w:numId w:val="1"/>
        </w:numPr>
        <w:spacing w:after="60" w:line="240" w:lineRule="auto"/>
        <w:contextualSpacing w:val="0"/>
        <w:rPr>
          <w:sz w:val="24"/>
          <w:szCs w:val="24"/>
          <w:highlight w:val="yellow"/>
          <w:lang w:val="en-GB"/>
        </w:rPr>
      </w:pPr>
      <w:r w:rsidRPr="009C0313">
        <w:rPr>
          <w:sz w:val="24"/>
          <w:szCs w:val="24"/>
          <w:highlight w:val="yellow"/>
          <w:lang w:val="en-GB"/>
        </w:rPr>
        <w:t>Methodology</w:t>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412E2E" w:rsidRPr="009C0313">
        <w:rPr>
          <w:sz w:val="24"/>
          <w:szCs w:val="24"/>
          <w:highlight w:val="yellow"/>
          <w:lang w:val="en-GB"/>
        </w:rPr>
        <w:t>3</w:t>
      </w:r>
    </w:p>
    <w:p w14:paraId="6B7677CB" w14:textId="77777777" w:rsidR="005A1437" w:rsidRPr="009C0313" w:rsidRDefault="006B20E4" w:rsidP="009C0313">
      <w:pPr>
        <w:pStyle w:val="LightGrid-Accent31"/>
        <w:numPr>
          <w:ilvl w:val="1"/>
          <w:numId w:val="1"/>
        </w:numPr>
        <w:spacing w:after="60" w:line="240" w:lineRule="auto"/>
        <w:contextualSpacing w:val="0"/>
        <w:rPr>
          <w:sz w:val="24"/>
          <w:szCs w:val="24"/>
          <w:highlight w:val="yellow"/>
          <w:lang w:val="en-GB"/>
        </w:rPr>
      </w:pPr>
      <w:r w:rsidRPr="009C0313">
        <w:rPr>
          <w:sz w:val="24"/>
          <w:szCs w:val="24"/>
          <w:highlight w:val="yellow"/>
          <w:lang w:val="en-GB"/>
        </w:rPr>
        <w:t xml:space="preserve">Contact Details </w:t>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DC6EE4" w:rsidRPr="009C0313">
        <w:rPr>
          <w:sz w:val="24"/>
          <w:szCs w:val="24"/>
          <w:highlight w:val="yellow"/>
          <w:lang w:val="en-GB"/>
        </w:rPr>
        <w:tab/>
      </w:r>
      <w:r w:rsidR="00412E2E" w:rsidRPr="009C0313">
        <w:rPr>
          <w:sz w:val="24"/>
          <w:szCs w:val="24"/>
          <w:highlight w:val="yellow"/>
          <w:lang w:val="en-GB"/>
        </w:rPr>
        <w:t>3</w:t>
      </w:r>
    </w:p>
    <w:p w14:paraId="3ADE8B00" w14:textId="77777777" w:rsidR="006B20E4" w:rsidRPr="00424376" w:rsidRDefault="006B20E4" w:rsidP="004E557F">
      <w:pPr>
        <w:pStyle w:val="LightGrid-Accent31"/>
        <w:spacing w:after="0" w:line="240" w:lineRule="auto"/>
        <w:ind w:left="1080"/>
        <w:contextualSpacing w:val="0"/>
        <w:rPr>
          <w:b/>
          <w:sz w:val="28"/>
          <w:szCs w:val="28"/>
          <w:lang w:val="en-GB"/>
        </w:rPr>
      </w:pPr>
    </w:p>
    <w:p w14:paraId="06875A57" w14:textId="77777777" w:rsidR="006B20E4" w:rsidRPr="00424376" w:rsidRDefault="006B20E4" w:rsidP="004E557F">
      <w:pPr>
        <w:pStyle w:val="LightGrid-Accent31"/>
        <w:numPr>
          <w:ilvl w:val="0"/>
          <w:numId w:val="1"/>
        </w:numPr>
        <w:spacing w:after="120" w:line="240" w:lineRule="auto"/>
        <w:ind w:left="714" w:hanging="357"/>
        <w:contextualSpacing w:val="0"/>
        <w:rPr>
          <w:b/>
          <w:sz w:val="28"/>
          <w:szCs w:val="28"/>
          <w:lang w:val="en-GB"/>
        </w:rPr>
      </w:pPr>
      <w:r w:rsidRPr="00424376">
        <w:rPr>
          <w:b/>
          <w:sz w:val="28"/>
          <w:szCs w:val="28"/>
          <w:lang w:val="en-GB"/>
        </w:rPr>
        <w:t>Civil Society</w:t>
      </w:r>
      <w:r w:rsidR="005E7555">
        <w:rPr>
          <w:b/>
          <w:sz w:val="28"/>
          <w:szCs w:val="28"/>
          <w:lang w:val="en-GB"/>
        </w:rPr>
        <w:t xml:space="preserve"> Replies to LOI</w:t>
      </w:r>
      <w:r w:rsidR="00412E2E">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DC6EE4" w:rsidRPr="00424376">
        <w:rPr>
          <w:b/>
          <w:sz w:val="28"/>
          <w:szCs w:val="28"/>
          <w:lang w:val="en-GB"/>
        </w:rPr>
        <w:tab/>
      </w:r>
      <w:r w:rsidR="00412E2E" w:rsidRPr="009C0313">
        <w:rPr>
          <w:b/>
          <w:sz w:val="28"/>
          <w:szCs w:val="28"/>
          <w:highlight w:val="yellow"/>
          <w:lang w:val="en-GB"/>
        </w:rPr>
        <w:t>4</w:t>
      </w:r>
    </w:p>
    <w:p w14:paraId="11A17F32" w14:textId="33B3EEFD" w:rsidR="005A1437" w:rsidRPr="00424376" w:rsidRDefault="005A1437" w:rsidP="009C0313">
      <w:pPr>
        <w:pStyle w:val="LightGrid-Accent31"/>
        <w:numPr>
          <w:ilvl w:val="1"/>
          <w:numId w:val="1"/>
        </w:numPr>
        <w:spacing w:after="60" w:line="240" w:lineRule="auto"/>
        <w:ind w:left="1434" w:hanging="357"/>
        <w:contextualSpacing w:val="0"/>
        <w:rPr>
          <w:sz w:val="24"/>
          <w:szCs w:val="24"/>
          <w:lang w:val="en-GB"/>
        </w:rPr>
      </w:pPr>
      <w:r w:rsidRPr="00794AEC">
        <w:rPr>
          <w:sz w:val="24"/>
          <w:szCs w:val="24"/>
          <w:lang w:val="en-GB"/>
        </w:rPr>
        <w:t xml:space="preserve">Constitutional </w:t>
      </w:r>
      <w:r w:rsidR="00794AEC" w:rsidRPr="00794AEC">
        <w:rPr>
          <w:sz w:val="24"/>
          <w:szCs w:val="24"/>
          <w:lang w:val="en-GB"/>
        </w:rPr>
        <w:t>and legal framework within which the Covenant is implemented (art. 2)</w:t>
      </w:r>
      <w:r w:rsidR="00794AEC">
        <w:rPr>
          <w:sz w:val="24"/>
          <w:szCs w:val="24"/>
          <w:lang w:val="en-GB"/>
        </w:rPr>
        <w:tab/>
      </w:r>
      <w:r w:rsidR="00794AEC">
        <w:rPr>
          <w:sz w:val="24"/>
          <w:szCs w:val="24"/>
          <w:lang w:val="en-GB"/>
        </w:rPr>
        <w:tab/>
      </w:r>
      <w:r w:rsidR="00794AEC">
        <w:rPr>
          <w:sz w:val="24"/>
          <w:szCs w:val="24"/>
          <w:lang w:val="en-GB"/>
        </w:rPr>
        <w:tab/>
      </w:r>
      <w:r w:rsidR="00794AEC">
        <w:rPr>
          <w:sz w:val="24"/>
          <w:szCs w:val="24"/>
          <w:lang w:val="en-GB"/>
        </w:rPr>
        <w:tab/>
      </w:r>
      <w:r w:rsidR="00794AEC">
        <w:rPr>
          <w:sz w:val="24"/>
          <w:szCs w:val="24"/>
          <w:lang w:val="en-GB"/>
        </w:rPr>
        <w:tab/>
      </w:r>
      <w:r w:rsidR="003B79EC" w:rsidRPr="00794AEC">
        <w:rPr>
          <w:sz w:val="24"/>
          <w:szCs w:val="24"/>
          <w:lang w:val="en-GB"/>
        </w:rPr>
        <w:tab/>
      </w:r>
      <w:r w:rsidR="003B79EC">
        <w:rPr>
          <w:sz w:val="24"/>
          <w:szCs w:val="24"/>
          <w:lang w:val="en-GB"/>
        </w:rPr>
        <w:tab/>
      </w:r>
      <w:r w:rsidR="003B79EC">
        <w:rPr>
          <w:sz w:val="24"/>
          <w:szCs w:val="24"/>
          <w:lang w:val="en-GB"/>
        </w:rPr>
        <w:tab/>
      </w:r>
      <w:r w:rsidR="00412E2E" w:rsidRPr="009C0313">
        <w:rPr>
          <w:sz w:val="24"/>
          <w:szCs w:val="24"/>
          <w:highlight w:val="yellow"/>
          <w:lang w:val="en-GB"/>
        </w:rPr>
        <w:t>4</w:t>
      </w:r>
    </w:p>
    <w:p w14:paraId="7B994E7E" w14:textId="084ABD89" w:rsidR="00141075" w:rsidRPr="00424376" w:rsidRDefault="00794AEC" w:rsidP="009C0313">
      <w:pPr>
        <w:pStyle w:val="LightGrid-Accent31"/>
        <w:numPr>
          <w:ilvl w:val="1"/>
          <w:numId w:val="1"/>
        </w:numPr>
        <w:spacing w:after="60" w:line="240" w:lineRule="auto"/>
        <w:contextualSpacing w:val="0"/>
        <w:rPr>
          <w:sz w:val="24"/>
          <w:szCs w:val="24"/>
          <w:lang w:val="en-GB"/>
        </w:rPr>
      </w:pPr>
      <w:r w:rsidRPr="00794AEC">
        <w:rPr>
          <w:rFonts w:asciiTheme="majorHAnsi" w:hAnsiTheme="majorHAnsi"/>
          <w:sz w:val="24"/>
          <w:szCs w:val="24"/>
          <w:lang w:val="en-GB"/>
        </w:rPr>
        <w:t>Non</w:t>
      </w:r>
      <w:r w:rsidR="00AA64DB" w:rsidRPr="00794AEC">
        <w:rPr>
          <w:rFonts w:asciiTheme="majorHAnsi" w:hAnsiTheme="majorHAnsi"/>
          <w:sz w:val="24"/>
          <w:szCs w:val="24"/>
        </w:rPr>
        <w:t>-</w:t>
      </w:r>
      <w:r w:rsidRPr="00794AEC">
        <w:rPr>
          <w:rFonts w:asciiTheme="majorHAnsi" w:hAnsiTheme="majorHAnsi"/>
          <w:sz w:val="24"/>
          <w:szCs w:val="24"/>
          <w:lang w:val="en-GB"/>
        </w:rPr>
        <w:t>discrimination and gender equality</w:t>
      </w:r>
      <w:r w:rsidRPr="00794AEC">
        <w:rPr>
          <w:rFonts w:asciiTheme="majorHAnsi" w:hAnsiTheme="majorHAnsi"/>
          <w:sz w:val="24"/>
          <w:szCs w:val="24"/>
        </w:rPr>
        <w:t xml:space="preserve"> </w:t>
      </w:r>
      <w:r w:rsidRPr="00794AEC">
        <w:rPr>
          <w:rFonts w:asciiTheme="majorHAnsi" w:hAnsiTheme="majorHAnsi"/>
          <w:bCs/>
          <w:sz w:val="24"/>
          <w:szCs w:val="24"/>
        </w:rPr>
        <w:t>(arts. 2, 3, 20 and</w:t>
      </w:r>
      <w:r w:rsidRPr="00794AEC">
        <w:rPr>
          <w:rFonts w:asciiTheme="majorHAnsi" w:hAnsiTheme="majorHAnsi"/>
          <w:sz w:val="24"/>
          <w:szCs w:val="24"/>
          <w:lang w:val="en-GB"/>
        </w:rPr>
        <w:t xml:space="preserve"> 26</w:t>
      </w:r>
      <w:r w:rsidR="009C0313" w:rsidRPr="00794AEC">
        <w:rPr>
          <w:rFonts w:asciiTheme="majorHAnsi" w:hAnsiTheme="majorHAnsi"/>
          <w:sz w:val="24"/>
          <w:szCs w:val="24"/>
          <w:lang w:val="en-GB"/>
        </w:rPr>
        <w:t>)</w:t>
      </w:r>
      <w:r w:rsidR="00A36A22" w:rsidRPr="00794AEC">
        <w:rPr>
          <w:rFonts w:asciiTheme="majorHAnsi" w:hAnsiTheme="majorHAnsi"/>
          <w:sz w:val="24"/>
          <w:szCs w:val="24"/>
          <w:lang w:val="en-GB"/>
        </w:rPr>
        <w:tab/>
      </w:r>
      <w:r w:rsidR="00AA64DB">
        <w:rPr>
          <w:sz w:val="24"/>
          <w:szCs w:val="24"/>
          <w:lang w:val="en-GB"/>
        </w:rPr>
        <w:tab/>
      </w:r>
      <w:r w:rsidR="00772BC4">
        <w:rPr>
          <w:sz w:val="24"/>
          <w:szCs w:val="24"/>
          <w:highlight w:val="yellow"/>
          <w:lang w:val="en-GB"/>
        </w:rPr>
        <w:t>4</w:t>
      </w:r>
    </w:p>
    <w:p w14:paraId="436533DB" w14:textId="1532FFAB" w:rsidR="00141075" w:rsidRPr="00424376" w:rsidRDefault="00794AEC" w:rsidP="009C0313">
      <w:pPr>
        <w:pStyle w:val="LightGrid-Accent31"/>
        <w:numPr>
          <w:ilvl w:val="1"/>
          <w:numId w:val="1"/>
        </w:numPr>
        <w:spacing w:after="60" w:line="240" w:lineRule="auto"/>
        <w:ind w:left="1434" w:hanging="357"/>
        <w:contextualSpacing w:val="0"/>
        <w:jc w:val="both"/>
        <w:rPr>
          <w:sz w:val="24"/>
          <w:szCs w:val="24"/>
          <w:lang w:val="en-GB"/>
        </w:rPr>
      </w:pPr>
      <w:r w:rsidRPr="00794AEC">
        <w:rPr>
          <w:sz w:val="24"/>
          <w:szCs w:val="24"/>
          <w:lang w:val="en-GB"/>
        </w:rPr>
        <w:t>Violence</w:t>
      </w:r>
      <w:r w:rsidRPr="00794AEC">
        <w:rPr>
          <w:sz w:val="24"/>
          <w:szCs w:val="24"/>
        </w:rPr>
        <w:t xml:space="preserve"> against women</w:t>
      </w:r>
      <w:r w:rsidRPr="00794AEC">
        <w:rPr>
          <w:rFonts w:eastAsia="Malgun Gothic"/>
          <w:sz w:val="24"/>
          <w:szCs w:val="24"/>
        </w:rPr>
        <w:t xml:space="preserve"> (art</w:t>
      </w:r>
      <w:r w:rsidRPr="00794AEC">
        <w:rPr>
          <w:rFonts w:eastAsia="Malgun Gothic" w:hint="eastAsia"/>
          <w:sz w:val="24"/>
          <w:szCs w:val="24"/>
        </w:rPr>
        <w:t>s</w:t>
      </w:r>
      <w:r w:rsidRPr="00794AEC">
        <w:rPr>
          <w:rFonts w:eastAsia="Malgun Gothic"/>
          <w:sz w:val="24"/>
          <w:szCs w:val="24"/>
        </w:rPr>
        <w:t xml:space="preserve">. 2, 3, 6, 7 and </w:t>
      </w:r>
      <w:r w:rsidRPr="00794AEC">
        <w:rPr>
          <w:sz w:val="24"/>
          <w:szCs w:val="24"/>
          <w:lang w:val="en-GB"/>
        </w:rPr>
        <w:t>26</w:t>
      </w:r>
      <w:r w:rsidR="009C0313" w:rsidRPr="00794AEC">
        <w:rPr>
          <w:sz w:val="24"/>
          <w:szCs w:val="24"/>
          <w:lang w:val="en-GB"/>
        </w:rPr>
        <w:t>)</w:t>
      </w:r>
      <w:r w:rsidR="009C0313" w:rsidRPr="00794AEC">
        <w:rPr>
          <w:sz w:val="24"/>
          <w:szCs w:val="24"/>
          <w:lang w:val="en-GB"/>
        </w:rPr>
        <w:tab/>
      </w:r>
      <w:r w:rsidR="009C0313" w:rsidRPr="00794AEC">
        <w:rPr>
          <w:sz w:val="24"/>
          <w:szCs w:val="24"/>
          <w:lang w:val="en-GB"/>
        </w:rPr>
        <w:tab/>
      </w:r>
      <w:r w:rsidR="009C0313" w:rsidRPr="00794AEC">
        <w:rPr>
          <w:sz w:val="24"/>
          <w:szCs w:val="24"/>
          <w:lang w:val="en-GB"/>
        </w:rPr>
        <w:tab/>
      </w:r>
      <w:r w:rsidR="009C0313">
        <w:rPr>
          <w:sz w:val="24"/>
          <w:szCs w:val="24"/>
          <w:lang w:val="en-GB"/>
        </w:rPr>
        <w:tab/>
      </w:r>
      <w:r w:rsidR="00772BC4">
        <w:rPr>
          <w:sz w:val="24"/>
          <w:szCs w:val="24"/>
          <w:highlight w:val="yellow"/>
          <w:lang w:val="en-GB"/>
        </w:rPr>
        <w:t>4</w:t>
      </w:r>
    </w:p>
    <w:p w14:paraId="1C832A9C" w14:textId="4CF21101" w:rsidR="00B7345F" w:rsidRPr="00424376" w:rsidRDefault="00794AEC" w:rsidP="009C0313">
      <w:pPr>
        <w:pStyle w:val="LightGrid-Accent31"/>
        <w:numPr>
          <w:ilvl w:val="1"/>
          <w:numId w:val="1"/>
        </w:numPr>
        <w:spacing w:after="60" w:line="240" w:lineRule="auto"/>
        <w:contextualSpacing w:val="0"/>
        <w:rPr>
          <w:sz w:val="24"/>
          <w:szCs w:val="24"/>
          <w:lang w:val="en-GB"/>
        </w:rPr>
      </w:pPr>
      <w:r w:rsidRPr="00794AEC">
        <w:rPr>
          <w:sz w:val="24"/>
          <w:szCs w:val="24"/>
          <w:lang w:val="en-GB"/>
        </w:rPr>
        <w:t>State</w:t>
      </w:r>
      <w:r w:rsidR="00AA64DB" w:rsidRPr="00794AEC">
        <w:rPr>
          <w:sz w:val="24"/>
          <w:szCs w:val="24"/>
          <w:lang w:val="en-GB"/>
        </w:rPr>
        <w:t xml:space="preserve"> </w:t>
      </w:r>
      <w:r w:rsidRPr="00794AEC">
        <w:rPr>
          <w:sz w:val="24"/>
          <w:szCs w:val="24"/>
          <w:lang w:val="en-GB"/>
        </w:rPr>
        <w:t>of emergency and counter-terrorism measures (arts. 2, 4, 7, 9 and 14</w:t>
      </w:r>
      <w:r w:rsidR="00B7345F" w:rsidRPr="00794AEC">
        <w:rPr>
          <w:sz w:val="24"/>
          <w:szCs w:val="24"/>
          <w:lang w:val="en-GB"/>
        </w:rPr>
        <w:t>)</w:t>
      </w:r>
      <w:r w:rsidR="00A36A22" w:rsidRPr="00794AEC">
        <w:rPr>
          <w:sz w:val="24"/>
          <w:szCs w:val="24"/>
          <w:lang w:val="en-GB"/>
        </w:rPr>
        <w:tab/>
      </w:r>
      <w:r w:rsidR="00A36A22">
        <w:rPr>
          <w:sz w:val="24"/>
          <w:szCs w:val="24"/>
          <w:lang w:val="en-GB"/>
        </w:rPr>
        <w:tab/>
      </w:r>
      <w:r>
        <w:rPr>
          <w:sz w:val="24"/>
          <w:szCs w:val="24"/>
          <w:lang w:val="en-GB"/>
        </w:rPr>
        <w:tab/>
      </w:r>
      <w:r>
        <w:rPr>
          <w:sz w:val="24"/>
          <w:szCs w:val="24"/>
          <w:lang w:val="en-GB"/>
        </w:rPr>
        <w:tab/>
      </w:r>
      <w:r w:rsidR="00A36A22">
        <w:rPr>
          <w:sz w:val="24"/>
          <w:szCs w:val="24"/>
          <w:lang w:val="en-GB"/>
        </w:rPr>
        <w:tab/>
      </w:r>
      <w:r w:rsidR="00AA64DB">
        <w:rPr>
          <w:sz w:val="24"/>
          <w:szCs w:val="24"/>
          <w:lang w:val="en-GB"/>
        </w:rPr>
        <w:tab/>
      </w:r>
      <w:r w:rsidR="00A36A22">
        <w:rPr>
          <w:sz w:val="24"/>
          <w:szCs w:val="24"/>
          <w:lang w:val="en-GB"/>
        </w:rPr>
        <w:tab/>
      </w:r>
      <w:r w:rsidR="00B7345F" w:rsidRPr="00424376">
        <w:rPr>
          <w:sz w:val="24"/>
          <w:szCs w:val="24"/>
          <w:lang w:val="en-GB"/>
        </w:rPr>
        <w:tab/>
      </w:r>
      <w:r w:rsidR="00B7345F" w:rsidRPr="00424376">
        <w:rPr>
          <w:sz w:val="24"/>
          <w:szCs w:val="24"/>
          <w:lang w:val="en-GB"/>
        </w:rPr>
        <w:tab/>
      </w:r>
      <w:r w:rsidR="009C0313">
        <w:rPr>
          <w:sz w:val="24"/>
          <w:szCs w:val="24"/>
          <w:lang w:val="en-GB"/>
        </w:rPr>
        <w:tab/>
      </w:r>
      <w:r w:rsidR="00772BC4">
        <w:rPr>
          <w:sz w:val="24"/>
          <w:szCs w:val="24"/>
          <w:highlight w:val="yellow"/>
          <w:lang w:val="en-GB"/>
        </w:rPr>
        <w:t>5</w:t>
      </w:r>
    </w:p>
    <w:p w14:paraId="6F06522D" w14:textId="4E7400E9" w:rsidR="00F33E86" w:rsidRPr="0042437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Right</w:t>
      </w:r>
      <w:r w:rsidR="00AA64DB" w:rsidRPr="00794AEC">
        <w:rPr>
          <w:sz w:val="24"/>
          <w:szCs w:val="24"/>
          <w:lang w:val="en-GB"/>
        </w:rPr>
        <w:t xml:space="preserve"> </w:t>
      </w:r>
      <w:r w:rsidRPr="00794AEC">
        <w:rPr>
          <w:sz w:val="24"/>
          <w:szCs w:val="24"/>
          <w:lang w:val="en-GB"/>
        </w:rPr>
        <w:t>to life</w:t>
      </w:r>
      <w:r w:rsidRPr="00794AEC">
        <w:rPr>
          <w:sz w:val="24"/>
          <w:szCs w:val="24"/>
        </w:rPr>
        <w:t xml:space="preserve"> (arts. 6, 7, 9, 10 and 14</w:t>
      </w:r>
      <w:r w:rsidR="006463A6" w:rsidRPr="00794AEC">
        <w:rPr>
          <w:sz w:val="24"/>
          <w:szCs w:val="24"/>
          <w:lang w:val="en-GB"/>
        </w:rPr>
        <w:t>)</w:t>
      </w:r>
      <w:r w:rsidR="006463A6" w:rsidRPr="00794AEC">
        <w:rPr>
          <w:sz w:val="24"/>
          <w:szCs w:val="24"/>
          <w:lang w:val="en-GB"/>
        </w:rPr>
        <w:tab/>
      </w:r>
      <w:r w:rsidR="009C0313">
        <w:rPr>
          <w:sz w:val="24"/>
          <w:szCs w:val="24"/>
          <w:lang w:val="en-GB"/>
        </w:rPr>
        <w:tab/>
      </w:r>
      <w:r w:rsidR="00AA64DB">
        <w:rPr>
          <w:sz w:val="24"/>
          <w:szCs w:val="24"/>
          <w:lang w:val="en-GB"/>
        </w:rPr>
        <w:tab/>
      </w:r>
      <w:r w:rsidR="00AA64DB">
        <w:rPr>
          <w:sz w:val="24"/>
          <w:szCs w:val="24"/>
          <w:lang w:val="en-GB"/>
        </w:rPr>
        <w:tab/>
      </w:r>
      <w:r w:rsidR="00AA64DB">
        <w:rPr>
          <w:sz w:val="24"/>
          <w:szCs w:val="24"/>
          <w:lang w:val="en-GB"/>
        </w:rPr>
        <w:tab/>
      </w:r>
      <w:r w:rsidR="00AA64DB">
        <w:rPr>
          <w:sz w:val="24"/>
          <w:szCs w:val="24"/>
          <w:lang w:val="en-GB"/>
        </w:rPr>
        <w:tab/>
      </w:r>
      <w:r w:rsidR="006463A6" w:rsidRPr="006463A6">
        <w:rPr>
          <w:sz w:val="24"/>
          <w:szCs w:val="24"/>
          <w:highlight w:val="yellow"/>
          <w:lang w:val="en-GB"/>
        </w:rPr>
        <w:t>6</w:t>
      </w:r>
    </w:p>
    <w:p w14:paraId="608B6854" w14:textId="4DCA3745" w:rsidR="00B7345F" w:rsidRPr="0042437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Prohibition</w:t>
      </w:r>
      <w:r w:rsidR="00AA64DB" w:rsidRPr="00794AEC">
        <w:rPr>
          <w:sz w:val="24"/>
          <w:szCs w:val="24"/>
          <w:lang w:val="en-GB"/>
        </w:rPr>
        <w:t xml:space="preserve"> </w:t>
      </w:r>
      <w:r w:rsidRPr="00794AEC">
        <w:rPr>
          <w:sz w:val="24"/>
          <w:szCs w:val="24"/>
        </w:rPr>
        <w:t>of torture and other cruel, inhuman or degrading teratment or punishement, treatment of persons deprived of their liberty, including prisoners of conscience (arts. 2, 6, 7, 9, 10 and 26</w:t>
      </w:r>
      <w:r w:rsidR="009C0313" w:rsidRPr="00794AEC">
        <w:rPr>
          <w:sz w:val="24"/>
          <w:szCs w:val="24"/>
          <w:lang w:val="en-GB"/>
        </w:rPr>
        <w:t>)</w:t>
      </w:r>
      <w:r w:rsidR="009C0313" w:rsidRPr="00794AEC">
        <w:rPr>
          <w:sz w:val="24"/>
          <w:szCs w:val="24"/>
          <w:lang w:val="en-GB"/>
        </w:rPr>
        <w:tab/>
      </w:r>
      <w:r w:rsidR="009C0313" w:rsidRPr="00794AEC">
        <w:rPr>
          <w:sz w:val="24"/>
          <w:szCs w:val="24"/>
          <w:lang w:val="en-GB"/>
        </w:rPr>
        <w:tab/>
      </w:r>
      <w:r w:rsidR="009C0313">
        <w:rPr>
          <w:sz w:val="24"/>
          <w:szCs w:val="24"/>
          <w:lang w:val="en-GB"/>
        </w:rPr>
        <w:tab/>
      </w:r>
      <w:r w:rsidR="009C0313">
        <w:rPr>
          <w:sz w:val="24"/>
          <w:szCs w:val="24"/>
          <w:lang w:val="en-GB"/>
        </w:rPr>
        <w:tab/>
      </w:r>
      <w:r w:rsidR="006463A6">
        <w:rPr>
          <w:sz w:val="24"/>
          <w:szCs w:val="24"/>
          <w:highlight w:val="yellow"/>
          <w:lang w:val="en-GB"/>
        </w:rPr>
        <w:t>7</w:t>
      </w:r>
    </w:p>
    <w:p w14:paraId="5F2E5294" w14:textId="2B99F12E" w:rsidR="00F33E86" w:rsidRPr="0042437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Forced</w:t>
      </w:r>
      <w:r w:rsidR="00AA64DB" w:rsidRPr="00794AEC">
        <w:rPr>
          <w:sz w:val="24"/>
          <w:szCs w:val="24"/>
          <w:lang w:val="en-GB"/>
        </w:rPr>
        <w:t xml:space="preserve"> </w:t>
      </w:r>
      <w:r w:rsidRPr="00794AEC">
        <w:rPr>
          <w:sz w:val="24"/>
          <w:szCs w:val="24"/>
          <w:lang w:val="en-GB"/>
        </w:rPr>
        <w:t>labour, elimination of slavery and servitude</w:t>
      </w:r>
      <w:r w:rsidRPr="00794AEC">
        <w:rPr>
          <w:bCs/>
          <w:sz w:val="24"/>
          <w:szCs w:val="24"/>
          <w:lang w:eastAsia="ja-JP"/>
        </w:rPr>
        <w:t xml:space="preserve"> (arts.</w:t>
      </w:r>
      <w:r w:rsidRPr="00794AEC">
        <w:rPr>
          <w:bCs/>
          <w:sz w:val="24"/>
          <w:szCs w:val="24"/>
        </w:rPr>
        <w:t xml:space="preserve"> 7, 8 and</w:t>
      </w:r>
      <w:r w:rsidRPr="00794AEC">
        <w:rPr>
          <w:sz w:val="24"/>
          <w:szCs w:val="24"/>
        </w:rPr>
        <w:t xml:space="preserve"> 9</w:t>
      </w:r>
      <w:r w:rsidR="006463A6" w:rsidRPr="00794AEC">
        <w:rPr>
          <w:sz w:val="24"/>
          <w:szCs w:val="24"/>
          <w:lang w:val="en-GB"/>
        </w:rPr>
        <w:t>)</w:t>
      </w:r>
      <w:r w:rsidR="006463A6">
        <w:rPr>
          <w:sz w:val="24"/>
          <w:szCs w:val="24"/>
          <w:lang w:val="en-GB"/>
        </w:rPr>
        <w:tab/>
      </w:r>
      <w:r w:rsidR="00412E2E" w:rsidRPr="00C77E16">
        <w:rPr>
          <w:sz w:val="24"/>
          <w:szCs w:val="24"/>
          <w:highlight w:val="yellow"/>
          <w:lang w:val="en-GB"/>
        </w:rPr>
        <w:t>8</w:t>
      </w:r>
    </w:p>
    <w:p w14:paraId="0F22DF78" w14:textId="2831F12C" w:rsidR="00F33E86" w:rsidRPr="0042437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Liberty</w:t>
      </w:r>
      <w:r w:rsidR="00AA64DB" w:rsidRPr="00794AEC">
        <w:rPr>
          <w:sz w:val="24"/>
          <w:szCs w:val="24"/>
          <w:lang w:val="en-GB"/>
        </w:rPr>
        <w:t xml:space="preserve"> </w:t>
      </w:r>
      <w:r w:rsidRPr="00794AEC">
        <w:rPr>
          <w:sz w:val="24"/>
          <w:szCs w:val="24"/>
          <w:lang w:val="en-GB"/>
        </w:rPr>
        <w:t>and security of person</w:t>
      </w:r>
      <w:r w:rsidRPr="00794AEC">
        <w:rPr>
          <w:sz w:val="24"/>
          <w:szCs w:val="24"/>
        </w:rPr>
        <w:t xml:space="preserve"> </w:t>
      </w:r>
      <w:r w:rsidRPr="00794AEC">
        <w:rPr>
          <w:bCs/>
          <w:sz w:val="24"/>
          <w:szCs w:val="24"/>
          <w:lang w:eastAsia="ja-JP"/>
        </w:rPr>
        <w:t>(arts. 2,</w:t>
      </w:r>
      <w:r w:rsidRPr="00794AEC">
        <w:rPr>
          <w:bCs/>
          <w:sz w:val="24"/>
          <w:szCs w:val="24"/>
        </w:rPr>
        <w:t xml:space="preserve"> 9 and</w:t>
      </w:r>
      <w:r w:rsidRPr="00794AEC">
        <w:rPr>
          <w:bCs/>
          <w:sz w:val="24"/>
          <w:szCs w:val="24"/>
          <w:lang w:eastAsia="ja-JP"/>
        </w:rPr>
        <w:t xml:space="preserve"> 14</w:t>
      </w:r>
      <w:r w:rsidR="00C77E16" w:rsidRPr="00794AEC">
        <w:rPr>
          <w:sz w:val="24"/>
          <w:szCs w:val="24"/>
          <w:lang w:val="en-GB"/>
        </w:rPr>
        <w:t>)</w:t>
      </w:r>
      <w:r w:rsidR="006463A6" w:rsidRPr="00794AEC">
        <w:rPr>
          <w:sz w:val="24"/>
          <w:szCs w:val="24"/>
          <w:lang w:val="en-GB"/>
        </w:rPr>
        <w:tab/>
      </w:r>
      <w:r w:rsidR="00AA64DB">
        <w:rPr>
          <w:sz w:val="24"/>
          <w:szCs w:val="24"/>
          <w:lang w:val="en-GB"/>
        </w:rPr>
        <w:tab/>
      </w:r>
      <w:r w:rsidR="00AA64DB">
        <w:rPr>
          <w:sz w:val="24"/>
          <w:szCs w:val="24"/>
          <w:lang w:val="en-GB"/>
        </w:rPr>
        <w:tab/>
      </w:r>
      <w:r>
        <w:rPr>
          <w:sz w:val="24"/>
          <w:szCs w:val="24"/>
          <w:lang w:val="en-GB"/>
        </w:rPr>
        <w:tab/>
      </w:r>
      <w:r w:rsidR="00412E2E" w:rsidRPr="00C77E16">
        <w:rPr>
          <w:sz w:val="24"/>
          <w:szCs w:val="24"/>
          <w:highlight w:val="yellow"/>
          <w:lang w:val="en-GB"/>
        </w:rPr>
        <w:t>9</w:t>
      </w:r>
    </w:p>
    <w:p w14:paraId="47E3C10E" w14:textId="1E2EEB25" w:rsidR="00F33E86" w:rsidRPr="00424376" w:rsidRDefault="00AA64DB"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Right</w:t>
      </w:r>
      <w:r w:rsidR="00794AEC" w:rsidRPr="00794AEC">
        <w:rPr>
          <w:sz w:val="24"/>
          <w:szCs w:val="24"/>
          <w:lang w:val="en-GB"/>
        </w:rPr>
        <w:t xml:space="preserve"> to a fair trial and independence of the judiciary</w:t>
      </w:r>
      <w:r w:rsidR="00794AEC" w:rsidRPr="00794AEC">
        <w:rPr>
          <w:sz w:val="24"/>
          <w:szCs w:val="24"/>
        </w:rPr>
        <w:t xml:space="preserve"> (art. 14</w:t>
      </w:r>
      <w:r w:rsidR="00C77E16" w:rsidRPr="00794AEC">
        <w:rPr>
          <w:sz w:val="24"/>
          <w:szCs w:val="24"/>
          <w:lang w:val="en-GB"/>
        </w:rPr>
        <w:t>)</w:t>
      </w:r>
      <w:r w:rsidR="00C77E16" w:rsidRPr="000D3AE9">
        <w:rPr>
          <w:sz w:val="24"/>
          <w:szCs w:val="24"/>
          <w:lang w:val="en-GB"/>
        </w:rPr>
        <w:tab/>
      </w:r>
      <w:r w:rsidR="00794AEC">
        <w:rPr>
          <w:sz w:val="24"/>
          <w:szCs w:val="24"/>
          <w:lang w:val="en-GB"/>
        </w:rPr>
        <w:tab/>
      </w:r>
      <w:r w:rsidR="000D3AE9">
        <w:rPr>
          <w:sz w:val="24"/>
          <w:szCs w:val="24"/>
          <w:highlight w:val="yellow"/>
          <w:lang w:val="en-GB"/>
        </w:rPr>
        <w:t>1</w:t>
      </w:r>
      <w:r w:rsidR="00412E2E" w:rsidRPr="00C77E16">
        <w:rPr>
          <w:sz w:val="24"/>
          <w:szCs w:val="24"/>
          <w:highlight w:val="yellow"/>
          <w:lang w:val="en-GB"/>
        </w:rPr>
        <w:t>0</w:t>
      </w:r>
    </w:p>
    <w:p w14:paraId="51326E81" w14:textId="78F35481" w:rsidR="00C77E1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Freedom</w:t>
      </w:r>
      <w:r w:rsidR="00C77E16" w:rsidRPr="00794AEC">
        <w:rPr>
          <w:sz w:val="24"/>
          <w:szCs w:val="24"/>
          <w:lang w:val="en-GB"/>
        </w:rPr>
        <w:t xml:space="preserve"> </w:t>
      </w:r>
      <w:r w:rsidRPr="00794AEC">
        <w:rPr>
          <w:sz w:val="24"/>
          <w:szCs w:val="24"/>
          <w:lang w:val="en-GB"/>
        </w:rPr>
        <w:t>of conscience and religious belief</w:t>
      </w:r>
      <w:r w:rsidRPr="00794AEC">
        <w:rPr>
          <w:sz w:val="24"/>
          <w:szCs w:val="24"/>
        </w:rPr>
        <w:t xml:space="preserve"> (arts. 2, 18, 26 and 27</w:t>
      </w:r>
      <w:r w:rsidR="00C77E16" w:rsidRPr="00794AEC">
        <w:rPr>
          <w:sz w:val="24"/>
          <w:szCs w:val="24"/>
          <w:lang w:val="en-GB"/>
        </w:rPr>
        <w:t>)</w:t>
      </w:r>
      <w:r w:rsidR="00C77E16" w:rsidRPr="00AA64DB">
        <w:rPr>
          <w:sz w:val="24"/>
          <w:szCs w:val="24"/>
          <w:lang w:val="en-GB"/>
        </w:rPr>
        <w:tab/>
      </w:r>
      <w:r>
        <w:rPr>
          <w:sz w:val="24"/>
          <w:szCs w:val="24"/>
          <w:lang w:val="en-GB"/>
        </w:rPr>
        <w:tab/>
      </w:r>
      <w:r w:rsidR="001A770E">
        <w:rPr>
          <w:sz w:val="24"/>
          <w:szCs w:val="24"/>
          <w:highlight w:val="yellow"/>
          <w:lang w:val="en-GB"/>
        </w:rPr>
        <w:t>1</w:t>
      </w:r>
      <w:r w:rsidR="00BC2D70">
        <w:rPr>
          <w:sz w:val="24"/>
          <w:szCs w:val="24"/>
          <w:highlight w:val="yellow"/>
          <w:lang w:val="en-GB"/>
        </w:rPr>
        <w:t>0</w:t>
      </w:r>
    </w:p>
    <w:p w14:paraId="16C62F32" w14:textId="61D484C9" w:rsidR="00C77E16"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Freedom</w:t>
      </w:r>
      <w:r w:rsidR="00C77E16" w:rsidRPr="00794AEC">
        <w:rPr>
          <w:sz w:val="24"/>
          <w:szCs w:val="24"/>
          <w:lang w:val="en-GB"/>
        </w:rPr>
        <w:t xml:space="preserve"> </w:t>
      </w:r>
      <w:r w:rsidRPr="00794AEC">
        <w:rPr>
          <w:sz w:val="24"/>
          <w:szCs w:val="24"/>
        </w:rPr>
        <w:t>of expression and the right to privacy (arts. 17 and 19</w:t>
      </w:r>
      <w:r w:rsidR="00C77E16" w:rsidRPr="00794AEC">
        <w:rPr>
          <w:sz w:val="24"/>
          <w:szCs w:val="24"/>
          <w:lang w:val="en-GB"/>
        </w:rPr>
        <w:t>)</w:t>
      </w:r>
      <w:r w:rsidR="00C77E16" w:rsidRPr="00AA64DB">
        <w:rPr>
          <w:sz w:val="24"/>
          <w:szCs w:val="24"/>
          <w:lang w:val="en-GB"/>
        </w:rPr>
        <w:tab/>
      </w:r>
      <w:r w:rsidR="00AA64DB">
        <w:rPr>
          <w:sz w:val="24"/>
          <w:szCs w:val="24"/>
          <w:lang w:val="en-GB"/>
        </w:rPr>
        <w:tab/>
      </w:r>
      <w:r w:rsidR="00BC2D70">
        <w:rPr>
          <w:sz w:val="24"/>
          <w:szCs w:val="24"/>
          <w:highlight w:val="yellow"/>
          <w:lang w:val="en-GB"/>
        </w:rPr>
        <w:t>10</w:t>
      </w:r>
    </w:p>
    <w:p w14:paraId="4A3BA799" w14:textId="1EA7A00F" w:rsidR="00AA64DB" w:rsidRPr="00794AEC"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lang w:val="en-GB"/>
        </w:rPr>
        <w:t>Human</w:t>
      </w:r>
      <w:r w:rsidR="00AA64DB" w:rsidRPr="00794AEC">
        <w:rPr>
          <w:sz w:val="24"/>
          <w:szCs w:val="24"/>
          <w:lang w:val="en-GB"/>
        </w:rPr>
        <w:t xml:space="preserve"> </w:t>
      </w:r>
      <w:r w:rsidRPr="00794AEC">
        <w:rPr>
          <w:sz w:val="24"/>
          <w:szCs w:val="24"/>
        </w:rPr>
        <w:t>rights defenders (arts. 6, 7, 9, 12, 14 and 19</w:t>
      </w:r>
      <w:r w:rsidR="00AA64DB" w:rsidRPr="00794AEC">
        <w:rPr>
          <w:sz w:val="24"/>
          <w:szCs w:val="24"/>
        </w:rPr>
        <w:t xml:space="preserve">) </w:t>
      </w:r>
      <w:r w:rsidR="00AA64DB" w:rsidRPr="00794AEC">
        <w:rPr>
          <w:sz w:val="24"/>
          <w:szCs w:val="24"/>
        </w:rPr>
        <w:tab/>
      </w:r>
      <w:r>
        <w:rPr>
          <w:sz w:val="24"/>
          <w:szCs w:val="24"/>
        </w:rPr>
        <w:tab/>
      </w:r>
      <w:r>
        <w:rPr>
          <w:sz w:val="24"/>
          <w:szCs w:val="24"/>
        </w:rPr>
        <w:tab/>
      </w:r>
      <w:r w:rsidR="00BC2D70">
        <w:rPr>
          <w:sz w:val="24"/>
          <w:szCs w:val="24"/>
          <w:highlight w:val="yellow"/>
        </w:rPr>
        <w:t>11</w:t>
      </w:r>
    </w:p>
    <w:p w14:paraId="4A19C27B" w14:textId="6DC9BFB8" w:rsidR="00794AEC" w:rsidRPr="00794AEC"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rPr>
        <w:t>Freedom of association and peaceful assembly (arts. 7, 9, 21 and 22)</w:t>
      </w:r>
      <w:r>
        <w:rPr>
          <w:sz w:val="24"/>
          <w:szCs w:val="24"/>
        </w:rPr>
        <w:tab/>
      </w:r>
      <w:r w:rsidRPr="00794AEC">
        <w:rPr>
          <w:sz w:val="24"/>
          <w:szCs w:val="24"/>
          <w:highlight w:val="yellow"/>
        </w:rPr>
        <w:t>12</w:t>
      </w:r>
    </w:p>
    <w:p w14:paraId="30B368D7" w14:textId="53101165" w:rsidR="00794AEC" w:rsidRPr="00794AEC"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rPr>
        <w:t>Right to participate in public life and combating corruption (art. 25)</w:t>
      </w:r>
      <w:r>
        <w:rPr>
          <w:sz w:val="24"/>
          <w:szCs w:val="24"/>
        </w:rPr>
        <w:tab/>
      </w:r>
      <w:r w:rsidRPr="00794AEC">
        <w:rPr>
          <w:sz w:val="24"/>
          <w:szCs w:val="24"/>
          <w:highlight w:val="yellow"/>
        </w:rPr>
        <w:t>13</w:t>
      </w:r>
    </w:p>
    <w:p w14:paraId="4DB2737E" w14:textId="19FD4F3B" w:rsidR="00794AEC" w:rsidRPr="00794AEC" w:rsidRDefault="00794AEC" w:rsidP="009C0313">
      <w:pPr>
        <w:pStyle w:val="LightGrid-Accent31"/>
        <w:numPr>
          <w:ilvl w:val="1"/>
          <w:numId w:val="1"/>
        </w:numPr>
        <w:spacing w:after="60" w:line="240" w:lineRule="auto"/>
        <w:contextualSpacing w:val="0"/>
        <w:jc w:val="both"/>
        <w:rPr>
          <w:sz w:val="24"/>
          <w:szCs w:val="24"/>
          <w:lang w:val="en-GB"/>
        </w:rPr>
      </w:pPr>
      <w:r w:rsidRPr="00794AEC">
        <w:rPr>
          <w:sz w:val="24"/>
          <w:szCs w:val="24"/>
        </w:rPr>
        <w:t>Right of minorities (arts. 2 and 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94AEC">
        <w:rPr>
          <w:sz w:val="24"/>
          <w:szCs w:val="24"/>
          <w:highlight w:val="yellow"/>
        </w:rPr>
        <w:t>14</w:t>
      </w:r>
    </w:p>
    <w:p w14:paraId="4C0D4CF5" w14:textId="77777777" w:rsidR="006B20E4" w:rsidRPr="00424376" w:rsidRDefault="006B20E4" w:rsidP="004E557F">
      <w:pPr>
        <w:pStyle w:val="LightGrid-Accent31"/>
        <w:spacing w:after="0" w:line="240" w:lineRule="auto"/>
        <w:contextualSpacing w:val="0"/>
        <w:rPr>
          <w:sz w:val="28"/>
          <w:szCs w:val="28"/>
          <w:lang w:val="en-GB"/>
        </w:rPr>
      </w:pPr>
    </w:p>
    <w:p w14:paraId="354E2AE5" w14:textId="59CD8936" w:rsidR="006B20E4" w:rsidRPr="00C77E16" w:rsidRDefault="006B20E4" w:rsidP="004E557F">
      <w:pPr>
        <w:numPr>
          <w:ilvl w:val="0"/>
          <w:numId w:val="1"/>
        </w:numPr>
        <w:spacing w:after="0" w:line="240" w:lineRule="auto"/>
        <w:rPr>
          <w:b/>
          <w:sz w:val="28"/>
          <w:szCs w:val="28"/>
          <w:highlight w:val="yellow"/>
          <w:lang w:val="en-GB"/>
        </w:rPr>
      </w:pPr>
      <w:r w:rsidRPr="00C77E16">
        <w:rPr>
          <w:b/>
          <w:sz w:val="28"/>
          <w:szCs w:val="28"/>
          <w:highlight w:val="yellow"/>
          <w:lang w:val="en-GB"/>
        </w:rPr>
        <w:t>Additional Information</w:t>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r>
      <w:r w:rsidR="00BC2D70">
        <w:rPr>
          <w:b/>
          <w:sz w:val="28"/>
          <w:szCs w:val="28"/>
          <w:highlight w:val="yellow"/>
          <w:lang w:val="en-GB"/>
        </w:rPr>
        <w:tab/>
        <w:t>12</w:t>
      </w:r>
    </w:p>
    <w:p w14:paraId="12D06F82" w14:textId="77777777" w:rsidR="006B20E4" w:rsidRPr="00C77E16" w:rsidRDefault="00F33E86" w:rsidP="004E557F">
      <w:pPr>
        <w:spacing w:after="0" w:line="240" w:lineRule="auto"/>
        <w:ind w:left="720"/>
        <w:rPr>
          <w:b/>
          <w:sz w:val="24"/>
          <w:szCs w:val="24"/>
          <w:lang w:val="en-GB"/>
        </w:rPr>
      </w:pPr>
      <w:r w:rsidRPr="00C77E16">
        <w:rPr>
          <w:b/>
          <w:sz w:val="24"/>
          <w:szCs w:val="24"/>
          <w:lang w:val="en-GB"/>
        </w:rPr>
        <w:tab/>
      </w:r>
    </w:p>
    <w:p w14:paraId="6152794F" w14:textId="08D6E336" w:rsidR="00F33E86" w:rsidRPr="00C77E16" w:rsidRDefault="00F33E86" w:rsidP="008B3174">
      <w:pPr>
        <w:spacing w:after="0" w:line="240" w:lineRule="auto"/>
        <w:ind w:left="360"/>
        <w:jc w:val="both"/>
        <w:rPr>
          <w:rFonts w:eastAsia="Times New Roman" w:cs="Arial"/>
          <w:bCs/>
          <w:i/>
          <w:sz w:val="24"/>
          <w:szCs w:val="24"/>
          <w:highlight w:val="yellow"/>
          <w:lang w:val="en-GB"/>
        </w:rPr>
      </w:pPr>
      <w:r w:rsidRPr="00C77E16">
        <w:rPr>
          <w:rFonts w:eastAsia="Times New Roman" w:cs="Arial"/>
          <w:bCs/>
          <w:i/>
          <w:sz w:val="24"/>
          <w:szCs w:val="24"/>
          <w:highlight w:val="yellow"/>
          <w:lang w:val="en-GB"/>
        </w:rPr>
        <w:t>Annex:</w:t>
      </w:r>
      <w:r w:rsidR="001D2E7B" w:rsidRPr="00C77E16">
        <w:rPr>
          <w:rFonts w:eastAsia="Times New Roman" w:cs="Arial"/>
          <w:bCs/>
          <w:i/>
          <w:sz w:val="24"/>
          <w:szCs w:val="24"/>
          <w:highlight w:val="yellow"/>
          <w:lang w:val="en-GB"/>
        </w:rPr>
        <w:t xml:space="preserve"> …</w:t>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Pr="00C77E16">
        <w:rPr>
          <w:rFonts w:eastAsia="Times New Roman" w:cs="Arial"/>
          <w:bCs/>
          <w:i/>
          <w:sz w:val="28"/>
          <w:szCs w:val="28"/>
          <w:highlight w:val="yellow"/>
          <w:lang w:val="en-GB"/>
        </w:rPr>
        <w:tab/>
      </w:r>
      <w:r w:rsidR="00BC2D70">
        <w:rPr>
          <w:rFonts w:eastAsia="Times New Roman" w:cs="Arial"/>
          <w:bCs/>
          <w:i/>
          <w:sz w:val="24"/>
          <w:szCs w:val="24"/>
          <w:highlight w:val="yellow"/>
          <w:lang w:val="en-GB"/>
        </w:rPr>
        <w:t>13</w:t>
      </w:r>
    </w:p>
    <w:p w14:paraId="3404B68C" w14:textId="77777777" w:rsidR="00F33E86" w:rsidRPr="005815B1" w:rsidRDefault="00F33E86" w:rsidP="005815B1">
      <w:pPr>
        <w:spacing w:after="0" w:line="240" w:lineRule="auto"/>
        <w:rPr>
          <w:sz w:val="24"/>
          <w:szCs w:val="24"/>
          <w:lang w:val="en-GB"/>
        </w:rPr>
        <w:sectPr w:rsidR="00F33E86" w:rsidRPr="005815B1">
          <w:headerReference w:type="first" r:id="rId13"/>
          <w:footerReference w:type="first" r:id="rId14"/>
          <w:pgSz w:w="11906" w:h="16838"/>
          <w:pgMar w:top="1440" w:right="1440" w:bottom="1440" w:left="1440" w:header="708" w:footer="708" w:gutter="0"/>
          <w:cols w:space="708"/>
          <w:titlePg/>
          <w:rtlGutter/>
          <w:docGrid w:linePitch="360"/>
        </w:sectPr>
      </w:pPr>
    </w:p>
    <w:p w14:paraId="33DBF373" w14:textId="77777777" w:rsidR="006B20E4" w:rsidRPr="000B0757" w:rsidRDefault="006B20E4" w:rsidP="00032EBF">
      <w:pPr>
        <w:numPr>
          <w:ilvl w:val="0"/>
          <w:numId w:val="2"/>
        </w:numPr>
        <w:spacing w:after="240" w:line="240" w:lineRule="auto"/>
        <w:ind w:left="567" w:hanging="567"/>
        <w:jc w:val="both"/>
        <w:rPr>
          <w:b/>
          <w:sz w:val="32"/>
          <w:szCs w:val="32"/>
          <w:lang w:val="en-GB"/>
        </w:rPr>
      </w:pPr>
      <w:r w:rsidRPr="000B0757">
        <w:rPr>
          <w:b/>
          <w:sz w:val="32"/>
          <w:szCs w:val="32"/>
          <w:lang w:val="en-GB"/>
        </w:rPr>
        <w:lastRenderedPageBreak/>
        <w:t xml:space="preserve">Introduction </w:t>
      </w:r>
    </w:p>
    <w:p w14:paraId="18174D69" w14:textId="77777777" w:rsidR="0028099D" w:rsidRPr="000B0757" w:rsidRDefault="00146A70" w:rsidP="00032EBF">
      <w:pPr>
        <w:numPr>
          <w:ilvl w:val="1"/>
          <w:numId w:val="2"/>
        </w:numPr>
        <w:spacing w:after="120" w:line="240" w:lineRule="auto"/>
        <w:ind w:left="425" w:hanging="357"/>
        <w:jc w:val="both"/>
        <w:rPr>
          <w:b/>
          <w:bCs/>
          <w:sz w:val="24"/>
          <w:szCs w:val="24"/>
          <w:lang w:val="en-GB"/>
        </w:rPr>
      </w:pPr>
      <w:r w:rsidRPr="000B0757">
        <w:rPr>
          <w:b/>
          <w:bCs/>
          <w:sz w:val="24"/>
          <w:szCs w:val="24"/>
          <w:lang w:val="en-GB"/>
        </w:rPr>
        <w:t>Joining o</w:t>
      </w:r>
      <w:r w:rsidR="0028099D" w:rsidRPr="000B0757">
        <w:rPr>
          <w:b/>
          <w:bCs/>
          <w:sz w:val="24"/>
          <w:szCs w:val="24"/>
          <w:lang w:val="en-GB"/>
        </w:rPr>
        <w:t>rganisations</w:t>
      </w:r>
    </w:p>
    <w:p w14:paraId="51016553" w14:textId="260A594E" w:rsidR="0028099D" w:rsidRPr="000B0757" w:rsidRDefault="00F20C1E" w:rsidP="0028099D">
      <w:pPr>
        <w:spacing w:after="240" w:line="240" w:lineRule="auto"/>
        <w:ind w:left="426"/>
        <w:jc w:val="both"/>
        <w:rPr>
          <w:lang w:val="en-GB"/>
        </w:rPr>
      </w:pPr>
      <w:r w:rsidRPr="000B0757">
        <w:rPr>
          <w:lang w:val="en-GB"/>
        </w:rPr>
        <w:t xml:space="preserve">This joint report is prepared by </w:t>
      </w:r>
      <w:r w:rsidR="001D2E7B" w:rsidRPr="000B0757">
        <w:rPr>
          <w:lang w:val="en-GB"/>
        </w:rPr>
        <w:t>… etc</w:t>
      </w:r>
      <w:r w:rsidR="005A1437" w:rsidRPr="000B0757">
        <w:rPr>
          <w:lang w:val="en-GB"/>
        </w:rPr>
        <w:t>.</w:t>
      </w:r>
      <w:r w:rsidR="00216774" w:rsidRPr="000B0757">
        <w:rPr>
          <w:lang w:val="en-GB"/>
        </w:rPr>
        <w:t xml:space="preserve">, in case the NGOs / </w:t>
      </w:r>
      <w:proofErr w:type="gramStart"/>
      <w:r w:rsidR="00216774" w:rsidRPr="000B0757">
        <w:rPr>
          <w:lang w:val="en-GB"/>
        </w:rPr>
        <w:t>HRDs in the country do not wish to enclose their names</w:t>
      </w:r>
      <w:proofErr w:type="gramEnd"/>
      <w:r w:rsidR="00216774" w:rsidRPr="000B0757">
        <w:rPr>
          <w:lang w:val="en-GB"/>
        </w:rPr>
        <w:t xml:space="preserve">, </w:t>
      </w:r>
      <w:proofErr w:type="gramStart"/>
      <w:r w:rsidR="00216774" w:rsidRPr="000B0757">
        <w:rPr>
          <w:lang w:val="en-GB"/>
        </w:rPr>
        <w:t>CCPR-Centre can be used</w:t>
      </w:r>
      <w:proofErr w:type="gramEnd"/>
      <w:r w:rsidR="00216774" w:rsidRPr="000B0757">
        <w:rPr>
          <w:lang w:val="en-GB"/>
        </w:rPr>
        <w:t>.</w:t>
      </w:r>
    </w:p>
    <w:p w14:paraId="3D98F320" w14:textId="77777777" w:rsidR="00F20C1E" w:rsidRPr="000B0757" w:rsidRDefault="006B20E4" w:rsidP="00032EBF">
      <w:pPr>
        <w:numPr>
          <w:ilvl w:val="1"/>
          <w:numId w:val="2"/>
        </w:numPr>
        <w:spacing w:after="120" w:line="240" w:lineRule="auto"/>
        <w:ind w:left="425" w:hanging="357"/>
        <w:jc w:val="both"/>
        <w:rPr>
          <w:b/>
          <w:bCs/>
          <w:sz w:val="24"/>
          <w:szCs w:val="24"/>
          <w:lang w:val="en-GB"/>
        </w:rPr>
      </w:pPr>
      <w:r w:rsidRPr="000B0757">
        <w:rPr>
          <w:b/>
          <w:bCs/>
          <w:sz w:val="24"/>
          <w:szCs w:val="24"/>
          <w:lang w:val="en-GB"/>
        </w:rPr>
        <w:t>Methodology</w:t>
      </w:r>
    </w:p>
    <w:p w14:paraId="2FB3E187" w14:textId="77777777" w:rsidR="009B6BF5" w:rsidRPr="000B0757" w:rsidRDefault="005E7555" w:rsidP="009B6BF5">
      <w:pPr>
        <w:spacing w:after="240" w:line="240" w:lineRule="auto"/>
        <w:ind w:left="426"/>
        <w:jc w:val="both"/>
        <w:rPr>
          <w:lang w:val="en-GB"/>
        </w:rPr>
      </w:pPr>
      <w:proofErr w:type="gramStart"/>
      <w:r w:rsidRPr="000B0757">
        <w:rPr>
          <w:lang w:val="en-GB"/>
        </w:rPr>
        <w:t>How the report is prepared, information collected, work coordinated etc.</w:t>
      </w:r>
      <w:proofErr w:type="gramEnd"/>
    </w:p>
    <w:p w14:paraId="22DFB5C9" w14:textId="77777777" w:rsidR="005A1437" w:rsidRPr="000B0757" w:rsidRDefault="005A1437" w:rsidP="00032EBF">
      <w:pPr>
        <w:numPr>
          <w:ilvl w:val="1"/>
          <w:numId w:val="2"/>
        </w:numPr>
        <w:spacing w:after="120" w:line="240" w:lineRule="auto"/>
        <w:ind w:left="425" w:hanging="357"/>
        <w:jc w:val="both"/>
        <w:rPr>
          <w:b/>
          <w:bCs/>
          <w:sz w:val="24"/>
          <w:szCs w:val="24"/>
          <w:lang w:val="en-GB"/>
        </w:rPr>
      </w:pPr>
      <w:r w:rsidRPr="000B0757">
        <w:rPr>
          <w:b/>
          <w:bCs/>
          <w:sz w:val="24"/>
          <w:szCs w:val="24"/>
          <w:lang w:val="en-GB"/>
        </w:rPr>
        <w:t>Contact details</w:t>
      </w:r>
    </w:p>
    <w:p w14:paraId="7B4DAD44" w14:textId="7C4FCA47" w:rsidR="009B6BF5" w:rsidRPr="000B0757" w:rsidRDefault="005E7555" w:rsidP="005E7555">
      <w:pPr>
        <w:spacing w:after="0" w:line="240" w:lineRule="auto"/>
        <w:ind w:left="425" w:firstLine="1"/>
        <w:jc w:val="both"/>
        <w:rPr>
          <w:bCs/>
          <w:lang w:val="en-GB"/>
        </w:rPr>
      </w:pPr>
      <w:r w:rsidRPr="000B0757">
        <w:rPr>
          <w:lang w:val="en-GB"/>
        </w:rPr>
        <w:t>Contact of coordinators of the joining NGOs</w:t>
      </w:r>
      <w:r w:rsidR="00C77E16" w:rsidRPr="000B0757">
        <w:rPr>
          <w:lang w:val="en-GB"/>
        </w:rPr>
        <w:t xml:space="preserve"> (</w:t>
      </w:r>
      <w:r w:rsidRPr="000B0757">
        <w:rPr>
          <w:lang w:val="en-GB"/>
        </w:rPr>
        <w:t xml:space="preserve">in this case, </w:t>
      </w:r>
      <w:r w:rsidR="00C77E16" w:rsidRPr="000B0757">
        <w:rPr>
          <w:lang w:val="en-GB"/>
        </w:rPr>
        <w:t>contact</w:t>
      </w:r>
      <w:r w:rsidRPr="000B0757">
        <w:rPr>
          <w:lang w:val="en-GB"/>
        </w:rPr>
        <w:t>s</w:t>
      </w:r>
      <w:r w:rsidR="00C77E16" w:rsidRPr="000B0757">
        <w:rPr>
          <w:lang w:val="en-GB"/>
        </w:rPr>
        <w:t xml:space="preserve"> of other joining organisations can be </w:t>
      </w:r>
      <w:r w:rsidRPr="000B0757">
        <w:rPr>
          <w:lang w:val="en-GB"/>
        </w:rPr>
        <w:t>listed in the annex</w:t>
      </w:r>
      <w:r w:rsidR="00C77E16" w:rsidRPr="000B0757">
        <w:rPr>
          <w:lang w:val="en-GB"/>
        </w:rPr>
        <w:t>)</w:t>
      </w:r>
      <w:r w:rsidRPr="000B0757">
        <w:rPr>
          <w:lang w:val="en-GB"/>
        </w:rPr>
        <w:t xml:space="preserve"> OR contacts of all joining NGOs and HRDs</w:t>
      </w:r>
      <w:r w:rsidR="00216774" w:rsidRPr="000B0757">
        <w:rPr>
          <w:lang w:val="en-GB"/>
        </w:rPr>
        <w:t xml:space="preserve">, in case NGOs / HRDs do not wish to give their </w:t>
      </w:r>
      <w:proofErr w:type="gramStart"/>
      <w:r w:rsidR="00216774" w:rsidRPr="000B0757">
        <w:rPr>
          <w:lang w:val="en-GB"/>
        </w:rPr>
        <w:t>contacts,</w:t>
      </w:r>
      <w:proofErr w:type="gramEnd"/>
      <w:r w:rsidR="00216774" w:rsidRPr="000B0757">
        <w:rPr>
          <w:lang w:val="en-GB"/>
        </w:rPr>
        <w:t xml:space="preserve"> CCPR-Centre’s regional coordinator can be cited.</w:t>
      </w:r>
    </w:p>
    <w:p w14:paraId="6DFD1451" w14:textId="77777777" w:rsidR="009B6BF5" w:rsidRPr="000B0757" w:rsidRDefault="009B6BF5" w:rsidP="00F20C1E">
      <w:pPr>
        <w:spacing w:after="240" w:line="240" w:lineRule="auto"/>
        <w:ind w:left="426"/>
        <w:jc w:val="both"/>
        <w:rPr>
          <w:lang w:val="en-GB"/>
        </w:rPr>
      </w:pPr>
    </w:p>
    <w:p w14:paraId="21016921" w14:textId="77777777" w:rsidR="005A1437" w:rsidRPr="000B0757" w:rsidRDefault="005A1437" w:rsidP="00032EBF">
      <w:pPr>
        <w:numPr>
          <w:ilvl w:val="0"/>
          <w:numId w:val="2"/>
        </w:numPr>
        <w:spacing w:after="240" w:line="240" w:lineRule="auto"/>
        <w:ind w:left="567" w:hanging="567"/>
        <w:jc w:val="both"/>
        <w:rPr>
          <w:b/>
          <w:lang w:val="en-GB"/>
        </w:rPr>
        <w:sectPr w:rsidR="005A1437" w:rsidRPr="000B0757" w:rsidSect="00D7079C">
          <w:footerReference w:type="first" r:id="rId15"/>
          <w:pgSz w:w="11906" w:h="16838"/>
          <w:pgMar w:top="1440" w:right="746" w:bottom="1440" w:left="1440" w:header="708" w:footer="708" w:gutter="0"/>
          <w:cols w:space="708"/>
          <w:titlePg/>
          <w:rtlGutter/>
          <w:docGrid w:linePitch="360"/>
        </w:sectPr>
      </w:pPr>
    </w:p>
    <w:p w14:paraId="4E2ADAA6" w14:textId="77777777" w:rsidR="006B20E4" w:rsidRPr="00424376" w:rsidRDefault="006B20E4" w:rsidP="00032EBF">
      <w:pPr>
        <w:numPr>
          <w:ilvl w:val="0"/>
          <w:numId w:val="2"/>
        </w:numPr>
        <w:spacing w:after="240" w:line="240" w:lineRule="auto"/>
        <w:ind w:left="567" w:hanging="567"/>
        <w:jc w:val="both"/>
        <w:rPr>
          <w:b/>
          <w:sz w:val="32"/>
          <w:szCs w:val="32"/>
          <w:lang w:val="en-GB"/>
        </w:rPr>
      </w:pPr>
      <w:r w:rsidRPr="00424376">
        <w:rPr>
          <w:b/>
          <w:sz w:val="32"/>
          <w:szCs w:val="32"/>
          <w:lang w:val="en-GB"/>
        </w:rPr>
        <w:lastRenderedPageBreak/>
        <w:t xml:space="preserve">Civil Society </w:t>
      </w:r>
      <w:r w:rsidR="005E7555">
        <w:rPr>
          <w:b/>
          <w:sz w:val="32"/>
          <w:szCs w:val="32"/>
          <w:lang w:val="en-GB"/>
        </w:rPr>
        <w:t xml:space="preserve">Replies </w:t>
      </w:r>
      <w:r w:rsidRPr="00424376">
        <w:rPr>
          <w:b/>
          <w:sz w:val="32"/>
          <w:szCs w:val="32"/>
          <w:lang w:val="en-GB"/>
        </w:rPr>
        <w:t xml:space="preserve">to </w:t>
      </w:r>
      <w:r w:rsidR="005E7555">
        <w:rPr>
          <w:b/>
          <w:sz w:val="32"/>
          <w:szCs w:val="32"/>
          <w:lang w:val="en-GB"/>
        </w:rPr>
        <w:t>the Issues identified in the LOI</w:t>
      </w:r>
    </w:p>
    <w:p w14:paraId="5D12ECF7" w14:textId="3A2D5A1E" w:rsidR="006B20E4" w:rsidRPr="003439BB" w:rsidRDefault="006B20E4" w:rsidP="00032EBF">
      <w:pPr>
        <w:pStyle w:val="LightGrid-Accent31"/>
        <w:numPr>
          <w:ilvl w:val="1"/>
          <w:numId w:val="2"/>
        </w:numPr>
        <w:spacing w:after="120" w:line="240" w:lineRule="auto"/>
        <w:ind w:left="426"/>
        <w:contextualSpacing w:val="0"/>
        <w:jc w:val="both"/>
        <w:rPr>
          <w:b/>
          <w:sz w:val="28"/>
          <w:szCs w:val="28"/>
          <w:u w:val="single"/>
          <w:lang w:val="en-GB"/>
        </w:rPr>
      </w:pPr>
      <w:r w:rsidRPr="003439BB">
        <w:rPr>
          <w:b/>
          <w:sz w:val="28"/>
          <w:szCs w:val="28"/>
          <w:u w:val="single"/>
          <w:lang w:val="en-GB"/>
        </w:rPr>
        <w:t xml:space="preserve">Constitutional </w:t>
      </w:r>
      <w:r w:rsidR="00AA64DB" w:rsidRPr="003439BB">
        <w:rPr>
          <w:b/>
          <w:sz w:val="28"/>
          <w:szCs w:val="28"/>
          <w:u w:val="single"/>
          <w:lang w:val="en-GB"/>
        </w:rPr>
        <w:t xml:space="preserve">and legal framework within which the Covenant is implemented (art. </w:t>
      </w:r>
      <w:r w:rsidRPr="003439BB">
        <w:rPr>
          <w:b/>
          <w:sz w:val="28"/>
          <w:szCs w:val="28"/>
          <w:u w:val="single"/>
          <w:lang w:val="en-GB"/>
        </w:rPr>
        <w:t>2)</w:t>
      </w:r>
    </w:p>
    <w:p w14:paraId="3A19B7B1" w14:textId="4F4B15D3" w:rsidR="006B20E4" w:rsidRPr="00794AEC" w:rsidRDefault="006B20E4" w:rsidP="004E557F">
      <w:pPr>
        <w:pStyle w:val="LightGrid-Accent31"/>
        <w:pBdr>
          <w:top w:val="single" w:sz="4" w:space="1" w:color="auto"/>
          <w:left w:val="single" w:sz="4" w:space="1" w:color="auto"/>
          <w:bottom w:val="single" w:sz="4" w:space="1" w:color="auto"/>
          <w:right w:val="single" w:sz="4" w:space="4" w:color="auto"/>
        </w:pBdr>
        <w:spacing w:after="120" w:line="240" w:lineRule="auto"/>
        <w:ind w:left="0" w:right="26"/>
        <w:contextualSpacing w:val="0"/>
        <w:jc w:val="both"/>
        <w:rPr>
          <w:rFonts w:asciiTheme="majorHAnsi" w:hAnsiTheme="majorHAnsi"/>
          <w:i/>
          <w:sz w:val="18"/>
          <w:szCs w:val="18"/>
          <w:lang w:val="en-GB"/>
        </w:rPr>
      </w:pPr>
      <w:r w:rsidRPr="00794AEC">
        <w:rPr>
          <w:b/>
          <w:color w:val="000000"/>
          <w:u w:val="single"/>
          <w:lang w:val="en-GB" w:eastAsia="fr-FR"/>
        </w:rPr>
        <w:t>Issue 1</w:t>
      </w:r>
      <w:r w:rsidRPr="00794AEC">
        <w:rPr>
          <w:b/>
          <w:color w:val="000000"/>
          <w:lang w:val="en-GB" w:eastAsia="fr-FR"/>
        </w:rPr>
        <w:t>:</w:t>
      </w:r>
      <w:r w:rsidRPr="000B0757">
        <w:rPr>
          <w:color w:val="000000"/>
          <w:sz w:val="20"/>
          <w:szCs w:val="20"/>
          <w:lang w:val="en-GB" w:eastAsia="fr-FR"/>
        </w:rPr>
        <w:t xml:space="preserve"> </w:t>
      </w:r>
      <w:r w:rsidR="00216774" w:rsidRPr="00794AEC">
        <w:rPr>
          <w:rFonts w:asciiTheme="majorHAnsi" w:hAnsiTheme="majorHAnsi"/>
          <w:i/>
          <w:sz w:val="18"/>
          <w:szCs w:val="18"/>
          <w:lang w:val="en-GB"/>
        </w:rPr>
        <w:t xml:space="preserve">With reference to paragraph 35 of the State party’s report (CCPR/C/VNM/3), please clarify the status of the Covenant in the domestic legal system and in particular whether its provisions can be invoked directly before the courts. Please provide information on the measures taken to ensure (a) the primacy of the Covenant over national law; (b) that the national legal framework is fully consistent with the Covenant; (c) that domestic interpretations of the rights in the Covenant are consistent with the Covenant; and (d) that the use of article 14 (2) of the Constitution does not limit the scope of the rights in the Covenant, in particular in relation to the concept of “national security”. Please provide information on the practical application of the provisions of the Covenant in the domestic legal system, including examples of cases in which </w:t>
      </w:r>
      <w:proofErr w:type="gramStart"/>
      <w:r w:rsidR="00216774" w:rsidRPr="00794AEC">
        <w:rPr>
          <w:rFonts w:asciiTheme="majorHAnsi" w:hAnsiTheme="majorHAnsi"/>
          <w:i/>
          <w:sz w:val="18"/>
          <w:szCs w:val="18"/>
          <w:lang w:val="en-GB"/>
        </w:rPr>
        <w:t>the provisions of the Covenant have been referred to by national courts</w:t>
      </w:r>
      <w:proofErr w:type="gramEnd"/>
      <w:r w:rsidR="00216774" w:rsidRPr="00794AEC">
        <w:rPr>
          <w:rFonts w:asciiTheme="majorHAnsi" w:hAnsiTheme="majorHAnsi"/>
          <w:i/>
          <w:sz w:val="18"/>
          <w:szCs w:val="18"/>
          <w:lang w:val="en-GB"/>
        </w:rPr>
        <w:t>. Please also specify the measures taken to ensure that information on the Covenant is disseminated among judges, lawyers, prosecutors, law enforcement officials and the general public</w:t>
      </w:r>
      <w:r w:rsidR="005E7555" w:rsidRPr="00794AEC">
        <w:rPr>
          <w:rFonts w:asciiTheme="majorHAnsi" w:hAnsiTheme="majorHAnsi"/>
          <w:i/>
          <w:sz w:val="18"/>
          <w:szCs w:val="18"/>
          <w:lang w:eastAsia="ja-JP"/>
        </w:rPr>
        <w:t>.</w:t>
      </w:r>
    </w:p>
    <w:p w14:paraId="07A8D3BA" w14:textId="77777777" w:rsidR="006B20E4" w:rsidRPr="00424376" w:rsidRDefault="001D2E7B" w:rsidP="004E557F">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006B20E4" w:rsidRPr="00424376">
        <w:rPr>
          <w:rStyle w:val="hps"/>
          <w:rFonts w:ascii="Calibri" w:hAnsi="Calibri"/>
          <w:b/>
          <w:sz w:val="24"/>
          <w:szCs w:val="24"/>
        </w:rPr>
        <w:t>Comments from Civil Society</w:t>
      </w:r>
    </w:p>
    <w:p w14:paraId="72CF328D" w14:textId="77777777" w:rsidR="00833C29" w:rsidRPr="00772BC4" w:rsidRDefault="001D2E7B" w:rsidP="004E557F">
      <w:pPr>
        <w:spacing w:after="120" w:line="240" w:lineRule="auto"/>
        <w:jc w:val="both"/>
        <w:rPr>
          <w:rStyle w:val="hps"/>
          <w:lang w:val="en-GB"/>
        </w:rPr>
      </w:pPr>
      <w:r w:rsidRPr="00772BC4">
        <w:rPr>
          <w:rStyle w:val="hps"/>
          <w:rFonts w:eastAsia="Times New Roman"/>
          <w:lang w:val="en-GB"/>
        </w:rPr>
        <w:t>…</w:t>
      </w:r>
    </w:p>
    <w:p w14:paraId="11D33CF8" w14:textId="77777777" w:rsidR="006B20E4" w:rsidRPr="00424376" w:rsidRDefault="006B20E4" w:rsidP="00AE699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6FD69F60" w14:textId="77777777" w:rsidR="006B20E4" w:rsidRPr="00772BC4" w:rsidRDefault="006B20E4" w:rsidP="00772BC4">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7AD294D" w14:textId="77777777" w:rsidR="006B20E4" w:rsidRPr="00772BC4" w:rsidRDefault="001D2E7B" w:rsidP="00772BC4">
      <w:pPr>
        <w:numPr>
          <w:ilvl w:val="0"/>
          <w:numId w:val="3"/>
        </w:numPr>
        <w:spacing w:after="0" w:line="240" w:lineRule="auto"/>
        <w:ind w:left="714" w:hanging="357"/>
      </w:pPr>
      <w:r w:rsidRPr="00772BC4">
        <w:rPr>
          <w:rFonts w:eastAsia="Times New Roman"/>
          <w:lang w:val="en-GB"/>
        </w:rPr>
        <w:t>…</w:t>
      </w:r>
    </w:p>
    <w:p w14:paraId="69163986" w14:textId="77777777" w:rsidR="001D2E7B" w:rsidRPr="00772BC4" w:rsidRDefault="001D2E7B" w:rsidP="00772BC4">
      <w:pPr>
        <w:numPr>
          <w:ilvl w:val="0"/>
          <w:numId w:val="3"/>
        </w:numPr>
        <w:spacing w:after="0" w:line="240" w:lineRule="auto"/>
        <w:ind w:left="714" w:hanging="357"/>
      </w:pPr>
      <w:r w:rsidRPr="00772BC4">
        <w:rPr>
          <w:rFonts w:eastAsia="Times New Roman"/>
          <w:lang w:val="en-GB"/>
        </w:rPr>
        <w:t>…</w:t>
      </w:r>
    </w:p>
    <w:p w14:paraId="14A9BF9F" w14:textId="77777777" w:rsidR="001D2E7B" w:rsidRPr="00772BC4" w:rsidRDefault="001D2E7B" w:rsidP="00772BC4">
      <w:pPr>
        <w:numPr>
          <w:ilvl w:val="0"/>
          <w:numId w:val="3"/>
        </w:numPr>
        <w:spacing w:after="0" w:line="240" w:lineRule="auto"/>
        <w:ind w:left="714" w:hanging="357"/>
      </w:pPr>
      <w:r w:rsidRPr="00772BC4">
        <w:rPr>
          <w:rFonts w:eastAsia="Times New Roman"/>
          <w:lang w:val="en-GB"/>
        </w:rPr>
        <w:t>…</w:t>
      </w:r>
    </w:p>
    <w:p w14:paraId="4F28E67E" w14:textId="77777777" w:rsidR="001D2E7B" w:rsidRDefault="001D2E7B" w:rsidP="00772BC4">
      <w:pPr>
        <w:spacing w:after="0" w:line="240" w:lineRule="auto"/>
        <w:rPr>
          <w:rFonts w:eastAsia="Times New Roman"/>
          <w:lang w:val="en-GB"/>
        </w:rPr>
      </w:pPr>
    </w:p>
    <w:p w14:paraId="029CA7AF" w14:textId="346AB40B" w:rsidR="00216774" w:rsidRPr="00794AEC" w:rsidRDefault="00216774" w:rsidP="0021677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i/>
          <w:sz w:val="18"/>
          <w:szCs w:val="18"/>
          <w:lang w:val="en-GB"/>
        </w:rPr>
      </w:pPr>
      <w:r w:rsidRPr="00794AEC">
        <w:rPr>
          <w:rFonts w:asciiTheme="majorHAnsi" w:hAnsiTheme="majorHAnsi"/>
          <w:b/>
          <w:color w:val="000000"/>
          <w:u w:val="single"/>
          <w:lang w:val="en-GB"/>
        </w:rPr>
        <w:t>Issue 2</w:t>
      </w:r>
      <w:r w:rsidRPr="00794AEC">
        <w:rPr>
          <w:rFonts w:asciiTheme="majorHAnsi" w:hAnsiTheme="majorHAnsi"/>
          <w:b/>
          <w:color w:val="000000"/>
          <w:lang w:val="en-GB"/>
        </w:rPr>
        <w:t>:</w:t>
      </w:r>
      <w:r w:rsidRPr="000B0757">
        <w:rPr>
          <w:rFonts w:asciiTheme="majorHAnsi" w:hAnsiTheme="majorHAnsi"/>
          <w:i/>
          <w:color w:val="000000"/>
          <w:sz w:val="20"/>
          <w:szCs w:val="20"/>
          <w:lang w:val="en-GB"/>
        </w:rPr>
        <w:t xml:space="preserve"> </w:t>
      </w:r>
      <w:r w:rsidR="000B0757" w:rsidRPr="00794AEC">
        <w:rPr>
          <w:rFonts w:asciiTheme="majorHAnsi" w:hAnsiTheme="majorHAnsi"/>
          <w:i/>
          <w:color w:val="000000"/>
          <w:sz w:val="18"/>
          <w:szCs w:val="18"/>
          <w:lang w:val="en-GB"/>
        </w:rPr>
        <w:t xml:space="preserve">With </w:t>
      </w:r>
      <w:r w:rsidR="000B0757" w:rsidRPr="00794AEC">
        <w:rPr>
          <w:rFonts w:asciiTheme="majorHAnsi" w:hAnsiTheme="majorHAnsi"/>
          <w:i/>
          <w:sz w:val="18"/>
          <w:szCs w:val="18"/>
          <w:lang w:val="en-GB"/>
        </w:rPr>
        <w:t xml:space="preserve">reference to paragraphs 44–45 of the State party’s report, please provide further information on the availability and accessibility of remedies for individuals claiming violations of the rights contained in the Covenant and the Constitution. With regard to paragraph 47 of the report and to the Committee’s previous concluding observations (CCPR/CO/75/VNM, </w:t>
      </w:r>
      <w:proofErr w:type="spellStart"/>
      <w:r w:rsidR="000B0757" w:rsidRPr="00794AEC">
        <w:rPr>
          <w:rFonts w:asciiTheme="majorHAnsi" w:hAnsiTheme="majorHAnsi"/>
          <w:i/>
          <w:sz w:val="18"/>
          <w:szCs w:val="18"/>
          <w:lang w:val="en-GB"/>
        </w:rPr>
        <w:t>para</w:t>
      </w:r>
      <w:proofErr w:type="spellEnd"/>
      <w:r w:rsidR="000B0757" w:rsidRPr="00794AEC">
        <w:rPr>
          <w:rFonts w:asciiTheme="majorHAnsi" w:hAnsiTheme="majorHAnsi"/>
          <w:i/>
          <w:sz w:val="18"/>
          <w:szCs w:val="18"/>
          <w:lang w:val="en-GB"/>
        </w:rPr>
        <w:t>. 11), please provide information on the measures taken to establish a permanent independent human rights monitoring body with adequate powers and resources to effectively receive and investigate allegations of human rights violations. Please provide information on the mandate and functioning of the national Human Rights Steering Committee. With reference to paragraph 23 of the State party’s report and to paragraph 6 of the Committee’s previous concluding observations, please provide further information on the concrete steps that have been taken towards acceding to the Optional Protocol to the Covenant</w:t>
      </w:r>
      <w:r w:rsidRPr="00794AEC">
        <w:rPr>
          <w:rFonts w:asciiTheme="majorHAnsi" w:hAnsiTheme="majorHAnsi"/>
          <w:i/>
          <w:sz w:val="18"/>
          <w:szCs w:val="18"/>
        </w:rPr>
        <w:t>.</w:t>
      </w:r>
    </w:p>
    <w:p w14:paraId="4ED9A2D7" w14:textId="77777777" w:rsidR="00216774" w:rsidRPr="00A320C3" w:rsidRDefault="00216774" w:rsidP="00216774">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E48E9C7" w14:textId="77777777" w:rsidR="00216774" w:rsidRPr="00772BC4" w:rsidRDefault="00216774" w:rsidP="00216774">
      <w:pPr>
        <w:pStyle w:val="SingleTxtG"/>
        <w:tabs>
          <w:tab w:val="right" w:pos="360"/>
        </w:tabs>
        <w:spacing w:line="240" w:lineRule="auto"/>
        <w:ind w:left="0" w:right="0"/>
        <w:rPr>
          <w:rStyle w:val="hps"/>
          <w:rFonts w:ascii="Calibri" w:hAnsi="Calibri"/>
          <w:sz w:val="22"/>
          <w:szCs w:val="22"/>
        </w:rPr>
      </w:pPr>
      <w:r w:rsidRPr="00772BC4">
        <w:rPr>
          <w:rFonts w:ascii="Calibri" w:hAnsi="Calibri"/>
          <w:bCs/>
          <w:i/>
          <w:sz w:val="22"/>
          <w:szCs w:val="22"/>
        </w:rPr>
        <w:t>…</w:t>
      </w:r>
    </w:p>
    <w:p w14:paraId="1E3D2F57" w14:textId="77777777" w:rsidR="00216774" w:rsidRPr="00065ED9" w:rsidRDefault="00216774" w:rsidP="00216774">
      <w:pPr>
        <w:pStyle w:val="SingleTxtG"/>
        <w:tabs>
          <w:tab w:val="right" w:pos="360"/>
        </w:tabs>
        <w:spacing w:line="240" w:lineRule="auto"/>
        <w:ind w:left="0" w:right="0"/>
        <w:rPr>
          <w:rFonts w:ascii="Calibri" w:hAnsi="Calibri"/>
          <w:b/>
          <w:sz w:val="24"/>
          <w:szCs w:val="24"/>
        </w:rPr>
      </w:pPr>
      <w:r w:rsidRPr="00065ED9">
        <w:rPr>
          <w:rFonts w:ascii="Calibri" w:hAnsi="Calibri"/>
          <w:b/>
          <w:sz w:val="24"/>
          <w:szCs w:val="24"/>
        </w:rPr>
        <w:t>Recommendations:</w:t>
      </w:r>
    </w:p>
    <w:p w14:paraId="2C4DF15A" w14:textId="77777777" w:rsidR="00216774" w:rsidRPr="00772BC4" w:rsidRDefault="00216774" w:rsidP="00216774">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4530CDE1" w14:textId="77777777" w:rsidR="00216774" w:rsidRPr="00772BC4" w:rsidRDefault="00216774" w:rsidP="00216774">
      <w:pPr>
        <w:pStyle w:val="SingleTxtG"/>
        <w:numPr>
          <w:ilvl w:val="0"/>
          <w:numId w:val="4"/>
        </w:numPr>
        <w:spacing w:after="0" w:line="240" w:lineRule="auto"/>
        <w:ind w:left="709" w:right="0"/>
        <w:rPr>
          <w:rFonts w:ascii="Calibri" w:hAnsi="Calibri"/>
          <w:sz w:val="22"/>
          <w:szCs w:val="22"/>
        </w:rPr>
      </w:pPr>
      <w:r w:rsidRPr="00772BC4">
        <w:rPr>
          <w:rFonts w:ascii="Calibri" w:hAnsi="Calibri"/>
          <w:sz w:val="22"/>
          <w:szCs w:val="22"/>
        </w:rPr>
        <w:t>…</w:t>
      </w:r>
    </w:p>
    <w:p w14:paraId="7C5715D0" w14:textId="77777777" w:rsidR="00216774" w:rsidRPr="00772BC4" w:rsidRDefault="00216774" w:rsidP="00216774">
      <w:pPr>
        <w:pStyle w:val="SingleTxtG"/>
        <w:numPr>
          <w:ilvl w:val="0"/>
          <w:numId w:val="4"/>
        </w:numPr>
        <w:spacing w:after="0" w:line="240" w:lineRule="auto"/>
        <w:ind w:left="709" w:right="0"/>
        <w:rPr>
          <w:rFonts w:ascii="Calibri" w:hAnsi="Calibri"/>
          <w:sz w:val="22"/>
          <w:szCs w:val="22"/>
        </w:rPr>
      </w:pPr>
      <w:r w:rsidRPr="00772BC4">
        <w:rPr>
          <w:rFonts w:ascii="Calibri" w:hAnsi="Calibri"/>
          <w:sz w:val="22"/>
          <w:szCs w:val="22"/>
        </w:rPr>
        <w:t>…</w:t>
      </w:r>
    </w:p>
    <w:p w14:paraId="33ECCE0A" w14:textId="77777777" w:rsidR="00216774" w:rsidRPr="00772BC4" w:rsidRDefault="00216774" w:rsidP="00216774">
      <w:pPr>
        <w:pStyle w:val="SingleTxtG"/>
        <w:numPr>
          <w:ilvl w:val="0"/>
          <w:numId w:val="4"/>
        </w:numPr>
        <w:spacing w:after="0" w:line="240" w:lineRule="auto"/>
        <w:ind w:left="709" w:right="0"/>
        <w:rPr>
          <w:rFonts w:ascii="Calibri" w:hAnsi="Calibri"/>
          <w:sz w:val="22"/>
          <w:szCs w:val="22"/>
        </w:rPr>
      </w:pPr>
      <w:r w:rsidRPr="00772BC4">
        <w:rPr>
          <w:rFonts w:ascii="Calibri" w:hAnsi="Calibri"/>
          <w:sz w:val="22"/>
          <w:szCs w:val="22"/>
        </w:rPr>
        <w:t>…</w:t>
      </w:r>
    </w:p>
    <w:p w14:paraId="7D92C501" w14:textId="77777777" w:rsidR="00216774" w:rsidRPr="00772BC4" w:rsidRDefault="00216774" w:rsidP="00772BC4">
      <w:pPr>
        <w:spacing w:after="0" w:line="240" w:lineRule="auto"/>
        <w:rPr>
          <w:rFonts w:eastAsia="Times New Roman"/>
          <w:lang w:val="en-GB"/>
        </w:rPr>
      </w:pPr>
    </w:p>
    <w:p w14:paraId="3AC28499" w14:textId="77777777" w:rsidR="00AA64DB" w:rsidRPr="00772BC4" w:rsidRDefault="00AA64DB" w:rsidP="00772BC4">
      <w:pPr>
        <w:spacing w:after="0" w:line="240" w:lineRule="auto"/>
        <w:rPr>
          <w:rFonts w:eastAsia="Times New Roman"/>
          <w:lang w:val="en-GB"/>
        </w:rPr>
      </w:pPr>
    </w:p>
    <w:p w14:paraId="2A04F601" w14:textId="08CDCFC0" w:rsidR="00AA64DB" w:rsidRPr="003439BB" w:rsidRDefault="000B0757" w:rsidP="00AA64DB">
      <w:pPr>
        <w:pStyle w:val="LightGrid-Accent31"/>
        <w:numPr>
          <w:ilvl w:val="1"/>
          <w:numId w:val="2"/>
        </w:numPr>
        <w:spacing w:after="120" w:line="240" w:lineRule="auto"/>
        <w:ind w:left="426"/>
        <w:contextualSpacing w:val="0"/>
        <w:jc w:val="both"/>
        <w:rPr>
          <w:rFonts w:asciiTheme="majorHAnsi" w:hAnsiTheme="majorHAnsi"/>
          <w:b/>
          <w:sz w:val="28"/>
          <w:szCs w:val="28"/>
          <w:lang w:val="en-GB"/>
        </w:rPr>
      </w:pPr>
      <w:r w:rsidRPr="003439BB">
        <w:rPr>
          <w:rFonts w:asciiTheme="majorHAnsi" w:hAnsiTheme="majorHAnsi"/>
          <w:b/>
          <w:sz w:val="28"/>
          <w:szCs w:val="28"/>
          <w:u w:val="single"/>
          <w:lang w:val="en-GB"/>
        </w:rPr>
        <w:t>Non-discrimination</w:t>
      </w:r>
      <w:r w:rsidR="00DA10C7" w:rsidRPr="003439BB">
        <w:rPr>
          <w:rFonts w:asciiTheme="majorHAnsi" w:hAnsiTheme="majorHAnsi"/>
          <w:b/>
          <w:sz w:val="28"/>
          <w:szCs w:val="28"/>
          <w:u w:val="single"/>
          <w:lang w:val="en-GB"/>
        </w:rPr>
        <w:t xml:space="preserve"> and gender equality</w:t>
      </w:r>
      <w:r w:rsidR="00AA64DB" w:rsidRPr="003439BB">
        <w:rPr>
          <w:rFonts w:asciiTheme="majorHAnsi" w:hAnsiTheme="majorHAnsi"/>
          <w:b/>
          <w:sz w:val="28"/>
          <w:szCs w:val="28"/>
          <w:u w:val="single"/>
        </w:rPr>
        <w:t xml:space="preserve"> </w:t>
      </w:r>
      <w:r w:rsidR="00DA10C7" w:rsidRPr="003439BB">
        <w:rPr>
          <w:rFonts w:asciiTheme="majorHAnsi" w:hAnsiTheme="majorHAnsi"/>
          <w:b/>
          <w:bCs/>
          <w:sz w:val="28"/>
          <w:szCs w:val="28"/>
          <w:u w:val="single"/>
        </w:rPr>
        <w:t>(arts. 2, 3, 2</w:t>
      </w:r>
      <w:r w:rsidR="00AA64DB" w:rsidRPr="003439BB">
        <w:rPr>
          <w:rFonts w:asciiTheme="majorHAnsi" w:hAnsiTheme="majorHAnsi"/>
          <w:b/>
          <w:bCs/>
          <w:sz w:val="28"/>
          <w:szCs w:val="28"/>
          <w:u w:val="single"/>
        </w:rPr>
        <w:t>0 and</w:t>
      </w:r>
      <w:r w:rsidR="00DA10C7" w:rsidRPr="003439BB">
        <w:rPr>
          <w:rFonts w:asciiTheme="majorHAnsi" w:hAnsiTheme="majorHAnsi"/>
          <w:b/>
          <w:sz w:val="28"/>
          <w:szCs w:val="28"/>
          <w:u w:val="single"/>
          <w:lang w:val="en-GB"/>
        </w:rPr>
        <w:t xml:space="preserve"> 26</w:t>
      </w:r>
      <w:r w:rsidR="00AA64DB" w:rsidRPr="003439BB">
        <w:rPr>
          <w:rFonts w:asciiTheme="majorHAnsi" w:hAnsiTheme="majorHAnsi"/>
          <w:b/>
          <w:sz w:val="28"/>
          <w:szCs w:val="28"/>
          <w:u w:val="single"/>
          <w:lang w:val="en-GB"/>
        </w:rPr>
        <w:t>)</w:t>
      </w:r>
    </w:p>
    <w:p w14:paraId="730F1CDC" w14:textId="7CDF6CF1" w:rsidR="000B0757" w:rsidRPr="000B0757" w:rsidRDefault="000B0757" w:rsidP="000B0757">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i/>
          <w:sz w:val="20"/>
          <w:szCs w:val="20"/>
          <w:lang w:val="en-GB"/>
        </w:rPr>
      </w:pPr>
      <w:r w:rsidRPr="00794AEC">
        <w:rPr>
          <w:rFonts w:asciiTheme="majorHAnsi" w:hAnsiTheme="majorHAnsi"/>
          <w:b/>
          <w:color w:val="000000"/>
          <w:u w:val="single"/>
          <w:lang w:val="en-GB"/>
        </w:rPr>
        <w:t xml:space="preserve">Issue </w:t>
      </w:r>
      <w:r w:rsidR="00DA10C7" w:rsidRPr="00794AEC">
        <w:rPr>
          <w:rFonts w:asciiTheme="majorHAnsi" w:hAnsiTheme="majorHAnsi"/>
          <w:b/>
          <w:color w:val="000000"/>
          <w:u w:val="single"/>
          <w:lang w:val="en-GB"/>
        </w:rPr>
        <w:t>3</w:t>
      </w:r>
      <w:r w:rsidRPr="00794AEC">
        <w:rPr>
          <w:rFonts w:asciiTheme="majorHAnsi" w:hAnsiTheme="majorHAnsi"/>
          <w:b/>
          <w:color w:val="000000"/>
          <w:lang w:val="en-GB"/>
        </w:rPr>
        <w:t>:</w:t>
      </w:r>
      <w:r w:rsidRPr="000B0757">
        <w:rPr>
          <w:rFonts w:asciiTheme="majorHAnsi" w:hAnsiTheme="majorHAnsi"/>
          <w:i/>
          <w:color w:val="000000"/>
          <w:sz w:val="20"/>
          <w:szCs w:val="20"/>
          <w:lang w:val="en-GB"/>
        </w:rPr>
        <w:t xml:space="preserve"> </w:t>
      </w:r>
      <w:r w:rsidR="00DA10C7" w:rsidRPr="00794AEC">
        <w:rPr>
          <w:rFonts w:asciiTheme="majorHAnsi" w:hAnsiTheme="majorHAnsi"/>
          <w:i/>
          <w:sz w:val="18"/>
          <w:szCs w:val="18"/>
          <w:lang w:val="en-GB"/>
        </w:rPr>
        <w:t>With reference to paragraphs 36–47 of the State party’s report, please indicate whether any steps have been taken to adopt comprehensive anti-discrimination legislation that, inter alia, (a) addresses discrimination in the private sphere; (b) prohibits all direct and indirect discrimination and multiple forms of discrimination; (c) contains a comprehensive list of prohibited grounds for discrimination, including race, colour, sex, political or other opinion, property, birth, sexual orientation, gender identity, health and other status; and (d) provides for effective remedies in judicial and administrative proceedings. Please provide information on the measures taken to enforce the non-discrimination provisions already existing in domestic law, in particular regarding women, persons with disabilities, people living with HIV and ethnic minorities. Please report on the steps taken towards legal recognition of same-sex couples and provide information on existing or planned legal frameworks pertaining to the rights of transgender persons that ensure they are not subject to discrimination</w:t>
      </w:r>
      <w:r w:rsidRPr="00794AEC">
        <w:rPr>
          <w:rFonts w:asciiTheme="majorHAnsi" w:hAnsiTheme="majorHAnsi"/>
          <w:i/>
          <w:sz w:val="18"/>
          <w:szCs w:val="18"/>
        </w:rPr>
        <w:t>.</w:t>
      </w:r>
    </w:p>
    <w:p w14:paraId="25D30F25" w14:textId="77777777" w:rsidR="000B0757" w:rsidRPr="00A320C3" w:rsidRDefault="000B0757" w:rsidP="000B0757">
      <w:pPr>
        <w:pStyle w:val="SingleTxtG"/>
        <w:spacing w:line="240" w:lineRule="auto"/>
        <w:ind w:left="0" w:right="0"/>
        <w:rPr>
          <w:rStyle w:val="hps"/>
          <w:rFonts w:ascii="Calibri" w:hAnsi="Calibri"/>
          <w:b/>
          <w:sz w:val="24"/>
          <w:szCs w:val="24"/>
        </w:rPr>
      </w:pPr>
      <w:r>
        <w:rPr>
          <w:rStyle w:val="hps"/>
          <w:rFonts w:ascii="Calibri" w:hAnsi="Calibri"/>
          <w:b/>
          <w:sz w:val="24"/>
          <w:szCs w:val="24"/>
        </w:rPr>
        <w:lastRenderedPageBreak/>
        <w:t xml:space="preserve">Reply / </w:t>
      </w:r>
      <w:r w:rsidRPr="00424376">
        <w:rPr>
          <w:rStyle w:val="hps"/>
          <w:rFonts w:ascii="Calibri" w:hAnsi="Calibri"/>
          <w:b/>
          <w:sz w:val="24"/>
          <w:szCs w:val="24"/>
        </w:rPr>
        <w:t>Comments from Civil Society</w:t>
      </w:r>
    </w:p>
    <w:p w14:paraId="2CF8D596" w14:textId="77777777" w:rsidR="000B0757" w:rsidRPr="00772BC4" w:rsidRDefault="000B0757" w:rsidP="000B0757">
      <w:pPr>
        <w:pStyle w:val="SingleTxtG"/>
        <w:tabs>
          <w:tab w:val="right" w:pos="360"/>
        </w:tabs>
        <w:spacing w:line="240" w:lineRule="auto"/>
        <w:ind w:left="0" w:right="0"/>
        <w:rPr>
          <w:rStyle w:val="hps"/>
          <w:rFonts w:ascii="Calibri" w:hAnsi="Calibri"/>
          <w:sz w:val="22"/>
          <w:szCs w:val="22"/>
        </w:rPr>
      </w:pPr>
      <w:r w:rsidRPr="00772BC4">
        <w:rPr>
          <w:rFonts w:ascii="Calibri" w:hAnsi="Calibri"/>
          <w:bCs/>
          <w:i/>
          <w:sz w:val="22"/>
          <w:szCs w:val="22"/>
        </w:rPr>
        <w:t>…</w:t>
      </w:r>
    </w:p>
    <w:p w14:paraId="6126987B" w14:textId="77777777" w:rsidR="000B0757" w:rsidRPr="00065ED9" w:rsidRDefault="000B0757" w:rsidP="000B0757">
      <w:pPr>
        <w:pStyle w:val="SingleTxtG"/>
        <w:tabs>
          <w:tab w:val="right" w:pos="360"/>
        </w:tabs>
        <w:spacing w:line="240" w:lineRule="auto"/>
        <w:ind w:left="0" w:right="0"/>
        <w:rPr>
          <w:rFonts w:ascii="Calibri" w:hAnsi="Calibri"/>
          <w:b/>
          <w:sz w:val="24"/>
          <w:szCs w:val="24"/>
        </w:rPr>
      </w:pPr>
      <w:r w:rsidRPr="00065ED9">
        <w:rPr>
          <w:rFonts w:ascii="Calibri" w:hAnsi="Calibri"/>
          <w:b/>
          <w:sz w:val="24"/>
          <w:szCs w:val="24"/>
        </w:rPr>
        <w:t>Recommendations:</w:t>
      </w:r>
    </w:p>
    <w:p w14:paraId="20B4A158" w14:textId="77777777" w:rsidR="000B0757" w:rsidRPr="00772BC4" w:rsidRDefault="000B0757" w:rsidP="000B0757">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4C9E6DB5" w14:textId="77777777" w:rsidR="000B0757" w:rsidRPr="00772BC4" w:rsidRDefault="000B0757" w:rsidP="00DA7023">
      <w:pPr>
        <w:pStyle w:val="SingleTxtG"/>
        <w:numPr>
          <w:ilvl w:val="0"/>
          <w:numId w:val="11"/>
        </w:numPr>
        <w:spacing w:after="0" w:line="240" w:lineRule="auto"/>
        <w:ind w:left="709" w:right="0"/>
        <w:rPr>
          <w:rFonts w:ascii="Calibri" w:hAnsi="Calibri"/>
          <w:sz w:val="22"/>
          <w:szCs w:val="22"/>
        </w:rPr>
      </w:pPr>
      <w:r w:rsidRPr="00772BC4">
        <w:rPr>
          <w:rFonts w:ascii="Calibri" w:hAnsi="Calibri"/>
          <w:sz w:val="22"/>
          <w:szCs w:val="22"/>
        </w:rPr>
        <w:t>…</w:t>
      </w:r>
    </w:p>
    <w:p w14:paraId="74E39031" w14:textId="77777777" w:rsidR="000B0757" w:rsidRPr="00772BC4" w:rsidRDefault="000B0757" w:rsidP="00DA7023">
      <w:pPr>
        <w:pStyle w:val="SingleTxtG"/>
        <w:numPr>
          <w:ilvl w:val="0"/>
          <w:numId w:val="11"/>
        </w:numPr>
        <w:spacing w:after="0" w:line="240" w:lineRule="auto"/>
        <w:ind w:left="709" w:right="0"/>
        <w:rPr>
          <w:rFonts w:ascii="Calibri" w:hAnsi="Calibri"/>
          <w:sz w:val="22"/>
          <w:szCs w:val="22"/>
        </w:rPr>
      </w:pPr>
      <w:r w:rsidRPr="00772BC4">
        <w:rPr>
          <w:rFonts w:ascii="Calibri" w:hAnsi="Calibri"/>
          <w:sz w:val="22"/>
          <w:szCs w:val="22"/>
        </w:rPr>
        <w:t>…</w:t>
      </w:r>
    </w:p>
    <w:p w14:paraId="591FA707" w14:textId="77777777" w:rsidR="000B0757" w:rsidRPr="00772BC4" w:rsidRDefault="000B0757" w:rsidP="00DA7023">
      <w:pPr>
        <w:pStyle w:val="SingleTxtG"/>
        <w:numPr>
          <w:ilvl w:val="0"/>
          <w:numId w:val="11"/>
        </w:numPr>
        <w:spacing w:after="0" w:line="240" w:lineRule="auto"/>
        <w:ind w:left="709" w:right="0"/>
        <w:rPr>
          <w:rFonts w:ascii="Calibri" w:hAnsi="Calibri"/>
          <w:sz w:val="22"/>
          <w:szCs w:val="22"/>
        </w:rPr>
      </w:pPr>
      <w:r w:rsidRPr="00772BC4">
        <w:rPr>
          <w:rFonts w:ascii="Calibri" w:hAnsi="Calibri"/>
          <w:sz w:val="22"/>
          <w:szCs w:val="22"/>
        </w:rPr>
        <w:t>…</w:t>
      </w:r>
    </w:p>
    <w:p w14:paraId="72E991D2" w14:textId="77777777" w:rsidR="000B0757" w:rsidRDefault="000B0757" w:rsidP="000B0757">
      <w:pPr>
        <w:spacing w:after="0" w:line="240" w:lineRule="auto"/>
        <w:rPr>
          <w:rFonts w:eastAsia="Times New Roman"/>
          <w:lang w:val="en-GB"/>
        </w:rPr>
      </w:pPr>
    </w:p>
    <w:p w14:paraId="5FF6FE75" w14:textId="1FC58608" w:rsidR="00DA10C7" w:rsidRPr="00794AEC" w:rsidRDefault="00DA10C7" w:rsidP="00DA10C7">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i/>
          <w:sz w:val="18"/>
          <w:szCs w:val="18"/>
          <w:lang w:val="en-GB"/>
        </w:rPr>
      </w:pPr>
      <w:r w:rsidRPr="00794AEC">
        <w:rPr>
          <w:rFonts w:asciiTheme="majorHAnsi" w:hAnsiTheme="majorHAnsi"/>
          <w:b/>
          <w:color w:val="000000"/>
          <w:u w:val="single"/>
          <w:lang w:val="en-GB"/>
        </w:rPr>
        <w:t>Issue 4</w:t>
      </w:r>
      <w:r w:rsidRPr="00794AEC">
        <w:rPr>
          <w:rFonts w:asciiTheme="majorHAnsi" w:hAnsiTheme="majorHAnsi"/>
          <w:b/>
          <w:color w:val="000000"/>
          <w:lang w:val="en-GB"/>
        </w:rPr>
        <w:t>:</w:t>
      </w:r>
      <w:r w:rsidRPr="000B0757">
        <w:rPr>
          <w:rFonts w:asciiTheme="majorHAnsi" w:hAnsiTheme="majorHAnsi"/>
          <w:i/>
          <w:color w:val="000000"/>
          <w:sz w:val="20"/>
          <w:szCs w:val="20"/>
          <w:lang w:val="en-GB"/>
        </w:rPr>
        <w:t xml:space="preserve"> </w:t>
      </w:r>
      <w:r w:rsidRPr="00794AEC">
        <w:rPr>
          <w:rFonts w:asciiTheme="majorHAnsi" w:hAnsiTheme="majorHAnsi"/>
          <w:i/>
          <w:sz w:val="18"/>
          <w:szCs w:val="18"/>
          <w:lang w:val="en-GB"/>
        </w:rPr>
        <w:t>Please elaborate on measures taken to identify laws that directly and indirectly discriminate against women, with a view to revising such laws. Please provide information on the impact of the policies and programmes referred to in paragraph 52 of the State party’s report on achieving gender equality in practice, including on eradicating stereotypes regarding the role of women in the family and in society. Please also report on additional measures taken to enhance the representation of women in public and political life, including in legislative and executive bodies, especially in decision-making positions. Please provide information on the measures taken to eliminate discrimination against women, for example in the forthcoming 2019 Labour Code and in provisions concerning the retirement age</w:t>
      </w:r>
      <w:r w:rsidRPr="00794AEC">
        <w:rPr>
          <w:rFonts w:asciiTheme="majorHAnsi" w:hAnsiTheme="majorHAnsi"/>
          <w:i/>
          <w:sz w:val="18"/>
          <w:szCs w:val="18"/>
        </w:rPr>
        <w:t>.</w:t>
      </w:r>
    </w:p>
    <w:p w14:paraId="218CAE44" w14:textId="77777777" w:rsidR="00DA10C7" w:rsidRPr="00A320C3" w:rsidRDefault="00DA10C7" w:rsidP="00DA10C7">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2D061F6D" w14:textId="77777777" w:rsidR="00DA10C7" w:rsidRPr="00772BC4" w:rsidRDefault="00DA10C7" w:rsidP="00DA10C7">
      <w:pPr>
        <w:pStyle w:val="SingleTxtG"/>
        <w:tabs>
          <w:tab w:val="right" w:pos="360"/>
        </w:tabs>
        <w:spacing w:line="240" w:lineRule="auto"/>
        <w:ind w:left="0" w:right="0"/>
        <w:rPr>
          <w:rStyle w:val="hps"/>
          <w:rFonts w:ascii="Calibri" w:hAnsi="Calibri"/>
          <w:sz w:val="22"/>
          <w:szCs w:val="22"/>
        </w:rPr>
      </w:pPr>
      <w:r w:rsidRPr="00772BC4">
        <w:rPr>
          <w:rFonts w:ascii="Calibri" w:hAnsi="Calibri"/>
          <w:bCs/>
          <w:i/>
          <w:sz w:val="22"/>
          <w:szCs w:val="22"/>
        </w:rPr>
        <w:t>…</w:t>
      </w:r>
    </w:p>
    <w:p w14:paraId="5EF05F54" w14:textId="77777777" w:rsidR="00DA10C7" w:rsidRPr="00065ED9" w:rsidRDefault="00DA10C7" w:rsidP="00DA10C7">
      <w:pPr>
        <w:pStyle w:val="SingleTxtG"/>
        <w:tabs>
          <w:tab w:val="right" w:pos="360"/>
        </w:tabs>
        <w:spacing w:line="240" w:lineRule="auto"/>
        <w:ind w:left="0" w:right="0"/>
        <w:rPr>
          <w:rFonts w:ascii="Calibri" w:hAnsi="Calibri"/>
          <w:b/>
          <w:sz w:val="24"/>
          <w:szCs w:val="24"/>
        </w:rPr>
      </w:pPr>
      <w:r w:rsidRPr="00065ED9">
        <w:rPr>
          <w:rFonts w:ascii="Calibri" w:hAnsi="Calibri"/>
          <w:b/>
          <w:sz w:val="24"/>
          <w:szCs w:val="24"/>
        </w:rPr>
        <w:t>Recommendations:</w:t>
      </w:r>
    </w:p>
    <w:p w14:paraId="46860556" w14:textId="77777777" w:rsidR="00DA10C7" w:rsidRPr="00772BC4" w:rsidRDefault="00DA10C7" w:rsidP="00DA10C7">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E879CB2" w14:textId="77777777" w:rsidR="00DA10C7" w:rsidRPr="00772BC4" w:rsidRDefault="00DA10C7" w:rsidP="00DA7023">
      <w:pPr>
        <w:pStyle w:val="SingleTxtG"/>
        <w:numPr>
          <w:ilvl w:val="0"/>
          <w:numId w:val="12"/>
        </w:numPr>
        <w:spacing w:after="0" w:line="240" w:lineRule="auto"/>
        <w:ind w:left="709" w:right="0"/>
        <w:rPr>
          <w:rFonts w:ascii="Calibri" w:hAnsi="Calibri"/>
          <w:sz w:val="22"/>
          <w:szCs w:val="22"/>
        </w:rPr>
      </w:pPr>
      <w:r w:rsidRPr="00772BC4">
        <w:rPr>
          <w:rFonts w:ascii="Calibri" w:hAnsi="Calibri"/>
          <w:sz w:val="22"/>
          <w:szCs w:val="22"/>
        </w:rPr>
        <w:t>…</w:t>
      </w:r>
    </w:p>
    <w:p w14:paraId="53931415" w14:textId="77777777" w:rsidR="00DA10C7" w:rsidRPr="00772BC4" w:rsidRDefault="00DA10C7" w:rsidP="00DA7023">
      <w:pPr>
        <w:pStyle w:val="SingleTxtG"/>
        <w:numPr>
          <w:ilvl w:val="0"/>
          <w:numId w:val="12"/>
        </w:numPr>
        <w:spacing w:after="0" w:line="240" w:lineRule="auto"/>
        <w:ind w:left="709" w:right="0"/>
        <w:rPr>
          <w:rFonts w:ascii="Calibri" w:hAnsi="Calibri"/>
          <w:sz w:val="22"/>
          <w:szCs w:val="22"/>
        </w:rPr>
      </w:pPr>
      <w:r w:rsidRPr="00772BC4">
        <w:rPr>
          <w:rFonts w:ascii="Calibri" w:hAnsi="Calibri"/>
          <w:sz w:val="22"/>
          <w:szCs w:val="22"/>
        </w:rPr>
        <w:t>…</w:t>
      </w:r>
    </w:p>
    <w:p w14:paraId="4C76450A" w14:textId="77777777" w:rsidR="00DA10C7" w:rsidRPr="00772BC4" w:rsidRDefault="00DA10C7" w:rsidP="00DA7023">
      <w:pPr>
        <w:pStyle w:val="SingleTxtG"/>
        <w:numPr>
          <w:ilvl w:val="0"/>
          <w:numId w:val="12"/>
        </w:numPr>
        <w:spacing w:after="0" w:line="240" w:lineRule="auto"/>
        <w:ind w:left="709" w:right="0"/>
        <w:rPr>
          <w:rFonts w:ascii="Calibri" w:hAnsi="Calibri"/>
          <w:sz w:val="22"/>
          <w:szCs w:val="22"/>
        </w:rPr>
      </w:pPr>
      <w:r w:rsidRPr="00772BC4">
        <w:rPr>
          <w:rFonts w:ascii="Calibri" w:hAnsi="Calibri"/>
          <w:sz w:val="22"/>
          <w:szCs w:val="22"/>
        </w:rPr>
        <w:t>…</w:t>
      </w:r>
    </w:p>
    <w:p w14:paraId="515C60B6" w14:textId="77777777" w:rsidR="00DA10C7" w:rsidRPr="00772BC4" w:rsidRDefault="00DA10C7" w:rsidP="000B0757">
      <w:pPr>
        <w:spacing w:after="0" w:line="240" w:lineRule="auto"/>
        <w:rPr>
          <w:rFonts w:eastAsia="Times New Roman"/>
          <w:lang w:val="en-GB"/>
        </w:rPr>
      </w:pPr>
    </w:p>
    <w:p w14:paraId="3EF8E9BB" w14:textId="3FDC2D78" w:rsidR="00DA10C7" w:rsidRPr="00BE7654" w:rsidRDefault="00DA10C7" w:rsidP="00DA10C7">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i/>
          <w:sz w:val="18"/>
          <w:szCs w:val="18"/>
          <w:lang w:val="en-GB"/>
        </w:rPr>
      </w:pPr>
      <w:r w:rsidRPr="00BE7654">
        <w:rPr>
          <w:rFonts w:asciiTheme="majorHAnsi" w:hAnsiTheme="majorHAnsi"/>
          <w:b/>
          <w:color w:val="000000"/>
          <w:u w:val="single"/>
          <w:lang w:val="en-GB"/>
        </w:rPr>
        <w:t xml:space="preserve">Issue </w:t>
      </w:r>
      <w:r w:rsidR="003439BB" w:rsidRPr="00BE7654">
        <w:rPr>
          <w:rFonts w:asciiTheme="majorHAnsi" w:hAnsiTheme="majorHAnsi"/>
          <w:b/>
          <w:color w:val="000000"/>
          <w:u w:val="single"/>
          <w:lang w:val="en-GB"/>
        </w:rPr>
        <w:t>5</w:t>
      </w:r>
      <w:r w:rsidRPr="00BE7654">
        <w:rPr>
          <w:rFonts w:asciiTheme="majorHAnsi" w:hAnsiTheme="majorHAnsi"/>
          <w:b/>
          <w:color w:val="000000"/>
          <w:lang w:val="en-GB"/>
        </w:rPr>
        <w:t>:</w:t>
      </w:r>
      <w:r w:rsidRPr="000B0757">
        <w:rPr>
          <w:rFonts w:asciiTheme="majorHAnsi" w:hAnsiTheme="majorHAnsi"/>
          <w:i/>
          <w:color w:val="000000"/>
          <w:sz w:val="20"/>
          <w:szCs w:val="20"/>
          <w:lang w:val="en-GB"/>
        </w:rPr>
        <w:t xml:space="preserve"> </w:t>
      </w:r>
      <w:r w:rsidR="003439BB" w:rsidRPr="00BE7654">
        <w:rPr>
          <w:rFonts w:asciiTheme="majorHAnsi" w:hAnsiTheme="majorHAnsi"/>
          <w:i/>
          <w:sz w:val="18"/>
          <w:szCs w:val="18"/>
          <w:lang w:val="en-GB"/>
        </w:rPr>
        <w:t>With reference to paragraphs 190–191 of the State party’s report, please clarify whether hate speech is prohibited by law and the measures taken to investigate, prosecute and, if convicted, punish members of organizations, such as the “Red Flag Associations”, or others involved in propaganda activities that promote and incite religious discrimination, violence and hate speech</w:t>
      </w:r>
      <w:r w:rsidRPr="00BE7654">
        <w:rPr>
          <w:rFonts w:asciiTheme="majorHAnsi" w:hAnsiTheme="majorHAnsi"/>
          <w:i/>
          <w:sz w:val="18"/>
          <w:szCs w:val="18"/>
        </w:rPr>
        <w:t>.</w:t>
      </w:r>
    </w:p>
    <w:p w14:paraId="6E2B77E2" w14:textId="77777777" w:rsidR="00DA10C7" w:rsidRPr="00A320C3" w:rsidRDefault="00DA10C7" w:rsidP="00DA10C7">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14A307D9" w14:textId="77777777" w:rsidR="00DA10C7" w:rsidRPr="00772BC4" w:rsidRDefault="00DA10C7" w:rsidP="00DA10C7">
      <w:pPr>
        <w:pStyle w:val="SingleTxtG"/>
        <w:tabs>
          <w:tab w:val="right" w:pos="360"/>
        </w:tabs>
        <w:spacing w:line="240" w:lineRule="auto"/>
        <w:ind w:left="0" w:right="0"/>
        <w:rPr>
          <w:rStyle w:val="hps"/>
          <w:rFonts w:ascii="Calibri" w:hAnsi="Calibri"/>
          <w:sz w:val="22"/>
          <w:szCs w:val="22"/>
        </w:rPr>
      </w:pPr>
      <w:r w:rsidRPr="00772BC4">
        <w:rPr>
          <w:rFonts w:ascii="Calibri" w:hAnsi="Calibri"/>
          <w:bCs/>
          <w:i/>
          <w:sz w:val="22"/>
          <w:szCs w:val="22"/>
        </w:rPr>
        <w:t>…</w:t>
      </w:r>
    </w:p>
    <w:p w14:paraId="4D70D54A" w14:textId="77777777" w:rsidR="00DA10C7" w:rsidRPr="00065ED9" w:rsidRDefault="00DA10C7" w:rsidP="00DA10C7">
      <w:pPr>
        <w:pStyle w:val="SingleTxtG"/>
        <w:tabs>
          <w:tab w:val="right" w:pos="360"/>
        </w:tabs>
        <w:spacing w:line="240" w:lineRule="auto"/>
        <w:ind w:left="0" w:right="0"/>
        <w:rPr>
          <w:rFonts w:ascii="Calibri" w:hAnsi="Calibri"/>
          <w:b/>
          <w:sz w:val="24"/>
          <w:szCs w:val="24"/>
        </w:rPr>
      </w:pPr>
      <w:r w:rsidRPr="00065ED9">
        <w:rPr>
          <w:rFonts w:ascii="Calibri" w:hAnsi="Calibri"/>
          <w:b/>
          <w:sz w:val="24"/>
          <w:szCs w:val="24"/>
        </w:rPr>
        <w:t>Recommendations:</w:t>
      </w:r>
    </w:p>
    <w:p w14:paraId="7CB36054" w14:textId="77777777" w:rsidR="00DA10C7" w:rsidRPr="00772BC4" w:rsidRDefault="00DA10C7" w:rsidP="00DA10C7">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8837EAA" w14:textId="77777777" w:rsidR="00DA10C7" w:rsidRPr="00772BC4" w:rsidRDefault="00DA10C7" w:rsidP="00DA7023">
      <w:pPr>
        <w:pStyle w:val="SingleTxtG"/>
        <w:numPr>
          <w:ilvl w:val="0"/>
          <w:numId w:val="13"/>
        </w:numPr>
        <w:spacing w:after="0" w:line="240" w:lineRule="auto"/>
        <w:ind w:left="709" w:right="0"/>
        <w:rPr>
          <w:rFonts w:ascii="Calibri" w:hAnsi="Calibri"/>
          <w:sz w:val="22"/>
          <w:szCs w:val="22"/>
        </w:rPr>
      </w:pPr>
      <w:r w:rsidRPr="00772BC4">
        <w:rPr>
          <w:rFonts w:ascii="Calibri" w:hAnsi="Calibri"/>
          <w:sz w:val="22"/>
          <w:szCs w:val="22"/>
        </w:rPr>
        <w:t>…</w:t>
      </w:r>
    </w:p>
    <w:p w14:paraId="379EF4E2" w14:textId="77777777" w:rsidR="00DA10C7" w:rsidRPr="00772BC4" w:rsidRDefault="00DA10C7" w:rsidP="00DA7023">
      <w:pPr>
        <w:pStyle w:val="SingleTxtG"/>
        <w:numPr>
          <w:ilvl w:val="0"/>
          <w:numId w:val="13"/>
        </w:numPr>
        <w:spacing w:after="0" w:line="240" w:lineRule="auto"/>
        <w:ind w:left="709" w:right="0"/>
        <w:rPr>
          <w:rFonts w:ascii="Calibri" w:hAnsi="Calibri"/>
          <w:sz w:val="22"/>
          <w:szCs w:val="22"/>
        </w:rPr>
      </w:pPr>
      <w:r w:rsidRPr="00772BC4">
        <w:rPr>
          <w:rFonts w:ascii="Calibri" w:hAnsi="Calibri"/>
          <w:sz w:val="22"/>
          <w:szCs w:val="22"/>
        </w:rPr>
        <w:t>…</w:t>
      </w:r>
    </w:p>
    <w:p w14:paraId="6825539F" w14:textId="77777777" w:rsidR="00DA10C7" w:rsidRPr="00772BC4" w:rsidRDefault="00DA10C7" w:rsidP="00DA7023">
      <w:pPr>
        <w:pStyle w:val="SingleTxtG"/>
        <w:numPr>
          <w:ilvl w:val="0"/>
          <w:numId w:val="13"/>
        </w:numPr>
        <w:spacing w:after="0" w:line="240" w:lineRule="auto"/>
        <w:ind w:left="709" w:right="0"/>
        <w:rPr>
          <w:rFonts w:ascii="Calibri" w:hAnsi="Calibri"/>
          <w:sz w:val="22"/>
          <w:szCs w:val="22"/>
        </w:rPr>
      </w:pPr>
      <w:r w:rsidRPr="00772BC4">
        <w:rPr>
          <w:rFonts w:ascii="Calibri" w:hAnsi="Calibri"/>
          <w:sz w:val="22"/>
          <w:szCs w:val="22"/>
        </w:rPr>
        <w:t>…</w:t>
      </w:r>
    </w:p>
    <w:p w14:paraId="7B05EC93" w14:textId="77777777" w:rsidR="00DA10C7" w:rsidRPr="00772BC4" w:rsidRDefault="00DA10C7" w:rsidP="00DA10C7">
      <w:pPr>
        <w:spacing w:after="0" w:line="240" w:lineRule="auto"/>
        <w:rPr>
          <w:rFonts w:eastAsia="Times New Roman"/>
          <w:lang w:val="en-GB"/>
        </w:rPr>
      </w:pPr>
    </w:p>
    <w:p w14:paraId="2B4D06B8" w14:textId="77777777" w:rsidR="00AA64DB" w:rsidRPr="00772BC4" w:rsidRDefault="00AA64DB" w:rsidP="00772BC4">
      <w:pPr>
        <w:pStyle w:val="SingleTxtG"/>
        <w:spacing w:after="0" w:line="240" w:lineRule="auto"/>
        <w:ind w:left="0" w:right="0"/>
        <w:rPr>
          <w:rFonts w:ascii="Calibri" w:hAnsi="Calibri"/>
          <w:sz w:val="22"/>
          <w:szCs w:val="22"/>
        </w:rPr>
      </w:pPr>
    </w:p>
    <w:p w14:paraId="7E7D7809" w14:textId="04D4B529" w:rsidR="00AA64DB" w:rsidRPr="00AA64DB" w:rsidRDefault="003439BB" w:rsidP="00AA64DB">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Violence against</w:t>
      </w:r>
      <w:r w:rsidR="00AA64DB" w:rsidRPr="00AA64DB">
        <w:rPr>
          <w:b/>
          <w:sz w:val="28"/>
          <w:szCs w:val="28"/>
          <w:u w:val="single"/>
        </w:rPr>
        <w:t xml:space="preserve"> women</w:t>
      </w:r>
      <w:r w:rsidR="00AA64DB" w:rsidRPr="00AA64DB">
        <w:rPr>
          <w:rFonts w:eastAsia="Malgun Gothic"/>
          <w:b/>
          <w:sz w:val="28"/>
          <w:szCs w:val="28"/>
          <w:u w:val="single"/>
        </w:rPr>
        <w:t xml:space="preserve"> (art</w:t>
      </w:r>
      <w:r w:rsidR="00AA64DB" w:rsidRPr="00AA64DB">
        <w:rPr>
          <w:rFonts w:eastAsia="Malgun Gothic" w:hint="eastAsia"/>
          <w:b/>
          <w:sz w:val="28"/>
          <w:szCs w:val="28"/>
          <w:u w:val="single"/>
        </w:rPr>
        <w:t>s</w:t>
      </w:r>
      <w:r w:rsidR="00AA64DB" w:rsidRPr="00AA64DB">
        <w:rPr>
          <w:rFonts w:eastAsia="Malgun Gothic"/>
          <w:b/>
          <w:sz w:val="28"/>
          <w:szCs w:val="28"/>
          <w:u w:val="single"/>
        </w:rPr>
        <w:t>. 2, 3</w:t>
      </w:r>
      <w:r>
        <w:rPr>
          <w:rFonts w:eastAsia="Malgun Gothic"/>
          <w:b/>
          <w:sz w:val="28"/>
          <w:szCs w:val="28"/>
          <w:u w:val="single"/>
        </w:rPr>
        <w:t>, 6, 7</w:t>
      </w:r>
      <w:r w:rsidR="00AA64DB" w:rsidRPr="00AA64DB">
        <w:rPr>
          <w:rFonts w:eastAsia="Malgun Gothic"/>
          <w:b/>
          <w:sz w:val="28"/>
          <w:szCs w:val="28"/>
          <w:u w:val="single"/>
        </w:rPr>
        <w:t xml:space="preserve"> and </w:t>
      </w:r>
      <w:r w:rsidR="00AA64DB" w:rsidRPr="00AA64DB">
        <w:rPr>
          <w:b/>
          <w:sz w:val="28"/>
          <w:szCs w:val="28"/>
          <w:u w:val="single"/>
          <w:lang w:val="en-GB"/>
        </w:rPr>
        <w:t>26)</w:t>
      </w:r>
    </w:p>
    <w:p w14:paraId="61A86C3D" w14:textId="50E04F3A" w:rsidR="003B79EC" w:rsidRPr="00BE7654" w:rsidRDefault="003B79EC" w:rsidP="003B79EC">
      <w:pPr>
        <w:pStyle w:val="LightGrid-Accent31"/>
        <w:pBdr>
          <w:top w:val="single" w:sz="4" w:space="1" w:color="auto"/>
          <w:left w:val="single" w:sz="4" w:space="1" w:color="auto"/>
          <w:bottom w:val="single" w:sz="4" w:space="1" w:color="auto"/>
          <w:right w:val="single" w:sz="4" w:space="4" w:color="auto"/>
        </w:pBdr>
        <w:spacing w:after="120" w:line="240" w:lineRule="auto"/>
        <w:ind w:left="0" w:right="26"/>
        <w:contextualSpacing w:val="0"/>
        <w:jc w:val="both"/>
        <w:rPr>
          <w:i/>
          <w:sz w:val="18"/>
          <w:szCs w:val="18"/>
          <w:lang w:val="en-GB"/>
        </w:rPr>
      </w:pPr>
      <w:r w:rsidRPr="00BE7654">
        <w:rPr>
          <w:b/>
          <w:color w:val="000000"/>
          <w:u w:val="single"/>
          <w:lang w:val="en-GB" w:eastAsia="fr-FR"/>
        </w:rPr>
        <w:t xml:space="preserve">Issue </w:t>
      </w:r>
      <w:r w:rsidR="003439BB" w:rsidRPr="00BE7654">
        <w:rPr>
          <w:b/>
          <w:color w:val="000000"/>
          <w:u w:val="single"/>
          <w:lang w:val="en-GB" w:eastAsia="fr-FR"/>
        </w:rPr>
        <w:t>6</w:t>
      </w:r>
      <w:r w:rsidRPr="00BE7654">
        <w:rPr>
          <w:b/>
          <w:color w:val="000000"/>
          <w:lang w:val="en-GB" w:eastAsia="fr-FR"/>
        </w:rPr>
        <w:t>:</w:t>
      </w:r>
      <w:r w:rsidRPr="003B79EC">
        <w:rPr>
          <w:color w:val="000000"/>
          <w:sz w:val="20"/>
          <w:szCs w:val="20"/>
          <w:lang w:val="en-GB" w:eastAsia="fr-FR"/>
        </w:rPr>
        <w:t xml:space="preserve"> </w:t>
      </w:r>
      <w:r w:rsidR="003439BB" w:rsidRPr="00BE7654">
        <w:rPr>
          <w:rFonts w:asciiTheme="majorHAnsi" w:hAnsiTheme="majorHAnsi"/>
          <w:i/>
          <w:sz w:val="18"/>
          <w:szCs w:val="18"/>
          <w:lang w:val="en-GB"/>
        </w:rPr>
        <w:t>With reference to paragraph 14 of the Committee’s previous concluding observations and paragraphs 59–60 of the State party’s report, please provide information on additional measures taken to combat violence against women, including domestic violence, particularly regarding (a) promoting a better understanding of the 2007 Law on Domestic Violence Prevention and Control of Violence and raising awareness among women of their rights and existing avenues for seeking assistance and protection; (b) encouraging the reporting of cases of domestic violence and the removal of all direct or indirect barriers to such reporting; and (c) prompt and effective investigation of cases of violence against women, the appropriate punishment of perpetrators and the provision of adequate remedies to victims. Please also provide information on the measures taken to prevent and combat sexual violence against women and on the steps taken towards criminalizing marital rape</w:t>
      </w:r>
      <w:r w:rsidRPr="00BE7654">
        <w:rPr>
          <w:rFonts w:asciiTheme="majorHAnsi" w:hAnsiTheme="majorHAnsi"/>
          <w:i/>
          <w:sz w:val="18"/>
          <w:szCs w:val="18"/>
          <w:lang w:eastAsia="ja-JP"/>
        </w:rPr>
        <w:t>.</w:t>
      </w:r>
    </w:p>
    <w:p w14:paraId="154D44A4" w14:textId="77777777" w:rsidR="003B79EC" w:rsidRPr="00424376" w:rsidRDefault="003B79EC" w:rsidP="003B79EC">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504F114F" w14:textId="77777777" w:rsidR="003B79EC" w:rsidRPr="00772BC4" w:rsidRDefault="003B79EC" w:rsidP="003B79EC">
      <w:pPr>
        <w:spacing w:after="120" w:line="240" w:lineRule="auto"/>
        <w:jc w:val="both"/>
        <w:rPr>
          <w:rStyle w:val="hps"/>
          <w:lang w:val="en-GB"/>
        </w:rPr>
      </w:pPr>
      <w:r w:rsidRPr="00772BC4">
        <w:rPr>
          <w:rStyle w:val="hps"/>
          <w:rFonts w:eastAsia="Times New Roman"/>
          <w:lang w:val="en-GB"/>
        </w:rPr>
        <w:t>…</w:t>
      </w:r>
    </w:p>
    <w:p w14:paraId="0457D35A" w14:textId="77777777" w:rsidR="003B79EC" w:rsidRPr="00424376" w:rsidRDefault="003B79EC" w:rsidP="003B79EC">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lastRenderedPageBreak/>
        <w:t>Recommendations:</w:t>
      </w:r>
    </w:p>
    <w:p w14:paraId="3853DA65" w14:textId="77777777" w:rsidR="003B79EC" w:rsidRPr="00772BC4" w:rsidRDefault="003B79EC" w:rsidP="00772BC4">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3EE1F19" w14:textId="77777777" w:rsidR="003B79EC" w:rsidRPr="00772BC4" w:rsidRDefault="003B79EC" w:rsidP="00DA7023">
      <w:pPr>
        <w:numPr>
          <w:ilvl w:val="0"/>
          <w:numId w:val="10"/>
        </w:numPr>
        <w:spacing w:after="0" w:line="240" w:lineRule="auto"/>
      </w:pPr>
      <w:r w:rsidRPr="00772BC4">
        <w:rPr>
          <w:rFonts w:eastAsia="Times New Roman"/>
          <w:lang w:val="en-GB"/>
        </w:rPr>
        <w:t>…</w:t>
      </w:r>
    </w:p>
    <w:p w14:paraId="612BC3B8" w14:textId="77777777" w:rsidR="003B79EC" w:rsidRPr="00772BC4" w:rsidRDefault="003B79EC" w:rsidP="00DA7023">
      <w:pPr>
        <w:numPr>
          <w:ilvl w:val="0"/>
          <w:numId w:val="10"/>
        </w:numPr>
        <w:spacing w:after="0" w:line="240" w:lineRule="auto"/>
        <w:ind w:left="714" w:hanging="357"/>
      </w:pPr>
      <w:r w:rsidRPr="00772BC4">
        <w:rPr>
          <w:rFonts w:eastAsia="Times New Roman"/>
          <w:lang w:val="en-GB"/>
        </w:rPr>
        <w:t>…</w:t>
      </w:r>
    </w:p>
    <w:p w14:paraId="6700482D" w14:textId="77777777" w:rsidR="003B79EC" w:rsidRPr="00772BC4" w:rsidRDefault="003B79EC" w:rsidP="00DA7023">
      <w:pPr>
        <w:numPr>
          <w:ilvl w:val="0"/>
          <w:numId w:val="10"/>
        </w:numPr>
        <w:spacing w:after="0" w:line="240" w:lineRule="auto"/>
        <w:ind w:left="714" w:hanging="357"/>
      </w:pPr>
      <w:r w:rsidRPr="00772BC4">
        <w:rPr>
          <w:rFonts w:eastAsia="Times New Roman"/>
          <w:lang w:val="en-GB"/>
        </w:rPr>
        <w:t>…</w:t>
      </w:r>
    </w:p>
    <w:p w14:paraId="675FB63C" w14:textId="77777777" w:rsidR="003B79EC" w:rsidRPr="00772BC4" w:rsidRDefault="003B79EC" w:rsidP="00772BC4">
      <w:pPr>
        <w:pStyle w:val="SingleTxtG"/>
        <w:spacing w:after="0" w:line="240" w:lineRule="auto"/>
        <w:ind w:left="0" w:right="0"/>
        <w:rPr>
          <w:rFonts w:ascii="Calibri" w:hAnsi="Calibri"/>
          <w:sz w:val="22"/>
          <w:szCs w:val="22"/>
        </w:rPr>
      </w:pPr>
    </w:p>
    <w:p w14:paraId="6B49F95C" w14:textId="77777777" w:rsidR="006B20E4" w:rsidRPr="00772BC4" w:rsidRDefault="006B20E4" w:rsidP="00772BC4">
      <w:pPr>
        <w:pStyle w:val="SingleTxtG"/>
        <w:spacing w:after="0" w:line="240" w:lineRule="auto"/>
        <w:ind w:left="0" w:right="0"/>
        <w:rPr>
          <w:rFonts w:ascii="Calibri" w:hAnsi="Calibri"/>
          <w:sz w:val="22"/>
          <w:szCs w:val="22"/>
        </w:rPr>
      </w:pPr>
    </w:p>
    <w:p w14:paraId="441C16E1" w14:textId="018B6B65" w:rsidR="00AA64DB" w:rsidRPr="00AA64DB" w:rsidRDefault="003439BB" w:rsidP="00AA64DB">
      <w:pPr>
        <w:pStyle w:val="LightGrid-Accent31"/>
        <w:numPr>
          <w:ilvl w:val="1"/>
          <w:numId w:val="2"/>
        </w:numPr>
        <w:spacing w:after="120" w:line="240" w:lineRule="auto"/>
        <w:ind w:left="426"/>
        <w:contextualSpacing w:val="0"/>
        <w:jc w:val="both"/>
        <w:rPr>
          <w:b/>
          <w:sz w:val="28"/>
          <w:szCs w:val="28"/>
          <w:lang w:val="en-GB"/>
        </w:rPr>
      </w:pPr>
      <w:r>
        <w:rPr>
          <w:b/>
          <w:sz w:val="28"/>
          <w:szCs w:val="28"/>
          <w:u w:val="single"/>
          <w:lang w:val="en-GB"/>
        </w:rPr>
        <w:t>State of emergency and counter-terrorism measures</w:t>
      </w:r>
      <w:r w:rsidR="00AA64DB">
        <w:rPr>
          <w:b/>
          <w:sz w:val="28"/>
          <w:szCs w:val="28"/>
          <w:u w:val="single"/>
          <w:lang w:val="en-GB"/>
        </w:rPr>
        <w:t xml:space="preserve"> (art</w:t>
      </w:r>
      <w:r>
        <w:rPr>
          <w:b/>
          <w:sz w:val="28"/>
          <w:szCs w:val="28"/>
          <w:u w:val="single"/>
          <w:lang w:val="en-GB"/>
        </w:rPr>
        <w:t>s. 2, 4, 7, 9 and 14</w:t>
      </w:r>
      <w:r w:rsidR="00AA64DB" w:rsidRPr="00424376">
        <w:rPr>
          <w:b/>
          <w:sz w:val="28"/>
          <w:szCs w:val="28"/>
          <w:u w:val="single"/>
          <w:lang w:val="en-GB"/>
        </w:rPr>
        <w:t>)</w:t>
      </w:r>
    </w:p>
    <w:p w14:paraId="0DD61AEE" w14:textId="0881A8A5" w:rsidR="00D4085D" w:rsidRPr="00BE7654" w:rsidRDefault="006B20E4" w:rsidP="006562C9">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sz w:val="18"/>
          <w:szCs w:val="18"/>
          <w:lang w:val="en-GB"/>
        </w:rPr>
      </w:pPr>
      <w:r w:rsidRPr="00BE7654">
        <w:rPr>
          <w:b/>
          <w:color w:val="000000"/>
          <w:u w:val="single"/>
          <w:lang w:val="en-GB"/>
        </w:rPr>
        <w:t xml:space="preserve">Issue </w:t>
      </w:r>
      <w:r w:rsidR="003439BB" w:rsidRPr="00BE7654">
        <w:rPr>
          <w:b/>
          <w:color w:val="000000"/>
          <w:u w:val="single"/>
          <w:lang w:val="en-GB"/>
        </w:rPr>
        <w:t>7</w:t>
      </w:r>
      <w:r w:rsidRPr="00BE7654">
        <w:rPr>
          <w:color w:val="000000"/>
          <w:lang w:val="en-GB"/>
        </w:rPr>
        <w:t>:</w:t>
      </w:r>
      <w:r w:rsidRPr="003B79EC">
        <w:rPr>
          <w:color w:val="000000"/>
          <w:sz w:val="20"/>
          <w:szCs w:val="20"/>
          <w:lang w:val="en-GB"/>
        </w:rPr>
        <w:t xml:space="preserve"> </w:t>
      </w:r>
      <w:r w:rsidR="003439BB" w:rsidRPr="00BE7654">
        <w:rPr>
          <w:rFonts w:asciiTheme="majorHAnsi" w:hAnsiTheme="majorHAnsi"/>
          <w:i/>
          <w:sz w:val="18"/>
          <w:szCs w:val="18"/>
          <w:lang w:val="en-GB"/>
        </w:rPr>
        <w:t>With reference to paragraph 61 of the State party’s report, please provide information on the compliance of the existing regulations governing states of emergency with article 4 of the Covenant, clarifying in particular whether derogations from non-</w:t>
      </w:r>
      <w:proofErr w:type="spellStart"/>
      <w:r w:rsidR="003439BB" w:rsidRPr="00BE7654">
        <w:rPr>
          <w:rFonts w:asciiTheme="majorHAnsi" w:hAnsiTheme="majorHAnsi"/>
          <w:i/>
          <w:sz w:val="18"/>
          <w:szCs w:val="18"/>
          <w:lang w:val="en-GB"/>
        </w:rPr>
        <w:t>derogable</w:t>
      </w:r>
      <w:proofErr w:type="spellEnd"/>
      <w:r w:rsidR="003439BB" w:rsidRPr="00BE7654">
        <w:rPr>
          <w:rFonts w:asciiTheme="majorHAnsi" w:hAnsiTheme="majorHAnsi"/>
          <w:i/>
          <w:sz w:val="18"/>
          <w:szCs w:val="18"/>
          <w:lang w:val="en-GB"/>
        </w:rPr>
        <w:t xml:space="preserve"> provisions of the Covenant during states of emergency are explicitly prohibited. With reference to paragraph 62 of the State party’s report, please provide further information on the counter-terrorism legal framework, including the definition of terrorism and terrorist activities and the legal safeguards for persons suspected of or charged with terrorist activities or related crimes. Please also elaborate on (a) the concept of “preparation for the commitment of terrorism” (arts. 113 and 299 of the Penal Code)</w:t>
      </w:r>
      <w:proofErr w:type="gramStart"/>
      <w:r w:rsidR="003439BB" w:rsidRPr="00BE7654">
        <w:rPr>
          <w:rFonts w:asciiTheme="majorHAnsi" w:hAnsiTheme="majorHAnsi"/>
          <w:i/>
          <w:sz w:val="18"/>
          <w:szCs w:val="18"/>
          <w:lang w:val="en-GB"/>
        </w:rPr>
        <w:t>;</w:t>
      </w:r>
      <w:proofErr w:type="gramEnd"/>
      <w:r w:rsidR="003439BB" w:rsidRPr="00BE7654">
        <w:rPr>
          <w:rFonts w:asciiTheme="majorHAnsi" w:hAnsiTheme="majorHAnsi"/>
          <w:i/>
          <w:sz w:val="18"/>
          <w:szCs w:val="18"/>
          <w:lang w:val="en-GB"/>
        </w:rPr>
        <w:t xml:space="preserve"> and (b) the difference between “terrorism to oppose the people’s Government” (art. 113 of the Penal Code) and “terrorism” (art. 299 of the Penal Code). Please provide information on cases in which terrorist activities have constituted the legal grounds for prosecution and the outcome of those cases</w:t>
      </w:r>
      <w:r w:rsidR="00CA6109" w:rsidRPr="00BE7654">
        <w:rPr>
          <w:rFonts w:asciiTheme="majorHAnsi" w:hAnsiTheme="majorHAnsi"/>
          <w:i/>
          <w:sz w:val="18"/>
          <w:szCs w:val="18"/>
        </w:rPr>
        <w:t>.</w:t>
      </w:r>
    </w:p>
    <w:p w14:paraId="69D3C405" w14:textId="77777777" w:rsidR="006B20E4" w:rsidRPr="00424376" w:rsidRDefault="001D2E7B" w:rsidP="006562C9">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006B20E4" w:rsidRPr="00424376">
        <w:rPr>
          <w:rStyle w:val="hps"/>
          <w:rFonts w:ascii="Calibri" w:hAnsi="Calibri"/>
          <w:b/>
          <w:sz w:val="24"/>
          <w:szCs w:val="24"/>
        </w:rPr>
        <w:t>Comments from Civil Society</w:t>
      </w:r>
    </w:p>
    <w:p w14:paraId="7C13F06B" w14:textId="77777777" w:rsidR="004264E9" w:rsidRPr="00772BC4" w:rsidRDefault="001D2E7B" w:rsidP="00532009">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23FB3BB3" w14:textId="77777777" w:rsidR="006B20E4" w:rsidRPr="00424376" w:rsidRDefault="006B20E4" w:rsidP="00532009">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782DFB32" w14:textId="77777777" w:rsidR="006B20E4" w:rsidRPr="00772BC4" w:rsidRDefault="006B20E4" w:rsidP="00772BC4">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70A9DB6" w14:textId="77777777" w:rsidR="00661735" w:rsidRDefault="001D2E7B" w:rsidP="00772BC4">
      <w:pPr>
        <w:pStyle w:val="SingleTxtG"/>
        <w:numPr>
          <w:ilvl w:val="0"/>
          <w:numId w:val="5"/>
        </w:numPr>
        <w:spacing w:after="0" w:line="240" w:lineRule="auto"/>
        <w:ind w:right="0"/>
        <w:rPr>
          <w:rFonts w:ascii="Calibri" w:hAnsi="Calibri"/>
          <w:sz w:val="22"/>
          <w:szCs w:val="22"/>
        </w:rPr>
      </w:pPr>
      <w:r w:rsidRPr="00772BC4">
        <w:rPr>
          <w:rFonts w:ascii="Calibri" w:hAnsi="Calibri"/>
          <w:sz w:val="22"/>
          <w:szCs w:val="22"/>
        </w:rPr>
        <w:t>…</w:t>
      </w:r>
    </w:p>
    <w:p w14:paraId="48AA75C4" w14:textId="048978B4" w:rsidR="003439BB" w:rsidRDefault="003439BB" w:rsidP="00772BC4">
      <w:pPr>
        <w:pStyle w:val="SingleTxtG"/>
        <w:numPr>
          <w:ilvl w:val="0"/>
          <w:numId w:val="5"/>
        </w:numPr>
        <w:spacing w:after="0" w:line="240" w:lineRule="auto"/>
        <w:ind w:right="0"/>
        <w:rPr>
          <w:rFonts w:ascii="Calibri" w:hAnsi="Calibri"/>
          <w:sz w:val="22"/>
          <w:szCs w:val="22"/>
        </w:rPr>
      </w:pPr>
      <w:r>
        <w:rPr>
          <w:rFonts w:ascii="Calibri" w:hAnsi="Calibri"/>
          <w:sz w:val="22"/>
          <w:szCs w:val="22"/>
        </w:rPr>
        <w:t>…</w:t>
      </w:r>
    </w:p>
    <w:p w14:paraId="28E831D6" w14:textId="7DC67081" w:rsidR="003439BB" w:rsidRPr="00772BC4" w:rsidRDefault="003439BB" w:rsidP="00772BC4">
      <w:pPr>
        <w:pStyle w:val="SingleTxtG"/>
        <w:numPr>
          <w:ilvl w:val="0"/>
          <w:numId w:val="5"/>
        </w:numPr>
        <w:spacing w:after="0" w:line="240" w:lineRule="auto"/>
        <w:ind w:right="0"/>
        <w:rPr>
          <w:rFonts w:ascii="Calibri" w:hAnsi="Calibri"/>
          <w:sz w:val="22"/>
          <w:szCs w:val="22"/>
        </w:rPr>
      </w:pPr>
      <w:r>
        <w:rPr>
          <w:rFonts w:ascii="Calibri" w:hAnsi="Calibri"/>
          <w:sz w:val="22"/>
          <w:szCs w:val="22"/>
        </w:rPr>
        <w:t>…</w:t>
      </w:r>
    </w:p>
    <w:p w14:paraId="0D50FC01" w14:textId="77777777" w:rsidR="00514DC2" w:rsidRPr="00772BC4" w:rsidRDefault="00514DC2" w:rsidP="00772BC4">
      <w:pPr>
        <w:pStyle w:val="SingleTxtG"/>
        <w:spacing w:after="0" w:line="240" w:lineRule="auto"/>
        <w:ind w:left="0" w:right="0"/>
        <w:rPr>
          <w:rFonts w:ascii="Calibri" w:hAnsi="Calibri"/>
          <w:sz w:val="22"/>
          <w:szCs w:val="22"/>
        </w:rPr>
      </w:pPr>
    </w:p>
    <w:p w14:paraId="5F8869C2" w14:textId="77777777" w:rsidR="00772BC4" w:rsidRPr="00772BC4" w:rsidRDefault="00772BC4" w:rsidP="00772BC4">
      <w:pPr>
        <w:pStyle w:val="SingleTxtG"/>
        <w:spacing w:after="0" w:line="240" w:lineRule="auto"/>
        <w:ind w:left="0" w:right="0"/>
        <w:rPr>
          <w:rFonts w:ascii="Calibri" w:hAnsi="Calibri"/>
          <w:sz w:val="22"/>
          <w:szCs w:val="22"/>
        </w:rPr>
      </w:pPr>
    </w:p>
    <w:p w14:paraId="3769C8DC" w14:textId="0EBA3316" w:rsidR="00032EBF" w:rsidRPr="00CA6109" w:rsidRDefault="003439BB" w:rsidP="00032EBF">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lang w:val="en-GB"/>
        </w:rPr>
        <w:t>Right to life</w:t>
      </w:r>
      <w:r w:rsidR="00CA6109" w:rsidRPr="00CA6109">
        <w:rPr>
          <w:b/>
          <w:sz w:val="28"/>
          <w:szCs w:val="28"/>
          <w:u w:val="single"/>
        </w:rPr>
        <w:t xml:space="preserve"> (arts. </w:t>
      </w:r>
      <w:r>
        <w:rPr>
          <w:b/>
          <w:sz w:val="28"/>
          <w:szCs w:val="28"/>
          <w:u w:val="single"/>
        </w:rPr>
        <w:t xml:space="preserve">6, </w:t>
      </w:r>
      <w:r w:rsidR="00CA6109" w:rsidRPr="00CA6109">
        <w:rPr>
          <w:b/>
          <w:sz w:val="28"/>
          <w:szCs w:val="28"/>
          <w:u w:val="single"/>
        </w:rPr>
        <w:t>7, 9</w:t>
      </w:r>
      <w:r>
        <w:rPr>
          <w:b/>
          <w:sz w:val="28"/>
          <w:szCs w:val="28"/>
          <w:u w:val="single"/>
        </w:rPr>
        <w:t>, 10 and 14</w:t>
      </w:r>
      <w:r w:rsidR="00032EBF" w:rsidRPr="00CA6109">
        <w:rPr>
          <w:b/>
          <w:sz w:val="28"/>
          <w:szCs w:val="28"/>
          <w:u w:val="single"/>
          <w:lang w:val="en-GB"/>
        </w:rPr>
        <w:t>)</w:t>
      </w:r>
    </w:p>
    <w:p w14:paraId="704B720A" w14:textId="16E32901" w:rsidR="00032EBF" w:rsidRPr="00BE7654" w:rsidRDefault="00032EBF" w:rsidP="00032EBF">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 xml:space="preserve">Issue </w:t>
      </w:r>
      <w:r w:rsidR="003439BB" w:rsidRPr="00BE7654">
        <w:rPr>
          <w:b/>
          <w:color w:val="000000"/>
          <w:u w:val="single"/>
          <w:lang w:val="en-GB"/>
        </w:rPr>
        <w:t>8</w:t>
      </w:r>
      <w:r w:rsidRPr="00BE7654">
        <w:rPr>
          <w:color w:val="000000"/>
          <w:lang w:val="en-GB"/>
        </w:rPr>
        <w:t>:</w:t>
      </w:r>
      <w:r w:rsidRPr="003B79EC">
        <w:rPr>
          <w:color w:val="000000"/>
          <w:sz w:val="20"/>
          <w:szCs w:val="20"/>
          <w:lang w:val="en-GB"/>
        </w:rPr>
        <w:t xml:space="preserve"> </w:t>
      </w:r>
      <w:r w:rsidR="003439BB" w:rsidRPr="00BE7654">
        <w:rPr>
          <w:rFonts w:asciiTheme="majorHAnsi" w:hAnsiTheme="majorHAnsi"/>
          <w:i/>
          <w:sz w:val="18"/>
          <w:szCs w:val="18"/>
          <w:lang w:val="en-GB"/>
        </w:rPr>
        <w:t xml:space="preserve">With reference to paragraph 7 of the Committee’s previous concluding observations and to paragraph 67 of the State party’s report, please enumerate the </w:t>
      </w:r>
      <w:proofErr w:type="gramStart"/>
      <w:r w:rsidR="003439BB" w:rsidRPr="00BE7654">
        <w:rPr>
          <w:rFonts w:asciiTheme="majorHAnsi" w:hAnsiTheme="majorHAnsi"/>
          <w:i/>
          <w:sz w:val="18"/>
          <w:szCs w:val="18"/>
          <w:lang w:val="en-GB"/>
        </w:rPr>
        <w:t>crimes which</w:t>
      </w:r>
      <w:proofErr w:type="gramEnd"/>
      <w:r w:rsidR="003439BB" w:rsidRPr="00BE7654">
        <w:rPr>
          <w:rFonts w:asciiTheme="majorHAnsi" w:hAnsiTheme="majorHAnsi"/>
          <w:i/>
          <w:sz w:val="18"/>
          <w:szCs w:val="18"/>
          <w:lang w:val="en-GB"/>
        </w:rPr>
        <w:t xml:space="preserve"> remain subject to the death penalty and elaborate on the criteria and methods of assessment used to determine which crimes qualify as the “most serious crimes”. Please provide data on the number of persons executed during the reporting cycle and currently under death sentence. Please also provide information on the detention conditions of prisoners on death row and on existing measures for reviewing death penalty judgments that have been pronounced in violation of the right to a fair trial. Pending the abolition of the death penalty, please provide information on the steps taken towards an official moratorium on executions</w:t>
      </w:r>
      <w:r w:rsidR="008978D4" w:rsidRPr="00BE7654">
        <w:rPr>
          <w:rFonts w:asciiTheme="majorHAnsi" w:hAnsiTheme="majorHAnsi"/>
          <w:i/>
          <w:sz w:val="18"/>
          <w:szCs w:val="18"/>
        </w:rPr>
        <w:t>.</w:t>
      </w:r>
    </w:p>
    <w:p w14:paraId="1962ECD6" w14:textId="77777777" w:rsidR="00032EBF" w:rsidRPr="00424376" w:rsidRDefault="00032EBF" w:rsidP="00032EBF">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3248352" w14:textId="77777777" w:rsidR="00032EBF" w:rsidRPr="00772BC4" w:rsidRDefault="00032EBF" w:rsidP="00032EBF">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2ACE8F65" w14:textId="77777777" w:rsidR="00032EBF" w:rsidRPr="00424376" w:rsidRDefault="00032EBF" w:rsidP="00032EBF">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515FEEC8" w14:textId="77777777" w:rsidR="00032EBF" w:rsidRPr="00772BC4" w:rsidRDefault="00032EBF" w:rsidP="00772BC4">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68585E5F" w14:textId="77777777" w:rsidR="00032EBF" w:rsidRDefault="00032EBF" w:rsidP="00DA7023">
      <w:pPr>
        <w:pStyle w:val="SingleTxtG"/>
        <w:numPr>
          <w:ilvl w:val="0"/>
          <w:numId w:val="7"/>
        </w:numPr>
        <w:spacing w:after="0" w:line="240" w:lineRule="auto"/>
        <w:ind w:right="0"/>
        <w:rPr>
          <w:rFonts w:ascii="Calibri" w:hAnsi="Calibri"/>
          <w:sz w:val="22"/>
          <w:szCs w:val="22"/>
        </w:rPr>
      </w:pPr>
      <w:r w:rsidRPr="00772BC4">
        <w:rPr>
          <w:rFonts w:ascii="Calibri" w:hAnsi="Calibri"/>
          <w:sz w:val="22"/>
          <w:szCs w:val="22"/>
        </w:rPr>
        <w:t>…</w:t>
      </w:r>
    </w:p>
    <w:p w14:paraId="1ADDFB95" w14:textId="56C5FE7B" w:rsidR="003439BB" w:rsidRDefault="003439BB" w:rsidP="00DA7023">
      <w:pPr>
        <w:pStyle w:val="SingleTxtG"/>
        <w:numPr>
          <w:ilvl w:val="0"/>
          <w:numId w:val="7"/>
        </w:numPr>
        <w:spacing w:after="0" w:line="240" w:lineRule="auto"/>
        <w:ind w:right="0"/>
        <w:rPr>
          <w:rFonts w:ascii="Calibri" w:hAnsi="Calibri"/>
          <w:sz w:val="22"/>
          <w:szCs w:val="22"/>
        </w:rPr>
      </w:pPr>
      <w:r>
        <w:rPr>
          <w:rFonts w:ascii="Calibri" w:hAnsi="Calibri"/>
          <w:sz w:val="22"/>
          <w:szCs w:val="22"/>
        </w:rPr>
        <w:t>…</w:t>
      </w:r>
    </w:p>
    <w:p w14:paraId="04C086A9" w14:textId="436DCEED" w:rsidR="003439BB" w:rsidRPr="00772BC4" w:rsidRDefault="003439BB" w:rsidP="00DA7023">
      <w:pPr>
        <w:pStyle w:val="SingleTxtG"/>
        <w:numPr>
          <w:ilvl w:val="0"/>
          <w:numId w:val="7"/>
        </w:numPr>
        <w:spacing w:after="0" w:line="240" w:lineRule="auto"/>
        <w:ind w:right="0"/>
        <w:rPr>
          <w:rFonts w:ascii="Calibri" w:hAnsi="Calibri"/>
          <w:sz w:val="22"/>
          <w:szCs w:val="22"/>
        </w:rPr>
      </w:pPr>
      <w:r>
        <w:rPr>
          <w:rFonts w:ascii="Calibri" w:hAnsi="Calibri"/>
          <w:sz w:val="22"/>
          <w:szCs w:val="22"/>
        </w:rPr>
        <w:t>…</w:t>
      </w:r>
    </w:p>
    <w:p w14:paraId="21295C0C" w14:textId="77777777" w:rsidR="00032EBF" w:rsidRDefault="00032EBF" w:rsidP="00772BC4">
      <w:pPr>
        <w:pStyle w:val="SingleTxtG"/>
        <w:spacing w:after="0" w:line="240" w:lineRule="auto"/>
        <w:ind w:left="0" w:right="0"/>
        <w:rPr>
          <w:rFonts w:ascii="Calibri" w:hAnsi="Calibri"/>
          <w:sz w:val="22"/>
          <w:szCs w:val="22"/>
        </w:rPr>
      </w:pPr>
    </w:p>
    <w:p w14:paraId="46E9F65E" w14:textId="2454935A" w:rsidR="003439BB" w:rsidRPr="00BE7654" w:rsidRDefault="003439BB" w:rsidP="003439BB">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9</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 xml:space="preserve">With reference to paragraph 15 of the Committee’s previous concluding observations, please report on the law and regulations governing the termination of pregnancy and specify the grounds on which abortion is legal. Please elaborate on the measures taken to ensure that women have access to safe and affordable abortion, without discrimination. With regard to article 316 of the Penal Code, please provide statistics on the number of illegal abortions that were carried out during the reporting cycle and the number and nature of convictions for those acts. Please also provide information on (a) the efforts made to further reduce maternal mortality, in particular in rural areas and among ethnic minorities, including measures to ensure effective access to </w:t>
      </w:r>
      <w:r w:rsidRPr="00BE7654">
        <w:rPr>
          <w:rFonts w:asciiTheme="majorHAnsi" w:hAnsiTheme="majorHAnsi"/>
          <w:i/>
          <w:sz w:val="18"/>
          <w:szCs w:val="18"/>
          <w:lang w:val="en-GB"/>
        </w:rPr>
        <w:lastRenderedPageBreak/>
        <w:t>adequate prenatal and obstetric care; and (b) the measures taken to address teenage pregnancy and to ensure countrywide access to adequate sexual and reproductive health education and services</w:t>
      </w:r>
      <w:r w:rsidRPr="00BE7654">
        <w:rPr>
          <w:rFonts w:asciiTheme="majorHAnsi" w:hAnsiTheme="majorHAnsi"/>
          <w:i/>
          <w:sz w:val="18"/>
          <w:szCs w:val="18"/>
        </w:rPr>
        <w:t>.</w:t>
      </w:r>
    </w:p>
    <w:p w14:paraId="189D4F57" w14:textId="77777777" w:rsidR="003439BB" w:rsidRPr="00424376" w:rsidRDefault="003439BB" w:rsidP="003439BB">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65F97241" w14:textId="77777777" w:rsidR="003439BB" w:rsidRPr="00772BC4" w:rsidRDefault="003439BB" w:rsidP="003439BB">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2DA1038D" w14:textId="77777777" w:rsidR="003439BB" w:rsidRPr="00424376" w:rsidRDefault="003439BB" w:rsidP="003439B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15120D32" w14:textId="77777777" w:rsidR="003439BB" w:rsidRPr="00772BC4" w:rsidRDefault="003439BB" w:rsidP="003439BB">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7090E9E3" w14:textId="77777777" w:rsidR="003439BB" w:rsidRDefault="003439BB" w:rsidP="00DA7023">
      <w:pPr>
        <w:pStyle w:val="SingleTxtG"/>
        <w:numPr>
          <w:ilvl w:val="0"/>
          <w:numId w:val="14"/>
        </w:numPr>
        <w:spacing w:after="0" w:line="240" w:lineRule="auto"/>
        <w:ind w:right="0"/>
        <w:rPr>
          <w:rFonts w:ascii="Calibri" w:hAnsi="Calibri"/>
          <w:sz w:val="22"/>
          <w:szCs w:val="22"/>
        </w:rPr>
      </w:pPr>
      <w:r w:rsidRPr="00772BC4">
        <w:rPr>
          <w:rFonts w:ascii="Calibri" w:hAnsi="Calibri"/>
          <w:sz w:val="22"/>
          <w:szCs w:val="22"/>
        </w:rPr>
        <w:t>…</w:t>
      </w:r>
    </w:p>
    <w:p w14:paraId="0269A88C" w14:textId="77777777" w:rsidR="003439BB" w:rsidRDefault="003439BB" w:rsidP="00DA7023">
      <w:pPr>
        <w:pStyle w:val="SingleTxtG"/>
        <w:numPr>
          <w:ilvl w:val="0"/>
          <w:numId w:val="14"/>
        </w:numPr>
        <w:spacing w:after="0" w:line="240" w:lineRule="auto"/>
        <w:ind w:right="0"/>
        <w:rPr>
          <w:rFonts w:ascii="Calibri" w:hAnsi="Calibri"/>
          <w:sz w:val="22"/>
          <w:szCs w:val="22"/>
        </w:rPr>
      </w:pPr>
      <w:r>
        <w:rPr>
          <w:rFonts w:ascii="Calibri" w:hAnsi="Calibri"/>
          <w:sz w:val="22"/>
          <w:szCs w:val="22"/>
        </w:rPr>
        <w:t>…</w:t>
      </w:r>
    </w:p>
    <w:p w14:paraId="2A73B8BC" w14:textId="77777777" w:rsidR="003439BB" w:rsidRPr="00772BC4" w:rsidRDefault="003439BB" w:rsidP="00DA7023">
      <w:pPr>
        <w:pStyle w:val="SingleTxtG"/>
        <w:numPr>
          <w:ilvl w:val="0"/>
          <w:numId w:val="14"/>
        </w:numPr>
        <w:spacing w:after="0" w:line="240" w:lineRule="auto"/>
        <w:ind w:right="0"/>
        <w:rPr>
          <w:rFonts w:ascii="Calibri" w:hAnsi="Calibri"/>
          <w:sz w:val="22"/>
          <w:szCs w:val="22"/>
        </w:rPr>
      </w:pPr>
      <w:r>
        <w:rPr>
          <w:rFonts w:ascii="Calibri" w:hAnsi="Calibri"/>
          <w:sz w:val="22"/>
          <w:szCs w:val="22"/>
        </w:rPr>
        <w:t>…</w:t>
      </w:r>
    </w:p>
    <w:p w14:paraId="3482CEC7" w14:textId="77777777" w:rsidR="003439BB" w:rsidRPr="00772BC4" w:rsidRDefault="003439BB" w:rsidP="003439BB">
      <w:pPr>
        <w:pStyle w:val="SingleTxtG"/>
        <w:spacing w:after="0" w:line="240" w:lineRule="auto"/>
        <w:ind w:left="0" w:right="0"/>
        <w:rPr>
          <w:rFonts w:ascii="Calibri" w:hAnsi="Calibri"/>
          <w:sz w:val="22"/>
          <w:szCs w:val="22"/>
        </w:rPr>
      </w:pPr>
    </w:p>
    <w:p w14:paraId="23223181" w14:textId="77777777" w:rsidR="00772BC4" w:rsidRPr="00772BC4" w:rsidRDefault="00772BC4" w:rsidP="00772BC4">
      <w:pPr>
        <w:pStyle w:val="SingleTxtG"/>
        <w:spacing w:after="0" w:line="240" w:lineRule="auto"/>
        <w:ind w:left="0" w:right="0"/>
        <w:rPr>
          <w:rFonts w:ascii="Calibri" w:hAnsi="Calibri"/>
          <w:sz w:val="22"/>
          <w:szCs w:val="22"/>
        </w:rPr>
      </w:pPr>
    </w:p>
    <w:p w14:paraId="46925612" w14:textId="710105E5" w:rsidR="00032EBF" w:rsidRPr="008978D4" w:rsidRDefault="003439BB" w:rsidP="00032EBF">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Prohibition of torture and other cruel, inhuman or degrading teratment or punishement, treatment of persons deprived of their liberty, including prisoners of conscience</w:t>
      </w:r>
      <w:r w:rsidR="008978D4" w:rsidRPr="008978D4">
        <w:rPr>
          <w:b/>
          <w:sz w:val="28"/>
          <w:szCs w:val="28"/>
          <w:u w:val="single"/>
        </w:rPr>
        <w:t xml:space="preserve"> (art</w:t>
      </w:r>
      <w:r>
        <w:rPr>
          <w:b/>
          <w:sz w:val="28"/>
          <w:szCs w:val="28"/>
          <w:u w:val="single"/>
        </w:rPr>
        <w:t>s</w:t>
      </w:r>
      <w:r w:rsidR="008978D4" w:rsidRPr="008978D4">
        <w:rPr>
          <w:b/>
          <w:sz w:val="28"/>
          <w:szCs w:val="28"/>
          <w:u w:val="single"/>
        </w:rPr>
        <w:t xml:space="preserve">. </w:t>
      </w:r>
      <w:r>
        <w:rPr>
          <w:b/>
          <w:sz w:val="28"/>
          <w:szCs w:val="28"/>
          <w:u w:val="single"/>
        </w:rPr>
        <w:t>2, 6, 7, 9, 10 and 26</w:t>
      </w:r>
      <w:r w:rsidR="00032EBF" w:rsidRPr="008978D4">
        <w:rPr>
          <w:b/>
          <w:sz w:val="28"/>
          <w:szCs w:val="28"/>
          <w:u w:val="single"/>
          <w:lang w:val="en-GB"/>
        </w:rPr>
        <w:t>)</w:t>
      </w:r>
    </w:p>
    <w:p w14:paraId="2BA72249" w14:textId="2B29CCAA" w:rsidR="003439BB" w:rsidRPr="00BE7654" w:rsidRDefault="003439BB" w:rsidP="003439BB">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10</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 xml:space="preserve">With reference to paragraph 74 of the State party’s report, please provide information on the concrete steps taken towards defining and criminalizing the offence of torture in line with the Covenant and other relevant international standards. Please also clarify the interpretation given by the national courts to “circumstances other than those in which infliction of bodily harm is permitted by law” in article 137 of the Penal Code. Please comment on allegations that torture and </w:t>
      </w:r>
      <w:proofErr w:type="gramStart"/>
      <w:r w:rsidRPr="00BE7654">
        <w:rPr>
          <w:rFonts w:asciiTheme="majorHAnsi" w:hAnsiTheme="majorHAnsi"/>
          <w:i/>
          <w:sz w:val="18"/>
          <w:szCs w:val="18"/>
          <w:lang w:val="en-GB"/>
        </w:rPr>
        <w:t>ill-treatment</w:t>
      </w:r>
      <w:proofErr w:type="gramEnd"/>
      <w:r w:rsidRPr="00BE7654">
        <w:rPr>
          <w:rFonts w:asciiTheme="majorHAnsi" w:hAnsiTheme="majorHAnsi"/>
          <w:i/>
          <w:sz w:val="18"/>
          <w:szCs w:val="18"/>
          <w:lang w:val="en-GB"/>
        </w:rPr>
        <w:t xml:space="preserve"> by law enforcement personnel are a widespread phenomenon used to obtain information or extract confessions. Please also respond to comments on allegations that (a) torture and </w:t>
      </w:r>
      <w:proofErr w:type="gramStart"/>
      <w:r w:rsidRPr="00BE7654">
        <w:rPr>
          <w:rFonts w:asciiTheme="majorHAnsi" w:hAnsiTheme="majorHAnsi"/>
          <w:i/>
          <w:sz w:val="18"/>
          <w:szCs w:val="18"/>
          <w:lang w:val="en-GB"/>
        </w:rPr>
        <w:t>ill-treatment</w:t>
      </w:r>
      <w:proofErr w:type="gramEnd"/>
      <w:r w:rsidRPr="00BE7654">
        <w:rPr>
          <w:rFonts w:asciiTheme="majorHAnsi" w:hAnsiTheme="majorHAnsi"/>
          <w:i/>
          <w:sz w:val="18"/>
          <w:szCs w:val="18"/>
          <w:lang w:val="en-GB"/>
        </w:rPr>
        <w:t xml:space="preserve"> of individuals frequently result in deaths in custody; (b) such deaths are commonly reported as suicides; and (c) families are pressured not to challenge such conclusions. With reference to paragraph 74 of the State party’s report, please provide data on the number of reported cases of torture and </w:t>
      </w:r>
      <w:proofErr w:type="gramStart"/>
      <w:r w:rsidRPr="00BE7654">
        <w:rPr>
          <w:rFonts w:asciiTheme="majorHAnsi" w:hAnsiTheme="majorHAnsi"/>
          <w:i/>
          <w:sz w:val="18"/>
          <w:szCs w:val="18"/>
          <w:lang w:val="en-GB"/>
        </w:rPr>
        <w:t>ill-treatment</w:t>
      </w:r>
      <w:proofErr w:type="gramEnd"/>
      <w:r w:rsidRPr="00BE7654">
        <w:rPr>
          <w:rFonts w:asciiTheme="majorHAnsi" w:hAnsiTheme="majorHAnsi"/>
          <w:i/>
          <w:sz w:val="18"/>
          <w:szCs w:val="18"/>
          <w:lang w:val="en-GB"/>
        </w:rPr>
        <w:t xml:space="preserve"> during the reporting period, the number of investigations and prosecutions initiated, the number of convictions, the sentences imposed and the remedies granted to victims</w:t>
      </w:r>
      <w:r w:rsidRPr="00BE7654">
        <w:rPr>
          <w:rFonts w:asciiTheme="majorHAnsi" w:hAnsiTheme="majorHAnsi"/>
          <w:i/>
          <w:sz w:val="18"/>
          <w:szCs w:val="18"/>
        </w:rPr>
        <w:t>.</w:t>
      </w:r>
    </w:p>
    <w:p w14:paraId="45DB1779" w14:textId="77777777" w:rsidR="003439BB" w:rsidRPr="00424376" w:rsidRDefault="003439BB" w:rsidP="003439BB">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1204558" w14:textId="77777777" w:rsidR="003439BB" w:rsidRPr="00772BC4" w:rsidRDefault="003439BB" w:rsidP="003439BB">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4E10DFEA" w14:textId="77777777" w:rsidR="003439BB" w:rsidRPr="00424376" w:rsidRDefault="003439BB" w:rsidP="003439B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786AEE85" w14:textId="77777777" w:rsidR="003439BB" w:rsidRPr="00772BC4" w:rsidRDefault="003439BB" w:rsidP="003439BB">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394D59CE" w14:textId="77777777" w:rsidR="003439BB" w:rsidRDefault="003439BB" w:rsidP="00DA7023">
      <w:pPr>
        <w:pStyle w:val="SingleTxtG"/>
        <w:numPr>
          <w:ilvl w:val="0"/>
          <w:numId w:val="15"/>
        </w:numPr>
        <w:spacing w:after="0" w:line="240" w:lineRule="auto"/>
        <w:ind w:right="0"/>
        <w:rPr>
          <w:rFonts w:ascii="Calibri" w:hAnsi="Calibri"/>
          <w:sz w:val="22"/>
          <w:szCs w:val="22"/>
        </w:rPr>
      </w:pPr>
      <w:r w:rsidRPr="00772BC4">
        <w:rPr>
          <w:rFonts w:ascii="Calibri" w:hAnsi="Calibri"/>
          <w:sz w:val="22"/>
          <w:szCs w:val="22"/>
        </w:rPr>
        <w:t>…</w:t>
      </w:r>
    </w:p>
    <w:p w14:paraId="677B067B" w14:textId="77777777" w:rsidR="003439BB" w:rsidRDefault="003439BB" w:rsidP="00DA7023">
      <w:pPr>
        <w:pStyle w:val="SingleTxtG"/>
        <w:numPr>
          <w:ilvl w:val="0"/>
          <w:numId w:val="15"/>
        </w:numPr>
        <w:spacing w:after="0" w:line="240" w:lineRule="auto"/>
        <w:ind w:right="0"/>
        <w:rPr>
          <w:rFonts w:ascii="Calibri" w:hAnsi="Calibri"/>
          <w:sz w:val="22"/>
          <w:szCs w:val="22"/>
        </w:rPr>
      </w:pPr>
      <w:r>
        <w:rPr>
          <w:rFonts w:ascii="Calibri" w:hAnsi="Calibri"/>
          <w:sz w:val="22"/>
          <w:szCs w:val="22"/>
        </w:rPr>
        <w:t>…</w:t>
      </w:r>
    </w:p>
    <w:p w14:paraId="75B483EF" w14:textId="77777777" w:rsidR="003439BB" w:rsidRPr="00772BC4" w:rsidRDefault="003439BB" w:rsidP="00DA7023">
      <w:pPr>
        <w:pStyle w:val="SingleTxtG"/>
        <w:numPr>
          <w:ilvl w:val="0"/>
          <w:numId w:val="15"/>
        </w:numPr>
        <w:spacing w:after="0" w:line="240" w:lineRule="auto"/>
        <w:ind w:right="0"/>
        <w:rPr>
          <w:rFonts w:ascii="Calibri" w:hAnsi="Calibri"/>
          <w:sz w:val="22"/>
          <w:szCs w:val="22"/>
        </w:rPr>
      </w:pPr>
      <w:r>
        <w:rPr>
          <w:rFonts w:ascii="Calibri" w:hAnsi="Calibri"/>
          <w:sz w:val="22"/>
          <w:szCs w:val="22"/>
        </w:rPr>
        <w:t>…</w:t>
      </w:r>
    </w:p>
    <w:p w14:paraId="49425222" w14:textId="77777777" w:rsidR="00032EBF" w:rsidRDefault="00032EBF" w:rsidP="00772BC4">
      <w:pPr>
        <w:pStyle w:val="SingleTxtG"/>
        <w:spacing w:after="0" w:line="240" w:lineRule="auto"/>
        <w:ind w:left="0" w:right="0"/>
        <w:rPr>
          <w:rFonts w:ascii="Calibri" w:hAnsi="Calibri"/>
          <w:sz w:val="22"/>
          <w:szCs w:val="22"/>
        </w:rPr>
      </w:pPr>
    </w:p>
    <w:p w14:paraId="071AC937" w14:textId="30E8E554" w:rsidR="003439BB" w:rsidRPr="00BE7654" w:rsidRDefault="003439BB" w:rsidP="003439BB">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11</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With reference to implementation of the 2004 law on the enforcement of criminal judgment, please elaborate on whether and how the regulations establishing classifications of prisoners are used to facilitate the use of appropriate conditions of incarceration and treatment, in particular circular No. 37 issued by the Ministry of Public Security in 2011. Please comment on allegations that prisoners of conscience are subject to (a) torture and ill-treatment, including incommunicado detention, enforced disappearances, the infliction of severe physical and mental pain and suffering, solitary confinement, denial of medical treatment and punitive prison transfers; and (b) abuses committed by fellow prisoners (antennae) acting at the instigation or with the consent or acquiescence of police or officials</w:t>
      </w:r>
      <w:r w:rsidRPr="00BE7654">
        <w:rPr>
          <w:rFonts w:asciiTheme="majorHAnsi" w:hAnsiTheme="majorHAnsi"/>
          <w:i/>
          <w:sz w:val="18"/>
          <w:szCs w:val="18"/>
        </w:rPr>
        <w:t>.</w:t>
      </w:r>
    </w:p>
    <w:p w14:paraId="29A6024C" w14:textId="77777777" w:rsidR="003439BB" w:rsidRPr="00424376" w:rsidRDefault="003439BB" w:rsidP="003439BB">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60B2E3BE" w14:textId="77777777" w:rsidR="003439BB" w:rsidRPr="00772BC4" w:rsidRDefault="003439BB" w:rsidP="003439BB">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49D7CA76" w14:textId="77777777" w:rsidR="003439BB" w:rsidRPr="00424376" w:rsidRDefault="003439BB" w:rsidP="003439B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767EF3EB" w14:textId="77777777" w:rsidR="003439BB" w:rsidRPr="00772BC4" w:rsidRDefault="003439BB" w:rsidP="003439BB">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7F608384" w14:textId="77777777" w:rsidR="003439BB" w:rsidRDefault="003439BB" w:rsidP="00DA7023">
      <w:pPr>
        <w:pStyle w:val="SingleTxtG"/>
        <w:numPr>
          <w:ilvl w:val="0"/>
          <w:numId w:val="16"/>
        </w:numPr>
        <w:spacing w:after="0" w:line="240" w:lineRule="auto"/>
        <w:ind w:right="0"/>
        <w:rPr>
          <w:rFonts w:ascii="Calibri" w:hAnsi="Calibri"/>
          <w:sz w:val="22"/>
          <w:szCs w:val="22"/>
        </w:rPr>
      </w:pPr>
      <w:r w:rsidRPr="00772BC4">
        <w:rPr>
          <w:rFonts w:ascii="Calibri" w:hAnsi="Calibri"/>
          <w:sz w:val="22"/>
          <w:szCs w:val="22"/>
        </w:rPr>
        <w:t>…</w:t>
      </w:r>
    </w:p>
    <w:p w14:paraId="34A2569D" w14:textId="77777777" w:rsidR="003439BB" w:rsidRDefault="003439BB" w:rsidP="00DA7023">
      <w:pPr>
        <w:pStyle w:val="SingleTxtG"/>
        <w:numPr>
          <w:ilvl w:val="0"/>
          <w:numId w:val="16"/>
        </w:numPr>
        <w:spacing w:after="0" w:line="240" w:lineRule="auto"/>
        <w:ind w:right="0"/>
        <w:rPr>
          <w:rFonts w:ascii="Calibri" w:hAnsi="Calibri"/>
          <w:sz w:val="22"/>
          <w:szCs w:val="22"/>
        </w:rPr>
      </w:pPr>
      <w:r>
        <w:rPr>
          <w:rFonts w:ascii="Calibri" w:hAnsi="Calibri"/>
          <w:sz w:val="22"/>
          <w:szCs w:val="22"/>
        </w:rPr>
        <w:t>…</w:t>
      </w:r>
    </w:p>
    <w:p w14:paraId="52E1A205" w14:textId="77777777" w:rsidR="003439BB" w:rsidRPr="00772BC4" w:rsidRDefault="003439BB" w:rsidP="00DA7023">
      <w:pPr>
        <w:pStyle w:val="SingleTxtG"/>
        <w:numPr>
          <w:ilvl w:val="0"/>
          <w:numId w:val="16"/>
        </w:numPr>
        <w:spacing w:after="0" w:line="240" w:lineRule="auto"/>
        <w:ind w:right="0"/>
        <w:rPr>
          <w:rFonts w:ascii="Calibri" w:hAnsi="Calibri"/>
          <w:sz w:val="22"/>
          <w:szCs w:val="22"/>
        </w:rPr>
      </w:pPr>
      <w:r>
        <w:rPr>
          <w:rFonts w:ascii="Calibri" w:hAnsi="Calibri"/>
          <w:sz w:val="22"/>
          <w:szCs w:val="22"/>
        </w:rPr>
        <w:t>…</w:t>
      </w:r>
    </w:p>
    <w:p w14:paraId="3511839E" w14:textId="77777777" w:rsidR="003439BB" w:rsidRPr="00772BC4" w:rsidRDefault="003439BB" w:rsidP="003439BB">
      <w:pPr>
        <w:pStyle w:val="SingleTxtG"/>
        <w:spacing w:after="0" w:line="240" w:lineRule="auto"/>
        <w:ind w:left="0" w:right="0"/>
        <w:rPr>
          <w:rFonts w:ascii="Calibri" w:hAnsi="Calibri"/>
          <w:sz w:val="22"/>
          <w:szCs w:val="22"/>
        </w:rPr>
      </w:pPr>
    </w:p>
    <w:p w14:paraId="75BBECBF" w14:textId="2B3F9971" w:rsidR="003439BB" w:rsidRPr="00BE7654" w:rsidRDefault="003439BB" w:rsidP="003439BB">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lastRenderedPageBreak/>
        <w:t>Issue 12</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Please provide current data on the total prison population and the official prison capacity, disaggregated by facility. Describe the measures taken to address overcrowding and improve conditions of detention, including with regard to medical care. With reference to paragraph 118 of the State party’s report, please clarify whether (a) an independent mechanism has been established to regularly monitor and inspect all places of detention; and (b) monitoring of conditions of detention by independent organizations is permitted</w:t>
      </w:r>
      <w:r w:rsidRPr="00BE7654">
        <w:rPr>
          <w:rFonts w:asciiTheme="majorHAnsi" w:hAnsiTheme="majorHAnsi"/>
          <w:i/>
          <w:sz w:val="18"/>
          <w:szCs w:val="18"/>
        </w:rPr>
        <w:t>.</w:t>
      </w:r>
    </w:p>
    <w:p w14:paraId="457659CA" w14:textId="77777777" w:rsidR="003439BB" w:rsidRPr="00424376" w:rsidRDefault="003439BB" w:rsidP="003439BB">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685F84B4" w14:textId="77777777" w:rsidR="003439BB" w:rsidRPr="00772BC4" w:rsidRDefault="003439BB" w:rsidP="003439BB">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3372E3EE" w14:textId="77777777" w:rsidR="003439BB" w:rsidRPr="00424376" w:rsidRDefault="003439BB" w:rsidP="003439B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599EE293" w14:textId="77777777" w:rsidR="003439BB" w:rsidRPr="00772BC4" w:rsidRDefault="003439BB" w:rsidP="003439BB">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3F66F553" w14:textId="77777777" w:rsidR="003439BB" w:rsidRDefault="003439BB" w:rsidP="00DA7023">
      <w:pPr>
        <w:pStyle w:val="SingleTxtG"/>
        <w:numPr>
          <w:ilvl w:val="0"/>
          <w:numId w:val="17"/>
        </w:numPr>
        <w:spacing w:after="0" w:line="240" w:lineRule="auto"/>
        <w:ind w:right="0"/>
        <w:rPr>
          <w:rFonts w:ascii="Calibri" w:hAnsi="Calibri"/>
          <w:sz w:val="22"/>
          <w:szCs w:val="22"/>
        </w:rPr>
      </w:pPr>
      <w:r w:rsidRPr="00772BC4">
        <w:rPr>
          <w:rFonts w:ascii="Calibri" w:hAnsi="Calibri"/>
          <w:sz w:val="22"/>
          <w:szCs w:val="22"/>
        </w:rPr>
        <w:t>…</w:t>
      </w:r>
    </w:p>
    <w:p w14:paraId="6BDE3569" w14:textId="77777777" w:rsidR="003439BB" w:rsidRDefault="003439BB" w:rsidP="00DA7023">
      <w:pPr>
        <w:pStyle w:val="SingleTxtG"/>
        <w:numPr>
          <w:ilvl w:val="0"/>
          <w:numId w:val="17"/>
        </w:numPr>
        <w:spacing w:after="0" w:line="240" w:lineRule="auto"/>
        <w:ind w:right="0"/>
        <w:rPr>
          <w:rFonts w:ascii="Calibri" w:hAnsi="Calibri"/>
          <w:sz w:val="22"/>
          <w:szCs w:val="22"/>
        </w:rPr>
      </w:pPr>
      <w:r>
        <w:rPr>
          <w:rFonts w:ascii="Calibri" w:hAnsi="Calibri"/>
          <w:sz w:val="22"/>
          <w:szCs w:val="22"/>
        </w:rPr>
        <w:t>…</w:t>
      </w:r>
    </w:p>
    <w:p w14:paraId="46B3E931" w14:textId="77777777" w:rsidR="003439BB" w:rsidRPr="00772BC4" w:rsidRDefault="003439BB" w:rsidP="00DA7023">
      <w:pPr>
        <w:pStyle w:val="SingleTxtG"/>
        <w:numPr>
          <w:ilvl w:val="0"/>
          <w:numId w:val="17"/>
        </w:numPr>
        <w:spacing w:after="0" w:line="240" w:lineRule="auto"/>
        <w:ind w:right="0"/>
        <w:rPr>
          <w:rFonts w:ascii="Calibri" w:hAnsi="Calibri"/>
          <w:sz w:val="22"/>
          <w:szCs w:val="22"/>
        </w:rPr>
      </w:pPr>
      <w:r>
        <w:rPr>
          <w:rFonts w:ascii="Calibri" w:hAnsi="Calibri"/>
          <w:sz w:val="22"/>
          <w:szCs w:val="22"/>
        </w:rPr>
        <w:t>…</w:t>
      </w:r>
    </w:p>
    <w:p w14:paraId="7F05D3F0" w14:textId="77777777" w:rsidR="003439BB" w:rsidRPr="00772BC4" w:rsidRDefault="003439BB" w:rsidP="003439BB">
      <w:pPr>
        <w:pStyle w:val="SingleTxtG"/>
        <w:spacing w:after="0" w:line="240" w:lineRule="auto"/>
        <w:ind w:left="0" w:right="0"/>
        <w:rPr>
          <w:rFonts w:ascii="Calibri" w:hAnsi="Calibri"/>
          <w:sz w:val="22"/>
          <w:szCs w:val="22"/>
        </w:rPr>
      </w:pPr>
    </w:p>
    <w:p w14:paraId="32F1E4F9" w14:textId="77777777" w:rsidR="00FB2973" w:rsidRPr="00772BC4" w:rsidRDefault="00FB2973" w:rsidP="00772BC4">
      <w:pPr>
        <w:pStyle w:val="SingleTxtG"/>
        <w:spacing w:after="0" w:line="240" w:lineRule="auto"/>
        <w:ind w:left="0" w:right="0"/>
        <w:rPr>
          <w:rFonts w:ascii="Calibri" w:hAnsi="Calibri"/>
          <w:sz w:val="22"/>
          <w:szCs w:val="22"/>
        </w:rPr>
      </w:pPr>
    </w:p>
    <w:p w14:paraId="41E0AB97" w14:textId="16168359" w:rsidR="00FB2973" w:rsidRPr="00FB2973" w:rsidRDefault="003439BB" w:rsidP="00FB29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lang w:val="en-GB"/>
        </w:rPr>
        <w:t>Forced labour, elimination of slavery and servitude</w:t>
      </w:r>
      <w:r w:rsidR="00FB2973" w:rsidRPr="00FB2973">
        <w:rPr>
          <w:b/>
          <w:bCs/>
          <w:sz w:val="28"/>
          <w:szCs w:val="28"/>
          <w:u w:val="single"/>
          <w:lang w:eastAsia="ja-JP"/>
        </w:rPr>
        <w:t xml:space="preserve"> (arts.</w:t>
      </w:r>
      <w:r w:rsidR="00FB2973" w:rsidRPr="00FB2973">
        <w:rPr>
          <w:b/>
          <w:bCs/>
          <w:sz w:val="28"/>
          <w:szCs w:val="28"/>
          <w:u w:val="single"/>
        </w:rPr>
        <w:t xml:space="preserve"> </w:t>
      </w:r>
      <w:r>
        <w:rPr>
          <w:b/>
          <w:bCs/>
          <w:sz w:val="28"/>
          <w:szCs w:val="28"/>
          <w:u w:val="single"/>
        </w:rPr>
        <w:t>7, 8</w:t>
      </w:r>
      <w:r w:rsidR="00FB2973" w:rsidRPr="00FB2973">
        <w:rPr>
          <w:b/>
          <w:bCs/>
          <w:sz w:val="28"/>
          <w:szCs w:val="28"/>
          <w:u w:val="single"/>
        </w:rPr>
        <w:t xml:space="preserve"> and</w:t>
      </w:r>
      <w:r>
        <w:rPr>
          <w:b/>
          <w:sz w:val="28"/>
          <w:szCs w:val="28"/>
          <w:u w:val="single"/>
        </w:rPr>
        <w:t xml:space="preserve"> 9</w:t>
      </w:r>
      <w:r w:rsidR="00FB2973" w:rsidRPr="00FB2973">
        <w:rPr>
          <w:b/>
          <w:sz w:val="28"/>
          <w:szCs w:val="28"/>
          <w:u w:val="single"/>
          <w:lang w:val="en-GB"/>
        </w:rPr>
        <w:t>)</w:t>
      </w:r>
    </w:p>
    <w:p w14:paraId="734E4F09" w14:textId="06314D19" w:rsidR="003439BB" w:rsidRPr="00BE7654" w:rsidRDefault="003439BB" w:rsidP="003439BB">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13</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With reference to paragraphs 82–92 of the State party’s report, please clarify which authorities under what circumstances can impose forced labour on persons deprived of their liberty. Please comment on reports that State-run drug rehabilitation centres use forced labour as “therapy”, exploit persons as labourers making goods for local markets and export, and abuse persons refusing to work. With reference to paragraph 83 of the report, please provide updated information, disaggregated by age, sex and ethnicity of the victims, on the number of complaints, investigations, prosecutions, convictions and sentences that have been imposed in cases of human trafficking for the reporting period. Please also provide information on the definition of trafficking in persons and on its compatibility with international standards. Please provide information on the measures taken to ensure effective implementation of the law on the prevention and combating of human trafficking and of the new provisions of the Penal Code that criminalize human trafficking. Please describe the existing mechanisms aimed at the prevention and early identification of cases of human trafficking and at referring, assisting and supporting victims of trafficking, measures to strengthen and effectively enforce them and measures aimed at encouraging victims to access protection services</w:t>
      </w:r>
      <w:r w:rsidRPr="00BE7654">
        <w:rPr>
          <w:rFonts w:asciiTheme="majorHAnsi" w:hAnsiTheme="majorHAnsi"/>
          <w:i/>
          <w:sz w:val="18"/>
          <w:szCs w:val="18"/>
        </w:rPr>
        <w:t>.</w:t>
      </w:r>
    </w:p>
    <w:p w14:paraId="1E3AFF10" w14:textId="77777777" w:rsidR="003439BB" w:rsidRPr="00424376" w:rsidRDefault="003439BB" w:rsidP="003439BB">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5857C6C7" w14:textId="77777777" w:rsidR="003439BB" w:rsidRPr="00772BC4" w:rsidRDefault="003439BB" w:rsidP="003439BB">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3A71A273" w14:textId="77777777" w:rsidR="003439BB" w:rsidRPr="00424376" w:rsidRDefault="003439BB" w:rsidP="003439BB">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3471EDAB" w14:textId="77777777" w:rsidR="003439BB" w:rsidRPr="00772BC4" w:rsidRDefault="003439BB" w:rsidP="003439BB">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1B79570" w14:textId="77777777" w:rsidR="003439BB" w:rsidRDefault="003439BB" w:rsidP="00DA7023">
      <w:pPr>
        <w:pStyle w:val="SingleTxtG"/>
        <w:numPr>
          <w:ilvl w:val="0"/>
          <w:numId w:val="18"/>
        </w:numPr>
        <w:spacing w:after="0" w:line="240" w:lineRule="auto"/>
        <w:ind w:right="0"/>
        <w:rPr>
          <w:rFonts w:ascii="Calibri" w:hAnsi="Calibri"/>
          <w:sz w:val="22"/>
          <w:szCs w:val="22"/>
        </w:rPr>
      </w:pPr>
      <w:r w:rsidRPr="00772BC4">
        <w:rPr>
          <w:rFonts w:ascii="Calibri" w:hAnsi="Calibri"/>
          <w:sz w:val="22"/>
          <w:szCs w:val="22"/>
        </w:rPr>
        <w:t>…</w:t>
      </w:r>
    </w:p>
    <w:p w14:paraId="4AEC94C5" w14:textId="77777777" w:rsidR="003439BB" w:rsidRDefault="003439BB" w:rsidP="00DA7023">
      <w:pPr>
        <w:pStyle w:val="SingleTxtG"/>
        <w:numPr>
          <w:ilvl w:val="0"/>
          <w:numId w:val="18"/>
        </w:numPr>
        <w:spacing w:after="0" w:line="240" w:lineRule="auto"/>
        <w:ind w:right="0"/>
        <w:rPr>
          <w:rFonts w:ascii="Calibri" w:hAnsi="Calibri"/>
          <w:sz w:val="22"/>
          <w:szCs w:val="22"/>
        </w:rPr>
      </w:pPr>
      <w:r>
        <w:rPr>
          <w:rFonts w:ascii="Calibri" w:hAnsi="Calibri"/>
          <w:sz w:val="22"/>
          <w:szCs w:val="22"/>
        </w:rPr>
        <w:t>…</w:t>
      </w:r>
    </w:p>
    <w:p w14:paraId="71143469" w14:textId="77777777" w:rsidR="003439BB" w:rsidRPr="00772BC4" w:rsidRDefault="003439BB" w:rsidP="00DA7023">
      <w:pPr>
        <w:pStyle w:val="SingleTxtG"/>
        <w:numPr>
          <w:ilvl w:val="0"/>
          <w:numId w:val="18"/>
        </w:numPr>
        <w:spacing w:after="0" w:line="240" w:lineRule="auto"/>
        <w:ind w:right="0"/>
        <w:rPr>
          <w:rFonts w:ascii="Calibri" w:hAnsi="Calibri"/>
          <w:sz w:val="22"/>
          <w:szCs w:val="22"/>
        </w:rPr>
      </w:pPr>
      <w:r>
        <w:rPr>
          <w:rFonts w:ascii="Calibri" w:hAnsi="Calibri"/>
          <w:sz w:val="22"/>
          <w:szCs w:val="22"/>
        </w:rPr>
        <w:t>…</w:t>
      </w:r>
    </w:p>
    <w:p w14:paraId="2F2BA119" w14:textId="77777777" w:rsidR="003439BB" w:rsidRPr="00772BC4" w:rsidRDefault="003439BB" w:rsidP="003439BB">
      <w:pPr>
        <w:pStyle w:val="SingleTxtG"/>
        <w:spacing w:after="0" w:line="240" w:lineRule="auto"/>
        <w:ind w:left="0" w:right="0"/>
        <w:rPr>
          <w:rFonts w:ascii="Calibri" w:hAnsi="Calibri"/>
          <w:sz w:val="22"/>
          <w:szCs w:val="22"/>
        </w:rPr>
      </w:pPr>
    </w:p>
    <w:p w14:paraId="3A34DC0E" w14:textId="77777777" w:rsidR="00772BC4" w:rsidRPr="00772BC4" w:rsidRDefault="00772BC4" w:rsidP="00772BC4">
      <w:pPr>
        <w:pStyle w:val="SingleTxtG"/>
        <w:spacing w:after="0" w:line="240" w:lineRule="auto"/>
        <w:ind w:left="0" w:right="0"/>
        <w:rPr>
          <w:rFonts w:ascii="Calibri" w:hAnsi="Calibri"/>
          <w:sz w:val="22"/>
          <w:szCs w:val="22"/>
        </w:rPr>
      </w:pPr>
    </w:p>
    <w:p w14:paraId="6326B942" w14:textId="3935BC85" w:rsidR="00FB2973" w:rsidRPr="00FB2973" w:rsidRDefault="003439BB" w:rsidP="00FB29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lang w:val="en-GB"/>
        </w:rPr>
        <w:t>Liberty and security of person</w:t>
      </w:r>
      <w:r w:rsidR="00FB2973" w:rsidRPr="00FB2973">
        <w:rPr>
          <w:b/>
          <w:sz w:val="28"/>
          <w:szCs w:val="28"/>
          <w:u w:val="single"/>
        </w:rPr>
        <w:t xml:space="preserve"> </w:t>
      </w:r>
      <w:r w:rsidR="00DA7023">
        <w:rPr>
          <w:b/>
          <w:bCs/>
          <w:sz w:val="28"/>
          <w:szCs w:val="28"/>
          <w:u w:val="single"/>
          <w:lang w:eastAsia="ja-JP"/>
        </w:rPr>
        <w:t>(arts. 2</w:t>
      </w:r>
      <w:r w:rsidR="00FB2973" w:rsidRPr="00FB2973">
        <w:rPr>
          <w:b/>
          <w:bCs/>
          <w:sz w:val="28"/>
          <w:szCs w:val="28"/>
          <w:u w:val="single"/>
          <w:lang w:eastAsia="ja-JP"/>
        </w:rPr>
        <w:t>,</w:t>
      </w:r>
      <w:r w:rsidR="00DA7023">
        <w:rPr>
          <w:b/>
          <w:bCs/>
          <w:sz w:val="28"/>
          <w:szCs w:val="28"/>
          <w:u w:val="single"/>
        </w:rPr>
        <w:t xml:space="preserve"> </w:t>
      </w:r>
      <w:r w:rsidR="00FB2973" w:rsidRPr="00FB2973">
        <w:rPr>
          <w:b/>
          <w:bCs/>
          <w:sz w:val="28"/>
          <w:szCs w:val="28"/>
          <w:u w:val="single"/>
        </w:rPr>
        <w:t>9 and</w:t>
      </w:r>
      <w:r w:rsidR="00DA7023">
        <w:rPr>
          <w:b/>
          <w:bCs/>
          <w:sz w:val="28"/>
          <w:szCs w:val="28"/>
          <w:u w:val="single"/>
          <w:lang w:eastAsia="ja-JP"/>
        </w:rPr>
        <w:t xml:space="preserve"> 14</w:t>
      </w:r>
      <w:r w:rsidR="00FB2973" w:rsidRPr="00FB2973">
        <w:rPr>
          <w:b/>
          <w:sz w:val="28"/>
          <w:szCs w:val="28"/>
          <w:u w:val="single"/>
          <w:lang w:val="en-GB"/>
        </w:rPr>
        <w:t>)</w:t>
      </w:r>
    </w:p>
    <w:p w14:paraId="01808D42" w14:textId="357FF781" w:rsidR="00DA7023" w:rsidRPr="003439BB"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20"/>
          <w:szCs w:val="20"/>
          <w:lang w:val="en-GB"/>
        </w:rPr>
      </w:pPr>
      <w:r w:rsidRPr="00BE7654">
        <w:rPr>
          <w:b/>
          <w:color w:val="000000"/>
          <w:u w:val="single"/>
          <w:lang w:val="en-GB"/>
        </w:rPr>
        <w:t>Issue 14</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 xml:space="preserve">With reference to paragraph 8 of the Committee’s previous concluding observations, please report on the measures taken to ensure that in practice, arrests are based on warrants or judicial decisions. Please also provide information on the measures taken to ensure that (a) arrested persons are afforded fundamental legal safeguards from the very outset of the deprivation of their liberty, including the right to notify family members or third persons and the right to have access to a lawyer, including in cases related to national security; and (b) persons arrested on a criminal charge are brought promptly before a judge. With reference to paragraph 96 of the State party’s report, please provide further information on the regulations regarding temporary detention, on the maximum length of </w:t>
      </w:r>
      <w:proofErr w:type="spellStart"/>
      <w:r w:rsidRPr="00BE7654">
        <w:rPr>
          <w:rFonts w:asciiTheme="majorHAnsi" w:hAnsiTheme="majorHAnsi"/>
          <w:i/>
          <w:sz w:val="18"/>
          <w:szCs w:val="18"/>
          <w:lang w:val="en-GB"/>
        </w:rPr>
        <w:t>pretrial</w:t>
      </w:r>
      <w:proofErr w:type="spellEnd"/>
      <w:r w:rsidRPr="00BE7654">
        <w:rPr>
          <w:rFonts w:asciiTheme="majorHAnsi" w:hAnsiTheme="majorHAnsi"/>
          <w:i/>
          <w:sz w:val="18"/>
          <w:szCs w:val="18"/>
          <w:lang w:val="en-GB"/>
        </w:rPr>
        <w:t xml:space="preserve"> detention, including for “national security offences”, and on measures in that regard to ensure that the Covenant is respected in practice. Please comment on allegations that the authorities use lengthy periods of </w:t>
      </w:r>
      <w:proofErr w:type="spellStart"/>
      <w:r w:rsidRPr="00BE7654">
        <w:rPr>
          <w:rFonts w:asciiTheme="majorHAnsi" w:hAnsiTheme="majorHAnsi"/>
          <w:i/>
          <w:sz w:val="18"/>
          <w:szCs w:val="18"/>
          <w:lang w:val="en-GB"/>
        </w:rPr>
        <w:t>pretrial</w:t>
      </w:r>
      <w:proofErr w:type="spellEnd"/>
      <w:r w:rsidRPr="00BE7654">
        <w:rPr>
          <w:rFonts w:asciiTheme="majorHAnsi" w:hAnsiTheme="majorHAnsi"/>
          <w:i/>
          <w:sz w:val="18"/>
          <w:szCs w:val="18"/>
          <w:lang w:val="en-GB"/>
        </w:rPr>
        <w:t xml:space="preserve"> detention to extract confessions. With reference to paragraph 101 of the State party’s report, please provide further information on avenues open to detainees for challenging the lawfulness of their detention before a court. Please elaborate on the steps and measures taken to (a) implement opinions adopted by the Working Group on Arbitrary Detention, in particular regarding the arbitrary detention of Nguyen Ngoc </w:t>
      </w:r>
      <w:proofErr w:type="spellStart"/>
      <w:r w:rsidRPr="00BE7654">
        <w:rPr>
          <w:rFonts w:asciiTheme="majorHAnsi" w:hAnsiTheme="majorHAnsi"/>
          <w:i/>
          <w:sz w:val="18"/>
          <w:szCs w:val="18"/>
          <w:lang w:val="en-GB"/>
        </w:rPr>
        <w:t>Nhu</w:t>
      </w:r>
      <w:proofErr w:type="spellEnd"/>
      <w:r w:rsidRPr="00BE7654">
        <w:rPr>
          <w:rFonts w:asciiTheme="majorHAnsi" w:hAnsiTheme="majorHAnsi"/>
          <w:i/>
          <w:sz w:val="18"/>
          <w:szCs w:val="18"/>
          <w:lang w:val="en-GB"/>
        </w:rPr>
        <w:t xml:space="preserve"> </w:t>
      </w:r>
      <w:proofErr w:type="spellStart"/>
      <w:r w:rsidRPr="00BE7654">
        <w:rPr>
          <w:rFonts w:asciiTheme="majorHAnsi" w:hAnsiTheme="majorHAnsi"/>
          <w:i/>
          <w:sz w:val="18"/>
          <w:szCs w:val="18"/>
          <w:lang w:val="en-GB"/>
        </w:rPr>
        <w:t>Quynh</w:t>
      </w:r>
      <w:proofErr w:type="spellEnd"/>
      <w:r w:rsidRPr="00BE7654">
        <w:rPr>
          <w:rFonts w:asciiTheme="majorHAnsi" w:hAnsiTheme="majorHAnsi"/>
          <w:i/>
          <w:sz w:val="18"/>
          <w:szCs w:val="18"/>
          <w:lang w:val="en-GB"/>
        </w:rPr>
        <w:t xml:space="preserve"> (opinion No. 27/2017), who blogs under the pen name “Me Nam” (Mother Mushroom); and (b) release all individuals arbitrarily detained in connection with “national security offences” and grant compensation to them. Please comment on allegations that administrative detention, particularly in drug detention centres, and house arrest are still a common practice</w:t>
      </w:r>
      <w:r w:rsidRPr="00BE7654">
        <w:rPr>
          <w:rFonts w:asciiTheme="majorHAnsi" w:hAnsiTheme="majorHAnsi"/>
          <w:i/>
          <w:sz w:val="18"/>
          <w:szCs w:val="18"/>
        </w:rPr>
        <w:t>.</w:t>
      </w:r>
    </w:p>
    <w:p w14:paraId="3BB7D10D"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lastRenderedPageBreak/>
        <w:t xml:space="preserve">Reply / </w:t>
      </w:r>
      <w:r w:rsidRPr="00424376">
        <w:rPr>
          <w:rStyle w:val="hps"/>
          <w:rFonts w:ascii="Calibri" w:hAnsi="Calibri"/>
          <w:b/>
          <w:sz w:val="24"/>
          <w:szCs w:val="24"/>
        </w:rPr>
        <w:t>Comments from Civil Society</w:t>
      </w:r>
    </w:p>
    <w:p w14:paraId="15DBC2C8"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2ACC368B"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77553BB3"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BE02DA0" w14:textId="77777777" w:rsidR="00DA7023" w:rsidRDefault="00DA7023" w:rsidP="00DA7023">
      <w:pPr>
        <w:pStyle w:val="SingleTxtG"/>
        <w:numPr>
          <w:ilvl w:val="0"/>
          <w:numId w:val="19"/>
        </w:numPr>
        <w:spacing w:after="0" w:line="240" w:lineRule="auto"/>
        <w:ind w:right="0"/>
        <w:rPr>
          <w:rFonts w:ascii="Calibri" w:hAnsi="Calibri"/>
          <w:sz w:val="22"/>
          <w:szCs w:val="22"/>
        </w:rPr>
      </w:pPr>
      <w:r w:rsidRPr="00772BC4">
        <w:rPr>
          <w:rFonts w:ascii="Calibri" w:hAnsi="Calibri"/>
          <w:sz w:val="22"/>
          <w:szCs w:val="22"/>
        </w:rPr>
        <w:t>…</w:t>
      </w:r>
    </w:p>
    <w:p w14:paraId="024326AD" w14:textId="77777777" w:rsidR="00DA7023" w:rsidRDefault="00DA7023" w:rsidP="00DA7023">
      <w:pPr>
        <w:pStyle w:val="SingleTxtG"/>
        <w:numPr>
          <w:ilvl w:val="0"/>
          <w:numId w:val="19"/>
        </w:numPr>
        <w:spacing w:after="0" w:line="240" w:lineRule="auto"/>
        <w:ind w:right="0"/>
        <w:rPr>
          <w:rFonts w:ascii="Calibri" w:hAnsi="Calibri"/>
          <w:sz w:val="22"/>
          <w:szCs w:val="22"/>
        </w:rPr>
      </w:pPr>
      <w:r>
        <w:rPr>
          <w:rFonts w:ascii="Calibri" w:hAnsi="Calibri"/>
          <w:sz w:val="22"/>
          <w:szCs w:val="22"/>
        </w:rPr>
        <w:t>…</w:t>
      </w:r>
    </w:p>
    <w:p w14:paraId="652F5C44" w14:textId="77777777" w:rsidR="00DA7023" w:rsidRPr="00772BC4" w:rsidRDefault="00DA7023" w:rsidP="00DA7023">
      <w:pPr>
        <w:pStyle w:val="SingleTxtG"/>
        <w:numPr>
          <w:ilvl w:val="0"/>
          <w:numId w:val="19"/>
        </w:numPr>
        <w:spacing w:after="0" w:line="240" w:lineRule="auto"/>
        <w:ind w:right="0"/>
        <w:rPr>
          <w:rFonts w:ascii="Calibri" w:hAnsi="Calibri"/>
          <w:sz w:val="22"/>
          <w:szCs w:val="22"/>
        </w:rPr>
      </w:pPr>
      <w:r>
        <w:rPr>
          <w:rFonts w:ascii="Calibri" w:hAnsi="Calibri"/>
          <w:sz w:val="22"/>
          <w:szCs w:val="22"/>
        </w:rPr>
        <w:t>…</w:t>
      </w:r>
    </w:p>
    <w:p w14:paraId="717D6332" w14:textId="77777777" w:rsidR="00772BC4" w:rsidRDefault="00772BC4" w:rsidP="00772BC4">
      <w:pPr>
        <w:pStyle w:val="SingleTxtG"/>
        <w:spacing w:after="0" w:line="240" w:lineRule="auto"/>
        <w:ind w:left="0" w:right="0"/>
        <w:rPr>
          <w:rFonts w:ascii="Calibri" w:eastAsia="Calibri" w:hAnsi="Calibri"/>
          <w:b/>
          <w:color w:val="000000"/>
          <w:u w:val="single"/>
        </w:rPr>
      </w:pPr>
    </w:p>
    <w:p w14:paraId="7A6BE825" w14:textId="77777777" w:rsidR="00DA7023" w:rsidRPr="00772BC4" w:rsidRDefault="00DA7023" w:rsidP="00772BC4">
      <w:pPr>
        <w:pStyle w:val="SingleTxtG"/>
        <w:spacing w:after="0" w:line="240" w:lineRule="auto"/>
        <w:ind w:left="0" w:right="0"/>
        <w:rPr>
          <w:rFonts w:ascii="Calibri" w:hAnsi="Calibri"/>
          <w:sz w:val="22"/>
          <w:szCs w:val="22"/>
        </w:rPr>
      </w:pPr>
    </w:p>
    <w:p w14:paraId="6D5876EA" w14:textId="29E355B7" w:rsidR="00FB2973" w:rsidRPr="00FB2973" w:rsidRDefault="00DA7023" w:rsidP="00FB29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lang w:val="en-GB"/>
        </w:rPr>
        <w:t>Right</w:t>
      </w:r>
      <w:r w:rsidR="00FB2973">
        <w:rPr>
          <w:b/>
          <w:sz w:val="28"/>
          <w:szCs w:val="28"/>
          <w:u w:val="single"/>
          <w:lang w:val="en-GB"/>
        </w:rPr>
        <w:t xml:space="preserve"> </w:t>
      </w:r>
      <w:r>
        <w:rPr>
          <w:b/>
          <w:sz w:val="28"/>
          <w:szCs w:val="28"/>
          <w:u w:val="single"/>
          <w:lang w:val="en-GB"/>
        </w:rPr>
        <w:t>to a fair trial and independence of the judiciary</w:t>
      </w:r>
      <w:r w:rsidR="00FB2973">
        <w:rPr>
          <w:b/>
          <w:sz w:val="28"/>
          <w:szCs w:val="28"/>
          <w:u w:val="single"/>
        </w:rPr>
        <w:t xml:space="preserve"> (art</w:t>
      </w:r>
      <w:r w:rsidR="00FB2973" w:rsidRPr="00E60A65">
        <w:rPr>
          <w:b/>
          <w:sz w:val="28"/>
          <w:szCs w:val="28"/>
          <w:u w:val="single"/>
        </w:rPr>
        <w:t>. </w:t>
      </w:r>
      <w:r>
        <w:rPr>
          <w:b/>
          <w:sz w:val="28"/>
          <w:szCs w:val="28"/>
          <w:u w:val="single"/>
        </w:rPr>
        <w:t>1</w:t>
      </w:r>
      <w:r w:rsidR="00FB2973">
        <w:rPr>
          <w:b/>
          <w:sz w:val="28"/>
          <w:szCs w:val="28"/>
          <w:u w:val="single"/>
        </w:rPr>
        <w:t>4</w:t>
      </w:r>
      <w:r w:rsidR="00FB2973" w:rsidRPr="00E60A65">
        <w:rPr>
          <w:b/>
          <w:sz w:val="28"/>
          <w:szCs w:val="28"/>
          <w:u w:val="single"/>
          <w:lang w:val="en-GB"/>
        </w:rPr>
        <w:t>)</w:t>
      </w:r>
    </w:p>
    <w:p w14:paraId="30D9EDE6" w14:textId="55492A07"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15</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 xml:space="preserve">With reference to paragraphs 9–10 of the Committee’s previous concluding observations, please report on concrete measures to ensure in practice the full independence and impartiality of judges from the ruling party and the executive branch, including the procedures for appointing and dismissing judges. Please comment on allegations that </w:t>
      </w:r>
      <w:proofErr w:type="gramStart"/>
      <w:r w:rsidRPr="00BE7654">
        <w:rPr>
          <w:rFonts w:asciiTheme="majorHAnsi" w:hAnsiTheme="majorHAnsi"/>
          <w:i/>
          <w:sz w:val="18"/>
          <w:szCs w:val="18"/>
          <w:lang w:val="en-GB"/>
        </w:rPr>
        <w:t>(a) most of the high-level positions in the judicial system are held by current or former officials</w:t>
      </w:r>
      <w:proofErr w:type="gramEnd"/>
      <w:r w:rsidRPr="00BE7654">
        <w:rPr>
          <w:rFonts w:asciiTheme="majorHAnsi" w:hAnsiTheme="majorHAnsi"/>
          <w:i/>
          <w:sz w:val="18"/>
          <w:szCs w:val="18"/>
          <w:lang w:val="en-GB"/>
        </w:rPr>
        <w:t xml:space="preserve"> from the Ministry of Public Security and the Communist Politburo; and (b) judges commonly seek the opinion of other judges who have not heard the case in question on how to decide on a case. With reference to paragraph 150 of the State party’s report, please provide further information on concrete measures to (a) ensure access to justice for all and ensure awareness of the right to legal aid, particularly among the most vulnerable groups; (b) restore citizens’ trust in national courts; and (c) expand the pool of qualified lawyers and legal advisers capable of assisting people in enforcing their rights</w:t>
      </w:r>
      <w:r w:rsidRPr="00BE7654">
        <w:rPr>
          <w:rFonts w:asciiTheme="majorHAnsi" w:hAnsiTheme="majorHAnsi"/>
          <w:i/>
          <w:sz w:val="18"/>
          <w:szCs w:val="18"/>
        </w:rPr>
        <w:t>.</w:t>
      </w:r>
    </w:p>
    <w:p w14:paraId="33884B60"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EC07769"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08B1A498"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220401D9"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EC79A85" w14:textId="77777777" w:rsidR="00DA7023" w:rsidRDefault="00DA7023" w:rsidP="00DA7023">
      <w:pPr>
        <w:pStyle w:val="SingleTxtG"/>
        <w:numPr>
          <w:ilvl w:val="0"/>
          <w:numId w:val="20"/>
        </w:numPr>
        <w:spacing w:after="0" w:line="240" w:lineRule="auto"/>
        <w:ind w:right="0"/>
        <w:rPr>
          <w:rFonts w:ascii="Calibri" w:hAnsi="Calibri"/>
          <w:sz w:val="22"/>
          <w:szCs w:val="22"/>
        </w:rPr>
      </w:pPr>
      <w:r w:rsidRPr="00772BC4">
        <w:rPr>
          <w:rFonts w:ascii="Calibri" w:hAnsi="Calibri"/>
          <w:sz w:val="22"/>
          <w:szCs w:val="22"/>
        </w:rPr>
        <w:t>…</w:t>
      </w:r>
    </w:p>
    <w:p w14:paraId="1A7F9063" w14:textId="77777777" w:rsidR="00DA7023" w:rsidRDefault="00DA7023" w:rsidP="00DA7023">
      <w:pPr>
        <w:pStyle w:val="SingleTxtG"/>
        <w:numPr>
          <w:ilvl w:val="0"/>
          <w:numId w:val="20"/>
        </w:numPr>
        <w:spacing w:after="0" w:line="240" w:lineRule="auto"/>
        <w:ind w:right="0"/>
        <w:rPr>
          <w:rFonts w:ascii="Calibri" w:hAnsi="Calibri"/>
          <w:sz w:val="22"/>
          <w:szCs w:val="22"/>
        </w:rPr>
      </w:pPr>
      <w:r>
        <w:rPr>
          <w:rFonts w:ascii="Calibri" w:hAnsi="Calibri"/>
          <w:sz w:val="22"/>
          <w:szCs w:val="22"/>
        </w:rPr>
        <w:t>…</w:t>
      </w:r>
    </w:p>
    <w:p w14:paraId="2AD2DA4E" w14:textId="77777777" w:rsidR="00DA7023" w:rsidRPr="00772BC4" w:rsidRDefault="00DA7023" w:rsidP="00DA7023">
      <w:pPr>
        <w:pStyle w:val="SingleTxtG"/>
        <w:numPr>
          <w:ilvl w:val="0"/>
          <w:numId w:val="20"/>
        </w:numPr>
        <w:spacing w:after="0" w:line="240" w:lineRule="auto"/>
        <w:ind w:right="0"/>
        <w:rPr>
          <w:rFonts w:ascii="Calibri" w:hAnsi="Calibri"/>
          <w:sz w:val="22"/>
          <w:szCs w:val="22"/>
        </w:rPr>
      </w:pPr>
      <w:r>
        <w:rPr>
          <w:rFonts w:ascii="Calibri" w:hAnsi="Calibri"/>
          <w:sz w:val="22"/>
          <w:szCs w:val="22"/>
        </w:rPr>
        <w:t>…</w:t>
      </w:r>
    </w:p>
    <w:p w14:paraId="760DA43B" w14:textId="77777777" w:rsidR="00DA7023" w:rsidRDefault="00DA7023" w:rsidP="00DA7023">
      <w:pPr>
        <w:pStyle w:val="SingleTxtG"/>
        <w:spacing w:after="0" w:line="240" w:lineRule="auto"/>
        <w:ind w:left="0" w:right="0"/>
        <w:rPr>
          <w:rFonts w:ascii="Calibri" w:eastAsia="Calibri" w:hAnsi="Calibri"/>
          <w:b/>
          <w:color w:val="000000"/>
          <w:u w:val="single"/>
        </w:rPr>
      </w:pPr>
    </w:p>
    <w:p w14:paraId="11EE2D76" w14:textId="2E452C66"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16</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Please comment on allegations that defence lawyers are frequently (a) prevented from consulting with clients until the beginning of the trial; (b) provided with insufficient time to prepare legal arguments; (c) prevented from obtaining access to evidence; and (d) unaware of the witnesses to be called during a trial and unable to cross-examine or challenge their statement. Please also comment on allegations of violations of the equal status principles for the prosecution and the defence, in particular that judges arbitrarily (a) silence or expel defence lawyers from courtrooms; and (b) refuse to summon experts and witnesses called by the defence. Please report on the existence of remedies for persons whose right to a fair trial has been violated. Please also elaborate on the provisions of article 19.3 of the Penal Code, which may require lawyers to violate lawyer-client confidentiality. Please comment on reports that trials resulting in harsh criminal penalties are frequently conducted within one day or less. Please provide information on allegations of recurrent denials of the presumption of innocence in practice, in particular in national security cases and that article 74 of the Criminal Procedure Code allows for postponing the participation of defence counsel until the conclusion of the investigation</w:t>
      </w:r>
      <w:r w:rsidRPr="00BE7654">
        <w:rPr>
          <w:rFonts w:asciiTheme="majorHAnsi" w:hAnsiTheme="majorHAnsi"/>
          <w:i/>
          <w:sz w:val="18"/>
          <w:szCs w:val="18"/>
        </w:rPr>
        <w:t>.</w:t>
      </w:r>
    </w:p>
    <w:p w14:paraId="7952D1E5"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794B29B6"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538C1E22"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416CD14C"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6A62D60" w14:textId="77777777" w:rsidR="00DA7023" w:rsidRDefault="00DA7023" w:rsidP="00DA7023">
      <w:pPr>
        <w:pStyle w:val="SingleTxtG"/>
        <w:numPr>
          <w:ilvl w:val="0"/>
          <w:numId w:val="21"/>
        </w:numPr>
        <w:spacing w:after="0" w:line="240" w:lineRule="auto"/>
        <w:ind w:right="0"/>
        <w:rPr>
          <w:rFonts w:ascii="Calibri" w:hAnsi="Calibri"/>
          <w:sz w:val="22"/>
          <w:szCs w:val="22"/>
        </w:rPr>
      </w:pPr>
      <w:r w:rsidRPr="00772BC4">
        <w:rPr>
          <w:rFonts w:ascii="Calibri" w:hAnsi="Calibri"/>
          <w:sz w:val="22"/>
          <w:szCs w:val="22"/>
        </w:rPr>
        <w:t>…</w:t>
      </w:r>
    </w:p>
    <w:p w14:paraId="30276A68" w14:textId="77777777" w:rsidR="00DA7023" w:rsidRDefault="00DA7023" w:rsidP="00DA7023">
      <w:pPr>
        <w:pStyle w:val="SingleTxtG"/>
        <w:numPr>
          <w:ilvl w:val="0"/>
          <w:numId w:val="21"/>
        </w:numPr>
        <w:spacing w:after="0" w:line="240" w:lineRule="auto"/>
        <w:ind w:right="0"/>
        <w:rPr>
          <w:rFonts w:ascii="Calibri" w:hAnsi="Calibri"/>
          <w:sz w:val="22"/>
          <w:szCs w:val="22"/>
        </w:rPr>
      </w:pPr>
      <w:r>
        <w:rPr>
          <w:rFonts w:ascii="Calibri" w:hAnsi="Calibri"/>
          <w:sz w:val="22"/>
          <w:szCs w:val="22"/>
        </w:rPr>
        <w:t>…</w:t>
      </w:r>
    </w:p>
    <w:p w14:paraId="7329E9E6" w14:textId="77777777" w:rsidR="00DA7023" w:rsidRPr="00772BC4" w:rsidRDefault="00DA7023" w:rsidP="00DA7023">
      <w:pPr>
        <w:pStyle w:val="SingleTxtG"/>
        <w:numPr>
          <w:ilvl w:val="0"/>
          <w:numId w:val="21"/>
        </w:numPr>
        <w:spacing w:after="0" w:line="240" w:lineRule="auto"/>
        <w:ind w:right="0"/>
        <w:rPr>
          <w:rFonts w:ascii="Calibri" w:hAnsi="Calibri"/>
          <w:sz w:val="22"/>
          <w:szCs w:val="22"/>
        </w:rPr>
      </w:pPr>
      <w:r>
        <w:rPr>
          <w:rFonts w:ascii="Calibri" w:hAnsi="Calibri"/>
          <w:sz w:val="22"/>
          <w:szCs w:val="22"/>
        </w:rPr>
        <w:t>…</w:t>
      </w:r>
    </w:p>
    <w:p w14:paraId="29FF1FC1" w14:textId="77777777" w:rsidR="00DA7023" w:rsidRDefault="00DA7023" w:rsidP="00DA7023">
      <w:pPr>
        <w:pStyle w:val="SingleTxtG"/>
        <w:spacing w:after="0" w:line="240" w:lineRule="auto"/>
        <w:ind w:left="0" w:right="0"/>
        <w:rPr>
          <w:rFonts w:ascii="Calibri" w:eastAsia="Calibri" w:hAnsi="Calibri"/>
          <w:b/>
          <w:color w:val="000000"/>
          <w:u w:val="single"/>
        </w:rPr>
      </w:pPr>
    </w:p>
    <w:p w14:paraId="3583E81C" w14:textId="77777777" w:rsidR="00772BC4" w:rsidRPr="00772BC4" w:rsidRDefault="00772BC4" w:rsidP="00772BC4">
      <w:pPr>
        <w:pStyle w:val="SingleTxtG"/>
        <w:spacing w:after="0" w:line="240" w:lineRule="auto"/>
        <w:ind w:left="0" w:right="0"/>
        <w:rPr>
          <w:rFonts w:ascii="Calibri" w:hAnsi="Calibri"/>
          <w:sz w:val="22"/>
          <w:szCs w:val="22"/>
        </w:rPr>
      </w:pPr>
    </w:p>
    <w:p w14:paraId="3443618F" w14:textId="3FE8232C" w:rsidR="00521D55" w:rsidRPr="00FB2973" w:rsidRDefault="00DA7023" w:rsidP="00521D55">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lang w:val="en-GB"/>
        </w:rPr>
        <w:t>Freedom of conscience and religious belief</w:t>
      </w:r>
      <w:r w:rsidR="00FB2973" w:rsidRPr="00FB2973">
        <w:rPr>
          <w:b/>
          <w:sz w:val="28"/>
          <w:szCs w:val="28"/>
          <w:u w:val="single"/>
        </w:rPr>
        <w:t xml:space="preserve"> (art</w:t>
      </w:r>
      <w:r>
        <w:rPr>
          <w:b/>
          <w:sz w:val="28"/>
          <w:szCs w:val="28"/>
          <w:u w:val="single"/>
        </w:rPr>
        <w:t>s</w:t>
      </w:r>
      <w:r w:rsidR="00FB2973" w:rsidRPr="00FB2973">
        <w:rPr>
          <w:b/>
          <w:sz w:val="28"/>
          <w:szCs w:val="28"/>
          <w:u w:val="single"/>
        </w:rPr>
        <w:t>.</w:t>
      </w:r>
      <w:r>
        <w:rPr>
          <w:b/>
          <w:sz w:val="28"/>
          <w:szCs w:val="28"/>
          <w:u w:val="single"/>
        </w:rPr>
        <w:t xml:space="preserve"> 2, 18, 26 and 27</w:t>
      </w:r>
      <w:r w:rsidR="00521D55" w:rsidRPr="00FB2973">
        <w:rPr>
          <w:b/>
          <w:sz w:val="28"/>
          <w:szCs w:val="28"/>
          <w:u w:val="single"/>
          <w:lang w:val="en-GB"/>
        </w:rPr>
        <w:t>)</w:t>
      </w:r>
    </w:p>
    <w:p w14:paraId="4712ADF0" w14:textId="426A80ED"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lastRenderedPageBreak/>
        <w:t>Issue 17</w:t>
      </w:r>
      <w:r w:rsidRPr="00BE7654">
        <w:rPr>
          <w:color w:val="000000"/>
          <w:lang w:val="en-GB"/>
        </w:rPr>
        <w:t>:</w:t>
      </w:r>
      <w:r w:rsidRPr="003B79EC">
        <w:rPr>
          <w:color w:val="000000"/>
          <w:sz w:val="20"/>
          <w:szCs w:val="20"/>
          <w:lang w:val="en-GB"/>
        </w:rPr>
        <w:t xml:space="preserve"> </w:t>
      </w:r>
      <w:r w:rsidRPr="00BE7654">
        <w:rPr>
          <w:rFonts w:asciiTheme="majorHAnsi" w:hAnsiTheme="majorHAnsi"/>
          <w:i/>
          <w:sz w:val="18"/>
          <w:szCs w:val="18"/>
          <w:lang w:val="en-GB"/>
        </w:rPr>
        <w:t>With reference to paragraphs 16–17 of the Committee’s previous concluding observations, and paragraph 167 of the State party’s report, please further elaborate on the elements of the law on religion and belief of January 2018, particularly in relation to lifting restrictions on religious freedom. Please elaborate in particular on (a) the definition of religion in the new law; (b) the process to obtain registration and recognition for religious organizations; (c) the ability to challenge the refusal of the Committee for Religious Affairs to approve registration at the national or regional level; (d) the mandatory requirement of prior approval for religious activities from the authorities, including activities related to worship; and (e) restrictions on religious freedoms permitted in practice under the “national security” and “social unity” provisions of the law. With reference to paragraph 169 of the report, please provide information on any plans for adopting legislation recognizing the right to conscientious objection to military service and introducing an alternative civilian service for conscientious objectors</w:t>
      </w:r>
      <w:r w:rsidRPr="00BE7654">
        <w:rPr>
          <w:rFonts w:asciiTheme="majorHAnsi" w:hAnsiTheme="majorHAnsi"/>
          <w:i/>
          <w:sz w:val="18"/>
          <w:szCs w:val="18"/>
        </w:rPr>
        <w:t>.</w:t>
      </w:r>
    </w:p>
    <w:p w14:paraId="32A7AADA"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65523ECA"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1F3FC42B"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6C5577F7"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25E83079" w14:textId="77777777" w:rsidR="00DA7023" w:rsidRDefault="00DA7023" w:rsidP="00DA7023">
      <w:pPr>
        <w:pStyle w:val="SingleTxtG"/>
        <w:numPr>
          <w:ilvl w:val="0"/>
          <w:numId w:val="22"/>
        </w:numPr>
        <w:spacing w:after="0" w:line="240" w:lineRule="auto"/>
        <w:ind w:right="0"/>
        <w:rPr>
          <w:rFonts w:ascii="Calibri" w:hAnsi="Calibri"/>
          <w:sz w:val="22"/>
          <w:szCs w:val="22"/>
        </w:rPr>
      </w:pPr>
      <w:r w:rsidRPr="00772BC4">
        <w:rPr>
          <w:rFonts w:ascii="Calibri" w:hAnsi="Calibri"/>
          <w:sz w:val="22"/>
          <w:szCs w:val="22"/>
        </w:rPr>
        <w:t>…</w:t>
      </w:r>
    </w:p>
    <w:p w14:paraId="5798619B" w14:textId="77777777" w:rsidR="00DA7023" w:rsidRDefault="00DA7023" w:rsidP="00DA7023">
      <w:pPr>
        <w:pStyle w:val="SingleTxtG"/>
        <w:numPr>
          <w:ilvl w:val="0"/>
          <w:numId w:val="22"/>
        </w:numPr>
        <w:spacing w:after="0" w:line="240" w:lineRule="auto"/>
        <w:ind w:right="0"/>
        <w:rPr>
          <w:rFonts w:ascii="Calibri" w:hAnsi="Calibri"/>
          <w:sz w:val="22"/>
          <w:szCs w:val="22"/>
        </w:rPr>
      </w:pPr>
      <w:r>
        <w:rPr>
          <w:rFonts w:ascii="Calibri" w:hAnsi="Calibri"/>
          <w:sz w:val="22"/>
          <w:szCs w:val="22"/>
        </w:rPr>
        <w:t>…</w:t>
      </w:r>
    </w:p>
    <w:p w14:paraId="0BE5545F" w14:textId="77777777" w:rsidR="00DA7023" w:rsidRPr="00772BC4" w:rsidRDefault="00DA7023" w:rsidP="00DA7023">
      <w:pPr>
        <w:pStyle w:val="SingleTxtG"/>
        <w:numPr>
          <w:ilvl w:val="0"/>
          <w:numId w:val="22"/>
        </w:numPr>
        <w:spacing w:after="0" w:line="240" w:lineRule="auto"/>
        <w:ind w:right="0"/>
        <w:rPr>
          <w:rFonts w:ascii="Calibri" w:hAnsi="Calibri"/>
          <w:sz w:val="22"/>
          <w:szCs w:val="22"/>
        </w:rPr>
      </w:pPr>
      <w:r>
        <w:rPr>
          <w:rFonts w:ascii="Calibri" w:hAnsi="Calibri"/>
          <w:sz w:val="22"/>
          <w:szCs w:val="22"/>
        </w:rPr>
        <w:t>…</w:t>
      </w:r>
    </w:p>
    <w:p w14:paraId="77E28AEA" w14:textId="77777777" w:rsidR="00DA7023" w:rsidRDefault="00DA7023" w:rsidP="00DA7023">
      <w:pPr>
        <w:pStyle w:val="SingleTxtG"/>
        <w:spacing w:after="0" w:line="240" w:lineRule="auto"/>
        <w:ind w:left="0" w:right="0"/>
        <w:rPr>
          <w:rFonts w:ascii="Calibri" w:eastAsia="Calibri" w:hAnsi="Calibri"/>
          <w:b/>
          <w:color w:val="000000"/>
          <w:u w:val="single"/>
        </w:rPr>
      </w:pPr>
    </w:p>
    <w:p w14:paraId="15F95288" w14:textId="6CF61B32"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18</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lang w:val="en-GB"/>
        </w:rPr>
        <w:t xml:space="preserve">Please comment on reports that leaders and followers of religious groups, particularly non-registered ones, continue to be forced to renounce their faith, are subject to surveillance and are intimidated, harassed, detained, tortured and convicted on the ground of “national security offences”, particularly among the </w:t>
      </w:r>
      <w:proofErr w:type="spellStart"/>
      <w:r w:rsidRPr="00BE7654">
        <w:rPr>
          <w:rFonts w:asciiTheme="majorHAnsi" w:hAnsiTheme="majorHAnsi"/>
          <w:i/>
          <w:sz w:val="18"/>
          <w:szCs w:val="18"/>
          <w:lang w:val="en-GB"/>
        </w:rPr>
        <w:t>Degar</w:t>
      </w:r>
      <w:proofErr w:type="spellEnd"/>
      <w:r w:rsidRPr="00BE7654">
        <w:rPr>
          <w:rFonts w:asciiTheme="majorHAnsi" w:hAnsiTheme="majorHAnsi"/>
          <w:i/>
          <w:sz w:val="18"/>
          <w:szCs w:val="18"/>
          <w:lang w:val="en-GB"/>
        </w:rPr>
        <w:t>/</w:t>
      </w:r>
      <w:proofErr w:type="spellStart"/>
      <w:r w:rsidRPr="00BE7654">
        <w:rPr>
          <w:rFonts w:asciiTheme="majorHAnsi" w:hAnsiTheme="majorHAnsi"/>
          <w:i/>
          <w:sz w:val="18"/>
          <w:szCs w:val="18"/>
          <w:lang w:val="en-GB"/>
        </w:rPr>
        <w:t>Montagnard</w:t>
      </w:r>
      <w:proofErr w:type="spellEnd"/>
      <w:r w:rsidRPr="00BE7654">
        <w:rPr>
          <w:rFonts w:asciiTheme="majorHAnsi" w:hAnsiTheme="majorHAnsi"/>
          <w:i/>
          <w:sz w:val="18"/>
          <w:szCs w:val="18"/>
          <w:lang w:val="en-GB"/>
        </w:rPr>
        <w:t xml:space="preserve"> and Hmong minorities. Please also comment on reports of disruption of religious services, the denial of access to education, notably for children whose parents are Christian, forced relocations of religious communities, the destruction of religious edifices and the confiscation of lands and expropriation of properties targeting religious communities and followers of religious groups on purpose. Please comment on allegations of public defamation campaigns in the media against religions and religious communities and calls from high-level officials to eliminate certain religious communities</w:t>
      </w:r>
      <w:r w:rsidRPr="00BE7654">
        <w:rPr>
          <w:rFonts w:asciiTheme="majorHAnsi" w:hAnsiTheme="majorHAnsi"/>
          <w:i/>
          <w:sz w:val="18"/>
          <w:szCs w:val="18"/>
        </w:rPr>
        <w:t>.</w:t>
      </w:r>
    </w:p>
    <w:p w14:paraId="18DFDFDC"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5F9BB417"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7358C6E5"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2FD338A7"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55312314" w14:textId="77777777" w:rsidR="00DA7023" w:rsidRDefault="00DA7023" w:rsidP="00DA7023">
      <w:pPr>
        <w:pStyle w:val="SingleTxtG"/>
        <w:numPr>
          <w:ilvl w:val="0"/>
          <w:numId w:val="23"/>
        </w:numPr>
        <w:spacing w:after="0" w:line="240" w:lineRule="auto"/>
        <w:ind w:right="0"/>
        <w:rPr>
          <w:rFonts w:ascii="Calibri" w:hAnsi="Calibri"/>
          <w:sz w:val="22"/>
          <w:szCs w:val="22"/>
        </w:rPr>
      </w:pPr>
      <w:r w:rsidRPr="00772BC4">
        <w:rPr>
          <w:rFonts w:ascii="Calibri" w:hAnsi="Calibri"/>
          <w:sz w:val="22"/>
          <w:szCs w:val="22"/>
        </w:rPr>
        <w:t>…</w:t>
      </w:r>
    </w:p>
    <w:p w14:paraId="591B89E2" w14:textId="77777777" w:rsidR="00DA7023" w:rsidRDefault="00DA7023" w:rsidP="00DA7023">
      <w:pPr>
        <w:pStyle w:val="SingleTxtG"/>
        <w:numPr>
          <w:ilvl w:val="0"/>
          <w:numId w:val="23"/>
        </w:numPr>
        <w:spacing w:after="0" w:line="240" w:lineRule="auto"/>
        <w:ind w:right="0"/>
        <w:rPr>
          <w:rFonts w:ascii="Calibri" w:hAnsi="Calibri"/>
          <w:sz w:val="22"/>
          <w:szCs w:val="22"/>
        </w:rPr>
      </w:pPr>
      <w:r>
        <w:rPr>
          <w:rFonts w:ascii="Calibri" w:hAnsi="Calibri"/>
          <w:sz w:val="22"/>
          <w:szCs w:val="22"/>
        </w:rPr>
        <w:t>…</w:t>
      </w:r>
    </w:p>
    <w:p w14:paraId="10859838" w14:textId="77777777" w:rsidR="00DA7023" w:rsidRPr="00772BC4" w:rsidRDefault="00DA7023" w:rsidP="00DA7023">
      <w:pPr>
        <w:pStyle w:val="SingleTxtG"/>
        <w:numPr>
          <w:ilvl w:val="0"/>
          <w:numId w:val="23"/>
        </w:numPr>
        <w:spacing w:after="0" w:line="240" w:lineRule="auto"/>
        <w:ind w:right="0"/>
        <w:rPr>
          <w:rFonts w:ascii="Calibri" w:hAnsi="Calibri"/>
          <w:sz w:val="22"/>
          <w:szCs w:val="22"/>
        </w:rPr>
      </w:pPr>
      <w:r>
        <w:rPr>
          <w:rFonts w:ascii="Calibri" w:hAnsi="Calibri"/>
          <w:sz w:val="22"/>
          <w:szCs w:val="22"/>
        </w:rPr>
        <w:t>…</w:t>
      </w:r>
    </w:p>
    <w:p w14:paraId="702D4C25" w14:textId="77777777" w:rsidR="00DA7023" w:rsidRPr="004F0F73" w:rsidRDefault="00DA7023" w:rsidP="00DA7023">
      <w:pPr>
        <w:pStyle w:val="SingleTxtG"/>
        <w:spacing w:after="0" w:line="240" w:lineRule="auto"/>
        <w:ind w:left="0" w:right="0"/>
        <w:rPr>
          <w:rFonts w:ascii="Calibri" w:eastAsia="Calibri" w:hAnsi="Calibri"/>
          <w:b/>
          <w:color w:val="000000"/>
          <w:sz w:val="22"/>
          <w:szCs w:val="22"/>
          <w:u w:val="single"/>
        </w:rPr>
      </w:pPr>
    </w:p>
    <w:p w14:paraId="67DCDB37" w14:textId="77777777" w:rsidR="00772BC4" w:rsidRPr="004F0F73" w:rsidRDefault="00772BC4" w:rsidP="00772BC4">
      <w:pPr>
        <w:pStyle w:val="SingleTxtG"/>
        <w:spacing w:after="0" w:line="240" w:lineRule="auto"/>
        <w:ind w:left="0" w:right="0"/>
        <w:rPr>
          <w:rFonts w:ascii="Calibri" w:hAnsi="Calibri"/>
          <w:sz w:val="22"/>
          <w:szCs w:val="22"/>
        </w:rPr>
      </w:pPr>
    </w:p>
    <w:p w14:paraId="2E721B79" w14:textId="0D082E36" w:rsidR="00FB2973" w:rsidRPr="00FB2973" w:rsidRDefault="00DA7023" w:rsidP="00FB29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Freedom of expression and the right to privacy (arts. 1</w:t>
      </w:r>
      <w:r w:rsidR="00FB2973" w:rsidRPr="00FB2973">
        <w:rPr>
          <w:b/>
          <w:sz w:val="28"/>
          <w:szCs w:val="28"/>
          <w:u w:val="single"/>
        </w:rPr>
        <w:t>7</w:t>
      </w:r>
      <w:r>
        <w:rPr>
          <w:b/>
          <w:sz w:val="28"/>
          <w:szCs w:val="28"/>
          <w:u w:val="single"/>
        </w:rPr>
        <w:t xml:space="preserve"> and 19</w:t>
      </w:r>
      <w:r w:rsidR="00FB2973" w:rsidRPr="00FB2973">
        <w:rPr>
          <w:b/>
          <w:sz w:val="28"/>
          <w:szCs w:val="28"/>
          <w:u w:val="single"/>
          <w:lang w:val="en-GB"/>
        </w:rPr>
        <w:t>)</w:t>
      </w:r>
    </w:p>
    <w:p w14:paraId="06A0C8BA" w14:textId="1FC25B29"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19</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lang w:val="en-GB"/>
        </w:rPr>
        <w:t>Please comment on the reports of a crackdown on freedom of expression between January 2017 and April 2018. With reference to Penal Code article 109 on “Activities against the people’s Government”; article 116 on “Sabotaging implementation of solidarity policies”; article 117 on “Making, storing, spreading information, materials, items for the purpose of opposing the State of the Socialist Republic of Vietnam”; and article 331 on “Abusing democratic freedoms to infringe upon the interests of the State, lawful rights and interests of organizations and/or citizens”, please (a) elaborate on their compatibility with the Covenant, and in particular with article 19; (b) comment on reports that they have been used as a tool for political retaliation and to arbitrarily arrest, detain and convict human rights activists, dissidents, members of religious groups, ethnic minorities and members of non-governmental organizations; and (c) indicate the number of persons convicted under these provisions and any measures taken towards their release</w:t>
      </w:r>
      <w:r w:rsidRPr="00BE7654">
        <w:rPr>
          <w:rFonts w:asciiTheme="majorHAnsi" w:hAnsiTheme="majorHAnsi"/>
          <w:i/>
          <w:sz w:val="18"/>
          <w:szCs w:val="18"/>
        </w:rPr>
        <w:t>.</w:t>
      </w:r>
    </w:p>
    <w:p w14:paraId="61413653"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1DCDF52E"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0143B630"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1DB10610"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2B425740" w14:textId="77777777" w:rsidR="00DA7023" w:rsidRDefault="00DA7023" w:rsidP="00DA7023">
      <w:pPr>
        <w:pStyle w:val="SingleTxtG"/>
        <w:numPr>
          <w:ilvl w:val="0"/>
          <w:numId w:val="24"/>
        </w:numPr>
        <w:spacing w:after="0" w:line="240" w:lineRule="auto"/>
        <w:ind w:right="0"/>
        <w:rPr>
          <w:rFonts w:ascii="Calibri" w:hAnsi="Calibri"/>
          <w:sz w:val="22"/>
          <w:szCs w:val="22"/>
        </w:rPr>
      </w:pPr>
      <w:r w:rsidRPr="00772BC4">
        <w:rPr>
          <w:rFonts w:ascii="Calibri" w:hAnsi="Calibri"/>
          <w:sz w:val="22"/>
          <w:szCs w:val="22"/>
        </w:rPr>
        <w:lastRenderedPageBreak/>
        <w:t>…</w:t>
      </w:r>
    </w:p>
    <w:p w14:paraId="2B1A0383" w14:textId="77777777" w:rsidR="00DA7023" w:rsidRDefault="00DA7023" w:rsidP="00DA7023">
      <w:pPr>
        <w:pStyle w:val="SingleTxtG"/>
        <w:numPr>
          <w:ilvl w:val="0"/>
          <w:numId w:val="24"/>
        </w:numPr>
        <w:spacing w:after="0" w:line="240" w:lineRule="auto"/>
        <w:ind w:right="0"/>
        <w:rPr>
          <w:rFonts w:ascii="Calibri" w:hAnsi="Calibri"/>
          <w:sz w:val="22"/>
          <w:szCs w:val="22"/>
        </w:rPr>
      </w:pPr>
      <w:r>
        <w:rPr>
          <w:rFonts w:ascii="Calibri" w:hAnsi="Calibri"/>
          <w:sz w:val="22"/>
          <w:szCs w:val="22"/>
        </w:rPr>
        <w:t>…</w:t>
      </w:r>
    </w:p>
    <w:p w14:paraId="20057ED6" w14:textId="77777777" w:rsidR="00DA7023" w:rsidRPr="00772BC4" w:rsidRDefault="00DA7023" w:rsidP="00DA7023">
      <w:pPr>
        <w:pStyle w:val="SingleTxtG"/>
        <w:numPr>
          <w:ilvl w:val="0"/>
          <w:numId w:val="24"/>
        </w:numPr>
        <w:spacing w:after="0" w:line="240" w:lineRule="auto"/>
        <w:ind w:right="0"/>
        <w:rPr>
          <w:rFonts w:ascii="Calibri" w:hAnsi="Calibri"/>
          <w:sz w:val="22"/>
          <w:szCs w:val="22"/>
        </w:rPr>
      </w:pPr>
      <w:r>
        <w:rPr>
          <w:rFonts w:ascii="Calibri" w:hAnsi="Calibri"/>
          <w:sz w:val="22"/>
          <w:szCs w:val="22"/>
        </w:rPr>
        <w:t>…</w:t>
      </w:r>
    </w:p>
    <w:p w14:paraId="0DDFA974" w14:textId="77777777" w:rsidR="00DA7023" w:rsidRDefault="00DA7023" w:rsidP="00DA7023">
      <w:pPr>
        <w:pStyle w:val="SingleTxtG"/>
        <w:spacing w:after="0" w:line="240" w:lineRule="auto"/>
        <w:ind w:left="0" w:right="0"/>
        <w:rPr>
          <w:rFonts w:ascii="Calibri" w:eastAsia="Calibri" w:hAnsi="Calibri"/>
          <w:b/>
          <w:color w:val="000000"/>
          <w:u w:val="single"/>
        </w:rPr>
      </w:pPr>
    </w:p>
    <w:p w14:paraId="4288343B" w14:textId="4EA3163E" w:rsidR="00DA7023"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20</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color w:val="000000"/>
          <w:sz w:val="18"/>
          <w:szCs w:val="18"/>
          <w:lang w:val="en-GB"/>
        </w:rPr>
        <w:t>Ple</w:t>
      </w:r>
      <w:r w:rsidRPr="00BE7654">
        <w:rPr>
          <w:rFonts w:asciiTheme="majorHAnsi" w:hAnsiTheme="majorHAnsi"/>
          <w:i/>
          <w:sz w:val="18"/>
          <w:szCs w:val="18"/>
          <w:lang w:val="en-GB"/>
        </w:rPr>
        <w:t>ase provide information on the new cyber security law, adopted on 12 June 2018, and elaborate on its compatibility with articles 17 and 19 of the Covenant, including the principles of necessity and proportionality, particularly the provisions that (a) define legal and illegal content in cyberspace; (b) require companies to deny service, censor or inform the Government about persons publishing forbidden content; and (c) require companies to store individual information related to national security. Please describe the legal safeguards that ensure that decisions infringing on freedom of expression and the right to privacy are subject to judicial review. With reference to paragraph 189 of the State party’s report, please (a) comment on allegations that the Internet is strictly monitored and provide data on the number of blogs or websites blocked during the reporting period and the reasons; and (b) explain the mandate and practice of “security cyber units” which monitor the use of the Internet by citizens. Please also provide information on the measures taken to enhance the right to access information, including the effect in practice of the 2016 law on access to information. With reference to paragraph 187 of the State party’s report and to paragraph 19 of the Committee’s previous concluding observations, please describe the steps taken towards the promotion of openness and pluralism in the media, including the current number of private media. Please provide further information on the legal framework regulating State control over the media, including the 2016 press law, and comment on allegations of sanctions being applied to the publication of content that does not meet governmental approval</w:t>
      </w:r>
      <w:r w:rsidRPr="00BE7654">
        <w:rPr>
          <w:rFonts w:asciiTheme="majorHAnsi" w:hAnsiTheme="majorHAnsi"/>
          <w:i/>
          <w:sz w:val="18"/>
          <w:szCs w:val="18"/>
        </w:rPr>
        <w:t>.</w:t>
      </w:r>
    </w:p>
    <w:p w14:paraId="7E48974B"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41E10C9C" w14:textId="77777777" w:rsidR="00DA7023" w:rsidRPr="00772BC4" w:rsidRDefault="00DA7023" w:rsidP="00DA702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71AD99F4" w14:textId="77777777" w:rsidR="00DA7023" w:rsidRPr="00424376" w:rsidRDefault="00DA7023" w:rsidP="00DA702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2BF82B50" w14:textId="77777777" w:rsidR="00DA7023" w:rsidRPr="00772BC4" w:rsidRDefault="00DA7023" w:rsidP="00DA702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6AA277B3" w14:textId="77777777" w:rsidR="00DA7023" w:rsidRDefault="00DA7023" w:rsidP="00DA7023">
      <w:pPr>
        <w:pStyle w:val="SingleTxtG"/>
        <w:numPr>
          <w:ilvl w:val="0"/>
          <w:numId w:val="25"/>
        </w:numPr>
        <w:spacing w:after="0" w:line="240" w:lineRule="auto"/>
        <w:ind w:right="0"/>
        <w:rPr>
          <w:rFonts w:ascii="Calibri" w:hAnsi="Calibri"/>
          <w:sz w:val="22"/>
          <w:szCs w:val="22"/>
        </w:rPr>
      </w:pPr>
      <w:r w:rsidRPr="00772BC4">
        <w:rPr>
          <w:rFonts w:ascii="Calibri" w:hAnsi="Calibri"/>
          <w:sz w:val="22"/>
          <w:szCs w:val="22"/>
        </w:rPr>
        <w:t>…</w:t>
      </w:r>
    </w:p>
    <w:p w14:paraId="75D6ED7C" w14:textId="77777777" w:rsidR="00DA7023" w:rsidRDefault="00DA7023" w:rsidP="00DA7023">
      <w:pPr>
        <w:pStyle w:val="SingleTxtG"/>
        <w:numPr>
          <w:ilvl w:val="0"/>
          <w:numId w:val="25"/>
        </w:numPr>
        <w:spacing w:after="0" w:line="240" w:lineRule="auto"/>
        <w:ind w:right="0"/>
        <w:rPr>
          <w:rFonts w:ascii="Calibri" w:hAnsi="Calibri"/>
          <w:sz w:val="22"/>
          <w:szCs w:val="22"/>
        </w:rPr>
      </w:pPr>
      <w:r>
        <w:rPr>
          <w:rFonts w:ascii="Calibri" w:hAnsi="Calibri"/>
          <w:sz w:val="22"/>
          <w:szCs w:val="22"/>
        </w:rPr>
        <w:t>…</w:t>
      </w:r>
    </w:p>
    <w:p w14:paraId="5161979F" w14:textId="77777777" w:rsidR="00DA7023" w:rsidRDefault="00DA7023" w:rsidP="00DA7023">
      <w:pPr>
        <w:pStyle w:val="SingleTxtG"/>
        <w:numPr>
          <w:ilvl w:val="0"/>
          <w:numId w:val="25"/>
        </w:numPr>
        <w:spacing w:after="0" w:line="240" w:lineRule="auto"/>
        <w:ind w:right="0"/>
        <w:rPr>
          <w:rFonts w:ascii="Calibri" w:hAnsi="Calibri"/>
          <w:sz w:val="22"/>
          <w:szCs w:val="22"/>
        </w:rPr>
      </w:pPr>
      <w:r>
        <w:rPr>
          <w:rFonts w:ascii="Calibri" w:hAnsi="Calibri"/>
          <w:sz w:val="22"/>
          <w:szCs w:val="22"/>
        </w:rPr>
        <w:t>…</w:t>
      </w:r>
    </w:p>
    <w:p w14:paraId="7C59D988" w14:textId="77777777" w:rsidR="004F0F73" w:rsidRDefault="004F0F73" w:rsidP="004F0F73">
      <w:pPr>
        <w:pStyle w:val="SingleTxtG"/>
        <w:spacing w:after="0" w:line="240" w:lineRule="auto"/>
        <w:ind w:right="0"/>
        <w:rPr>
          <w:rFonts w:ascii="Calibri" w:hAnsi="Calibri"/>
          <w:sz w:val="22"/>
          <w:szCs w:val="22"/>
        </w:rPr>
      </w:pPr>
    </w:p>
    <w:p w14:paraId="1DFB2860" w14:textId="77777777" w:rsidR="004F0F73" w:rsidRPr="00772BC4" w:rsidRDefault="004F0F73" w:rsidP="004F0F73">
      <w:pPr>
        <w:pStyle w:val="SingleTxtG"/>
        <w:spacing w:after="0" w:line="240" w:lineRule="auto"/>
        <w:ind w:left="0" w:right="0"/>
        <w:rPr>
          <w:rFonts w:ascii="Calibri" w:hAnsi="Calibri"/>
          <w:sz w:val="22"/>
          <w:szCs w:val="22"/>
        </w:rPr>
      </w:pPr>
    </w:p>
    <w:p w14:paraId="5B73775E" w14:textId="373EC4A6" w:rsidR="00772BC4" w:rsidRPr="00B63DF6" w:rsidRDefault="00B63DF6" w:rsidP="00B63DF6">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Human rights defenders</w:t>
      </w:r>
      <w:r w:rsidRPr="00772BC4">
        <w:rPr>
          <w:b/>
          <w:sz w:val="28"/>
          <w:szCs w:val="28"/>
          <w:u w:val="single"/>
        </w:rPr>
        <w:t xml:space="preserve"> (art</w:t>
      </w:r>
      <w:r>
        <w:rPr>
          <w:b/>
          <w:sz w:val="28"/>
          <w:szCs w:val="28"/>
          <w:u w:val="single"/>
        </w:rPr>
        <w:t>s. 6, 7, 9, 12, 14 and 19</w:t>
      </w:r>
      <w:r w:rsidRPr="00772BC4">
        <w:rPr>
          <w:b/>
          <w:sz w:val="28"/>
          <w:szCs w:val="28"/>
          <w:u w:val="single"/>
          <w:lang w:val="en-GB"/>
        </w:rPr>
        <w:t>)</w:t>
      </w:r>
    </w:p>
    <w:p w14:paraId="2D2CA818" w14:textId="1FAEEA56" w:rsidR="00B63DF6" w:rsidRPr="00BE7654" w:rsidRDefault="00B63DF6" w:rsidP="00B63DF6">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21</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lang w:val="en-GB"/>
        </w:rPr>
        <w:t xml:space="preserve">Please comment on reports of politically motivated cases of torture and </w:t>
      </w:r>
      <w:proofErr w:type="gramStart"/>
      <w:r w:rsidRPr="00BE7654">
        <w:rPr>
          <w:rFonts w:asciiTheme="majorHAnsi" w:hAnsiTheme="majorHAnsi"/>
          <w:i/>
          <w:sz w:val="18"/>
          <w:szCs w:val="18"/>
          <w:lang w:val="en-GB"/>
        </w:rPr>
        <w:t>ill-treatment</w:t>
      </w:r>
      <w:proofErr w:type="gramEnd"/>
      <w:r w:rsidRPr="00BE7654">
        <w:rPr>
          <w:rFonts w:asciiTheme="majorHAnsi" w:hAnsiTheme="majorHAnsi"/>
          <w:i/>
          <w:sz w:val="18"/>
          <w:szCs w:val="18"/>
          <w:lang w:val="en-GB"/>
        </w:rPr>
        <w:t xml:space="preserve"> of human rights defenders, activists, bloggers and journalists by plainclothes police officers or groups of thugs, in total impunity. Please provide detailed information on detailed or planned measures to protect human rights defenders, activists, bloggers and journalists from violence, harassment and intimidation</w:t>
      </w:r>
      <w:r w:rsidRPr="00BE7654">
        <w:rPr>
          <w:rFonts w:asciiTheme="majorHAnsi" w:hAnsiTheme="majorHAnsi"/>
          <w:i/>
          <w:sz w:val="18"/>
          <w:szCs w:val="18"/>
        </w:rPr>
        <w:t>.</w:t>
      </w:r>
    </w:p>
    <w:p w14:paraId="25397BAF" w14:textId="77777777" w:rsidR="00B63DF6" w:rsidRPr="00424376" w:rsidRDefault="00B63DF6" w:rsidP="00B63DF6">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294AAFAF" w14:textId="77777777" w:rsidR="00B63DF6" w:rsidRPr="00772BC4" w:rsidRDefault="00B63DF6" w:rsidP="00B63DF6">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31428E83" w14:textId="77777777" w:rsidR="00B63DF6" w:rsidRPr="00424376" w:rsidRDefault="00B63DF6" w:rsidP="00B63DF6">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61620B6F" w14:textId="77777777" w:rsidR="00B63DF6" w:rsidRPr="00772BC4" w:rsidRDefault="00B63DF6" w:rsidP="00B63DF6">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95D84FC" w14:textId="77777777" w:rsidR="00B63DF6" w:rsidRDefault="00B63DF6" w:rsidP="00B63DF6">
      <w:pPr>
        <w:pStyle w:val="SingleTxtG"/>
        <w:numPr>
          <w:ilvl w:val="0"/>
          <w:numId w:val="27"/>
        </w:numPr>
        <w:spacing w:after="0" w:line="240" w:lineRule="auto"/>
        <w:ind w:right="0"/>
        <w:rPr>
          <w:rFonts w:ascii="Calibri" w:hAnsi="Calibri"/>
          <w:sz w:val="22"/>
          <w:szCs w:val="22"/>
        </w:rPr>
      </w:pPr>
      <w:r w:rsidRPr="00772BC4">
        <w:rPr>
          <w:rFonts w:ascii="Calibri" w:hAnsi="Calibri"/>
          <w:sz w:val="22"/>
          <w:szCs w:val="22"/>
        </w:rPr>
        <w:t>…</w:t>
      </w:r>
    </w:p>
    <w:p w14:paraId="63C35AFC" w14:textId="77777777" w:rsidR="00B63DF6" w:rsidRDefault="00B63DF6" w:rsidP="00B63DF6">
      <w:pPr>
        <w:pStyle w:val="SingleTxtG"/>
        <w:numPr>
          <w:ilvl w:val="0"/>
          <w:numId w:val="27"/>
        </w:numPr>
        <w:spacing w:after="0" w:line="240" w:lineRule="auto"/>
        <w:ind w:right="0"/>
        <w:rPr>
          <w:rFonts w:ascii="Calibri" w:hAnsi="Calibri"/>
          <w:sz w:val="22"/>
          <w:szCs w:val="22"/>
        </w:rPr>
      </w:pPr>
      <w:r>
        <w:rPr>
          <w:rFonts w:ascii="Calibri" w:hAnsi="Calibri"/>
          <w:sz w:val="22"/>
          <w:szCs w:val="22"/>
        </w:rPr>
        <w:t>…</w:t>
      </w:r>
    </w:p>
    <w:p w14:paraId="58867287" w14:textId="77777777" w:rsidR="00B63DF6" w:rsidRPr="00772BC4" w:rsidRDefault="00B63DF6" w:rsidP="00B63DF6">
      <w:pPr>
        <w:pStyle w:val="SingleTxtG"/>
        <w:numPr>
          <w:ilvl w:val="0"/>
          <w:numId w:val="27"/>
        </w:numPr>
        <w:spacing w:after="0" w:line="240" w:lineRule="auto"/>
        <w:ind w:right="0"/>
        <w:rPr>
          <w:rFonts w:ascii="Calibri" w:hAnsi="Calibri"/>
          <w:sz w:val="22"/>
          <w:szCs w:val="22"/>
        </w:rPr>
      </w:pPr>
      <w:r>
        <w:rPr>
          <w:rFonts w:ascii="Calibri" w:hAnsi="Calibri"/>
          <w:sz w:val="22"/>
          <w:szCs w:val="22"/>
        </w:rPr>
        <w:t>…</w:t>
      </w:r>
    </w:p>
    <w:p w14:paraId="6C79AE38" w14:textId="77777777" w:rsidR="00E54AAF" w:rsidRDefault="00E54AAF" w:rsidP="00772BC4">
      <w:pPr>
        <w:pStyle w:val="SingleTxtG"/>
        <w:spacing w:after="0" w:line="240" w:lineRule="auto"/>
        <w:ind w:left="0" w:right="0"/>
        <w:rPr>
          <w:rFonts w:ascii="Calibri" w:hAnsi="Calibri"/>
          <w:sz w:val="24"/>
          <w:szCs w:val="24"/>
        </w:rPr>
      </w:pPr>
    </w:p>
    <w:p w14:paraId="0B465EA6" w14:textId="4E70485C" w:rsidR="00B63DF6" w:rsidRPr="00BE7654" w:rsidRDefault="00B63DF6" w:rsidP="00B63DF6">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22</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lang w:val="en-GB"/>
        </w:rPr>
        <w:t>Please provide further information on decree No. 136/2007/ND-CP and comment on allegations that activists and human rights defenders are commonly banned from international travel under decree No. 136. Please also comment on allegations that activists and human rights defenders are placed on probation or under house arrest when released from custody in order to restrict their movements</w:t>
      </w:r>
      <w:r w:rsidRPr="00BE7654">
        <w:rPr>
          <w:rFonts w:asciiTheme="majorHAnsi" w:hAnsiTheme="majorHAnsi"/>
          <w:i/>
          <w:sz w:val="18"/>
          <w:szCs w:val="18"/>
        </w:rPr>
        <w:t>.</w:t>
      </w:r>
    </w:p>
    <w:p w14:paraId="25A9AB19" w14:textId="77777777" w:rsidR="00B63DF6" w:rsidRPr="00424376" w:rsidRDefault="00B63DF6" w:rsidP="00B63DF6">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791598AC" w14:textId="77777777" w:rsidR="00B63DF6" w:rsidRPr="00772BC4" w:rsidRDefault="00B63DF6" w:rsidP="00B63DF6">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4C8F0056" w14:textId="77777777" w:rsidR="00B63DF6" w:rsidRPr="00424376" w:rsidRDefault="00B63DF6" w:rsidP="00B63DF6">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250CB4D7" w14:textId="77777777" w:rsidR="00B63DF6" w:rsidRPr="00772BC4" w:rsidRDefault="00B63DF6" w:rsidP="00B63DF6">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73826E86" w14:textId="77777777" w:rsidR="00B63DF6" w:rsidRDefault="00B63DF6" w:rsidP="00B63DF6">
      <w:pPr>
        <w:pStyle w:val="SingleTxtG"/>
        <w:numPr>
          <w:ilvl w:val="0"/>
          <w:numId w:val="28"/>
        </w:numPr>
        <w:spacing w:after="0" w:line="240" w:lineRule="auto"/>
        <w:ind w:right="0"/>
        <w:rPr>
          <w:rFonts w:ascii="Calibri" w:hAnsi="Calibri"/>
          <w:sz w:val="22"/>
          <w:szCs w:val="22"/>
        </w:rPr>
      </w:pPr>
      <w:r w:rsidRPr="00772BC4">
        <w:rPr>
          <w:rFonts w:ascii="Calibri" w:hAnsi="Calibri"/>
          <w:sz w:val="22"/>
          <w:szCs w:val="22"/>
        </w:rPr>
        <w:lastRenderedPageBreak/>
        <w:t>…</w:t>
      </w:r>
    </w:p>
    <w:p w14:paraId="6DD70363" w14:textId="77777777" w:rsidR="00B63DF6" w:rsidRDefault="00B63DF6" w:rsidP="00B63DF6">
      <w:pPr>
        <w:pStyle w:val="SingleTxtG"/>
        <w:numPr>
          <w:ilvl w:val="0"/>
          <w:numId w:val="28"/>
        </w:numPr>
        <w:spacing w:after="0" w:line="240" w:lineRule="auto"/>
        <w:ind w:right="0"/>
        <w:rPr>
          <w:rFonts w:ascii="Calibri" w:hAnsi="Calibri"/>
          <w:sz w:val="22"/>
          <w:szCs w:val="22"/>
        </w:rPr>
      </w:pPr>
      <w:r>
        <w:rPr>
          <w:rFonts w:ascii="Calibri" w:hAnsi="Calibri"/>
          <w:sz w:val="22"/>
          <w:szCs w:val="22"/>
        </w:rPr>
        <w:t>…</w:t>
      </w:r>
    </w:p>
    <w:p w14:paraId="6CA9DEC7" w14:textId="77777777" w:rsidR="00B63DF6" w:rsidRPr="00772BC4" w:rsidRDefault="00B63DF6" w:rsidP="00B63DF6">
      <w:pPr>
        <w:pStyle w:val="SingleTxtG"/>
        <w:numPr>
          <w:ilvl w:val="0"/>
          <w:numId w:val="28"/>
        </w:numPr>
        <w:spacing w:after="0" w:line="240" w:lineRule="auto"/>
        <w:ind w:right="0"/>
        <w:rPr>
          <w:rFonts w:ascii="Calibri" w:hAnsi="Calibri"/>
          <w:sz w:val="22"/>
          <w:szCs w:val="22"/>
        </w:rPr>
      </w:pPr>
      <w:r>
        <w:rPr>
          <w:rFonts w:ascii="Calibri" w:hAnsi="Calibri"/>
          <w:sz w:val="22"/>
          <w:szCs w:val="22"/>
        </w:rPr>
        <w:t>…</w:t>
      </w:r>
    </w:p>
    <w:p w14:paraId="4BD47533" w14:textId="77777777" w:rsidR="00B63DF6" w:rsidRDefault="00B63DF6" w:rsidP="00B63DF6">
      <w:pPr>
        <w:pStyle w:val="SingleTxtG"/>
        <w:spacing w:after="0" w:line="240" w:lineRule="auto"/>
        <w:ind w:left="0" w:right="0"/>
        <w:rPr>
          <w:rFonts w:ascii="Calibri" w:hAnsi="Calibri"/>
          <w:sz w:val="24"/>
          <w:szCs w:val="24"/>
        </w:rPr>
      </w:pPr>
    </w:p>
    <w:p w14:paraId="4D36B0C4" w14:textId="0F99F7D8" w:rsidR="00B63DF6" w:rsidRPr="00BE7654" w:rsidRDefault="00B63DF6" w:rsidP="00B63DF6">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w:t>
      </w:r>
      <w:r w:rsidR="000A25BA" w:rsidRPr="00BE7654">
        <w:rPr>
          <w:b/>
          <w:color w:val="000000"/>
          <w:u w:val="single"/>
          <w:lang w:val="en-GB"/>
        </w:rPr>
        <w:t>3</w:t>
      </w:r>
      <w:r w:rsidRPr="00BE7654">
        <w:rPr>
          <w:color w:val="000000"/>
          <w:lang w:val="en-GB"/>
        </w:rPr>
        <w:t>:</w:t>
      </w:r>
      <w:r w:rsidRPr="00DA7023">
        <w:rPr>
          <w:rFonts w:asciiTheme="majorHAnsi" w:hAnsiTheme="majorHAnsi"/>
          <w:i/>
          <w:color w:val="000000"/>
          <w:sz w:val="20"/>
          <w:szCs w:val="20"/>
          <w:lang w:val="en-GB"/>
        </w:rPr>
        <w:t xml:space="preserve"> </w:t>
      </w:r>
      <w:r w:rsidR="000A25BA" w:rsidRPr="00BE7654">
        <w:rPr>
          <w:rFonts w:asciiTheme="majorHAnsi" w:hAnsiTheme="majorHAnsi"/>
          <w:i/>
          <w:sz w:val="18"/>
          <w:szCs w:val="18"/>
          <w:lang w:val="en-GB"/>
        </w:rPr>
        <w:t>Please comment on allegations that lawyers representing activists, human rights defenders or any other cases related to “national security offences” are arbitrarily arrested, detained, threatened with disciplinary sanctions and disbarment, disbarred, wrongfully prosecuted on fake charges, such as tax evasion, and are subject to harassment, retaliation and physical attacks, including by the police authorities, with complete impunity for the perpetrators. Please provide detailed information on the introduction of any safeguards to prevent such occurrences, ensure the full independence of lawyers and protect them from retaliation</w:t>
      </w:r>
      <w:r w:rsidRPr="00BE7654">
        <w:rPr>
          <w:rFonts w:asciiTheme="majorHAnsi" w:hAnsiTheme="majorHAnsi"/>
          <w:i/>
          <w:sz w:val="18"/>
          <w:szCs w:val="18"/>
        </w:rPr>
        <w:t>.</w:t>
      </w:r>
    </w:p>
    <w:p w14:paraId="46282E70" w14:textId="77777777" w:rsidR="00B63DF6" w:rsidRPr="00424376" w:rsidRDefault="00B63DF6" w:rsidP="00B63DF6">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E8A535C" w14:textId="77777777" w:rsidR="00B63DF6" w:rsidRPr="00772BC4" w:rsidRDefault="00B63DF6" w:rsidP="00B63DF6">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6BACADA3" w14:textId="77777777" w:rsidR="00B63DF6" w:rsidRPr="00424376" w:rsidRDefault="00B63DF6" w:rsidP="00B63DF6">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5A8E2F6A" w14:textId="77777777" w:rsidR="00B63DF6" w:rsidRPr="00772BC4" w:rsidRDefault="00B63DF6" w:rsidP="00B63DF6">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1BBDD040" w14:textId="77777777" w:rsidR="00B63DF6" w:rsidRDefault="00B63DF6" w:rsidP="00B63DF6">
      <w:pPr>
        <w:pStyle w:val="SingleTxtG"/>
        <w:numPr>
          <w:ilvl w:val="0"/>
          <w:numId w:val="29"/>
        </w:numPr>
        <w:spacing w:after="0" w:line="240" w:lineRule="auto"/>
        <w:ind w:right="0"/>
        <w:rPr>
          <w:rFonts w:ascii="Calibri" w:hAnsi="Calibri"/>
          <w:sz w:val="22"/>
          <w:szCs w:val="22"/>
        </w:rPr>
      </w:pPr>
      <w:r w:rsidRPr="00772BC4">
        <w:rPr>
          <w:rFonts w:ascii="Calibri" w:hAnsi="Calibri"/>
          <w:sz w:val="22"/>
          <w:szCs w:val="22"/>
        </w:rPr>
        <w:t>…</w:t>
      </w:r>
    </w:p>
    <w:p w14:paraId="5BEAD973" w14:textId="77777777" w:rsidR="00B63DF6" w:rsidRDefault="00B63DF6" w:rsidP="00B63DF6">
      <w:pPr>
        <w:pStyle w:val="SingleTxtG"/>
        <w:numPr>
          <w:ilvl w:val="0"/>
          <w:numId w:val="29"/>
        </w:numPr>
        <w:spacing w:after="0" w:line="240" w:lineRule="auto"/>
        <w:ind w:right="0"/>
        <w:rPr>
          <w:rFonts w:ascii="Calibri" w:hAnsi="Calibri"/>
          <w:sz w:val="22"/>
          <w:szCs w:val="22"/>
        </w:rPr>
      </w:pPr>
      <w:r>
        <w:rPr>
          <w:rFonts w:ascii="Calibri" w:hAnsi="Calibri"/>
          <w:sz w:val="22"/>
          <w:szCs w:val="22"/>
        </w:rPr>
        <w:t>…</w:t>
      </w:r>
    </w:p>
    <w:p w14:paraId="5BA50570" w14:textId="77777777" w:rsidR="00B63DF6" w:rsidRPr="00772BC4" w:rsidRDefault="00B63DF6" w:rsidP="00B63DF6">
      <w:pPr>
        <w:pStyle w:val="SingleTxtG"/>
        <w:numPr>
          <w:ilvl w:val="0"/>
          <w:numId w:val="29"/>
        </w:numPr>
        <w:spacing w:after="0" w:line="240" w:lineRule="auto"/>
        <w:ind w:right="0"/>
        <w:rPr>
          <w:rFonts w:ascii="Calibri" w:hAnsi="Calibri"/>
          <w:sz w:val="22"/>
          <w:szCs w:val="22"/>
        </w:rPr>
      </w:pPr>
      <w:r>
        <w:rPr>
          <w:rFonts w:ascii="Calibri" w:hAnsi="Calibri"/>
          <w:sz w:val="22"/>
          <w:szCs w:val="22"/>
        </w:rPr>
        <w:t>…</w:t>
      </w:r>
    </w:p>
    <w:p w14:paraId="64CE92C5" w14:textId="77777777" w:rsidR="00B63DF6" w:rsidRPr="004F0F73" w:rsidRDefault="00B63DF6" w:rsidP="00B63DF6">
      <w:pPr>
        <w:pStyle w:val="SingleTxtG"/>
        <w:spacing w:after="0" w:line="240" w:lineRule="auto"/>
        <w:ind w:left="0" w:right="0"/>
        <w:rPr>
          <w:rFonts w:ascii="Calibri" w:hAnsi="Calibri"/>
          <w:sz w:val="22"/>
          <w:szCs w:val="22"/>
        </w:rPr>
      </w:pPr>
    </w:p>
    <w:p w14:paraId="2B1503CD" w14:textId="77777777" w:rsidR="00772BC4" w:rsidRPr="004F0F73" w:rsidRDefault="00772BC4" w:rsidP="00772BC4">
      <w:pPr>
        <w:pStyle w:val="SingleTxtG"/>
        <w:spacing w:after="0" w:line="240" w:lineRule="auto"/>
        <w:ind w:left="0" w:right="0"/>
        <w:rPr>
          <w:rFonts w:ascii="Calibri" w:hAnsi="Calibri"/>
          <w:sz w:val="22"/>
          <w:szCs w:val="22"/>
        </w:rPr>
      </w:pPr>
    </w:p>
    <w:p w14:paraId="128D1597" w14:textId="4CC172A1" w:rsidR="00772BC4" w:rsidRPr="00772BC4" w:rsidRDefault="000A25BA" w:rsidP="00772BC4">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Freedom of association and peaceful assembly</w:t>
      </w:r>
      <w:r w:rsidR="00772BC4" w:rsidRPr="00772BC4">
        <w:rPr>
          <w:b/>
          <w:sz w:val="28"/>
          <w:szCs w:val="28"/>
          <w:u w:val="single"/>
        </w:rPr>
        <w:t xml:space="preserve"> (art</w:t>
      </w:r>
      <w:r>
        <w:rPr>
          <w:b/>
          <w:sz w:val="28"/>
          <w:szCs w:val="28"/>
          <w:u w:val="single"/>
        </w:rPr>
        <w:t>s. 7, 9, 21 and 22</w:t>
      </w:r>
      <w:r w:rsidR="00772BC4" w:rsidRPr="00772BC4">
        <w:rPr>
          <w:b/>
          <w:sz w:val="28"/>
          <w:szCs w:val="28"/>
          <w:u w:val="single"/>
          <w:lang w:val="en-GB"/>
        </w:rPr>
        <w:t>)</w:t>
      </w:r>
    </w:p>
    <w:p w14:paraId="00101EFC" w14:textId="3E4B74A0" w:rsidR="000A25BA" w:rsidRPr="00BE7654" w:rsidRDefault="000A25BA" w:rsidP="000A25BA">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24</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lang w:val="en-GB"/>
        </w:rPr>
        <w:t>Please provide information on the steps taken to revise regulations and practices that restrict freedom of association, including removing (a) difficult registration processes for independent organizations; and (b) restrictions on organizing or carrying out political, religious or other activities that are inconsistent with State interests or the security, defence and “great unity of the Vietnamese people” (art. 4 of decree No. 12). Please provide information on the status of “associations with special characteristics” that would be privileged. Please comment on concerns that the proposed amendments to the anti-corruption bill and the decree on the management and use of non-governmental foreign aid could place further restrictions on and control over the operation of associations. Please provide information on the number of national associations working on the protection and promotion of human rights</w:t>
      </w:r>
      <w:r w:rsidRPr="00BE7654">
        <w:rPr>
          <w:rFonts w:asciiTheme="majorHAnsi" w:hAnsiTheme="majorHAnsi"/>
          <w:i/>
          <w:sz w:val="18"/>
          <w:szCs w:val="18"/>
        </w:rPr>
        <w:t>.</w:t>
      </w:r>
    </w:p>
    <w:p w14:paraId="05815409" w14:textId="77777777" w:rsidR="000A25BA" w:rsidRPr="00424376" w:rsidRDefault="000A25BA" w:rsidP="000A25BA">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4D81905F" w14:textId="77777777" w:rsidR="000A25BA" w:rsidRPr="00772BC4" w:rsidRDefault="000A25BA" w:rsidP="000A25BA">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7E8C6F5B" w14:textId="77777777" w:rsidR="000A25BA" w:rsidRPr="00424376" w:rsidRDefault="000A25BA" w:rsidP="000A25BA">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6C9904CB" w14:textId="77777777" w:rsidR="000A25BA" w:rsidRPr="00772BC4" w:rsidRDefault="000A25BA" w:rsidP="000A25BA">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4559E0FF" w14:textId="77777777" w:rsidR="000A25BA" w:rsidRDefault="000A25BA" w:rsidP="000A25BA">
      <w:pPr>
        <w:pStyle w:val="SingleTxtG"/>
        <w:numPr>
          <w:ilvl w:val="0"/>
          <w:numId w:val="30"/>
        </w:numPr>
        <w:spacing w:after="0" w:line="240" w:lineRule="auto"/>
        <w:ind w:right="0"/>
        <w:rPr>
          <w:rFonts w:ascii="Calibri" w:hAnsi="Calibri"/>
          <w:sz w:val="22"/>
          <w:szCs w:val="22"/>
        </w:rPr>
      </w:pPr>
      <w:r w:rsidRPr="00772BC4">
        <w:rPr>
          <w:rFonts w:ascii="Calibri" w:hAnsi="Calibri"/>
          <w:sz w:val="22"/>
          <w:szCs w:val="22"/>
        </w:rPr>
        <w:t>…</w:t>
      </w:r>
    </w:p>
    <w:p w14:paraId="24197D37" w14:textId="77777777" w:rsidR="000A25BA" w:rsidRDefault="000A25BA" w:rsidP="000A25BA">
      <w:pPr>
        <w:pStyle w:val="SingleTxtG"/>
        <w:numPr>
          <w:ilvl w:val="0"/>
          <w:numId w:val="30"/>
        </w:numPr>
        <w:spacing w:after="0" w:line="240" w:lineRule="auto"/>
        <w:ind w:right="0"/>
        <w:rPr>
          <w:rFonts w:ascii="Calibri" w:hAnsi="Calibri"/>
          <w:sz w:val="22"/>
          <w:szCs w:val="22"/>
        </w:rPr>
      </w:pPr>
      <w:r>
        <w:rPr>
          <w:rFonts w:ascii="Calibri" w:hAnsi="Calibri"/>
          <w:sz w:val="22"/>
          <w:szCs w:val="22"/>
        </w:rPr>
        <w:t>…</w:t>
      </w:r>
    </w:p>
    <w:p w14:paraId="00E57403" w14:textId="77777777" w:rsidR="000A25BA" w:rsidRPr="00772BC4" w:rsidRDefault="000A25BA" w:rsidP="000A25BA">
      <w:pPr>
        <w:pStyle w:val="SingleTxtG"/>
        <w:numPr>
          <w:ilvl w:val="0"/>
          <w:numId w:val="30"/>
        </w:numPr>
        <w:spacing w:after="0" w:line="240" w:lineRule="auto"/>
        <w:ind w:right="0"/>
        <w:rPr>
          <w:rFonts w:ascii="Calibri" w:hAnsi="Calibri"/>
          <w:sz w:val="22"/>
          <w:szCs w:val="22"/>
        </w:rPr>
      </w:pPr>
      <w:r>
        <w:rPr>
          <w:rFonts w:ascii="Calibri" w:hAnsi="Calibri"/>
          <w:sz w:val="22"/>
          <w:szCs w:val="22"/>
        </w:rPr>
        <w:t>…</w:t>
      </w:r>
    </w:p>
    <w:p w14:paraId="7DA04012" w14:textId="77777777" w:rsidR="000A25BA" w:rsidRDefault="000A25BA" w:rsidP="000A25BA">
      <w:pPr>
        <w:pStyle w:val="SingleTxtG"/>
        <w:spacing w:after="0" w:line="240" w:lineRule="auto"/>
        <w:ind w:left="0" w:right="0"/>
        <w:rPr>
          <w:rFonts w:ascii="Calibri" w:hAnsi="Calibri"/>
          <w:sz w:val="24"/>
          <w:szCs w:val="24"/>
        </w:rPr>
      </w:pPr>
    </w:p>
    <w:p w14:paraId="12B475EE" w14:textId="5F7B151C" w:rsidR="000A25BA" w:rsidRPr="00BE7654" w:rsidRDefault="000A25BA" w:rsidP="000A25BA">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25</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rPr>
        <w:t>With reference to paragraph 21 of the Committee’s previous concluding observations and pending the adoption of a law on demonstrations, please comment on allegations that freedom of assembly remains restricted. Please elaborate on decree No. 38/2005/ND-CP and related regulations that state that for gatherings of five persons or more, prior notice must be given to the competent People’s Committee. Please provide data on the number of applications made for peaceful assemblies and the number of applications granted within the reporting period. Please comment on reports that workers and labour activists have been subjected to intimidation, harassment and arrests after they raised concerns about working conditions and also report on regulations governing the establishment of independent trade unions and the protection of their activities. Please comment on allegations of excessive use of force and arrests by law enforcement authorities to disrupt demonstrations opposing land dispossession and demonstrations related to the Formosa steel plant ecological disaster.</w:t>
      </w:r>
    </w:p>
    <w:p w14:paraId="301CE382" w14:textId="77777777" w:rsidR="000A25BA" w:rsidRPr="00424376" w:rsidRDefault="000A25BA" w:rsidP="000A25BA">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5F50C6F8" w14:textId="77777777" w:rsidR="000A25BA" w:rsidRPr="00772BC4" w:rsidRDefault="000A25BA" w:rsidP="000A25BA">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38EE02A4" w14:textId="77777777" w:rsidR="000A25BA" w:rsidRPr="00424376" w:rsidRDefault="000A25BA" w:rsidP="000A25BA">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1DE832A9" w14:textId="77777777" w:rsidR="000A25BA" w:rsidRPr="00772BC4" w:rsidRDefault="000A25BA" w:rsidP="000A25BA">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lastRenderedPageBreak/>
        <w:t>The State Party should:</w:t>
      </w:r>
    </w:p>
    <w:p w14:paraId="6FEC3224" w14:textId="77777777" w:rsidR="000A25BA" w:rsidRDefault="000A25BA" w:rsidP="000A25BA">
      <w:pPr>
        <w:pStyle w:val="SingleTxtG"/>
        <w:numPr>
          <w:ilvl w:val="0"/>
          <w:numId w:val="31"/>
        </w:numPr>
        <w:spacing w:after="0" w:line="240" w:lineRule="auto"/>
        <w:ind w:right="0"/>
        <w:rPr>
          <w:rFonts w:ascii="Calibri" w:hAnsi="Calibri"/>
          <w:sz w:val="22"/>
          <w:szCs w:val="22"/>
        </w:rPr>
      </w:pPr>
      <w:r w:rsidRPr="00772BC4">
        <w:rPr>
          <w:rFonts w:ascii="Calibri" w:hAnsi="Calibri"/>
          <w:sz w:val="22"/>
          <w:szCs w:val="22"/>
        </w:rPr>
        <w:t>…</w:t>
      </w:r>
    </w:p>
    <w:p w14:paraId="534C8A7C" w14:textId="77777777" w:rsidR="000A25BA" w:rsidRDefault="000A25BA" w:rsidP="000A25BA">
      <w:pPr>
        <w:pStyle w:val="SingleTxtG"/>
        <w:numPr>
          <w:ilvl w:val="0"/>
          <w:numId w:val="31"/>
        </w:numPr>
        <w:spacing w:after="0" w:line="240" w:lineRule="auto"/>
        <w:ind w:right="0"/>
        <w:rPr>
          <w:rFonts w:ascii="Calibri" w:hAnsi="Calibri"/>
          <w:sz w:val="22"/>
          <w:szCs w:val="22"/>
        </w:rPr>
      </w:pPr>
      <w:r>
        <w:rPr>
          <w:rFonts w:ascii="Calibri" w:hAnsi="Calibri"/>
          <w:sz w:val="22"/>
          <w:szCs w:val="22"/>
        </w:rPr>
        <w:t>…</w:t>
      </w:r>
    </w:p>
    <w:p w14:paraId="3A69972E" w14:textId="77777777" w:rsidR="000A25BA" w:rsidRPr="00772BC4" w:rsidRDefault="000A25BA" w:rsidP="000A25BA">
      <w:pPr>
        <w:pStyle w:val="SingleTxtG"/>
        <w:numPr>
          <w:ilvl w:val="0"/>
          <w:numId w:val="31"/>
        </w:numPr>
        <w:spacing w:after="0" w:line="240" w:lineRule="auto"/>
        <w:ind w:right="0"/>
        <w:rPr>
          <w:rFonts w:ascii="Calibri" w:hAnsi="Calibri"/>
          <w:sz w:val="22"/>
          <w:szCs w:val="22"/>
        </w:rPr>
      </w:pPr>
      <w:r>
        <w:rPr>
          <w:rFonts w:ascii="Calibri" w:hAnsi="Calibri"/>
          <w:sz w:val="22"/>
          <w:szCs w:val="22"/>
        </w:rPr>
        <w:t>…</w:t>
      </w:r>
    </w:p>
    <w:p w14:paraId="7FD99B45" w14:textId="77777777" w:rsidR="000A25BA" w:rsidRPr="004F0F73" w:rsidRDefault="000A25BA" w:rsidP="000A25BA">
      <w:pPr>
        <w:pStyle w:val="SingleTxtG"/>
        <w:spacing w:after="0" w:line="240" w:lineRule="auto"/>
        <w:ind w:left="0" w:right="0"/>
        <w:rPr>
          <w:rFonts w:ascii="Calibri" w:hAnsi="Calibri"/>
          <w:sz w:val="22"/>
          <w:szCs w:val="22"/>
        </w:rPr>
      </w:pPr>
    </w:p>
    <w:p w14:paraId="33B3D7FD" w14:textId="77777777" w:rsidR="004F0F73" w:rsidRPr="004F0F73" w:rsidRDefault="004F0F73" w:rsidP="000A25BA">
      <w:pPr>
        <w:pStyle w:val="SingleTxtG"/>
        <w:spacing w:after="0" w:line="240" w:lineRule="auto"/>
        <w:ind w:left="0" w:right="0"/>
        <w:rPr>
          <w:rFonts w:ascii="Calibri" w:hAnsi="Calibri"/>
          <w:sz w:val="22"/>
          <w:szCs w:val="22"/>
        </w:rPr>
      </w:pPr>
    </w:p>
    <w:p w14:paraId="34B2354F" w14:textId="0C65710F" w:rsidR="004F0F73" w:rsidRPr="00772BC4" w:rsidRDefault="004F0F73" w:rsidP="004F0F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Right to participate in public life and combating corruption</w:t>
      </w:r>
      <w:r w:rsidRPr="00772BC4">
        <w:rPr>
          <w:b/>
          <w:sz w:val="28"/>
          <w:szCs w:val="28"/>
          <w:u w:val="single"/>
        </w:rPr>
        <w:t xml:space="preserve"> (art</w:t>
      </w:r>
      <w:r>
        <w:rPr>
          <w:b/>
          <w:sz w:val="28"/>
          <w:szCs w:val="28"/>
          <w:u w:val="single"/>
        </w:rPr>
        <w:t>. 25</w:t>
      </w:r>
      <w:r w:rsidRPr="00772BC4">
        <w:rPr>
          <w:b/>
          <w:sz w:val="28"/>
          <w:szCs w:val="28"/>
          <w:u w:val="single"/>
          <w:lang w:val="en-GB"/>
        </w:rPr>
        <w:t>)</w:t>
      </w:r>
    </w:p>
    <w:p w14:paraId="26884C3C" w14:textId="0B3096EF" w:rsidR="004F0F73" w:rsidRPr="00BE7654" w:rsidRDefault="004F0F73" w:rsidP="004F0F7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26</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rPr>
        <w:t>Please report on the measures taken to (a) encourage and promote political pluralism; (b) ensure free and genuine elections; and (c) ensure that the right of citizens to stand for election is not made conditional on approval from the Communist Party of Viet Nam or on political affiliation with the party. Please also clarify whether all persons serving prison sentences have their right to vote and to be elected suspended. Please provide information on the existence and mandate of an independent national electoral commission and on the existence and mandate of an electoral complaints commission, or any similar mechanism in charge of reviewing electoral disputes, and the conditions for referral to it. Please elaborate on the measures aimed at combating corruption, in particular bribery of public officials, that influences the conduct of public affairs and undermines the rule of law, and comment on allegations that current anti-corruption measures are selective, and misused in order to target and discredit certain individuals.</w:t>
      </w:r>
    </w:p>
    <w:p w14:paraId="55E15823" w14:textId="77777777" w:rsidR="004F0F73" w:rsidRPr="00424376" w:rsidRDefault="004F0F73" w:rsidP="004F0F7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40FF1559" w14:textId="77777777" w:rsidR="004F0F73" w:rsidRPr="00772BC4" w:rsidRDefault="004F0F73" w:rsidP="004F0F7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14E2E0FC" w14:textId="77777777" w:rsidR="004F0F73" w:rsidRPr="00424376" w:rsidRDefault="004F0F73" w:rsidP="004F0F7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p>
    <w:p w14:paraId="5EDDDB5E" w14:textId="77777777" w:rsidR="004F0F73" w:rsidRPr="00772BC4" w:rsidRDefault="004F0F73" w:rsidP="004F0F7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0358B5B" w14:textId="77777777" w:rsidR="004F0F73" w:rsidRDefault="004F0F73" w:rsidP="004F0F73">
      <w:pPr>
        <w:pStyle w:val="SingleTxtG"/>
        <w:numPr>
          <w:ilvl w:val="0"/>
          <w:numId w:val="32"/>
        </w:numPr>
        <w:spacing w:after="0" w:line="240" w:lineRule="auto"/>
        <w:ind w:right="0"/>
        <w:rPr>
          <w:rFonts w:ascii="Calibri" w:hAnsi="Calibri"/>
          <w:sz w:val="22"/>
          <w:szCs w:val="22"/>
        </w:rPr>
      </w:pPr>
      <w:r w:rsidRPr="00772BC4">
        <w:rPr>
          <w:rFonts w:ascii="Calibri" w:hAnsi="Calibri"/>
          <w:sz w:val="22"/>
          <w:szCs w:val="22"/>
        </w:rPr>
        <w:t>…</w:t>
      </w:r>
    </w:p>
    <w:p w14:paraId="212FCC3F" w14:textId="77777777" w:rsidR="004F0F73" w:rsidRDefault="004F0F73" w:rsidP="004F0F73">
      <w:pPr>
        <w:pStyle w:val="SingleTxtG"/>
        <w:numPr>
          <w:ilvl w:val="0"/>
          <w:numId w:val="32"/>
        </w:numPr>
        <w:spacing w:after="0" w:line="240" w:lineRule="auto"/>
        <w:ind w:right="0"/>
        <w:rPr>
          <w:rFonts w:ascii="Calibri" w:hAnsi="Calibri"/>
          <w:sz w:val="22"/>
          <w:szCs w:val="22"/>
        </w:rPr>
      </w:pPr>
      <w:r>
        <w:rPr>
          <w:rFonts w:ascii="Calibri" w:hAnsi="Calibri"/>
          <w:sz w:val="22"/>
          <w:szCs w:val="22"/>
        </w:rPr>
        <w:t>…</w:t>
      </w:r>
    </w:p>
    <w:p w14:paraId="41BB4A7B" w14:textId="77777777" w:rsidR="004F0F73" w:rsidRPr="00772BC4" w:rsidRDefault="004F0F73" w:rsidP="004F0F73">
      <w:pPr>
        <w:pStyle w:val="SingleTxtG"/>
        <w:numPr>
          <w:ilvl w:val="0"/>
          <w:numId w:val="32"/>
        </w:numPr>
        <w:spacing w:after="0" w:line="240" w:lineRule="auto"/>
        <w:ind w:right="0"/>
        <w:rPr>
          <w:rFonts w:ascii="Calibri" w:hAnsi="Calibri"/>
          <w:sz w:val="22"/>
          <w:szCs w:val="22"/>
        </w:rPr>
      </w:pPr>
      <w:r>
        <w:rPr>
          <w:rFonts w:ascii="Calibri" w:hAnsi="Calibri"/>
          <w:sz w:val="22"/>
          <w:szCs w:val="22"/>
        </w:rPr>
        <w:t>…</w:t>
      </w:r>
    </w:p>
    <w:p w14:paraId="49251E62" w14:textId="77777777" w:rsidR="004F0F73" w:rsidRPr="004F0F73" w:rsidRDefault="004F0F73" w:rsidP="004F0F73">
      <w:pPr>
        <w:pStyle w:val="SingleTxtG"/>
        <w:spacing w:after="0" w:line="240" w:lineRule="auto"/>
        <w:ind w:left="0" w:right="0"/>
        <w:rPr>
          <w:rFonts w:ascii="Calibri" w:hAnsi="Calibri"/>
          <w:sz w:val="22"/>
          <w:szCs w:val="22"/>
        </w:rPr>
      </w:pPr>
    </w:p>
    <w:p w14:paraId="762450BF" w14:textId="77777777" w:rsidR="004F0F73" w:rsidRPr="004F0F73" w:rsidRDefault="004F0F73" w:rsidP="004F0F73">
      <w:pPr>
        <w:pStyle w:val="SingleTxtG"/>
        <w:spacing w:after="0" w:line="240" w:lineRule="auto"/>
        <w:ind w:left="0" w:right="0"/>
        <w:rPr>
          <w:rFonts w:ascii="Calibri" w:hAnsi="Calibri"/>
          <w:sz w:val="22"/>
          <w:szCs w:val="22"/>
        </w:rPr>
      </w:pPr>
    </w:p>
    <w:p w14:paraId="689A23BC" w14:textId="4824E667" w:rsidR="004F0F73" w:rsidRPr="00772BC4" w:rsidRDefault="004F0F73" w:rsidP="004F0F73">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t>Rights of minorities</w:t>
      </w:r>
      <w:r w:rsidRPr="00772BC4">
        <w:rPr>
          <w:b/>
          <w:sz w:val="28"/>
          <w:szCs w:val="28"/>
          <w:u w:val="single"/>
        </w:rPr>
        <w:t xml:space="preserve"> (art</w:t>
      </w:r>
      <w:r>
        <w:rPr>
          <w:b/>
          <w:sz w:val="28"/>
          <w:szCs w:val="28"/>
          <w:u w:val="single"/>
        </w:rPr>
        <w:t>s. 2 and 27</w:t>
      </w:r>
      <w:r w:rsidRPr="00772BC4">
        <w:rPr>
          <w:b/>
          <w:sz w:val="28"/>
          <w:szCs w:val="28"/>
          <w:u w:val="single"/>
          <w:lang w:val="en-GB"/>
        </w:rPr>
        <w:t>)</w:t>
      </w:r>
    </w:p>
    <w:p w14:paraId="73A98F43" w14:textId="4CB0F5C7" w:rsidR="004F0F73" w:rsidRPr="00BE7654" w:rsidRDefault="004F0F73" w:rsidP="004F0F7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27</w:t>
      </w:r>
      <w:r w:rsidRPr="00BE7654">
        <w:rPr>
          <w:color w:val="000000"/>
          <w:lang w:val="en-GB"/>
        </w:rPr>
        <w:t>:</w:t>
      </w:r>
      <w:r w:rsidRPr="00DA7023">
        <w:rPr>
          <w:rFonts w:asciiTheme="majorHAnsi" w:hAnsiTheme="majorHAnsi"/>
          <w:i/>
          <w:color w:val="000000"/>
          <w:sz w:val="20"/>
          <w:szCs w:val="20"/>
          <w:lang w:val="en-GB"/>
        </w:rPr>
        <w:t xml:space="preserve"> </w:t>
      </w:r>
      <w:r w:rsidRPr="00BE7654">
        <w:rPr>
          <w:rFonts w:asciiTheme="majorHAnsi" w:hAnsiTheme="majorHAnsi"/>
          <w:i/>
          <w:sz w:val="18"/>
          <w:szCs w:val="18"/>
        </w:rPr>
        <w:t>With reference to paragraph 19 of the Committee’s previous concluding observations, please comment on reports that ethnic minority communities are among the poorest and suffer discrimination based on stereotypes; religious persecution; the suppression of their cultural traditions; arbitrary arrest; the expropriation of ancestral lands and displacement, including for development projects and the construction of hydropower dams, in many cases without prior consultation or the provision of adequate compensation. With reference to paragraph 233 of the State party’s report, please comment on allegations of the absence of consultation with relevant groups prior to administrative decisions being taken on the seizure of lands. Please also report on the measures taken to end the persecution of the Degar/Montagnard people. With reference to paragraph 244 of the report, please provide information on any measures planned for the establishment of an agency to effectively monitor the rights of ethnic minorities and adopt comprehensive legislation to protect their rights.</w:t>
      </w:r>
    </w:p>
    <w:p w14:paraId="4AE9E531" w14:textId="77777777" w:rsidR="004F0F73" w:rsidRPr="00424376" w:rsidRDefault="004F0F73" w:rsidP="004F0F7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0A0A595A" w14:textId="77777777" w:rsidR="004F0F73" w:rsidRPr="00772BC4" w:rsidRDefault="004F0F73" w:rsidP="004F0F73">
      <w:pPr>
        <w:pStyle w:val="SingleTxtG"/>
        <w:tabs>
          <w:tab w:val="right" w:pos="360"/>
        </w:tabs>
        <w:spacing w:line="240" w:lineRule="auto"/>
        <w:ind w:left="0" w:right="0"/>
        <w:rPr>
          <w:rStyle w:val="hps"/>
          <w:rFonts w:ascii="Calibri" w:hAnsi="Calibri"/>
          <w:sz w:val="22"/>
          <w:szCs w:val="22"/>
        </w:rPr>
      </w:pPr>
      <w:r w:rsidRPr="00772BC4">
        <w:rPr>
          <w:rStyle w:val="hps"/>
          <w:rFonts w:ascii="Calibri" w:hAnsi="Calibri"/>
          <w:sz w:val="22"/>
          <w:szCs w:val="22"/>
        </w:rPr>
        <w:t>…</w:t>
      </w:r>
    </w:p>
    <w:p w14:paraId="4A128F49" w14:textId="77777777" w:rsidR="004F0F73" w:rsidRPr="00424376" w:rsidRDefault="004F0F73" w:rsidP="004F0F73">
      <w:pPr>
        <w:pStyle w:val="SingleTxtG"/>
        <w:tabs>
          <w:tab w:val="right" w:pos="360"/>
        </w:tabs>
        <w:spacing w:line="240" w:lineRule="auto"/>
        <w:ind w:left="0" w:right="0"/>
        <w:rPr>
          <w:rFonts w:ascii="Calibri" w:hAnsi="Calibri"/>
          <w:b/>
          <w:sz w:val="24"/>
          <w:szCs w:val="24"/>
        </w:rPr>
      </w:pPr>
      <w:r w:rsidRPr="00424376">
        <w:rPr>
          <w:rFonts w:ascii="Calibri" w:hAnsi="Calibri"/>
          <w:b/>
          <w:sz w:val="24"/>
          <w:szCs w:val="24"/>
        </w:rPr>
        <w:t>Recommendations:</w:t>
      </w:r>
      <w:bookmarkStart w:id="0" w:name="_GoBack"/>
      <w:bookmarkEnd w:id="0"/>
    </w:p>
    <w:p w14:paraId="450FC932" w14:textId="77777777" w:rsidR="004F0F73" w:rsidRPr="00772BC4" w:rsidRDefault="004F0F73" w:rsidP="004F0F73">
      <w:pPr>
        <w:pStyle w:val="SingleTxtG"/>
        <w:spacing w:after="0" w:line="240" w:lineRule="auto"/>
        <w:ind w:left="0" w:right="0"/>
        <w:rPr>
          <w:rFonts w:ascii="Calibri" w:hAnsi="Calibri"/>
          <w:sz w:val="22"/>
          <w:szCs w:val="22"/>
          <w:u w:val="single"/>
        </w:rPr>
      </w:pPr>
      <w:r w:rsidRPr="00772BC4">
        <w:rPr>
          <w:rFonts w:ascii="Calibri" w:hAnsi="Calibri"/>
          <w:sz w:val="22"/>
          <w:szCs w:val="22"/>
          <w:u w:val="single"/>
        </w:rPr>
        <w:t>The State Party should:</w:t>
      </w:r>
    </w:p>
    <w:p w14:paraId="09A66FAA" w14:textId="77777777" w:rsidR="004F0F73" w:rsidRDefault="004F0F73" w:rsidP="004F0F73">
      <w:pPr>
        <w:pStyle w:val="SingleTxtG"/>
        <w:numPr>
          <w:ilvl w:val="0"/>
          <w:numId w:val="33"/>
        </w:numPr>
        <w:spacing w:after="0" w:line="240" w:lineRule="auto"/>
        <w:ind w:right="0"/>
        <w:rPr>
          <w:rFonts w:ascii="Calibri" w:hAnsi="Calibri"/>
          <w:sz w:val="22"/>
          <w:szCs w:val="22"/>
        </w:rPr>
      </w:pPr>
      <w:r w:rsidRPr="00772BC4">
        <w:rPr>
          <w:rFonts w:ascii="Calibri" w:hAnsi="Calibri"/>
          <w:sz w:val="22"/>
          <w:szCs w:val="22"/>
        </w:rPr>
        <w:t>…</w:t>
      </w:r>
    </w:p>
    <w:p w14:paraId="511680D5" w14:textId="77777777" w:rsidR="004F0F73" w:rsidRDefault="004F0F73" w:rsidP="004F0F73">
      <w:pPr>
        <w:pStyle w:val="SingleTxtG"/>
        <w:numPr>
          <w:ilvl w:val="0"/>
          <w:numId w:val="33"/>
        </w:numPr>
        <w:spacing w:after="0" w:line="240" w:lineRule="auto"/>
        <w:ind w:right="0"/>
        <w:rPr>
          <w:rFonts w:ascii="Calibri" w:hAnsi="Calibri"/>
          <w:sz w:val="22"/>
          <w:szCs w:val="22"/>
        </w:rPr>
      </w:pPr>
      <w:r>
        <w:rPr>
          <w:rFonts w:ascii="Calibri" w:hAnsi="Calibri"/>
          <w:sz w:val="22"/>
          <w:szCs w:val="22"/>
        </w:rPr>
        <w:t>…</w:t>
      </w:r>
    </w:p>
    <w:p w14:paraId="67594E6F" w14:textId="77777777" w:rsidR="004F0F73" w:rsidRPr="00772BC4" w:rsidRDefault="004F0F73" w:rsidP="004F0F73">
      <w:pPr>
        <w:pStyle w:val="SingleTxtG"/>
        <w:numPr>
          <w:ilvl w:val="0"/>
          <w:numId w:val="33"/>
        </w:numPr>
        <w:spacing w:after="0" w:line="240" w:lineRule="auto"/>
        <w:ind w:right="0"/>
        <w:rPr>
          <w:rFonts w:ascii="Calibri" w:hAnsi="Calibri"/>
          <w:sz w:val="22"/>
          <w:szCs w:val="22"/>
        </w:rPr>
      </w:pPr>
      <w:r>
        <w:rPr>
          <w:rFonts w:ascii="Calibri" w:hAnsi="Calibri"/>
          <w:sz w:val="22"/>
          <w:szCs w:val="22"/>
        </w:rPr>
        <w:t>…</w:t>
      </w:r>
    </w:p>
    <w:p w14:paraId="6822D71B" w14:textId="77777777" w:rsidR="004F0F73" w:rsidRPr="004F0F73" w:rsidRDefault="004F0F73" w:rsidP="004F0F73">
      <w:pPr>
        <w:pStyle w:val="SingleTxtG"/>
        <w:spacing w:after="0" w:line="240" w:lineRule="auto"/>
        <w:ind w:left="0" w:right="0"/>
        <w:rPr>
          <w:rFonts w:ascii="Calibri" w:hAnsi="Calibri"/>
          <w:sz w:val="22"/>
          <w:szCs w:val="22"/>
        </w:rPr>
      </w:pPr>
    </w:p>
    <w:p w14:paraId="6A3AB0B6" w14:textId="77777777" w:rsidR="004F0F73" w:rsidRDefault="004F0F73" w:rsidP="004F0F73">
      <w:pPr>
        <w:pStyle w:val="SingleTxtG"/>
        <w:spacing w:after="0" w:line="240" w:lineRule="auto"/>
        <w:ind w:left="0" w:right="0"/>
        <w:rPr>
          <w:rFonts w:ascii="Calibri" w:hAnsi="Calibri"/>
          <w:sz w:val="24"/>
          <w:szCs w:val="24"/>
        </w:rPr>
      </w:pPr>
    </w:p>
    <w:p w14:paraId="3B617F27" w14:textId="77777777" w:rsidR="000A25BA" w:rsidRDefault="000A25BA" w:rsidP="000A25BA">
      <w:pPr>
        <w:pStyle w:val="SingleTxtG"/>
        <w:spacing w:after="0" w:line="240" w:lineRule="auto"/>
        <w:ind w:left="0" w:right="0"/>
        <w:rPr>
          <w:rFonts w:ascii="Calibri" w:hAnsi="Calibri"/>
          <w:sz w:val="24"/>
          <w:szCs w:val="24"/>
        </w:rPr>
      </w:pPr>
    </w:p>
    <w:p w14:paraId="09B800EB" w14:textId="6FCCD7D9" w:rsidR="00EB3DC0" w:rsidRPr="00424376" w:rsidRDefault="000A25BA" w:rsidP="000A25BA">
      <w:pPr>
        <w:pStyle w:val="SingleTxtG"/>
        <w:numPr>
          <w:ilvl w:val="0"/>
          <w:numId w:val="2"/>
        </w:numPr>
        <w:spacing w:after="0" w:line="240" w:lineRule="auto"/>
        <w:rPr>
          <w:rFonts w:ascii="Calibri" w:hAnsi="Calibri"/>
          <w:b/>
          <w:sz w:val="32"/>
          <w:szCs w:val="32"/>
        </w:rPr>
      </w:pPr>
      <w:r>
        <w:rPr>
          <w:rFonts w:ascii="Calibri" w:hAnsi="Calibri"/>
          <w:b/>
          <w:sz w:val="32"/>
          <w:szCs w:val="32"/>
        </w:rPr>
        <w:br w:type="page"/>
      </w:r>
      <w:r w:rsidR="00EB3DC0" w:rsidRPr="00424376">
        <w:rPr>
          <w:rFonts w:ascii="Calibri" w:hAnsi="Calibri"/>
          <w:b/>
          <w:sz w:val="32"/>
          <w:szCs w:val="32"/>
        </w:rPr>
        <w:lastRenderedPageBreak/>
        <w:t>Additional Information</w:t>
      </w:r>
      <w:r w:rsidR="00794AEC">
        <w:rPr>
          <w:rFonts w:ascii="Calibri" w:hAnsi="Calibri"/>
          <w:b/>
          <w:sz w:val="32"/>
          <w:szCs w:val="32"/>
        </w:rPr>
        <w:t xml:space="preserve"> </w:t>
      </w:r>
      <w:r w:rsidR="00794AEC" w:rsidRPr="00794AEC">
        <w:rPr>
          <w:rFonts w:ascii="Calibri" w:hAnsi="Calibri"/>
          <w:b/>
          <w:sz w:val="32"/>
          <w:szCs w:val="32"/>
          <w:highlight w:val="yellow"/>
        </w:rPr>
        <w:t>(if any)</w:t>
      </w:r>
    </w:p>
    <w:p w14:paraId="7307EE11" w14:textId="77777777" w:rsidR="00205CEA" w:rsidRPr="00424376" w:rsidRDefault="001D2E7B" w:rsidP="00032EBF">
      <w:pPr>
        <w:pStyle w:val="SingleTxtG"/>
        <w:numPr>
          <w:ilvl w:val="0"/>
          <w:numId w:val="6"/>
        </w:numPr>
        <w:spacing w:line="240" w:lineRule="auto"/>
        <w:ind w:right="0"/>
        <w:rPr>
          <w:rFonts w:ascii="Calibri" w:hAnsi="Calibri"/>
          <w:sz w:val="24"/>
          <w:szCs w:val="24"/>
        </w:rPr>
      </w:pPr>
      <w:r>
        <w:rPr>
          <w:rFonts w:ascii="Calibri" w:hAnsi="Calibri"/>
          <w:sz w:val="24"/>
          <w:szCs w:val="24"/>
        </w:rPr>
        <w:t>…</w:t>
      </w:r>
    </w:p>
    <w:p w14:paraId="1244F2F2" w14:textId="77777777" w:rsidR="00D365EA" w:rsidRPr="00424376" w:rsidRDefault="00D365EA" w:rsidP="00815469">
      <w:pPr>
        <w:pStyle w:val="SingleTxtG"/>
        <w:spacing w:line="240" w:lineRule="auto"/>
        <w:ind w:left="0" w:right="0"/>
        <w:rPr>
          <w:rFonts w:ascii="Calibri" w:hAnsi="Calibri"/>
          <w:sz w:val="24"/>
          <w:szCs w:val="24"/>
        </w:rPr>
      </w:pPr>
    </w:p>
    <w:p w14:paraId="7A28EF9F" w14:textId="77777777" w:rsidR="00DC6EE4" w:rsidRPr="00424376" w:rsidRDefault="00DC6EE4" w:rsidP="00D365EA">
      <w:pPr>
        <w:spacing w:after="0" w:line="240" w:lineRule="auto"/>
        <w:jc w:val="both"/>
        <w:rPr>
          <w:rFonts w:eastAsia="Times New Roman" w:cs="Arial"/>
          <w:b/>
          <w:bCs/>
          <w:sz w:val="24"/>
          <w:szCs w:val="24"/>
          <w:lang w:val="en-GB"/>
        </w:rPr>
        <w:sectPr w:rsidR="00DC6EE4" w:rsidRPr="00424376" w:rsidSect="00D7079C">
          <w:footerReference w:type="first" r:id="rId16"/>
          <w:pgSz w:w="11906" w:h="16838"/>
          <w:pgMar w:top="1440" w:right="746" w:bottom="1440" w:left="1440" w:header="708" w:footer="708" w:gutter="0"/>
          <w:cols w:space="708"/>
          <w:titlePg/>
          <w:rtlGutter/>
          <w:docGrid w:linePitch="360"/>
        </w:sectPr>
      </w:pPr>
    </w:p>
    <w:p w14:paraId="0F7DB26E" w14:textId="77777777" w:rsidR="00D365EA" w:rsidRPr="00424376" w:rsidRDefault="00D365EA" w:rsidP="00D365EA">
      <w:pPr>
        <w:spacing w:after="0" w:line="240" w:lineRule="auto"/>
        <w:jc w:val="both"/>
        <w:rPr>
          <w:rFonts w:eastAsia="Times New Roman" w:cs="Arial"/>
          <w:b/>
          <w:bCs/>
          <w:i/>
          <w:sz w:val="28"/>
          <w:szCs w:val="28"/>
          <w:highlight w:val="yellow"/>
          <w:lang w:val="en-GB"/>
        </w:rPr>
      </w:pPr>
      <w:r w:rsidRPr="00424376">
        <w:rPr>
          <w:rFonts w:eastAsia="Times New Roman" w:cs="Arial"/>
          <w:b/>
          <w:bCs/>
          <w:i/>
          <w:sz w:val="28"/>
          <w:szCs w:val="28"/>
          <w:lang w:val="en-GB"/>
        </w:rPr>
        <w:lastRenderedPageBreak/>
        <w:t>Anne</w:t>
      </w:r>
      <w:r w:rsidR="00DC6EE4" w:rsidRPr="00424376">
        <w:rPr>
          <w:rFonts w:eastAsia="Times New Roman" w:cs="Arial"/>
          <w:b/>
          <w:bCs/>
          <w:i/>
          <w:sz w:val="28"/>
          <w:szCs w:val="28"/>
          <w:lang w:val="en-GB"/>
        </w:rPr>
        <w:t xml:space="preserve">x: </w:t>
      </w:r>
      <w:r w:rsidR="001D2E7B">
        <w:rPr>
          <w:rFonts w:eastAsia="Times New Roman" w:cs="Arial"/>
          <w:b/>
          <w:bCs/>
          <w:i/>
          <w:sz w:val="28"/>
          <w:szCs w:val="28"/>
          <w:lang w:val="en-GB"/>
        </w:rPr>
        <w:t>IF ANY</w:t>
      </w:r>
      <w:r w:rsidRPr="00424376">
        <w:rPr>
          <w:rFonts w:eastAsia="Times New Roman" w:cs="Arial"/>
          <w:b/>
          <w:bCs/>
          <w:i/>
          <w:sz w:val="28"/>
          <w:szCs w:val="28"/>
          <w:lang w:val="en-GB"/>
        </w:rPr>
        <w:t xml:space="preserve"> </w:t>
      </w:r>
    </w:p>
    <w:p w14:paraId="6432EF9D" w14:textId="77777777" w:rsidR="00D365EA" w:rsidRPr="00424376" w:rsidRDefault="00D365EA" w:rsidP="00D365EA">
      <w:pPr>
        <w:spacing w:after="0" w:line="240" w:lineRule="auto"/>
        <w:jc w:val="both"/>
        <w:rPr>
          <w:rFonts w:eastAsia="Times New Roman" w:cs="Arial"/>
          <w:b/>
          <w:bCs/>
          <w:sz w:val="24"/>
          <w:szCs w:val="24"/>
          <w:highlight w:val="yellow"/>
          <w:lang w:val="en-GB"/>
        </w:rPr>
      </w:pPr>
    </w:p>
    <w:p w14:paraId="111F4915" w14:textId="77777777" w:rsidR="00D365EA" w:rsidRPr="005815B1" w:rsidRDefault="00D365EA" w:rsidP="005815B1">
      <w:pPr>
        <w:spacing w:after="0" w:line="240" w:lineRule="auto"/>
        <w:jc w:val="both"/>
      </w:pPr>
    </w:p>
    <w:sectPr w:rsidR="00D365EA" w:rsidRPr="005815B1" w:rsidSect="00D7079C">
      <w:pgSz w:w="11906" w:h="16838"/>
      <w:pgMar w:top="1440" w:right="746" w:bottom="1440" w:left="1440" w:header="708" w:footer="708"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28BCE" w14:textId="77777777" w:rsidR="00BE7654" w:rsidRDefault="00BE7654" w:rsidP="006B20E4">
      <w:pPr>
        <w:spacing w:after="0" w:line="240" w:lineRule="auto"/>
      </w:pPr>
      <w:r>
        <w:separator/>
      </w:r>
    </w:p>
  </w:endnote>
  <w:endnote w:type="continuationSeparator" w:id="0">
    <w:p w14:paraId="45046254" w14:textId="77777777" w:rsidR="00BE7654" w:rsidRDefault="00BE7654" w:rsidP="006B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dobe Caslon Pro">
    <w:altName w:val="Athelas Bold Italic"/>
    <w:charset w:val="00"/>
    <w:family w:val="auto"/>
    <w:pitch w:val="variable"/>
    <w:sig w:usb0="00000007" w:usb1="00000001" w:usb2="00000000" w:usb3="00000000" w:csb0="00000093"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7142" w14:textId="77777777" w:rsidR="00BE7654" w:rsidRDefault="00BE7654" w:rsidP="004E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EB5C2" w14:textId="77777777" w:rsidR="00BE7654" w:rsidRDefault="00BE7654" w:rsidP="006B20E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DCB1" w14:textId="77777777" w:rsidR="00BE7654" w:rsidRDefault="00BE7654"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CEE">
      <w:rPr>
        <w:rStyle w:val="PageNumber"/>
        <w:noProof/>
      </w:rPr>
      <w:t>1</w:t>
    </w:r>
    <w:r>
      <w:rPr>
        <w:rStyle w:val="PageNumber"/>
      </w:rPr>
      <w:fldChar w:fldCharType="end"/>
    </w:r>
  </w:p>
  <w:p w14:paraId="4D2970B4" w14:textId="77777777" w:rsidR="00BE7654" w:rsidRDefault="00BE7654" w:rsidP="004E557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05C" w14:textId="77777777" w:rsidR="00BE7654" w:rsidRDefault="00BE7654"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CEE">
      <w:rPr>
        <w:rStyle w:val="PageNumber"/>
        <w:noProof/>
      </w:rPr>
      <w:t>2</w:t>
    </w:r>
    <w:r>
      <w:rPr>
        <w:rStyle w:val="PageNumber"/>
      </w:rPr>
      <w:fldChar w:fldCharType="end"/>
    </w:r>
  </w:p>
  <w:p w14:paraId="0E8A440C" w14:textId="77777777" w:rsidR="00BE7654" w:rsidRDefault="00BE765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EAFD" w14:textId="77777777" w:rsidR="00BE7654" w:rsidRDefault="00BE7654"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CEE">
      <w:rPr>
        <w:rStyle w:val="PageNumber"/>
        <w:noProof/>
      </w:rPr>
      <w:t>3</w:t>
    </w:r>
    <w:r>
      <w:rPr>
        <w:rStyle w:val="PageNumber"/>
      </w:rPr>
      <w:fldChar w:fldCharType="end"/>
    </w:r>
  </w:p>
  <w:p w14:paraId="5DEBC154" w14:textId="77777777" w:rsidR="00BE7654" w:rsidRDefault="00BE765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2914" w14:textId="77777777" w:rsidR="00BE7654" w:rsidRDefault="00BE7654"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CEE">
      <w:rPr>
        <w:rStyle w:val="PageNumber"/>
        <w:noProof/>
      </w:rPr>
      <w:t>4</w:t>
    </w:r>
    <w:r>
      <w:rPr>
        <w:rStyle w:val="PageNumber"/>
      </w:rPr>
      <w:fldChar w:fldCharType="end"/>
    </w:r>
  </w:p>
  <w:p w14:paraId="18EF9C64" w14:textId="77777777" w:rsidR="00BE7654" w:rsidRDefault="00BE76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CE85B" w14:textId="77777777" w:rsidR="00BE7654" w:rsidRDefault="00BE7654" w:rsidP="006B20E4">
      <w:pPr>
        <w:spacing w:after="0" w:line="240" w:lineRule="auto"/>
      </w:pPr>
      <w:r>
        <w:separator/>
      </w:r>
    </w:p>
  </w:footnote>
  <w:footnote w:type="continuationSeparator" w:id="0">
    <w:p w14:paraId="4CA3720D" w14:textId="77777777" w:rsidR="00BE7654" w:rsidRDefault="00BE7654" w:rsidP="006B20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17D2" w14:textId="75B6B0D6" w:rsidR="00BE7654" w:rsidRPr="00961D4B" w:rsidRDefault="00BE7654" w:rsidP="006B20E4">
    <w:pPr>
      <w:pStyle w:val="Header"/>
      <w:rPr>
        <w:b/>
        <w:sz w:val="24"/>
      </w:rPr>
    </w:pPr>
    <w:r>
      <w:rPr>
        <w:b/>
        <w:sz w:val="24"/>
      </w:rPr>
      <w:t>VIET NAM</w:t>
    </w:r>
    <w:r w:rsidRPr="00961D4B">
      <w:rPr>
        <w:b/>
        <w:sz w:val="24"/>
      </w:rPr>
      <w:t xml:space="preserve"> –</w:t>
    </w:r>
    <w:r>
      <w:rPr>
        <w:b/>
        <w:sz w:val="24"/>
      </w:rPr>
      <w:t xml:space="preserve"> Joint </w:t>
    </w:r>
    <w:r w:rsidRPr="00961D4B">
      <w:rPr>
        <w:b/>
        <w:sz w:val="24"/>
      </w:rPr>
      <w:t xml:space="preserve">Civil </w:t>
    </w:r>
    <w:r>
      <w:rPr>
        <w:b/>
        <w:sz w:val="24"/>
      </w:rPr>
      <w:t xml:space="preserve">Society Report </w:t>
    </w:r>
  </w:p>
  <w:p w14:paraId="7F08B930" w14:textId="77777777" w:rsidR="00BE7654" w:rsidRPr="000C3C6F" w:rsidRDefault="00BE7654" w:rsidP="006B2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A3A8" w14:textId="2D98C11C" w:rsidR="00BE7654" w:rsidRPr="000C3C6F" w:rsidRDefault="00BE7654" w:rsidP="006B20E4">
    <w:pPr>
      <w:pStyle w:val="Header"/>
      <w:rPr>
        <w:b/>
        <w:sz w:val="24"/>
      </w:rPr>
    </w:pPr>
    <w:r>
      <w:rPr>
        <w:b/>
        <w:sz w:val="24"/>
      </w:rPr>
      <w:t>VIET NAM</w:t>
    </w:r>
    <w:r w:rsidRPr="00961D4B">
      <w:rPr>
        <w:b/>
        <w:sz w:val="24"/>
      </w:rPr>
      <w:t xml:space="preserve"> –</w:t>
    </w:r>
    <w:r>
      <w:rPr>
        <w:b/>
        <w:sz w:val="24"/>
      </w:rPr>
      <w:t xml:space="preserve"> Joint </w:t>
    </w:r>
    <w:r w:rsidRPr="00961D4B">
      <w:rPr>
        <w:b/>
        <w:sz w:val="24"/>
      </w:rPr>
      <w:t xml:space="preserve">Civil </w:t>
    </w:r>
    <w:r>
      <w:rPr>
        <w:b/>
        <w:sz w:val="24"/>
      </w:rPr>
      <w:t>Society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69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D663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2503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67868"/>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011C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B4544D"/>
    <w:multiLevelType w:val="hybridMultilevel"/>
    <w:tmpl w:val="08223EC2"/>
    <w:lvl w:ilvl="0" w:tplc="6994EC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70EB2"/>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E698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434EC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A25BD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A0375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3C66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464491"/>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513448"/>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0B43D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A02A4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5E7469"/>
    <w:multiLevelType w:val="hybridMultilevel"/>
    <w:tmpl w:val="AA669C7C"/>
    <w:lvl w:ilvl="0" w:tplc="AFCC9910">
      <w:start w:val="1"/>
      <w:numFmt w:val="upperRoman"/>
      <w:lvlText w:val="%1."/>
      <w:lvlJc w:val="left"/>
      <w:pPr>
        <w:ind w:left="786" w:hanging="720"/>
      </w:pPr>
      <w:rPr>
        <w:rFonts w:hint="default"/>
      </w:rPr>
    </w:lvl>
    <w:lvl w:ilvl="1" w:tplc="040C0019">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7">
    <w:nsid w:val="37CF42A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E430C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71211E"/>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F7713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38689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730AE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25179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E05CA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8CC3A5C"/>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28194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CB6BF4"/>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0F00A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CB692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8E965D0"/>
    <w:multiLevelType w:val="hybridMultilevel"/>
    <w:tmpl w:val="F40E41B2"/>
    <w:lvl w:ilvl="0" w:tplc="CF268F5E">
      <w:start w:val="1"/>
      <w:numFmt w:val="upperRoman"/>
      <w:lvlText w:val="%1."/>
      <w:lvlJc w:val="left"/>
      <w:pPr>
        <w:ind w:left="720" w:hanging="360"/>
      </w:pPr>
      <w:rPr>
        <w:rFonts w:ascii="Calibri" w:eastAsia="Times New Roman" w:hAnsi="Calibri" w:cs="Wingdings"/>
        <w:b/>
      </w:rPr>
    </w:lvl>
    <w:lvl w:ilvl="1" w:tplc="04210019">
      <w:start w:val="1"/>
      <w:numFmt w:val="lowerLetter"/>
      <w:lvlText w:val="%2."/>
      <w:lvlJc w:val="left"/>
      <w:pPr>
        <w:ind w:left="1440" w:hanging="360"/>
      </w:pPr>
      <w:rPr>
        <w:rFonts w:cs="Times New Roman"/>
      </w:rPr>
    </w:lvl>
    <w:lvl w:ilvl="2" w:tplc="2F867478">
      <w:start w:val="1"/>
      <w:numFmt w:val="lowerLetter"/>
      <w:lvlText w:val="%3)"/>
      <w:lvlJc w:val="left"/>
      <w:pPr>
        <w:ind w:left="2340" w:hanging="360"/>
      </w:pPr>
      <w:rPr>
        <w:rFonts w:hint="default"/>
      </w:rPr>
    </w:lvl>
    <w:lvl w:ilvl="3" w:tplc="AFBE98F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9243D17"/>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F235D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6"/>
  </w:num>
  <w:num w:numId="3">
    <w:abstractNumId w:val="4"/>
  </w:num>
  <w:num w:numId="4">
    <w:abstractNumId w:val="6"/>
  </w:num>
  <w:num w:numId="5">
    <w:abstractNumId w:val="29"/>
  </w:num>
  <w:num w:numId="6">
    <w:abstractNumId w:val="5"/>
  </w:num>
  <w:num w:numId="7">
    <w:abstractNumId w:val="31"/>
  </w:num>
  <w:num w:numId="8">
    <w:abstractNumId w:val="12"/>
  </w:num>
  <w:num w:numId="9">
    <w:abstractNumId w:val="28"/>
  </w:num>
  <w:num w:numId="10">
    <w:abstractNumId w:val="21"/>
  </w:num>
  <w:num w:numId="11">
    <w:abstractNumId w:val="27"/>
  </w:num>
  <w:num w:numId="12">
    <w:abstractNumId w:val="25"/>
  </w:num>
  <w:num w:numId="13">
    <w:abstractNumId w:val="13"/>
  </w:num>
  <w:num w:numId="14">
    <w:abstractNumId w:val="8"/>
  </w:num>
  <w:num w:numId="15">
    <w:abstractNumId w:val="11"/>
  </w:num>
  <w:num w:numId="16">
    <w:abstractNumId w:val="32"/>
  </w:num>
  <w:num w:numId="17">
    <w:abstractNumId w:val="10"/>
  </w:num>
  <w:num w:numId="18">
    <w:abstractNumId w:val="17"/>
  </w:num>
  <w:num w:numId="19">
    <w:abstractNumId w:val="26"/>
  </w:num>
  <w:num w:numId="20">
    <w:abstractNumId w:val="2"/>
  </w:num>
  <w:num w:numId="21">
    <w:abstractNumId w:val="19"/>
  </w:num>
  <w:num w:numId="22">
    <w:abstractNumId w:val="20"/>
  </w:num>
  <w:num w:numId="23">
    <w:abstractNumId w:val="7"/>
  </w:num>
  <w:num w:numId="24">
    <w:abstractNumId w:val="22"/>
  </w:num>
  <w:num w:numId="25">
    <w:abstractNumId w:val="1"/>
  </w:num>
  <w:num w:numId="26">
    <w:abstractNumId w:val="0"/>
  </w:num>
  <w:num w:numId="27">
    <w:abstractNumId w:val="18"/>
  </w:num>
  <w:num w:numId="28">
    <w:abstractNumId w:val="15"/>
  </w:num>
  <w:num w:numId="29">
    <w:abstractNumId w:val="24"/>
  </w:num>
  <w:num w:numId="30">
    <w:abstractNumId w:val="3"/>
  </w:num>
  <w:num w:numId="31">
    <w:abstractNumId w:val="23"/>
  </w:num>
  <w:num w:numId="32">
    <w:abstractNumId w:val="14"/>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0C"/>
    <w:rsid w:val="000063E4"/>
    <w:rsid w:val="00016C84"/>
    <w:rsid w:val="00017A9E"/>
    <w:rsid w:val="00017DA2"/>
    <w:rsid w:val="00025A4F"/>
    <w:rsid w:val="000262A5"/>
    <w:rsid w:val="00026D73"/>
    <w:rsid w:val="00030AD6"/>
    <w:rsid w:val="00032EBF"/>
    <w:rsid w:val="0003625F"/>
    <w:rsid w:val="0003730D"/>
    <w:rsid w:val="00041091"/>
    <w:rsid w:val="00065ED9"/>
    <w:rsid w:val="00072808"/>
    <w:rsid w:val="00076ED0"/>
    <w:rsid w:val="00077A2E"/>
    <w:rsid w:val="000805DF"/>
    <w:rsid w:val="0008683C"/>
    <w:rsid w:val="000926F8"/>
    <w:rsid w:val="00097CC4"/>
    <w:rsid w:val="000A25BA"/>
    <w:rsid w:val="000A25CD"/>
    <w:rsid w:val="000A5616"/>
    <w:rsid w:val="000B0757"/>
    <w:rsid w:val="000B5036"/>
    <w:rsid w:val="000C6A87"/>
    <w:rsid w:val="000D3AE9"/>
    <w:rsid w:val="000D5FE1"/>
    <w:rsid w:val="000E2E93"/>
    <w:rsid w:val="000E3619"/>
    <w:rsid w:val="000E410B"/>
    <w:rsid w:val="000F33F1"/>
    <w:rsid w:val="000F5767"/>
    <w:rsid w:val="0011350D"/>
    <w:rsid w:val="001165B9"/>
    <w:rsid w:val="00121A64"/>
    <w:rsid w:val="00122A57"/>
    <w:rsid w:val="00126388"/>
    <w:rsid w:val="001303A3"/>
    <w:rsid w:val="00133A46"/>
    <w:rsid w:val="0013682F"/>
    <w:rsid w:val="0013704F"/>
    <w:rsid w:val="00140B89"/>
    <w:rsid w:val="00141075"/>
    <w:rsid w:val="001422BA"/>
    <w:rsid w:val="0014331E"/>
    <w:rsid w:val="00145BB2"/>
    <w:rsid w:val="00146A70"/>
    <w:rsid w:val="00150C59"/>
    <w:rsid w:val="00153BB6"/>
    <w:rsid w:val="00166EE3"/>
    <w:rsid w:val="001819C4"/>
    <w:rsid w:val="0018276D"/>
    <w:rsid w:val="00184926"/>
    <w:rsid w:val="00187C30"/>
    <w:rsid w:val="001921CE"/>
    <w:rsid w:val="001A4E15"/>
    <w:rsid w:val="001A770E"/>
    <w:rsid w:val="001B7E40"/>
    <w:rsid w:val="001C566D"/>
    <w:rsid w:val="001D2E7B"/>
    <w:rsid w:val="001D5B9C"/>
    <w:rsid w:val="001E0C73"/>
    <w:rsid w:val="001E2A70"/>
    <w:rsid w:val="001F0802"/>
    <w:rsid w:val="001F14D9"/>
    <w:rsid w:val="001F18F3"/>
    <w:rsid w:val="001F529B"/>
    <w:rsid w:val="001F79E1"/>
    <w:rsid w:val="0020175E"/>
    <w:rsid w:val="00205CEA"/>
    <w:rsid w:val="0020629C"/>
    <w:rsid w:val="00216574"/>
    <w:rsid w:val="00216774"/>
    <w:rsid w:val="002222DE"/>
    <w:rsid w:val="00222EE4"/>
    <w:rsid w:val="00223B20"/>
    <w:rsid w:val="002248B1"/>
    <w:rsid w:val="002261B8"/>
    <w:rsid w:val="00226EF0"/>
    <w:rsid w:val="002270D5"/>
    <w:rsid w:val="00232134"/>
    <w:rsid w:val="00237A73"/>
    <w:rsid w:val="00242B27"/>
    <w:rsid w:val="002456D1"/>
    <w:rsid w:val="0024579F"/>
    <w:rsid w:val="00247C8C"/>
    <w:rsid w:val="00250C57"/>
    <w:rsid w:val="002530F5"/>
    <w:rsid w:val="0025574F"/>
    <w:rsid w:val="002578D5"/>
    <w:rsid w:val="00261FFB"/>
    <w:rsid w:val="00262835"/>
    <w:rsid w:val="00263F61"/>
    <w:rsid w:val="002654B1"/>
    <w:rsid w:val="0026750E"/>
    <w:rsid w:val="0028099D"/>
    <w:rsid w:val="00280DC5"/>
    <w:rsid w:val="00281DD9"/>
    <w:rsid w:val="00283B09"/>
    <w:rsid w:val="0029204C"/>
    <w:rsid w:val="002A118F"/>
    <w:rsid w:val="002A2D45"/>
    <w:rsid w:val="002A5B16"/>
    <w:rsid w:val="002A6A97"/>
    <w:rsid w:val="002B200E"/>
    <w:rsid w:val="002B477D"/>
    <w:rsid w:val="002C2953"/>
    <w:rsid w:val="002C3FFD"/>
    <w:rsid w:val="002D168D"/>
    <w:rsid w:val="002D2900"/>
    <w:rsid w:val="002D3E52"/>
    <w:rsid w:val="002D52B3"/>
    <w:rsid w:val="002D540C"/>
    <w:rsid w:val="002D583D"/>
    <w:rsid w:val="002D72F2"/>
    <w:rsid w:val="002E1EAA"/>
    <w:rsid w:val="002E47BD"/>
    <w:rsid w:val="002E48D0"/>
    <w:rsid w:val="002E7D91"/>
    <w:rsid w:val="002F0E3D"/>
    <w:rsid w:val="0030095A"/>
    <w:rsid w:val="00300FA9"/>
    <w:rsid w:val="003021E9"/>
    <w:rsid w:val="00303F8B"/>
    <w:rsid w:val="00311DF2"/>
    <w:rsid w:val="003140C6"/>
    <w:rsid w:val="00331030"/>
    <w:rsid w:val="0033327F"/>
    <w:rsid w:val="003416B6"/>
    <w:rsid w:val="003439BB"/>
    <w:rsid w:val="003444F8"/>
    <w:rsid w:val="00344A32"/>
    <w:rsid w:val="00347ECA"/>
    <w:rsid w:val="00351E75"/>
    <w:rsid w:val="00353971"/>
    <w:rsid w:val="00354031"/>
    <w:rsid w:val="0036223A"/>
    <w:rsid w:val="003661B4"/>
    <w:rsid w:val="003673C7"/>
    <w:rsid w:val="00371EF2"/>
    <w:rsid w:val="0037205F"/>
    <w:rsid w:val="00375CB5"/>
    <w:rsid w:val="0039699F"/>
    <w:rsid w:val="00396D17"/>
    <w:rsid w:val="00396E8F"/>
    <w:rsid w:val="003971AE"/>
    <w:rsid w:val="003A51AC"/>
    <w:rsid w:val="003A6D34"/>
    <w:rsid w:val="003B6910"/>
    <w:rsid w:val="003B79EC"/>
    <w:rsid w:val="003C1F29"/>
    <w:rsid w:val="003C2057"/>
    <w:rsid w:val="003C28B6"/>
    <w:rsid w:val="003C29CB"/>
    <w:rsid w:val="003D6376"/>
    <w:rsid w:val="003E4DB9"/>
    <w:rsid w:val="003E77EA"/>
    <w:rsid w:val="00401FFE"/>
    <w:rsid w:val="00402312"/>
    <w:rsid w:val="004041E2"/>
    <w:rsid w:val="0040466F"/>
    <w:rsid w:val="004046C3"/>
    <w:rsid w:val="0041060A"/>
    <w:rsid w:val="00412E2E"/>
    <w:rsid w:val="0041390E"/>
    <w:rsid w:val="00421199"/>
    <w:rsid w:val="00421283"/>
    <w:rsid w:val="00424376"/>
    <w:rsid w:val="004264E9"/>
    <w:rsid w:val="00427713"/>
    <w:rsid w:val="004314EE"/>
    <w:rsid w:val="00431E00"/>
    <w:rsid w:val="00437406"/>
    <w:rsid w:val="004474EA"/>
    <w:rsid w:val="00447B90"/>
    <w:rsid w:val="00451913"/>
    <w:rsid w:val="004543BE"/>
    <w:rsid w:val="004626A8"/>
    <w:rsid w:val="0046405B"/>
    <w:rsid w:val="00466378"/>
    <w:rsid w:val="004739EB"/>
    <w:rsid w:val="00475F55"/>
    <w:rsid w:val="00480952"/>
    <w:rsid w:val="0048115A"/>
    <w:rsid w:val="004847A0"/>
    <w:rsid w:val="00484893"/>
    <w:rsid w:val="00486AA8"/>
    <w:rsid w:val="00491F38"/>
    <w:rsid w:val="0049741B"/>
    <w:rsid w:val="004A2988"/>
    <w:rsid w:val="004A2FA5"/>
    <w:rsid w:val="004A48E8"/>
    <w:rsid w:val="004C38B6"/>
    <w:rsid w:val="004C4AC7"/>
    <w:rsid w:val="004C7836"/>
    <w:rsid w:val="004C7DC3"/>
    <w:rsid w:val="004D1C73"/>
    <w:rsid w:val="004D28C6"/>
    <w:rsid w:val="004D6C89"/>
    <w:rsid w:val="004D7460"/>
    <w:rsid w:val="004D7DF5"/>
    <w:rsid w:val="004E0B88"/>
    <w:rsid w:val="004E2B25"/>
    <w:rsid w:val="004E3670"/>
    <w:rsid w:val="004E557F"/>
    <w:rsid w:val="004E596A"/>
    <w:rsid w:val="004E5A6D"/>
    <w:rsid w:val="004F0F73"/>
    <w:rsid w:val="004F305B"/>
    <w:rsid w:val="004F603A"/>
    <w:rsid w:val="005002C6"/>
    <w:rsid w:val="00501E07"/>
    <w:rsid w:val="00502184"/>
    <w:rsid w:val="00503FF8"/>
    <w:rsid w:val="00505868"/>
    <w:rsid w:val="0051055B"/>
    <w:rsid w:val="00511063"/>
    <w:rsid w:val="00511084"/>
    <w:rsid w:val="00514DC2"/>
    <w:rsid w:val="00520179"/>
    <w:rsid w:val="00521D55"/>
    <w:rsid w:val="005254D5"/>
    <w:rsid w:val="00525AB6"/>
    <w:rsid w:val="00525ACA"/>
    <w:rsid w:val="00532009"/>
    <w:rsid w:val="00532C0B"/>
    <w:rsid w:val="00536832"/>
    <w:rsid w:val="0054042E"/>
    <w:rsid w:val="00543FFF"/>
    <w:rsid w:val="0054712F"/>
    <w:rsid w:val="00553BDC"/>
    <w:rsid w:val="00560A71"/>
    <w:rsid w:val="00560AEB"/>
    <w:rsid w:val="00576A24"/>
    <w:rsid w:val="005774E9"/>
    <w:rsid w:val="005815B1"/>
    <w:rsid w:val="00581B0B"/>
    <w:rsid w:val="00581FA0"/>
    <w:rsid w:val="005871ED"/>
    <w:rsid w:val="0059098F"/>
    <w:rsid w:val="005947D4"/>
    <w:rsid w:val="005965E2"/>
    <w:rsid w:val="005974BF"/>
    <w:rsid w:val="005A11AC"/>
    <w:rsid w:val="005A1437"/>
    <w:rsid w:val="005A4293"/>
    <w:rsid w:val="005A6487"/>
    <w:rsid w:val="005B3890"/>
    <w:rsid w:val="005B4ADB"/>
    <w:rsid w:val="005B70CF"/>
    <w:rsid w:val="005C4010"/>
    <w:rsid w:val="005C597E"/>
    <w:rsid w:val="005C6546"/>
    <w:rsid w:val="005D1948"/>
    <w:rsid w:val="005D3BEA"/>
    <w:rsid w:val="005D7394"/>
    <w:rsid w:val="005E20A0"/>
    <w:rsid w:val="005E63DE"/>
    <w:rsid w:val="005E711C"/>
    <w:rsid w:val="005E7555"/>
    <w:rsid w:val="005F788F"/>
    <w:rsid w:val="00606C35"/>
    <w:rsid w:val="00610458"/>
    <w:rsid w:val="00611C97"/>
    <w:rsid w:val="00614BDE"/>
    <w:rsid w:val="00616895"/>
    <w:rsid w:val="00623037"/>
    <w:rsid w:val="006233A8"/>
    <w:rsid w:val="006237EF"/>
    <w:rsid w:val="00627A8A"/>
    <w:rsid w:val="006301CA"/>
    <w:rsid w:val="00632997"/>
    <w:rsid w:val="00632FEB"/>
    <w:rsid w:val="00634A1D"/>
    <w:rsid w:val="0063767A"/>
    <w:rsid w:val="00637B26"/>
    <w:rsid w:val="0064326F"/>
    <w:rsid w:val="00644D97"/>
    <w:rsid w:val="00646116"/>
    <w:rsid w:val="006463A6"/>
    <w:rsid w:val="00647592"/>
    <w:rsid w:val="00650C89"/>
    <w:rsid w:val="006544D6"/>
    <w:rsid w:val="00655749"/>
    <w:rsid w:val="006562C9"/>
    <w:rsid w:val="00661735"/>
    <w:rsid w:val="006740C1"/>
    <w:rsid w:val="00676873"/>
    <w:rsid w:val="00676DD4"/>
    <w:rsid w:val="00680755"/>
    <w:rsid w:val="006817BD"/>
    <w:rsid w:val="00682431"/>
    <w:rsid w:val="006848B5"/>
    <w:rsid w:val="00686001"/>
    <w:rsid w:val="0068609F"/>
    <w:rsid w:val="0069038E"/>
    <w:rsid w:val="006905D5"/>
    <w:rsid w:val="00691A9A"/>
    <w:rsid w:val="006928F0"/>
    <w:rsid w:val="006948E3"/>
    <w:rsid w:val="006950CB"/>
    <w:rsid w:val="006A1B98"/>
    <w:rsid w:val="006A2B35"/>
    <w:rsid w:val="006A7D5A"/>
    <w:rsid w:val="006B0C06"/>
    <w:rsid w:val="006B20E4"/>
    <w:rsid w:val="006B2E27"/>
    <w:rsid w:val="006B460F"/>
    <w:rsid w:val="006B4E00"/>
    <w:rsid w:val="006C0255"/>
    <w:rsid w:val="006C2B1A"/>
    <w:rsid w:val="006C7343"/>
    <w:rsid w:val="006D4B75"/>
    <w:rsid w:val="006E25CC"/>
    <w:rsid w:val="006E5DDC"/>
    <w:rsid w:val="006F43C1"/>
    <w:rsid w:val="00702C7B"/>
    <w:rsid w:val="007073DD"/>
    <w:rsid w:val="007078A8"/>
    <w:rsid w:val="0071659A"/>
    <w:rsid w:val="00733D51"/>
    <w:rsid w:val="00734961"/>
    <w:rsid w:val="007415C8"/>
    <w:rsid w:val="00741778"/>
    <w:rsid w:val="00741BE8"/>
    <w:rsid w:val="00741E48"/>
    <w:rsid w:val="00742FC7"/>
    <w:rsid w:val="00746988"/>
    <w:rsid w:val="0074781E"/>
    <w:rsid w:val="007529AD"/>
    <w:rsid w:val="0075730D"/>
    <w:rsid w:val="0076128A"/>
    <w:rsid w:val="0076515D"/>
    <w:rsid w:val="00765F5D"/>
    <w:rsid w:val="007717EA"/>
    <w:rsid w:val="00772BC4"/>
    <w:rsid w:val="00773156"/>
    <w:rsid w:val="00776240"/>
    <w:rsid w:val="00780EC3"/>
    <w:rsid w:val="00781353"/>
    <w:rsid w:val="00783A68"/>
    <w:rsid w:val="00785D1C"/>
    <w:rsid w:val="00787E67"/>
    <w:rsid w:val="00787F25"/>
    <w:rsid w:val="00792A63"/>
    <w:rsid w:val="00792D8D"/>
    <w:rsid w:val="00794AEC"/>
    <w:rsid w:val="007A0E50"/>
    <w:rsid w:val="007A6E13"/>
    <w:rsid w:val="007A7945"/>
    <w:rsid w:val="007B2177"/>
    <w:rsid w:val="007B6068"/>
    <w:rsid w:val="007B6306"/>
    <w:rsid w:val="007C09F4"/>
    <w:rsid w:val="007C3726"/>
    <w:rsid w:val="007C4B15"/>
    <w:rsid w:val="007C59EE"/>
    <w:rsid w:val="007D4CB5"/>
    <w:rsid w:val="007D52A7"/>
    <w:rsid w:val="007D60AA"/>
    <w:rsid w:val="007E39B1"/>
    <w:rsid w:val="007F2533"/>
    <w:rsid w:val="007F4416"/>
    <w:rsid w:val="007F4A30"/>
    <w:rsid w:val="007F6514"/>
    <w:rsid w:val="007F78C5"/>
    <w:rsid w:val="007F7E87"/>
    <w:rsid w:val="00801065"/>
    <w:rsid w:val="00806639"/>
    <w:rsid w:val="00806CD9"/>
    <w:rsid w:val="00807A7F"/>
    <w:rsid w:val="00811C8F"/>
    <w:rsid w:val="00811CEA"/>
    <w:rsid w:val="008134C9"/>
    <w:rsid w:val="00815469"/>
    <w:rsid w:val="00830AA8"/>
    <w:rsid w:val="00830C75"/>
    <w:rsid w:val="0083313E"/>
    <w:rsid w:val="00833C29"/>
    <w:rsid w:val="008362DF"/>
    <w:rsid w:val="008410C0"/>
    <w:rsid w:val="00844261"/>
    <w:rsid w:val="0084620C"/>
    <w:rsid w:val="00855C21"/>
    <w:rsid w:val="008632A8"/>
    <w:rsid w:val="00864D46"/>
    <w:rsid w:val="008654A2"/>
    <w:rsid w:val="00876E1A"/>
    <w:rsid w:val="008874E7"/>
    <w:rsid w:val="00890C79"/>
    <w:rsid w:val="008916C1"/>
    <w:rsid w:val="008978D4"/>
    <w:rsid w:val="008A4A05"/>
    <w:rsid w:val="008A7606"/>
    <w:rsid w:val="008B04A9"/>
    <w:rsid w:val="008B0B0D"/>
    <w:rsid w:val="008B1C15"/>
    <w:rsid w:val="008B304F"/>
    <w:rsid w:val="008B3174"/>
    <w:rsid w:val="008B3547"/>
    <w:rsid w:val="008C4F46"/>
    <w:rsid w:val="008C589A"/>
    <w:rsid w:val="008D601A"/>
    <w:rsid w:val="008D654C"/>
    <w:rsid w:val="008D6EA0"/>
    <w:rsid w:val="008E0B13"/>
    <w:rsid w:val="008E138B"/>
    <w:rsid w:val="008E140C"/>
    <w:rsid w:val="008E27E5"/>
    <w:rsid w:val="008F1AFD"/>
    <w:rsid w:val="008F2594"/>
    <w:rsid w:val="008F5371"/>
    <w:rsid w:val="0090142D"/>
    <w:rsid w:val="00906C28"/>
    <w:rsid w:val="00911172"/>
    <w:rsid w:val="00914A43"/>
    <w:rsid w:val="00921227"/>
    <w:rsid w:val="00927173"/>
    <w:rsid w:val="0092788B"/>
    <w:rsid w:val="00935428"/>
    <w:rsid w:val="00943CEE"/>
    <w:rsid w:val="00945C39"/>
    <w:rsid w:val="00947ADD"/>
    <w:rsid w:val="009540F6"/>
    <w:rsid w:val="00956492"/>
    <w:rsid w:val="00962005"/>
    <w:rsid w:val="009758AD"/>
    <w:rsid w:val="00976133"/>
    <w:rsid w:val="00983467"/>
    <w:rsid w:val="009840EE"/>
    <w:rsid w:val="00984C7A"/>
    <w:rsid w:val="00987D34"/>
    <w:rsid w:val="00990481"/>
    <w:rsid w:val="00990495"/>
    <w:rsid w:val="00993329"/>
    <w:rsid w:val="009949E4"/>
    <w:rsid w:val="00995746"/>
    <w:rsid w:val="009B5C40"/>
    <w:rsid w:val="009B6BF5"/>
    <w:rsid w:val="009C0095"/>
    <w:rsid w:val="009C0313"/>
    <w:rsid w:val="009C2F8B"/>
    <w:rsid w:val="009C301F"/>
    <w:rsid w:val="009D027D"/>
    <w:rsid w:val="009D331E"/>
    <w:rsid w:val="009E518A"/>
    <w:rsid w:val="009E5DD9"/>
    <w:rsid w:val="009E65F7"/>
    <w:rsid w:val="009F1CDA"/>
    <w:rsid w:val="009F44B3"/>
    <w:rsid w:val="009F541A"/>
    <w:rsid w:val="009F7BC4"/>
    <w:rsid w:val="00A01AA0"/>
    <w:rsid w:val="00A040B3"/>
    <w:rsid w:val="00A05BAB"/>
    <w:rsid w:val="00A072A3"/>
    <w:rsid w:val="00A0764F"/>
    <w:rsid w:val="00A12466"/>
    <w:rsid w:val="00A14DD3"/>
    <w:rsid w:val="00A15F24"/>
    <w:rsid w:val="00A2202B"/>
    <w:rsid w:val="00A26486"/>
    <w:rsid w:val="00A320C3"/>
    <w:rsid w:val="00A322A9"/>
    <w:rsid w:val="00A333B7"/>
    <w:rsid w:val="00A36A22"/>
    <w:rsid w:val="00A41758"/>
    <w:rsid w:val="00A41E39"/>
    <w:rsid w:val="00A41EEC"/>
    <w:rsid w:val="00A42994"/>
    <w:rsid w:val="00A43C64"/>
    <w:rsid w:val="00A45344"/>
    <w:rsid w:val="00A46A4A"/>
    <w:rsid w:val="00A473E2"/>
    <w:rsid w:val="00A574DA"/>
    <w:rsid w:val="00A576F2"/>
    <w:rsid w:val="00A57D90"/>
    <w:rsid w:val="00A64481"/>
    <w:rsid w:val="00A6556C"/>
    <w:rsid w:val="00A72924"/>
    <w:rsid w:val="00A759F7"/>
    <w:rsid w:val="00A84312"/>
    <w:rsid w:val="00A8458B"/>
    <w:rsid w:val="00A853B5"/>
    <w:rsid w:val="00A925F3"/>
    <w:rsid w:val="00A93960"/>
    <w:rsid w:val="00A939D8"/>
    <w:rsid w:val="00AA098B"/>
    <w:rsid w:val="00AA1BF8"/>
    <w:rsid w:val="00AA64DB"/>
    <w:rsid w:val="00AB2F5E"/>
    <w:rsid w:val="00AB38B1"/>
    <w:rsid w:val="00AB6072"/>
    <w:rsid w:val="00AC5777"/>
    <w:rsid w:val="00AC5926"/>
    <w:rsid w:val="00AD32FC"/>
    <w:rsid w:val="00AD6AC5"/>
    <w:rsid w:val="00AE1F6D"/>
    <w:rsid w:val="00AE30D6"/>
    <w:rsid w:val="00AE5425"/>
    <w:rsid w:val="00AE6304"/>
    <w:rsid w:val="00AE699B"/>
    <w:rsid w:val="00AF369B"/>
    <w:rsid w:val="00AF46F4"/>
    <w:rsid w:val="00AF7797"/>
    <w:rsid w:val="00B06FA8"/>
    <w:rsid w:val="00B1368E"/>
    <w:rsid w:val="00B17A0A"/>
    <w:rsid w:val="00B23C1B"/>
    <w:rsid w:val="00B23F76"/>
    <w:rsid w:val="00B3186B"/>
    <w:rsid w:val="00B34964"/>
    <w:rsid w:val="00B34AC2"/>
    <w:rsid w:val="00B35569"/>
    <w:rsid w:val="00B4681F"/>
    <w:rsid w:val="00B50D35"/>
    <w:rsid w:val="00B55EB9"/>
    <w:rsid w:val="00B60FC9"/>
    <w:rsid w:val="00B6250C"/>
    <w:rsid w:val="00B62ED5"/>
    <w:rsid w:val="00B63DF6"/>
    <w:rsid w:val="00B659FE"/>
    <w:rsid w:val="00B7345F"/>
    <w:rsid w:val="00B73FA4"/>
    <w:rsid w:val="00B76F58"/>
    <w:rsid w:val="00B9144D"/>
    <w:rsid w:val="00BA1F21"/>
    <w:rsid w:val="00BC0D41"/>
    <w:rsid w:val="00BC2D70"/>
    <w:rsid w:val="00BC3EA7"/>
    <w:rsid w:val="00BD1704"/>
    <w:rsid w:val="00BD1738"/>
    <w:rsid w:val="00BD654B"/>
    <w:rsid w:val="00BE06EC"/>
    <w:rsid w:val="00BE2B98"/>
    <w:rsid w:val="00BE4178"/>
    <w:rsid w:val="00BE6AA2"/>
    <w:rsid w:val="00BE7654"/>
    <w:rsid w:val="00BF0C48"/>
    <w:rsid w:val="00C057EE"/>
    <w:rsid w:val="00C1388A"/>
    <w:rsid w:val="00C15FE2"/>
    <w:rsid w:val="00C208B0"/>
    <w:rsid w:val="00C21A46"/>
    <w:rsid w:val="00C22F59"/>
    <w:rsid w:val="00C525EF"/>
    <w:rsid w:val="00C555F6"/>
    <w:rsid w:val="00C577D1"/>
    <w:rsid w:val="00C62CBA"/>
    <w:rsid w:val="00C64CA1"/>
    <w:rsid w:val="00C67F37"/>
    <w:rsid w:val="00C76EED"/>
    <w:rsid w:val="00C77E16"/>
    <w:rsid w:val="00C822EF"/>
    <w:rsid w:val="00C902E9"/>
    <w:rsid w:val="00C93F75"/>
    <w:rsid w:val="00CA3409"/>
    <w:rsid w:val="00CA35A9"/>
    <w:rsid w:val="00CA4728"/>
    <w:rsid w:val="00CA4FC4"/>
    <w:rsid w:val="00CA59F6"/>
    <w:rsid w:val="00CA5FE2"/>
    <w:rsid w:val="00CA6109"/>
    <w:rsid w:val="00CB5DC3"/>
    <w:rsid w:val="00CC24A2"/>
    <w:rsid w:val="00CC3513"/>
    <w:rsid w:val="00CC4677"/>
    <w:rsid w:val="00CC7A98"/>
    <w:rsid w:val="00CD3507"/>
    <w:rsid w:val="00CD5DA8"/>
    <w:rsid w:val="00CE1FEC"/>
    <w:rsid w:val="00CE2071"/>
    <w:rsid w:val="00CE54F5"/>
    <w:rsid w:val="00CE61D3"/>
    <w:rsid w:val="00CE620C"/>
    <w:rsid w:val="00CE660E"/>
    <w:rsid w:val="00CF082A"/>
    <w:rsid w:val="00CF0B3D"/>
    <w:rsid w:val="00CF205C"/>
    <w:rsid w:val="00CF260B"/>
    <w:rsid w:val="00D022AF"/>
    <w:rsid w:val="00D02ED4"/>
    <w:rsid w:val="00D1156B"/>
    <w:rsid w:val="00D20134"/>
    <w:rsid w:val="00D27AD3"/>
    <w:rsid w:val="00D30CED"/>
    <w:rsid w:val="00D345FF"/>
    <w:rsid w:val="00D352D5"/>
    <w:rsid w:val="00D353E3"/>
    <w:rsid w:val="00D365EA"/>
    <w:rsid w:val="00D4085D"/>
    <w:rsid w:val="00D40A45"/>
    <w:rsid w:val="00D41D8F"/>
    <w:rsid w:val="00D45C5B"/>
    <w:rsid w:val="00D45E66"/>
    <w:rsid w:val="00D519CE"/>
    <w:rsid w:val="00D55534"/>
    <w:rsid w:val="00D56050"/>
    <w:rsid w:val="00D5668E"/>
    <w:rsid w:val="00D61864"/>
    <w:rsid w:val="00D70190"/>
    <w:rsid w:val="00D7079C"/>
    <w:rsid w:val="00D73535"/>
    <w:rsid w:val="00D7390D"/>
    <w:rsid w:val="00D75530"/>
    <w:rsid w:val="00D8148B"/>
    <w:rsid w:val="00D87270"/>
    <w:rsid w:val="00D908EB"/>
    <w:rsid w:val="00D9448E"/>
    <w:rsid w:val="00DA10C7"/>
    <w:rsid w:val="00DA69A5"/>
    <w:rsid w:val="00DA7023"/>
    <w:rsid w:val="00DB0719"/>
    <w:rsid w:val="00DB1892"/>
    <w:rsid w:val="00DB4DBD"/>
    <w:rsid w:val="00DC336C"/>
    <w:rsid w:val="00DC6EE4"/>
    <w:rsid w:val="00DD25E8"/>
    <w:rsid w:val="00DD4E70"/>
    <w:rsid w:val="00DE75CE"/>
    <w:rsid w:val="00DF134A"/>
    <w:rsid w:val="00DF4787"/>
    <w:rsid w:val="00E01DEC"/>
    <w:rsid w:val="00E02D2A"/>
    <w:rsid w:val="00E07245"/>
    <w:rsid w:val="00E11832"/>
    <w:rsid w:val="00E12E79"/>
    <w:rsid w:val="00E14B23"/>
    <w:rsid w:val="00E2067F"/>
    <w:rsid w:val="00E245C0"/>
    <w:rsid w:val="00E33356"/>
    <w:rsid w:val="00E35326"/>
    <w:rsid w:val="00E41E8F"/>
    <w:rsid w:val="00E422E6"/>
    <w:rsid w:val="00E42C5C"/>
    <w:rsid w:val="00E43D7F"/>
    <w:rsid w:val="00E458C3"/>
    <w:rsid w:val="00E54AAF"/>
    <w:rsid w:val="00E57657"/>
    <w:rsid w:val="00E60A65"/>
    <w:rsid w:val="00E6753F"/>
    <w:rsid w:val="00E71BED"/>
    <w:rsid w:val="00E72735"/>
    <w:rsid w:val="00E729D0"/>
    <w:rsid w:val="00E77B0F"/>
    <w:rsid w:val="00E80186"/>
    <w:rsid w:val="00E81765"/>
    <w:rsid w:val="00E84027"/>
    <w:rsid w:val="00E85743"/>
    <w:rsid w:val="00E86147"/>
    <w:rsid w:val="00E913C9"/>
    <w:rsid w:val="00EA22FD"/>
    <w:rsid w:val="00EA3B51"/>
    <w:rsid w:val="00EA7826"/>
    <w:rsid w:val="00EB02A8"/>
    <w:rsid w:val="00EB3DC0"/>
    <w:rsid w:val="00EC1031"/>
    <w:rsid w:val="00EC694D"/>
    <w:rsid w:val="00ED1C7E"/>
    <w:rsid w:val="00ED2548"/>
    <w:rsid w:val="00ED426E"/>
    <w:rsid w:val="00ED4302"/>
    <w:rsid w:val="00ED467A"/>
    <w:rsid w:val="00ED4B50"/>
    <w:rsid w:val="00ED70A9"/>
    <w:rsid w:val="00ED7E14"/>
    <w:rsid w:val="00EE44E7"/>
    <w:rsid w:val="00EE6B37"/>
    <w:rsid w:val="00EF1251"/>
    <w:rsid w:val="00EF14E1"/>
    <w:rsid w:val="00F00B6C"/>
    <w:rsid w:val="00F01CE5"/>
    <w:rsid w:val="00F0791A"/>
    <w:rsid w:val="00F11C5D"/>
    <w:rsid w:val="00F12AC6"/>
    <w:rsid w:val="00F150DD"/>
    <w:rsid w:val="00F17789"/>
    <w:rsid w:val="00F2086C"/>
    <w:rsid w:val="00F20C1E"/>
    <w:rsid w:val="00F22733"/>
    <w:rsid w:val="00F33C8B"/>
    <w:rsid w:val="00F33E86"/>
    <w:rsid w:val="00F40660"/>
    <w:rsid w:val="00F438E4"/>
    <w:rsid w:val="00F4550D"/>
    <w:rsid w:val="00F5304E"/>
    <w:rsid w:val="00F551BD"/>
    <w:rsid w:val="00F5534C"/>
    <w:rsid w:val="00F601A4"/>
    <w:rsid w:val="00F61BB0"/>
    <w:rsid w:val="00F63E67"/>
    <w:rsid w:val="00F64D15"/>
    <w:rsid w:val="00F703ED"/>
    <w:rsid w:val="00F73C61"/>
    <w:rsid w:val="00F833EE"/>
    <w:rsid w:val="00F84219"/>
    <w:rsid w:val="00F85247"/>
    <w:rsid w:val="00F869B9"/>
    <w:rsid w:val="00F925BB"/>
    <w:rsid w:val="00F959C3"/>
    <w:rsid w:val="00F9600D"/>
    <w:rsid w:val="00F97C5D"/>
    <w:rsid w:val="00F97E67"/>
    <w:rsid w:val="00FA5C58"/>
    <w:rsid w:val="00FB1B1A"/>
    <w:rsid w:val="00FB2973"/>
    <w:rsid w:val="00FB44DA"/>
    <w:rsid w:val="00FB5497"/>
    <w:rsid w:val="00FD3DF5"/>
    <w:rsid w:val="00FE03FA"/>
    <w:rsid w:val="00FE5144"/>
    <w:rsid w:val="00FE652F"/>
    <w:rsid w:val="00FE6F98"/>
    <w:rsid w:val="00FE7BEE"/>
    <w:rsid w:val="00FF04CF"/>
    <w:rsid w:val="00FF268E"/>
    <w:rsid w:val="00FF5D76"/>
    <w:rsid w:val="00FF6A0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b/>
      <w:bCs/>
      <w:kern w:val="36"/>
      <w:sz w:val="48"/>
      <w:szCs w:val="48"/>
      <w:lang w:val="en-US" w:eastAsia="x-none"/>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basedOn w:val="Normal"/>
    <w:link w:val="FootnoteTextChar1"/>
    <w:uiPriority w:val="99"/>
    <w:rsid w:val="00C62CBA"/>
    <w:pPr>
      <w:spacing w:after="0" w:line="240" w:lineRule="auto"/>
    </w:pPr>
    <w:rPr>
      <w:rFonts w:eastAsia="Times New Roman"/>
      <w:sz w:val="20"/>
      <w:szCs w:val="20"/>
      <w:lang w:val="x-none" w:eastAsia="x-none"/>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semiHidden/>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link w:val="4GChar"/>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sz w:val="28"/>
      <w:szCs w:val="28"/>
      <w:lang w:val="en-US" w:eastAsia="x-none"/>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rsid w:val="00C62CBA"/>
    <w:rPr>
      <w:rFonts w:cs="Times New Roman"/>
      <w:sz w:val="16"/>
      <w:szCs w:val="16"/>
    </w:rPr>
  </w:style>
  <w:style w:type="paragraph" w:styleId="CommentText">
    <w:name w:val="annotation text"/>
    <w:basedOn w:val="Normal"/>
    <w:link w:val="CommentTextChar"/>
    <w:rsid w:val="00C62CBA"/>
    <w:pPr>
      <w:spacing w:line="240" w:lineRule="auto"/>
    </w:pPr>
    <w:rPr>
      <w:rFonts w:eastAsia="Times New Roman"/>
      <w:sz w:val="20"/>
      <w:szCs w:val="20"/>
      <w:lang w:val="x-none" w:eastAsia="x-none"/>
    </w:rPr>
  </w:style>
  <w:style w:type="character" w:customStyle="1" w:styleId="CommentTextChar">
    <w:name w:val="Comment Text Char"/>
    <w:link w:val="CommentText"/>
    <w:locked/>
    <w:rsid w:val="00C62CBA"/>
    <w:rPr>
      <w:rFonts w:ascii="Calibri" w:eastAsia="Times New Roman" w:hAnsi="Calibri" w:cs="Times New Roman"/>
      <w:sz w:val="20"/>
      <w:szCs w:val="20"/>
    </w:rPr>
  </w:style>
  <w:style w:type="character" w:styleId="Strong">
    <w:name w:val="Strong"/>
    <w:uiPriority w:val="22"/>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037D34"/>
    <w:pPr>
      <w:spacing w:after="120"/>
    </w:pPr>
    <w:rPr>
      <w:rFonts w:eastAsia="Times New Roman"/>
      <w:sz w:val="20"/>
      <w:szCs w:val="20"/>
      <w:lang w:val="x-none" w:eastAsia="x-none"/>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rsid w:val="00032EBF"/>
    <w:pPr>
      <w:spacing w:after="160" w:line="240" w:lineRule="exact"/>
    </w:pPr>
    <w:rPr>
      <w:sz w:val="20"/>
      <w:szCs w:val="20"/>
      <w:vertAlign w:val="superscript"/>
      <w:lang w:val="en-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b/>
      <w:bCs/>
      <w:kern w:val="36"/>
      <w:sz w:val="48"/>
      <w:szCs w:val="48"/>
      <w:lang w:val="en-US" w:eastAsia="x-none"/>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basedOn w:val="Normal"/>
    <w:link w:val="FootnoteTextChar1"/>
    <w:uiPriority w:val="99"/>
    <w:rsid w:val="00C62CBA"/>
    <w:pPr>
      <w:spacing w:after="0" w:line="240" w:lineRule="auto"/>
    </w:pPr>
    <w:rPr>
      <w:rFonts w:eastAsia="Times New Roman"/>
      <w:sz w:val="20"/>
      <w:szCs w:val="20"/>
      <w:lang w:val="x-none" w:eastAsia="x-none"/>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semiHidden/>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link w:val="4GChar"/>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sz w:val="28"/>
      <w:szCs w:val="28"/>
      <w:lang w:val="en-US" w:eastAsia="x-none"/>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rsid w:val="00C62CBA"/>
    <w:rPr>
      <w:rFonts w:cs="Times New Roman"/>
      <w:sz w:val="16"/>
      <w:szCs w:val="16"/>
    </w:rPr>
  </w:style>
  <w:style w:type="paragraph" w:styleId="CommentText">
    <w:name w:val="annotation text"/>
    <w:basedOn w:val="Normal"/>
    <w:link w:val="CommentTextChar"/>
    <w:rsid w:val="00C62CBA"/>
    <w:pPr>
      <w:spacing w:line="240" w:lineRule="auto"/>
    </w:pPr>
    <w:rPr>
      <w:rFonts w:eastAsia="Times New Roman"/>
      <w:sz w:val="20"/>
      <w:szCs w:val="20"/>
      <w:lang w:val="x-none" w:eastAsia="x-none"/>
    </w:rPr>
  </w:style>
  <w:style w:type="character" w:customStyle="1" w:styleId="CommentTextChar">
    <w:name w:val="Comment Text Char"/>
    <w:link w:val="CommentText"/>
    <w:locked/>
    <w:rsid w:val="00C62CBA"/>
    <w:rPr>
      <w:rFonts w:ascii="Calibri" w:eastAsia="Times New Roman" w:hAnsi="Calibri" w:cs="Times New Roman"/>
      <w:sz w:val="20"/>
      <w:szCs w:val="20"/>
    </w:rPr>
  </w:style>
  <w:style w:type="character" w:styleId="Strong">
    <w:name w:val="Strong"/>
    <w:uiPriority w:val="22"/>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037D34"/>
    <w:pPr>
      <w:spacing w:after="120"/>
    </w:pPr>
    <w:rPr>
      <w:rFonts w:eastAsia="Times New Roman"/>
      <w:sz w:val="20"/>
      <w:szCs w:val="20"/>
      <w:lang w:val="x-none" w:eastAsia="x-none"/>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rsid w:val="00032EBF"/>
    <w:pPr>
      <w:spacing w:after="160" w:line="240" w:lineRule="exact"/>
    </w:pPr>
    <w:rPr>
      <w:sz w:val="20"/>
      <w:szCs w:val="20"/>
      <w:vertAlign w:val="superscript"/>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4602">
      <w:bodyDiv w:val="1"/>
      <w:marLeft w:val="0"/>
      <w:marRight w:val="0"/>
      <w:marTop w:val="0"/>
      <w:marBottom w:val="0"/>
      <w:divBdr>
        <w:top w:val="none" w:sz="0" w:space="0" w:color="auto"/>
        <w:left w:val="none" w:sz="0" w:space="0" w:color="auto"/>
        <w:bottom w:val="none" w:sz="0" w:space="0" w:color="auto"/>
        <w:right w:val="none" w:sz="0" w:space="0" w:color="auto"/>
      </w:divBdr>
    </w:div>
    <w:div w:id="582952254">
      <w:marLeft w:val="0"/>
      <w:marRight w:val="0"/>
      <w:marTop w:val="0"/>
      <w:marBottom w:val="0"/>
      <w:divBdr>
        <w:top w:val="none" w:sz="0" w:space="0" w:color="auto"/>
        <w:left w:val="none" w:sz="0" w:space="0" w:color="auto"/>
        <w:bottom w:val="none" w:sz="0" w:space="0" w:color="auto"/>
        <w:right w:val="none" w:sz="0" w:space="0" w:color="auto"/>
      </w:divBdr>
    </w:div>
    <w:div w:id="582952255">
      <w:marLeft w:val="0"/>
      <w:marRight w:val="0"/>
      <w:marTop w:val="0"/>
      <w:marBottom w:val="0"/>
      <w:divBdr>
        <w:top w:val="none" w:sz="0" w:space="0" w:color="auto"/>
        <w:left w:val="none" w:sz="0" w:space="0" w:color="auto"/>
        <w:bottom w:val="none" w:sz="0" w:space="0" w:color="auto"/>
        <w:right w:val="none" w:sz="0" w:space="0" w:color="auto"/>
      </w:divBdr>
    </w:div>
    <w:div w:id="582952256">
      <w:marLeft w:val="0"/>
      <w:marRight w:val="0"/>
      <w:marTop w:val="0"/>
      <w:marBottom w:val="0"/>
      <w:divBdr>
        <w:top w:val="none" w:sz="0" w:space="0" w:color="auto"/>
        <w:left w:val="none" w:sz="0" w:space="0" w:color="auto"/>
        <w:bottom w:val="none" w:sz="0" w:space="0" w:color="auto"/>
        <w:right w:val="none" w:sz="0" w:space="0" w:color="auto"/>
      </w:divBdr>
    </w:div>
    <w:div w:id="582952257">
      <w:marLeft w:val="0"/>
      <w:marRight w:val="0"/>
      <w:marTop w:val="0"/>
      <w:marBottom w:val="0"/>
      <w:divBdr>
        <w:top w:val="none" w:sz="0" w:space="0" w:color="auto"/>
        <w:left w:val="none" w:sz="0" w:space="0" w:color="auto"/>
        <w:bottom w:val="none" w:sz="0" w:space="0" w:color="auto"/>
        <w:right w:val="none" w:sz="0" w:space="0" w:color="auto"/>
      </w:divBdr>
    </w:div>
    <w:div w:id="582952258">
      <w:marLeft w:val="0"/>
      <w:marRight w:val="0"/>
      <w:marTop w:val="0"/>
      <w:marBottom w:val="0"/>
      <w:divBdr>
        <w:top w:val="none" w:sz="0" w:space="0" w:color="auto"/>
        <w:left w:val="none" w:sz="0" w:space="0" w:color="auto"/>
        <w:bottom w:val="none" w:sz="0" w:space="0" w:color="auto"/>
        <w:right w:val="none" w:sz="0" w:space="0" w:color="auto"/>
      </w:divBdr>
    </w:div>
    <w:div w:id="582952259">
      <w:marLeft w:val="0"/>
      <w:marRight w:val="0"/>
      <w:marTop w:val="0"/>
      <w:marBottom w:val="0"/>
      <w:divBdr>
        <w:top w:val="none" w:sz="0" w:space="0" w:color="auto"/>
        <w:left w:val="none" w:sz="0" w:space="0" w:color="auto"/>
        <w:bottom w:val="none" w:sz="0" w:space="0" w:color="auto"/>
        <w:right w:val="none" w:sz="0" w:space="0" w:color="auto"/>
      </w:divBdr>
    </w:div>
    <w:div w:id="582952260">
      <w:marLeft w:val="0"/>
      <w:marRight w:val="0"/>
      <w:marTop w:val="0"/>
      <w:marBottom w:val="0"/>
      <w:divBdr>
        <w:top w:val="none" w:sz="0" w:space="0" w:color="auto"/>
        <w:left w:val="none" w:sz="0" w:space="0" w:color="auto"/>
        <w:bottom w:val="none" w:sz="0" w:space="0" w:color="auto"/>
        <w:right w:val="none" w:sz="0" w:space="0" w:color="auto"/>
      </w:divBdr>
    </w:div>
    <w:div w:id="582952261">
      <w:marLeft w:val="0"/>
      <w:marRight w:val="0"/>
      <w:marTop w:val="0"/>
      <w:marBottom w:val="0"/>
      <w:divBdr>
        <w:top w:val="none" w:sz="0" w:space="0" w:color="auto"/>
        <w:left w:val="none" w:sz="0" w:space="0" w:color="auto"/>
        <w:bottom w:val="none" w:sz="0" w:space="0" w:color="auto"/>
        <w:right w:val="none" w:sz="0" w:space="0" w:color="auto"/>
      </w:divBdr>
    </w:div>
    <w:div w:id="582952262">
      <w:marLeft w:val="0"/>
      <w:marRight w:val="0"/>
      <w:marTop w:val="0"/>
      <w:marBottom w:val="0"/>
      <w:divBdr>
        <w:top w:val="none" w:sz="0" w:space="0" w:color="auto"/>
        <w:left w:val="none" w:sz="0" w:space="0" w:color="auto"/>
        <w:bottom w:val="none" w:sz="0" w:space="0" w:color="auto"/>
        <w:right w:val="none" w:sz="0" w:space="0" w:color="auto"/>
      </w:divBdr>
    </w:div>
    <w:div w:id="582952263">
      <w:marLeft w:val="0"/>
      <w:marRight w:val="0"/>
      <w:marTop w:val="0"/>
      <w:marBottom w:val="0"/>
      <w:divBdr>
        <w:top w:val="none" w:sz="0" w:space="0" w:color="auto"/>
        <w:left w:val="none" w:sz="0" w:space="0" w:color="auto"/>
        <w:bottom w:val="none" w:sz="0" w:space="0" w:color="auto"/>
        <w:right w:val="none" w:sz="0" w:space="0" w:color="auto"/>
      </w:divBdr>
    </w:div>
    <w:div w:id="1315524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isukeccpr:Desktop:Daisuke%20Baka%20Shirane%20Wattimena%20Lekahena:CCPR:countries:Thailand:2%20Cycle:Phase%201:Template-NGO%20Reply%20to%20LOI%20T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5CCC-EED1-674A-AE8A-3A5B8707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Template-NGO Reply to LOI THA.dotx</Template>
  <TotalTime>28</TotalTime>
  <Pages>15</Pages>
  <Words>4871</Words>
  <Characters>27771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RESPONSES FROM LIST OF ISSUE TO BE TAKEN UP IN CONNECTION WITH CONSIDERATION OF THE INITIAL REPORT OF ICCPR – INDONESIA</vt:lpstr>
    </vt:vector>
  </TitlesOfParts>
  <Company>Hewlett-Packard</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LIST OF ISSUE TO BE TAKEN UP IN CONNECTION WITH CONSIDERATION OF THE INITIAL REPORT OF ICCPR – INDONESIA</dc:title>
  <dc:subject/>
  <dc:creator>Daisuke CCPR</dc:creator>
  <cp:keywords/>
  <cp:lastModifiedBy>Daisuke CCPR</cp:lastModifiedBy>
  <cp:revision>5</cp:revision>
  <dcterms:created xsi:type="dcterms:W3CDTF">2018-11-13T09:47:00Z</dcterms:created>
  <dcterms:modified xsi:type="dcterms:W3CDTF">2018-11-14T03:50:00Z</dcterms:modified>
</cp:coreProperties>
</file>