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6617" w14:textId="77777777" w:rsidR="00E63AC6" w:rsidRPr="00873B06" w:rsidRDefault="00E63AC6" w:rsidP="00E63AC6">
      <w:pPr>
        <w:jc w:val="center"/>
        <w:rPr>
          <w:sz w:val="22"/>
          <w:szCs w:val="22"/>
          <w:lang w:val="es-ES"/>
        </w:rPr>
      </w:pPr>
      <w:r w:rsidRPr="00873B06">
        <w:rPr>
          <w:sz w:val="22"/>
          <w:szCs w:val="22"/>
          <w:lang w:val="es-ES"/>
        </w:rPr>
        <w:t xml:space="preserve">Proyecto Observación general n.º 38 – Libertad de asociación </w:t>
      </w:r>
    </w:p>
    <w:p w14:paraId="4CCF6970" w14:textId="0FB4E2D9" w:rsidR="00DB7626" w:rsidRPr="00873B06" w:rsidRDefault="00E63AC6" w:rsidP="00E63AC6">
      <w:pPr>
        <w:jc w:val="center"/>
        <w:rPr>
          <w:sz w:val="22"/>
          <w:szCs w:val="22"/>
          <w:lang w:val="es-ES"/>
        </w:rPr>
      </w:pPr>
      <w:r w:rsidRPr="00873B06">
        <w:rPr>
          <w:sz w:val="22"/>
          <w:szCs w:val="22"/>
          <w:lang w:val="es-ES"/>
        </w:rPr>
        <w:t>(Artículo 22 del Pacto Internacional de Derechos Civiles y Políticos)</w:t>
      </w:r>
    </w:p>
    <w:p w14:paraId="3A8EB309" w14:textId="77777777" w:rsidR="00E63AC6" w:rsidRPr="00873B06" w:rsidRDefault="00E63AC6" w:rsidP="00E63AC6">
      <w:pPr>
        <w:jc w:val="center"/>
        <w:rPr>
          <w:sz w:val="22"/>
          <w:szCs w:val="22"/>
          <w:lang w:val="es-ES"/>
        </w:rPr>
      </w:pPr>
    </w:p>
    <w:p w14:paraId="6D92639B" w14:textId="77777777" w:rsidR="00E63AC6" w:rsidRPr="00873B06" w:rsidRDefault="00E63AC6" w:rsidP="00E63AC6">
      <w:pPr>
        <w:jc w:val="center"/>
        <w:rPr>
          <w:sz w:val="22"/>
          <w:szCs w:val="22"/>
          <w:lang w:val="es-ES"/>
        </w:rPr>
      </w:pPr>
    </w:p>
    <w:p w14:paraId="4F036ABD" w14:textId="5C46F210" w:rsidR="00E63AC6" w:rsidRPr="00873B06" w:rsidRDefault="00E63AC6" w:rsidP="00E63AC6">
      <w:pPr>
        <w:jc w:val="center"/>
        <w:rPr>
          <w:sz w:val="22"/>
          <w:szCs w:val="22"/>
          <w:lang w:val="es-ES"/>
        </w:rPr>
      </w:pPr>
      <w:r w:rsidRPr="00873B06">
        <w:rPr>
          <w:sz w:val="22"/>
          <w:szCs w:val="22"/>
          <w:lang w:val="es-ES"/>
        </w:rPr>
        <w:t>Nota conceptual</w:t>
      </w:r>
    </w:p>
    <w:p w14:paraId="1AB6F6FD" w14:textId="77777777" w:rsidR="00105E91" w:rsidRPr="00873B06" w:rsidRDefault="00105E91" w:rsidP="00E63AC6">
      <w:pPr>
        <w:jc w:val="center"/>
        <w:rPr>
          <w:sz w:val="22"/>
          <w:szCs w:val="22"/>
          <w:lang w:val="es-ES"/>
        </w:rPr>
      </w:pPr>
    </w:p>
    <w:p w14:paraId="20AE40AB" w14:textId="77777777" w:rsidR="00105E91" w:rsidRPr="00873B06" w:rsidRDefault="00105E91" w:rsidP="00E63AC6">
      <w:pPr>
        <w:jc w:val="center"/>
        <w:rPr>
          <w:sz w:val="22"/>
          <w:szCs w:val="22"/>
          <w:lang w:val="es-ES"/>
        </w:rPr>
      </w:pPr>
    </w:p>
    <w:p w14:paraId="53B08A0A" w14:textId="77777777" w:rsidR="001C294C" w:rsidRPr="00873B06" w:rsidRDefault="001C294C" w:rsidP="001C294C">
      <w:pPr>
        <w:jc w:val="both"/>
        <w:rPr>
          <w:rFonts w:eastAsia="Times New Roman" w:cstheme="minorHAnsi"/>
          <w:color w:val="171717" w:themeColor="background2" w:themeShade="1A"/>
          <w:kern w:val="0"/>
          <w:lang w:val="es-ES" w:eastAsia="fr-FR"/>
          <w14:ligatures w14:val="none"/>
        </w:rPr>
      </w:pPr>
    </w:p>
    <w:p w14:paraId="43A1C8DF" w14:textId="77777777" w:rsidR="002B5A49" w:rsidRPr="00873B06" w:rsidRDefault="002B5A49" w:rsidP="001C294C">
      <w:pPr>
        <w:jc w:val="both"/>
        <w:rPr>
          <w:rFonts w:eastAsia="Times New Roman" w:cstheme="minorHAnsi"/>
          <w:color w:val="171717" w:themeColor="background2" w:themeShade="1A"/>
          <w:kern w:val="0"/>
          <w:lang w:val="es-ES" w:eastAsia="fr-FR"/>
          <w14:ligatures w14:val="none"/>
        </w:rPr>
      </w:pPr>
    </w:p>
    <w:p w14:paraId="1A860718" w14:textId="77777777" w:rsidR="002B5A49" w:rsidRPr="00873B06" w:rsidRDefault="002B5A49" w:rsidP="001C294C">
      <w:pPr>
        <w:jc w:val="both"/>
        <w:rPr>
          <w:rFonts w:eastAsia="Times New Roman" w:cstheme="minorHAnsi"/>
          <w:color w:val="171717" w:themeColor="background2" w:themeShade="1A"/>
          <w:kern w:val="0"/>
          <w:lang w:val="es-ES" w:eastAsia="fr-FR"/>
          <w14:ligatures w14:val="none"/>
        </w:rPr>
      </w:pPr>
    </w:p>
    <w:p w14:paraId="432ED1B3" w14:textId="68544F2D" w:rsidR="002B5A49" w:rsidRPr="00873B06" w:rsidRDefault="002B5A49" w:rsidP="002B5A49">
      <w:pPr>
        <w:spacing w:before="100" w:beforeAutospacing="1" w:after="100" w:afterAutospacing="1"/>
        <w:jc w:val="both"/>
        <w:rPr>
          <w:rFonts w:eastAsia="Times New Roman" w:cstheme="minorHAnsi"/>
          <w:color w:val="171717" w:themeColor="background2" w:themeShade="1A"/>
          <w:kern w:val="0"/>
          <w:sz w:val="22"/>
          <w:szCs w:val="22"/>
          <w:lang w:val="es-ES" w:eastAsia="fr-FR"/>
          <w14:ligatures w14:val="none"/>
        </w:rPr>
      </w:pPr>
      <w:proofErr w:type="gramStart"/>
      <w:r w:rsidRPr="00873B06">
        <w:rPr>
          <w:rFonts w:eastAsia="Times New Roman" w:cstheme="minorHAnsi"/>
          <w:color w:val="171717" w:themeColor="background2" w:themeShade="1A"/>
          <w:kern w:val="0"/>
          <w:sz w:val="22"/>
          <w:szCs w:val="22"/>
          <w:lang w:val="es-ES" w:eastAsia="fr-FR"/>
          <w14:ligatures w14:val="none"/>
        </w:rPr>
        <w:t>« 1</w:t>
      </w:r>
      <w:proofErr w:type="gramEnd"/>
      <w:r w:rsidRPr="00873B06">
        <w:rPr>
          <w:rFonts w:eastAsia="Times New Roman" w:cstheme="minorHAnsi"/>
          <w:color w:val="171717" w:themeColor="background2" w:themeShade="1A"/>
          <w:kern w:val="0"/>
          <w:sz w:val="22"/>
          <w:szCs w:val="22"/>
          <w:lang w:val="es-ES" w:eastAsia="fr-FR"/>
          <w14:ligatures w14:val="none"/>
        </w:rPr>
        <w:t>. Toda persona tiene derecho a asociarse libremente con otras, incluso el derecho a fundar sindicatos y afiliarse a ellos para la protección de sus intereses.</w:t>
      </w:r>
    </w:p>
    <w:p w14:paraId="762FA1E1" w14:textId="77777777" w:rsidR="002B5A49" w:rsidRPr="00873B06" w:rsidRDefault="002B5A49" w:rsidP="002B5A49">
      <w:pPr>
        <w:spacing w:before="100" w:beforeAutospacing="1" w:after="100" w:afterAutospacing="1"/>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2.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 El presente artículo no impedirá la imposición de restricciones legales al ejercicio de tal derecho cuando se trate de miembros de las fuerzas armadas y de la policía.</w:t>
      </w:r>
    </w:p>
    <w:p w14:paraId="1C623D7C" w14:textId="08F35369" w:rsidR="002B5A49" w:rsidRPr="00873B06" w:rsidRDefault="002B5A49" w:rsidP="002B5A49">
      <w:pPr>
        <w:spacing w:before="100" w:beforeAutospacing="1" w:after="100" w:afterAutospacing="1"/>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3. Ninguna disposición de este artículo autoriza a los </w:t>
      </w:r>
      <w:proofErr w:type="gramStart"/>
      <w:r w:rsidRPr="00873B06">
        <w:rPr>
          <w:rFonts w:eastAsia="Times New Roman" w:cstheme="minorHAnsi"/>
          <w:color w:val="171717" w:themeColor="background2" w:themeShade="1A"/>
          <w:kern w:val="0"/>
          <w:sz w:val="22"/>
          <w:szCs w:val="22"/>
          <w:lang w:val="es-ES" w:eastAsia="fr-FR"/>
          <w14:ligatures w14:val="none"/>
        </w:rPr>
        <w:t>Estados Partes</w:t>
      </w:r>
      <w:proofErr w:type="gramEnd"/>
      <w:r w:rsidRPr="00873B06">
        <w:rPr>
          <w:rFonts w:eastAsia="Times New Roman" w:cstheme="minorHAnsi"/>
          <w:color w:val="171717" w:themeColor="background2" w:themeShade="1A"/>
          <w:kern w:val="0"/>
          <w:sz w:val="22"/>
          <w:szCs w:val="22"/>
          <w:lang w:val="es-ES" w:eastAsia="fr-FR"/>
          <w14:ligatures w14:val="none"/>
        </w:rPr>
        <w:t xml:space="preserve"> en el Convenio de la Organización Internacional del Trabajo de 1948, relativo a la libertad sindical y a la protección del derecho de sindicación, a adoptar medidas legislativas que puedan menoscabar las garantías previstas en él ni a aplicar la ley de tal manera que pueda menoscabar esas garantías</w:t>
      </w:r>
      <w:proofErr w:type="gramStart"/>
      <w:r w:rsidRPr="00873B06">
        <w:rPr>
          <w:rFonts w:eastAsia="Times New Roman" w:cstheme="minorHAnsi"/>
          <w:color w:val="171717" w:themeColor="background2" w:themeShade="1A"/>
          <w:kern w:val="0"/>
          <w:sz w:val="22"/>
          <w:szCs w:val="22"/>
          <w:lang w:val="es-ES" w:eastAsia="fr-FR"/>
          <w14:ligatures w14:val="none"/>
        </w:rPr>
        <w:t>. »</w:t>
      </w:r>
      <w:proofErr w:type="gramEnd"/>
    </w:p>
    <w:p w14:paraId="7FDD848D" w14:textId="77777777" w:rsidR="002B5A49" w:rsidRPr="00873B06" w:rsidRDefault="002B5A49" w:rsidP="002B5A49">
      <w:pPr>
        <w:rPr>
          <w:rFonts w:ascii="Times New Roman" w:eastAsia="Times New Roman" w:hAnsi="Times New Roman" w:cs="Times New Roman"/>
          <w:kern w:val="0"/>
          <w:lang w:val="es-ES" w:eastAsia="fr-FR"/>
          <w14:ligatures w14:val="none"/>
        </w:rPr>
      </w:pPr>
    </w:p>
    <w:p w14:paraId="5F4EB58D" w14:textId="77777777" w:rsidR="002B5A49" w:rsidRPr="00873B06" w:rsidRDefault="002B5A49" w:rsidP="001C294C">
      <w:pPr>
        <w:jc w:val="both"/>
        <w:rPr>
          <w:rFonts w:eastAsia="Times New Roman" w:cstheme="minorHAnsi"/>
          <w:color w:val="171717" w:themeColor="background2" w:themeShade="1A"/>
          <w:kern w:val="0"/>
          <w:lang w:val="es-ES" w:eastAsia="fr-FR"/>
          <w14:ligatures w14:val="none"/>
        </w:rPr>
      </w:pPr>
    </w:p>
    <w:p w14:paraId="6FA93892" w14:textId="77777777" w:rsidR="00105E91" w:rsidRPr="00873B06" w:rsidRDefault="00105E91" w:rsidP="00105E91">
      <w:pPr>
        <w:pStyle w:val="NormalWeb"/>
        <w:jc w:val="both"/>
        <w:rPr>
          <w:rFonts w:asciiTheme="minorHAnsi" w:hAnsiTheme="minorHAnsi" w:cstheme="minorHAnsi"/>
          <w:color w:val="171717" w:themeColor="background2" w:themeShade="1A"/>
          <w:sz w:val="22"/>
          <w:szCs w:val="22"/>
          <w:lang w:val="es-ES"/>
        </w:rPr>
      </w:pPr>
    </w:p>
    <w:p w14:paraId="104CA557" w14:textId="508B2963" w:rsidR="00105E91" w:rsidRPr="00873B06" w:rsidRDefault="00105E91" w:rsidP="00105E91">
      <w:pPr>
        <w:pStyle w:val="NormalWeb"/>
        <w:jc w:val="center"/>
        <w:rPr>
          <w:rFonts w:asciiTheme="minorHAnsi" w:hAnsiTheme="minorHAnsi" w:cstheme="minorHAnsi"/>
          <w:color w:val="171717" w:themeColor="background2" w:themeShade="1A"/>
          <w:sz w:val="20"/>
          <w:szCs w:val="20"/>
          <w:lang w:val="es-ES"/>
        </w:rPr>
      </w:pPr>
      <w:r w:rsidRPr="00873B06">
        <w:rPr>
          <w:rFonts w:asciiTheme="minorHAnsi" w:hAnsiTheme="minorHAnsi" w:cstheme="minorHAnsi"/>
          <w:color w:val="171717" w:themeColor="background2" w:themeShade="1A"/>
          <w:sz w:val="20"/>
          <w:szCs w:val="20"/>
          <w:lang w:val="es-ES"/>
        </w:rPr>
        <w:t>*</w:t>
      </w:r>
    </w:p>
    <w:p w14:paraId="7A360F5B" w14:textId="77777777" w:rsidR="002B64B2" w:rsidRPr="00873B06" w:rsidRDefault="002B64B2" w:rsidP="001C294C">
      <w:pPr>
        <w:jc w:val="both"/>
        <w:rPr>
          <w:rFonts w:eastAsia="Times New Roman" w:cstheme="minorHAnsi"/>
          <w:color w:val="171717" w:themeColor="background2" w:themeShade="1A"/>
          <w:kern w:val="0"/>
          <w:lang w:val="es-ES" w:eastAsia="fr-FR"/>
          <w14:ligatures w14:val="none"/>
        </w:rPr>
      </w:pPr>
    </w:p>
    <w:p w14:paraId="36F0A090" w14:textId="77777777" w:rsidR="00105E91" w:rsidRPr="00873B06" w:rsidRDefault="00105E91">
      <w:pPr>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br w:type="page"/>
      </w:r>
    </w:p>
    <w:p w14:paraId="366A072C" w14:textId="57F396E4" w:rsidR="001C294C" w:rsidRPr="00873B06" w:rsidRDefault="001C294C" w:rsidP="001C294C">
      <w:pPr>
        <w:jc w:val="both"/>
        <w:rPr>
          <w:rFonts w:eastAsia="Times New Roman" w:cstheme="minorHAnsi"/>
          <w:b/>
          <w:bCs/>
          <w:color w:val="171717" w:themeColor="background2" w:themeShade="1A"/>
          <w:kern w:val="0"/>
          <w:sz w:val="22"/>
          <w:szCs w:val="22"/>
          <w:lang w:val="es-ES" w:eastAsia="fr-FR"/>
          <w14:ligatures w14:val="none"/>
        </w:rPr>
      </w:pPr>
      <w:r w:rsidRPr="00873B06">
        <w:rPr>
          <w:rFonts w:eastAsia="Times New Roman" w:cstheme="minorHAnsi"/>
          <w:b/>
          <w:bCs/>
          <w:color w:val="171717" w:themeColor="background2" w:themeShade="1A"/>
          <w:kern w:val="0"/>
          <w:sz w:val="22"/>
          <w:szCs w:val="22"/>
          <w:lang w:val="es-ES" w:eastAsia="fr-FR"/>
          <w14:ligatures w14:val="none"/>
        </w:rPr>
        <w:lastRenderedPageBreak/>
        <w:t>Introducción</w:t>
      </w:r>
    </w:p>
    <w:p w14:paraId="5A7E37BE" w14:textId="77777777" w:rsidR="001C294C" w:rsidRPr="00873B06" w:rsidRDefault="001C294C" w:rsidP="001C294C">
      <w:pPr>
        <w:jc w:val="both"/>
        <w:rPr>
          <w:rFonts w:eastAsia="Times New Roman" w:cstheme="minorHAnsi"/>
          <w:color w:val="171717" w:themeColor="background2" w:themeShade="1A"/>
          <w:kern w:val="0"/>
          <w:sz w:val="22"/>
          <w:szCs w:val="22"/>
          <w:lang w:val="es-ES" w:eastAsia="fr-FR"/>
          <w14:ligatures w14:val="none"/>
        </w:rPr>
      </w:pPr>
    </w:p>
    <w:p w14:paraId="642A19C0" w14:textId="4586C836" w:rsidR="001C294C" w:rsidRPr="00873B06" w:rsidRDefault="001C294C"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1. El Comité de Derechos Humanos ha decidido dedicar su Observación general n.º 38 a la libertad de asociación protegida por el artículo 22 del Pacto Internacional de Derechos Civiles y Políticos (PIDCP). </w:t>
      </w:r>
      <w:r w:rsidR="00A12EFD" w:rsidRPr="00873B06">
        <w:rPr>
          <w:rFonts w:eastAsia="Times New Roman" w:cstheme="minorHAnsi"/>
          <w:color w:val="171717" w:themeColor="background2" w:themeShade="1A"/>
          <w:kern w:val="0"/>
          <w:sz w:val="22"/>
          <w:szCs w:val="22"/>
          <w:lang w:val="es-ES" w:eastAsia="fr-FR"/>
          <w14:ligatures w14:val="none"/>
        </w:rPr>
        <w:t xml:space="preserve">Esta libertad constituye, junto con la libertad de expresión </w:t>
      </w:r>
      <w:proofErr w:type="gramStart"/>
      <w:r w:rsidR="00166E39" w:rsidRPr="00873B06">
        <w:rPr>
          <w:rFonts w:eastAsia="Times New Roman" w:cstheme="minorHAnsi"/>
          <w:color w:val="171717" w:themeColor="background2" w:themeShade="1A"/>
          <w:kern w:val="0"/>
          <w:sz w:val="22"/>
          <w:szCs w:val="22"/>
          <w:lang w:val="es-ES" w:eastAsia="fr-FR"/>
          <w14:ligatures w14:val="none"/>
        </w:rPr>
        <w:t>(</w:t>
      </w:r>
      <w:r w:rsidR="00A12EFD" w:rsidRPr="00873B06">
        <w:rPr>
          <w:rFonts w:eastAsia="Times New Roman" w:cstheme="minorHAnsi"/>
          <w:color w:val="171717" w:themeColor="background2" w:themeShade="1A"/>
          <w:kern w:val="0"/>
          <w:sz w:val="22"/>
          <w:szCs w:val="22"/>
          <w:lang w:val="es-ES" w:eastAsia="fr-FR"/>
          <w14:ligatures w14:val="none"/>
        </w:rPr>
        <w:t xml:space="preserve"> artículo</w:t>
      </w:r>
      <w:proofErr w:type="gramEnd"/>
      <w:r w:rsidR="00A12EFD" w:rsidRPr="00873B06">
        <w:rPr>
          <w:rFonts w:eastAsia="Times New Roman" w:cstheme="minorHAnsi"/>
          <w:color w:val="171717" w:themeColor="background2" w:themeShade="1A"/>
          <w:kern w:val="0"/>
          <w:sz w:val="22"/>
          <w:szCs w:val="22"/>
          <w:lang w:val="es-ES" w:eastAsia="fr-FR"/>
          <w14:ligatures w14:val="none"/>
        </w:rPr>
        <w:t xml:space="preserve"> 19 del PIDCP</w:t>
      </w:r>
      <w:r w:rsidR="00166E39" w:rsidRPr="00873B06">
        <w:rPr>
          <w:rFonts w:eastAsia="Times New Roman" w:cstheme="minorHAnsi"/>
          <w:color w:val="171717" w:themeColor="background2" w:themeShade="1A"/>
          <w:kern w:val="0"/>
          <w:sz w:val="22"/>
          <w:szCs w:val="22"/>
          <w:lang w:val="es-ES" w:eastAsia="fr-FR"/>
          <w14:ligatures w14:val="none"/>
        </w:rPr>
        <w:t>)</w:t>
      </w:r>
      <w:r w:rsidR="00A12EFD" w:rsidRPr="00873B06">
        <w:rPr>
          <w:rFonts w:eastAsia="Times New Roman" w:cstheme="minorHAnsi"/>
          <w:color w:val="171717" w:themeColor="background2" w:themeShade="1A"/>
          <w:kern w:val="0"/>
          <w:sz w:val="22"/>
          <w:szCs w:val="22"/>
          <w:lang w:val="es-ES" w:eastAsia="fr-FR"/>
          <w14:ligatures w14:val="none"/>
        </w:rPr>
        <w:t xml:space="preserve"> y la libertad de reunión pacífica (artículo 21 del PIDCP), una </w:t>
      </w:r>
      <w:r w:rsidR="00DC0259" w:rsidRPr="00873B06">
        <w:rPr>
          <w:rFonts w:eastAsia="Times New Roman" w:cstheme="minorHAnsi"/>
          <w:color w:val="171717" w:themeColor="background2" w:themeShade="1A"/>
          <w:kern w:val="0"/>
          <w:sz w:val="22"/>
          <w:szCs w:val="22"/>
          <w:lang w:val="es-ES" w:eastAsia="fr-FR"/>
          <w14:ligatures w14:val="none"/>
        </w:rPr>
        <w:t xml:space="preserve">de las condiciones esenciales </w:t>
      </w:r>
      <w:r w:rsidR="00A12EFD" w:rsidRPr="00873B06">
        <w:rPr>
          <w:rFonts w:eastAsia="Times New Roman" w:cstheme="minorHAnsi"/>
          <w:color w:val="171717" w:themeColor="background2" w:themeShade="1A"/>
          <w:kern w:val="0"/>
          <w:sz w:val="22"/>
          <w:szCs w:val="22"/>
          <w:lang w:val="es-ES" w:eastAsia="fr-FR"/>
          <w14:ligatures w14:val="none"/>
        </w:rPr>
        <w:t xml:space="preserve">que hacen posible el disfrute y el ejercicio colectivos del </w:t>
      </w:r>
      <w:r w:rsidR="00DC0259" w:rsidRPr="00873B06">
        <w:rPr>
          <w:rFonts w:eastAsia="Times New Roman" w:cstheme="minorHAnsi"/>
          <w:color w:val="171717" w:themeColor="background2" w:themeShade="1A"/>
          <w:kern w:val="0"/>
          <w:sz w:val="22"/>
          <w:szCs w:val="22"/>
          <w:lang w:val="es-ES" w:eastAsia="fr-FR"/>
          <w14:ligatures w14:val="none"/>
        </w:rPr>
        <w:t xml:space="preserve">derecho a reunirse con el fin de </w:t>
      </w:r>
      <w:r w:rsidR="00A12EFD" w:rsidRPr="00873B06">
        <w:rPr>
          <w:rFonts w:eastAsia="Times New Roman" w:cstheme="minorHAnsi"/>
          <w:color w:val="171717" w:themeColor="background2" w:themeShade="1A"/>
          <w:kern w:val="0"/>
          <w:sz w:val="22"/>
          <w:szCs w:val="22"/>
          <w:lang w:val="es-ES" w:eastAsia="fr-FR"/>
          <w14:ligatures w14:val="none"/>
        </w:rPr>
        <w:t>crear entidades para defender valores e intereses comunes, intercambiar y compartir ideas, y fundar un proyecto social</w:t>
      </w:r>
      <w:r w:rsidR="00166E39" w:rsidRPr="00873B06">
        <w:rPr>
          <w:rFonts w:eastAsia="Times New Roman" w:cstheme="minorHAnsi"/>
          <w:color w:val="171717" w:themeColor="background2" w:themeShade="1A"/>
          <w:kern w:val="0"/>
          <w:sz w:val="22"/>
          <w:szCs w:val="22"/>
          <w:lang w:val="es-ES" w:eastAsia="fr-FR"/>
          <w14:ligatures w14:val="none"/>
        </w:rPr>
        <w:t>, cultural</w:t>
      </w:r>
      <w:r w:rsidR="00A12EFD" w:rsidRPr="00873B06">
        <w:rPr>
          <w:rFonts w:eastAsia="Times New Roman" w:cstheme="minorHAnsi"/>
          <w:color w:val="171717" w:themeColor="background2" w:themeShade="1A"/>
          <w:kern w:val="0"/>
          <w:sz w:val="22"/>
          <w:szCs w:val="22"/>
          <w:lang w:val="es-ES" w:eastAsia="fr-FR"/>
          <w14:ligatures w14:val="none"/>
        </w:rPr>
        <w:t xml:space="preserve"> o político común. </w:t>
      </w:r>
      <w:r w:rsidR="00BB7796" w:rsidRPr="00873B06">
        <w:rPr>
          <w:rFonts w:eastAsia="Times New Roman" w:cstheme="minorHAnsi"/>
          <w:color w:val="171717" w:themeColor="background2" w:themeShade="1A"/>
          <w:kern w:val="0"/>
          <w:sz w:val="22"/>
          <w:szCs w:val="22"/>
          <w:lang w:val="es-ES" w:eastAsia="fr-FR"/>
          <w14:ligatures w14:val="none"/>
        </w:rPr>
        <w:t xml:space="preserve">Su garantía es una condición </w:t>
      </w:r>
      <w:r w:rsidR="00BB7796" w:rsidRPr="00873B06">
        <w:rPr>
          <w:rFonts w:eastAsia="Times New Roman" w:cstheme="minorHAnsi"/>
          <w:i/>
          <w:iCs/>
          <w:color w:val="171717" w:themeColor="background2" w:themeShade="1A"/>
          <w:kern w:val="0"/>
          <w:sz w:val="22"/>
          <w:szCs w:val="22"/>
          <w:lang w:val="es-ES" w:eastAsia="fr-FR"/>
          <w14:ligatures w14:val="none"/>
        </w:rPr>
        <w:t xml:space="preserve">sine qua non </w:t>
      </w:r>
      <w:r w:rsidR="00BB7796" w:rsidRPr="00873B06">
        <w:rPr>
          <w:rFonts w:eastAsia="Times New Roman" w:cstheme="minorHAnsi"/>
          <w:color w:val="171717" w:themeColor="background2" w:themeShade="1A"/>
          <w:kern w:val="0"/>
          <w:sz w:val="22"/>
          <w:szCs w:val="22"/>
          <w:lang w:val="es-ES" w:eastAsia="fr-FR"/>
          <w14:ligatures w14:val="none"/>
        </w:rPr>
        <w:t>para el carácter democrático de una sociedad y para la defensa de un espacio cívico abierto, pluralista, inclusivo y divers</w:t>
      </w:r>
      <w:r w:rsidR="00E64F09" w:rsidRPr="00873B06">
        <w:rPr>
          <w:rFonts w:eastAsia="Times New Roman" w:cstheme="minorHAnsi"/>
          <w:color w:val="171717" w:themeColor="background2" w:themeShade="1A"/>
          <w:kern w:val="0"/>
          <w:sz w:val="22"/>
          <w:szCs w:val="22"/>
          <w:lang w:val="es-ES" w:eastAsia="fr-FR"/>
          <w14:ligatures w14:val="none"/>
        </w:rPr>
        <w:t>o</w:t>
      </w:r>
      <w:r w:rsidR="00BB7796" w:rsidRPr="00873B06">
        <w:rPr>
          <w:rFonts w:eastAsia="Times New Roman" w:cstheme="minorHAnsi"/>
          <w:color w:val="171717" w:themeColor="background2" w:themeShade="1A"/>
          <w:kern w:val="0"/>
          <w:sz w:val="22"/>
          <w:szCs w:val="22"/>
          <w:lang w:val="es-ES" w:eastAsia="fr-FR"/>
          <w14:ligatures w14:val="none"/>
        </w:rPr>
        <w:t xml:space="preserve">. </w:t>
      </w:r>
      <w:r w:rsidR="00166E39" w:rsidRPr="00873B06">
        <w:rPr>
          <w:rFonts w:eastAsia="Times New Roman" w:cstheme="minorHAnsi"/>
          <w:color w:val="171717" w:themeColor="background2" w:themeShade="1A"/>
          <w:kern w:val="0"/>
          <w:sz w:val="22"/>
          <w:szCs w:val="22"/>
          <w:lang w:val="es-ES" w:eastAsia="fr-FR"/>
          <w14:ligatures w14:val="none"/>
        </w:rPr>
        <w:t>Al igual que la libertad de reunión pacífica, que permite, como subraya el Comité en su Observación general n.º 37, «modelar la sociedad» en la que viven las personas, la libertad de asociación es también una herramienta valiosa para la transformación de la sociedad y el ejercicio de otros derechos fundamentales.</w:t>
      </w:r>
    </w:p>
    <w:p w14:paraId="1AF57A87" w14:textId="77777777" w:rsidR="00B8048F" w:rsidRPr="00873B06" w:rsidRDefault="00B8048F" w:rsidP="001C294C">
      <w:pPr>
        <w:jc w:val="both"/>
        <w:rPr>
          <w:rFonts w:eastAsia="Times New Roman" w:cstheme="minorHAnsi"/>
          <w:color w:val="171717" w:themeColor="background2" w:themeShade="1A"/>
          <w:kern w:val="0"/>
          <w:sz w:val="22"/>
          <w:szCs w:val="22"/>
          <w:lang w:val="es-ES" w:eastAsia="fr-FR"/>
          <w14:ligatures w14:val="none"/>
        </w:rPr>
      </w:pPr>
    </w:p>
    <w:p w14:paraId="44A486B7" w14:textId="3C8D0C10" w:rsidR="00B8048F" w:rsidRPr="00873B06" w:rsidRDefault="00B8048F"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2. </w:t>
      </w:r>
      <w:r w:rsidR="00A05253" w:rsidRPr="00873B06">
        <w:rPr>
          <w:rFonts w:eastAsia="Times New Roman" w:cstheme="minorHAnsi"/>
          <w:color w:val="171717" w:themeColor="background2" w:themeShade="1A"/>
          <w:kern w:val="0"/>
          <w:sz w:val="22"/>
          <w:szCs w:val="22"/>
          <w:lang w:val="es-ES" w:eastAsia="fr-FR"/>
          <w14:ligatures w14:val="none"/>
        </w:rPr>
        <w:t xml:space="preserve">Las asociaciones </w:t>
      </w:r>
      <w:r w:rsidR="000E3F6A" w:rsidRPr="00873B06">
        <w:rPr>
          <w:rFonts w:eastAsia="Times New Roman" w:cstheme="minorHAnsi"/>
          <w:color w:val="171717" w:themeColor="background2" w:themeShade="1A"/>
          <w:kern w:val="0"/>
          <w:sz w:val="22"/>
          <w:szCs w:val="22"/>
          <w:lang w:val="es-ES" w:eastAsia="fr-FR"/>
          <w14:ligatures w14:val="none"/>
        </w:rPr>
        <w:t xml:space="preserve">pueden entenderse como entidades organizadas, independientes y sin ánimo de lucro que agrupan a personas con el fin de perseguir </w:t>
      </w:r>
      <w:r w:rsidR="00E64F09" w:rsidRPr="00873B06">
        <w:rPr>
          <w:rFonts w:eastAsia="Times New Roman" w:cstheme="minorHAnsi"/>
          <w:color w:val="171717" w:themeColor="background2" w:themeShade="1A"/>
          <w:kern w:val="0"/>
          <w:sz w:val="22"/>
          <w:szCs w:val="22"/>
          <w:lang w:val="es-ES" w:eastAsia="fr-FR"/>
          <w14:ligatures w14:val="none"/>
        </w:rPr>
        <w:t xml:space="preserve">voluntariamente </w:t>
      </w:r>
      <w:r w:rsidR="000E3F6A" w:rsidRPr="00873B06">
        <w:rPr>
          <w:rFonts w:eastAsia="Times New Roman" w:cstheme="minorHAnsi"/>
          <w:color w:val="171717" w:themeColor="background2" w:themeShade="1A"/>
          <w:kern w:val="0"/>
          <w:sz w:val="22"/>
          <w:szCs w:val="22"/>
          <w:lang w:val="es-ES" w:eastAsia="fr-FR"/>
          <w14:ligatures w14:val="none"/>
        </w:rPr>
        <w:t xml:space="preserve">objetivos, intereses o actividades comunes. Pueden incluir partidos políticos, organizaciones no gubernamentales, organizaciones religiosas, </w:t>
      </w:r>
      <w:r w:rsidR="0050169B" w:rsidRPr="00873B06">
        <w:rPr>
          <w:rFonts w:eastAsia="Times New Roman" w:cstheme="minorHAnsi"/>
          <w:color w:val="171717" w:themeColor="background2" w:themeShade="1A"/>
          <w:kern w:val="0"/>
          <w:sz w:val="22"/>
          <w:szCs w:val="22"/>
          <w:lang w:val="es-ES" w:eastAsia="fr-FR"/>
          <w14:ligatures w14:val="none"/>
        </w:rPr>
        <w:t>defensores de los derechos humanos o del medio ambiente</w:t>
      </w:r>
      <w:r w:rsidR="000E3F6A" w:rsidRPr="00873B06">
        <w:rPr>
          <w:rFonts w:eastAsia="Times New Roman" w:cstheme="minorHAnsi"/>
          <w:color w:val="171717" w:themeColor="background2" w:themeShade="1A"/>
          <w:kern w:val="0"/>
          <w:sz w:val="22"/>
          <w:szCs w:val="22"/>
          <w:lang w:val="es-ES" w:eastAsia="fr-FR"/>
          <w14:ligatures w14:val="none"/>
        </w:rPr>
        <w:t xml:space="preserve">, o incluso sindicatos. </w:t>
      </w:r>
      <w:r w:rsidR="00A05253" w:rsidRPr="00873B06">
        <w:rPr>
          <w:rFonts w:eastAsia="Times New Roman" w:cstheme="minorHAnsi"/>
          <w:color w:val="171717" w:themeColor="background2" w:themeShade="1A"/>
          <w:kern w:val="0"/>
          <w:sz w:val="22"/>
          <w:szCs w:val="22"/>
          <w:lang w:val="es-ES" w:eastAsia="fr-FR"/>
          <w14:ligatures w14:val="none"/>
        </w:rPr>
        <w:t>Ya sean formales y reconocidas legalmente como tales (</w:t>
      </w:r>
      <w:r w:rsidR="00105E91" w:rsidRPr="00873B06">
        <w:rPr>
          <w:rFonts w:eastAsia="Times New Roman" w:cstheme="minorHAnsi"/>
          <w:i/>
          <w:iCs/>
          <w:color w:val="171717" w:themeColor="background2" w:themeShade="1A"/>
          <w:kern w:val="0"/>
          <w:sz w:val="22"/>
          <w:szCs w:val="22"/>
          <w:lang w:val="es-ES" w:eastAsia="fr-FR"/>
          <w14:ligatures w14:val="none"/>
        </w:rPr>
        <w:t xml:space="preserve">de jure) </w:t>
      </w:r>
      <w:r w:rsidR="00A05253" w:rsidRPr="00873B06">
        <w:rPr>
          <w:rFonts w:eastAsia="Times New Roman" w:cstheme="minorHAnsi"/>
          <w:color w:val="171717" w:themeColor="background2" w:themeShade="1A"/>
          <w:kern w:val="0"/>
          <w:sz w:val="22"/>
          <w:szCs w:val="22"/>
          <w:lang w:val="es-ES" w:eastAsia="fr-FR"/>
          <w14:ligatures w14:val="none"/>
        </w:rPr>
        <w:t xml:space="preserve">o informales </w:t>
      </w:r>
      <w:r w:rsidR="00105E91" w:rsidRPr="00873B06">
        <w:rPr>
          <w:rFonts w:eastAsia="Times New Roman" w:cstheme="minorHAnsi"/>
          <w:color w:val="171717" w:themeColor="background2" w:themeShade="1A"/>
          <w:kern w:val="0"/>
          <w:sz w:val="22"/>
          <w:szCs w:val="22"/>
          <w:lang w:val="es-ES" w:eastAsia="fr-FR"/>
          <w14:ligatures w14:val="none"/>
        </w:rPr>
        <w:t>(</w:t>
      </w:r>
      <w:r w:rsidR="00105E91" w:rsidRPr="00873B06">
        <w:rPr>
          <w:rFonts w:eastAsia="Times New Roman" w:cstheme="minorHAnsi"/>
          <w:i/>
          <w:iCs/>
          <w:color w:val="171717" w:themeColor="background2" w:themeShade="1A"/>
          <w:kern w:val="0"/>
          <w:sz w:val="22"/>
          <w:szCs w:val="22"/>
          <w:lang w:val="es-ES" w:eastAsia="fr-FR"/>
          <w14:ligatures w14:val="none"/>
        </w:rPr>
        <w:t>de facto</w:t>
      </w:r>
      <w:r w:rsidR="00510393" w:rsidRPr="00510393">
        <w:rPr>
          <w:rFonts w:eastAsia="Times New Roman" w:cstheme="minorHAnsi"/>
          <w:color w:val="171717" w:themeColor="background2" w:themeShade="1A"/>
          <w:kern w:val="0"/>
          <w:sz w:val="22"/>
          <w:szCs w:val="22"/>
          <w:lang w:val="es-ES" w:eastAsia="fr-FR"/>
          <w14:ligatures w14:val="none"/>
        </w:rPr>
        <w:t>)</w:t>
      </w:r>
      <w:r w:rsidR="00A05253" w:rsidRPr="00873B06">
        <w:rPr>
          <w:rFonts w:eastAsia="Times New Roman" w:cstheme="minorHAnsi"/>
          <w:color w:val="171717" w:themeColor="background2" w:themeShade="1A"/>
          <w:kern w:val="0"/>
          <w:sz w:val="22"/>
          <w:szCs w:val="22"/>
          <w:lang w:val="es-ES" w:eastAsia="fr-FR"/>
          <w14:ligatures w14:val="none"/>
        </w:rPr>
        <w:t xml:space="preserve">, constituyen un </w:t>
      </w:r>
      <w:r w:rsidR="00E64F09" w:rsidRPr="00873B06">
        <w:rPr>
          <w:rFonts w:eastAsia="Times New Roman" w:cstheme="minorHAnsi"/>
          <w:color w:val="171717" w:themeColor="background2" w:themeShade="1A"/>
          <w:kern w:val="0"/>
          <w:sz w:val="22"/>
          <w:szCs w:val="22"/>
          <w:lang w:val="es-ES" w:eastAsia="fr-FR"/>
          <w14:ligatures w14:val="none"/>
        </w:rPr>
        <w:t>instrumento</w:t>
      </w:r>
      <w:r w:rsidR="00A05253" w:rsidRPr="00873B06">
        <w:rPr>
          <w:rFonts w:eastAsia="Times New Roman" w:cstheme="minorHAnsi"/>
          <w:color w:val="171717" w:themeColor="background2" w:themeShade="1A"/>
          <w:kern w:val="0"/>
          <w:sz w:val="22"/>
          <w:szCs w:val="22"/>
          <w:lang w:val="es-ES" w:eastAsia="fr-FR"/>
          <w14:ligatures w14:val="none"/>
        </w:rPr>
        <w:t xml:space="preserve"> valios</w:t>
      </w:r>
      <w:r w:rsidR="00E64F09" w:rsidRPr="00873B06">
        <w:rPr>
          <w:rFonts w:eastAsia="Times New Roman" w:cstheme="minorHAnsi"/>
          <w:color w:val="171717" w:themeColor="background2" w:themeShade="1A"/>
          <w:kern w:val="0"/>
          <w:sz w:val="22"/>
          <w:szCs w:val="22"/>
          <w:lang w:val="es-ES" w:eastAsia="fr-FR"/>
          <w14:ligatures w14:val="none"/>
        </w:rPr>
        <w:t>o</w:t>
      </w:r>
      <w:r w:rsidR="00A05253" w:rsidRPr="00873B06">
        <w:rPr>
          <w:rFonts w:eastAsia="Times New Roman" w:cstheme="minorHAnsi"/>
          <w:color w:val="171717" w:themeColor="background2" w:themeShade="1A"/>
          <w:kern w:val="0"/>
          <w:sz w:val="22"/>
          <w:szCs w:val="22"/>
          <w:lang w:val="es-ES" w:eastAsia="fr-FR"/>
          <w14:ligatures w14:val="none"/>
        </w:rPr>
        <w:t xml:space="preserve"> </w:t>
      </w:r>
      <w:r w:rsidR="005866C2" w:rsidRPr="00873B06">
        <w:rPr>
          <w:rFonts w:eastAsia="Times New Roman" w:cstheme="minorHAnsi"/>
          <w:color w:val="171717" w:themeColor="background2" w:themeShade="1A"/>
          <w:kern w:val="0"/>
          <w:sz w:val="22"/>
          <w:szCs w:val="22"/>
          <w:lang w:val="es-ES" w:eastAsia="fr-FR"/>
          <w14:ligatures w14:val="none"/>
        </w:rPr>
        <w:t xml:space="preserve">a disposición de la sociedad civil </w:t>
      </w:r>
      <w:r w:rsidR="00A05253" w:rsidRPr="00873B06">
        <w:rPr>
          <w:rFonts w:eastAsia="Times New Roman" w:cstheme="minorHAnsi"/>
          <w:color w:val="171717" w:themeColor="background2" w:themeShade="1A"/>
          <w:kern w:val="0"/>
          <w:sz w:val="22"/>
          <w:szCs w:val="22"/>
          <w:lang w:val="es-ES" w:eastAsia="fr-FR"/>
          <w14:ligatures w14:val="none"/>
        </w:rPr>
        <w:t>para llevar a cabo acciones cívicas</w:t>
      </w:r>
      <w:r w:rsidR="005866C2" w:rsidRPr="00873B06">
        <w:rPr>
          <w:rFonts w:eastAsia="Times New Roman" w:cstheme="minorHAnsi"/>
          <w:color w:val="171717" w:themeColor="background2" w:themeShade="1A"/>
          <w:kern w:val="0"/>
          <w:sz w:val="22"/>
          <w:szCs w:val="22"/>
          <w:lang w:val="es-ES" w:eastAsia="fr-FR"/>
          <w14:ligatures w14:val="none"/>
        </w:rPr>
        <w:t xml:space="preserve">, </w:t>
      </w:r>
      <w:r w:rsidR="00A05253" w:rsidRPr="00873B06">
        <w:rPr>
          <w:rFonts w:eastAsia="Times New Roman" w:cstheme="minorHAnsi"/>
          <w:color w:val="171717" w:themeColor="background2" w:themeShade="1A"/>
          <w:kern w:val="0"/>
          <w:sz w:val="22"/>
          <w:szCs w:val="22"/>
          <w:lang w:val="es-ES" w:eastAsia="fr-FR"/>
          <w14:ligatures w14:val="none"/>
        </w:rPr>
        <w:t>políticas</w:t>
      </w:r>
      <w:r w:rsidR="005866C2" w:rsidRPr="00873B06">
        <w:rPr>
          <w:rFonts w:eastAsia="Times New Roman" w:cstheme="minorHAnsi"/>
          <w:color w:val="171717" w:themeColor="background2" w:themeShade="1A"/>
          <w:kern w:val="0"/>
          <w:sz w:val="22"/>
          <w:szCs w:val="22"/>
          <w:lang w:val="es-ES" w:eastAsia="fr-FR"/>
          <w14:ligatures w14:val="none"/>
        </w:rPr>
        <w:t xml:space="preserve">, </w:t>
      </w:r>
      <w:r w:rsidR="00B858EE" w:rsidRPr="00873B06">
        <w:rPr>
          <w:rFonts w:eastAsia="Times New Roman" w:cstheme="minorHAnsi"/>
          <w:color w:val="171717" w:themeColor="background2" w:themeShade="1A"/>
          <w:kern w:val="0"/>
          <w:sz w:val="22"/>
          <w:szCs w:val="22"/>
          <w:lang w:val="es-ES" w:eastAsia="fr-FR"/>
          <w14:ligatures w14:val="none"/>
        </w:rPr>
        <w:t xml:space="preserve">culturales </w:t>
      </w:r>
      <w:r w:rsidR="00A05253" w:rsidRPr="00873B06">
        <w:rPr>
          <w:rFonts w:eastAsia="Times New Roman" w:cstheme="minorHAnsi"/>
          <w:color w:val="171717" w:themeColor="background2" w:themeShade="1A"/>
          <w:kern w:val="0"/>
          <w:sz w:val="22"/>
          <w:szCs w:val="22"/>
          <w:lang w:val="es-ES" w:eastAsia="fr-FR"/>
          <w14:ligatures w14:val="none"/>
        </w:rPr>
        <w:t xml:space="preserve">y </w:t>
      </w:r>
      <w:r w:rsidR="00FD0BF2" w:rsidRPr="00873B06">
        <w:rPr>
          <w:rFonts w:eastAsia="Times New Roman" w:cstheme="minorHAnsi"/>
          <w:color w:val="171717" w:themeColor="background2" w:themeShade="1A"/>
          <w:kern w:val="0"/>
          <w:sz w:val="22"/>
          <w:szCs w:val="22"/>
          <w:lang w:val="es-ES" w:eastAsia="fr-FR"/>
          <w14:ligatures w14:val="none"/>
        </w:rPr>
        <w:t xml:space="preserve">sociales </w:t>
      </w:r>
      <w:r w:rsidR="00A05253" w:rsidRPr="00873B06">
        <w:rPr>
          <w:rFonts w:eastAsia="Times New Roman" w:cstheme="minorHAnsi"/>
          <w:color w:val="171717" w:themeColor="background2" w:themeShade="1A"/>
          <w:kern w:val="0"/>
          <w:sz w:val="22"/>
          <w:szCs w:val="22"/>
          <w:lang w:val="es-ES" w:eastAsia="fr-FR"/>
          <w14:ligatures w14:val="none"/>
        </w:rPr>
        <w:t xml:space="preserve">mediante la organización de manifestaciones, la realización </w:t>
      </w:r>
      <w:r w:rsidR="00FD0BF2" w:rsidRPr="00873B06">
        <w:rPr>
          <w:rFonts w:eastAsia="Times New Roman" w:cstheme="minorHAnsi"/>
          <w:color w:val="171717" w:themeColor="background2" w:themeShade="1A"/>
          <w:kern w:val="0"/>
          <w:sz w:val="22"/>
          <w:szCs w:val="22"/>
          <w:lang w:val="es-ES" w:eastAsia="fr-FR"/>
          <w14:ligatures w14:val="none"/>
        </w:rPr>
        <w:t xml:space="preserve">de investigaciones y estudios, </w:t>
      </w:r>
      <w:r w:rsidR="00A05253" w:rsidRPr="00873B06">
        <w:rPr>
          <w:rFonts w:eastAsia="Times New Roman" w:cstheme="minorHAnsi"/>
          <w:color w:val="171717" w:themeColor="background2" w:themeShade="1A"/>
          <w:kern w:val="0"/>
          <w:sz w:val="22"/>
          <w:szCs w:val="22"/>
          <w:lang w:val="es-ES" w:eastAsia="fr-FR"/>
          <w14:ligatures w14:val="none"/>
        </w:rPr>
        <w:t xml:space="preserve">y la denuncia de abusos de todo tipo, incluidos los cometidos por los gobernantes. </w:t>
      </w:r>
      <w:r w:rsidR="00FD0BF2" w:rsidRPr="00873B06">
        <w:rPr>
          <w:rFonts w:eastAsia="Times New Roman" w:cstheme="minorHAnsi"/>
          <w:color w:val="171717" w:themeColor="background2" w:themeShade="1A"/>
          <w:kern w:val="0"/>
          <w:sz w:val="22"/>
          <w:szCs w:val="22"/>
          <w:lang w:val="es-ES" w:eastAsia="fr-FR"/>
          <w14:ligatures w14:val="none"/>
        </w:rPr>
        <w:t xml:space="preserve">Las asociaciones </w:t>
      </w:r>
      <w:r w:rsidR="00A05253" w:rsidRPr="00873B06">
        <w:rPr>
          <w:rFonts w:eastAsia="Times New Roman" w:cstheme="minorHAnsi"/>
          <w:color w:val="171717" w:themeColor="background2" w:themeShade="1A"/>
          <w:kern w:val="0"/>
          <w:sz w:val="22"/>
          <w:szCs w:val="22"/>
          <w:lang w:val="es-ES" w:eastAsia="fr-FR"/>
          <w14:ligatures w14:val="none"/>
        </w:rPr>
        <w:t xml:space="preserve">publican </w:t>
      </w:r>
      <w:r w:rsidR="00FD0BF2" w:rsidRPr="00873B06">
        <w:rPr>
          <w:rFonts w:eastAsia="Times New Roman" w:cstheme="minorHAnsi"/>
          <w:color w:val="171717" w:themeColor="background2" w:themeShade="1A"/>
          <w:kern w:val="0"/>
          <w:sz w:val="22"/>
          <w:szCs w:val="22"/>
          <w:lang w:val="es-ES" w:eastAsia="fr-FR"/>
          <w14:ligatures w14:val="none"/>
        </w:rPr>
        <w:t xml:space="preserve">análisis e </w:t>
      </w:r>
      <w:r w:rsidR="00A05253" w:rsidRPr="00873B06">
        <w:rPr>
          <w:rFonts w:eastAsia="Times New Roman" w:cstheme="minorHAnsi"/>
          <w:color w:val="171717" w:themeColor="background2" w:themeShade="1A"/>
          <w:kern w:val="0"/>
          <w:sz w:val="22"/>
          <w:szCs w:val="22"/>
          <w:lang w:val="es-ES" w:eastAsia="fr-FR"/>
          <w14:ligatures w14:val="none"/>
        </w:rPr>
        <w:t xml:space="preserve">informes </w:t>
      </w:r>
      <w:r w:rsidR="00FD0BF2" w:rsidRPr="00873B06">
        <w:rPr>
          <w:rFonts w:eastAsia="Times New Roman" w:cstheme="minorHAnsi"/>
          <w:color w:val="171717" w:themeColor="background2" w:themeShade="1A"/>
          <w:kern w:val="0"/>
          <w:sz w:val="22"/>
          <w:szCs w:val="22"/>
          <w:lang w:val="es-ES" w:eastAsia="fr-FR"/>
          <w14:ligatures w14:val="none"/>
        </w:rPr>
        <w:t xml:space="preserve">sobre temas sociales </w:t>
      </w:r>
      <w:r w:rsidR="00A05253" w:rsidRPr="00873B06">
        <w:rPr>
          <w:rFonts w:eastAsia="Times New Roman" w:cstheme="minorHAnsi"/>
          <w:color w:val="171717" w:themeColor="background2" w:themeShade="1A"/>
          <w:kern w:val="0"/>
          <w:sz w:val="22"/>
          <w:szCs w:val="22"/>
          <w:lang w:val="es-ES" w:eastAsia="fr-FR"/>
          <w14:ligatures w14:val="none"/>
        </w:rPr>
        <w:t>que sirven para informar al público, permiten el ejercicio de otras libertades, como la libertad religiosa; representan los intereses y derechos de</w:t>
      </w:r>
      <w:r w:rsidR="00166E39" w:rsidRPr="00873B06">
        <w:rPr>
          <w:rFonts w:eastAsia="Times New Roman" w:cstheme="minorHAnsi"/>
          <w:color w:val="171717" w:themeColor="background2" w:themeShade="1A"/>
          <w:kern w:val="0"/>
          <w:sz w:val="22"/>
          <w:szCs w:val="22"/>
          <w:lang w:val="es-ES" w:eastAsia="fr-FR"/>
          <w14:ligatures w14:val="none"/>
        </w:rPr>
        <w:t xml:space="preserve"> personas y</w:t>
      </w:r>
      <w:r w:rsidR="00A05253" w:rsidRPr="00873B06">
        <w:rPr>
          <w:rFonts w:eastAsia="Times New Roman" w:cstheme="minorHAnsi"/>
          <w:color w:val="171717" w:themeColor="background2" w:themeShade="1A"/>
          <w:kern w:val="0"/>
          <w:sz w:val="22"/>
          <w:szCs w:val="22"/>
          <w:lang w:val="es-ES" w:eastAsia="fr-FR"/>
          <w14:ligatures w14:val="none"/>
        </w:rPr>
        <w:t xml:space="preserve"> grupos que deciden unirse </w:t>
      </w:r>
      <w:r w:rsidR="00FD0BF2" w:rsidRPr="00873B06">
        <w:rPr>
          <w:rFonts w:eastAsia="Times New Roman" w:cstheme="minorHAnsi"/>
          <w:color w:val="171717" w:themeColor="background2" w:themeShade="1A"/>
          <w:kern w:val="0"/>
          <w:sz w:val="22"/>
          <w:szCs w:val="22"/>
          <w:lang w:val="es-ES" w:eastAsia="fr-FR"/>
          <w14:ligatures w14:val="none"/>
        </w:rPr>
        <w:t xml:space="preserve">para denunciar una situación o </w:t>
      </w:r>
      <w:r w:rsidR="00A05253" w:rsidRPr="00873B06">
        <w:rPr>
          <w:rFonts w:eastAsia="Times New Roman" w:cstheme="minorHAnsi"/>
          <w:color w:val="171717" w:themeColor="background2" w:themeShade="1A"/>
          <w:kern w:val="0"/>
          <w:sz w:val="22"/>
          <w:szCs w:val="22"/>
          <w:lang w:val="es-ES" w:eastAsia="fr-FR"/>
          <w14:ligatures w14:val="none"/>
        </w:rPr>
        <w:t xml:space="preserve">defender una causa; </w:t>
      </w:r>
      <w:r w:rsidR="00997C2A" w:rsidRPr="00873B06">
        <w:rPr>
          <w:rFonts w:eastAsia="Times New Roman" w:cstheme="minorHAnsi"/>
          <w:color w:val="171717" w:themeColor="background2" w:themeShade="1A"/>
          <w:kern w:val="0"/>
          <w:sz w:val="22"/>
          <w:szCs w:val="22"/>
          <w:lang w:val="es-ES" w:eastAsia="fr-FR"/>
          <w14:ligatures w14:val="none"/>
        </w:rPr>
        <w:t xml:space="preserve">prestan ayuda y apoyo de diversa índole a los grupos más vulnerables social, económica, política o jurídicamente; alertan, sensibilizan e informan sobre cuestiones sociales como la corrupción, el cambio climático </w:t>
      </w:r>
      <w:r w:rsidR="00346579" w:rsidRPr="00873B06">
        <w:rPr>
          <w:rFonts w:eastAsia="Times New Roman" w:cstheme="minorHAnsi"/>
          <w:color w:val="171717" w:themeColor="background2" w:themeShade="1A"/>
          <w:kern w:val="0"/>
          <w:sz w:val="22"/>
          <w:szCs w:val="22"/>
          <w:lang w:val="es-ES" w:eastAsia="fr-FR"/>
          <w14:ligatures w14:val="none"/>
        </w:rPr>
        <w:t xml:space="preserve">y la protección del medio ambiente </w:t>
      </w:r>
      <w:r w:rsidR="00717FB6" w:rsidRPr="00873B06">
        <w:rPr>
          <w:rFonts w:eastAsia="Times New Roman" w:cstheme="minorHAnsi"/>
          <w:color w:val="171717" w:themeColor="background2" w:themeShade="1A"/>
          <w:kern w:val="0"/>
          <w:sz w:val="22"/>
          <w:szCs w:val="22"/>
          <w:lang w:val="es-ES" w:eastAsia="fr-FR"/>
          <w14:ligatures w14:val="none"/>
        </w:rPr>
        <w:t xml:space="preserve">o </w:t>
      </w:r>
      <w:r w:rsidR="00997C2A" w:rsidRPr="00873B06">
        <w:rPr>
          <w:rFonts w:eastAsia="Times New Roman" w:cstheme="minorHAnsi"/>
          <w:color w:val="171717" w:themeColor="background2" w:themeShade="1A"/>
          <w:kern w:val="0"/>
          <w:sz w:val="22"/>
          <w:szCs w:val="22"/>
          <w:lang w:val="es-ES" w:eastAsia="fr-FR"/>
          <w14:ligatures w14:val="none"/>
        </w:rPr>
        <w:t>la discriminación</w:t>
      </w:r>
      <w:r w:rsidR="00166E39" w:rsidRPr="00873B06">
        <w:rPr>
          <w:rFonts w:eastAsia="Times New Roman" w:cstheme="minorHAnsi"/>
          <w:color w:val="171717" w:themeColor="background2" w:themeShade="1A"/>
          <w:kern w:val="0"/>
          <w:sz w:val="22"/>
          <w:szCs w:val="22"/>
          <w:lang w:val="es-ES" w:eastAsia="fr-FR"/>
          <w14:ligatures w14:val="none"/>
        </w:rPr>
        <w:t xml:space="preserve"> en</w:t>
      </w:r>
      <w:r w:rsidR="00EB4CEF" w:rsidRPr="00873B06">
        <w:rPr>
          <w:rFonts w:eastAsia="Times New Roman" w:cstheme="minorHAnsi"/>
          <w:color w:val="171717" w:themeColor="background2" w:themeShade="1A"/>
          <w:kern w:val="0"/>
          <w:sz w:val="22"/>
          <w:szCs w:val="22"/>
          <w:lang w:val="es-ES" w:eastAsia="fr-FR"/>
          <w14:ligatures w14:val="none"/>
        </w:rPr>
        <w:t xml:space="preserve"> todas </w:t>
      </w:r>
      <w:r w:rsidR="00166E39" w:rsidRPr="00873B06">
        <w:rPr>
          <w:rFonts w:eastAsia="Times New Roman" w:cstheme="minorHAnsi"/>
          <w:color w:val="171717" w:themeColor="background2" w:themeShade="1A"/>
          <w:kern w:val="0"/>
          <w:sz w:val="22"/>
          <w:szCs w:val="22"/>
          <w:lang w:val="es-ES" w:eastAsia="fr-FR"/>
          <w14:ligatures w14:val="none"/>
        </w:rPr>
        <w:t xml:space="preserve">sus </w:t>
      </w:r>
      <w:r w:rsidR="00EB4CEF" w:rsidRPr="00873B06">
        <w:rPr>
          <w:rFonts w:eastAsia="Times New Roman" w:cstheme="minorHAnsi"/>
          <w:color w:val="171717" w:themeColor="background2" w:themeShade="1A"/>
          <w:kern w:val="0"/>
          <w:sz w:val="22"/>
          <w:szCs w:val="22"/>
          <w:lang w:val="es-ES" w:eastAsia="fr-FR"/>
          <w14:ligatures w14:val="none"/>
        </w:rPr>
        <w:t>formas</w:t>
      </w:r>
      <w:r w:rsidR="00346579" w:rsidRPr="00873B06">
        <w:rPr>
          <w:rFonts w:eastAsia="Times New Roman" w:cstheme="minorHAnsi"/>
          <w:color w:val="171717" w:themeColor="background2" w:themeShade="1A"/>
          <w:kern w:val="0"/>
          <w:sz w:val="22"/>
          <w:szCs w:val="22"/>
          <w:lang w:val="es-ES" w:eastAsia="fr-FR"/>
          <w14:ligatures w14:val="none"/>
        </w:rPr>
        <w:t>.</w:t>
      </w:r>
    </w:p>
    <w:p w14:paraId="52F0F5F7" w14:textId="77777777" w:rsidR="00717FB6" w:rsidRPr="00873B06" w:rsidRDefault="00717FB6" w:rsidP="001C294C">
      <w:pPr>
        <w:jc w:val="both"/>
        <w:rPr>
          <w:rFonts w:eastAsia="Times New Roman" w:cstheme="minorHAnsi"/>
          <w:color w:val="171717" w:themeColor="background2" w:themeShade="1A"/>
          <w:kern w:val="0"/>
          <w:sz w:val="22"/>
          <w:szCs w:val="22"/>
          <w:lang w:val="es-ES" w:eastAsia="fr-FR"/>
          <w14:ligatures w14:val="none"/>
        </w:rPr>
      </w:pPr>
    </w:p>
    <w:p w14:paraId="0ADE8AB7" w14:textId="700F3459" w:rsidR="00717FB6" w:rsidRPr="00873B06" w:rsidRDefault="00717FB6"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3. Entre estas asociaciones, los sindicatos representan una forma particular de entidad creada libremente a la que los </w:t>
      </w:r>
      <w:r w:rsidR="00166E39" w:rsidRPr="00873B06">
        <w:rPr>
          <w:rFonts w:eastAsia="Times New Roman" w:cstheme="minorHAnsi"/>
          <w:color w:val="171717" w:themeColor="background2" w:themeShade="1A"/>
          <w:kern w:val="0"/>
          <w:sz w:val="22"/>
          <w:szCs w:val="22"/>
          <w:lang w:val="es-ES" w:eastAsia="fr-FR"/>
          <w14:ligatures w14:val="none"/>
        </w:rPr>
        <w:t>trabajadores</w:t>
      </w:r>
      <w:r w:rsidRPr="00873B06">
        <w:rPr>
          <w:rFonts w:eastAsia="Times New Roman" w:cstheme="minorHAnsi"/>
          <w:color w:val="171717" w:themeColor="background2" w:themeShade="1A"/>
          <w:kern w:val="0"/>
          <w:sz w:val="22"/>
          <w:szCs w:val="22"/>
          <w:lang w:val="es-ES" w:eastAsia="fr-FR"/>
          <w14:ligatures w14:val="none"/>
        </w:rPr>
        <w:t xml:space="preserve"> pueden adherirse para defender sus intereses, derechos y libertades. Como tal, el artículo 22 encuentra un eco en el artículo 8 del Pacto Internacional de Derechos Económicos, Sociales y Culturales </w:t>
      </w:r>
      <w:r w:rsidR="00FD0BF2" w:rsidRPr="00873B06">
        <w:rPr>
          <w:rFonts w:eastAsia="Times New Roman" w:cstheme="minorHAnsi"/>
          <w:color w:val="171717" w:themeColor="background2" w:themeShade="1A"/>
          <w:kern w:val="0"/>
          <w:sz w:val="22"/>
          <w:szCs w:val="22"/>
          <w:lang w:val="es-ES" w:eastAsia="fr-FR"/>
          <w14:ligatures w14:val="none"/>
        </w:rPr>
        <w:t xml:space="preserve">(PIDESC). </w:t>
      </w:r>
      <w:r w:rsidR="005F675E" w:rsidRPr="00873B06">
        <w:rPr>
          <w:rFonts w:eastAsia="Times New Roman" w:cstheme="minorHAnsi"/>
          <w:color w:val="171717" w:themeColor="background2" w:themeShade="1A"/>
          <w:kern w:val="0"/>
          <w:sz w:val="22"/>
          <w:szCs w:val="22"/>
          <w:lang w:val="es-ES" w:eastAsia="fr-FR"/>
          <w14:ligatures w14:val="none"/>
        </w:rPr>
        <w:t>Como subrayaron el Comité de Derechos Humanos y el Comité de Derechos Económicos, Sociales y Culturales en su Declaración conjunta adoptada con motivo del 100.</w:t>
      </w:r>
      <w:r w:rsidR="005F675E" w:rsidRPr="00873B06">
        <w:rPr>
          <w:rFonts w:eastAsia="Times New Roman" w:cstheme="minorHAnsi"/>
          <w:color w:val="171717" w:themeColor="background2" w:themeShade="1A"/>
          <w:kern w:val="0"/>
          <w:sz w:val="22"/>
          <w:szCs w:val="22"/>
          <w:vertAlign w:val="superscript"/>
          <w:lang w:val="es-ES" w:eastAsia="fr-FR"/>
          <w14:ligatures w14:val="none"/>
        </w:rPr>
        <w:t>e</w:t>
      </w:r>
      <w:r w:rsidR="005F675E" w:rsidRPr="00873B06">
        <w:rPr>
          <w:rFonts w:eastAsia="Times New Roman" w:cstheme="minorHAnsi"/>
          <w:color w:val="171717" w:themeColor="background2" w:themeShade="1A"/>
          <w:kern w:val="0"/>
          <w:sz w:val="22"/>
          <w:szCs w:val="22"/>
          <w:lang w:val="es-ES" w:eastAsia="fr-FR"/>
          <w14:ligatures w14:val="none"/>
        </w:rPr>
        <w:t xml:space="preserve">  aniversario de la Organización Internacional del Trabajo</w:t>
      </w:r>
      <w:r w:rsidR="00EB4CEF" w:rsidRPr="00873B06">
        <w:rPr>
          <w:rFonts w:eastAsia="Times New Roman" w:cstheme="minorHAnsi"/>
          <w:color w:val="171717" w:themeColor="background2" w:themeShade="1A"/>
          <w:kern w:val="0"/>
          <w:sz w:val="22"/>
          <w:szCs w:val="22"/>
          <w:lang w:val="es-ES" w:eastAsia="fr-FR"/>
          <w14:ligatures w14:val="none"/>
        </w:rPr>
        <w:t xml:space="preserve"> (OIT)</w:t>
      </w:r>
      <w:r w:rsidR="005F675E" w:rsidRPr="00873B06">
        <w:rPr>
          <w:rFonts w:eastAsia="Times New Roman" w:cstheme="minorHAnsi"/>
          <w:color w:val="171717" w:themeColor="background2" w:themeShade="1A"/>
          <w:kern w:val="0"/>
          <w:sz w:val="22"/>
          <w:szCs w:val="22"/>
          <w:lang w:val="es-ES" w:eastAsia="fr-FR"/>
          <w14:ligatures w14:val="none"/>
        </w:rPr>
        <w:t>, las dos disposiciones «no son idénticas</w:t>
      </w:r>
      <w:r w:rsidR="005F675E" w:rsidRPr="00873B06">
        <w:rPr>
          <w:sz w:val="22"/>
          <w:szCs w:val="22"/>
          <w:lang w:val="es-ES"/>
        </w:rPr>
        <w:t xml:space="preserve">, pero tienen un importante denominador común, que es el hecho de que el derecho de toda persona a asociarse libremente con otras, incluido el derecho a constituir sindicatos y afiliarse a ellos, es tanto un derecho civil y político como un derecho económico, social y cultural. » (E/C.12/66/5−CCPR/C/127/4, 2019, párr. 2). </w:t>
      </w:r>
    </w:p>
    <w:p w14:paraId="39D29078" w14:textId="77777777" w:rsidR="00717FB6" w:rsidRPr="00873B06" w:rsidRDefault="00717FB6" w:rsidP="001C294C">
      <w:pPr>
        <w:jc w:val="both"/>
        <w:rPr>
          <w:rFonts w:eastAsia="Times New Roman" w:cstheme="minorHAnsi"/>
          <w:color w:val="171717" w:themeColor="background2" w:themeShade="1A"/>
          <w:kern w:val="0"/>
          <w:sz w:val="22"/>
          <w:szCs w:val="22"/>
          <w:lang w:val="es-ES" w:eastAsia="fr-FR"/>
          <w14:ligatures w14:val="none"/>
        </w:rPr>
      </w:pPr>
    </w:p>
    <w:p w14:paraId="324A76C6" w14:textId="028EC6D9" w:rsidR="00717FB6" w:rsidRPr="00873B06" w:rsidRDefault="00717FB6"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4.  </w:t>
      </w:r>
      <w:r w:rsidR="001F51F3" w:rsidRPr="00873B06">
        <w:rPr>
          <w:rFonts w:eastAsia="Times New Roman" w:cstheme="minorHAnsi"/>
          <w:color w:val="171717" w:themeColor="background2" w:themeShade="1A"/>
          <w:kern w:val="0"/>
          <w:sz w:val="22"/>
          <w:szCs w:val="22"/>
          <w:lang w:val="es-ES" w:eastAsia="fr-FR"/>
          <w14:ligatures w14:val="none"/>
        </w:rPr>
        <w:t xml:space="preserve">El artículo 22 se divide en tres párrafos </w:t>
      </w:r>
      <w:r w:rsidR="00FD0BF2" w:rsidRPr="00873B06">
        <w:rPr>
          <w:rFonts w:eastAsia="Times New Roman" w:cstheme="minorHAnsi"/>
          <w:color w:val="171717" w:themeColor="background2" w:themeShade="1A"/>
          <w:kern w:val="0"/>
          <w:sz w:val="22"/>
          <w:szCs w:val="22"/>
          <w:lang w:val="es-ES" w:eastAsia="fr-FR"/>
          <w14:ligatures w14:val="none"/>
        </w:rPr>
        <w:t>con fines distintos</w:t>
      </w:r>
      <w:r w:rsidR="001F51F3" w:rsidRPr="00873B06">
        <w:rPr>
          <w:rFonts w:eastAsia="Times New Roman" w:cstheme="minorHAnsi"/>
          <w:color w:val="171717" w:themeColor="background2" w:themeShade="1A"/>
          <w:kern w:val="0"/>
          <w:sz w:val="22"/>
          <w:szCs w:val="22"/>
          <w:lang w:val="es-ES" w:eastAsia="fr-FR"/>
          <w14:ligatures w14:val="none"/>
        </w:rPr>
        <w:t xml:space="preserve">. El primer párrafo define de manera positiva tanto a los titulares de la libertad («toda persona») como su contenido (la libertad de asociación, </w:t>
      </w:r>
      <w:r w:rsidR="00166E39" w:rsidRPr="00873B06">
        <w:rPr>
          <w:rFonts w:eastAsia="Times New Roman" w:cstheme="minorHAnsi"/>
          <w:color w:val="171717" w:themeColor="background2" w:themeShade="1A"/>
          <w:kern w:val="0"/>
          <w:sz w:val="22"/>
          <w:szCs w:val="22"/>
          <w:lang w:val="es-ES" w:eastAsia="fr-FR"/>
          <w14:ligatures w14:val="none"/>
        </w:rPr>
        <w:t xml:space="preserve">incluido el derecho </w:t>
      </w:r>
      <w:r w:rsidR="001F51F3" w:rsidRPr="00873B06">
        <w:rPr>
          <w:rFonts w:eastAsia="Times New Roman" w:cstheme="minorHAnsi"/>
          <w:color w:val="171717" w:themeColor="background2" w:themeShade="1A"/>
          <w:kern w:val="0"/>
          <w:sz w:val="22"/>
          <w:szCs w:val="22"/>
          <w:lang w:val="es-ES" w:eastAsia="fr-FR"/>
          <w14:ligatures w14:val="none"/>
        </w:rPr>
        <w:t xml:space="preserve">de creación y de adhesión a sindicatos). El segundo párrafo establece las restricciones que pueden imponerse a la libertad de asociación, así como el régimen estricto que </w:t>
      </w:r>
      <w:r w:rsidR="00166E39" w:rsidRPr="00873B06">
        <w:rPr>
          <w:rFonts w:eastAsia="Times New Roman" w:cstheme="minorHAnsi"/>
          <w:color w:val="171717" w:themeColor="background2" w:themeShade="1A"/>
          <w:kern w:val="0"/>
          <w:sz w:val="22"/>
          <w:szCs w:val="22"/>
          <w:lang w:val="es-ES" w:eastAsia="fr-FR"/>
          <w14:ligatures w14:val="none"/>
        </w:rPr>
        <w:t xml:space="preserve">tales restricciones </w:t>
      </w:r>
      <w:r w:rsidR="001F51F3" w:rsidRPr="00873B06">
        <w:rPr>
          <w:rFonts w:eastAsia="Times New Roman" w:cstheme="minorHAnsi"/>
          <w:color w:val="171717" w:themeColor="background2" w:themeShade="1A"/>
          <w:kern w:val="0"/>
          <w:sz w:val="22"/>
          <w:szCs w:val="22"/>
          <w:lang w:val="es-ES" w:eastAsia="fr-FR"/>
          <w14:ligatures w14:val="none"/>
        </w:rPr>
        <w:t xml:space="preserve">deben respetar para </w:t>
      </w:r>
      <w:r w:rsidR="00166E39" w:rsidRPr="00873B06">
        <w:rPr>
          <w:rFonts w:eastAsia="Times New Roman" w:cstheme="minorHAnsi"/>
          <w:color w:val="171717" w:themeColor="background2" w:themeShade="1A"/>
          <w:kern w:val="0"/>
          <w:sz w:val="22"/>
          <w:szCs w:val="22"/>
          <w:lang w:val="es-ES" w:eastAsia="fr-FR"/>
          <w14:ligatures w14:val="none"/>
        </w:rPr>
        <w:t xml:space="preserve">estar </w:t>
      </w:r>
      <w:r w:rsidR="001F51F3" w:rsidRPr="00873B06">
        <w:rPr>
          <w:rFonts w:eastAsia="Times New Roman" w:cstheme="minorHAnsi"/>
          <w:color w:val="171717" w:themeColor="background2" w:themeShade="1A"/>
          <w:kern w:val="0"/>
          <w:sz w:val="22"/>
          <w:szCs w:val="22"/>
          <w:lang w:val="es-ES" w:eastAsia="fr-FR"/>
          <w14:ligatures w14:val="none"/>
        </w:rPr>
        <w:t xml:space="preserve">conformes con el PIDCP. El último párrafo </w:t>
      </w:r>
      <w:r w:rsidR="00071480" w:rsidRPr="00873B06">
        <w:rPr>
          <w:rFonts w:eastAsia="Times New Roman" w:cstheme="minorHAnsi"/>
          <w:color w:val="171717" w:themeColor="background2" w:themeShade="1A"/>
          <w:kern w:val="0"/>
          <w:sz w:val="22"/>
          <w:szCs w:val="22"/>
          <w:lang w:val="es-ES" w:eastAsia="fr-FR"/>
          <w14:ligatures w14:val="none"/>
        </w:rPr>
        <w:t xml:space="preserve">articula esta libertad con las demás obligaciones que los Estados tienen en virtud de otros instrumentos y, en particular, del Convenio núm. 87 de la OIT sobre la libertad sindical y la protección del derecho sindical, adoptado </w:t>
      </w:r>
      <w:r w:rsidR="008C0C30" w:rsidRPr="00873B06">
        <w:rPr>
          <w:rFonts w:eastAsia="Times New Roman" w:cstheme="minorHAnsi"/>
          <w:color w:val="171717" w:themeColor="background2" w:themeShade="1A"/>
          <w:kern w:val="0"/>
          <w:sz w:val="22"/>
          <w:szCs w:val="22"/>
          <w:lang w:val="es-ES" w:eastAsia="fr-FR"/>
          <w14:ligatures w14:val="none"/>
        </w:rPr>
        <w:t xml:space="preserve">el 9 de julio </w:t>
      </w:r>
      <w:r w:rsidR="00071480" w:rsidRPr="00873B06">
        <w:rPr>
          <w:rFonts w:eastAsia="Times New Roman" w:cstheme="minorHAnsi"/>
          <w:color w:val="171717" w:themeColor="background2" w:themeShade="1A"/>
          <w:kern w:val="0"/>
          <w:sz w:val="22"/>
          <w:szCs w:val="22"/>
          <w:lang w:val="es-ES" w:eastAsia="fr-FR"/>
          <w14:ligatures w14:val="none"/>
        </w:rPr>
        <w:t>de 1948</w:t>
      </w:r>
      <w:r w:rsidR="00166E39" w:rsidRPr="00873B06">
        <w:rPr>
          <w:rFonts w:eastAsia="Times New Roman" w:cstheme="minorHAnsi"/>
          <w:color w:val="171717" w:themeColor="background2" w:themeShade="1A"/>
          <w:kern w:val="0"/>
          <w:sz w:val="22"/>
          <w:szCs w:val="22"/>
          <w:lang w:val="es-ES" w:eastAsia="fr-FR"/>
          <w14:ligatures w14:val="none"/>
        </w:rPr>
        <w:t>. Desde entonces, se han adoptado numerosos convenios de la OIT sobre la libertad sindical que son pertinentes para el artículo 22 del PIDCP</w:t>
      </w:r>
      <w:r w:rsidR="00071480" w:rsidRPr="00873B06">
        <w:rPr>
          <w:rFonts w:eastAsia="Times New Roman" w:cstheme="minorHAnsi"/>
          <w:color w:val="171717" w:themeColor="background2" w:themeShade="1A"/>
          <w:kern w:val="0"/>
          <w:sz w:val="22"/>
          <w:szCs w:val="22"/>
          <w:lang w:val="es-ES" w:eastAsia="fr-FR"/>
          <w14:ligatures w14:val="none"/>
        </w:rPr>
        <w:t>.</w:t>
      </w:r>
    </w:p>
    <w:p w14:paraId="55FC90ED" w14:textId="77777777" w:rsidR="00071480" w:rsidRPr="00873B06" w:rsidRDefault="00071480" w:rsidP="001C294C">
      <w:pPr>
        <w:jc w:val="both"/>
        <w:rPr>
          <w:rFonts w:eastAsia="Times New Roman" w:cstheme="minorHAnsi"/>
          <w:color w:val="171717" w:themeColor="background2" w:themeShade="1A"/>
          <w:kern w:val="0"/>
          <w:sz w:val="22"/>
          <w:szCs w:val="22"/>
          <w:lang w:val="es-ES" w:eastAsia="fr-FR"/>
          <w14:ligatures w14:val="none"/>
        </w:rPr>
      </w:pPr>
    </w:p>
    <w:p w14:paraId="12FCC410" w14:textId="65340CD4" w:rsidR="00071480" w:rsidRDefault="00071480"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5. Al igual que la libertad de religión, la libertad de expresión y la libertad de reunión pacífica, la libertad de asociación no es</w:t>
      </w:r>
      <w:r w:rsidR="008A352C">
        <w:rPr>
          <w:rFonts w:eastAsia="Times New Roman" w:cstheme="minorHAnsi"/>
          <w:color w:val="171717" w:themeColor="background2" w:themeShade="1A"/>
          <w:kern w:val="0"/>
          <w:sz w:val="22"/>
          <w:szCs w:val="22"/>
          <w:lang w:val="es-ES" w:eastAsia="fr-FR"/>
          <w14:ligatures w14:val="none"/>
        </w:rPr>
        <w:t xml:space="preserve"> </w:t>
      </w:r>
      <w:r w:rsidRPr="00873B06">
        <w:rPr>
          <w:rFonts w:eastAsia="Times New Roman" w:cstheme="minorHAnsi"/>
          <w:color w:val="171717" w:themeColor="background2" w:themeShade="1A"/>
          <w:kern w:val="0"/>
          <w:sz w:val="22"/>
          <w:szCs w:val="22"/>
          <w:lang w:val="es-ES" w:eastAsia="fr-FR"/>
          <w14:ligatures w14:val="none"/>
        </w:rPr>
        <w:t xml:space="preserve">absoluta. El Estado puede intervenir para organizar en la práctica su aplicación y </w:t>
      </w:r>
      <w:r w:rsidRPr="00873B06">
        <w:rPr>
          <w:rFonts w:eastAsia="Times New Roman" w:cstheme="minorHAnsi"/>
          <w:color w:val="171717" w:themeColor="background2" w:themeShade="1A"/>
          <w:kern w:val="0"/>
          <w:sz w:val="22"/>
          <w:szCs w:val="22"/>
          <w:lang w:val="es-ES" w:eastAsia="fr-FR"/>
          <w14:ligatures w14:val="none"/>
        </w:rPr>
        <w:lastRenderedPageBreak/>
        <w:t xml:space="preserve">conciliarla con </w:t>
      </w:r>
      <w:r w:rsidR="00FD0BF2" w:rsidRPr="00873B06">
        <w:rPr>
          <w:rFonts w:eastAsia="Times New Roman" w:cstheme="minorHAnsi"/>
          <w:color w:val="171717" w:themeColor="background2" w:themeShade="1A"/>
          <w:kern w:val="0"/>
          <w:sz w:val="22"/>
          <w:szCs w:val="22"/>
          <w:lang w:val="es-ES" w:eastAsia="fr-FR"/>
          <w14:ligatures w14:val="none"/>
        </w:rPr>
        <w:t xml:space="preserve">otros intereses </w:t>
      </w:r>
      <w:r w:rsidRPr="00873B06">
        <w:rPr>
          <w:rFonts w:eastAsia="Times New Roman" w:cstheme="minorHAnsi"/>
          <w:color w:val="171717" w:themeColor="background2" w:themeShade="1A"/>
          <w:kern w:val="0"/>
          <w:sz w:val="22"/>
          <w:szCs w:val="22"/>
          <w:lang w:val="es-ES" w:eastAsia="fr-FR"/>
          <w14:ligatures w14:val="none"/>
        </w:rPr>
        <w:t xml:space="preserve">legítimos </w:t>
      </w:r>
      <w:r w:rsidR="00FD0BF2" w:rsidRPr="00873B06">
        <w:rPr>
          <w:rFonts w:eastAsia="Times New Roman" w:cstheme="minorHAnsi"/>
          <w:color w:val="171717" w:themeColor="background2" w:themeShade="1A"/>
          <w:kern w:val="0"/>
          <w:sz w:val="22"/>
          <w:szCs w:val="22"/>
          <w:lang w:val="es-ES" w:eastAsia="fr-FR"/>
          <w14:ligatures w14:val="none"/>
        </w:rPr>
        <w:t xml:space="preserve">necesarios en una sociedad democrática, </w:t>
      </w:r>
      <w:r w:rsidRPr="00873B06">
        <w:rPr>
          <w:rFonts w:eastAsia="Times New Roman" w:cstheme="minorHAnsi"/>
          <w:color w:val="171717" w:themeColor="background2" w:themeShade="1A"/>
          <w:kern w:val="0"/>
          <w:sz w:val="22"/>
          <w:szCs w:val="22"/>
          <w:lang w:val="es-ES" w:eastAsia="fr-FR"/>
          <w14:ligatures w14:val="none"/>
        </w:rPr>
        <w:t xml:space="preserve">tales como los estrictamente enunciados en el </w:t>
      </w:r>
      <w:r w:rsidR="00477874" w:rsidRPr="00873B06">
        <w:rPr>
          <w:rFonts w:eastAsia="Times New Roman" w:cstheme="minorHAnsi"/>
          <w:color w:val="171717" w:themeColor="background2" w:themeShade="1A"/>
          <w:kern w:val="0"/>
          <w:sz w:val="22"/>
          <w:szCs w:val="22"/>
          <w:lang w:val="es-ES" w:eastAsia="fr-FR"/>
          <w14:ligatures w14:val="none"/>
        </w:rPr>
        <w:t xml:space="preserve">segundo </w:t>
      </w:r>
      <w:r w:rsidR="00D44C38" w:rsidRPr="00873B06">
        <w:rPr>
          <w:rFonts w:eastAsia="Times New Roman" w:cstheme="minorHAnsi"/>
          <w:color w:val="171717" w:themeColor="background2" w:themeShade="1A"/>
          <w:kern w:val="0"/>
          <w:sz w:val="22"/>
          <w:szCs w:val="22"/>
          <w:lang w:val="es-ES" w:eastAsia="fr-FR"/>
          <w14:ligatures w14:val="none"/>
        </w:rPr>
        <w:t>párrafo</w:t>
      </w:r>
      <w:r w:rsidR="00477874" w:rsidRPr="00873B06">
        <w:rPr>
          <w:rFonts w:eastAsia="Times New Roman" w:cstheme="minorHAnsi"/>
          <w:color w:val="171717" w:themeColor="background2" w:themeShade="1A"/>
          <w:kern w:val="0"/>
          <w:sz w:val="22"/>
          <w:szCs w:val="22"/>
          <w:lang w:val="es-ES" w:eastAsia="fr-FR"/>
          <w14:ligatures w14:val="none"/>
        </w:rPr>
        <w:t xml:space="preserve"> del </w:t>
      </w:r>
      <w:r w:rsidRPr="00873B06">
        <w:rPr>
          <w:rFonts w:eastAsia="Times New Roman" w:cstheme="minorHAnsi"/>
          <w:color w:val="171717" w:themeColor="background2" w:themeShade="1A"/>
          <w:kern w:val="0"/>
          <w:sz w:val="22"/>
          <w:szCs w:val="22"/>
          <w:lang w:val="es-ES" w:eastAsia="fr-FR"/>
          <w14:ligatures w14:val="none"/>
        </w:rPr>
        <w:t xml:space="preserve">artículo 22 </w:t>
      </w:r>
      <w:r w:rsidR="00FD0BF2" w:rsidRPr="00873B06">
        <w:rPr>
          <w:rFonts w:eastAsia="Times New Roman" w:cstheme="minorHAnsi"/>
          <w:color w:val="171717" w:themeColor="background2" w:themeShade="1A"/>
          <w:kern w:val="0"/>
          <w:sz w:val="22"/>
          <w:szCs w:val="22"/>
          <w:lang w:val="es-ES" w:eastAsia="fr-FR"/>
          <w14:ligatures w14:val="none"/>
        </w:rPr>
        <w:t>(seguridad nacional, seguridad pública, orden público, salud o moralidad públicas, derechos y libertades de los demás). El artículo 22</w:t>
      </w:r>
      <w:r w:rsidR="00510393">
        <w:rPr>
          <w:rFonts w:eastAsia="Times New Roman" w:cstheme="minorHAnsi"/>
          <w:color w:val="171717" w:themeColor="background2" w:themeShade="1A"/>
          <w:kern w:val="0"/>
          <w:sz w:val="22"/>
          <w:szCs w:val="22"/>
          <w:lang w:val="es-ES" w:eastAsia="fr-FR"/>
          <w14:ligatures w14:val="none"/>
        </w:rPr>
        <w:t>(</w:t>
      </w:r>
      <w:r w:rsidR="00FD0BF2" w:rsidRPr="00873B06">
        <w:rPr>
          <w:rFonts w:eastAsia="Times New Roman" w:cstheme="minorHAnsi"/>
          <w:color w:val="171717" w:themeColor="background2" w:themeShade="1A"/>
          <w:kern w:val="0"/>
          <w:sz w:val="22"/>
          <w:szCs w:val="22"/>
          <w:lang w:val="es-ES" w:eastAsia="fr-FR"/>
          <w14:ligatures w14:val="none"/>
        </w:rPr>
        <w:t>2</w:t>
      </w:r>
      <w:r w:rsidR="00510393">
        <w:rPr>
          <w:rFonts w:eastAsia="Times New Roman" w:cstheme="minorHAnsi"/>
          <w:color w:val="171717" w:themeColor="background2" w:themeShade="1A"/>
          <w:kern w:val="0"/>
          <w:sz w:val="22"/>
          <w:szCs w:val="22"/>
          <w:lang w:val="es-ES" w:eastAsia="fr-FR"/>
          <w14:ligatures w14:val="none"/>
        </w:rPr>
        <w:t>)</w:t>
      </w:r>
      <w:r w:rsidR="00FD0BF2" w:rsidRPr="00873B06">
        <w:rPr>
          <w:rFonts w:eastAsia="Times New Roman" w:cstheme="minorHAnsi"/>
          <w:color w:val="171717" w:themeColor="background2" w:themeShade="1A"/>
          <w:kern w:val="0"/>
          <w:sz w:val="22"/>
          <w:szCs w:val="22"/>
          <w:lang w:val="es-ES" w:eastAsia="fr-FR"/>
          <w14:ligatures w14:val="none"/>
        </w:rPr>
        <w:t xml:space="preserve"> </w:t>
      </w:r>
      <w:r w:rsidR="007E3D7D" w:rsidRPr="00873B06">
        <w:rPr>
          <w:rFonts w:eastAsia="Times New Roman" w:cstheme="minorHAnsi"/>
          <w:color w:val="171717" w:themeColor="background2" w:themeShade="1A"/>
          <w:kern w:val="0"/>
          <w:sz w:val="22"/>
          <w:szCs w:val="22"/>
          <w:lang w:val="es-ES" w:eastAsia="fr-FR"/>
          <w14:ligatures w14:val="none"/>
        </w:rPr>
        <w:t xml:space="preserve">menciona además expresamente dos categorías de personas —los miembros de las fuerzas armadas y de las fuerzas policiales— cuyo derecho de asociación puede ser restringido por los Estados. </w:t>
      </w:r>
      <w:r w:rsidR="00510393" w:rsidRPr="00510393">
        <w:rPr>
          <w:rFonts w:eastAsia="Times New Roman" w:cstheme="minorHAnsi"/>
          <w:color w:val="171717" w:themeColor="background2" w:themeShade="1A"/>
          <w:kern w:val="0"/>
          <w:sz w:val="22"/>
          <w:szCs w:val="22"/>
          <w:lang w:val="es-ES" w:eastAsia="fr-FR"/>
          <w14:ligatures w14:val="none"/>
        </w:rPr>
        <w:t xml:space="preserve">Teniendo en cuenta la importancia del libre ejercicio de la libertad de </w:t>
      </w:r>
      <w:r w:rsidR="00D44C38">
        <w:rPr>
          <w:rFonts w:eastAsia="Times New Roman" w:cstheme="minorHAnsi"/>
          <w:color w:val="171717" w:themeColor="background2" w:themeShade="1A"/>
          <w:kern w:val="0"/>
          <w:sz w:val="22"/>
          <w:szCs w:val="22"/>
          <w:lang w:val="es-ES" w:eastAsia="fr-FR"/>
          <w14:ligatures w14:val="none"/>
        </w:rPr>
        <w:t>asociación</w:t>
      </w:r>
      <w:r w:rsidR="00510393" w:rsidRPr="00510393">
        <w:rPr>
          <w:rFonts w:eastAsia="Times New Roman" w:cstheme="minorHAnsi"/>
          <w:color w:val="171717" w:themeColor="background2" w:themeShade="1A"/>
          <w:kern w:val="0"/>
          <w:sz w:val="22"/>
          <w:szCs w:val="22"/>
          <w:lang w:val="es-ES" w:eastAsia="fr-FR"/>
          <w14:ligatures w14:val="none"/>
        </w:rPr>
        <w:t xml:space="preserve">, el régimen de restricciones debe interpretarse de manera estricta. Haciéndose eco de lo dicho en su Observación general n.º 37 sobre el artículo 21 (párr. 36), corresponde a las autoridades de los Estados justificar una restricción. Además, </w:t>
      </w:r>
      <w:r w:rsidR="00510393">
        <w:rPr>
          <w:rFonts w:eastAsia="Times New Roman" w:cstheme="minorHAnsi"/>
          <w:color w:val="171717" w:themeColor="background2" w:themeShade="1A"/>
          <w:kern w:val="0"/>
          <w:sz w:val="22"/>
          <w:szCs w:val="22"/>
          <w:lang w:val="es-ES" w:eastAsia="fr-FR"/>
          <w14:ligatures w14:val="none"/>
        </w:rPr>
        <w:t>el Estado</w:t>
      </w:r>
      <w:r w:rsidR="00510393" w:rsidRPr="00510393">
        <w:rPr>
          <w:rFonts w:eastAsia="Times New Roman" w:cstheme="minorHAnsi"/>
          <w:color w:val="171717" w:themeColor="background2" w:themeShade="1A"/>
          <w:kern w:val="0"/>
          <w:sz w:val="22"/>
          <w:szCs w:val="22"/>
          <w:lang w:val="es-ES" w:eastAsia="fr-FR"/>
          <w14:ligatures w14:val="none"/>
        </w:rPr>
        <w:t xml:space="preserve"> debe poder demostrar que cualquier restricción cumple los requisitos de legalidad y no discriminación, y que es necesaria y proporcionada al menos a uno de los motivos admisibles </w:t>
      </w:r>
      <w:r w:rsidR="00510393">
        <w:rPr>
          <w:rFonts w:eastAsia="Times New Roman" w:cstheme="minorHAnsi"/>
          <w:color w:val="171717" w:themeColor="background2" w:themeShade="1A"/>
          <w:kern w:val="0"/>
          <w:sz w:val="22"/>
          <w:szCs w:val="22"/>
          <w:lang w:val="es-ES" w:eastAsia="fr-FR"/>
          <w14:ligatures w14:val="none"/>
        </w:rPr>
        <w:t>por el</w:t>
      </w:r>
      <w:r w:rsidR="00510393" w:rsidRPr="00510393">
        <w:rPr>
          <w:rFonts w:eastAsia="Times New Roman" w:cstheme="minorHAnsi"/>
          <w:color w:val="171717" w:themeColor="background2" w:themeShade="1A"/>
          <w:kern w:val="0"/>
          <w:sz w:val="22"/>
          <w:szCs w:val="22"/>
          <w:lang w:val="es-ES" w:eastAsia="fr-FR"/>
          <w14:ligatures w14:val="none"/>
        </w:rPr>
        <w:t xml:space="preserve"> artículo 22.</w:t>
      </w:r>
    </w:p>
    <w:p w14:paraId="6AAE368F" w14:textId="77777777" w:rsidR="00510393" w:rsidRDefault="00510393" w:rsidP="001C294C">
      <w:pPr>
        <w:jc w:val="both"/>
        <w:rPr>
          <w:rFonts w:eastAsia="Times New Roman" w:cstheme="minorHAnsi"/>
          <w:color w:val="171717" w:themeColor="background2" w:themeShade="1A"/>
          <w:kern w:val="0"/>
          <w:sz w:val="22"/>
          <w:szCs w:val="22"/>
          <w:lang w:val="es-ES" w:eastAsia="fr-FR"/>
          <w14:ligatures w14:val="none"/>
        </w:rPr>
      </w:pPr>
    </w:p>
    <w:p w14:paraId="3D3309FB" w14:textId="75E95750" w:rsidR="00510393" w:rsidRDefault="00510393"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6. </w:t>
      </w:r>
      <w:r w:rsidRPr="00510393">
        <w:rPr>
          <w:rFonts w:eastAsia="Times New Roman" w:cstheme="minorHAnsi"/>
          <w:color w:val="171717" w:themeColor="background2" w:themeShade="1A"/>
          <w:kern w:val="0"/>
          <w:sz w:val="22"/>
          <w:szCs w:val="22"/>
          <w:lang w:val="es-ES" w:eastAsia="fr-FR"/>
          <w14:ligatures w14:val="none"/>
        </w:rPr>
        <w:t xml:space="preserve">Aunque la libertad de </w:t>
      </w:r>
      <w:r>
        <w:rPr>
          <w:rFonts w:eastAsia="Times New Roman" w:cstheme="minorHAnsi"/>
          <w:color w:val="171717" w:themeColor="background2" w:themeShade="1A"/>
          <w:kern w:val="0"/>
          <w:sz w:val="22"/>
          <w:szCs w:val="22"/>
          <w:lang w:val="es-ES" w:eastAsia="fr-FR"/>
          <w14:ligatures w14:val="none"/>
        </w:rPr>
        <w:t>asociación</w:t>
      </w:r>
      <w:r w:rsidRPr="00510393">
        <w:rPr>
          <w:rFonts w:eastAsia="Times New Roman" w:cstheme="minorHAnsi"/>
          <w:color w:val="171717" w:themeColor="background2" w:themeShade="1A"/>
          <w:kern w:val="0"/>
          <w:sz w:val="22"/>
          <w:szCs w:val="22"/>
          <w:lang w:val="es-ES" w:eastAsia="fr-FR"/>
          <w14:ligatures w14:val="none"/>
        </w:rPr>
        <w:t xml:space="preserve"> no figura como derecho inderogable en el artículo 4, párrafo 2, del Pacto, el Comité aclaró en su Observación general n.º 29 (2001) que los Estados deben proporcionar justificaciones detalladas no solo de su decisión de proclamar el estado de excepción, sino también de cualquier medida específica basada en dicha proclamación. Añadió que los Estados «deben poder justificar no solo que tal situación constituye una amenaza para la vida de la nación, sino también que todas sus medidas de derogación del Pacto son estrictamente necesarias por las exigencias de la situación» (párr. 5). Esto significa que, incluso en situaciones de emergencia (conflictos armados internacionales o internos, ocupación militar, catástrofes naturales, pandemias), los Estados tienen la obligación de justificar de forma cuidadosa y estricta cualquier derogación del artículo 22 del Pacto, tal y como reafirmó el Comité en su Declaración sobre las derogaciones del Pacto en relación con la pandemia de COVID-19 (CCPR/128/2, 2020).</w:t>
      </w:r>
    </w:p>
    <w:p w14:paraId="6B4268F4" w14:textId="77777777" w:rsidR="00510393" w:rsidRDefault="00510393" w:rsidP="001C294C">
      <w:pPr>
        <w:jc w:val="both"/>
        <w:rPr>
          <w:rFonts w:eastAsia="Times New Roman" w:cstheme="minorHAnsi"/>
          <w:color w:val="171717" w:themeColor="background2" w:themeShade="1A"/>
          <w:kern w:val="0"/>
          <w:sz w:val="22"/>
          <w:szCs w:val="22"/>
          <w:lang w:val="es-ES" w:eastAsia="fr-FR"/>
          <w14:ligatures w14:val="none"/>
        </w:rPr>
      </w:pPr>
    </w:p>
    <w:p w14:paraId="2DC7C4CD" w14:textId="5E04415D" w:rsidR="00510393" w:rsidRPr="00873B06" w:rsidRDefault="00510393" w:rsidP="001C294C">
      <w:pPr>
        <w:jc w:val="both"/>
        <w:rPr>
          <w:rFonts w:eastAsia="Times New Roman" w:cstheme="minorHAnsi"/>
          <w:color w:val="171717" w:themeColor="background2" w:themeShade="1A"/>
          <w:kern w:val="0"/>
          <w:sz w:val="22"/>
          <w:szCs w:val="22"/>
          <w:lang w:val="es-ES" w:eastAsia="fr-FR"/>
          <w14:ligatures w14:val="none"/>
        </w:rPr>
      </w:pPr>
      <w:r w:rsidRPr="00510393">
        <w:rPr>
          <w:rFonts w:eastAsia="Times New Roman" w:cstheme="minorHAnsi"/>
          <w:color w:val="171717" w:themeColor="background2" w:themeShade="1A"/>
          <w:kern w:val="0"/>
          <w:sz w:val="22"/>
          <w:szCs w:val="22"/>
          <w:lang w:val="es-ES" w:eastAsia="fr-FR"/>
          <w14:ligatures w14:val="none"/>
        </w:rPr>
        <w:t xml:space="preserve">7. Al ratificar el Pacto, los Estados tienen la facultad de formular declaraciones interpretativas o reservas, incluso sobre el artículo 22. Sin embargo, con arreglo a las normas </w:t>
      </w:r>
      <w:r>
        <w:rPr>
          <w:rFonts w:eastAsia="Times New Roman" w:cstheme="minorHAnsi"/>
          <w:color w:val="171717" w:themeColor="background2" w:themeShade="1A"/>
          <w:kern w:val="0"/>
          <w:sz w:val="22"/>
          <w:szCs w:val="22"/>
          <w:lang w:val="es-ES" w:eastAsia="fr-FR"/>
          <w14:ligatures w14:val="none"/>
        </w:rPr>
        <w:t xml:space="preserve">internacionales </w:t>
      </w:r>
      <w:r w:rsidRPr="00510393">
        <w:rPr>
          <w:rFonts w:eastAsia="Times New Roman" w:cstheme="minorHAnsi"/>
          <w:color w:val="171717" w:themeColor="background2" w:themeShade="1A"/>
          <w:kern w:val="0"/>
          <w:sz w:val="22"/>
          <w:szCs w:val="22"/>
          <w:lang w:val="es-ES" w:eastAsia="fr-FR"/>
          <w14:ligatures w14:val="none"/>
        </w:rPr>
        <w:t>consuetudinarias, la Convención de Viena sobre el Derecho de los Tratados entre Estados, la jurisprudencia pertinente de la Corte Internacional de Justicia y de</w:t>
      </w:r>
      <w:r w:rsidR="00D44C38">
        <w:rPr>
          <w:rFonts w:eastAsia="Times New Roman" w:cstheme="minorHAnsi"/>
          <w:color w:val="171717" w:themeColor="background2" w:themeShade="1A"/>
          <w:kern w:val="0"/>
          <w:sz w:val="22"/>
          <w:szCs w:val="22"/>
          <w:lang w:val="es-ES" w:eastAsia="fr-FR"/>
          <w14:ligatures w14:val="none"/>
        </w:rPr>
        <w:t xml:space="preserve"> este</w:t>
      </w:r>
      <w:r w:rsidRPr="00510393">
        <w:rPr>
          <w:rFonts w:eastAsia="Times New Roman" w:cstheme="minorHAnsi"/>
          <w:color w:val="171717" w:themeColor="background2" w:themeShade="1A"/>
          <w:kern w:val="0"/>
          <w:sz w:val="22"/>
          <w:szCs w:val="22"/>
          <w:lang w:val="es-ES" w:eastAsia="fr-FR"/>
          <w14:ligatures w14:val="none"/>
        </w:rPr>
        <w:t xml:space="preserve"> Comité, esas declaraciones y reservas no deben ser contrarias al objeto y propósito del Pacto. Deben estar redactadas y justificadas de manera estricta y cuidadosa.</w:t>
      </w:r>
    </w:p>
    <w:p w14:paraId="3717B923" w14:textId="77777777" w:rsidR="008C0C30" w:rsidRPr="00873B06" w:rsidRDefault="008C0C30" w:rsidP="001C294C">
      <w:pPr>
        <w:jc w:val="both"/>
        <w:rPr>
          <w:rFonts w:eastAsia="Times New Roman" w:cstheme="minorHAnsi"/>
          <w:color w:val="171717" w:themeColor="background2" w:themeShade="1A"/>
          <w:kern w:val="0"/>
          <w:sz w:val="22"/>
          <w:szCs w:val="22"/>
          <w:lang w:val="es-ES" w:eastAsia="fr-FR"/>
          <w14:ligatures w14:val="none"/>
        </w:rPr>
      </w:pPr>
    </w:p>
    <w:p w14:paraId="6B82DD61" w14:textId="52657E1D" w:rsidR="008C0C30" w:rsidRPr="00873B06" w:rsidRDefault="00510393"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8</w:t>
      </w:r>
      <w:r w:rsidR="008C0C30" w:rsidRPr="00873B06">
        <w:rPr>
          <w:rFonts w:eastAsia="Times New Roman" w:cstheme="minorHAnsi"/>
          <w:color w:val="171717" w:themeColor="background2" w:themeShade="1A"/>
          <w:kern w:val="0"/>
          <w:sz w:val="22"/>
          <w:szCs w:val="22"/>
          <w:lang w:val="es-ES" w:eastAsia="fr-FR"/>
          <w14:ligatures w14:val="none"/>
        </w:rPr>
        <w:t xml:space="preserve">. </w:t>
      </w:r>
      <w:r w:rsidR="00686FBB" w:rsidRPr="00873B06">
        <w:rPr>
          <w:rFonts w:eastAsia="Times New Roman" w:cstheme="minorHAnsi"/>
          <w:color w:val="171717" w:themeColor="background2" w:themeShade="1A"/>
          <w:kern w:val="0"/>
          <w:sz w:val="22"/>
          <w:szCs w:val="22"/>
          <w:lang w:val="es-ES" w:eastAsia="fr-FR"/>
          <w14:ligatures w14:val="none"/>
        </w:rPr>
        <w:t xml:space="preserve">La libertad de asociación está consagrada en los convenios universales y regionales </w:t>
      </w:r>
      <w:r w:rsidR="00095BA5" w:rsidRPr="00873B06">
        <w:rPr>
          <w:rFonts w:eastAsia="Times New Roman" w:cstheme="minorHAnsi"/>
          <w:color w:val="171717" w:themeColor="background2" w:themeShade="1A"/>
          <w:kern w:val="0"/>
          <w:sz w:val="22"/>
          <w:szCs w:val="22"/>
          <w:lang w:val="es-ES" w:eastAsia="fr-FR"/>
          <w14:ligatures w14:val="none"/>
        </w:rPr>
        <w:t xml:space="preserve">de protección de los derechos </w:t>
      </w:r>
      <w:r w:rsidR="00686FBB" w:rsidRPr="00873B06">
        <w:rPr>
          <w:rFonts w:eastAsia="Times New Roman" w:cstheme="minorHAnsi"/>
          <w:color w:val="171717" w:themeColor="background2" w:themeShade="1A"/>
          <w:kern w:val="0"/>
          <w:sz w:val="22"/>
          <w:szCs w:val="22"/>
          <w:lang w:val="es-ES" w:eastAsia="fr-FR"/>
          <w14:ligatures w14:val="none"/>
        </w:rPr>
        <w:t xml:space="preserve">humanos, así como en un gran número de constituciones </w:t>
      </w:r>
      <w:r w:rsidR="00F754C5" w:rsidRPr="00873B06">
        <w:rPr>
          <w:rFonts w:eastAsia="Times New Roman" w:cstheme="minorHAnsi"/>
          <w:color w:val="171717" w:themeColor="background2" w:themeShade="1A"/>
          <w:kern w:val="0"/>
          <w:sz w:val="22"/>
          <w:szCs w:val="22"/>
          <w:lang w:val="es-ES" w:eastAsia="fr-FR"/>
          <w14:ligatures w14:val="none"/>
        </w:rPr>
        <w:t xml:space="preserve">y legislaciones </w:t>
      </w:r>
      <w:r w:rsidR="00686FBB" w:rsidRPr="00873B06">
        <w:rPr>
          <w:rFonts w:eastAsia="Times New Roman" w:cstheme="minorHAnsi"/>
          <w:color w:val="171717" w:themeColor="background2" w:themeShade="1A"/>
          <w:kern w:val="0"/>
          <w:sz w:val="22"/>
          <w:szCs w:val="22"/>
          <w:lang w:val="es-ES" w:eastAsia="fr-FR"/>
          <w14:ligatures w14:val="none"/>
        </w:rPr>
        <w:t xml:space="preserve">nacionales. Sin embargo, este </w:t>
      </w:r>
      <w:r w:rsidR="00D44C38">
        <w:rPr>
          <w:rFonts w:eastAsia="Times New Roman" w:cstheme="minorHAnsi"/>
          <w:color w:val="171717" w:themeColor="background2" w:themeShade="1A"/>
          <w:kern w:val="0"/>
          <w:sz w:val="22"/>
          <w:szCs w:val="22"/>
          <w:lang w:val="es-ES" w:eastAsia="fr-FR"/>
          <w14:ligatures w14:val="none"/>
        </w:rPr>
        <w:t xml:space="preserve">largo </w:t>
      </w:r>
      <w:r w:rsidR="00686FBB" w:rsidRPr="00873B06">
        <w:rPr>
          <w:rFonts w:eastAsia="Times New Roman" w:cstheme="minorHAnsi"/>
          <w:color w:val="171717" w:themeColor="background2" w:themeShade="1A"/>
          <w:kern w:val="0"/>
          <w:sz w:val="22"/>
          <w:szCs w:val="22"/>
          <w:lang w:val="es-ES" w:eastAsia="fr-FR"/>
          <w14:ligatures w14:val="none"/>
        </w:rPr>
        <w:t xml:space="preserve">reconocimiento jurídico no impide que su ejercicio se vea gravemente amenazado y atacado, de diversas formas, en todo el mundo. Ya sea impidiendo el registro de asociaciones; complicando en exceso los procedimientos administrativos, jurídicos o fiscales aplicables; prohibiendo el acceso a determinadas fuentes de financiación procedentes del extranjero; vigilando </w:t>
      </w:r>
      <w:r w:rsidR="00095BA5" w:rsidRPr="00873B06">
        <w:rPr>
          <w:rFonts w:eastAsia="Times New Roman" w:cstheme="minorHAnsi"/>
          <w:color w:val="171717" w:themeColor="background2" w:themeShade="1A"/>
          <w:kern w:val="0"/>
          <w:sz w:val="22"/>
          <w:szCs w:val="22"/>
          <w:lang w:val="es-ES" w:eastAsia="fr-FR"/>
          <w14:ligatures w14:val="none"/>
        </w:rPr>
        <w:t xml:space="preserve">indebidamente </w:t>
      </w:r>
      <w:r w:rsidR="00686FBB" w:rsidRPr="00873B06">
        <w:rPr>
          <w:rFonts w:eastAsia="Times New Roman" w:cstheme="minorHAnsi"/>
          <w:color w:val="171717" w:themeColor="background2" w:themeShade="1A"/>
          <w:kern w:val="0"/>
          <w:sz w:val="22"/>
          <w:szCs w:val="22"/>
          <w:lang w:val="es-ES" w:eastAsia="fr-FR"/>
          <w14:ligatures w14:val="none"/>
        </w:rPr>
        <w:t xml:space="preserve">sus actividades, incluso mediante sistemas de vigilancia masiva </w:t>
      </w:r>
      <w:r w:rsidR="00095BA5" w:rsidRPr="00873B06">
        <w:rPr>
          <w:rFonts w:eastAsia="Times New Roman" w:cstheme="minorHAnsi"/>
          <w:color w:val="171717" w:themeColor="background2" w:themeShade="1A"/>
          <w:kern w:val="0"/>
          <w:sz w:val="22"/>
          <w:szCs w:val="22"/>
          <w:lang w:val="es-ES" w:eastAsia="fr-FR"/>
          <w14:ligatures w14:val="none"/>
        </w:rPr>
        <w:t xml:space="preserve">al margen de todo control judicial; </w:t>
      </w:r>
      <w:r w:rsidR="00686FBB" w:rsidRPr="00873B06">
        <w:rPr>
          <w:rFonts w:eastAsia="Times New Roman" w:cstheme="minorHAnsi"/>
          <w:color w:val="171717" w:themeColor="background2" w:themeShade="1A"/>
          <w:kern w:val="0"/>
          <w:sz w:val="22"/>
          <w:szCs w:val="22"/>
          <w:lang w:val="es-ES" w:eastAsia="fr-FR"/>
          <w14:ligatures w14:val="none"/>
        </w:rPr>
        <w:t>prohibiendo sus acciones en nombre de vagos motivos de seguridad nacional o de lucha contra el terrorismo;  o</w:t>
      </w:r>
      <w:r>
        <w:rPr>
          <w:rFonts w:eastAsia="Times New Roman" w:cstheme="minorHAnsi"/>
          <w:color w:val="171717" w:themeColor="background2" w:themeShade="1A"/>
          <w:kern w:val="0"/>
          <w:sz w:val="22"/>
          <w:szCs w:val="22"/>
          <w:lang w:val="es-ES" w:eastAsia="fr-FR"/>
          <w14:ligatures w14:val="none"/>
        </w:rPr>
        <w:t xml:space="preserve"> </w:t>
      </w:r>
      <w:r w:rsidR="00686FBB" w:rsidRPr="00873B06">
        <w:rPr>
          <w:rFonts w:eastAsia="Times New Roman" w:cstheme="minorHAnsi"/>
          <w:color w:val="171717" w:themeColor="background2" w:themeShade="1A"/>
          <w:kern w:val="0"/>
          <w:sz w:val="22"/>
          <w:szCs w:val="22"/>
          <w:lang w:val="es-ES" w:eastAsia="fr-FR"/>
          <w14:ligatures w14:val="none"/>
        </w:rPr>
        <w:t xml:space="preserve">privando de libertad, sometiendo a actos de tortura o malos tratos, privando de la nacionalidad o haciendo desaparecer por la fuerza </w:t>
      </w:r>
      <w:r w:rsidR="006F2623" w:rsidRPr="00873B06">
        <w:rPr>
          <w:rFonts w:eastAsia="Times New Roman" w:cstheme="minorHAnsi"/>
          <w:color w:val="171717" w:themeColor="background2" w:themeShade="1A"/>
          <w:kern w:val="0"/>
          <w:sz w:val="22"/>
          <w:szCs w:val="22"/>
          <w:lang w:val="es-ES" w:eastAsia="fr-FR"/>
          <w14:ligatures w14:val="none"/>
        </w:rPr>
        <w:t xml:space="preserve">a los miembros, </w:t>
      </w:r>
      <w:r w:rsidR="00766355" w:rsidRPr="00873B06">
        <w:rPr>
          <w:rFonts w:eastAsia="Times New Roman" w:cstheme="minorHAnsi"/>
          <w:color w:val="171717" w:themeColor="background2" w:themeShade="1A"/>
          <w:kern w:val="0"/>
          <w:sz w:val="22"/>
          <w:szCs w:val="22"/>
          <w:lang w:val="es-ES" w:eastAsia="fr-FR"/>
          <w14:ligatures w14:val="none"/>
        </w:rPr>
        <w:t xml:space="preserve">afiliados </w:t>
      </w:r>
      <w:r w:rsidR="006F2623" w:rsidRPr="00873B06">
        <w:rPr>
          <w:rFonts w:eastAsia="Times New Roman" w:cstheme="minorHAnsi"/>
          <w:color w:val="171717" w:themeColor="background2" w:themeShade="1A"/>
          <w:kern w:val="0"/>
          <w:sz w:val="22"/>
          <w:szCs w:val="22"/>
          <w:lang w:val="es-ES" w:eastAsia="fr-FR"/>
          <w14:ligatures w14:val="none"/>
        </w:rPr>
        <w:t xml:space="preserve">y </w:t>
      </w:r>
      <w:r w:rsidR="00095BA5" w:rsidRPr="00873B06">
        <w:rPr>
          <w:rFonts w:eastAsia="Times New Roman" w:cstheme="minorHAnsi"/>
          <w:color w:val="171717" w:themeColor="background2" w:themeShade="1A"/>
          <w:kern w:val="0"/>
          <w:sz w:val="22"/>
          <w:szCs w:val="22"/>
          <w:lang w:val="es-ES" w:eastAsia="fr-FR"/>
          <w14:ligatures w14:val="none"/>
        </w:rPr>
        <w:t xml:space="preserve">responsables de </w:t>
      </w:r>
      <w:r w:rsidR="006F2623" w:rsidRPr="00873B06">
        <w:rPr>
          <w:rFonts w:eastAsia="Times New Roman" w:cstheme="minorHAnsi"/>
          <w:color w:val="171717" w:themeColor="background2" w:themeShade="1A"/>
          <w:kern w:val="0"/>
          <w:sz w:val="22"/>
          <w:szCs w:val="22"/>
          <w:lang w:val="es-ES" w:eastAsia="fr-FR"/>
          <w14:ligatures w14:val="none"/>
        </w:rPr>
        <w:t>estas asociaciones y sindicatos</w:t>
      </w:r>
      <w:r>
        <w:rPr>
          <w:rFonts w:eastAsia="Times New Roman" w:cstheme="minorHAnsi"/>
          <w:color w:val="171717" w:themeColor="background2" w:themeShade="1A"/>
          <w:kern w:val="0"/>
          <w:sz w:val="22"/>
          <w:szCs w:val="22"/>
          <w:lang w:val="es-ES" w:eastAsia="fr-FR"/>
          <w14:ligatures w14:val="none"/>
        </w:rPr>
        <w:t xml:space="preserve">, o </w:t>
      </w:r>
      <w:r w:rsidRPr="00873B06">
        <w:rPr>
          <w:rFonts w:eastAsia="Times New Roman" w:cstheme="minorHAnsi"/>
          <w:color w:val="171717" w:themeColor="background2" w:themeShade="1A"/>
          <w:kern w:val="0"/>
          <w:sz w:val="22"/>
          <w:szCs w:val="22"/>
          <w:lang w:val="es-ES" w:eastAsia="fr-FR"/>
          <w14:ligatures w14:val="none"/>
        </w:rPr>
        <w:t>difundiendo discursos negativos contra las asociaciones, incluidas las que defienden los derechos humanos</w:t>
      </w:r>
      <w:r>
        <w:rPr>
          <w:rFonts w:eastAsia="Times New Roman" w:cstheme="minorHAnsi"/>
          <w:color w:val="171717" w:themeColor="background2" w:themeShade="1A"/>
          <w:kern w:val="0"/>
          <w:sz w:val="22"/>
          <w:szCs w:val="22"/>
          <w:lang w:val="es-ES" w:eastAsia="fr-FR"/>
          <w14:ligatures w14:val="none"/>
        </w:rPr>
        <w:t>,</w:t>
      </w:r>
      <w:r w:rsidRPr="00873B06">
        <w:rPr>
          <w:rFonts w:eastAsia="Times New Roman" w:cstheme="minorHAnsi"/>
          <w:color w:val="171717" w:themeColor="background2" w:themeShade="1A"/>
          <w:kern w:val="0"/>
          <w:sz w:val="22"/>
          <w:szCs w:val="22"/>
          <w:lang w:val="es-ES" w:eastAsia="fr-FR"/>
          <w14:ligatures w14:val="none"/>
        </w:rPr>
        <w:t xml:space="preserve"> y la protección del medio ambiente</w:t>
      </w:r>
      <w:r w:rsidR="006F2623" w:rsidRPr="00873B06">
        <w:rPr>
          <w:rFonts w:eastAsia="Times New Roman" w:cstheme="minorHAnsi"/>
          <w:color w:val="171717" w:themeColor="background2" w:themeShade="1A"/>
          <w:kern w:val="0"/>
          <w:sz w:val="22"/>
          <w:szCs w:val="22"/>
          <w:lang w:val="es-ES" w:eastAsia="fr-FR"/>
          <w14:ligatures w14:val="none"/>
        </w:rPr>
        <w:t xml:space="preserve">. </w:t>
      </w:r>
      <w:r w:rsidR="003A7308" w:rsidRPr="00873B06">
        <w:rPr>
          <w:rFonts w:eastAsia="Times New Roman" w:cstheme="minorHAnsi"/>
          <w:color w:val="171717" w:themeColor="background2" w:themeShade="1A"/>
          <w:kern w:val="0"/>
          <w:sz w:val="22"/>
          <w:szCs w:val="22"/>
          <w:lang w:val="es-ES" w:eastAsia="fr-FR"/>
          <w14:ligatures w14:val="none"/>
        </w:rPr>
        <w:t xml:space="preserve">Estos «discursos hostiles» </w:t>
      </w:r>
      <w:r w:rsidR="00BF1D0D" w:rsidRPr="00873B06">
        <w:rPr>
          <w:rFonts w:eastAsia="Times New Roman" w:cstheme="minorHAnsi"/>
          <w:color w:val="171717" w:themeColor="background2" w:themeShade="1A"/>
          <w:kern w:val="0"/>
          <w:sz w:val="22"/>
          <w:szCs w:val="22"/>
          <w:lang w:val="es-ES" w:eastAsia="fr-FR"/>
          <w14:ligatures w14:val="none"/>
        </w:rPr>
        <w:t xml:space="preserve">contra los movimientos asociativos, descritos como «enemigos o amenazas para la seguridad o los valores», constituyen </w:t>
      </w:r>
      <w:r w:rsidR="00BF1D0D" w:rsidRPr="00873B06">
        <w:rPr>
          <w:sz w:val="22"/>
          <w:szCs w:val="22"/>
          <w:lang w:val="es-ES"/>
        </w:rPr>
        <w:t xml:space="preserve">«una de las tendencias mundiales que favorecen el auge del autoritarismo y el cierre del espacio </w:t>
      </w:r>
      <w:r w:rsidR="00BF1D0D" w:rsidRPr="00873B06">
        <w:rPr>
          <w:rFonts w:eastAsia="Times New Roman" w:cstheme="minorHAnsi"/>
          <w:color w:val="171717" w:themeColor="background2" w:themeShade="1A"/>
          <w:kern w:val="0"/>
          <w:sz w:val="22"/>
          <w:szCs w:val="22"/>
          <w:lang w:val="es-ES" w:eastAsia="fr-FR"/>
          <w14:ligatures w14:val="none"/>
        </w:rPr>
        <w:t>cívico» (</w:t>
      </w:r>
      <w:r w:rsidR="00BF1D0D" w:rsidRPr="00873B06">
        <w:rPr>
          <w:sz w:val="22"/>
          <w:szCs w:val="22"/>
          <w:lang w:val="es-ES"/>
        </w:rPr>
        <w:t>A/79/263, 2024, párr. 1).</w:t>
      </w:r>
    </w:p>
    <w:p w14:paraId="5A32F34A" w14:textId="77777777" w:rsidR="005D559F" w:rsidRPr="00873B06" w:rsidRDefault="005D559F" w:rsidP="001C294C">
      <w:pPr>
        <w:jc w:val="both"/>
        <w:rPr>
          <w:rFonts w:eastAsia="Times New Roman" w:cstheme="minorHAnsi"/>
          <w:color w:val="171717" w:themeColor="background2" w:themeShade="1A"/>
          <w:kern w:val="0"/>
          <w:sz w:val="22"/>
          <w:szCs w:val="22"/>
          <w:lang w:val="es-ES" w:eastAsia="fr-FR"/>
          <w14:ligatures w14:val="none"/>
        </w:rPr>
      </w:pPr>
    </w:p>
    <w:p w14:paraId="36C40AAD" w14:textId="436AAECE" w:rsidR="003D0960" w:rsidRDefault="006F3824" w:rsidP="001C294C">
      <w:pPr>
        <w:jc w:val="both"/>
        <w:rPr>
          <w:rFonts w:eastAsia="Times New Roman" w:cstheme="minorHAnsi"/>
          <w:color w:val="171717" w:themeColor="background2" w:themeShade="1A"/>
          <w:kern w:val="0"/>
          <w:sz w:val="22"/>
          <w:szCs w:val="22"/>
          <w:lang w:val="es-ES" w:eastAsia="fr-FR"/>
          <w14:ligatures w14:val="none"/>
        </w:rPr>
      </w:pPr>
      <w:r w:rsidRPr="006F3824">
        <w:rPr>
          <w:rFonts w:eastAsia="Times New Roman" w:cstheme="minorHAnsi"/>
          <w:color w:val="171717" w:themeColor="background2" w:themeShade="1A"/>
          <w:kern w:val="0"/>
          <w:sz w:val="22"/>
          <w:szCs w:val="22"/>
          <w:lang w:val="es-ES" w:eastAsia="fr-FR"/>
          <w14:ligatures w14:val="none"/>
        </w:rPr>
        <w:t xml:space="preserve">9. A la luz de los artículos 2(1), 3 y 26 del PIDCP (igualdad y no discriminación), el reconocimiento de la libertad de asociación impone a los </w:t>
      </w:r>
      <w:proofErr w:type="gramStart"/>
      <w:r w:rsidRPr="006F3824">
        <w:rPr>
          <w:rFonts w:eastAsia="Times New Roman" w:cstheme="minorHAnsi"/>
          <w:color w:val="171717" w:themeColor="background2" w:themeShade="1A"/>
          <w:kern w:val="0"/>
          <w:sz w:val="22"/>
          <w:szCs w:val="22"/>
          <w:lang w:val="es-ES" w:eastAsia="fr-FR"/>
          <w14:ligatures w14:val="none"/>
        </w:rPr>
        <w:t>Estados</w:t>
      </w:r>
      <w:r>
        <w:rPr>
          <w:rFonts w:eastAsia="Times New Roman" w:cstheme="minorHAnsi"/>
          <w:color w:val="171717" w:themeColor="background2" w:themeShade="1A"/>
          <w:kern w:val="0"/>
          <w:sz w:val="22"/>
          <w:szCs w:val="22"/>
          <w:lang w:val="es-ES" w:eastAsia="fr-FR"/>
          <w14:ligatures w14:val="none"/>
        </w:rPr>
        <w:t xml:space="preserve"> </w:t>
      </w:r>
      <w:r w:rsidRPr="006F3824">
        <w:rPr>
          <w:rFonts w:eastAsia="Times New Roman" w:cstheme="minorHAnsi"/>
          <w:color w:val="171717" w:themeColor="background2" w:themeShade="1A"/>
          <w:kern w:val="0"/>
          <w:sz w:val="22"/>
          <w:szCs w:val="22"/>
          <w:lang w:val="es-ES" w:eastAsia="fr-FR"/>
          <w14:ligatures w14:val="none"/>
        </w:rPr>
        <w:t>Partes</w:t>
      </w:r>
      <w:proofErr w:type="gramEnd"/>
      <w:r w:rsidRPr="006F3824">
        <w:rPr>
          <w:rFonts w:eastAsia="Times New Roman" w:cstheme="minorHAnsi"/>
          <w:color w:val="171717" w:themeColor="background2" w:themeShade="1A"/>
          <w:kern w:val="0"/>
          <w:sz w:val="22"/>
          <w:szCs w:val="22"/>
          <w:lang w:val="es-ES" w:eastAsia="fr-FR"/>
          <w14:ligatures w14:val="none"/>
        </w:rPr>
        <w:t xml:space="preserve"> obligaciones negativas, pero también las correspondientes obligaciones positivas de respetar, facilitar y garantizar el disfrute y el ejercicio de ese derecho sin discriminación y en plena igualdad ante la ley. Esa igualdad debe ser real y no meramente formal. Sin embargo, otra tendencia mundial es que ciertos grupos, como las mujeres, los </w:t>
      </w:r>
      <w:r w:rsidRPr="006F3824">
        <w:rPr>
          <w:rFonts w:eastAsia="Times New Roman" w:cstheme="minorHAnsi"/>
          <w:color w:val="171717" w:themeColor="background2" w:themeShade="1A"/>
          <w:kern w:val="0"/>
          <w:sz w:val="22"/>
          <w:szCs w:val="22"/>
          <w:lang w:val="es-ES" w:eastAsia="fr-FR"/>
          <w14:ligatures w14:val="none"/>
        </w:rPr>
        <w:lastRenderedPageBreak/>
        <w:t xml:space="preserve">jóvenes, las personas </w:t>
      </w:r>
      <w:r>
        <w:rPr>
          <w:rFonts w:eastAsia="Times New Roman" w:cstheme="minorHAnsi"/>
          <w:color w:val="171717" w:themeColor="background2" w:themeShade="1A"/>
          <w:kern w:val="0"/>
          <w:sz w:val="22"/>
          <w:szCs w:val="22"/>
          <w:lang w:val="es-ES" w:eastAsia="fr-FR"/>
          <w14:ligatures w14:val="none"/>
        </w:rPr>
        <w:t>mayores</w:t>
      </w:r>
      <w:r w:rsidRPr="006F3824">
        <w:rPr>
          <w:rFonts w:eastAsia="Times New Roman" w:cstheme="minorHAnsi"/>
          <w:color w:val="171717" w:themeColor="background2" w:themeShade="1A"/>
          <w:kern w:val="0"/>
          <w:sz w:val="22"/>
          <w:szCs w:val="22"/>
          <w:lang w:val="es-ES" w:eastAsia="fr-FR"/>
          <w14:ligatures w14:val="none"/>
        </w:rPr>
        <w:t xml:space="preserve">, los defensores de los derechos humanos, los defensores del medio ambiente, el clima y la tierra, los opositores políticos, los miembros y representantes de sindicatos, las personas que viven en </w:t>
      </w:r>
      <w:r w:rsidR="00D44C38">
        <w:rPr>
          <w:rFonts w:eastAsia="Times New Roman" w:cstheme="minorHAnsi"/>
          <w:color w:val="171717" w:themeColor="background2" w:themeShade="1A"/>
          <w:kern w:val="0"/>
          <w:sz w:val="22"/>
          <w:szCs w:val="22"/>
          <w:lang w:val="es-ES" w:eastAsia="fr-FR"/>
          <w14:ligatures w14:val="none"/>
        </w:rPr>
        <w:t>situación de</w:t>
      </w:r>
      <w:r w:rsidRPr="006F3824">
        <w:rPr>
          <w:rFonts w:eastAsia="Times New Roman" w:cstheme="minorHAnsi"/>
          <w:color w:val="171717" w:themeColor="background2" w:themeShade="1A"/>
          <w:kern w:val="0"/>
          <w:sz w:val="22"/>
          <w:szCs w:val="22"/>
          <w:lang w:val="es-ES" w:eastAsia="fr-FR"/>
          <w14:ligatures w14:val="none"/>
        </w:rPr>
        <w:t xml:space="preserve"> pobreza, los miembros de </w:t>
      </w:r>
      <w:r>
        <w:rPr>
          <w:rFonts w:eastAsia="Times New Roman" w:cstheme="minorHAnsi"/>
          <w:color w:val="171717" w:themeColor="background2" w:themeShade="1A"/>
          <w:kern w:val="0"/>
          <w:sz w:val="22"/>
          <w:szCs w:val="22"/>
          <w:lang w:val="es-ES" w:eastAsia="fr-FR"/>
          <w14:ligatures w14:val="none"/>
        </w:rPr>
        <w:t>P</w:t>
      </w:r>
      <w:r w:rsidRPr="006F3824">
        <w:rPr>
          <w:rFonts w:eastAsia="Times New Roman" w:cstheme="minorHAnsi"/>
          <w:color w:val="171717" w:themeColor="background2" w:themeShade="1A"/>
          <w:kern w:val="0"/>
          <w:sz w:val="22"/>
          <w:szCs w:val="22"/>
          <w:lang w:val="es-ES" w:eastAsia="fr-FR"/>
          <w14:ligatures w14:val="none"/>
        </w:rPr>
        <w:t xml:space="preserve">ueblos </w:t>
      </w:r>
      <w:r>
        <w:rPr>
          <w:rFonts w:eastAsia="Times New Roman" w:cstheme="minorHAnsi"/>
          <w:color w:val="171717" w:themeColor="background2" w:themeShade="1A"/>
          <w:kern w:val="0"/>
          <w:sz w:val="22"/>
          <w:szCs w:val="22"/>
          <w:lang w:val="es-ES" w:eastAsia="fr-FR"/>
          <w14:ligatures w14:val="none"/>
        </w:rPr>
        <w:t>I</w:t>
      </w:r>
      <w:r w:rsidRPr="006F3824">
        <w:rPr>
          <w:rFonts w:eastAsia="Times New Roman" w:cstheme="minorHAnsi"/>
          <w:color w:val="171717" w:themeColor="background2" w:themeShade="1A"/>
          <w:kern w:val="0"/>
          <w:sz w:val="22"/>
          <w:szCs w:val="22"/>
          <w:lang w:val="es-ES" w:eastAsia="fr-FR"/>
          <w14:ligatures w14:val="none"/>
        </w:rPr>
        <w:t>ndígenas, las personas desplazadas, las personas con discapacidad, los migrantes y las personas que viven en determinadas zonas rurales o alejadas de los centros urbanos, no siempre tienen un acceso igualitario y efectivo a las asociaciones, los sindicatos, los partidos políticos y otras formas de asociación.</w:t>
      </w:r>
    </w:p>
    <w:p w14:paraId="11DF4A91" w14:textId="77777777" w:rsidR="006F3824" w:rsidRPr="00873B06" w:rsidRDefault="006F3824" w:rsidP="001C294C">
      <w:pPr>
        <w:jc w:val="both"/>
        <w:rPr>
          <w:rFonts w:eastAsia="Times New Roman" w:cstheme="minorHAnsi"/>
          <w:color w:val="171717" w:themeColor="background2" w:themeShade="1A"/>
          <w:kern w:val="0"/>
          <w:sz w:val="22"/>
          <w:szCs w:val="22"/>
          <w:lang w:val="es-ES" w:eastAsia="fr-FR"/>
          <w14:ligatures w14:val="none"/>
        </w:rPr>
      </w:pPr>
    </w:p>
    <w:p w14:paraId="578766E3" w14:textId="12D8BA8B" w:rsidR="003D0960" w:rsidRPr="00873B06" w:rsidRDefault="006F3824"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10</w:t>
      </w:r>
      <w:r w:rsidR="003D0960" w:rsidRPr="00873B06">
        <w:rPr>
          <w:rFonts w:eastAsia="Times New Roman" w:cstheme="minorHAnsi"/>
          <w:color w:val="171717" w:themeColor="background2" w:themeShade="1A"/>
          <w:kern w:val="0"/>
          <w:sz w:val="22"/>
          <w:szCs w:val="22"/>
          <w:lang w:val="es-ES" w:eastAsia="fr-FR"/>
          <w14:ligatures w14:val="none"/>
        </w:rPr>
        <w:t xml:space="preserve">. Además, esta libertad solo puede garantizarse plenamente si se </w:t>
      </w:r>
      <w:r w:rsidR="0061422D" w:rsidRPr="00873B06">
        <w:rPr>
          <w:rFonts w:eastAsia="Times New Roman" w:cstheme="minorHAnsi"/>
          <w:color w:val="171717" w:themeColor="background2" w:themeShade="1A"/>
          <w:kern w:val="0"/>
          <w:sz w:val="22"/>
          <w:szCs w:val="22"/>
          <w:lang w:val="es-ES" w:eastAsia="fr-FR"/>
          <w14:ligatures w14:val="none"/>
        </w:rPr>
        <w:t>protegen</w:t>
      </w:r>
      <w:r w:rsidR="003D0960" w:rsidRPr="00873B06">
        <w:rPr>
          <w:rFonts w:eastAsia="Times New Roman" w:cstheme="minorHAnsi"/>
          <w:color w:val="171717" w:themeColor="background2" w:themeShade="1A"/>
          <w:kern w:val="0"/>
          <w:sz w:val="22"/>
          <w:szCs w:val="22"/>
          <w:lang w:val="es-ES" w:eastAsia="fr-FR"/>
          <w14:ligatures w14:val="none"/>
        </w:rPr>
        <w:t xml:space="preserve"> también los demás derechos con los que está intrínsecamente </w:t>
      </w:r>
      <w:r w:rsidR="00A23B8B" w:rsidRPr="00873B06">
        <w:rPr>
          <w:rFonts w:eastAsia="Times New Roman" w:cstheme="minorHAnsi"/>
          <w:color w:val="171717" w:themeColor="background2" w:themeShade="1A"/>
          <w:kern w:val="0"/>
          <w:sz w:val="22"/>
          <w:szCs w:val="22"/>
          <w:lang w:val="es-ES" w:eastAsia="fr-FR"/>
          <w14:ligatures w14:val="none"/>
        </w:rPr>
        <w:t>relacionada</w:t>
      </w:r>
      <w:r w:rsidR="003D0960" w:rsidRPr="00873B06">
        <w:rPr>
          <w:rFonts w:eastAsia="Times New Roman" w:cstheme="minorHAnsi"/>
          <w:color w:val="171717" w:themeColor="background2" w:themeShade="1A"/>
          <w:kern w:val="0"/>
          <w:sz w:val="22"/>
          <w:szCs w:val="22"/>
          <w:lang w:val="es-ES" w:eastAsia="fr-FR"/>
          <w14:ligatures w14:val="none"/>
        </w:rPr>
        <w:t>, como los mencionados anteriormente. Del mismo modo, en combinación con el artículo 2</w:t>
      </w:r>
      <w:r w:rsidR="00F538E7">
        <w:rPr>
          <w:rFonts w:eastAsia="Times New Roman" w:cstheme="minorHAnsi"/>
          <w:color w:val="171717" w:themeColor="background2" w:themeShade="1A"/>
          <w:kern w:val="0"/>
          <w:sz w:val="22"/>
          <w:szCs w:val="22"/>
          <w:lang w:val="es-ES" w:eastAsia="fr-FR"/>
          <w14:ligatures w14:val="none"/>
        </w:rPr>
        <w:t>(</w:t>
      </w:r>
      <w:r w:rsidR="003D0960" w:rsidRPr="00873B06">
        <w:rPr>
          <w:rFonts w:eastAsia="Times New Roman" w:cstheme="minorHAnsi"/>
          <w:color w:val="171717" w:themeColor="background2" w:themeShade="1A"/>
          <w:kern w:val="0"/>
          <w:sz w:val="22"/>
          <w:szCs w:val="22"/>
          <w:lang w:val="es-ES" w:eastAsia="fr-FR"/>
          <w14:ligatures w14:val="none"/>
        </w:rPr>
        <w:t>3</w:t>
      </w:r>
      <w:r w:rsidR="00F538E7">
        <w:rPr>
          <w:rFonts w:eastAsia="Times New Roman" w:cstheme="minorHAnsi"/>
          <w:color w:val="171717" w:themeColor="background2" w:themeShade="1A"/>
          <w:kern w:val="0"/>
          <w:sz w:val="22"/>
          <w:szCs w:val="22"/>
          <w:lang w:val="es-ES" w:eastAsia="fr-FR"/>
          <w14:ligatures w14:val="none"/>
        </w:rPr>
        <w:t>)</w:t>
      </w:r>
      <w:r w:rsidR="003D0960" w:rsidRPr="00873B06">
        <w:rPr>
          <w:rFonts w:eastAsia="Times New Roman" w:cstheme="minorHAnsi"/>
          <w:color w:val="171717" w:themeColor="background2" w:themeShade="1A"/>
          <w:kern w:val="0"/>
          <w:sz w:val="22"/>
          <w:szCs w:val="22"/>
          <w:lang w:val="es-ES" w:eastAsia="fr-FR"/>
          <w14:ligatures w14:val="none"/>
        </w:rPr>
        <w:t xml:space="preserve"> del PIDCP, toda violación de la libertad de asociación debe dar derecho a un recurso efectivo para denunciarla y, en su caso, permitir una reparación adecuada </w:t>
      </w:r>
      <w:r w:rsidR="00134C44" w:rsidRPr="00873B06">
        <w:rPr>
          <w:rFonts w:eastAsia="Times New Roman" w:cstheme="minorHAnsi"/>
          <w:color w:val="171717" w:themeColor="background2" w:themeShade="1A"/>
          <w:kern w:val="0"/>
          <w:sz w:val="22"/>
          <w:szCs w:val="22"/>
          <w:lang w:val="es-ES" w:eastAsia="fr-FR"/>
          <w14:ligatures w14:val="none"/>
        </w:rPr>
        <w:t>a las víctimas</w:t>
      </w:r>
      <w:r>
        <w:rPr>
          <w:rFonts w:eastAsia="Times New Roman" w:cstheme="minorHAnsi"/>
          <w:color w:val="171717" w:themeColor="background2" w:themeShade="1A"/>
          <w:kern w:val="0"/>
          <w:sz w:val="22"/>
          <w:szCs w:val="22"/>
          <w:lang w:val="es-ES" w:eastAsia="fr-FR"/>
          <w14:ligatures w14:val="none"/>
        </w:rPr>
        <w:t xml:space="preserve"> y garantías de no</w:t>
      </w:r>
      <w:r w:rsidR="00F538E7">
        <w:rPr>
          <w:rFonts w:eastAsia="Times New Roman" w:cstheme="minorHAnsi"/>
          <w:color w:val="171717" w:themeColor="background2" w:themeShade="1A"/>
          <w:kern w:val="0"/>
          <w:sz w:val="22"/>
          <w:szCs w:val="22"/>
          <w:lang w:val="es-ES" w:eastAsia="fr-FR"/>
          <w14:ligatures w14:val="none"/>
        </w:rPr>
        <w:t xml:space="preserve"> </w:t>
      </w:r>
      <w:r>
        <w:rPr>
          <w:rFonts w:eastAsia="Times New Roman" w:cstheme="minorHAnsi"/>
          <w:color w:val="171717" w:themeColor="background2" w:themeShade="1A"/>
          <w:kern w:val="0"/>
          <w:sz w:val="22"/>
          <w:szCs w:val="22"/>
          <w:lang w:val="es-ES" w:eastAsia="fr-FR"/>
          <w14:ligatures w14:val="none"/>
        </w:rPr>
        <w:t>repetición.</w:t>
      </w:r>
    </w:p>
    <w:p w14:paraId="5B6584CA" w14:textId="77777777" w:rsidR="00A23B8B" w:rsidRPr="00873B06" w:rsidRDefault="00A23B8B" w:rsidP="001C294C">
      <w:pPr>
        <w:jc w:val="both"/>
        <w:rPr>
          <w:rFonts w:eastAsia="Times New Roman" w:cstheme="minorHAnsi"/>
          <w:color w:val="171717" w:themeColor="background2" w:themeShade="1A"/>
          <w:kern w:val="0"/>
          <w:sz w:val="22"/>
          <w:szCs w:val="22"/>
          <w:lang w:val="es-ES" w:eastAsia="fr-FR"/>
          <w14:ligatures w14:val="none"/>
        </w:rPr>
      </w:pPr>
    </w:p>
    <w:p w14:paraId="69EFBDDA" w14:textId="77777777" w:rsidR="00172F8E" w:rsidRPr="00180203" w:rsidRDefault="00172F8E" w:rsidP="001C294C">
      <w:pPr>
        <w:jc w:val="both"/>
        <w:rPr>
          <w:rFonts w:eastAsia="Times New Roman" w:cstheme="minorHAnsi"/>
          <w:b/>
          <w:bCs/>
          <w:color w:val="171717" w:themeColor="background2" w:themeShade="1A"/>
          <w:kern w:val="0"/>
          <w:sz w:val="22"/>
          <w:szCs w:val="22"/>
          <w:lang w:val="es-ES" w:eastAsia="fr-FR"/>
          <w14:ligatures w14:val="none"/>
        </w:rPr>
      </w:pPr>
    </w:p>
    <w:p w14:paraId="11880320" w14:textId="1F791A0D" w:rsidR="00A23B8B" w:rsidRPr="00180203" w:rsidRDefault="006F3824" w:rsidP="001C294C">
      <w:pPr>
        <w:jc w:val="both"/>
        <w:rPr>
          <w:rFonts w:eastAsia="Times New Roman" w:cstheme="minorHAnsi"/>
          <w:b/>
          <w:bCs/>
          <w:color w:val="171717" w:themeColor="background2" w:themeShade="1A"/>
          <w:kern w:val="0"/>
          <w:sz w:val="22"/>
          <w:szCs w:val="22"/>
          <w:lang w:val="es-ES" w:eastAsia="fr-FR"/>
          <w14:ligatures w14:val="none"/>
        </w:rPr>
      </w:pPr>
      <w:r w:rsidRPr="00180203">
        <w:rPr>
          <w:rFonts w:eastAsia="Times New Roman" w:cstheme="minorHAnsi"/>
          <w:b/>
          <w:bCs/>
          <w:color w:val="171717" w:themeColor="background2" w:themeShade="1A"/>
          <w:kern w:val="0"/>
          <w:sz w:val="22"/>
          <w:szCs w:val="22"/>
          <w:lang w:val="es-ES" w:eastAsia="fr-FR"/>
          <w14:ligatures w14:val="none"/>
        </w:rPr>
        <w:t xml:space="preserve">Metodología, </w:t>
      </w:r>
      <w:r w:rsidR="00A23B8B" w:rsidRPr="00180203">
        <w:rPr>
          <w:rFonts w:eastAsia="Times New Roman" w:cstheme="minorHAnsi"/>
          <w:b/>
          <w:bCs/>
          <w:color w:val="171717" w:themeColor="background2" w:themeShade="1A"/>
          <w:kern w:val="0"/>
          <w:sz w:val="22"/>
          <w:szCs w:val="22"/>
          <w:lang w:val="es-ES" w:eastAsia="fr-FR"/>
          <w14:ligatures w14:val="none"/>
        </w:rPr>
        <w:t>Alcance</w:t>
      </w:r>
      <w:r w:rsidRPr="00180203">
        <w:rPr>
          <w:rFonts w:eastAsia="Times New Roman" w:cstheme="minorHAnsi"/>
          <w:b/>
          <w:bCs/>
          <w:color w:val="171717" w:themeColor="background2" w:themeShade="1A"/>
          <w:kern w:val="0"/>
          <w:sz w:val="22"/>
          <w:szCs w:val="22"/>
          <w:lang w:val="es-ES" w:eastAsia="fr-FR"/>
          <w14:ligatures w14:val="none"/>
        </w:rPr>
        <w:t>, y Objetivos</w:t>
      </w:r>
      <w:r w:rsidR="00A23B8B" w:rsidRPr="00180203">
        <w:rPr>
          <w:rFonts w:eastAsia="Times New Roman" w:cstheme="minorHAnsi"/>
          <w:b/>
          <w:bCs/>
          <w:color w:val="171717" w:themeColor="background2" w:themeShade="1A"/>
          <w:kern w:val="0"/>
          <w:sz w:val="22"/>
          <w:szCs w:val="22"/>
          <w:lang w:val="es-ES" w:eastAsia="fr-FR"/>
          <w14:ligatures w14:val="none"/>
        </w:rPr>
        <w:t xml:space="preserve"> de la Observación general</w:t>
      </w:r>
    </w:p>
    <w:p w14:paraId="7AB5AF6A" w14:textId="77777777" w:rsidR="00A23B8B" w:rsidRDefault="00A23B8B" w:rsidP="001C294C">
      <w:pPr>
        <w:jc w:val="both"/>
        <w:rPr>
          <w:rFonts w:eastAsia="Times New Roman" w:cstheme="minorHAnsi"/>
          <w:color w:val="171717" w:themeColor="background2" w:themeShade="1A"/>
          <w:kern w:val="0"/>
          <w:sz w:val="22"/>
          <w:szCs w:val="22"/>
          <w:lang w:val="es-ES" w:eastAsia="fr-FR"/>
          <w14:ligatures w14:val="none"/>
        </w:rPr>
      </w:pPr>
    </w:p>
    <w:p w14:paraId="0DDFE502" w14:textId="275C95AB" w:rsidR="006F3824" w:rsidRDefault="006F3824"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11. </w:t>
      </w:r>
      <w:r w:rsidRPr="006F3824">
        <w:rPr>
          <w:rFonts w:eastAsia="Times New Roman" w:cstheme="minorHAnsi"/>
          <w:color w:val="171717" w:themeColor="background2" w:themeShade="1A"/>
          <w:kern w:val="0"/>
          <w:sz w:val="22"/>
          <w:szCs w:val="22"/>
          <w:lang w:val="es-ES" w:eastAsia="fr-FR"/>
          <w14:ligatures w14:val="none"/>
        </w:rPr>
        <w:t xml:space="preserve">A través de </w:t>
      </w:r>
      <w:r w:rsidR="00F538E7">
        <w:rPr>
          <w:rFonts w:eastAsia="Times New Roman" w:cstheme="minorHAnsi"/>
          <w:color w:val="171717" w:themeColor="background2" w:themeShade="1A"/>
          <w:kern w:val="0"/>
          <w:sz w:val="22"/>
          <w:szCs w:val="22"/>
          <w:lang w:val="es-ES" w:eastAsia="fr-FR"/>
          <w14:ligatures w14:val="none"/>
        </w:rPr>
        <w:t>su</w:t>
      </w:r>
      <w:r w:rsidRPr="006F3824">
        <w:rPr>
          <w:rFonts w:eastAsia="Times New Roman" w:cstheme="minorHAnsi"/>
          <w:color w:val="171717" w:themeColor="background2" w:themeShade="1A"/>
          <w:kern w:val="0"/>
          <w:sz w:val="22"/>
          <w:szCs w:val="22"/>
          <w:lang w:val="es-ES" w:eastAsia="fr-FR"/>
          <w14:ligatures w14:val="none"/>
        </w:rPr>
        <w:t xml:space="preserve"> nueva Observación general, el Comité reafirmará que el derecho a la libertad de asociación es inherente a la gobernanza democrática, la participación social, inclusiva y pluralista, y el estado de derecho. La Observación proporcionará una orientación interpretativa autorizada a los </w:t>
      </w:r>
      <w:proofErr w:type="gramStart"/>
      <w:r w:rsidRPr="006F3824">
        <w:rPr>
          <w:rFonts w:eastAsia="Times New Roman" w:cstheme="minorHAnsi"/>
          <w:color w:val="171717" w:themeColor="background2" w:themeShade="1A"/>
          <w:kern w:val="0"/>
          <w:sz w:val="22"/>
          <w:szCs w:val="22"/>
          <w:lang w:val="es-ES" w:eastAsia="fr-FR"/>
          <w14:ligatures w14:val="none"/>
        </w:rPr>
        <w:t xml:space="preserve">Estados </w:t>
      </w:r>
      <w:r>
        <w:rPr>
          <w:rFonts w:eastAsia="Times New Roman" w:cstheme="minorHAnsi"/>
          <w:color w:val="171717" w:themeColor="background2" w:themeShade="1A"/>
          <w:kern w:val="0"/>
          <w:sz w:val="22"/>
          <w:szCs w:val="22"/>
          <w:lang w:val="es-ES" w:eastAsia="fr-FR"/>
          <w14:ligatures w14:val="none"/>
        </w:rPr>
        <w:t>P</w:t>
      </w:r>
      <w:r w:rsidRPr="006F3824">
        <w:rPr>
          <w:rFonts w:eastAsia="Times New Roman" w:cstheme="minorHAnsi"/>
          <w:color w:val="171717" w:themeColor="background2" w:themeShade="1A"/>
          <w:kern w:val="0"/>
          <w:sz w:val="22"/>
          <w:szCs w:val="22"/>
          <w:lang w:val="es-ES" w:eastAsia="fr-FR"/>
          <w14:ligatures w14:val="none"/>
        </w:rPr>
        <w:t>artes</w:t>
      </w:r>
      <w:proofErr w:type="gramEnd"/>
      <w:r w:rsidRPr="006F3824">
        <w:rPr>
          <w:rFonts w:eastAsia="Times New Roman" w:cstheme="minorHAnsi"/>
          <w:color w:val="171717" w:themeColor="background2" w:themeShade="1A"/>
          <w:kern w:val="0"/>
          <w:sz w:val="22"/>
          <w:szCs w:val="22"/>
          <w:lang w:val="es-ES" w:eastAsia="fr-FR"/>
          <w14:ligatures w14:val="none"/>
        </w:rPr>
        <w:t xml:space="preserve"> para garantizar que tanto las personas como las asociaciones puedan ejercer sus derechos libremente y sin interferencias indebidas, en todos los contextos, incluido el ámbito digital y en situaciones de emergencia. El Comité proporcionará a los Estados Partes una interpretación coherente, rigurosa y evolutiva del artículo 22, basándose en su propia jurisprudencia (dictámenes, observaciones finales, observaciones generales anteriores), </w:t>
      </w:r>
      <w:r w:rsidR="008A352C">
        <w:rPr>
          <w:rFonts w:eastAsia="Times New Roman" w:cstheme="minorHAnsi"/>
          <w:color w:val="171717" w:themeColor="background2" w:themeShade="1A"/>
          <w:kern w:val="0"/>
          <w:sz w:val="22"/>
          <w:szCs w:val="22"/>
          <w:lang w:val="es-ES" w:eastAsia="fr-FR"/>
          <w14:ligatures w14:val="none"/>
        </w:rPr>
        <w:t xml:space="preserve">leída a la luz de </w:t>
      </w:r>
      <w:r w:rsidRPr="006F3824">
        <w:rPr>
          <w:rFonts w:eastAsia="Times New Roman" w:cstheme="minorHAnsi"/>
          <w:color w:val="171717" w:themeColor="background2" w:themeShade="1A"/>
          <w:kern w:val="0"/>
          <w:sz w:val="22"/>
          <w:szCs w:val="22"/>
          <w:lang w:val="es-ES" w:eastAsia="fr-FR"/>
          <w14:ligatures w14:val="none"/>
        </w:rPr>
        <w:t xml:space="preserve">la práctica de otros órganos de tratados de las Naciones Unidas y los </w:t>
      </w:r>
      <w:r>
        <w:rPr>
          <w:rFonts w:eastAsia="Times New Roman" w:cstheme="minorHAnsi"/>
          <w:color w:val="171717" w:themeColor="background2" w:themeShade="1A"/>
          <w:kern w:val="0"/>
          <w:sz w:val="22"/>
          <w:szCs w:val="22"/>
          <w:lang w:val="es-ES" w:eastAsia="fr-FR"/>
          <w14:ligatures w14:val="none"/>
        </w:rPr>
        <w:t>P</w:t>
      </w:r>
      <w:r w:rsidRPr="006F3824">
        <w:rPr>
          <w:rFonts w:eastAsia="Times New Roman" w:cstheme="minorHAnsi"/>
          <w:color w:val="171717" w:themeColor="background2" w:themeShade="1A"/>
          <w:kern w:val="0"/>
          <w:sz w:val="22"/>
          <w:szCs w:val="22"/>
          <w:lang w:val="es-ES" w:eastAsia="fr-FR"/>
          <w14:ligatures w14:val="none"/>
        </w:rPr>
        <w:t>rocedimientos especiales pertinentes de las Naciones Unidas, incluido el Relator Especial de las Naciones Unidas sobre los derechos a la libertad de reunión pacífica y a la libertad de asociación. También se tendrán en cuenta las normas regionales y subregionales pertinentes, incluidos los órganos de expertos de la OIT, como el Comité de Libertad Sindical, y la Corte Internacional de Justicia.</w:t>
      </w:r>
    </w:p>
    <w:p w14:paraId="6802B110" w14:textId="77777777" w:rsidR="006F3824" w:rsidRPr="00873B06" w:rsidRDefault="006F3824" w:rsidP="001C294C">
      <w:pPr>
        <w:jc w:val="both"/>
        <w:rPr>
          <w:rFonts w:eastAsia="Times New Roman" w:cstheme="minorHAnsi"/>
          <w:color w:val="171717" w:themeColor="background2" w:themeShade="1A"/>
          <w:kern w:val="0"/>
          <w:sz w:val="22"/>
          <w:szCs w:val="22"/>
          <w:lang w:val="es-ES" w:eastAsia="fr-FR"/>
          <w14:ligatures w14:val="none"/>
        </w:rPr>
      </w:pPr>
    </w:p>
    <w:p w14:paraId="37B43F73" w14:textId="6F17DA01" w:rsidR="00FC591D" w:rsidRDefault="006F3824" w:rsidP="001C294C">
      <w:pPr>
        <w:jc w:val="both"/>
        <w:rPr>
          <w:rFonts w:eastAsia="Times New Roman" w:cstheme="minorHAnsi"/>
          <w:color w:val="171717" w:themeColor="background2" w:themeShade="1A"/>
          <w:kern w:val="0"/>
          <w:sz w:val="22"/>
          <w:szCs w:val="22"/>
          <w:lang w:val="es-ES" w:eastAsia="fr-FR"/>
          <w14:ligatures w14:val="none"/>
        </w:rPr>
      </w:pPr>
      <w:r w:rsidRPr="006F3824">
        <w:rPr>
          <w:rFonts w:eastAsia="Times New Roman" w:cstheme="minorHAnsi"/>
          <w:color w:val="171717" w:themeColor="background2" w:themeShade="1A"/>
          <w:kern w:val="0"/>
          <w:sz w:val="22"/>
          <w:szCs w:val="22"/>
          <w:lang w:val="es-ES" w:eastAsia="fr-FR"/>
          <w14:ligatures w14:val="none"/>
        </w:rPr>
        <w:t xml:space="preserve">12. La nueva Observación general aclarará el alcance de la libertad de asociación tal y como se establece en el artículo 22(1) del PIDCP: personal (titulares), material (formas de asociación protegidas), temporal (aplicabilidad del derecho en todo </w:t>
      </w:r>
      <w:r>
        <w:rPr>
          <w:rFonts w:eastAsia="Times New Roman" w:cstheme="minorHAnsi"/>
          <w:color w:val="171717" w:themeColor="background2" w:themeShade="1A"/>
          <w:kern w:val="0"/>
          <w:sz w:val="22"/>
          <w:szCs w:val="22"/>
          <w:lang w:val="es-ES" w:eastAsia="fr-FR"/>
          <w14:ligatures w14:val="none"/>
        </w:rPr>
        <w:t>periodo</w:t>
      </w:r>
      <w:r w:rsidRPr="006F3824">
        <w:rPr>
          <w:rFonts w:eastAsia="Times New Roman" w:cstheme="minorHAnsi"/>
          <w:color w:val="171717" w:themeColor="background2" w:themeShade="1A"/>
          <w:kern w:val="0"/>
          <w:sz w:val="22"/>
          <w:szCs w:val="22"/>
          <w:lang w:val="es-ES" w:eastAsia="fr-FR"/>
          <w14:ligatures w14:val="none"/>
        </w:rPr>
        <w:t>, incluso en situaciones de emergencia, como conflictos armados, ocupación</w:t>
      </w:r>
      <w:r>
        <w:rPr>
          <w:rFonts w:eastAsia="Times New Roman" w:cstheme="minorHAnsi"/>
          <w:color w:val="171717" w:themeColor="background2" w:themeShade="1A"/>
          <w:kern w:val="0"/>
          <w:sz w:val="22"/>
          <w:szCs w:val="22"/>
          <w:lang w:val="es-ES" w:eastAsia="fr-FR"/>
          <w14:ligatures w14:val="none"/>
        </w:rPr>
        <w:t xml:space="preserve"> militar</w:t>
      </w:r>
      <w:r w:rsidRPr="006F3824">
        <w:rPr>
          <w:rFonts w:eastAsia="Times New Roman" w:cstheme="minorHAnsi"/>
          <w:color w:val="171717" w:themeColor="background2" w:themeShade="1A"/>
          <w:kern w:val="0"/>
          <w:sz w:val="22"/>
          <w:szCs w:val="22"/>
          <w:lang w:val="es-ES" w:eastAsia="fr-FR"/>
          <w14:ligatures w14:val="none"/>
        </w:rPr>
        <w:t>, situaciones posteriores a conflictos, desastres naturales, pandemias), territorial (relacionado con la noción de jurisdicción de los Estados) y contextual (asociaciones formales/informales; asociaciones fuera de línea y en línea). Examinará tanto las dimensiones positivas como las negativas del derecho, en particular la protección del derecho a no ser obligado a afiliarse o adherirse a un sindicato. La Observación general también analizará los derechos reconocidos a las propias asociaciones, incluidos los partidos políticos, y no solo a sus miembros como individuos. Aclarará además el régimen jurídico aplicable a las restricciones a la libertad autorizadas por el artículo 22, párrafo 2, del PIDCP y a los derechos sindicales protegidos por otros instrumentos internacionales, tal como se establece en el artículo 22, párrafo 3, del PIDCP.</w:t>
      </w:r>
    </w:p>
    <w:p w14:paraId="5E508363" w14:textId="77777777" w:rsidR="006F3824" w:rsidRPr="00873B06" w:rsidRDefault="006F3824" w:rsidP="001C294C">
      <w:pPr>
        <w:jc w:val="both"/>
        <w:rPr>
          <w:rFonts w:eastAsia="Times New Roman" w:cstheme="minorHAnsi"/>
          <w:color w:val="171717" w:themeColor="background2" w:themeShade="1A"/>
          <w:kern w:val="0"/>
          <w:sz w:val="22"/>
          <w:szCs w:val="22"/>
          <w:lang w:val="es-ES" w:eastAsia="fr-FR"/>
          <w14:ligatures w14:val="none"/>
        </w:rPr>
      </w:pPr>
    </w:p>
    <w:p w14:paraId="0DED8F65" w14:textId="2AEB0F6C" w:rsidR="00E1717B" w:rsidRDefault="002D7F25" w:rsidP="001C294C">
      <w:pPr>
        <w:jc w:val="both"/>
        <w:rPr>
          <w:rFonts w:eastAsia="Times New Roman" w:cstheme="minorHAnsi"/>
          <w:color w:val="171717" w:themeColor="background2" w:themeShade="1A"/>
          <w:kern w:val="0"/>
          <w:sz w:val="22"/>
          <w:szCs w:val="22"/>
          <w:lang w:val="es-ES" w:eastAsia="fr-FR"/>
          <w14:ligatures w14:val="none"/>
        </w:rPr>
      </w:pPr>
      <w:r w:rsidRPr="002D7F25">
        <w:rPr>
          <w:rFonts w:eastAsia="Times New Roman" w:cstheme="minorHAnsi"/>
          <w:color w:val="171717" w:themeColor="background2" w:themeShade="1A"/>
          <w:kern w:val="0"/>
          <w:sz w:val="22"/>
          <w:szCs w:val="22"/>
          <w:lang w:val="es-ES" w:eastAsia="fr-FR"/>
          <w14:ligatures w14:val="none"/>
        </w:rPr>
        <w:t xml:space="preserve">13. La nueva Observación general detallará las obligaciones negativas de los Estados y sus obligaciones positivas </w:t>
      </w:r>
      <w:r>
        <w:rPr>
          <w:rFonts w:eastAsia="Times New Roman" w:cstheme="minorHAnsi"/>
          <w:color w:val="171717" w:themeColor="background2" w:themeShade="1A"/>
          <w:kern w:val="0"/>
          <w:sz w:val="22"/>
          <w:szCs w:val="22"/>
          <w:lang w:val="es-ES" w:eastAsia="fr-FR"/>
          <w14:ligatures w14:val="none"/>
        </w:rPr>
        <w:t>procesuales</w:t>
      </w:r>
      <w:r w:rsidRPr="002D7F25">
        <w:rPr>
          <w:rFonts w:eastAsia="Times New Roman" w:cstheme="minorHAnsi"/>
          <w:color w:val="171717" w:themeColor="background2" w:themeShade="1A"/>
          <w:kern w:val="0"/>
          <w:sz w:val="22"/>
          <w:szCs w:val="22"/>
          <w:lang w:val="es-ES" w:eastAsia="fr-FR"/>
          <w14:ligatures w14:val="none"/>
        </w:rPr>
        <w:t xml:space="preserve"> y sustantivas de respetar, proteger, facilitar, permitir y garantizar la libertad de asociación, incluso frente a otras personas y </w:t>
      </w:r>
      <w:r>
        <w:rPr>
          <w:rFonts w:eastAsia="Times New Roman" w:cstheme="minorHAnsi"/>
          <w:color w:val="171717" w:themeColor="background2" w:themeShade="1A"/>
          <w:kern w:val="0"/>
          <w:sz w:val="22"/>
          <w:szCs w:val="22"/>
          <w:lang w:val="es-ES" w:eastAsia="fr-FR"/>
          <w14:ligatures w14:val="none"/>
        </w:rPr>
        <w:t>actores</w:t>
      </w:r>
      <w:r w:rsidRPr="002D7F25">
        <w:rPr>
          <w:rFonts w:eastAsia="Times New Roman" w:cstheme="minorHAnsi"/>
          <w:color w:val="171717" w:themeColor="background2" w:themeShade="1A"/>
          <w:kern w:val="0"/>
          <w:sz w:val="22"/>
          <w:szCs w:val="22"/>
          <w:lang w:val="es-ES" w:eastAsia="fr-FR"/>
          <w14:ligatures w14:val="none"/>
        </w:rPr>
        <w:t xml:space="preserve"> privados, y en relación con la obligación transversal de no discriminación. La Observación general reflejará la discriminación múltiple y multidimensional que puede afectar a quienes disfrutan de la libertad de asociación o a las propias asociaciones, y aclarará el alcance de la no discriminación y la igualdad ante la ley en el sentido del artículo 26 del PIDCP desde una perspectiva </w:t>
      </w:r>
      <w:r>
        <w:rPr>
          <w:rFonts w:eastAsia="Times New Roman" w:cstheme="minorHAnsi"/>
          <w:color w:val="171717" w:themeColor="background2" w:themeShade="1A"/>
          <w:kern w:val="0"/>
          <w:sz w:val="22"/>
          <w:szCs w:val="22"/>
          <w:lang w:val="es-ES" w:eastAsia="fr-FR"/>
          <w14:ligatures w14:val="none"/>
        </w:rPr>
        <w:t>interseccional</w:t>
      </w:r>
      <w:r w:rsidRPr="002D7F25">
        <w:rPr>
          <w:rFonts w:eastAsia="Times New Roman" w:cstheme="minorHAnsi"/>
          <w:color w:val="171717" w:themeColor="background2" w:themeShade="1A"/>
          <w:kern w:val="0"/>
          <w:sz w:val="22"/>
          <w:szCs w:val="22"/>
          <w:lang w:val="es-ES" w:eastAsia="fr-FR"/>
          <w14:ligatures w14:val="none"/>
        </w:rPr>
        <w:t>.</w:t>
      </w:r>
    </w:p>
    <w:p w14:paraId="04222FCD" w14:textId="77777777" w:rsidR="002D7F25" w:rsidRPr="00873B06" w:rsidRDefault="002D7F25" w:rsidP="001C294C">
      <w:pPr>
        <w:jc w:val="both"/>
        <w:rPr>
          <w:rFonts w:eastAsia="Times New Roman" w:cstheme="minorHAnsi"/>
          <w:color w:val="171717" w:themeColor="background2" w:themeShade="1A"/>
          <w:kern w:val="0"/>
          <w:sz w:val="22"/>
          <w:szCs w:val="22"/>
          <w:lang w:val="es-ES" w:eastAsia="fr-FR"/>
          <w14:ligatures w14:val="none"/>
        </w:rPr>
      </w:pPr>
    </w:p>
    <w:p w14:paraId="5B1D46B4" w14:textId="3EB620EE" w:rsidR="00F045D1" w:rsidRPr="00873B06" w:rsidRDefault="00F301DB" w:rsidP="001C294C">
      <w:pPr>
        <w:jc w:val="both"/>
        <w:rPr>
          <w:rFonts w:eastAsia="Times New Roman" w:cstheme="minorHAnsi"/>
          <w:color w:val="171717" w:themeColor="background2" w:themeShade="1A"/>
          <w:kern w:val="0"/>
          <w:sz w:val="22"/>
          <w:szCs w:val="22"/>
          <w:lang w:val="es-ES" w:eastAsia="fr-FR"/>
          <w14:ligatures w14:val="none"/>
        </w:rPr>
      </w:pPr>
      <w:r w:rsidRPr="00F301DB">
        <w:rPr>
          <w:rFonts w:eastAsia="Times New Roman" w:cstheme="minorHAnsi"/>
          <w:color w:val="171717" w:themeColor="background2" w:themeShade="1A"/>
          <w:kern w:val="0"/>
          <w:sz w:val="22"/>
          <w:szCs w:val="22"/>
          <w:lang w:val="es-ES" w:eastAsia="fr-FR"/>
          <w14:ligatures w14:val="none"/>
        </w:rPr>
        <w:lastRenderedPageBreak/>
        <w:t xml:space="preserve">14. La Observación general también evaluará los </w:t>
      </w:r>
      <w:r w:rsidR="006E015A">
        <w:rPr>
          <w:rFonts w:eastAsia="Times New Roman" w:cstheme="minorHAnsi"/>
          <w:color w:val="171717" w:themeColor="background2" w:themeShade="1A"/>
          <w:kern w:val="0"/>
          <w:sz w:val="22"/>
          <w:szCs w:val="22"/>
          <w:lang w:val="es-ES" w:eastAsia="fr-FR"/>
          <w14:ligatures w14:val="none"/>
        </w:rPr>
        <w:t xml:space="preserve">nuevos </w:t>
      </w:r>
      <w:r>
        <w:rPr>
          <w:rFonts w:eastAsia="Times New Roman" w:cstheme="minorHAnsi"/>
          <w:color w:val="171717" w:themeColor="background2" w:themeShade="1A"/>
          <w:kern w:val="0"/>
          <w:sz w:val="22"/>
          <w:szCs w:val="22"/>
          <w:lang w:val="es-ES" w:eastAsia="fr-FR"/>
          <w14:ligatures w14:val="none"/>
        </w:rPr>
        <w:t>desafíos</w:t>
      </w:r>
      <w:r w:rsidRPr="00F301DB">
        <w:rPr>
          <w:rFonts w:eastAsia="Times New Roman" w:cstheme="minorHAnsi"/>
          <w:color w:val="171717" w:themeColor="background2" w:themeShade="1A"/>
          <w:kern w:val="0"/>
          <w:sz w:val="22"/>
          <w:szCs w:val="22"/>
          <w:lang w:val="es-ES" w:eastAsia="fr-FR"/>
          <w14:ligatures w14:val="none"/>
        </w:rPr>
        <w:t xml:space="preserve"> a los que se enfrentan las asociaciones, como las nuevas tecnologías y los derechos digitales, el aumento de la vigilancia de sus actividades o las de sus miembros, el papel del sector empresarial y las plataformas digitales privadas, y la inteligencia artificial, que puede ser tanto un valioso apoyo para su funcionamiento como un obstáculo para su labor, y una herramienta de control y represión.</w:t>
      </w:r>
    </w:p>
    <w:p w14:paraId="1A7708BA" w14:textId="77777777" w:rsidR="00297CCD" w:rsidRPr="00873B06" w:rsidRDefault="00297CCD" w:rsidP="001C294C">
      <w:pPr>
        <w:jc w:val="both"/>
        <w:rPr>
          <w:rFonts w:eastAsia="Times New Roman" w:cstheme="minorHAnsi"/>
          <w:color w:val="171717" w:themeColor="background2" w:themeShade="1A"/>
          <w:kern w:val="0"/>
          <w:sz w:val="22"/>
          <w:szCs w:val="22"/>
          <w:lang w:val="es-ES" w:eastAsia="fr-FR"/>
          <w14:ligatures w14:val="none"/>
        </w:rPr>
      </w:pPr>
    </w:p>
    <w:p w14:paraId="1EBEEFC0" w14:textId="1DB7608D" w:rsidR="00297CCD" w:rsidRPr="00873B06" w:rsidRDefault="00297CCD" w:rsidP="001C294C">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1</w:t>
      </w:r>
      <w:r w:rsidR="00F301DB">
        <w:rPr>
          <w:rFonts w:eastAsia="Times New Roman" w:cstheme="minorHAnsi"/>
          <w:color w:val="171717" w:themeColor="background2" w:themeShade="1A"/>
          <w:kern w:val="0"/>
          <w:sz w:val="22"/>
          <w:szCs w:val="22"/>
          <w:lang w:val="es-ES" w:eastAsia="fr-FR"/>
          <w14:ligatures w14:val="none"/>
        </w:rPr>
        <w:t>5</w:t>
      </w:r>
      <w:r w:rsidRPr="00873B06">
        <w:rPr>
          <w:rFonts w:eastAsia="Times New Roman" w:cstheme="minorHAnsi"/>
          <w:color w:val="171717" w:themeColor="background2" w:themeShade="1A"/>
          <w:kern w:val="0"/>
          <w:sz w:val="22"/>
          <w:szCs w:val="22"/>
          <w:lang w:val="es-ES" w:eastAsia="fr-FR"/>
          <w14:ligatures w14:val="none"/>
        </w:rPr>
        <w:t xml:space="preserve">. Para ello, </w:t>
      </w:r>
      <w:r w:rsidR="0061422D" w:rsidRPr="00873B06">
        <w:rPr>
          <w:rFonts w:eastAsia="Times New Roman" w:cstheme="minorHAnsi"/>
          <w:color w:val="171717" w:themeColor="background2" w:themeShade="1A"/>
          <w:kern w:val="0"/>
          <w:sz w:val="22"/>
          <w:szCs w:val="22"/>
          <w:lang w:val="es-ES" w:eastAsia="fr-FR"/>
          <w14:ligatures w14:val="none"/>
        </w:rPr>
        <w:t xml:space="preserve">mediante </w:t>
      </w:r>
      <w:r w:rsidRPr="00873B06">
        <w:rPr>
          <w:rFonts w:eastAsia="Times New Roman" w:cstheme="minorHAnsi"/>
          <w:color w:val="171717" w:themeColor="background2" w:themeShade="1A"/>
          <w:kern w:val="0"/>
          <w:sz w:val="22"/>
          <w:szCs w:val="22"/>
          <w:lang w:val="es-ES" w:eastAsia="fr-FR"/>
          <w14:ligatures w14:val="none"/>
        </w:rPr>
        <w:t>la Observación general</w:t>
      </w:r>
      <w:r w:rsidR="0061422D" w:rsidRPr="00873B06">
        <w:rPr>
          <w:rFonts w:eastAsia="Times New Roman" w:cstheme="minorHAnsi"/>
          <w:color w:val="171717" w:themeColor="background2" w:themeShade="1A"/>
          <w:kern w:val="0"/>
          <w:sz w:val="22"/>
          <w:szCs w:val="22"/>
          <w:lang w:val="es-ES" w:eastAsia="fr-FR"/>
          <w14:ligatures w14:val="none"/>
        </w:rPr>
        <w:t xml:space="preserve"> se intentará</w:t>
      </w:r>
      <w:r w:rsidRPr="00873B06">
        <w:rPr>
          <w:rFonts w:eastAsia="Times New Roman" w:cstheme="minorHAnsi"/>
          <w:color w:val="171717" w:themeColor="background2" w:themeShade="1A"/>
          <w:kern w:val="0"/>
          <w:sz w:val="22"/>
          <w:szCs w:val="22"/>
          <w:lang w:val="es-ES" w:eastAsia="fr-FR"/>
          <w14:ligatures w14:val="none"/>
        </w:rPr>
        <w:t xml:space="preserve">, </w:t>
      </w:r>
      <w:r w:rsidR="00147339" w:rsidRPr="00873B06">
        <w:rPr>
          <w:rFonts w:eastAsia="Times New Roman" w:cstheme="minorHAnsi"/>
          <w:color w:val="171717" w:themeColor="background2" w:themeShade="1A"/>
          <w:kern w:val="0"/>
          <w:sz w:val="22"/>
          <w:szCs w:val="22"/>
          <w:lang w:val="es-ES" w:eastAsia="fr-FR"/>
          <w14:ligatures w14:val="none"/>
        </w:rPr>
        <w:t>en particular</w:t>
      </w:r>
      <w:r w:rsidRPr="00873B06">
        <w:rPr>
          <w:rFonts w:eastAsia="Times New Roman" w:cstheme="minorHAnsi"/>
          <w:color w:val="171717" w:themeColor="background2" w:themeShade="1A"/>
          <w:kern w:val="0"/>
          <w:sz w:val="22"/>
          <w:szCs w:val="22"/>
          <w:lang w:val="es-ES" w:eastAsia="fr-FR"/>
          <w14:ligatures w14:val="none"/>
        </w:rPr>
        <w:t>:</w:t>
      </w:r>
    </w:p>
    <w:p w14:paraId="2EDCFD2D" w14:textId="77777777" w:rsidR="000535E4" w:rsidRDefault="000535E4" w:rsidP="001C294C">
      <w:pPr>
        <w:jc w:val="both"/>
        <w:rPr>
          <w:rFonts w:eastAsia="Times New Roman" w:cstheme="minorHAnsi"/>
          <w:color w:val="171717" w:themeColor="background2" w:themeShade="1A"/>
          <w:kern w:val="0"/>
          <w:sz w:val="22"/>
          <w:szCs w:val="22"/>
          <w:lang w:val="es-ES" w:eastAsia="fr-FR"/>
          <w14:ligatures w14:val="none"/>
        </w:rPr>
      </w:pPr>
    </w:p>
    <w:p w14:paraId="3BA183F4" w14:textId="0F4528EC" w:rsidR="00F301DB" w:rsidRPr="00873B06" w:rsidRDefault="00F301DB" w:rsidP="00F301DB">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a)</w:t>
      </w:r>
      <w:r w:rsidRPr="00873B06">
        <w:rPr>
          <w:rFonts w:eastAsia="Times New Roman" w:cstheme="minorHAnsi"/>
          <w:color w:val="171717" w:themeColor="background2" w:themeShade="1A"/>
          <w:kern w:val="0"/>
          <w:sz w:val="22"/>
          <w:szCs w:val="22"/>
          <w:lang w:val="es-ES" w:eastAsia="fr-FR"/>
          <w14:ligatures w14:val="none"/>
        </w:rPr>
        <w:t xml:space="preserve"> insistir en los vínculos entre la libertad de asociación y otros derechos conexos del PIDCP, como la libertad de religión, la libertad de expresión, la libertad de reunión pacífica, los derechos electorales y de participación en la dirección de los asuntos públicos, </w:t>
      </w:r>
      <w:proofErr w:type="spellStart"/>
      <w:r w:rsidRPr="00873B06">
        <w:rPr>
          <w:rFonts w:eastAsia="Times New Roman" w:cstheme="minorHAnsi"/>
          <w:color w:val="171717" w:themeColor="background2" w:themeShade="1A"/>
          <w:kern w:val="0"/>
          <w:sz w:val="22"/>
          <w:szCs w:val="22"/>
          <w:lang w:val="es-ES" w:eastAsia="fr-FR"/>
          <w14:ligatures w14:val="none"/>
        </w:rPr>
        <w:t>asi</w:t>
      </w:r>
      <w:proofErr w:type="spellEnd"/>
      <w:r w:rsidRPr="00873B06">
        <w:rPr>
          <w:rFonts w:eastAsia="Times New Roman" w:cstheme="minorHAnsi"/>
          <w:color w:val="171717" w:themeColor="background2" w:themeShade="1A"/>
          <w:kern w:val="0"/>
          <w:sz w:val="22"/>
          <w:szCs w:val="22"/>
          <w:lang w:val="es-ES" w:eastAsia="fr-FR"/>
          <w14:ligatures w14:val="none"/>
        </w:rPr>
        <w:t xml:space="preserve"> como el derecho a la vida privada y a la protección de los datos de la asociación y de sus miembros, la libertad de circulación y de movimiento, o el derecho a un juicio justo;</w:t>
      </w:r>
    </w:p>
    <w:p w14:paraId="3881FD2E" w14:textId="77777777" w:rsidR="00F301DB" w:rsidRDefault="00F301DB" w:rsidP="001C294C">
      <w:pPr>
        <w:jc w:val="both"/>
        <w:rPr>
          <w:rFonts w:eastAsia="Times New Roman" w:cstheme="minorHAnsi"/>
          <w:color w:val="171717" w:themeColor="background2" w:themeShade="1A"/>
          <w:kern w:val="0"/>
          <w:sz w:val="22"/>
          <w:szCs w:val="22"/>
          <w:lang w:val="es-ES" w:eastAsia="fr-FR"/>
          <w14:ligatures w14:val="none"/>
        </w:rPr>
      </w:pPr>
    </w:p>
    <w:p w14:paraId="58D259DC" w14:textId="6B4B2042" w:rsidR="00F301DB" w:rsidRPr="00873B06" w:rsidRDefault="00F301DB" w:rsidP="00F301DB">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b)</w:t>
      </w:r>
      <w:r w:rsidRPr="00873B06">
        <w:rPr>
          <w:rFonts w:eastAsia="Times New Roman" w:cstheme="minorHAnsi"/>
          <w:color w:val="171717" w:themeColor="background2" w:themeShade="1A"/>
          <w:kern w:val="0"/>
          <w:sz w:val="22"/>
          <w:szCs w:val="22"/>
          <w:lang w:val="es-ES" w:eastAsia="fr-FR"/>
          <w14:ligatures w14:val="none"/>
        </w:rPr>
        <w:t xml:space="preserve"> aclarar el régimen de restricciones y excepciones aplicables a la libertad de asociación y a los derechos de asociación, tanto en tiempos de paz como en situaciones de emergencia en el sentido del artículo 4 del PIDCP;</w:t>
      </w:r>
    </w:p>
    <w:p w14:paraId="781E409B" w14:textId="77777777" w:rsidR="00F301DB" w:rsidRDefault="00F301DB" w:rsidP="001C294C">
      <w:pPr>
        <w:jc w:val="both"/>
        <w:rPr>
          <w:rFonts w:eastAsia="Times New Roman" w:cstheme="minorHAnsi"/>
          <w:color w:val="171717" w:themeColor="background2" w:themeShade="1A"/>
          <w:kern w:val="0"/>
          <w:sz w:val="22"/>
          <w:szCs w:val="22"/>
          <w:lang w:val="es-ES" w:eastAsia="fr-FR"/>
          <w14:ligatures w14:val="none"/>
        </w:rPr>
      </w:pPr>
    </w:p>
    <w:p w14:paraId="1FA0E4B1" w14:textId="3CEE0E9B" w:rsidR="00C0223C" w:rsidRPr="00873B06" w:rsidRDefault="00C0223C" w:rsidP="00C0223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c) </w:t>
      </w:r>
      <w:r w:rsidRPr="00873B06">
        <w:rPr>
          <w:rFonts w:eastAsia="Times New Roman" w:cstheme="minorHAnsi"/>
          <w:color w:val="171717" w:themeColor="background2" w:themeShade="1A"/>
          <w:kern w:val="0"/>
          <w:sz w:val="22"/>
          <w:szCs w:val="22"/>
          <w:lang w:val="es-ES" w:eastAsia="fr-FR"/>
          <w14:ligatures w14:val="none"/>
        </w:rPr>
        <w:t>determinar los límites de la libertad y los derechos sindicales en el marco del PIDCP, incluso para las categorías de personas expresamente mencionadas en el artículo 22</w:t>
      </w:r>
      <w:r w:rsidR="00351CFB">
        <w:rPr>
          <w:rFonts w:eastAsia="Times New Roman" w:cstheme="minorHAnsi"/>
          <w:color w:val="171717" w:themeColor="background2" w:themeShade="1A"/>
          <w:kern w:val="0"/>
          <w:sz w:val="22"/>
          <w:szCs w:val="22"/>
          <w:lang w:val="es-ES" w:eastAsia="fr-FR"/>
          <w14:ligatures w14:val="none"/>
        </w:rPr>
        <w:t>(</w:t>
      </w:r>
      <w:r w:rsidRPr="00873B06">
        <w:rPr>
          <w:rFonts w:eastAsia="Times New Roman" w:cstheme="minorHAnsi"/>
          <w:color w:val="171717" w:themeColor="background2" w:themeShade="1A"/>
          <w:kern w:val="0"/>
          <w:sz w:val="22"/>
          <w:szCs w:val="22"/>
          <w:lang w:val="es-ES" w:eastAsia="fr-FR"/>
          <w14:ligatures w14:val="none"/>
        </w:rPr>
        <w:t>2</w:t>
      </w:r>
      <w:r w:rsidR="00351CFB">
        <w:rPr>
          <w:rFonts w:eastAsia="Times New Roman" w:cstheme="minorHAnsi"/>
          <w:color w:val="171717" w:themeColor="background2" w:themeShade="1A"/>
          <w:kern w:val="0"/>
          <w:sz w:val="22"/>
          <w:szCs w:val="22"/>
          <w:lang w:val="es-ES" w:eastAsia="fr-FR"/>
          <w14:ligatures w14:val="none"/>
        </w:rPr>
        <w:t>)</w:t>
      </w:r>
      <w:r w:rsidRPr="00873B06">
        <w:rPr>
          <w:rFonts w:eastAsia="Times New Roman" w:cstheme="minorHAnsi"/>
          <w:color w:val="171717" w:themeColor="background2" w:themeShade="1A"/>
          <w:kern w:val="0"/>
          <w:sz w:val="22"/>
          <w:szCs w:val="22"/>
          <w:lang w:val="es-ES" w:eastAsia="fr-FR"/>
          <w14:ligatures w14:val="none"/>
        </w:rPr>
        <w:t xml:space="preserve"> (miembros de las fuerzas armadas y de las fuerzas policiales);</w:t>
      </w:r>
    </w:p>
    <w:p w14:paraId="3CDD1FB0" w14:textId="77777777" w:rsidR="009001FB" w:rsidRPr="00873B06" w:rsidRDefault="009001FB" w:rsidP="001C294C">
      <w:pPr>
        <w:jc w:val="both"/>
        <w:rPr>
          <w:rFonts w:eastAsia="Times New Roman" w:cstheme="minorHAnsi"/>
          <w:color w:val="171717" w:themeColor="background2" w:themeShade="1A"/>
          <w:kern w:val="0"/>
          <w:sz w:val="22"/>
          <w:szCs w:val="22"/>
          <w:lang w:val="es-ES" w:eastAsia="fr-FR"/>
          <w14:ligatures w14:val="none"/>
        </w:rPr>
      </w:pPr>
    </w:p>
    <w:p w14:paraId="2D2F047D" w14:textId="5AE41980" w:rsidR="00D86215" w:rsidRPr="00873B06"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d)</w:t>
      </w:r>
      <w:r w:rsidR="00297CCD" w:rsidRPr="00873B06">
        <w:rPr>
          <w:rFonts w:eastAsia="Times New Roman" w:cstheme="minorHAnsi"/>
          <w:color w:val="171717" w:themeColor="background2" w:themeShade="1A"/>
          <w:kern w:val="0"/>
          <w:sz w:val="22"/>
          <w:szCs w:val="22"/>
          <w:lang w:val="es-ES" w:eastAsia="fr-FR"/>
          <w14:ligatures w14:val="none"/>
        </w:rPr>
        <w:t xml:space="preserve"> aclarar el contenido y la tipología de las obligaciones</w:t>
      </w:r>
      <w:r>
        <w:rPr>
          <w:rFonts w:eastAsia="Times New Roman" w:cstheme="minorHAnsi"/>
          <w:color w:val="171717" w:themeColor="background2" w:themeShade="1A"/>
          <w:kern w:val="0"/>
          <w:sz w:val="22"/>
          <w:szCs w:val="22"/>
          <w:lang w:val="es-ES" w:eastAsia="fr-FR"/>
          <w14:ligatures w14:val="none"/>
        </w:rPr>
        <w:t xml:space="preserve"> negativas y positivas</w:t>
      </w:r>
      <w:r w:rsidR="00297CCD" w:rsidRPr="00873B06">
        <w:rPr>
          <w:rFonts w:eastAsia="Times New Roman" w:cstheme="minorHAnsi"/>
          <w:color w:val="171717" w:themeColor="background2" w:themeShade="1A"/>
          <w:kern w:val="0"/>
          <w:sz w:val="22"/>
          <w:szCs w:val="22"/>
          <w:lang w:val="es-ES" w:eastAsia="fr-FR"/>
          <w14:ligatures w14:val="none"/>
        </w:rPr>
        <w:t xml:space="preserve"> de los Estados, </w:t>
      </w:r>
      <w:r w:rsidR="00D86215" w:rsidRPr="00873B06">
        <w:rPr>
          <w:rFonts w:eastAsia="Times New Roman" w:cstheme="minorHAnsi"/>
          <w:color w:val="171717" w:themeColor="background2" w:themeShade="1A"/>
          <w:kern w:val="0"/>
          <w:sz w:val="22"/>
          <w:szCs w:val="22"/>
          <w:lang w:val="es-ES" w:eastAsia="fr-FR"/>
          <w14:ligatures w14:val="none"/>
        </w:rPr>
        <w:t xml:space="preserve">en particular </w:t>
      </w:r>
      <w:r w:rsidR="00AE1E9E" w:rsidRPr="00873B06">
        <w:rPr>
          <w:rFonts w:eastAsia="Times New Roman" w:cstheme="minorHAnsi"/>
          <w:color w:val="171717" w:themeColor="background2" w:themeShade="1A"/>
          <w:kern w:val="0"/>
          <w:sz w:val="22"/>
          <w:szCs w:val="22"/>
          <w:lang w:val="es-ES" w:eastAsia="fr-FR"/>
          <w14:ligatures w14:val="none"/>
        </w:rPr>
        <w:t xml:space="preserve">en lo que respecta </w:t>
      </w:r>
      <w:r w:rsidR="00D86215" w:rsidRPr="00873B06">
        <w:rPr>
          <w:rFonts w:eastAsia="Times New Roman" w:cstheme="minorHAnsi"/>
          <w:color w:val="171717" w:themeColor="background2" w:themeShade="1A"/>
          <w:kern w:val="0"/>
          <w:sz w:val="22"/>
          <w:szCs w:val="22"/>
          <w:lang w:val="es-ES" w:eastAsia="fr-FR"/>
          <w14:ligatures w14:val="none"/>
        </w:rPr>
        <w:t xml:space="preserve">a la formación, </w:t>
      </w:r>
      <w:r w:rsidR="00AE1E9E" w:rsidRPr="00873B06">
        <w:rPr>
          <w:rFonts w:eastAsia="Times New Roman" w:cstheme="minorHAnsi"/>
          <w:color w:val="171717" w:themeColor="background2" w:themeShade="1A"/>
          <w:kern w:val="0"/>
          <w:sz w:val="22"/>
          <w:szCs w:val="22"/>
          <w:lang w:val="es-ES" w:eastAsia="fr-FR"/>
          <w14:ligatures w14:val="none"/>
        </w:rPr>
        <w:t xml:space="preserve">la notificación, </w:t>
      </w:r>
      <w:r w:rsidR="00D86215" w:rsidRPr="00873B06">
        <w:rPr>
          <w:rFonts w:eastAsia="Times New Roman" w:cstheme="minorHAnsi"/>
          <w:color w:val="171717" w:themeColor="background2" w:themeShade="1A"/>
          <w:kern w:val="0"/>
          <w:sz w:val="22"/>
          <w:szCs w:val="22"/>
          <w:lang w:val="es-ES" w:eastAsia="fr-FR"/>
          <w14:ligatures w14:val="none"/>
        </w:rPr>
        <w:t xml:space="preserve">el registro, </w:t>
      </w:r>
      <w:r w:rsidR="00135D99" w:rsidRPr="00873B06">
        <w:rPr>
          <w:rFonts w:eastAsia="Times New Roman" w:cstheme="minorHAnsi"/>
          <w:color w:val="171717" w:themeColor="background2" w:themeShade="1A"/>
          <w:kern w:val="0"/>
          <w:sz w:val="22"/>
          <w:szCs w:val="22"/>
          <w:lang w:val="es-ES" w:eastAsia="fr-FR"/>
          <w14:ligatures w14:val="none"/>
        </w:rPr>
        <w:t xml:space="preserve">el reconocimiento de la personalidad jurídica, </w:t>
      </w:r>
      <w:r w:rsidR="001D6D74" w:rsidRPr="00873B06">
        <w:rPr>
          <w:rFonts w:eastAsia="Times New Roman" w:cstheme="minorHAnsi"/>
          <w:color w:val="171717" w:themeColor="background2" w:themeShade="1A"/>
          <w:kern w:val="0"/>
          <w:sz w:val="22"/>
          <w:szCs w:val="22"/>
          <w:lang w:val="es-ES" w:eastAsia="fr-FR"/>
          <w14:ligatures w14:val="none"/>
        </w:rPr>
        <w:t xml:space="preserve">las normas de financiación, </w:t>
      </w:r>
      <w:r w:rsidR="00135D99" w:rsidRPr="00873B06">
        <w:rPr>
          <w:rFonts w:eastAsia="Times New Roman" w:cstheme="minorHAnsi"/>
          <w:color w:val="171717" w:themeColor="background2" w:themeShade="1A"/>
          <w:kern w:val="0"/>
          <w:sz w:val="22"/>
          <w:szCs w:val="22"/>
          <w:lang w:val="es-ES" w:eastAsia="fr-FR"/>
          <w14:ligatures w14:val="none"/>
        </w:rPr>
        <w:t xml:space="preserve">la libre e independiente determinación de los objetivos y actividades, </w:t>
      </w:r>
      <w:r w:rsidR="00803467" w:rsidRPr="00873B06">
        <w:rPr>
          <w:rFonts w:eastAsia="Times New Roman" w:cstheme="minorHAnsi"/>
          <w:color w:val="171717" w:themeColor="background2" w:themeShade="1A"/>
          <w:kern w:val="0"/>
          <w:sz w:val="22"/>
          <w:szCs w:val="22"/>
          <w:lang w:val="es-ES" w:eastAsia="fr-FR"/>
          <w14:ligatures w14:val="none"/>
        </w:rPr>
        <w:t xml:space="preserve">la </w:t>
      </w:r>
      <w:r w:rsidR="007F7B49" w:rsidRPr="00873B06">
        <w:rPr>
          <w:rFonts w:eastAsia="Times New Roman" w:cstheme="minorHAnsi"/>
          <w:color w:val="171717" w:themeColor="background2" w:themeShade="1A"/>
          <w:kern w:val="0"/>
          <w:sz w:val="22"/>
          <w:szCs w:val="22"/>
          <w:lang w:val="es-ES" w:eastAsia="fr-FR"/>
          <w14:ligatures w14:val="none"/>
        </w:rPr>
        <w:t xml:space="preserve">sanción, </w:t>
      </w:r>
      <w:r w:rsidR="00AE1E9E" w:rsidRPr="00873B06">
        <w:rPr>
          <w:rFonts w:eastAsia="Times New Roman" w:cstheme="minorHAnsi"/>
          <w:color w:val="171717" w:themeColor="background2" w:themeShade="1A"/>
          <w:kern w:val="0"/>
          <w:sz w:val="22"/>
          <w:szCs w:val="22"/>
          <w:lang w:val="es-ES" w:eastAsia="fr-FR"/>
          <w14:ligatures w14:val="none"/>
        </w:rPr>
        <w:t xml:space="preserve">la prohibición, </w:t>
      </w:r>
      <w:r w:rsidR="007F7B49" w:rsidRPr="00873B06">
        <w:rPr>
          <w:rFonts w:eastAsia="Times New Roman" w:cstheme="minorHAnsi"/>
          <w:color w:val="171717" w:themeColor="background2" w:themeShade="1A"/>
          <w:kern w:val="0"/>
          <w:sz w:val="22"/>
          <w:szCs w:val="22"/>
          <w:lang w:val="es-ES" w:eastAsia="fr-FR"/>
          <w14:ligatures w14:val="none"/>
        </w:rPr>
        <w:t xml:space="preserve">la </w:t>
      </w:r>
      <w:r w:rsidR="00803467" w:rsidRPr="00873B06">
        <w:rPr>
          <w:rFonts w:eastAsia="Times New Roman" w:cstheme="minorHAnsi"/>
          <w:color w:val="171717" w:themeColor="background2" w:themeShade="1A"/>
          <w:kern w:val="0"/>
          <w:sz w:val="22"/>
          <w:szCs w:val="22"/>
          <w:lang w:val="es-ES" w:eastAsia="fr-FR"/>
          <w14:ligatures w14:val="none"/>
        </w:rPr>
        <w:t xml:space="preserve">suspensión </w:t>
      </w:r>
      <w:r w:rsidR="00D86215" w:rsidRPr="00873B06">
        <w:rPr>
          <w:rFonts w:eastAsia="Times New Roman" w:cstheme="minorHAnsi"/>
          <w:color w:val="171717" w:themeColor="background2" w:themeShade="1A"/>
          <w:kern w:val="0"/>
          <w:sz w:val="22"/>
          <w:szCs w:val="22"/>
          <w:lang w:val="es-ES" w:eastAsia="fr-FR"/>
          <w14:ligatures w14:val="none"/>
        </w:rPr>
        <w:t>o la disolución de una asociación;</w:t>
      </w:r>
    </w:p>
    <w:p w14:paraId="0E854D60" w14:textId="77777777" w:rsidR="009001FB" w:rsidRPr="00873B06" w:rsidRDefault="009001FB" w:rsidP="001C294C">
      <w:pPr>
        <w:jc w:val="both"/>
        <w:rPr>
          <w:rFonts w:eastAsia="Times New Roman" w:cstheme="minorHAnsi"/>
          <w:color w:val="171717" w:themeColor="background2" w:themeShade="1A"/>
          <w:kern w:val="0"/>
          <w:sz w:val="22"/>
          <w:szCs w:val="22"/>
          <w:lang w:val="es-ES" w:eastAsia="fr-FR"/>
          <w14:ligatures w14:val="none"/>
        </w:rPr>
      </w:pPr>
    </w:p>
    <w:p w14:paraId="2E5568E6" w14:textId="7068E2B5" w:rsidR="00D86215" w:rsidRPr="00873B06"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e)</w:t>
      </w:r>
      <w:r w:rsidR="00D86215" w:rsidRPr="00873B06">
        <w:rPr>
          <w:rFonts w:eastAsia="Times New Roman" w:cstheme="minorHAnsi"/>
          <w:color w:val="171717" w:themeColor="background2" w:themeShade="1A"/>
          <w:kern w:val="0"/>
          <w:sz w:val="22"/>
          <w:szCs w:val="22"/>
          <w:lang w:val="es-ES" w:eastAsia="fr-FR"/>
          <w14:ligatures w14:val="none"/>
        </w:rPr>
        <w:t xml:space="preserve"> detallar </w:t>
      </w:r>
      <w:r w:rsidR="00297CCD" w:rsidRPr="00873B06">
        <w:rPr>
          <w:rFonts w:eastAsia="Times New Roman" w:cstheme="minorHAnsi"/>
          <w:color w:val="171717" w:themeColor="background2" w:themeShade="1A"/>
          <w:kern w:val="0"/>
          <w:sz w:val="22"/>
          <w:szCs w:val="22"/>
          <w:lang w:val="es-ES" w:eastAsia="fr-FR"/>
          <w14:ligatures w14:val="none"/>
        </w:rPr>
        <w:t xml:space="preserve">la obligación de facilitar la aplicación de la libertad </w:t>
      </w:r>
      <w:r w:rsidR="00864BE8" w:rsidRPr="00873B06">
        <w:rPr>
          <w:rFonts w:eastAsia="Times New Roman" w:cstheme="minorHAnsi"/>
          <w:color w:val="171717" w:themeColor="background2" w:themeShade="1A"/>
          <w:kern w:val="0"/>
          <w:sz w:val="22"/>
          <w:szCs w:val="22"/>
          <w:lang w:val="es-ES" w:eastAsia="fr-FR"/>
          <w14:ligatures w14:val="none"/>
        </w:rPr>
        <w:t xml:space="preserve">de asociación </w:t>
      </w:r>
      <w:r w:rsidR="00D86215" w:rsidRPr="00873B06">
        <w:rPr>
          <w:rFonts w:eastAsia="Times New Roman" w:cstheme="minorHAnsi"/>
          <w:color w:val="171717" w:themeColor="background2" w:themeShade="1A"/>
          <w:kern w:val="0"/>
          <w:sz w:val="22"/>
          <w:szCs w:val="22"/>
          <w:lang w:val="es-ES" w:eastAsia="fr-FR"/>
          <w14:ligatures w14:val="none"/>
        </w:rPr>
        <w:t>en un entorno pluralista e inclusivo</w:t>
      </w:r>
      <w:r w:rsidR="00297CCD" w:rsidRPr="00873B06">
        <w:rPr>
          <w:rFonts w:eastAsia="Times New Roman" w:cstheme="minorHAnsi"/>
          <w:color w:val="171717" w:themeColor="background2" w:themeShade="1A"/>
          <w:kern w:val="0"/>
          <w:sz w:val="22"/>
          <w:szCs w:val="22"/>
          <w:lang w:val="es-ES" w:eastAsia="fr-FR"/>
          <w14:ligatures w14:val="none"/>
        </w:rPr>
        <w:t xml:space="preserve">, incluso frente </w:t>
      </w:r>
      <w:r w:rsidR="00D86215" w:rsidRPr="00873B06">
        <w:rPr>
          <w:rFonts w:eastAsia="Times New Roman" w:cstheme="minorHAnsi"/>
          <w:color w:val="171717" w:themeColor="background2" w:themeShade="1A"/>
          <w:kern w:val="0"/>
          <w:sz w:val="22"/>
          <w:szCs w:val="22"/>
          <w:lang w:val="es-ES" w:eastAsia="fr-FR"/>
          <w14:ligatures w14:val="none"/>
        </w:rPr>
        <w:t xml:space="preserve">a </w:t>
      </w:r>
      <w:r w:rsidR="00135D99" w:rsidRPr="00873B06">
        <w:rPr>
          <w:rFonts w:eastAsia="Times New Roman" w:cstheme="minorHAnsi"/>
          <w:color w:val="171717" w:themeColor="background2" w:themeShade="1A"/>
          <w:kern w:val="0"/>
          <w:sz w:val="22"/>
          <w:szCs w:val="22"/>
          <w:lang w:val="es-ES" w:eastAsia="fr-FR"/>
          <w14:ligatures w14:val="none"/>
        </w:rPr>
        <w:t xml:space="preserve">las amenazas, </w:t>
      </w:r>
      <w:r w:rsidR="00D86215" w:rsidRPr="00873B06">
        <w:rPr>
          <w:rFonts w:eastAsia="Times New Roman" w:cstheme="minorHAnsi"/>
          <w:color w:val="171717" w:themeColor="background2" w:themeShade="1A"/>
          <w:kern w:val="0"/>
          <w:sz w:val="22"/>
          <w:szCs w:val="22"/>
          <w:lang w:val="es-ES" w:eastAsia="fr-FR"/>
          <w14:ligatures w14:val="none"/>
        </w:rPr>
        <w:t>los ataques</w:t>
      </w:r>
      <w:r w:rsidR="00135D99" w:rsidRPr="00873B06">
        <w:rPr>
          <w:rFonts w:eastAsia="Times New Roman" w:cstheme="minorHAnsi"/>
          <w:color w:val="171717" w:themeColor="background2" w:themeShade="1A"/>
          <w:kern w:val="0"/>
          <w:sz w:val="22"/>
          <w:szCs w:val="22"/>
          <w:lang w:val="es-ES" w:eastAsia="fr-FR"/>
          <w14:ligatures w14:val="none"/>
        </w:rPr>
        <w:t xml:space="preserve">, los actos de intimidación </w:t>
      </w:r>
      <w:r w:rsidR="00D86215" w:rsidRPr="00873B06">
        <w:rPr>
          <w:rFonts w:eastAsia="Times New Roman" w:cstheme="minorHAnsi"/>
          <w:color w:val="171717" w:themeColor="background2" w:themeShade="1A"/>
          <w:kern w:val="0"/>
          <w:sz w:val="22"/>
          <w:szCs w:val="22"/>
          <w:lang w:val="es-ES" w:eastAsia="fr-FR"/>
          <w14:ligatures w14:val="none"/>
        </w:rPr>
        <w:t>y los discursos negativos procedentes de particulares</w:t>
      </w:r>
      <w:r w:rsidR="00297CCD" w:rsidRPr="00873B06">
        <w:rPr>
          <w:rFonts w:eastAsia="Times New Roman" w:cstheme="minorHAnsi"/>
          <w:color w:val="171717" w:themeColor="background2" w:themeShade="1A"/>
          <w:kern w:val="0"/>
          <w:sz w:val="22"/>
          <w:szCs w:val="22"/>
          <w:lang w:val="es-ES" w:eastAsia="fr-FR"/>
          <w14:ligatures w14:val="none"/>
        </w:rPr>
        <w:t>;</w:t>
      </w:r>
    </w:p>
    <w:p w14:paraId="59A6C912" w14:textId="77777777" w:rsidR="00135D99" w:rsidRPr="00873B06" w:rsidRDefault="00135D99" w:rsidP="001C294C">
      <w:pPr>
        <w:jc w:val="both"/>
        <w:rPr>
          <w:rFonts w:eastAsia="Times New Roman" w:cstheme="minorHAnsi"/>
          <w:color w:val="171717" w:themeColor="background2" w:themeShade="1A"/>
          <w:kern w:val="0"/>
          <w:sz w:val="22"/>
          <w:szCs w:val="22"/>
          <w:lang w:val="es-ES" w:eastAsia="fr-FR"/>
          <w14:ligatures w14:val="none"/>
        </w:rPr>
      </w:pPr>
    </w:p>
    <w:p w14:paraId="3F4EC077" w14:textId="20E38E90" w:rsidR="00135D99"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f)</w:t>
      </w:r>
      <w:r w:rsidR="00135D99" w:rsidRPr="00873B06">
        <w:rPr>
          <w:rFonts w:eastAsia="Times New Roman" w:cstheme="minorHAnsi"/>
          <w:color w:val="171717" w:themeColor="background2" w:themeShade="1A"/>
          <w:kern w:val="0"/>
          <w:sz w:val="22"/>
          <w:szCs w:val="22"/>
          <w:lang w:val="es-ES" w:eastAsia="fr-FR"/>
          <w14:ligatures w14:val="none"/>
        </w:rPr>
        <w:t xml:space="preserve"> explicitar los límites del poder de control de las </w:t>
      </w:r>
      <w:proofErr w:type="gramStart"/>
      <w:r w:rsidR="00135D99" w:rsidRPr="00873B06">
        <w:rPr>
          <w:rFonts w:eastAsia="Times New Roman" w:cstheme="minorHAnsi"/>
          <w:color w:val="171717" w:themeColor="background2" w:themeShade="1A"/>
          <w:kern w:val="0"/>
          <w:sz w:val="22"/>
          <w:szCs w:val="22"/>
          <w:lang w:val="es-ES" w:eastAsia="fr-FR"/>
          <w14:ligatures w14:val="none"/>
        </w:rPr>
        <w:t>autoridades públicas</w:t>
      </w:r>
      <w:proofErr w:type="gramEnd"/>
      <w:r w:rsidR="00135D99" w:rsidRPr="00873B06">
        <w:rPr>
          <w:rFonts w:eastAsia="Times New Roman" w:cstheme="minorHAnsi"/>
          <w:color w:val="171717" w:themeColor="background2" w:themeShade="1A"/>
          <w:kern w:val="0"/>
          <w:sz w:val="22"/>
          <w:szCs w:val="22"/>
          <w:lang w:val="es-ES" w:eastAsia="fr-FR"/>
          <w14:ligatures w14:val="none"/>
        </w:rPr>
        <w:t xml:space="preserve"> sobre la gobernanza interna y el funcionamiento de las asociaciones</w:t>
      </w:r>
      <w:r w:rsidR="0061422D" w:rsidRPr="00873B06">
        <w:rPr>
          <w:rFonts w:eastAsia="Times New Roman" w:cstheme="minorHAnsi"/>
          <w:color w:val="171717" w:themeColor="background2" w:themeShade="1A"/>
          <w:kern w:val="0"/>
          <w:sz w:val="22"/>
          <w:szCs w:val="22"/>
          <w:lang w:val="es-ES" w:eastAsia="fr-FR"/>
          <w14:ligatures w14:val="none"/>
        </w:rPr>
        <w:t>, incluidos</w:t>
      </w:r>
      <w:r w:rsidR="00135D99" w:rsidRPr="00873B06">
        <w:rPr>
          <w:rFonts w:eastAsia="Times New Roman" w:cstheme="minorHAnsi"/>
          <w:color w:val="171717" w:themeColor="background2" w:themeShade="1A"/>
          <w:kern w:val="0"/>
          <w:sz w:val="22"/>
          <w:szCs w:val="22"/>
          <w:lang w:val="es-ES" w:eastAsia="fr-FR"/>
          <w14:ligatures w14:val="none"/>
        </w:rPr>
        <w:t xml:space="preserve"> </w:t>
      </w:r>
      <w:r>
        <w:rPr>
          <w:rFonts w:eastAsia="Times New Roman" w:cstheme="minorHAnsi"/>
          <w:color w:val="171717" w:themeColor="background2" w:themeShade="1A"/>
          <w:kern w:val="0"/>
          <w:sz w:val="22"/>
          <w:szCs w:val="22"/>
          <w:lang w:val="es-ES" w:eastAsia="fr-FR"/>
          <w14:ligatures w14:val="none"/>
        </w:rPr>
        <w:t xml:space="preserve">los partidos políticos y </w:t>
      </w:r>
      <w:r w:rsidR="0061422D" w:rsidRPr="00873B06">
        <w:rPr>
          <w:rFonts w:eastAsia="Times New Roman" w:cstheme="minorHAnsi"/>
          <w:color w:val="171717" w:themeColor="background2" w:themeShade="1A"/>
          <w:kern w:val="0"/>
          <w:sz w:val="22"/>
          <w:szCs w:val="22"/>
          <w:lang w:val="es-ES" w:eastAsia="fr-FR"/>
          <w14:ligatures w14:val="none"/>
        </w:rPr>
        <w:t>los</w:t>
      </w:r>
      <w:r w:rsidR="00135D99" w:rsidRPr="00873B06">
        <w:rPr>
          <w:rFonts w:eastAsia="Times New Roman" w:cstheme="minorHAnsi"/>
          <w:color w:val="171717" w:themeColor="background2" w:themeShade="1A"/>
          <w:kern w:val="0"/>
          <w:sz w:val="22"/>
          <w:szCs w:val="22"/>
          <w:lang w:val="es-ES" w:eastAsia="fr-FR"/>
          <w14:ligatures w14:val="none"/>
        </w:rPr>
        <w:t xml:space="preserve"> sindicatos;</w:t>
      </w:r>
    </w:p>
    <w:p w14:paraId="093DFC5B" w14:textId="77777777"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p>
    <w:p w14:paraId="6694C346" w14:textId="0C77E485"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g) </w:t>
      </w:r>
      <w:r w:rsidRPr="00C0223C">
        <w:rPr>
          <w:rFonts w:eastAsia="Times New Roman" w:cstheme="minorHAnsi"/>
          <w:color w:val="171717" w:themeColor="background2" w:themeShade="1A"/>
          <w:kern w:val="0"/>
          <w:sz w:val="22"/>
          <w:szCs w:val="22"/>
          <w:lang w:val="es-ES" w:eastAsia="fr-FR"/>
          <w14:ligatures w14:val="none"/>
        </w:rPr>
        <w:t>detallar la obligación de los Estados de proteger y promover el espacio cívico digital, entre otras cosas, previniendo la vigilancia, la censura y los cierres ilegales</w:t>
      </w:r>
      <w:r w:rsidR="00351CFB">
        <w:rPr>
          <w:rFonts w:eastAsia="Times New Roman" w:cstheme="minorHAnsi"/>
          <w:color w:val="171717" w:themeColor="background2" w:themeShade="1A"/>
          <w:kern w:val="0"/>
          <w:sz w:val="22"/>
          <w:szCs w:val="22"/>
          <w:lang w:val="es-ES" w:eastAsia="fr-FR"/>
          <w14:ligatures w14:val="none"/>
        </w:rPr>
        <w:t xml:space="preserve"> de este espacio</w:t>
      </w:r>
      <w:r w:rsidRPr="00C0223C">
        <w:rPr>
          <w:rFonts w:eastAsia="Times New Roman" w:cstheme="minorHAnsi"/>
          <w:color w:val="171717" w:themeColor="background2" w:themeShade="1A"/>
          <w:kern w:val="0"/>
          <w:sz w:val="22"/>
          <w:szCs w:val="22"/>
          <w:lang w:val="es-ES" w:eastAsia="fr-FR"/>
          <w14:ligatures w14:val="none"/>
        </w:rPr>
        <w:t>, y garantizando la seguridad de las comunicaciones y actividades en línea de las asociaciones y sus miembros;</w:t>
      </w:r>
    </w:p>
    <w:p w14:paraId="2E681F7F" w14:textId="77777777"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p>
    <w:p w14:paraId="1F0D10CC" w14:textId="37903F72" w:rsidR="00C0223C" w:rsidRPr="00873B06"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h) a</w:t>
      </w:r>
      <w:r w:rsidRPr="00C0223C">
        <w:rPr>
          <w:rFonts w:eastAsia="Times New Roman" w:cstheme="minorHAnsi"/>
          <w:color w:val="171717" w:themeColor="background2" w:themeShade="1A"/>
          <w:kern w:val="0"/>
          <w:sz w:val="22"/>
          <w:szCs w:val="22"/>
          <w:lang w:val="es-ES" w:eastAsia="fr-FR"/>
          <w14:ligatures w14:val="none"/>
        </w:rPr>
        <w:t xml:space="preserve"> la luz del artículo 2, párrafo 3, del Pacto, alentar a los </w:t>
      </w:r>
      <w:proofErr w:type="gramStart"/>
      <w:r w:rsidRPr="00C0223C">
        <w:rPr>
          <w:rFonts w:eastAsia="Times New Roman" w:cstheme="minorHAnsi"/>
          <w:color w:val="171717" w:themeColor="background2" w:themeShade="1A"/>
          <w:kern w:val="0"/>
          <w:sz w:val="22"/>
          <w:szCs w:val="22"/>
          <w:lang w:val="es-ES" w:eastAsia="fr-FR"/>
          <w14:ligatures w14:val="none"/>
        </w:rPr>
        <w:t>Estados partes</w:t>
      </w:r>
      <w:proofErr w:type="gramEnd"/>
      <w:r w:rsidRPr="00C0223C">
        <w:rPr>
          <w:rFonts w:eastAsia="Times New Roman" w:cstheme="minorHAnsi"/>
          <w:color w:val="171717" w:themeColor="background2" w:themeShade="1A"/>
          <w:kern w:val="0"/>
          <w:sz w:val="22"/>
          <w:szCs w:val="22"/>
          <w:lang w:val="es-ES" w:eastAsia="fr-FR"/>
          <w14:ligatures w14:val="none"/>
        </w:rPr>
        <w:t xml:space="preserve"> a que establezcan mecanismos accesibles de denuncia y reparación para las asociaciones, incluidos los sindicatos y los partidos políticos y sus miembros, que se enfrenten a restricciones indebidas o a injerencias arbitrarias</w:t>
      </w:r>
      <w:r>
        <w:rPr>
          <w:rFonts w:eastAsia="Times New Roman" w:cstheme="minorHAnsi"/>
          <w:color w:val="171717" w:themeColor="background2" w:themeShade="1A"/>
          <w:kern w:val="0"/>
          <w:sz w:val="22"/>
          <w:szCs w:val="22"/>
          <w:lang w:val="es-ES" w:eastAsia="fr-FR"/>
          <w14:ligatures w14:val="none"/>
        </w:rPr>
        <w:t>;</w:t>
      </w:r>
    </w:p>
    <w:p w14:paraId="2B5D7352" w14:textId="77777777" w:rsidR="009001FB" w:rsidRDefault="009001FB" w:rsidP="001C294C">
      <w:pPr>
        <w:jc w:val="both"/>
        <w:rPr>
          <w:rFonts w:eastAsia="Times New Roman" w:cstheme="minorHAnsi"/>
          <w:color w:val="171717" w:themeColor="background2" w:themeShade="1A"/>
          <w:kern w:val="0"/>
          <w:sz w:val="22"/>
          <w:szCs w:val="22"/>
          <w:lang w:val="es-ES" w:eastAsia="fr-FR"/>
          <w14:ligatures w14:val="none"/>
        </w:rPr>
      </w:pPr>
    </w:p>
    <w:p w14:paraId="53E278A8" w14:textId="27259D29" w:rsidR="00C0223C" w:rsidRPr="00C0223C" w:rsidRDefault="00C0223C" w:rsidP="00C0223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i) </w:t>
      </w:r>
      <w:r w:rsidRPr="00C0223C">
        <w:rPr>
          <w:rFonts w:eastAsia="Times New Roman" w:cstheme="minorHAnsi"/>
          <w:color w:val="171717" w:themeColor="background2" w:themeShade="1A"/>
          <w:kern w:val="0"/>
          <w:sz w:val="22"/>
          <w:szCs w:val="22"/>
          <w:lang w:val="es-ES" w:eastAsia="fr-FR"/>
          <w14:ligatures w14:val="none"/>
        </w:rPr>
        <w:t xml:space="preserve">destacar la importancia de centrarse en las mujeres, los pueblos indígenas, las minorías, los refugiados, los migrantes, las personas con discapacidad, los jóvenes y </w:t>
      </w:r>
      <w:r>
        <w:rPr>
          <w:rFonts w:eastAsia="Times New Roman" w:cstheme="minorHAnsi"/>
          <w:color w:val="171717" w:themeColor="background2" w:themeShade="1A"/>
          <w:kern w:val="0"/>
          <w:sz w:val="22"/>
          <w:szCs w:val="22"/>
          <w:lang w:val="es-ES" w:eastAsia="fr-FR"/>
          <w14:ligatures w14:val="none"/>
        </w:rPr>
        <w:t>las persones mayores</w:t>
      </w:r>
      <w:r w:rsidRPr="00C0223C">
        <w:rPr>
          <w:rFonts w:eastAsia="Times New Roman" w:cstheme="minorHAnsi"/>
          <w:color w:val="171717" w:themeColor="background2" w:themeShade="1A"/>
          <w:kern w:val="0"/>
          <w:sz w:val="22"/>
          <w:szCs w:val="22"/>
          <w:lang w:val="es-ES" w:eastAsia="fr-FR"/>
          <w14:ligatures w14:val="none"/>
        </w:rPr>
        <w:t>, las personas desplazadas y cualquier otro grupo marginado, garantizando su capacidad efectiva e igualitaria para formar y afiliarse a asociaciones, entre otras cosas abordando la discriminación histórica y/o estructural, desmantelando los estereotipos y garantizando adaptaciones razonables;</w:t>
      </w:r>
    </w:p>
    <w:p w14:paraId="6C57202F" w14:textId="77777777" w:rsidR="009001FB" w:rsidRPr="00873B06" w:rsidRDefault="009001FB" w:rsidP="001C294C">
      <w:pPr>
        <w:jc w:val="both"/>
        <w:rPr>
          <w:rFonts w:eastAsia="Times New Roman" w:cstheme="minorHAnsi"/>
          <w:color w:val="171717" w:themeColor="background2" w:themeShade="1A"/>
          <w:kern w:val="0"/>
          <w:sz w:val="22"/>
          <w:szCs w:val="22"/>
          <w:lang w:val="es-ES" w:eastAsia="fr-FR"/>
          <w14:ligatures w14:val="none"/>
        </w:rPr>
      </w:pPr>
    </w:p>
    <w:p w14:paraId="32844B96" w14:textId="07491229" w:rsidR="00E8715E"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j)</w:t>
      </w:r>
      <w:r w:rsidR="00E8715E" w:rsidRPr="00873B06">
        <w:rPr>
          <w:rFonts w:eastAsia="Times New Roman" w:cstheme="minorHAnsi"/>
          <w:color w:val="171717" w:themeColor="background2" w:themeShade="1A"/>
          <w:kern w:val="0"/>
          <w:sz w:val="22"/>
          <w:szCs w:val="22"/>
          <w:lang w:val="es-ES" w:eastAsia="fr-FR"/>
          <w14:ligatures w14:val="none"/>
        </w:rPr>
        <w:t xml:space="preserve"> precisar la articulación entre la libertad de asociación y los derechos de asociación protegidos por otros convenios internacionales, incluidos los adoptados en el marco de la Organización Internacional del Trabajo</w:t>
      </w:r>
      <w:r>
        <w:rPr>
          <w:rFonts w:eastAsia="Times New Roman" w:cstheme="minorHAnsi"/>
          <w:color w:val="171717" w:themeColor="background2" w:themeShade="1A"/>
          <w:kern w:val="0"/>
          <w:sz w:val="22"/>
          <w:szCs w:val="22"/>
          <w:lang w:val="es-ES" w:eastAsia="fr-FR"/>
          <w14:ligatures w14:val="none"/>
        </w:rPr>
        <w:t>;</w:t>
      </w:r>
    </w:p>
    <w:p w14:paraId="5314A60F" w14:textId="77777777"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p>
    <w:p w14:paraId="7FEC009D" w14:textId="0C61D889"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lastRenderedPageBreak/>
        <w:t xml:space="preserve">k) </w:t>
      </w:r>
      <w:r w:rsidRPr="00C0223C">
        <w:rPr>
          <w:rFonts w:eastAsia="Times New Roman" w:cstheme="minorHAnsi"/>
          <w:color w:val="171717" w:themeColor="background2" w:themeShade="1A"/>
          <w:kern w:val="0"/>
          <w:sz w:val="22"/>
          <w:szCs w:val="22"/>
          <w:lang w:val="es-ES" w:eastAsia="fr-FR"/>
          <w14:ligatures w14:val="none"/>
        </w:rPr>
        <w:t xml:space="preserve">destacar los vínculos entre la libertad de asociación, el Objetivo de Desarrollo Sostenible 16 (ODS 16) y los retos </w:t>
      </w:r>
      <w:r w:rsidR="00351CFB">
        <w:rPr>
          <w:rFonts w:eastAsia="Times New Roman" w:cstheme="minorHAnsi"/>
          <w:color w:val="171717" w:themeColor="background2" w:themeShade="1A"/>
          <w:kern w:val="0"/>
          <w:sz w:val="22"/>
          <w:szCs w:val="22"/>
          <w:lang w:val="es-ES" w:eastAsia="fr-FR"/>
          <w14:ligatures w14:val="none"/>
        </w:rPr>
        <w:t>globales</w:t>
      </w:r>
      <w:r w:rsidRPr="00C0223C">
        <w:rPr>
          <w:rFonts w:eastAsia="Times New Roman" w:cstheme="minorHAnsi"/>
          <w:color w:val="171717" w:themeColor="background2" w:themeShade="1A"/>
          <w:kern w:val="0"/>
          <w:sz w:val="22"/>
          <w:szCs w:val="22"/>
          <w:lang w:val="es-ES" w:eastAsia="fr-FR"/>
          <w14:ligatures w14:val="none"/>
        </w:rPr>
        <w:t xml:space="preserve"> como el cambio climático, la digitalización y la protección del medio ambiente, reconociendo que una vida asociativa dinámica contribuye a una gobernanza sostenible e inclusiva.</w:t>
      </w:r>
    </w:p>
    <w:p w14:paraId="63DBEA67" w14:textId="77777777" w:rsidR="00C0223C" w:rsidRDefault="00C0223C" w:rsidP="001C294C">
      <w:pPr>
        <w:jc w:val="both"/>
        <w:rPr>
          <w:rFonts w:eastAsia="Times New Roman" w:cstheme="minorHAnsi"/>
          <w:color w:val="171717" w:themeColor="background2" w:themeShade="1A"/>
          <w:kern w:val="0"/>
          <w:sz w:val="22"/>
          <w:szCs w:val="22"/>
          <w:lang w:val="es-ES" w:eastAsia="fr-FR"/>
          <w14:ligatures w14:val="none"/>
        </w:rPr>
      </w:pPr>
    </w:p>
    <w:p w14:paraId="00DC51F0" w14:textId="694BB324" w:rsidR="00C0223C" w:rsidRPr="00873B06" w:rsidRDefault="00C0223C" w:rsidP="001C294C">
      <w:pPr>
        <w:jc w:val="both"/>
        <w:rPr>
          <w:rFonts w:eastAsia="Times New Roman" w:cstheme="minorHAnsi"/>
          <w:color w:val="171717" w:themeColor="background2" w:themeShade="1A"/>
          <w:kern w:val="0"/>
          <w:sz w:val="22"/>
          <w:szCs w:val="22"/>
          <w:lang w:val="es-ES" w:eastAsia="fr-FR"/>
          <w14:ligatures w14:val="none"/>
        </w:rPr>
      </w:pPr>
      <w:r w:rsidRPr="00C0223C">
        <w:rPr>
          <w:rFonts w:eastAsia="Times New Roman" w:cstheme="minorHAnsi"/>
          <w:color w:val="171717" w:themeColor="background2" w:themeShade="1A"/>
          <w:kern w:val="0"/>
          <w:sz w:val="22"/>
          <w:szCs w:val="22"/>
          <w:lang w:val="es-ES" w:eastAsia="fr-FR"/>
          <w14:ligatures w14:val="none"/>
        </w:rPr>
        <w:t xml:space="preserve">16. La lista de temas no es exhaustiva. El Comité invita a las partes interesadas a </w:t>
      </w:r>
      <w:r w:rsidR="003F0943">
        <w:rPr>
          <w:rFonts w:eastAsia="Times New Roman" w:cstheme="minorHAnsi"/>
          <w:color w:val="171717" w:themeColor="background2" w:themeShade="1A"/>
          <w:kern w:val="0"/>
          <w:sz w:val="22"/>
          <w:szCs w:val="22"/>
          <w:lang w:val="es-ES" w:eastAsia="fr-FR"/>
          <w14:ligatures w14:val="none"/>
        </w:rPr>
        <w:t>contribuir</w:t>
      </w:r>
      <w:r w:rsidRPr="00C0223C">
        <w:rPr>
          <w:rFonts w:eastAsia="Times New Roman" w:cstheme="minorHAnsi"/>
          <w:color w:val="171717" w:themeColor="background2" w:themeShade="1A"/>
          <w:kern w:val="0"/>
          <w:sz w:val="22"/>
          <w:szCs w:val="22"/>
          <w:lang w:val="es-ES" w:eastAsia="fr-FR"/>
          <w14:ligatures w14:val="none"/>
        </w:rPr>
        <w:t xml:space="preserve"> sobre aspectos no tratados, incluidos ejemplos concretos de buenas prácticas existentes en los sistemas nacionales, especialmente para hacer efectivo</w:t>
      </w:r>
      <w:r w:rsidR="003F0943">
        <w:rPr>
          <w:rFonts w:eastAsia="Times New Roman" w:cstheme="minorHAnsi"/>
          <w:color w:val="171717" w:themeColor="background2" w:themeShade="1A"/>
          <w:kern w:val="0"/>
          <w:sz w:val="22"/>
          <w:szCs w:val="22"/>
          <w:lang w:val="es-ES" w:eastAsia="fr-FR"/>
          <w14:ligatures w14:val="none"/>
        </w:rPr>
        <w:t>s</w:t>
      </w:r>
      <w:r w:rsidRPr="00C0223C">
        <w:rPr>
          <w:rFonts w:eastAsia="Times New Roman" w:cstheme="minorHAnsi"/>
          <w:color w:val="171717" w:themeColor="background2" w:themeShade="1A"/>
          <w:kern w:val="0"/>
          <w:sz w:val="22"/>
          <w:szCs w:val="22"/>
          <w:lang w:val="es-ES" w:eastAsia="fr-FR"/>
          <w14:ligatures w14:val="none"/>
        </w:rPr>
        <w:t xml:space="preserve"> el disfrute y el ejercicio </w:t>
      </w:r>
      <w:r w:rsidR="00625E1F">
        <w:rPr>
          <w:rFonts w:eastAsia="Times New Roman" w:cstheme="minorHAnsi"/>
          <w:color w:val="171717" w:themeColor="background2" w:themeShade="1A"/>
          <w:kern w:val="0"/>
          <w:sz w:val="22"/>
          <w:szCs w:val="22"/>
          <w:lang w:val="es-ES" w:eastAsia="fr-FR"/>
          <w14:ligatures w14:val="none"/>
        </w:rPr>
        <w:t>de la libertad de asociación</w:t>
      </w:r>
      <w:r w:rsidRPr="00C0223C">
        <w:rPr>
          <w:rFonts w:eastAsia="Times New Roman" w:cstheme="minorHAnsi"/>
          <w:color w:val="171717" w:themeColor="background2" w:themeShade="1A"/>
          <w:kern w:val="0"/>
          <w:sz w:val="22"/>
          <w:szCs w:val="22"/>
          <w:lang w:val="es-ES" w:eastAsia="fr-FR"/>
          <w14:ligatures w14:val="none"/>
        </w:rPr>
        <w:t xml:space="preserve"> sin discriminación alguna.</w:t>
      </w:r>
    </w:p>
    <w:p w14:paraId="2E6674AE" w14:textId="77777777" w:rsidR="00C639E6" w:rsidRDefault="00C639E6" w:rsidP="001C294C">
      <w:pPr>
        <w:jc w:val="both"/>
        <w:rPr>
          <w:rFonts w:eastAsia="Times New Roman" w:cstheme="minorHAnsi"/>
          <w:color w:val="171717" w:themeColor="background2" w:themeShade="1A"/>
          <w:kern w:val="0"/>
          <w:sz w:val="22"/>
          <w:szCs w:val="22"/>
          <w:lang w:val="es-ES" w:eastAsia="fr-FR"/>
          <w14:ligatures w14:val="none"/>
        </w:rPr>
      </w:pPr>
    </w:p>
    <w:p w14:paraId="575CC249" w14:textId="1931EE80" w:rsidR="00C0223C" w:rsidRDefault="00C0223C" w:rsidP="00C0223C">
      <w:pPr>
        <w:jc w:val="center"/>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w:t>
      </w:r>
    </w:p>
    <w:p w14:paraId="5035DC23" w14:textId="77777777" w:rsidR="00C0223C" w:rsidRPr="00873B06" w:rsidRDefault="00C0223C" w:rsidP="001C294C">
      <w:pPr>
        <w:jc w:val="both"/>
        <w:rPr>
          <w:rFonts w:eastAsia="Times New Roman" w:cstheme="minorHAnsi"/>
          <w:color w:val="171717" w:themeColor="background2" w:themeShade="1A"/>
          <w:kern w:val="0"/>
          <w:sz w:val="22"/>
          <w:szCs w:val="22"/>
          <w:lang w:val="es-ES" w:eastAsia="fr-FR"/>
          <w14:ligatures w14:val="none"/>
        </w:rPr>
      </w:pPr>
    </w:p>
    <w:p w14:paraId="63687356" w14:textId="23C66931" w:rsidR="00C639E6" w:rsidRPr="00873B06" w:rsidRDefault="00C0223C" w:rsidP="00C639E6">
      <w:pPr>
        <w:jc w:val="both"/>
        <w:rPr>
          <w:rFonts w:eastAsia="Times New Roman" w:cstheme="minorHAnsi"/>
          <w:color w:val="171717" w:themeColor="background2" w:themeShade="1A"/>
          <w:kern w:val="0"/>
          <w:sz w:val="22"/>
          <w:szCs w:val="22"/>
          <w:lang w:val="es-ES" w:eastAsia="fr-FR"/>
          <w14:ligatures w14:val="none"/>
        </w:rPr>
      </w:pPr>
      <w:r>
        <w:rPr>
          <w:rFonts w:eastAsia="Times New Roman" w:cstheme="minorHAnsi"/>
          <w:color w:val="171717" w:themeColor="background2" w:themeShade="1A"/>
          <w:kern w:val="0"/>
          <w:sz w:val="22"/>
          <w:szCs w:val="22"/>
          <w:lang w:val="es-ES" w:eastAsia="fr-FR"/>
          <w14:ligatures w14:val="none"/>
        </w:rPr>
        <w:t xml:space="preserve">17. </w:t>
      </w:r>
      <w:r w:rsidR="00C639E6" w:rsidRPr="00873B06">
        <w:rPr>
          <w:rFonts w:eastAsia="Times New Roman" w:cstheme="minorHAnsi"/>
          <w:color w:val="171717" w:themeColor="background2" w:themeShade="1A"/>
          <w:kern w:val="0"/>
          <w:sz w:val="22"/>
          <w:szCs w:val="22"/>
          <w:lang w:val="es-ES" w:eastAsia="fr-FR"/>
          <w14:ligatures w14:val="none"/>
        </w:rPr>
        <w:t>Información logística:</w:t>
      </w:r>
    </w:p>
    <w:p w14:paraId="391D9936" w14:textId="77777777" w:rsidR="00C639E6" w:rsidRPr="00873B06" w:rsidRDefault="00C639E6" w:rsidP="00C639E6">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 </w:t>
      </w:r>
    </w:p>
    <w:p w14:paraId="3F8B86D5" w14:textId="4C45C638" w:rsidR="00C639E6" w:rsidRPr="00873B06" w:rsidRDefault="00C639E6" w:rsidP="00C639E6">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a)     La fecha límite para la presentación es el </w:t>
      </w:r>
      <w:r w:rsidRPr="00873B06">
        <w:rPr>
          <w:rFonts w:eastAsia="Times New Roman" w:cstheme="minorHAnsi"/>
          <w:b/>
          <w:bCs/>
          <w:color w:val="171717" w:themeColor="background2" w:themeShade="1A"/>
          <w:kern w:val="0"/>
          <w:sz w:val="22"/>
          <w:szCs w:val="22"/>
          <w:lang w:val="es-ES" w:eastAsia="fr-FR"/>
          <w14:ligatures w14:val="none"/>
        </w:rPr>
        <w:t>1</w:t>
      </w:r>
      <w:r w:rsidR="00B512A0">
        <w:rPr>
          <w:rFonts w:eastAsia="Times New Roman" w:cstheme="minorHAnsi"/>
          <w:b/>
          <w:bCs/>
          <w:color w:val="171717" w:themeColor="background2" w:themeShade="1A"/>
          <w:kern w:val="0"/>
          <w:sz w:val="22"/>
          <w:szCs w:val="22"/>
          <w:lang w:val="es-ES" w:eastAsia="fr-FR"/>
          <w14:ligatures w14:val="none"/>
        </w:rPr>
        <w:t>9</w:t>
      </w:r>
      <w:r w:rsidRPr="00873B06">
        <w:rPr>
          <w:rFonts w:eastAsia="Times New Roman" w:cstheme="minorHAnsi"/>
          <w:b/>
          <w:bCs/>
          <w:color w:val="171717" w:themeColor="background2" w:themeShade="1A"/>
          <w:kern w:val="0"/>
          <w:sz w:val="22"/>
          <w:szCs w:val="22"/>
          <w:lang w:val="es-ES" w:eastAsia="fr-FR"/>
          <w14:ligatures w14:val="none"/>
        </w:rPr>
        <w:t xml:space="preserve"> de diciembre de 2025</w:t>
      </w:r>
      <w:r w:rsidRPr="00873B06">
        <w:rPr>
          <w:rFonts w:eastAsia="Times New Roman" w:cstheme="minorHAnsi"/>
          <w:color w:val="171717" w:themeColor="background2" w:themeShade="1A"/>
          <w:kern w:val="0"/>
          <w:sz w:val="22"/>
          <w:szCs w:val="22"/>
          <w:lang w:val="es-ES" w:eastAsia="fr-FR"/>
          <w14:ligatures w14:val="none"/>
        </w:rPr>
        <w:t>.</w:t>
      </w:r>
    </w:p>
    <w:p w14:paraId="66C06787" w14:textId="67424A1A" w:rsidR="00C639E6" w:rsidRPr="00873B06" w:rsidRDefault="00C639E6" w:rsidP="00C639E6">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b)   Las aportaciones pueden presentarse en los tres idiomas de trabajo del Comité de Derechos Humanos (español, francés </w:t>
      </w:r>
      <w:r w:rsidR="00060D24" w:rsidRPr="00873B06">
        <w:rPr>
          <w:rFonts w:eastAsia="Times New Roman" w:cstheme="minorHAnsi"/>
          <w:color w:val="171717" w:themeColor="background2" w:themeShade="1A"/>
          <w:kern w:val="0"/>
          <w:sz w:val="22"/>
          <w:szCs w:val="22"/>
          <w:lang w:val="es-ES" w:eastAsia="fr-FR"/>
          <w14:ligatures w14:val="none"/>
        </w:rPr>
        <w:t>e</w:t>
      </w:r>
      <w:r w:rsidRPr="00873B06">
        <w:rPr>
          <w:rFonts w:eastAsia="Times New Roman" w:cstheme="minorHAnsi"/>
          <w:color w:val="171717" w:themeColor="background2" w:themeShade="1A"/>
          <w:kern w:val="0"/>
          <w:sz w:val="22"/>
          <w:szCs w:val="22"/>
          <w:lang w:val="es-ES" w:eastAsia="fr-FR"/>
          <w14:ligatures w14:val="none"/>
        </w:rPr>
        <w:t xml:space="preserve"> inglés).</w:t>
      </w:r>
    </w:p>
    <w:p w14:paraId="7E509130" w14:textId="77777777" w:rsidR="00C639E6" w:rsidRPr="00873B06" w:rsidRDefault="00C639E6" w:rsidP="00C639E6">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c)     No hay límite de palabras para la presentación.</w:t>
      </w:r>
    </w:p>
    <w:p w14:paraId="3B8C7398" w14:textId="32AFF75C" w:rsidR="00E63AC6" w:rsidRPr="00873B06" w:rsidRDefault="00C639E6" w:rsidP="00C639E6">
      <w:pPr>
        <w:jc w:val="both"/>
        <w:rPr>
          <w:rFonts w:eastAsia="Times New Roman" w:cstheme="minorHAnsi"/>
          <w:color w:val="171717" w:themeColor="background2" w:themeShade="1A"/>
          <w:kern w:val="0"/>
          <w:sz w:val="22"/>
          <w:szCs w:val="22"/>
          <w:lang w:val="es-ES" w:eastAsia="fr-FR"/>
          <w14:ligatures w14:val="none"/>
        </w:rPr>
      </w:pPr>
      <w:r w:rsidRPr="00873B06">
        <w:rPr>
          <w:rFonts w:eastAsia="Times New Roman" w:cstheme="minorHAnsi"/>
          <w:color w:val="171717" w:themeColor="background2" w:themeShade="1A"/>
          <w:kern w:val="0"/>
          <w:sz w:val="22"/>
          <w:szCs w:val="22"/>
          <w:lang w:val="es-ES" w:eastAsia="fr-FR"/>
          <w14:ligatures w14:val="none"/>
        </w:rPr>
        <w:t xml:space="preserve">d)    Las aportaciones deben presentarse a través del sistema de presentación en línea del CCPR. Si tiene más preguntas, puede enviarlas a </w:t>
      </w:r>
      <w:hyperlink r:id="rId10" w:history="1">
        <w:r w:rsidRPr="00873B06">
          <w:rPr>
            <w:rStyle w:val="Hyperlink"/>
            <w:rFonts w:ascii="Aptos" w:hAnsi="Aptos"/>
            <w:sz w:val="22"/>
            <w:szCs w:val="22"/>
            <w:lang w:val="es-ES"/>
          </w:rPr>
          <w:t>ohchr-ccpr@un.org</w:t>
        </w:r>
      </w:hyperlink>
      <w:r w:rsidRPr="00873B06">
        <w:rPr>
          <w:rFonts w:ascii="Aptos" w:hAnsi="Aptos"/>
          <w:color w:val="FFFFFF"/>
          <w:sz w:val="22"/>
          <w:szCs w:val="22"/>
          <w:lang w:val="es-ES"/>
        </w:rPr>
        <w:t>.</w:t>
      </w:r>
    </w:p>
    <w:sectPr w:rsidR="00E63AC6" w:rsidRPr="00873B06" w:rsidSect="00741DC2">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422" w14:textId="77777777" w:rsidR="006019C1" w:rsidRDefault="006019C1" w:rsidP="009001FB">
      <w:r>
        <w:separator/>
      </w:r>
    </w:p>
  </w:endnote>
  <w:endnote w:type="continuationSeparator" w:id="0">
    <w:p w14:paraId="21003645" w14:textId="77777777" w:rsidR="006019C1" w:rsidRDefault="006019C1" w:rsidP="0090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0111941"/>
      <w:docPartObj>
        <w:docPartGallery w:val="Page Numbers (Bottom of Page)"/>
        <w:docPartUnique/>
      </w:docPartObj>
    </w:sdtPr>
    <w:sdtEndPr>
      <w:rPr>
        <w:rStyle w:val="PageNumber"/>
      </w:rPr>
    </w:sdtEndPr>
    <w:sdtContent>
      <w:p w14:paraId="05BD6E1E" w14:textId="6A088FF2" w:rsidR="009001FB" w:rsidRDefault="009001FB" w:rsidP="00E874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CCBEB7" w14:textId="77777777" w:rsidR="009001FB" w:rsidRDefault="009001FB" w:rsidP="009001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716746"/>
      <w:docPartObj>
        <w:docPartGallery w:val="Page Numbers (Bottom of Page)"/>
        <w:docPartUnique/>
      </w:docPartObj>
    </w:sdtPr>
    <w:sdtEndPr>
      <w:rPr>
        <w:rStyle w:val="PageNumber"/>
        <w:sz w:val="20"/>
        <w:szCs w:val="20"/>
      </w:rPr>
    </w:sdtEndPr>
    <w:sdtContent>
      <w:p w14:paraId="24FEE312" w14:textId="7F4AA9B7" w:rsidR="009001FB" w:rsidRPr="009001FB" w:rsidRDefault="009001FB" w:rsidP="00E874CF">
        <w:pPr>
          <w:pStyle w:val="Footer"/>
          <w:framePr w:wrap="none" w:vAnchor="text" w:hAnchor="margin" w:xAlign="right" w:y="1"/>
          <w:rPr>
            <w:rStyle w:val="PageNumber"/>
            <w:sz w:val="20"/>
            <w:szCs w:val="20"/>
          </w:rPr>
        </w:pPr>
        <w:r w:rsidRPr="009001FB">
          <w:rPr>
            <w:rStyle w:val="PageNumber"/>
            <w:sz w:val="20"/>
            <w:szCs w:val="20"/>
          </w:rPr>
          <w:fldChar w:fldCharType="begin"/>
        </w:r>
        <w:r w:rsidRPr="009001FB">
          <w:rPr>
            <w:rStyle w:val="PageNumber"/>
            <w:sz w:val="20"/>
            <w:szCs w:val="20"/>
          </w:rPr>
          <w:instrText xml:space="preserve"> PAGE </w:instrText>
        </w:r>
        <w:r w:rsidRPr="009001FB">
          <w:rPr>
            <w:rStyle w:val="PageNumber"/>
            <w:sz w:val="20"/>
            <w:szCs w:val="20"/>
          </w:rPr>
          <w:fldChar w:fldCharType="separate"/>
        </w:r>
        <w:r w:rsidRPr="009001FB">
          <w:rPr>
            <w:rStyle w:val="PageNumber"/>
            <w:noProof/>
            <w:sz w:val="20"/>
            <w:szCs w:val="20"/>
          </w:rPr>
          <w:t>4</w:t>
        </w:r>
        <w:r w:rsidRPr="009001FB">
          <w:rPr>
            <w:rStyle w:val="PageNumber"/>
            <w:sz w:val="20"/>
            <w:szCs w:val="20"/>
          </w:rPr>
          <w:fldChar w:fldCharType="end"/>
        </w:r>
      </w:p>
    </w:sdtContent>
  </w:sdt>
  <w:p w14:paraId="1B263D00" w14:textId="77777777" w:rsidR="009001FB" w:rsidRDefault="009001FB" w:rsidP="009001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3AC8" w14:textId="77777777" w:rsidR="006019C1" w:rsidRDefault="006019C1" w:rsidP="009001FB">
      <w:r>
        <w:separator/>
      </w:r>
    </w:p>
  </w:footnote>
  <w:footnote w:type="continuationSeparator" w:id="0">
    <w:p w14:paraId="192B97F9" w14:textId="77777777" w:rsidR="006019C1" w:rsidRDefault="006019C1" w:rsidP="0090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564B" w14:textId="385DF314" w:rsidR="009001FB" w:rsidRPr="00B512A0" w:rsidRDefault="009001FB" w:rsidP="009001FB">
    <w:pPr>
      <w:pStyle w:val="Header"/>
      <w:jc w:val="center"/>
      <w:rPr>
        <w:i/>
        <w:iCs/>
        <w:sz w:val="15"/>
        <w:szCs w:val="15"/>
        <w:lang w:val="es-ES"/>
      </w:rPr>
    </w:pPr>
    <w:r w:rsidRPr="00B512A0">
      <w:rPr>
        <w:i/>
        <w:iCs/>
        <w:sz w:val="15"/>
        <w:szCs w:val="15"/>
        <w:lang w:val="es-ES"/>
      </w:rPr>
      <w:t>Proyecto de OG n.º 38 (artículo 22 del PIDCP) – Nota conceptual</w:t>
    </w:r>
    <w:r w:rsidR="008C4296" w:rsidRPr="00B512A0">
      <w:rPr>
        <w:i/>
        <w:iCs/>
        <w:sz w:val="15"/>
        <w:szCs w:val="15"/>
        <w:lang w:val="es-ES"/>
      </w:rPr>
      <w:t xml:space="preserve"> – Convocatoria de contribuciones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06467"/>
    <w:multiLevelType w:val="hybridMultilevel"/>
    <w:tmpl w:val="01FC655C"/>
    <w:lvl w:ilvl="0" w:tplc="DDCA4CA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964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C6"/>
    <w:rsid w:val="0005298F"/>
    <w:rsid w:val="000535E4"/>
    <w:rsid w:val="00060327"/>
    <w:rsid w:val="00060D24"/>
    <w:rsid w:val="00071480"/>
    <w:rsid w:val="00095BA5"/>
    <w:rsid w:val="000A015C"/>
    <w:rsid w:val="000E3F6A"/>
    <w:rsid w:val="000F7C42"/>
    <w:rsid w:val="00103AC6"/>
    <w:rsid w:val="00105E91"/>
    <w:rsid w:val="00134C44"/>
    <w:rsid w:val="00135D99"/>
    <w:rsid w:val="00147339"/>
    <w:rsid w:val="00166E39"/>
    <w:rsid w:val="00172F8E"/>
    <w:rsid w:val="00180203"/>
    <w:rsid w:val="001C294C"/>
    <w:rsid w:val="001D6D74"/>
    <w:rsid w:val="001E72A4"/>
    <w:rsid w:val="001F51F3"/>
    <w:rsid w:val="00250760"/>
    <w:rsid w:val="00291FD3"/>
    <w:rsid w:val="00297CCD"/>
    <w:rsid w:val="002A7E47"/>
    <w:rsid w:val="002B0D89"/>
    <w:rsid w:val="002B5A49"/>
    <w:rsid w:val="002B64B2"/>
    <w:rsid w:val="002C3100"/>
    <w:rsid w:val="002D7F25"/>
    <w:rsid w:val="00346579"/>
    <w:rsid w:val="00351CFB"/>
    <w:rsid w:val="00367F4E"/>
    <w:rsid w:val="00381F2C"/>
    <w:rsid w:val="003A7308"/>
    <w:rsid w:val="003D0960"/>
    <w:rsid w:val="003F0943"/>
    <w:rsid w:val="0042621D"/>
    <w:rsid w:val="00477874"/>
    <w:rsid w:val="004B4107"/>
    <w:rsid w:val="0050169B"/>
    <w:rsid w:val="00510393"/>
    <w:rsid w:val="0057069D"/>
    <w:rsid w:val="00580D39"/>
    <w:rsid w:val="005866C2"/>
    <w:rsid w:val="005924FC"/>
    <w:rsid w:val="005D559F"/>
    <w:rsid w:val="005D6681"/>
    <w:rsid w:val="005F675E"/>
    <w:rsid w:val="006019C1"/>
    <w:rsid w:val="0061422D"/>
    <w:rsid w:val="00620F99"/>
    <w:rsid w:val="00625E1F"/>
    <w:rsid w:val="0066557A"/>
    <w:rsid w:val="00686FBB"/>
    <w:rsid w:val="006E015A"/>
    <w:rsid w:val="006F2623"/>
    <w:rsid w:val="006F3824"/>
    <w:rsid w:val="00706F1C"/>
    <w:rsid w:val="00717FB6"/>
    <w:rsid w:val="0072011A"/>
    <w:rsid w:val="00741DC2"/>
    <w:rsid w:val="00766355"/>
    <w:rsid w:val="007776FF"/>
    <w:rsid w:val="007E3D7D"/>
    <w:rsid w:val="007F7B49"/>
    <w:rsid w:val="00803467"/>
    <w:rsid w:val="00864BE8"/>
    <w:rsid w:val="00873B06"/>
    <w:rsid w:val="008A352C"/>
    <w:rsid w:val="008C0C30"/>
    <w:rsid w:val="008C3BA6"/>
    <w:rsid w:val="008C4296"/>
    <w:rsid w:val="008D6C77"/>
    <w:rsid w:val="009001FB"/>
    <w:rsid w:val="0093136D"/>
    <w:rsid w:val="00997C2A"/>
    <w:rsid w:val="009F6A4B"/>
    <w:rsid w:val="00A05253"/>
    <w:rsid w:val="00A12EFD"/>
    <w:rsid w:val="00A23B8B"/>
    <w:rsid w:val="00A54D01"/>
    <w:rsid w:val="00AD6F92"/>
    <w:rsid w:val="00AE1E9E"/>
    <w:rsid w:val="00AE6FB3"/>
    <w:rsid w:val="00AF70C9"/>
    <w:rsid w:val="00B47FFA"/>
    <w:rsid w:val="00B512A0"/>
    <w:rsid w:val="00B8048F"/>
    <w:rsid w:val="00B858EE"/>
    <w:rsid w:val="00B90941"/>
    <w:rsid w:val="00B910A2"/>
    <w:rsid w:val="00B961F1"/>
    <w:rsid w:val="00BA3318"/>
    <w:rsid w:val="00BB7796"/>
    <w:rsid w:val="00BD0461"/>
    <w:rsid w:val="00BF1D0D"/>
    <w:rsid w:val="00C0223C"/>
    <w:rsid w:val="00C06267"/>
    <w:rsid w:val="00C60D81"/>
    <w:rsid w:val="00C639E6"/>
    <w:rsid w:val="00C71EA7"/>
    <w:rsid w:val="00C736A5"/>
    <w:rsid w:val="00CE3A28"/>
    <w:rsid w:val="00D44C38"/>
    <w:rsid w:val="00D86215"/>
    <w:rsid w:val="00DA6498"/>
    <w:rsid w:val="00DB7626"/>
    <w:rsid w:val="00DC0259"/>
    <w:rsid w:val="00DD5CFC"/>
    <w:rsid w:val="00E1717B"/>
    <w:rsid w:val="00E63AC6"/>
    <w:rsid w:val="00E64F09"/>
    <w:rsid w:val="00E808DE"/>
    <w:rsid w:val="00E8715E"/>
    <w:rsid w:val="00E879D0"/>
    <w:rsid w:val="00EA0816"/>
    <w:rsid w:val="00EB4CEF"/>
    <w:rsid w:val="00F045D1"/>
    <w:rsid w:val="00F05540"/>
    <w:rsid w:val="00F301DB"/>
    <w:rsid w:val="00F538E7"/>
    <w:rsid w:val="00F754C5"/>
    <w:rsid w:val="00FC591D"/>
    <w:rsid w:val="00FD0BF2"/>
    <w:rsid w:val="00FD135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E232"/>
  <w15:chartTrackingRefBased/>
  <w15:docId w15:val="{1DDAAE89-A277-3544-A830-DC9B52FA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63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A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A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A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A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63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AC6"/>
    <w:rPr>
      <w:rFonts w:eastAsiaTheme="majorEastAsia" w:cstheme="majorBidi"/>
      <w:color w:val="272727" w:themeColor="text1" w:themeTint="D8"/>
    </w:rPr>
  </w:style>
  <w:style w:type="paragraph" w:styleId="Title">
    <w:name w:val="Title"/>
    <w:basedOn w:val="Normal"/>
    <w:next w:val="Normal"/>
    <w:link w:val="TitleChar"/>
    <w:uiPriority w:val="10"/>
    <w:qFormat/>
    <w:rsid w:val="00E63A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A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A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AC6"/>
    <w:rPr>
      <w:i/>
      <w:iCs/>
      <w:color w:val="404040" w:themeColor="text1" w:themeTint="BF"/>
    </w:rPr>
  </w:style>
  <w:style w:type="paragraph" w:styleId="ListParagraph">
    <w:name w:val="List Paragraph"/>
    <w:basedOn w:val="Normal"/>
    <w:uiPriority w:val="34"/>
    <w:qFormat/>
    <w:rsid w:val="00E63AC6"/>
    <w:pPr>
      <w:ind w:left="720"/>
      <w:contextualSpacing/>
    </w:pPr>
  </w:style>
  <w:style w:type="character" w:styleId="IntenseEmphasis">
    <w:name w:val="Intense Emphasis"/>
    <w:basedOn w:val="DefaultParagraphFont"/>
    <w:uiPriority w:val="21"/>
    <w:qFormat/>
    <w:rsid w:val="00E63AC6"/>
    <w:rPr>
      <w:i/>
      <w:iCs/>
      <w:color w:val="2F5496" w:themeColor="accent1" w:themeShade="BF"/>
    </w:rPr>
  </w:style>
  <w:style w:type="paragraph" w:styleId="IntenseQuote">
    <w:name w:val="Intense Quote"/>
    <w:basedOn w:val="Normal"/>
    <w:next w:val="Normal"/>
    <w:link w:val="IntenseQuoteChar"/>
    <w:uiPriority w:val="30"/>
    <w:qFormat/>
    <w:rsid w:val="00E63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AC6"/>
    <w:rPr>
      <w:i/>
      <w:iCs/>
      <w:color w:val="2F5496" w:themeColor="accent1" w:themeShade="BF"/>
    </w:rPr>
  </w:style>
  <w:style w:type="character" w:styleId="IntenseReference">
    <w:name w:val="Intense Reference"/>
    <w:basedOn w:val="DefaultParagraphFont"/>
    <w:uiPriority w:val="32"/>
    <w:qFormat/>
    <w:rsid w:val="00E63AC6"/>
    <w:rPr>
      <w:b/>
      <w:bCs/>
      <w:smallCaps/>
      <w:color w:val="2F5496" w:themeColor="accent1" w:themeShade="BF"/>
      <w:spacing w:val="5"/>
    </w:rPr>
  </w:style>
  <w:style w:type="paragraph" w:styleId="NormalWeb">
    <w:name w:val="Normal (Web)"/>
    <w:basedOn w:val="Normal"/>
    <w:uiPriority w:val="99"/>
    <w:unhideWhenUsed/>
    <w:rsid w:val="00E63AC6"/>
    <w:pPr>
      <w:spacing w:before="100" w:beforeAutospacing="1" w:after="100" w:afterAutospacing="1"/>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9001FB"/>
    <w:pPr>
      <w:tabs>
        <w:tab w:val="center" w:pos="4536"/>
        <w:tab w:val="right" w:pos="9072"/>
      </w:tabs>
    </w:pPr>
  </w:style>
  <w:style w:type="character" w:customStyle="1" w:styleId="HeaderChar">
    <w:name w:val="Header Char"/>
    <w:basedOn w:val="DefaultParagraphFont"/>
    <w:link w:val="Header"/>
    <w:uiPriority w:val="99"/>
    <w:rsid w:val="009001FB"/>
  </w:style>
  <w:style w:type="paragraph" w:styleId="Footer">
    <w:name w:val="footer"/>
    <w:basedOn w:val="Normal"/>
    <w:link w:val="FooterChar"/>
    <w:uiPriority w:val="99"/>
    <w:unhideWhenUsed/>
    <w:rsid w:val="009001FB"/>
    <w:pPr>
      <w:tabs>
        <w:tab w:val="center" w:pos="4536"/>
        <w:tab w:val="right" w:pos="9072"/>
      </w:tabs>
    </w:pPr>
  </w:style>
  <w:style w:type="character" w:customStyle="1" w:styleId="FooterChar">
    <w:name w:val="Footer Char"/>
    <w:basedOn w:val="DefaultParagraphFont"/>
    <w:link w:val="Footer"/>
    <w:uiPriority w:val="99"/>
    <w:rsid w:val="009001FB"/>
  </w:style>
  <w:style w:type="character" w:styleId="PageNumber">
    <w:name w:val="page number"/>
    <w:basedOn w:val="DefaultParagraphFont"/>
    <w:uiPriority w:val="99"/>
    <w:semiHidden/>
    <w:unhideWhenUsed/>
    <w:rsid w:val="009001FB"/>
  </w:style>
  <w:style w:type="paragraph" w:styleId="FootnoteText">
    <w:name w:val="footnote text"/>
    <w:basedOn w:val="Normal"/>
    <w:link w:val="FootnoteTextChar"/>
    <w:uiPriority w:val="99"/>
    <w:semiHidden/>
    <w:unhideWhenUsed/>
    <w:rsid w:val="00105E91"/>
    <w:rPr>
      <w:sz w:val="20"/>
      <w:szCs w:val="20"/>
    </w:rPr>
  </w:style>
  <w:style w:type="character" w:customStyle="1" w:styleId="FootnoteTextChar">
    <w:name w:val="Footnote Text Char"/>
    <w:basedOn w:val="DefaultParagraphFont"/>
    <w:link w:val="FootnoteText"/>
    <w:uiPriority w:val="99"/>
    <w:semiHidden/>
    <w:rsid w:val="00105E91"/>
    <w:rPr>
      <w:sz w:val="20"/>
      <w:szCs w:val="20"/>
    </w:rPr>
  </w:style>
  <w:style w:type="character" w:styleId="FootnoteReference">
    <w:name w:val="footnote reference"/>
    <w:basedOn w:val="DefaultParagraphFont"/>
    <w:uiPriority w:val="99"/>
    <w:semiHidden/>
    <w:unhideWhenUsed/>
    <w:rsid w:val="00105E91"/>
    <w:rPr>
      <w:vertAlign w:val="superscript"/>
    </w:rPr>
  </w:style>
  <w:style w:type="character" w:styleId="Hyperlink">
    <w:name w:val="Hyperlink"/>
    <w:basedOn w:val="DefaultParagraphFont"/>
    <w:uiPriority w:val="99"/>
    <w:semiHidden/>
    <w:unhideWhenUsed/>
    <w:rsid w:val="00C63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hchr-ccpr@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35" ma:contentTypeDescription="Create a new document." ma:contentTypeScope="" ma:versionID="101485e72c919333322e20e0cdda9064">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571e014322c47401fc95325ef83d2739"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element name="TaxCatchAll" ma:index="40"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2025-10-15T13:12:58+00:00</Document_x0020_Date>
    <Donor xmlns="11a6fe0c-d8de-4390-afb3-d9c7c54181f0" xsi:nil="true"/>
    <Report_x0020_Type xmlns="11a6fe0c-d8de-4390-afb3-d9c7c54181f0" xsi:nil="true"/>
    <lcf76f155ced4ddcb4097134ff3c332f xmlns="b248d7e1-e1e1-4a8e-9310-749402edb8a9">
      <Terms xmlns="http://schemas.microsoft.com/office/infopath/2007/PartnerControls"/>
    </lcf76f155ced4ddcb4097134ff3c332f>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CD599BA4-DCF6-4825-85C8-240538D0DC5F}">
  <ds:schemaRefs>
    <ds:schemaRef ds:uri="http://schemas.microsoft.com/sharepoint/v3/contenttype/forms"/>
  </ds:schemaRefs>
</ds:datastoreItem>
</file>

<file path=customXml/itemProps2.xml><?xml version="1.0" encoding="utf-8"?>
<ds:datastoreItem xmlns:ds="http://schemas.openxmlformats.org/officeDocument/2006/customXml" ds:itemID="{F628A236-B4BB-4B1A-AF6B-DC222E10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b248d7e1-e1e1-4a8e-9310-749402ed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01042-A94E-4582-9CE5-5D36FBE4EBC5}">
  <ds:schemaRefs>
    <ds:schemaRef ds:uri="http://schemas.microsoft.com/office/2006/metadata/properties"/>
    <ds:schemaRef ds:uri="http://schemas.microsoft.com/office/infopath/2007/PartnerControls"/>
    <ds:schemaRef ds:uri="985ec44e-1bab-4c0b-9df0-6ba128686fc9"/>
    <ds:schemaRef ds:uri="11a6fe0c-d8de-4390-afb3-d9c7c54181f0"/>
    <ds:schemaRef ds:uri="b248d7e1-e1e1-4a8e-9310-749402edb8a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57</TotalTime>
  <Pages>6</Pages>
  <Words>2862</Words>
  <Characters>16314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TIGROUDJA Helene</dc:creator>
  <cp:keywords>, docId:208BFC02B27A1D700D1132565894E51D</cp:keywords>
  <dc:description/>
  <cp:lastModifiedBy>TIGROUDJA Helene</cp:lastModifiedBy>
  <cp:revision>28</cp:revision>
  <dcterms:created xsi:type="dcterms:W3CDTF">2025-08-13T07:41:00Z</dcterms:created>
  <dcterms:modified xsi:type="dcterms:W3CDTF">2025-10-17T08:09:00Z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0x0101004100868408537B4FA2A9FA4AC7F0070F</vt:lpwstr>
  </property>
  <property fmtid="{D5CDD505-2E9C-101B-9397-08002B2CF9AE}" pid="3" name="MediaServiceImageTags">
    <vt:lpwstr/>
  </property>
</Properties>
</file>