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63F1F" w14:textId="263F8594" w:rsidR="00670D5C" w:rsidRDefault="00670D5C" w:rsidP="00670D5C">
      <w:pPr>
        <w:jc w:val="center"/>
        <w:rPr>
          <w:rFonts w:ascii="Aptos" w:hAnsi="Aptos"/>
          <w:b/>
          <w:bCs/>
          <w:sz w:val="32"/>
          <w:szCs w:val="32"/>
        </w:rPr>
      </w:pPr>
      <w:r>
        <w:rPr>
          <w:rFonts w:ascii="Aptos" w:hAnsi="Aptos"/>
          <w:b/>
          <w:bCs/>
          <w:noProof/>
          <w:sz w:val="32"/>
          <w:szCs w:val="32"/>
          <w14:ligatures w14:val="standardContextual"/>
        </w:rPr>
        <w:drawing>
          <wp:inline distT="0" distB="0" distL="0" distR="0" wp14:anchorId="245E0F0B" wp14:editId="2E924A59">
            <wp:extent cx="3092521" cy="1473200"/>
            <wp:effectExtent l="0" t="0" r="6350" b="0"/>
            <wp:docPr id="324511357" name="Picture 1" descr="A logo for a civil and polic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11357" name="Picture 1" descr="A logo for a civil and police company&#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3097439" cy="1475543"/>
                    </a:xfrm>
                    <a:prstGeom prst="rect">
                      <a:avLst/>
                    </a:prstGeom>
                  </pic:spPr>
                </pic:pic>
              </a:graphicData>
            </a:graphic>
          </wp:inline>
        </w:drawing>
      </w:r>
    </w:p>
    <w:p w14:paraId="060B0982" w14:textId="77777777" w:rsidR="00670D5C" w:rsidRDefault="00670D5C" w:rsidP="00670D5C">
      <w:pPr>
        <w:jc w:val="center"/>
        <w:rPr>
          <w:rFonts w:ascii="Aptos" w:hAnsi="Aptos"/>
          <w:b/>
          <w:bCs/>
          <w:sz w:val="32"/>
          <w:szCs w:val="32"/>
        </w:rPr>
      </w:pPr>
    </w:p>
    <w:p w14:paraId="7DC5C295" w14:textId="6B4D1E93" w:rsidR="00670D5C" w:rsidRDefault="00670D5C" w:rsidP="00670D5C">
      <w:pPr>
        <w:jc w:val="center"/>
        <w:rPr>
          <w:rFonts w:ascii="Aptos" w:hAnsi="Aptos"/>
          <w:b/>
          <w:bCs/>
          <w:sz w:val="32"/>
          <w:szCs w:val="32"/>
        </w:rPr>
      </w:pPr>
      <w:r w:rsidRPr="003946DC">
        <w:rPr>
          <w:rFonts w:ascii="Aptos" w:hAnsi="Aptos"/>
          <w:b/>
          <w:bCs/>
          <w:sz w:val="32"/>
          <w:szCs w:val="32"/>
        </w:rPr>
        <w:t xml:space="preserve">NGO REPORTS </w:t>
      </w:r>
      <w:r>
        <w:rPr>
          <w:rFonts w:ascii="Aptos" w:hAnsi="Aptos"/>
          <w:b/>
          <w:bCs/>
          <w:sz w:val="32"/>
          <w:szCs w:val="32"/>
        </w:rPr>
        <w:t>FOR THE SESSION</w:t>
      </w:r>
      <w:r w:rsidRPr="003946DC">
        <w:rPr>
          <w:rFonts w:ascii="Aptos" w:hAnsi="Aptos"/>
          <w:b/>
          <w:bCs/>
          <w:sz w:val="32"/>
          <w:szCs w:val="32"/>
        </w:rPr>
        <w:t>-</w:t>
      </w:r>
      <w:r w:rsidR="008D221D">
        <w:rPr>
          <w:rFonts w:ascii="Aptos" w:hAnsi="Aptos"/>
          <w:b/>
          <w:bCs/>
          <w:sz w:val="32"/>
          <w:szCs w:val="32"/>
        </w:rPr>
        <w:t>EGYPT</w:t>
      </w:r>
    </w:p>
    <w:p w14:paraId="008601C9" w14:textId="24271C22" w:rsidR="00670D5C" w:rsidRPr="003946DC" w:rsidRDefault="00670D5C" w:rsidP="00670D5C">
      <w:pPr>
        <w:jc w:val="center"/>
        <w:rPr>
          <w:rFonts w:ascii="Aptos" w:hAnsi="Aptos"/>
          <w:b/>
          <w:bCs/>
          <w:sz w:val="32"/>
          <w:szCs w:val="32"/>
        </w:rPr>
      </w:pPr>
      <w:r w:rsidRPr="003946DC">
        <w:rPr>
          <w:rFonts w:ascii="Aptos" w:hAnsi="Aptos"/>
          <w:b/>
          <w:bCs/>
          <w:sz w:val="32"/>
          <w:szCs w:val="32"/>
        </w:rPr>
        <w:t>SESSION-1</w:t>
      </w:r>
      <w:r w:rsidR="008D221D">
        <w:rPr>
          <w:rFonts w:ascii="Aptos" w:hAnsi="Aptos"/>
          <w:b/>
          <w:bCs/>
          <w:sz w:val="32"/>
          <w:szCs w:val="32"/>
        </w:rPr>
        <w:t>37th</w:t>
      </w:r>
      <w:r w:rsidRPr="003946DC">
        <w:rPr>
          <w:rFonts w:ascii="Aptos" w:hAnsi="Aptos"/>
          <w:b/>
          <w:bCs/>
          <w:sz w:val="32"/>
          <w:szCs w:val="32"/>
        </w:rPr>
        <w:t xml:space="preserve"> (March 202</w:t>
      </w:r>
      <w:r w:rsidR="008D221D">
        <w:rPr>
          <w:rFonts w:ascii="Aptos" w:hAnsi="Aptos"/>
          <w:b/>
          <w:bCs/>
          <w:sz w:val="32"/>
          <w:szCs w:val="32"/>
        </w:rPr>
        <w:t>3</w:t>
      </w:r>
      <w:r w:rsidRPr="003946DC">
        <w:rPr>
          <w:rFonts w:ascii="Aptos" w:hAnsi="Aptos"/>
          <w:b/>
          <w:bCs/>
          <w:sz w:val="32"/>
          <w:szCs w:val="32"/>
        </w:rPr>
        <w:t>)</w:t>
      </w:r>
    </w:p>
    <w:p w14:paraId="57AF8B9C" w14:textId="31B097A3" w:rsidR="005970A4" w:rsidRDefault="005970A4"/>
    <w:p w14:paraId="79065459" w14:textId="251B21DD" w:rsidR="00670D5C" w:rsidRDefault="00670D5C">
      <w:pPr>
        <w:rPr>
          <w:rFonts w:ascii="Aptos" w:hAnsi="Aptos"/>
        </w:rPr>
      </w:pPr>
      <w:r w:rsidRPr="008B47CE">
        <w:rPr>
          <w:rFonts w:ascii="Aptos" w:hAnsi="Aptos"/>
        </w:rPr>
        <w:t>*</w:t>
      </w:r>
      <w:r w:rsidRPr="00860E09">
        <w:rPr>
          <w:rFonts w:ascii="Aptos" w:hAnsi="Aptos"/>
          <w:i/>
          <w:iCs/>
        </w:rPr>
        <w:t xml:space="preserve">As of </w:t>
      </w:r>
      <w:r w:rsidR="008D221D">
        <w:rPr>
          <w:rFonts w:ascii="Aptos" w:hAnsi="Aptos"/>
          <w:i/>
          <w:iCs/>
        </w:rPr>
        <w:t>20</w:t>
      </w:r>
      <w:r w:rsidRPr="00860E09">
        <w:rPr>
          <w:rFonts w:ascii="Aptos" w:hAnsi="Aptos"/>
          <w:i/>
          <w:iCs/>
        </w:rPr>
        <w:t>th March 2025</w:t>
      </w:r>
    </w:p>
    <w:p w14:paraId="326815C1" w14:textId="77777777" w:rsidR="00670D5C" w:rsidRDefault="00670D5C">
      <w:pPr>
        <w:rPr>
          <w:rFonts w:ascii="Aptos" w:hAnsi="Aptos"/>
        </w:rPr>
      </w:pPr>
    </w:p>
    <w:tbl>
      <w:tblPr>
        <w:tblStyle w:val="TableGrid"/>
        <w:tblW w:w="9634" w:type="dxa"/>
        <w:tblLook w:val="04A0" w:firstRow="1" w:lastRow="0" w:firstColumn="1" w:lastColumn="0" w:noHBand="0" w:noVBand="1"/>
      </w:tblPr>
      <w:tblGrid>
        <w:gridCol w:w="9634"/>
      </w:tblGrid>
      <w:tr w:rsidR="00670D5C" w14:paraId="5019C6C6" w14:textId="77777777" w:rsidTr="007D19C9">
        <w:trPr>
          <w:trHeight w:val="516"/>
        </w:trPr>
        <w:tc>
          <w:tcPr>
            <w:tcW w:w="9634" w:type="dxa"/>
          </w:tcPr>
          <w:p w14:paraId="10EC30D3" w14:textId="2A716BAE" w:rsidR="002357F3" w:rsidRPr="00670D5C" w:rsidRDefault="00670D5C" w:rsidP="002357F3">
            <w:pPr>
              <w:jc w:val="center"/>
              <w:rPr>
                <w:b/>
                <w:bCs/>
              </w:rPr>
            </w:pPr>
            <w:r w:rsidRPr="00670D5C">
              <w:rPr>
                <w:b/>
                <w:bCs/>
              </w:rPr>
              <w:t>ORGANISATIONS</w:t>
            </w:r>
            <w:r w:rsidR="002357F3">
              <w:rPr>
                <w:b/>
                <w:bCs/>
              </w:rPr>
              <w:t xml:space="preserve"> AND REPORTS</w:t>
            </w:r>
          </w:p>
        </w:tc>
      </w:tr>
      <w:tr w:rsidR="00670D5C" w14:paraId="6F0CFB01" w14:textId="77777777" w:rsidTr="007D19C9">
        <w:trPr>
          <w:trHeight w:val="486"/>
        </w:trPr>
        <w:tc>
          <w:tcPr>
            <w:tcW w:w="9634" w:type="dxa"/>
          </w:tcPr>
          <w:p w14:paraId="07EB75A5" w14:textId="34B8C14A" w:rsidR="00670D5C" w:rsidRDefault="008D221D">
            <w:hyperlink r:id="rId5" w:history="1">
              <w:r w:rsidRPr="008D221D">
                <w:rPr>
                  <w:rStyle w:val="Hyperlink"/>
                </w:rPr>
                <w:t>Access Now and the Tahrir Institute for Middle East Policy (TIMEP)</w:t>
              </w:r>
            </w:hyperlink>
          </w:p>
        </w:tc>
      </w:tr>
      <w:tr w:rsidR="00670D5C" w14:paraId="6A0B3B84" w14:textId="77777777" w:rsidTr="007D19C9">
        <w:trPr>
          <w:trHeight w:val="516"/>
        </w:trPr>
        <w:tc>
          <w:tcPr>
            <w:tcW w:w="9634" w:type="dxa"/>
          </w:tcPr>
          <w:p w14:paraId="60063AD1" w14:textId="3D06B51F" w:rsidR="00670D5C" w:rsidRDefault="008D221D">
            <w:hyperlink r:id="rId6" w:history="1">
              <w:r w:rsidRPr="008D221D">
                <w:rPr>
                  <w:rStyle w:val="Hyperlink"/>
                </w:rPr>
                <w:t>Amnesty International</w:t>
              </w:r>
            </w:hyperlink>
          </w:p>
        </w:tc>
      </w:tr>
      <w:tr w:rsidR="00670D5C" w14:paraId="623D570B" w14:textId="77777777" w:rsidTr="007D19C9">
        <w:trPr>
          <w:trHeight w:val="516"/>
        </w:trPr>
        <w:tc>
          <w:tcPr>
            <w:tcW w:w="9634" w:type="dxa"/>
          </w:tcPr>
          <w:p w14:paraId="4BF71DC1" w14:textId="225F2D5B" w:rsidR="00670D5C" w:rsidRDefault="008D221D">
            <w:hyperlink r:id="rId7" w:history="1">
              <w:r w:rsidRPr="008D221D">
                <w:rPr>
                  <w:rStyle w:val="Hyperlink"/>
                </w:rPr>
                <w:t>Arab Organization for Human Rights (AOHR)</w:t>
              </w:r>
            </w:hyperlink>
          </w:p>
        </w:tc>
      </w:tr>
      <w:tr w:rsidR="00670D5C" w14:paraId="6D025AA4" w14:textId="77777777" w:rsidTr="008D221D">
        <w:trPr>
          <w:trHeight w:val="1357"/>
        </w:trPr>
        <w:tc>
          <w:tcPr>
            <w:tcW w:w="9634" w:type="dxa"/>
          </w:tcPr>
          <w:p w14:paraId="66412A58" w14:textId="05EDEA4C" w:rsidR="00670D5C" w:rsidRDefault="008D221D">
            <w:hyperlink r:id="rId8" w:history="1">
              <w:r w:rsidRPr="008D221D">
                <w:rPr>
                  <w:rStyle w:val="Hyperlink"/>
                  <w:rFonts w:eastAsia="Times New Roman"/>
                </w:rPr>
                <w:t>Committee for Justice (CFJ), DIGNITY, Egyptian Front for Human Rights (EFHR), Egyptian Initiative for Personal Rights (EIPR), EgyptWide for Human Rights, EuroMed Rights, International Service for Human Rights (ISHR), REDRESS, Women's International League</w:t>
              </w:r>
            </w:hyperlink>
            <w:r>
              <w:rPr>
                <w:rFonts w:eastAsia="Times New Roman"/>
              </w:rPr>
              <w:t xml:space="preserve"> </w:t>
            </w:r>
          </w:p>
        </w:tc>
      </w:tr>
      <w:tr w:rsidR="00670D5C" w14:paraId="0380CBC2" w14:textId="77777777" w:rsidTr="007D19C9">
        <w:trPr>
          <w:trHeight w:val="516"/>
        </w:trPr>
        <w:tc>
          <w:tcPr>
            <w:tcW w:w="9634" w:type="dxa"/>
          </w:tcPr>
          <w:p w14:paraId="0E5C3C45" w14:textId="4DED4EFD" w:rsidR="00670D5C" w:rsidRDefault="008D221D">
            <w:hyperlink r:id="rId9" w:history="1">
              <w:r w:rsidRPr="008D221D">
                <w:rPr>
                  <w:rStyle w:val="Hyperlink"/>
                  <w:rFonts w:eastAsia="Times New Roman"/>
                </w:rPr>
                <w:t>Conscience and Peace Tax International (CPTI)</w:t>
              </w:r>
            </w:hyperlink>
          </w:p>
        </w:tc>
      </w:tr>
      <w:tr w:rsidR="00670D5C" w14:paraId="757B0EC1" w14:textId="77777777" w:rsidTr="007D19C9">
        <w:trPr>
          <w:trHeight w:val="516"/>
        </w:trPr>
        <w:tc>
          <w:tcPr>
            <w:tcW w:w="9634" w:type="dxa"/>
          </w:tcPr>
          <w:p w14:paraId="7F1576CA" w14:textId="1B1EAC89" w:rsidR="00670D5C" w:rsidRDefault="008D221D">
            <w:hyperlink r:id="rId10" w:history="1">
              <w:r w:rsidRPr="008D221D">
                <w:rPr>
                  <w:rStyle w:val="Hyperlink"/>
                  <w:rFonts w:eastAsia="Times New Roman"/>
                </w:rPr>
                <w:t>Egyptian Organization for Human Rights (EOHR)</w:t>
              </w:r>
            </w:hyperlink>
          </w:p>
        </w:tc>
      </w:tr>
      <w:tr w:rsidR="00670D5C" w14:paraId="373F1DFD" w14:textId="77777777" w:rsidTr="007D19C9">
        <w:trPr>
          <w:trHeight w:val="486"/>
        </w:trPr>
        <w:tc>
          <w:tcPr>
            <w:tcW w:w="9634" w:type="dxa"/>
          </w:tcPr>
          <w:p w14:paraId="0CF1E732" w14:textId="05B08793" w:rsidR="00670D5C" w:rsidRDefault="008D221D">
            <w:hyperlink r:id="rId11" w:history="1">
              <w:r w:rsidRPr="008D221D">
                <w:rPr>
                  <w:rStyle w:val="Hyperlink"/>
                  <w:rFonts w:eastAsia="Times New Roman"/>
                </w:rPr>
                <w:t>El Hak Foundation for Freedom of Expression and Human Rights</w:t>
              </w:r>
            </w:hyperlink>
          </w:p>
        </w:tc>
      </w:tr>
      <w:tr w:rsidR="008D221D" w14:paraId="55E93861" w14:textId="77777777" w:rsidTr="007D19C9">
        <w:trPr>
          <w:trHeight w:val="486"/>
        </w:trPr>
        <w:tc>
          <w:tcPr>
            <w:tcW w:w="9634" w:type="dxa"/>
          </w:tcPr>
          <w:p w14:paraId="23D24D39" w14:textId="543EF94B" w:rsidR="008D221D" w:rsidRDefault="008D221D">
            <w:pPr>
              <w:rPr>
                <w:rFonts w:eastAsia="Times New Roman"/>
              </w:rPr>
            </w:pPr>
            <w:hyperlink r:id="rId12" w:history="1">
              <w:r w:rsidRPr="008D221D">
                <w:rPr>
                  <w:rStyle w:val="Hyperlink"/>
                  <w:rFonts w:eastAsia="Times New Roman"/>
                </w:rPr>
                <w:t>Forum for Development and Human Rights Dialogue (FDHRD)</w:t>
              </w:r>
            </w:hyperlink>
          </w:p>
        </w:tc>
      </w:tr>
      <w:tr w:rsidR="008D221D" w14:paraId="1797237E" w14:textId="77777777" w:rsidTr="007D19C9">
        <w:trPr>
          <w:trHeight w:val="486"/>
        </w:trPr>
        <w:tc>
          <w:tcPr>
            <w:tcW w:w="9634" w:type="dxa"/>
          </w:tcPr>
          <w:p w14:paraId="3BED3F03" w14:textId="3D3A4C57" w:rsidR="008D221D" w:rsidRDefault="008D221D">
            <w:pPr>
              <w:rPr>
                <w:rFonts w:eastAsia="Times New Roman"/>
              </w:rPr>
            </w:pPr>
            <w:hyperlink r:id="rId13" w:history="1">
              <w:r w:rsidRPr="008D221D">
                <w:rPr>
                  <w:rStyle w:val="Hyperlink"/>
                  <w:rFonts w:eastAsia="Times New Roman"/>
                </w:rPr>
                <w:t>International Commission of Jurists</w:t>
              </w:r>
            </w:hyperlink>
          </w:p>
        </w:tc>
      </w:tr>
      <w:tr w:rsidR="008D221D" w14:paraId="462B6276" w14:textId="77777777" w:rsidTr="007D19C9">
        <w:trPr>
          <w:trHeight w:val="486"/>
        </w:trPr>
        <w:tc>
          <w:tcPr>
            <w:tcW w:w="9634" w:type="dxa"/>
          </w:tcPr>
          <w:p w14:paraId="697EF289" w14:textId="4B67FF37" w:rsidR="008D221D" w:rsidRDefault="008D221D">
            <w:pPr>
              <w:rPr>
                <w:rFonts w:eastAsia="Times New Roman"/>
              </w:rPr>
            </w:pPr>
            <w:hyperlink r:id="rId14" w:history="1">
              <w:r w:rsidRPr="008D221D">
                <w:rPr>
                  <w:rStyle w:val="Hyperlink"/>
                  <w:rFonts w:eastAsia="Times New Roman"/>
                </w:rPr>
                <w:t>Lawyers for Lawyers Foundation</w:t>
              </w:r>
            </w:hyperlink>
          </w:p>
        </w:tc>
      </w:tr>
      <w:tr w:rsidR="008D221D" w14:paraId="7ED413CF" w14:textId="77777777" w:rsidTr="007D19C9">
        <w:trPr>
          <w:trHeight w:val="486"/>
        </w:trPr>
        <w:tc>
          <w:tcPr>
            <w:tcW w:w="9634" w:type="dxa"/>
          </w:tcPr>
          <w:p w14:paraId="4F580567" w14:textId="03C5A605" w:rsidR="008D221D" w:rsidRDefault="008D221D">
            <w:pPr>
              <w:rPr>
                <w:rFonts w:eastAsia="Times New Roman"/>
              </w:rPr>
            </w:pPr>
            <w:hyperlink r:id="rId15" w:history="1">
              <w:r w:rsidRPr="008D221D">
                <w:rPr>
                  <w:rStyle w:val="Hyperlink"/>
                  <w:rFonts w:eastAsia="Times New Roman"/>
                </w:rPr>
                <w:t>Maat for Peace, Development, and Human Rights</w:t>
              </w:r>
            </w:hyperlink>
          </w:p>
        </w:tc>
      </w:tr>
      <w:tr w:rsidR="008D221D" w14:paraId="0C93734E" w14:textId="77777777" w:rsidTr="007D19C9">
        <w:trPr>
          <w:trHeight w:val="486"/>
        </w:trPr>
        <w:tc>
          <w:tcPr>
            <w:tcW w:w="9634" w:type="dxa"/>
          </w:tcPr>
          <w:p w14:paraId="30858030" w14:textId="088C40A0" w:rsidR="008D221D" w:rsidRDefault="008D221D">
            <w:pPr>
              <w:rPr>
                <w:rFonts w:eastAsia="Times New Roman"/>
              </w:rPr>
            </w:pPr>
            <w:hyperlink r:id="rId16" w:history="1">
              <w:r w:rsidRPr="008D221D">
                <w:rPr>
                  <w:rStyle w:val="Hyperlink"/>
                  <w:rFonts w:eastAsia="Times New Roman"/>
                </w:rPr>
                <w:t>Minority Rights Group International (MRG)</w:t>
              </w:r>
            </w:hyperlink>
          </w:p>
        </w:tc>
      </w:tr>
      <w:tr w:rsidR="008D221D" w14:paraId="53D70DEB" w14:textId="77777777" w:rsidTr="007D19C9">
        <w:trPr>
          <w:trHeight w:val="486"/>
        </w:trPr>
        <w:tc>
          <w:tcPr>
            <w:tcW w:w="9634" w:type="dxa"/>
          </w:tcPr>
          <w:p w14:paraId="6C09ED07" w14:textId="47CE3AF1" w:rsidR="008D221D" w:rsidRDefault="008D221D">
            <w:pPr>
              <w:rPr>
                <w:rFonts w:eastAsia="Times New Roman"/>
              </w:rPr>
            </w:pPr>
            <w:hyperlink r:id="rId17" w:history="1">
              <w:r w:rsidRPr="008D221D">
                <w:rPr>
                  <w:rStyle w:val="Hyperlink"/>
                  <w:rFonts w:eastAsia="Times New Roman"/>
                </w:rPr>
                <w:t>National Association for the Defense of Rights and Freedoms</w:t>
              </w:r>
            </w:hyperlink>
          </w:p>
        </w:tc>
      </w:tr>
      <w:tr w:rsidR="008D221D" w14:paraId="3F925554" w14:textId="77777777" w:rsidTr="007D19C9">
        <w:trPr>
          <w:trHeight w:val="486"/>
        </w:trPr>
        <w:tc>
          <w:tcPr>
            <w:tcW w:w="9634" w:type="dxa"/>
          </w:tcPr>
          <w:p w14:paraId="289D8F61" w14:textId="6608FFD7" w:rsidR="008D221D" w:rsidRDefault="008D221D">
            <w:pPr>
              <w:rPr>
                <w:rFonts w:eastAsia="Times New Roman"/>
              </w:rPr>
            </w:pPr>
            <w:hyperlink r:id="rId18" w:history="1">
              <w:r w:rsidRPr="008D221D">
                <w:rPr>
                  <w:rStyle w:val="Hyperlink"/>
                  <w:rFonts w:eastAsia="Times New Roman"/>
                </w:rPr>
                <w:t>Partners for Transparency</w:t>
              </w:r>
            </w:hyperlink>
          </w:p>
        </w:tc>
      </w:tr>
      <w:tr w:rsidR="008D221D" w14:paraId="3E00EF39" w14:textId="77777777" w:rsidTr="007D19C9">
        <w:trPr>
          <w:trHeight w:val="486"/>
        </w:trPr>
        <w:tc>
          <w:tcPr>
            <w:tcW w:w="9634" w:type="dxa"/>
          </w:tcPr>
          <w:p w14:paraId="3040B8DE" w14:textId="63C3D1B3" w:rsidR="008D221D" w:rsidRDefault="008D221D">
            <w:pPr>
              <w:rPr>
                <w:rFonts w:eastAsia="Times New Roman"/>
              </w:rPr>
            </w:pPr>
            <w:hyperlink r:id="rId19" w:history="1">
              <w:r w:rsidRPr="008D221D">
                <w:rPr>
                  <w:rStyle w:val="Hyperlink"/>
                  <w:rFonts w:eastAsia="Times New Roman"/>
                </w:rPr>
                <w:t>The Advocates for Human Rights, The World Coalition Against the Death Penalty, and Reprieve</w:t>
              </w:r>
            </w:hyperlink>
          </w:p>
        </w:tc>
      </w:tr>
      <w:tr w:rsidR="008D221D" w14:paraId="5CE717BF" w14:textId="77777777" w:rsidTr="007D19C9">
        <w:trPr>
          <w:trHeight w:val="486"/>
        </w:trPr>
        <w:tc>
          <w:tcPr>
            <w:tcW w:w="9634" w:type="dxa"/>
          </w:tcPr>
          <w:p w14:paraId="435CDF16" w14:textId="477DC365" w:rsidR="008D221D" w:rsidRDefault="008D221D">
            <w:pPr>
              <w:rPr>
                <w:rFonts w:eastAsia="Times New Roman"/>
              </w:rPr>
            </w:pPr>
            <w:hyperlink r:id="rId20" w:history="1">
              <w:r w:rsidRPr="008D221D">
                <w:rPr>
                  <w:rStyle w:val="Hyperlink"/>
                  <w:rFonts w:eastAsia="Times New Roman"/>
                </w:rPr>
                <w:t>The Egyptian Center for Women's Rights (ECWR)</w:t>
              </w:r>
            </w:hyperlink>
          </w:p>
        </w:tc>
      </w:tr>
    </w:tbl>
    <w:p w14:paraId="3EAB004B" w14:textId="77777777" w:rsidR="00670D5C" w:rsidRDefault="00670D5C"/>
    <w:p w14:paraId="3B3790EA" w14:textId="77777777" w:rsidR="008D221D" w:rsidRDefault="008D221D"/>
    <w:sectPr w:rsidR="008D22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5C"/>
    <w:rsid w:val="002357F3"/>
    <w:rsid w:val="00581165"/>
    <w:rsid w:val="005970A4"/>
    <w:rsid w:val="00670D5C"/>
    <w:rsid w:val="007945DE"/>
    <w:rsid w:val="007D19C9"/>
    <w:rsid w:val="00860E09"/>
    <w:rsid w:val="008D221D"/>
    <w:rsid w:val="00D741D2"/>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decimalSymbol w:val="."/>
  <w:listSeparator w:val=","/>
  <w14:docId w14:val="1AD6CAAA"/>
  <w15:chartTrackingRefBased/>
  <w15:docId w15:val="{1447E56B-52EE-1A48-B5BB-B41C7D07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001"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D5C"/>
    <w:pPr>
      <w:spacing w:after="0" w:line="240" w:lineRule="auto"/>
    </w:pPr>
    <w:rPr>
      <w:rFonts w:ascii="Times New Roman" w:eastAsiaTheme="minorEastAsia" w:hAnsi="Times New Roman" w:cs="Times New Roman"/>
      <w:kern w:val="0"/>
      <w14:ligatures w14:val="none"/>
    </w:rPr>
  </w:style>
  <w:style w:type="paragraph" w:styleId="Heading1">
    <w:name w:val="heading 1"/>
    <w:basedOn w:val="Normal"/>
    <w:next w:val="Normal"/>
    <w:link w:val="Heading1Char"/>
    <w:uiPriority w:val="9"/>
    <w:qFormat/>
    <w:rsid w:val="00670D5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70D5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70D5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70D5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70D5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70D5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70D5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70D5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70D5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D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D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D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D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D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D5C"/>
    <w:rPr>
      <w:rFonts w:eastAsiaTheme="majorEastAsia" w:cstheme="majorBidi"/>
      <w:color w:val="272727" w:themeColor="text1" w:themeTint="D8"/>
    </w:rPr>
  </w:style>
  <w:style w:type="paragraph" w:styleId="Title">
    <w:name w:val="Title"/>
    <w:basedOn w:val="Normal"/>
    <w:next w:val="Normal"/>
    <w:link w:val="TitleChar"/>
    <w:uiPriority w:val="10"/>
    <w:qFormat/>
    <w:rsid w:val="00670D5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70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D5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70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D5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70D5C"/>
    <w:rPr>
      <w:i/>
      <w:iCs/>
      <w:color w:val="404040" w:themeColor="text1" w:themeTint="BF"/>
    </w:rPr>
  </w:style>
  <w:style w:type="paragraph" w:styleId="ListParagraph">
    <w:name w:val="List Paragraph"/>
    <w:basedOn w:val="Normal"/>
    <w:uiPriority w:val="34"/>
    <w:qFormat/>
    <w:rsid w:val="00670D5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70D5C"/>
    <w:rPr>
      <w:i/>
      <w:iCs/>
      <w:color w:val="0F4761" w:themeColor="accent1" w:themeShade="BF"/>
    </w:rPr>
  </w:style>
  <w:style w:type="paragraph" w:styleId="IntenseQuote">
    <w:name w:val="Intense Quote"/>
    <w:basedOn w:val="Normal"/>
    <w:next w:val="Normal"/>
    <w:link w:val="IntenseQuoteChar"/>
    <w:uiPriority w:val="30"/>
    <w:qFormat/>
    <w:rsid w:val="00670D5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70D5C"/>
    <w:rPr>
      <w:i/>
      <w:iCs/>
      <w:color w:val="0F4761" w:themeColor="accent1" w:themeShade="BF"/>
    </w:rPr>
  </w:style>
  <w:style w:type="character" w:styleId="IntenseReference">
    <w:name w:val="Intense Reference"/>
    <w:basedOn w:val="DefaultParagraphFont"/>
    <w:uiPriority w:val="32"/>
    <w:qFormat/>
    <w:rsid w:val="00670D5C"/>
    <w:rPr>
      <w:b/>
      <w:bCs/>
      <w:smallCaps/>
      <w:color w:val="0F4761" w:themeColor="accent1" w:themeShade="BF"/>
      <w:spacing w:val="5"/>
    </w:rPr>
  </w:style>
  <w:style w:type="table" w:styleId="TableGrid">
    <w:name w:val="Table Grid"/>
    <w:basedOn w:val="TableNormal"/>
    <w:uiPriority w:val="39"/>
    <w:rsid w:val="0067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0D5C"/>
    <w:rPr>
      <w:color w:val="467886" w:themeColor="hyperlink"/>
      <w:u w:val="single"/>
    </w:rPr>
  </w:style>
  <w:style w:type="character" w:styleId="UnresolvedMention">
    <w:name w:val="Unresolved Mention"/>
    <w:basedOn w:val="DefaultParagraphFont"/>
    <w:uiPriority w:val="99"/>
    <w:semiHidden/>
    <w:unhideWhenUsed/>
    <w:rsid w:val="00670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65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Draft.aspx?key=HIeIrYe/c40buW/mmf1PCjVQWIgSlzhGm5E7juUsoFe+W99QTE6AkE8QpgWPutKH" TargetMode="External"/><Relationship Id="rId13" Type="http://schemas.openxmlformats.org/officeDocument/2006/relationships/hyperlink" Target="https://tbinternet.ohchr.org/_layouts/15/TreatyBodyExternal/DownloadDraft.aspx?key=tYfnY+kykr07UQCdGGHrTXzd94W7NTujWbkYIV39Wg2gM89+2hoFdXWQc86F2E9j" TargetMode="External"/><Relationship Id="rId18" Type="http://schemas.openxmlformats.org/officeDocument/2006/relationships/hyperlink" Target="https://tbinternet.ohchr.org/_layouts/15/TreatyBodyExternal/DownloadDraft.aspx?key=pDqpIZBb7v8oaVgT3xJIkHdZ+qBkXVBlnMl2DeMCttRdkJx4h8eKhoCeXnk3NPl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tbinternet.ohchr.org/_layouts/15/TreatyBodyExternal/DownloadDraft.aspx?key=Wch39N8Lyqh944xBX/pi2e/24Q+E+rz2DPrV3D/87p67f5vRNq7B3z9DL+99d0AD" TargetMode="External"/><Relationship Id="rId12" Type="http://schemas.openxmlformats.org/officeDocument/2006/relationships/hyperlink" Target="https://tbinternet.ohchr.org/_layouts/15/TreatyBodyExternal/DownloadDraft.aspx?key=9/LKkp+fNJX6l1TkNl7T8ID9jTJKZXL9Lh6u44l/9FVW4YKX3V9YzJ1IGjqk4v+s" TargetMode="External"/><Relationship Id="rId17" Type="http://schemas.openxmlformats.org/officeDocument/2006/relationships/hyperlink" Target="https://tbinternet.ohchr.org/_layouts/15/TreatyBodyExternal/DownloadDraft.aspx?key=RM3dj6HzhAkzyAQcm0WBEI2SZ3e3VNzjHW/1yP0ejxIx0rCZFtI7hFU9ICjPKivE" TargetMode="External"/><Relationship Id="rId2" Type="http://schemas.openxmlformats.org/officeDocument/2006/relationships/settings" Target="settings.xml"/><Relationship Id="rId16" Type="http://schemas.openxmlformats.org/officeDocument/2006/relationships/hyperlink" Target="https://tbinternet.ohchr.org/_layouts/15/TreatyBodyExternal/DownloadDraft.aspx?key=vWpZhawYIu5G8jWidH19JjxK3WWj7kfjfihYSaiHfu2O/4sgvpIA9lW8iaa4/rp7" TargetMode="External"/><Relationship Id="rId20" Type="http://schemas.openxmlformats.org/officeDocument/2006/relationships/hyperlink" Target="https://tbinternet.ohchr.org/_layouts/15/TreatyBodyExternal/DownloadDraft.aspx?key=Sc5GP3O6HabCvm/HO07ffBP9ydm6Hgw+vmvXoqSz8DH7ZUhTYCsWt9t7JsAN9pI1" TargetMode="External"/><Relationship Id="rId1" Type="http://schemas.openxmlformats.org/officeDocument/2006/relationships/styles" Target="styles.xml"/><Relationship Id="rId6" Type="http://schemas.openxmlformats.org/officeDocument/2006/relationships/hyperlink" Target="https://tbinternet.ohchr.org/_layouts/15/TreatyBodyExternal/DownloadDraft.aspx?key=hcUuROWhocX+YuOmwCDm+w0hIph+IxxjutOQS8gTIRyJPSgY7DxPNmPdgQmD9nRt" TargetMode="External"/><Relationship Id="rId11" Type="http://schemas.openxmlformats.org/officeDocument/2006/relationships/hyperlink" Target="https://tbinternet.ohchr.org/_layouts/15/TreatyBodyExternal/DownloadDraft.aspx?key=WZ4CR9rnSJ3FQcW69NkhhYsc8gB4tMvxQaDP1KxQy5av04v9c5Q1pRg3O+EZ8hN9" TargetMode="External"/><Relationship Id="rId5" Type="http://schemas.openxmlformats.org/officeDocument/2006/relationships/hyperlink" Target="https://tbinternet.ohchr.org/_layouts/15/TreatyBodyExternal/DownloadDraft.aspx?key=XiXkCcu6+w2ejPDbJoL9JhbIamTvVNvuhOhayZQgn9KctC3CAdrWdfsJjnGSmdZm" TargetMode="External"/><Relationship Id="rId15" Type="http://schemas.openxmlformats.org/officeDocument/2006/relationships/hyperlink" Target="https://tbinternet.ohchr.org/_layouts/15/TreatyBodyExternal/DownloadDraft.aspx?key=9X2DmGehI+dKV9lFMqR5ggYJRrozDGZ9ePZESRAqtipIsMUocRbz7AdwI4EJucgR" TargetMode="External"/><Relationship Id="rId10" Type="http://schemas.openxmlformats.org/officeDocument/2006/relationships/hyperlink" Target="https://tbinternet.ohchr.org/_layouts/15/TreatyBodyExternal/DownloadDraft.aspx?key=qreNDkvbvx73L82YuJuYDl2GTg0E+sRfUw9gwImKYmHsjRljeSy7hLSE8KUqKqcg" TargetMode="External"/><Relationship Id="rId19" Type="http://schemas.openxmlformats.org/officeDocument/2006/relationships/hyperlink" Target="https://tbinternet.ohchr.org/_layouts/15/TreatyBodyExternal/DownloadDraft.aspx?key=pREmUZyZ1WDBYhXbWnHFZjltjGTjoFgI1G1+NeiuXtqKjZ7sGfYpOgfKBlWFVn9T" TargetMode="External"/><Relationship Id="rId4" Type="http://schemas.openxmlformats.org/officeDocument/2006/relationships/image" Target="media/image1.jpeg"/><Relationship Id="rId9" Type="http://schemas.openxmlformats.org/officeDocument/2006/relationships/hyperlink" Target="https://tbinternet.ohchr.org/_layouts/15/TreatyBodyExternal/DownloadDraft.aspx?key=mRD/y7uQ5VMLt2+azFEwilVHgvJKC0F5WmrldvNx1JIOuEmWDMae9Hklxcdu0v+g" TargetMode="External"/><Relationship Id="rId14" Type="http://schemas.openxmlformats.org/officeDocument/2006/relationships/hyperlink" Target="https://tbinternet.ohchr.org/_layouts/15/TreatyBodyExternal/DownloadDraft.aspx?key=M2T5IiM/KyEMiFYG0sqHreN75+Vsz6vyXcbrIrrKes5zPT0NSQbM3igRLWNuMaZ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Additiya Mukherjee</dc:creator>
  <cp:keywords/>
  <dc:description/>
  <cp:lastModifiedBy>Additiya Mukherjee</cp:lastModifiedBy>
  <cp:revision>2</cp:revision>
  <dcterms:created xsi:type="dcterms:W3CDTF">2025-03-20T09:41:00Z</dcterms:created>
  <dcterms:modified xsi:type="dcterms:W3CDTF">2025-03-20T09:41:00Z</dcterms:modified>
</cp:coreProperties>
</file>