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A304" w14:textId="522C8827" w:rsidR="00CB079B" w:rsidRDefault="009752B6" w:rsidP="00CB079B">
      <w:pPr>
        <w:spacing w:before="120" w:after="120"/>
        <w:jc w:val="both"/>
        <w:rPr>
          <w:rFonts w:ascii="Gill Sans MT" w:hAnsi="Gill Sans MT"/>
          <w:lang w:val="en-GB"/>
        </w:rPr>
      </w:pPr>
      <w:bookmarkStart w:id="0" w:name="_GoBack"/>
      <w:bookmarkEnd w:id="0"/>
      <w:r w:rsidRPr="003E0C06">
        <w:rPr>
          <w:rFonts w:ascii="Gill Sans MT" w:hAnsi="Gill Sans MT"/>
          <w:lang w:val="en-GB"/>
        </w:rPr>
        <w:t xml:space="preserve">Kazakhstan has demonstrated some interest in improving its human rights policies, </w:t>
      </w:r>
      <w:r w:rsidR="00FF679B" w:rsidRPr="00671369">
        <w:rPr>
          <w:rFonts w:ascii="Gill Sans MT" w:hAnsi="Gill Sans MT"/>
          <w:lang w:val="en-GB"/>
        </w:rPr>
        <w:t xml:space="preserve">consultation </w:t>
      </w:r>
      <w:r w:rsidRPr="00671369">
        <w:rPr>
          <w:rFonts w:ascii="Gill Sans MT" w:hAnsi="Gill Sans MT"/>
          <w:lang w:val="en-GB"/>
        </w:rPr>
        <w:t>with civil society on reform, fulf</w:t>
      </w:r>
      <w:r w:rsidR="00886883">
        <w:rPr>
          <w:rFonts w:ascii="Gill Sans MT" w:hAnsi="Gill Sans MT"/>
          <w:lang w:val="en-GB"/>
        </w:rPr>
        <w:t>illing Human Rights Committee (Committee)</w:t>
      </w:r>
      <w:r w:rsidRPr="00671369">
        <w:rPr>
          <w:rFonts w:ascii="Gill Sans MT" w:hAnsi="Gill Sans MT"/>
          <w:lang w:val="en-GB"/>
        </w:rPr>
        <w:t xml:space="preserve"> recommendations,</w:t>
      </w:r>
      <w:r w:rsidR="00CB079B" w:rsidRPr="00805906">
        <w:rPr>
          <w:rStyle w:val="EndnoteReference"/>
          <w:rFonts w:ascii="Gill Sans MT" w:hAnsi="Gill Sans MT"/>
          <w:lang w:val="en-GB"/>
        </w:rPr>
        <w:endnoteReference w:id="1"/>
      </w:r>
      <w:r w:rsidR="00CB079B" w:rsidRPr="00805906">
        <w:rPr>
          <w:rFonts w:ascii="Gill Sans MT" w:hAnsi="Gill Sans MT"/>
          <w:lang w:val="en-GB"/>
        </w:rPr>
        <w:t xml:space="preserve"> </w:t>
      </w:r>
      <w:r w:rsidR="00CB079B" w:rsidRPr="00671369">
        <w:rPr>
          <w:rFonts w:ascii="Gill Sans MT" w:hAnsi="Gill Sans MT"/>
          <w:lang w:val="en-GB"/>
        </w:rPr>
        <w:t>and engaging with the Dialogue Platform on Human Dimension together with the Organization for Security and Co-operation in Europe (OSCE). Nevertheless, since the Committee’s Concluding Observations in 2011, the rights of human rights defenders (‘HRD’), civil society, journalists and media in Kazakhstan guaranteed under the International Covenant on Civil and Political Rights (ICCPR) continue to be eroded. HRDs consistently face physical and verbal threats, intimidation, judicial harassment, and arbitrary detention.</w:t>
      </w:r>
      <w:r w:rsidR="00CB079B" w:rsidRPr="00671369">
        <w:rPr>
          <w:rStyle w:val="EndnoteReference"/>
          <w:rFonts w:ascii="Gill Sans MT" w:hAnsi="Gill Sans MT"/>
          <w:lang w:val="en-GB"/>
        </w:rPr>
        <w:endnoteReference w:id="2"/>
      </w:r>
      <w:r w:rsidR="00CB079B" w:rsidRPr="00671369">
        <w:rPr>
          <w:rFonts w:ascii="Gill Sans MT" w:hAnsi="Gill Sans MT"/>
          <w:lang w:val="en-GB"/>
        </w:rPr>
        <w:t xml:space="preserve"> Legislation enshrined over the past year</w:t>
      </w:r>
      <w:r w:rsidR="00CB079B">
        <w:rPr>
          <w:rFonts w:ascii="Gill Sans MT" w:hAnsi="Gill Sans MT"/>
          <w:lang w:val="en-GB"/>
        </w:rPr>
        <w:t xml:space="preserve"> has</w:t>
      </w:r>
      <w:r w:rsidR="00CB079B" w:rsidRPr="00671369">
        <w:rPr>
          <w:rFonts w:ascii="Gill Sans MT" w:hAnsi="Gill Sans MT"/>
          <w:lang w:val="en-GB"/>
        </w:rPr>
        <w:t xml:space="preserve"> entrench pre-existing, and extend, limits on freedom of expression, association, peaceful assembly and religion, including disproportionate sanctions contrary to the ICCPR.</w:t>
      </w:r>
      <w:r w:rsidR="00CB079B" w:rsidRPr="00671369">
        <w:rPr>
          <w:rStyle w:val="EndnoteReference"/>
          <w:rFonts w:ascii="Gill Sans MT" w:hAnsi="Gill Sans MT"/>
          <w:lang w:val="en-GB"/>
        </w:rPr>
        <w:endnoteReference w:id="3"/>
      </w:r>
      <w:r w:rsidR="00CB079B" w:rsidRPr="00671369">
        <w:rPr>
          <w:rFonts w:ascii="Gill Sans MT" w:hAnsi="Gill Sans MT"/>
          <w:lang w:val="en-GB"/>
        </w:rPr>
        <w:t xml:space="preserve"> The Committee, the European Union (EU), OSCE, various UN Special Rapporteurs, and civil society groups have all expressed concern about these regressions. </w:t>
      </w:r>
    </w:p>
    <w:p w14:paraId="2FA2096D" w14:textId="77777777" w:rsidR="00CB079B" w:rsidRDefault="00CB079B" w:rsidP="00CB079B">
      <w:pPr>
        <w:spacing w:before="120" w:after="120"/>
        <w:jc w:val="both"/>
        <w:rPr>
          <w:rFonts w:ascii="Gill Sans MT" w:hAnsi="Gill Sans MT"/>
          <w:lang w:val="en-GB"/>
        </w:rPr>
      </w:pPr>
    </w:p>
    <w:p w14:paraId="1907F2F2" w14:textId="77777777" w:rsidR="00CB079B" w:rsidRPr="00671369" w:rsidRDefault="00CB079B" w:rsidP="00CB079B">
      <w:pPr>
        <w:widowControl w:val="0"/>
        <w:autoSpaceDE w:val="0"/>
        <w:autoSpaceDN w:val="0"/>
        <w:adjustRightInd w:val="0"/>
        <w:spacing w:before="120" w:after="120"/>
        <w:contextualSpacing/>
        <w:jc w:val="both"/>
        <w:rPr>
          <w:rFonts w:ascii="Gill Sans MT" w:eastAsiaTheme="minorEastAsia" w:hAnsi="Gill Sans MT" w:cs="Times"/>
          <w:b/>
          <w:lang w:val="en-GB"/>
        </w:rPr>
      </w:pPr>
      <w:r w:rsidRPr="00671369">
        <w:rPr>
          <w:rFonts w:ascii="Gill Sans MT" w:eastAsiaTheme="minorEastAsia" w:hAnsi="Gill Sans MT" w:cs="Gill Sans"/>
          <w:b/>
          <w:color w:val="CC0031"/>
          <w:lang w:val="en-GB"/>
        </w:rPr>
        <w:t xml:space="preserve">RISKS FACING HUMAN RIGHTS DEFENDERS </w:t>
      </w:r>
    </w:p>
    <w:p w14:paraId="5BFD9D70" w14:textId="77777777" w:rsidR="00CB079B" w:rsidRPr="00671369"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eastAsiaTheme="minorEastAsia" w:hAnsi="Gill Sans MT" w:cs="Gill Sans"/>
          <w:lang w:val="en-GB"/>
        </w:rPr>
      </w:pPr>
      <w:r w:rsidRPr="003E0C06">
        <w:rPr>
          <w:rFonts w:ascii="Gill Sans MT" w:eastAsiaTheme="minorEastAsia" w:hAnsi="Gill Sans MT" w:cs="Gill Sans"/>
          <w:lang w:val="en-GB"/>
        </w:rPr>
        <w:t xml:space="preserve">Kazakhstan is characterised by the use of State legislation and apparatus to severely restrict freedom of expression and assembly as well as human rights monitoring and promotion. </w:t>
      </w:r>
      <w:r w:rsidRPr="00805906">
        <w:rPr>
          <w:rFonts w:ascii="MS Gothic" w:eastAsia="MS Gothic" w:hAnsi="MS Gothic" w:cs="MS Gothic" w:hint="eastAsia"/>
          <w:lang w:val="en-GB"/>
        </w:rPr>
        <w:t> </w:t>
      </w:r>
    </w:p>
    <w:p w14:paraId="7A590EA4" w14:textId="0009FBA7" w:rsidR="00CB079B" w:rsidRPr="00671369"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eastAsiaTheme="minorEastAsia" w:hAnsi="Gill Sans MT" w:cs="Gill Sans"/>
          <w:lang w:val="en-GB"/>
        </w:rPr>
      </w:pPr>
      <w:r w:rsidRPr="00671369">
        <w:rPr>
          <w:rFonts w:ascii="Gill Sans MT" w:eastAsiaTheme="minorEastAsia" w:hAnsi="Gill Sans MT" w:cs="Gill Sans"/>
          <w:lang w:val="en-GB"/>
        </w:rPr>
        <w:t>In addition to fear and censorship provoked by Kazakhstan’s repressive laws, the 2014 Human Rights Watch World Report documented that HRDs in Kazakhstan face physical and verbal threats, acts of intimidation, judicial harassment, and arbitrary detention</w:t>
      </w:r>
      <w:r w:rsidRPr="00671369">
        <w:rPr>
          <w:rFonts w:ascii="Gill Sans MT" w:hAnsi="Gill Sans MT" w:cs="Gill Sans"/>
          <w:lang w:val="en-GB"/>
        </w:rPr>
        <w:t>.</w:t>
      </w:r>
      <w:r w:rsidRPr="00671369">
        <w:rPr>
          <w:rStyle w:val="EndnoteReference"/>
          <w:rFonts w:ascii="Gill Sans MT" w:hAnsi="Gill Sans MT" w:cs="Gill Sans"/>
          <w:lang w:val="en-GB"/>
        </w:rPr>
        <w:endnoteReference w:id="4"/>
      </w:r>
    </w:p>
    <w:p w14:paraId="0A23F374" w14:textId="722FD0F9" w:rsidR="00CB079B" w:rsidRPr="00671369"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eastAsiaTheme="minorEastAsia" w:hAnsi="Gill Sans MT" w:cs="Gill Sans"/>
          <w:lang w:val="en-GB"/>
        </w:rPr>
      </w:pPr>
      <w:r w:rsidRPr="00671369">
        <w:rPr>
          <w:rFonts w:ascii="Gill Sans MT" w:eastAsiaTheme="minorEastAsia" w:hAnsi="Gill Sans MT" w:cs="Gill Sans"/>
          <w:lang w:val="en-GB"/>
        </w:rPr>
        <w:t>In December 2011, security forces used provocation, unidentified attackers, social pressure, staged accidents, and detention to suppress an oil workers’ strike in Zhanaozen</w:t>
      </w:r>
      <w:r>
        <w:rPr>
          <w:rFonts w:ascii="Gill Sans MT" w:eastAsiaTheme="minorEastAsia" w:hAnsi="Gill Sans MT" w:cs="Gill Sans"/>
          <w:lang w:val="en-GB"/>
        </w:rPr>
        <w:t xml:space="preserve"> (</w:t>
      </w:r>
      <w:r w:rsidRPr="00671369">
        <w:rPr>
          <w:rFonts w:ascii="Gill Sans MT" w:eastAsiaTheme="minorEastAsia" w:hAnsi="Gill Sans MT" w:cs="Gill Sans"/>
          <w:lang w:val="en-GB"/>
        </w:rPr>
        <w:t>Zhanaozen</w:t>
      </w:r>
      <w:r>
        <w:rPr>
          <w:rFonts w:ascii="Gill Sans MT" w:eastAsiaTheme="minorEastAsia" w:hAnsi="Gill Sans MT" w:cs="Gill Sans"/>
          <w:lang w:val="en-GB"/>
        </w:rPr>
        <w:t xml:space="preserve"> Strike)</w:t>
      </w:r>
      <w:r w:rsidRPr="00671369">
        <w:rPr>
          <w:rFonts w:ascii="Gill Sans MT" w:eastAsiaTheme="minorEastAsia" w:hAnsi="Gill Sans MT" w:cs="Gill Sans"/>
          <w:lang w:val="en-GB"/>
        </w:rPr>
        <w:t>. According to Open Dialogue, this brutality resulted in at least 17 fatalities, 86 casualties, and 37 convictions.</w:t>
      </w:r>
      <w:r w:rsidRPr="00671369">
        <w:rPr>
          <w:rStyle w:val="EndnoteReference"/>
          <w:rFonts w:ascii="Gill Sans MT" w:eastAsiaTheme="minorEastAsia" w:hAnsi="Gill Sans MT" w:cs="Gill Sans"/>
          <w:lang w:val="en-GB"/>
        </w:rPr>
        <w:endnoteReference w:id="5"/>
      </w:r>
      <w:r w:rsidRPr="00671369">
        <w:rPr>
          <w:rFonts w:ascii="Gill Sans MT" w:hAnsi="Gill Sans MT" w:cs="Gill Sans"/>
          <w:lang w:val="en-GB"/>
        </w:rPr>
        <w:t xml:space="preserve"> </w:t>
      </w:r>
    </w:p>
    <w:p w14:paraId="4312737C" w14:textId="6443D9A7" w:rsidR="00CB079B" w:rsidRPr="00CF479F"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eastAsiaTheme="minorEastAsia" w:hAnsi="Gill Sans MT" w:cs="Gill Sans"/>
          <w:lang w:val="en-GB"/>
        </w:rPr>
      </w:pPr>
      <w:r w:rsidRPr="00671369">
        <w:rPr>
          <w:rFonts w:ascii="Gill Sans MT" w:hAnsi="Gill Sans MT" w:cs="Gill Sans"/>
          <w:lang w:val="en-GB"/>
        </w:rPr>
        <w:t xml:space="preserve">Kazakhstan ranked 79 (out of 109) in the 2013 CIVICUS Enabling Environment index, which measures a States openness and safety </w:t>
      </w:r>
      <w:r w:rsidRPr="00671369">
        <w:rPr>
          <w:rFonts w:ascii="Gill Sans MT" w:hAnsi="Gill Sans MT" w:cs="Gill Sans"/>
          <w:color w:val="000000" w:themeColor="text1"/>
          <w:lang w:val="en-GB"/>
        </w:rPr>
        <w:t>for civil society activism. It also ranked 4</w:t>
      </w:r>
      <w:r w:rsidRPr="00671369">
        <w:rPr>
          <w:rFonts w:ascii="Gill Sans MT" w:hAnsi="Gill Sans MT" w:cs="Gill Sans"/>
          <w:color w:val="000000" w:themeColor="text1"/>
          <w:vertAlign w:val="superscript"/>
          <w:lang w:val="en-GB"/>
        </w:rPr>
        <w:t>th</w:t>
      </w:r>
      <w:r w:rsidRPr="003E0C06">
        <w:rPr>
          <w:rFonts w:ascii="Gill Sans MT" w:hAnsi="Gill Sans MT" w:cs="Gill Sans"/>
          <w:color w:val="000000" w:themeColor="text1"/>
          <w:lang w:val="en-GB"/>
        </w:rPr>
        <w:t xml:space="preserve"> worst globally for the ‘social-cultural dimension’, </w:t>
      </w:r>
      <w:r w:rsidRPr="00671369">
        <w:rPr>
          <w:rFonts w:ascii="Gill Sans MT" w:hAnsi="Gill Sans MT" w:cs="Gill Sans"/>
          <w:color w:val="000000" w:themeColor="text1"/>
          <w:lang w:val="en-GB"/>
        </w:rPr>
        <w:t xml:space="preserve">reflecting low tolerance of ethnic and religious groups and </w:t>
      </w:r>
      <w:r>
        <w:rPr>
          <w:rFonts w:ascii="Gill Sans MT" w:hAnsi="Gill Sans MT" w:cs="Gill Sans"/>
          <w:color w:val="000000" w:themeColor="text1"/>
          <w:lang w:val="en-GB"/>
        </w:rPr>
        <w:t xml:space="preserve">low </w:t>
      </w:r>
      <w:r w:rsidRPr="00671369">
        <w:rPr>
          <w:rFonts w:ascii="Gill Sans MT" w:hAnsi="Gill Sans MT" w:cs="Gill Sans"/>
          <w:color w:val="000000" w:themeColor="text1"/>
          <w:lang w:val="en-GB"/>
        </w:rPr>
        <w:t>public trust in not-for-profit groups.</w:t>
      </w:r>
      <w:r w:rsidRPr="00671369">
        <w:rPr>
          <w:rStyle w:val="EndnoteReference"/>
          <w:rFonts w:ascii="Gill Sans MT" w:hAnsi="Gill Sans MT" w:cs="Gill Sans"/>
          <w:color w:val="000000" w:themeColor="text1"/>
        </w:rPr>
        <w:endnoteReference w:id="6"/>
      </w:r>
    </w:p>
    <w:p w14:paraId="76505796" w14:textId="77777777" w:rsidR="00CB079B" w:rsidRPr="00671369" w:rsidRDefault="00CB079B" w:rsidP="00CB079B">
      <w:pPr>
        <w:pStyle w:val="ListParagraph"/>
        <w:widowControl w:val="0"/>
        <w:tabs>
          <w:tab w:val="left" w:pos="220"/>
          <w:tab w:val="left" w:pos="720"/>
        </w:tabs>
        <w:autoSpaceDE w:val="0"/>
        <w:autoSpaceDN w:val="0"/>
        <w:adjustRightInd w:val="0"/>
        <w:spacing w:before="120" w:after="120"/>
        <w:ind w:left="221"/>
        <w:jc w:val="both"/>
        <w:rPr>
          <w:rFonts w:ascii="Gill Sans MT" w:eastAsiaTheme="minorEastAsia" w:hAnsi="Gill Sans MT" w:cs="Gill Sans"/>
          <w:lang w:val="en-GB"/>
        </w:rPr>
      </w:pPr>
    </w:p>
    <w:p w14:paraId="184FA8FB" w14:textId="77777777" w:rsidR="00CB079B" w:rsidRPr="00671369" w:rsidRDefault="00CB079B" w:rsidP="00CB079B">
      <w:pPr>
        <w:widowControl w:val="0"/>
        <w:autoSpaceDE w:val="0"/>
        <w:autoSpaceDN w:val="0"/>
        <w:adjustRightInd w:val="0"/>
        <w:spacing w:before="120" w:after="120"/>
        <w:jc w:val="both"/>
        <w:rPr>
          <w:rFonts w:ascii="Gill Sans MT" w:eastAsiaTheme="minorEastAsia" w:hAnsi="Gill Sans MT" w:cs="Gill Sans"/>
          <w:b/>
          <w:color w:val="CC0031"/>
          <w:lang w:val="en-GB"/>
        </w:rPr>
      </w:pPr>
      <w:r w:rsidRPr="00671369">
        <w:rPr>
          <w:rFonts w:ascii="Gill Sans MT" w:eastAsiaTheme="minorEastAsia" w:hAnsi="Gill Sans MT" w:cs="Gill Sans"/>
          <w:b/>
          <w:color w:val="CC0031"/>
          <w:lang w:val="en-GB"/>
        </w:rPr>
        <w:t xml:space="preserve">OFFICIAL RESTRICTIONS ON THE SPACE FOR HUMAN RIGHTS DEFENDERS </w:t>
      </w:r>
    </w:p>
    <w:p w14:paraId="47D7D93A" w14:textId="65B4A9D9" w:rsidR="00CB079B" w:rsidRPr="00671369" w:rsidRDefault="00CB079B" w:rsidP="00CB079B">
      <w:pPr>
        <w:spacing w:before="120" w:after="120"/>
        <w:jc w:val="both"/>
        <w:rPr>
          <w:rFonts w:ascii="Gill Sans MT" w:hAnsi="Gill Sans MT"/>
          <w:b/>
          <w:lang w:val="en-GB"/>
        </w:rPr>
      </w:pPr>
      <w:r w:rsidRPr="00671369">
        <w:rPr>
          <w:rFonts w:ascii="Gill Sans MT" w:hAnsi="Gill Sans MT"/>
          <w:b/>
          <w:lang w:val="en-GB"/>
        </w:rPr>
        <w:t>Freedom of Opinion and Expression</w:t>
      </w:r>
    </w:p>
    <w:p w14:paraId="7027AD25" w14:textId="3AE041C3" w:rsidR="00CB079B"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hAnsi="Gill Sans MT"/>
          <w:lang w:val="en-GB"/>
        </w:rPr>
      </w:pPr>
      <w:r w:rsidRPr="003E0C06">
        <w:rPr>
          <w:rFonts w:ascii="Gill Sans MT" w:hAnsi="Gill Sans MT"/>
          <w:lang w:val="en-GB"/>
        </w:rPr>
        <w:t xml:space="preserve">The Special Rapporteur on </w:t>
      </w:r>
      <w:r>
        <w:rPr>
          <w:rFonts w:ascii="Gill Sans MT" w:hAnsi="Gill Sans MT"/>
          <w:lang w:val="en-GB"/>
        </w:rPr>
        <w:t>f</w:t>
      </w:r>
      <w:r w:rsidRPr="003E0C06">
        <w:rPr>
          <w:rFonts w:ascii="Gill Sans MT" w:hAnsi="Gill Sans MT"/>
          <w:lang w:val="en-GB"/>
        </w:rPr>
        <w:t>r</w:t>
      </w:r>
      <w:r>
        <w:rPr>
          <w:rFonts w:ascii="Gill Sans MT" w:hAnsi="Gill Sans MT"/>
          <w:lang w:val="en-GB"/>
        </w:rPr>
        <w:t>eedom of r</w:t>
      </w:r>
      <w:r w:rsidRPr="003E0C06">
        <w:rPr>
          <w:rFonts w:ascii="Gill Sans MT" w:hAnsi="Gill Sans MT"/>
          <w:lang w:val="en-GB"/>
        </w:rPr>
        <w:t xml:space="preserve">eligion or </w:t>
      </w:r>
      <w:r>
        <w:rPr>
          <w:rFonts w:ascii="Gill Sans MT" w:hAnsi="Gill Sans MT"/>
          <w:lang w:val="en-GB"/>
        </w:rPr>
        <w:t>b</w:t>
      </w:r>
      <w:r w:rsidRPr="003E0C06">
        <w:rPr>
          <w:rFonts w:ascii="Gill Sans MT" w:hAnsi="Gill Sans MT"/>
          <w:lang w:val="en-GB"/>
        </w:rPr>
        <w:t xml:space="preserve">elief reported in </w:t>
      </w:r>
      <w:r w:rsidRPr="00805906">
        <w:rPr>
          <w:rFonts w:ascii="Gill Sans MT" w:hAnsi="Gill Sans MT"/>
          <w:lang w:val="en-GB"/>
        </w:rPr>
        <w:t>December 2014</w:t>
      </w:r>
      <w:r w:rsidRPr="00671369">
        <w:rPr>
          <w:rFonts w:ascii="Gill Sans MT" w:hAnsi="Gill Sans MT"/>
          <w:lang w:val="en-GB"/>
        </w:rPr>
        <w:t xml:space="preserve"> that ‘unclear penal law provisions’ are having ‘chilling effects’ on freedom of expression in Kazakhstan.</w:t>
      </w:r>
      <w:r w:rsidRPr="00671369">
        <w:rPr>
          <w:rStyle w:val="EndnoteReference"/>
          <w:rFonts w:ascii="Gill Sans MT" w:hAnsi="Gill Sans MT"/>
          <w:lang w:val="en-GB"/>
        </w:rPr>
        <w:endnoteReference w:id="7"/>
      </w:r>
    </w:p>
    <w:p w14:paraId="7F807A25" w14:textId="775E7835" w:rsidR="00CB079B" w:rsidRPr="00671369"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hAnsi="Gill Sans MT"/>
          <w:lang w:val="en-GB"/>
        </w:rPr>
      </w:pPr>
      <w:r>
        <w:rPr>
          <w:rFonts w:ascii="Gill Sans MT" w:hAnsi="Gill Sans MT"/>
          <w:lang w:val="en-GB"/>
        </w:rPr>
        <w:t xml:space="preserve">In addition in its Concluding Observations in 2011, the </w:t>
      </w:r>
      <w:r w:rsidRPr="00671369">
        <w:rPr>
          <w:rFonts w:ascii="Gill Sans MT" w:hAnsi="Gill Sans MT"/>
          <w:lang w:val="en-GB"/>
        </w:rPr>
        <w:t>Committee urged the Government to</w:t>
      </w:r>
      <w:r>
        <w:rPr>
          <w:rFonts w:ascii="Gill Sans MT" w:hAnsi="Gill Sans MT"/>
          <w:lang w:val="en-GB"/>
        </w:rPr>
        <w:t xml:space="preserve"> </w:t>
      </w:r>
      <w:r w:rsidRPr="00671369">
        <w:rPr>
          <w:rFonts w:ascii="Gill Sans MT" w:hAnsi="Gill Sans MT"/>
          <w:lang w:val="en-GB"/>
        </w:rPr>
        <w:t xml:space="preserve">ensure that journalists and HRDs </w:t>
      </w:r>
      <w:r>
        <w:rPr>
          <w:rFonts w:ascii="Gill Sans MT" w:hAnsi="Gill Sans MT"/>
          <w:lang w:val="en-GB"/>
        </w:rPr>
        <w:t xml:space="preserve">can </w:t>
      </w:r>
      <w:r w:rsidRPr="00671369">
        <w:rPr>
          <w:rFonts w:ascii="Gill Sans MT" w:hAnsi="Gill Sans MT"/>
          <w:lang w:val="en-GB"/>
        </w:rPr>
        <w:t xml:space="preserve">freely exercise their right to freedom of expression under the ICCPR, desist from harassing or intimidating </w:t>
      </w:r>
      <w:r>
        <w:rPr>
          <w:rFonts w:ascii="Gill Sans MT" w:hAnsi="Gill Sans MT"/>
          <w:lang w:val="en-GB"/>
        </w:rPr>
        <w:t>HRDs</w:t>
      </w:r>
      <w:r w:rsidRPr="00671369">
        <w:rPr>
          <w:rFonts w:ascii="Gill Sans MT" w:hAnsi="Gill Sans MT"/>
          <w:lang w:val="en-GB"/>
        </w:rPr>
        <w:t>, and review its laws on defamation and insults such that any limitations on freedom of expression strictly comply with the requirements of article 19(3).</w:t>
      </w:r>
      <w:r w:rsidRPr="001B2C62">
        <w:rPr>
          <w:rStyle w:val="EndnoteReference"/>
          <w:rFonts w:ascii="Gill Sans MT" w:hAnsi="Gill Sans MT"/>
          <w:lang w:val="en-GB"/>
        </w:rPr>
        <w:endnoteReference w:id="8"/>
      </w:r>
    </w:p>
    <w:p w14:paraId="784B4882" w14:textId="4E4ACA65" w:rsidR="00CB079B"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hAnsi="Gill Sans MT"/>
          <w:lang w:val="en-GB"/>
        </w:rPr>
      </w:pPr>
      <w:r>
        <w:rPr>
          <w:rFonts w:ascii="Gill Sans MT" w:hAnsi="Gill Sans MT"/>
          <w:lang w:val="en-GB"/>
        </w:rPr>
        <w:t xml:space="preserve">A </w:t>
      </w:r>
      <w:r w:rsidRPr="00EE7692">
        <w:rPr>
          <w:rFonts w:ascii="Gill Sans MT" w:hAnsi="Gill Sans MT"/>
          <w:lang w:val="en-GB"/>
        </w:rPr>
        <w:t xml:space="preserve">concerning </w:t>
      </w:r>
      <w:r>
        <w:rPr>
          <w:rFonts w:ascii="Gill Sans MT" w:hAnsi="Gill Sans MT"/>
          <w:lang w:val="en-GB"/>
        </w:rPr>
        <w:t xml:space="preserve">example of restrictions on the rights to freedom of opinion and expression is the </w:t>
      </w:r>
      <w:r w:rsidRPr="00EE7692">
        <w:rPr>
          <w:rFonts w:ascii="Gill Sans MT" w:hAnsi="Gill Sans MT"/>
          <w:lang w:val="en-GB"/>
        </w:rPr>
        <w:t>ongoing imprisonment and ill-treatment of human rights defender and lawyer, Vadim Kuramshin, sentenced to 12 years prison on 7 December 2012 on charges of alleged extortion.</w:t>
      </w:r>
      <w:r w:rsidRPr="001B2C62">
        <w:rPr>
          <w:rStyle w:val="EndnoteReference"/>
          <w:rFonts w:ascii="Gill Sans MT" w:hAnsi="Gill Sans MT"/>
          <w:lang w:val="en-GB"/>
        </w:rPr>
        <w:endnoteReference w:id="9"/>
      </w:r>
      <w:r w:rsidRPr="00EE7692">
        <w:rPr>
          <w:rFonts w:ascii="Gill Sans MT" w:hAnsi="Gill Sans MT"/>
          <w:lang w:val="en-GB"/>
        </w:rPr>
        <w:t xml:space="preserve"> </w:t>
      </w:r>
    </w:p>
    <w:p w14:paraId="283D915C" w14:textId="5582DC06" w:rsidR="00CB079B"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hAnsi="Gill Sans MT"/>
          <w:lang w:val="en-GB"/>
        </w:rPr>
      </w:pPr>
      <w:r>
        <w:rPr>
          <w:rFonts w:ascii="Gill Sans MT" w:hAnsi="Gill Sans MT"/>
          <w:lang w:val="en-GB"/>
        </w:rPr>
        <w:t>Another example is that of o</w:t>
      </w:r>
      <w:r w:rsidRPr="00EE7692">
        <w:rPr>
          <w:rFonts w:ascii="Gill Sans MT" w:hAnsi="Gill Sans MT"/>
          <w:lang w:val="en-GB"/>
        </w:rPr>
        <w:t xml:space="preserve">pposition leader Vladimir Kozlov, </w:t>
      </w:r>
      <w:r>
        <w:rPr>
          <w:rFonts w:ascii="Gill Sans MT" w:hAnsi="Gill Sans MT"/>
          <w:lang w:val="en-GB"/>
        </w:rPr>
        <w:t xml:space="preserve">who is currently </w:t>
      </w:r>
      <w:r w:rsidRPr="00EE7692">
        <w:rPr>
          <w:rFonts w:ascii="Gill Sans MT" w:hAnsi="Gill Sans MT"/>
          <w:lang w:val="en-GB"/>
        </w:rPr>
        <w:t xml:space="preserve">still serving a seven year sentence for his alleged involvement in the Zhanaozen </w:t>
      </w:r>
      <w:r>
        <w:rPr>
          <w:rFonts w:ascii="Gill Sans MT" w:hAnsi="Gill Sans MT"/>
          <w:lang w:val="en-GB"/>
        </w:rPr>
        <w:t>Strike (discussed above and below)</w:t>
      </w:r>
      <w:r w:rsidRPr="00EE7692">
        <w:rPr>
          <w:rFonts w:ascii="Gill Sans MT" w:hAnsi="Gill Sans MT"/>
          <w:lang w:val="en-GB"/>
        </w:rPr>
        <w:t>.</w:t>
      </w:r>
      <w:r w:rsidRPr="001B2C62">
        <w:rPr>
          <w:rStyle w:val="EndnoteReference"/>
          <w:rFonts w:ascii="Gill Sans MT" w:hAnsi="Gill Sans MT"/>
          <w:lang w:val="en-GB"/>
        </w:rPr>
        <w:endnoteReference w:id="10"/>
      </w:r>
      <w:r w:rsidRPr="00EE7692">
        <w:rPr>
          <w:rFonts w:ascii="Gill Sans MT" w:hAnsi="Gill Sans MT"/>
          <w:lang w:val="en-GB"/>
        </w:rPr>
        <w:t xml:space="preserve"> The verdict was deemed, in the Trial Observation Report of the Solicitors International Human Rights Group, ‘unfair’</w:t>
      </w:r>
      <w:r w:rsidRPr="001B2C62">
        <w:rPr>
          <w:rStyle w:val="EndnoteReference"/>
          <w:rFonts w:ascii="Gill Sans MT" w:hAnsi="Gill Sans MT"/>
          <w:lang w:val="en-GB"/>
        </w:rPr>
        <w:endnoteReference w:id="11"/>
      </w:r>
      <w:r>
        <w:rPr>
          <w:rFonts w:ascii="Gill Sans MT" w:hAnsi="Gill Sans MT"/>
          <w:lang w:val="en-GB"/>
        </w:rPr>
        <w:t xml:space="preserve">, and </w:t>
      </w:r>
      <w:r w:rsidRPr="00EE7692">
        <w:rPr>
          <w:rFonts w:ascii="Gill Sans MT" w:hAnsi="Gill Sans MT"/>
          <w:lang w:val="en-GB"/>
        </w:rPr>
        <w:lastRenderedPageBreak/>
        <w:t>Freedom House reported that the trial ‘did not meet international and national standards of the rights to a fair trial</w:t>
      </w:r>
      <w:r>
        <w:rPr>
          <w:rFonts w:ascii="Gill Sans MT" w:hAnsi="Gill Sans MT"/>
          <w:lang w:val="en-GB"/>
        </w:rPr>
        <w:t xml:space="preserve">. </w:t>
      </w:r>
    </w:p>
    <w:p w14:paraId="20A1D39F" w14:textId="5D3257E6" w:rsidR="00CB079B" w:rsidRPr="00CF479F" w:rsidRDefault="00CB079B" w:rsidP="00CB079B">
      <w:pPr>
        <w:pStyle w:val="ListParagraph"/>
        <w:widowControl w:val="0"/>
        <w:numPr>
          <w:ilvl w:val="0"/>
          <w:numId w:val="36"/>
        </w:numPr>
        <w:tabs>
          <w:tab w:val="left" w:pos="220"/>
          <w:tab w:val="left" w:pos="720"/>
        </w:tabs>
        <w:autoSpaceDE w:val="0"/>
        <w:autoSpaceDN w:val="0"/>
        <w:adjustRightInd w:val="0"/>
        <w:spacing w:before="120" w:after="120"/>
        <w:ind w:left="221" w:hanging="221"/>
        <w:jc w:val="both"/>
        <w:rPr>
          <w:rFonts w:ascii="Gill Sans MT" w:hAnsi="Gill Sans MT"/>
          <w:lang w:val="en-GB"/>
        </w:rPr>
      </w:pPr>
      <w:r w:rsidRPr="00CF479F">
        <w:rPr>
          <w:rFonts w:ascii="Gill Sans MT" w:hAnsi="Gill Sans MT"/>
          <w:lang w:val="en-GB"/>
        </w:rPr>
        <w:t>Both the Kozlov and Kuramshin cases were denounced by the European Parliament as products of ‘vague criminal charges’ and ‘trials which fall short of international standards.</w:t>
      </w:r>
      <w:r w:rsidRPr="00CF479F">
        <w:rPr>
          <w:rStyle w:val="EndnoteReference"/>
          <w:rFonts w:ascii="Gill Sans MT" w:hAnsi="Gill Sans MT"/>
          <w:vertAlign w:val="baseline"/>
          <w:lang w:val="en-GB"/>
        </w:rPr>
        <w:t>’</w:t>
      </w:r>
      <w:r w:rsidRPr="001B2C62">
        <w:rPr>
          <w:rStyle w:val="EndnoteReference"/>
          <w:rFonts w:ascii="Gill Sans MT" w:hAnsi="Gill Sans MT"/>
          <w:lang w:val="en-GB"/>
        </w:rPr>
        <w:endnoteReference w:id="12"/>
      </w:r>
      <w:r w:rsidRPr="00CF479F">
        <w:rPr>
          <w:rFonts w:ascii="Gill Sans MT" w:hAnsi="Gill Sans MT"/>
          <w:lang w:val="en-GB"/>
        </w:rPr>
        <w:t xml:space="preserve"> </w:t>
      </w:r>
    </w:p>
    <w:p w14:paraId="62473CE3" w14:textId="3BDA665E" w:rsidR="00CB079B" w:rsidRPr="003E0C06" w:rsidRDefault="00CB079B" w:rsidP="00CB079B">
      <w:pPr>
        <w:spacing w:before="120" w:after="60"/>
        <w:contextualSpacing/>
        <w:jc w:val="both"/>
        <w:rPr>
          <w:rFonts w:ascii="Gill Sans MT" w:hAnsi="Gill Sans MT"/>
          <w:u w:val="single"/>
          <w:lang w:val="en-GB"/>
        </w:rPr>
      </w:pPr>
      <w:r w:rsidRPr="00093C1F">
        <w:rPr>
          <w:rFonts w:ascii="Gill Sans MT" w:hAnsi="Gill Sans MT"/>
          <w:u w:val="single"/>
          <w:lang w:val="en-GB"/>
        </w:rPr>
        <w:t>Restrictive Laws - S</w:t>
      </w:r>
      <w:r w:rsidRPr="003E0C06">
        <w:rPr>
          <w:rFonts w:ascii="Gill Sans MT" w:hAnsi="Gill Sans MT"/>
          <w:u w:val="single"/>
          <w:lang w:val="en-GB"/>
        </w:rPr>
        <w:t xml:space="preserve">ilencing the Media </w:t>
      </w:r>
    </w:p>
    <w:p w14:paraId="2636A7DB" w14:textId="24F70858" w:rsidR="00CB079B" w:rsidRDefault="00CB079B" w:rsidP="00CB079B">
      <w:pPr>
        <w:pStyle w:val="ListParagraph"/>
        <w:numPr>
          <w:ilvl w:val="0"/>
          <w:numId w:val="26"/>
        </w:numPr>
        <w:spacing w:before="120" w:after="120"/>
        <w:ind w:left="221" w:hanging="221"/>
        <w:jc w:val="both"/>
        <w:rPr>
          <w:rFonts w:ascii="Gill Sans MT" w:hAnsi="Gill Sans MT"/>
          <w:color w:val="000000"/>
          <w:lang w:val="en-GB"/>
        </w:rPr>
      </w:pPr>
      <w:r w:rsidRPr="00671369">
        <w:rPr>
          <w:rFonts w:ascii="Gill Sans MT" w:hAnsi="Gill Sans MT"/>
          <w:color w:val="000000"/>
          <w:lang w:val="en-GB"/>
        </w:rPr>
        <w:t>The Committee’s view is that media licencing conditions must be ‘reasonable and objective, clear, transparent, non-discriminatory and otherwise in compliance with the Covenant.’</w:t>
      </w:r>
      <w:r w:rsidRPr="00671369">
        <w:rPr>
          <w:rStyle w:val="EndnoteReference"/>
          <w:rFonts w:ascii="Gill Sans MT" w:hAnsi="Gill Sans MT"/>
          <w:color w:val="000000"/>
          <w:lang w:val="en-GB"/>
        </w:rPr>
        <w:endnoteReference w:id="13"/>
      </w:r>
      <w:r w:rsidRPr="00671369">
        <w:rPr>
          <w:rFonts w:ascii="Gill Sans MT" w:hAnsi="Gill Sans MT"/>
          <w:color w:val="000000"/>
          <w:lang w:val="en-GB"/>
        </w:rPr>
        <w:t xml:space="preserve"> Kazakhstan’s legal framework regulating </w:t>
      </w:r>
      <w:r>
        <w:rPr>
          <w:rFonts w:ascii="Gill Sans MT" w:hAnsi="Gill Sans MT"/>
          <w:color w:val="000000"/>
          <w:lang w:val="en-GB"/>
        </w:rPr>
        <w:t xml:space="preserve">the </w:t>
      </w:r>
      <w:r w:rsidRPr="00671369">
        <w:rPr>
          <w:rFonts w:ascii="Gill Sans MT" w:hAnsi="Gill Sans MT"/>
          <w:color w:val="000000"/>
          <w:lang w:val="en-GB"/>
        </w:rPr>
        <w:t>media does not meet these standards, is contrary to recommendations of the OSCE Representative on Freedom of the Media,</w:t>
      </w:r>
      <w:r w:rsidRPr="00671369">
        <w:rPr>
          <w:rStyle w:val="EndnoteReference"/>
          <w:rFonts w:ascii="Gill Sans MT" w:hAnsi="Gill Sans MT"/>
          <w:color w:val="000000"/>
          <w:lang w:val="en-GB"/>
        </w:rPr>
        <w:endnoteReference w:id="14"/>
      </w:r>
      <w:r w:rsidRPr="00671369">
        <w:rPr>
          <w:rFonts w:ascii="Gill Sans MT" w:hAnsi="Gill Sans MT"/>
          <w:color w:val="000000"/>
          <w:lang w:val="en-GB"/>
        </w:rPr>
        <w:t xml:space="preserve"> and according to the OSCE ‘induces self-censorship and limits the freedom of speech.’</w:t>
      </w:r>
      <w:r w:rsidRPr="00671369">
        <w:rPr>
          <w:rStyle w:val="EndnoteReference"/>
          <w:rFonts w:ascii="Gill Sans MT" w:hAnsi="Gill Sans MT"/>
          <w:color w:val="000000"/>
          <w:lang w:val="en-GB"/>
        </w:rPr>
        <w:endnoteReference w:id="15"/>
      </w:r>
    </w:p>
    <w:p w14:paraId="3D48400A" w14:textId="77777777" w:rsidR="00CB079B" w:rsidRDefault="00CB079B" w:rsidP="00CB079B">
      <w:pPr>
        <w:pStyle w:val="ListParagraph"/>
        <w:numPr>
          <w:ilvl w:val="0"/>
          <w:numId w:val="26"/>
        </w:numPr>
        <w:spacing w:before="120" w:after="120"/>
        <w:ind w:left="221" w:hanging="221"/>
        <w:jc w:val="both"/>
        <w:rPr>
          <w:rFonts w:ascii="Gill Sans MT" w:hAnsi="Gill Sans MT"/>
          <w:color w:val="000000"/>
          <w:lang w:val="en-GB"/>
        </w:rPr>
      </w:pPr>
      <w:r w:rsidRPr="00805906">
        <w:rPr>
          <w:rFonts w:ascii="Gill Sans MT" w:hAnsi="Gill Sans MT"/>
          <w:color w:val="000000"/>
          <w:lang w:val="en-GB"/>
        </w:rPr>
        <w:t>Increasingly</w:t>
      </w:r>
      <w:r w:rsidRPr="00671369">
        <w:rPr>
          <w:rFonts w:ascii="Gill Sans MT" w:hAnsi="Gill Sans MT"/>
          <w:lang w:val="en-GB"/>
        </w:rPr>
        <w:t>, news outlets are fined or suspended.</w:t>
      </w:r>
      <w:r w:rsidRPr="00671369">
        <w:rPr>
          <w:rStyle w:val="EndnoteReference"/>
          <w:rFonts w:ascii="Gill Sans MT" w:hAnsi="Gill Sans MT"/>
          <w:lang w:val="en-GB"/>
        </w:rPr>
        <w:endnoteReference w:id="16"/>
      </w:r>
      <w:r w:rsidRPr="00671369">
        <w:rPr>
          <w:rFonts w:ascii="Gill Sans MT" w:hAnsi="Gill Sans MT"/>
          <w:lang w:val="en-GB"/>
        </w:rPr>
        <w:t xml:space="preserve"> More than 30 media outlets have been shut down since late 2013 on grounds such a</w:t>
      </w:r>
      <w:r>
        <w:rPr>
          <w:rFonts w:ascii="Gill Sans MT" w:hAnsi="Gill Sans MT"/>
          <w:lang w:val="en-GB"/>
        </w:rPr>
        <w:t xml:space="preserve">s ‘war propaganda and agitation’, </w:t>
      </w:r>
      <w:r w:rsidRPr="00671369">
        <w:rPr>
          <w:rFonts w:ascii="Gill Sans MT" w:hAnsi="Gill Sans MT"/>
          <w:lang w:val="en-GB"/>
        </w:rPr>
        <w:t xml:space="preserve">‘inciting </w:t>
      </w:r>
      <w:r w:rsidRPr="00671369">
        <w:rPr>
          <w:rFonts w:ascii="Gill Sans MT" w:hAnsi="Gill Sans MT"/>
          <w:color w:val="000000"/>
          <w:lang w:val="en-GB"/>
        </w:rPr>
        <w:t>social discord’</w:t>
      </w:r>
      <w:r w:rsidRPr="00671369">
        <w:rPr>
          <w:rStyle w:val="EndnoteReference"/>
          <w:rFonts w:ascii="Gill Sans MT" w:hAnsi="Gill Sans MT"/>
          <w:color w:val="000000"/>
          <w:lang w:val="en-GB"/>
        </w:rPr>
        <w:endnoteReference w:id="17"/>
      </w:r>
      <w:r w:rsidRPr="00671369">
        <w:rPr>
          <w:rFonts w:ascii="Gill Sans MT" w:hAnsi="Gill Sans MT"/>
          <w:color w:val="000000"/>
          <w:lang w:val="en-GB"/>
        </w:rPr>
        <w:t xml:space="preserve"> or ‘minor infrac</w:t>
      </w:r>
      <w:r>
        <w:rPr>
          <w:rFonts w:ascii="Gill Sans MT" w:hAnsi="Gill Sans MT"/>
          <w:color w:val="000000"/>
          <w:lang w:val="en-GB"/>
        </w:rPr>
        <w:t>tions of publishing regulations</w:t>
      </w:r>
      <w:r w:rsidRPr="00671369">
        <w:rPr>
          <w:rFonts w:ascii="Gill Sans MT" w:hAnsi="Gill Sans MT"/>
          <w:color w:val="000000"/>
          <w:lang w:val="en-GB"/>
        </w:rPr>
        <w:t>’</w:t>
      </w:r>
      <w:r w:rsidRPr="00671369">
        <w:rPr>
          <w:rStyle w:val="EndnoteReference"/>
          <w:rFonts w:ascii="Gill Sans MT" w:hAnsi="Gill Sans MT"/>
          <w:color w:val="000000"/>
          <w:lang w:val="en-GB"/>
        </w:rPr>
        <w:endnoteReference w:id="18"/>
      </w:r>
      <w:r>
        <w:rPr>
          <w:rFonts w:ascii="Gill Sans MT" w:hAnsi="Gill Sans MT"/>
          <w:color w:val="000000"/>
          <w:lang w:val="en-GB"/>
        </w:rPr>
        <w:t>.</w:t>
      </w:r>
      <w:r w:rsidRPr="00671369">
        <w:rPr>
          <w:rFonts w:ascii="Gill Sans MT" w:hAnsi="Gill Sans MT"/>
          <w:color w:val="000000"/>
          <w:lang w:val="en-GB"/>
        </w:rPr>
        <w:t xml:space="preserve"> </w:t>
      </w:r>
    </w:p>
    <w:p w14:paraId="34EA1A2F" w14:textId="17CD974D" w:rsidR="00CB079B" w:rsidRPr="00093C1F" w:rsidRDefault="00CB079B" w:rsidP="00CB079B">
      <w:pPr>
        <w:pStyle w:val="ListParagraph"/>
        <w:numPr>
          <w:ilvl w:val="0"/>
          <w:numId w:val="26"/>
        </w:numPr>
        <w:spacing w:before="120" w:after="120"/>
        <w:ind w:left="221" w:hanging="221"/>
        <w:jc w:val="both"/>
        <w:rPr>
          <w:rFonts w:ascii="Gill Sans MT" w:hAnsi="Gill Sans MT"/>
          <w:color w:val="000000"/>
          <w:lang w:val="en-GB"/>
        </w:rPr>
      </w:pPr>
      <w:r w:rsidRPr="00671369">
        <w:rPr>
          <w:rFonts w:ascii="Gill Sans MT" w:hAnsi="Gill Sans MT"/>
          <w:color w:val="000000"/>
          <w:lang w:val="en-GB"/>
        </w:rPr>
        <w:t xml:space="preserve">On 26 Feb 2015 the Almaty Court of Appeal upheld an order to close of </w:t>
      </w:r>
      <w:r w:rsidRPr="00671369">
        <w:rPr>
          <w:rFonts w:ascii="Gill Sans MT" w:hAnsi="Gill Sans MT"/>
          <w:i/>
          <w:color w:val="000000"/>
          <w:lang w:val="en-GB"/>
        </w:rPr>
        <w:t>ADAMbol</w:t>
      </w:r>
      <w:r w:rsidRPr="00671369">
        <w:rPr>
          <w:rFonts w:ascii="Gill Sans MT" w:hAnsi="Gill Sans MT"/>
          <w:color w:val="000000"/>
          <w:lang w:val="en-GB"/>
        </w:rPr>
        <w:t>, an independent media outlet known for its critical articles, and confiscat</w:t>
      </w:r>
      <w:r>
        <w:rPr>
          <w:rFonts w:ascii="Gill Sans MT" w:hAnsi="Gill Sans MT"/>
          <w:color w:val="000000"/>
          <w:lang w:val="en-GB"/>
        </w:rPr>
        <w:t xml:space="preserve">e </w:t>
      </w:r>
      <w:r w:rsidRPr="00671369">
        <w:rPr>
          <w:rFonts w:ascii="Gill Sans MT" w:hAnsi="Gill Sans MT"/>
          <w:color w:val="000000"/>
          <w:lang w:val="en-GB"/>
        </w:rPr>
        <w:t xml:space="preserve">all copies of the </w:t>
      </w:r>
      <w:r w:rsidRPr="00671369">
        <w:rPr>
          <w:rFonts w:ascii="Gill Sans MT" w:hAnsi="Gill Sans MT"/>
          <w:lang w:val="en-GB"/>
        </w:rPr>
        <w:t>magazine.</w:t>
      </w:r>
      <w:r w:rsidRPr="00671369">
        <w:rPr>
          <w:rStyle w:val="EndnoteReference"/>
          <w:rFonts w:ascii="Gill Sans MT" w:hAnsi="Gill Sans MT"/>
          <w:lang w:val="en-GB"/>
        </w:rPr>
        <w:endnoteReference w:id="19"/>
      </w:r>
    </w:p>
    <w:p w14:paraId="2BAE2A0F" w14:textId="2F87213B" w:rsidR="00CB079B" w:rsidRPr="00093C1F" w:rsidRDefault="00CB079B" w:rsidP="00CB079B">
      <w:pPr>
        <w:pStyle w:val="ListParagraph"/>
        <w:numPr>
          <w:ilvl w:val="0"/>
          <w:numId w:val="26"/>
        </w:numPr>
        <w:spacing w:before="120" w:after="120"/>
        <w:ind w:left="221" w:hanging="221"/>
        <w:jc w:val="both"/>
        <w:rPr>
          <w:rFonts w:ascii="Gill Sans MT" w:hAnsi="Gill Sans MT"/>
          <w:color w:val="000000"/>
          <w:lang w:val="en-GB"/>
        </w:rPr>
      </w:pPr>
      <w:r w:rsidRPr="00093C1F">
        <w:rPr>
          <w:rFonts w:ascii="Gill Sans MT" w:hAnsi="Gill Sans MT"/>
          <w:color w:val="000000"/>
          <w:lang w:val="en-GB"/>
        </w:rPr>
        <w:t xml:space="preserve">The Government recently passed a law </w:t>
      </w:r>
      <w:r w:rsidRPr="00671369">
        <w:rPr>
          <w:rFonts w:ascii="Gill Sans MT" w:hAnsi="Gill Sans MT"/>
          <w:lang w:val="en-GB"/>
        </w:rPr>
        <w:t>requiring online media outlets to register with officials in the same way as print media.</w:t>
      </w:r>
      <w:r w:rsidRPr="00671369">
        <w:rPr>
          <w:rStyle w:val="EndnoteReference"/>
          <w:rFonts w:ascii="Gill Sans MT" w:hAnsi="Gill Sans MT"/>
          <w:lang w:val="en-GB"/>
        </w:rPr>
        <w:endnoteReference w:id="20"/>
      </w:r>
      <w:r w:rsidRPr="00671369">
        <w:rPr>
          <w:rFonts w:ascii="Gill Sans MT" w:hAnsi="Gill Sans MT"/>
          <w:lang w:val="en-GB"/>
        </w:rPr>
        <w:t xml:space="preserve"> This law used to harass and censor the media, and to unduly limit freedom of expression otherwise secured by the ICCPR. </w:t>
      </w:r>
    </w:p>
    <w:p w14:paraId="162A82CA" w14:textId="08F06F3F" w:rsidR="00CB079B" w:rsidRDefault="00CB079B" w:rsidP="00CB079B">
      <w:pPr>
        <w:pStyle w:val="ListParagraph"/>
        <w:widowControl w:val="0"/>
        <w:numPr>
          <w:ilvl w:val="0"/>
          <w:numId w:val="26"/>
        </w:numPr>
        <w:spacing w:before="120" w:after="120"/>
        <w:ind w:left="221" w:hanging="221"/>
        <w:jc w:val="both"/>
        <w:rPr>
          <w:rFonts w:ascii="Gill Sans MT" w:hAnsi="Gill Sans MT"/>
          <w:lang w:val="en-GB"/>
        </w:rPr>
      </w:pPr>
      <w:r w:rsidRPr="00805906">
        <w:rPr>
          <w:rFonts w:ascii="Gill Sans MT" w:hAnsi="Gill Sans MT"/>
          <w:lang w:val="en-GB"/>
        </w:rPr>
        <w:t>Amendments</w:t>
      </w:r>
      <w:r w:rsidRPr="00671369">
        <w:rPr>
          <w:rFonts w:ascii="Gill Sans MT" w:hAnsi="Gill Sans MT"/>
          <w:b/>
          <w:lang w:val="en-GB"/>
        </w:rPr>
        <w:t xml:space="preserve"> </w:t>
      </w:r>
      <w:r w:rsidRPr="00671369">
        <w:rPr>
          <w:rFonts w:ascii="Gill Sans MT" w:hAnsi="Gill Sans MT"/>
          <w:lang w:val="en-GB"/>
        </w:rPr>
        <w:t>to article 41-1 of the On Communications Law allows authorities to block domestic and foreign websites, entire communication networks, restrict personal blogs and chat rooms, social networking sites and mobile phone services, if they are found to promote ‘extremist or terrorist activities, riots, or participation in public activities’ in violation of established order. The OSCE urged the veto of the bill last year, arguing it could limit freedom of expression, and result in self-censorship or undue control over the media by authorities.</w:t>
      </w:r>
      <w:r w:rsidRPr="00671369">
        <w:rPr>
          <w:rStyle w:val="EndnoteReference"/>
          <w:rFonts w:ascii="Gill Sans MT" w:hAnsi="Gill Sans MT"/>
          <w:lang w:val="en-GB"/>
        </w:rPr>
        <w:endnoteReference w:id="21"/>
      </w:r>
    </w:p>
    <w:p w14:paraId="16F0BB5A" w14:textId="2FA3FCE7" w:rsidR="00CB079B" w:rsidRDefault="00CB079B" w:rsidP="00CB079B">
      <w:pPr>
        <w:pStyle w:val="ListParagraph"/>
        <w:widowControl w:val="0"/>
        <w:numPr>
          <w:ilvl w:val="0"/>
          <w:numId w:val="26"/>
        </w:numPr>
        <w:spacing w:before="120" w:after="120"/>
        <w:ind w:left="221" w:hanging="221"/>
        <w:jc w:val="both"/>
        <w:rPr>
          <w:rFonts w:ascii="Gill Sans MT" w:hAnsi="Gill Sans MT"/>
          <w:lang w:val="en-GB"/>
        </w:rPr>
      </w:pPr>
      <w:r>
        <w:rPr>
          <w:rFonts w:ascii="Gill Sans MT" w:hAnsi="Gill Sans MT"/>
          <w:color w:val="000000"/>
          <w:lang w:val="en-GB"/>
        </w:rPr>
        <w:t xml:space="preserve">In respect of the </w:t>
      </w:r>
      <w:r>
        <w:rPr>
          <w:rFonts w:ascii="Gill Sans MT" w:hAnsi="Gill Sans MT"/>
          <w:lang w:val="en-GB"/>
        </w:rPr>
        <w:t xml:space="preserve">2015 presidential </w:t>
      </w:r>
      <w:r w:rsidRPr="003E0C06">
        <w:rPr>
          <w:rFonts w:ascii="Gill Sans MT" w:hAnsi="Gill Sans MT"/>
          <w:lang w:val="en-GB"/>
        </w:rPr>
        <w:t>elections</w:t>
      </w:r>
      <w:r>
        <w:rPr>
          <w:rFonts w:ascii="Gill Sans MT" w:hAnsi="Gill Sans MT"/>
          <w:lang w:val="en-GB"/>
        </w:rPr>
        <w:t>, OSCE</w:t>
      </w:r>
      <w:r w:rsidRPr="003E0C06">
        <w:rPr>
          <w:rFonts w:ascii="Gill Sans MT" w:hAnsi="Gill Sans MT"/>
          <w:lang w:val="en-GB"/>
        </w:rPr>
        <w:t>/Office for Democratic Institutions and Human Rights</w:t>
      </w:r>
      <w:r>
        <w:rPr>
          <w:rFonts w:ascii="Gill Sans MT" w:hAnsi="Gill Sans MT"/>
          <w:lang w:val="en-GB"/>
        </w:rPr>
        <w:t xml:space="preserve"> reported that </w:t>
      </w:r>
      <w:r w:rsidRPr="003E0C06">
        <w:rPr>
          <w:rFonts w:ascii="Gill Sans MT" w:hAnsi="Gill Sans MT"/>
          <w:lang w:val="en-GB"/>
        </w:rPr>
        <w:t>‘</w:t>
      </w:r>
      <w:r>
        <w:rPr>
          <w:rFonts w:ascii="Gill Sans MT" w:hAnsi="Gill Sans MT"/>
          <w:lang w:val="en-GB"/>
        </w:rPr>
        <w:t xml:space="preserve">a restricted media environment </w:t>
      </w:r>
      <w:r w:rsidRPr="003E0C06">
        <w:rPr>
          <w:rFonts w:ascii="Gill Sans MT" w:hAnsi="Gill Sans MT"/>
          <w:lang w:val="en-GB"/>
        </w:rPr>
        <w:t>stifled public debate and freedom of expression…with several prominent critics of the government either imprisoned or living in exile’</w:t>
      </w:r>
      <w:r>
        <w:rPr>
          <w:rFonts w:ascii="Gill Sans MT" w:hAnsi="Gill Sans MT"/>
          <w:lang w:val="en-GB"/>
        </w:rPr>
        <w:t>.</w:t>
      </w:r>
      <w:r w:rsidRPr="003E0C06">
        <w:rPr>
          <w:rStyle w:val="EndnoteReference"/>
          <w:rFonts w:ascii="Gill Sans MT" w:hAnsi="Gill Sans MT"/>
          <w:lang w:val="en-GB"/>
        </w:rPr>
        <w:endnoteReference w:id="22"/>
      </w:r>
      <w:r>
        <w:rPr>
          <w:rFonts w:ascii="Gill Sans MT" w:hAnsi="Gill Sans MT"/>
          <w:lang w:val="en-GB"/>
        </w:rPr>
        <w:t xml:space="preserve"> </w:t>
      </w:r>
      <w:r w:rsidRPr="003E0C06">
        <w:rPr>
          <w:rFonts w:ascii="Gill Sans MT" w:hAnsi="Gill Sans MT"/>
          <w:lang w:val="en-GB"/>
        </w:rPr>
        <w:t xml:space="preserve"> </w:t>
      </w:r>
    </w:p>
    <w:p w14:paraId="63AAE9DC" w14:textId="4E57B2A1" w:rsidR="00CB079B" w:rsidRDefault="00CB079B" w:rsidP="00CB079B">
      <w:pPr>
        <w:pStyle w:val="ListParagraph"/>
        <w:widowControl w:val="0"/>
        <w:numPr>
          <w:ilvl w:val="0"/>
          <w:numId w:val="26"/>
        </w:numPr>
        <w:spacing w:before="120" w:after="120"/>
        <w:ind w:left="221" w:hanging="221"/>
        <w:jc w:val="both"/>
        <w:rPr>
          <w:rFonts w:ascii="Gill Sans MT" w:hAnsi="Gill Sans MT"/>
          <w:lang w:val="en-GB"/>
        </w:rPr>
      </w:pPr>
      <w:r w:rsidRPr="00671369">
        <w:rPr>
          <w:rFonts w:ascii="Gill Sans MT" w:hAnsi="Gill Sans MT"/>
          <w:lang w:val="en-GB"/>
        </w:rPr>
        <w:t>In December 2014 its reply in to the Committees Concluding Observations of 2011, the Government justified its laws that limit</w:t>
      </w:r>
      <w:r w:rsidRPr="00671369">
        <w:rPr>
          <w:rFonts w:ascii="Gill Sans MT" w:hAnsi="Gill Sans MT"/>
          <w:i/>
          <w:lang w:val="en-GB"/>
        </w:rPr>
        <w:t xml:space="preserve"> </w:t>
      </w:r>
      <w:r w:rsidRPr="00671369">
        <w:rPr>
          <w:rFonts w:ascii="Gill Sans MT" w:hAnsi="Gill Sans MT"/>
          <w:lang w:val="en-GB"/>
        </w:rPr>
        <w:t xml:space="preserve">freedom of expression with respect to media and the </w:t>
      </w:r>
      <w:r>
        <w:rPr>
          <w:rFonts w:ascii="Gill Sans MT" w:hAnsi="Gill Sans MT"/>
          <w:lang w:val="en-GB"/>
        </w:rPr>
        <w:t>i</w:t>
      </w:r>
      <w:r w:rsidRPr="00671369">
        <w:rPr>
          <w:rFonts w:ascii="Gill Sans MT" w:hAnsi="Gill Sans MT"/>
          <w:lang w:val="en-GB"/>
        </w:rPr>
        <w:t>nternet for reasons of information security,</w:t>
      </w:r>
      <w:r w:rsidRPr="001B2C62">
        <w:rPr>
          <w:rStyle w:val="EndnoteReference"/>
          <w:rFonts w:ascii="Gill Sans MT" w:hAnsi="Gill Sans MT"/>
          <w:lang w:val="en-GB"/>
        </w:rPr>
        <w:endnoteReference w:id="23"/>
      </w:r>
      <w:r w:rsidRPr="00671369">
        <w:rPr>
          <w:rFonts w:ascii="Gill Sans MT" w:hAnsi="Gill Sans MT"/>
          <w:lang w:val="en-GB"/>
        </w:rPr>
        <w:t xml:space="preserve"> but failed to explain how such measures are ‘necessary’ under article 19(3) of the ICCPR, nor proactive measures taken to protect</w:t>
      </w:r>
      <w:r w:rsidRPr="00671369">
        <w:rPr>
          <w:rFonts w:ascii="Gill Sans MT" w:hAnsi="Gill Sans MT"/>
          <w:i/>
          <w:lang w:val="en-GB"/>
        </w:rPr>
        <w:t xml:space="preserve"> </w:t>
      </w:r>
      <w:r w:rsidRPr="00671369">
        <w:rPr>
          <w:rFonts w:ascii="Gill Sans MT" w:hAnsi="Gill Sans MT"/>
          <w:lang w:val="en-GB"/>
        </w:rPr>
        <w:t xml:space="preserve">this freedom under article 19 with respect to </w:t>
      </w:r>
      <w:r>
        <w:rPr>
          <w:rFonts w:ascii="Gill Sans MT" w:hAnsi="Gill Sans MT"/>
          <w:lang w:val="en-GB"/>
        </w:rPr>
        <w:t>i</w:t>
      </w:r>
      <w:r w:rsidRPr="00671369">
        <w:rPr>
          <w:rFonts w:ascii="Gill Sans MT" w:hAnsi="Gill Sans MT"/>
          <w:lang w:val="en-GB"/>
        </w:rPr>
        <w:t>nternet and media laws.</w:t>
      </w:r>
    </w:p>
    <w:p w14:paraId="4BF7C140" w14:textId="4CC1431D" w:rsidR="00CB079B" w:rsidRPr="00805906" w:rsidRDefault="00CB079B" w:rsidP="00CB079B">
      <w:pPr>
        <w:spacing w:before="120" w:after="60"/>
        <w:contextualSpacing/>
        <w:jc w:val="both"/>
        <w:rPr>
          <w:rFonts w:ascii="Gill Sans MT" w:hAnsi="Gill Sans MT"/>
          <w:u w:val="single"/>
          <w:lang w:val="en-GB"/>
        </w:rPr>
      </w:pPr>
      <w:r>
        <w:rPr>
          <w:rFonts w:ascii="Gill Sans MT" w:hAnsi="Gill Sans MT"/>
          <w:u w:val="single"/>
          <w:lang w:val="en-GB"/>
        </w:rPr>
        <w:t>Restrictive Laws - D</w:t>
      </w:r>
      <w:r w:rsidRPr="003E0C06">
        <w:rPr>
          <w:rFonts w:ascii="Gill Sans MT" w:hAnsi="Gill Sans MT"/>
          <w:u w:val="single"/>
          <w:lang w:val="en-GB"/>
        </w:rPr>
        <w:t xml:space="preserve">efamation  </w:t>
      </w:r>
    </w:p>
    <w:p w14:paraId="5EF292EA" w14:textId="38671D4B" w:rsidR="00CB079B" w:rsidRPr="00671369" w:rsidRDefault="00CB079B" w:rsidP="00CB079B">
      <w:pPr>
        <w:pStyle w:val="ListParagraph"/>
        <w:keepNext/>
        <w:numPr>
          <w:ilvl w:val="0"/>
          <w:numId w:val="26"/>
        </w:numPr>
        <w:spacing w:before="120" w:after="120"/>
        <w:ind w:left="221" w:hanging="221"/>
        <w:jc w:val="both"/>
        <w:rPr>
          <w:rFonts w:ascii="Gill Sans MT" w:hAnsi="Gill Sans MT"/>
          <w:lang w:val="en-GB"/>
        </w:rPr>
      </w:pPr>
      <w:r w:rsidRPr="003E0C06">
        <w:rPr>
          <w:rFonts w:ascii="Gill Sans MT" w:hAnsi="Gill Sans MT"/>
          <w:lang w:val="en-GB"/>
        </w:rPr>
        <w:t xml:space="preserve">Despite prior recommendations by the OSCE/ODIHR, defamation (defined as </w:t>
      </w:r>
      <w:r w:rsidRPr="00805906">
        <w:rPr>
          <w:rFonts w:ascii="Gill Sans MT" w:hAnsi="Gill Sans MT"/>
          <w:lang w:val="en-GB"/>
        </w:rPr>
        <w:t>a ‘publically dangerous’ form of crime</w:t>
      </w:r>
      <w:r w:rsidRPr="00671369">
        <w:rPr>
          <w:rStyle w:val="EndnoteReference"/>
          <w:rFonts w:ascii="Gill Sans MT" w:hAnsi="Gill Sans MT"/>
          <w:lang w:val="en-GB"/>
        </w:rPr>
        <w:endnoteReference w:id="24"/>
      </w:r>
      <w:r w:rsidRPr="00671369">
        <w:rPr>
          <w:rFonts w:ascii="Gill Sans MT" w:hAnsi="Gill Sans MT"/>
          <w:lang w:val="en-GB"/>
        </w:rPr>
        <w:t>), remains a criminal offence in Kazakhstan and is punishable by up to 3 years imprisonment, a fine, or correctional labour.</w:t>
      </w:r>
      <w:r w:rsidRPr="00671369">
        <w:rPr>
          <w:rStyle w:val="EndnoteReference"/>
          <w:rFonts w:ascii="Gill Sans MT" w:hAnsi="Gill Sans MT"/>
          <w:lang w:val="en-GB"/>
        </w:rPr>
        <w:endnoteReference w:id="25"/>
      </w:r>
      <w:r w:rsidRPr="00671369">
        <w:rPr>
          <w:rFonts w:ascii="Gill Sans MT" w:hAnsi="Gill Sans MT"/>
          <w:lang w:val="en-GB"/>
        </w:rPr>
        <w:t xml:space="preserve"> State authorities may also initiate complaints, making this right susceptible to abuse by State officials seeking to silence dissent.</w:t>
      </w:r>
      <w:r w:rsidRPr="00671369">
        <w:rPr>
          <w:rStyle w:val="EndnoteReference"/>
          <w:rFonts w:ascii="Gill Sans MT" w:hAnsi="Gill Sans MT"/>
          <w:lang w:val="en-GB"/>
        </w:rPr>
        <w:endnoteReference w:id="26"/>
      </w:r>
    </w:p>
    <w:p w14:paraId="284AFD9C" w14:textId="6BDB867A" w:rsidR="00CB079B" w:rsidRPr="00671369"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CCPR General Comment 34 provides that defamation laws must ‘comply with paragraph 3 [of Article 19],’ ensuring they ‘do not serve, in practice, to stifle freedom of expression,’</w:t>
      </w:r>
      <w:r w:rsidRPr="00671369">
        <w:rPr>
          <w:rStyle w:val="EndnoteReference"/>
          <w:rFonts w:ascii="Gill Sans MT" w:hAnsi="Gill Sans MT"/>
          <w:lang w:val="en-GB"/>
        </w:rPr>
        <w:endnoteReference w:id="27"/>
      </w:r>
      <w:r w:rsidRPr="00671369">
        <w:rPr>
          <w:rFonts w:ascii="Gill Sans MT" w:hAnsi="Gill Sans MT"/>
          <w:lang w:val="en-GB"/>
        </w:rPr>
        <w:t xml:space="preserve"> and should provide clear defences such as ‘defence of truth’ and ‘public interest,’ which this law does not appear to provide. The Committee adds that ‘imprisonment is never an appropriate penalty’ for defamation.</w:t>
      </w:r>
      <w:r w:rsidRPr="00671369">
        <w:rPr>
          <w:rStyle w:val="EndnoteReference"/>
          <w:rFonts w:ascii="Gill Sans MT" w:hAnsi="Gill Sans MT"/>
          <w:lang w:val="en-GB"/>
        </w:rPr>
        <w:endnoteReference w:id="28"/>
      </w:r>
    </w:p>
    <w:p w14:paraId="09B2077A" w14:textId="77777777"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Further, international law standards recognise that public figures should tolerate, and are required to accept, a greater degree of criticism than private citizens.</w:t>
      </w:r>
      <w:r w:rsidRPr="00671369">
        <w:rPr>
          <w:rStyle w:val="EndnoteReference"/>
          <w:rFonts w:ascii="Gill Sans MT" w:hAnsi="Gill Sans MT"/>
          <w:lang w:val="en-GB"/>
        </w:rPr>
        <w:endnoteReference w:id="29"/>
      </w:r>
    </w:p>
    <w:p w14:paraId="5B9FB990" w14:textId="1F7EBC64"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 xml:space="preserve">In </w:t>
      </w:r>
      <w:r>
        <w:rPr>
          <w:rFonts w:ascii="Gill Sans MT" w:hAnsi="Gill Sans MT"/>
          <w:lang w:val="en-GB"/>
        </w:rPr>
        <w:t xml:space="preserve">December 2014 in </w:t>
      </w:r>
      <w:r w:rsidRPr="00671369">
        <w:rPr>
          <w:rFonts w:ascii="Gill Sans MT" w:hAnsi="Gill Sans MT"/>
          <w:lang w:val="en-GB"/>
        </w:rPr>
        <w:t xml:space="preserve">its reply </w:t>
      </w:r>
      <w:r>
        <w:rPr>
          <w:rFonts w:ascii="Gill Sans MT" w:hAnsi="Gill Sans MT"/>
          <w:lang w:val="en-GB"/>
        </w:rPr>
        <w:t xml:space="preserve">to the Committee’s Concluding Observations of 2011, </w:t>
      </w:r>
      <w:r w:rsidRPr="00671369">
        <w:rPr>
          <w:rFonts w:ascii="Gill Sans MT" w:hAnsi="Gill Sans MT"/>
          <w:lang w:val="en-GB"/>
        </w:rPr>
        <w:t>the Government rejected the Committee’s recommendation to decriminali</w:t>
      </w:r>
      <w:r>
        <w:rPr>
          <w:rFonts w:ascii="Gill Sans MT" w:hAnsi="Gill Sans MT"/>
          <w:lang w:val="en-GB"/>
        </w:rPr>
        <w:t>s</w:t>
      </w:r>
      <w:r w:rsidRPr="00671369">
        <w:rPr>
          <w:rFonts w:ascii="Gill Sans MT" w:hAnsi="Gill Sans MT"/>
          <w:lang w:val="en-GB"/>
        </w:rPr>
        <w:t>e libel, defamation and insult</w:t>
      </w:r>
      <w:r w:rsidRPr="001B2C62">
        <w:rPr>
          <w:rStyle w:val="EndnoteReference"/>
          <w:rFonts w:ascii="Gill Sans MT" w:hAnsi="Gill Sans MT"/>
          <w:lang w:val="en-GB"/>
        </w:rPr>
        <w:endnoteReference w:id="30"/>
      </w:r>
      <w:r w:rsidRPr="00671369">
        <w:rPr>
          <w:rFonts w:ascii="Gill Sans MT" w:hAnsi="Gill Sans MT"/>
          <w:lang w:val="en-GB"/>
        </w:rPr>
        <w:t xml:space="preserve"> in favour of the ‘freedoms and interests of individual’</w:t>
      </w:r>
      <w:r>
        <w:rPr>
          <w:rFonts w:ascii="Gill Sans MT" w:hAnsi="Gill Sans MT"/>
          <w:lang w:val="en-GB"/>
        </w:rPr>
        <w:t>. Further. i</w:t>
      </w:r>
      <w:r w:rsidRPr="00D41E6A">
        <w:rPr>
          <w:rFonts w:ascii="Gill Sans MT" w:hAnsi="Gill Sans MT"/>
          <w:lang w:val="en-GB"/>
        </w:rPr>
        <w:t>n highlighting its repeal of one law on defamation that carried a punishment of 6 months’ detention,</w:t>
      </w:r>
      <w:r w:rsidRPr="00D41E6A">
        <w:rPr>
          <w:rFonts w:ascii="Gill Sans MT" w:hAnsi="Gill Sans MT"/>
          <w:vertAlign w:val="superscript"/>
          <w:lang w:val="en-GB"/>
        </w:rPr>
        <w:endnoteReference w:id="31"/>
      </w:r>
      <w:r w:rsidRPr="00D41E6A">
        <w:rPr>
          <w:rFonts w:ascii="Gill Sans MT" w:hAnsi="Gill Sans MT"/>
          <w:lang w:val="en-GB"/>
        </w:rPr>
        <w:t xml:space="preserve"> the Government deflected and distracted from pre-existing and new laws which maintain criminalization of demotion and insult carrying a range of prison sentences, some even greater.</w:t>
      </w:r>
    </w:p>
    <w:p w14:paraId="181106FA" w14:textId="5FC2EC2E" w:rsidR="00CB079B" w:rsidRPr="00671369" w:rsidRDefault="00CB079B" w:rsidP="00CB079B">
      <w:pPr>
        <w:keepNext/>
        <w:spacing w:before="120" w:after="60"/>
        <w:contextualSpacing/>
        <w:jc w:val="both"/>
        <w:rPr>
          <w:rFonts w:ascii="Gill Sans MT" w:hAnsi="Gill Sans MT"/>
          <w:u w:val="single"/>
          <w:lang w:val="en-GB"/>
        </w:rPr>
      </w:pPr>
      <w:r w:rsidRPr="00671369">
        <w:rPr>
          <w:rFonts w:ascii="Gill Sans MT" w:hAnsi="Gill Sans MT"/>
          <w:u w:val="single"/>
          <w:lang w:val="en-GB"/>
        </w:rPr>
        <w:lastRenderedPageBreak/>
        <w:t xml:space="preserve">Restrictive laws </w:t>
      </w:r>
      <w:r>
        <w:rPr>
          <w:rFonts w:ascii="Gill Sans MT" w:hAnsi="Gill Sans MT"/>
          <w:u w:val="single"/>
          <w:lang w:val="en-GB"/>
        </w:rPr>
        <w:t>– Sexual Orientation and Gender Identity</w:t>
      </w:r>
    </w:p>
    <w:p w14:paraId="16CD341A" w14:textId="0FF0D50C" w:rsidR="00CB079B" w:rsidRPr="00671369" w:rsidRDefault="00CB079B" w:rsidP="00CB079B">
      <w:pPr>
        <w:pStyle w:val="ListParagraph"/>
        <w:keepNext/>
        <w:numPr>
          <w:ilvl w:val="0"/>
          <w:numId w:val="25"/>
        </w:numPr>
        <w:spacing w:before="120" w:after="120"/>
        <w:ind w:left="221" w:hanging="221"/>
        <w:jc w:val="both"/>
        <w:rPr>
          <w:rFonts w:ascii="Gill Sans MT" w:hAnsi="Gill Sans MT"/>
          <w:lang w:val="en-GB"/>
        </w:rPr>
      </w:pPr>
      <w:r w:rsidRPr="00671369">
        <w:rPr>
          <w:rFonts w:ascii="Gill Sans MT" w:hAnsi="Gill Sans MT"/>
          <w:lang w:val="en-GB"/>
        </w:rPr>
        <w:t>The Government recently passed a law banning ‘propaganda about non-traditional sexual orientations’.</w:t>
      </w:r>
      <w:r w:rsidRPr="00671369">
        <w:rPr>
          <w:rStyle w:val="EndnoteReference"/>
          <w:rFonts w:ascii="Gill Sans MT" w:hAnsi="Gill Sans MT"/>
          <w:lang w:val="en-GB"/>
        </w:rPr>
        <w:endnoteReference w:id="32"/>
      </w:r>
      <w:r w:rsidRPr="00671369">
        <w:rPr>
          <w:rFonts w:ascii="Gill Sans MT" w:hAnsi="Gill Sans MT"/>
          <w:lang w:val="en-GB"/>
        </w:rPr>
        <w:t xml:space="preserve"> Notwithstanding that the Constitutional Council consequently found the law to be unconstitutional because of vague wording</w:t>
      </w:r>
      <w:r w:rsidRPr="00671369">
        <w:rPr>
          <w:rStyle w:val="EndnoteReference"/>
          <w:rFonts w:ascii="Gill Sans MT" w:hAnsi="Gill Sans MT"/>
          <w:lang w:val="en-GB"/>
        </w:rPr>
        <w:endnoteReference w:id="33"/>
      </w:r>
      <w:r w:rsidRPr="00671369">
        <w:rPr>
          <w:rFonts w:ascii="Gill Sans MT" w:hAnsi="Gill Sans MT"/>
          <w:lang w:val="en-GB"/>
        </w:rPr>
        <w:t xml:space="preserve">, </w:t>
      </w:r>
      <w:r>
        <w:rPr>
          <w:rFonts w:ascii="Gill Sans MT" w:hAnsi="Gill Sans MT"/>
          <w:lang w:val="en-GB"/>
        </w:rPr>
        <w:t xml:space="preserve">this law </w:t>
      </w:r>
      <w:r w:rsidRPr="00671369">
        <w:rPr>
          <w:rFonts w:ascii="Gill Sans MT" w:hAnsi="Gill Sans MT"/>
          <w:lang w:val="en-GB"/>
        </w:rPr>
        <w:t>clearly violates Kazakhstan’s obligation to guarantee to prevent discrimination on the basis of sex, including sexual orientation or gender identity</w:t>
      </w:r>
      <w:r w:rsidRPr="00671369">
        <w:rPr>
          <w:rStyle w:val="EndnoteReference"/>
          <w:rFonts w:ascii="Gill Sans MT" w:hAnsi="Gill Sans MT"/>
          <w:lang w:val="en-GB"/>
        </w:rPr>
        <w:endnoteReference w:id="34"/>
      </w:r>
      <w:r w:rsidRPr="00671369">
        <w:rPr>
          <w:rFonts w:ascii="Gill Sans MT" w:hAnsi="Gill Sans MT"/>
          <w:lang w:val="en-GB"/>
        </w:rPr>
        <w:t xml:space="preserve">. </w:t>
      </w:r>
    </w:p>
    <w:p w14:paraId="03557AF1" w14:textId="2529EA21" w:rsidR="00CB079B" w:rsidRDefault="00CB079B" w:rsidP="00CB079B">
      <w:pPr>
        <w:spacing w:before="120" w:after="60"/>
        <w:jc w:val="both"/>
        <w:rPr>
          <w:lang w:val="en-GB"/>
        </w:rPr>
      </w:pPr>
      <w:r>
        <w:rPr>
          <w:rFonts w:ascii="Gill Sans MT" w:hAnsi="Gill Sans MT"/>
          <w:u w:val="single"/>
          <w:lang w:val="en-GB"/>
        </w:rPr>
        <w:t>Restrictive L</w:t>
      </w:r>
      <w:r w:rsidRPr="00093C1F">
        <w:rPr>
          <w:rFonts w:ascii="Gill Sans MT" w:hAnsi="Gill Sans MT"/>
          <w:u w:val="single"/>
          <w:lang w:val="en-GB"/>
        </w:rPr>
        <w:t xml:space="preserve">aws – Criminal Code </w:t>
      </w:r>
    </w:p>
    <w:p w14:paraId="386AB465" w14:textId="38FEA8EC" w:rsidR="00CB079B" w:rsidRPr="00093C1F" w:rsidRDefault="00CB079B" w:rsidP="00CB079B">
      <w:pPr>
        <w:pStyle w:val="ListParagraph"/>
        <w:widowControl w:val="0"/>
        <w:numPr>
          <w:ilvl w:val="0"/>
          <w:numId w:val="25"/>
        </w:numPr>
        <w:spacing w:before="120" w:after="120"/>
        <w:ind w:left="221" w:hanging="221"/>
        <w:jc w:val="both"/>
        <w:rPr>
          <w:rFonts w:ascii="Gill Sans MT" w:hAnsi="Gill Sans MT"/>
          <w:lang w:val="en-GB"/>
        </w:rPr>
      </w:pPr>
      <w:r>
        <w:rPr>
          <w:rFonts w:ascii="Gill Sans MT" w:hAnsi="Gill Sans MT"/>
          <w:lang w:val="en-GB"/>
        </w:rPr>
        <w:t xml:space="preserve">The </w:t>
      </w:r>
      <w:r w:rsidRPr="00671369">
        <w:rPr>
          <w:rFonts w:ascii="Gill Sans MT" w:hAnsi="Gill Sans MT"/>
          <w:lang w:val="en-GB"/>
        </w:rPr>
        <w:t>EU raised concerns at the EU-Kazakhstan Human Rights Dialogue in November 2014 that the Criminal Code, in force since 1 January 2015, ‘could have a negative impact on freedom of expression, freedom of association freedom of assembly,’</w:t>
      </w:r>
      <w:r w:rsidRPr="00671369">
        <w:rPr>
          <w:rStyle w:val="EndnoteReference"/>
          <w:rFonts w:ascii="Gill Sans MT" w:hAnsi="Gill Sans MT"/>
          <w:lang w:val="en-GB"/>
        </w:rPr>
        <w:endnoteReference w:id="35"/>
      </w:r>
      <w:r w:rsidRPr="00671369">
        <w:rPr>
          <w:rFonts w:ascii="Gill Sans MT" w:hAnsi="Gill Sans MT"/>
          <w:lang w:val="en-GB"/>
        </w:rPr>
        <w:t xml:space="preserve"> as well as negative implications for freedom of religion.</w:t>
      </w:r>
    </w:p>
    <w:p w14:paraId="405FC928" w14:textId="0D50501B" w:rsidR="00CB079B" w:rsidRPr="00671369" w:rsidRDefault="00CB079B" w:rsidP="00CB079B">
      <w:pPr>
        <w:pStyle w:val="ListParagraph"/>
        <w:keepNext/>
        <w:numPr>
          <w:ilvl w:val="0"/>
          <w:numId w:val="25"/>
        </w:numPr>
        <w:spacing w:before="120" w:after="120"/>
        <w:ind w:left="221" w:hanging="221"/>
        <w:jc w:val="both"/>
        <w:rPr>
          <w:rFonts w:ascii="Gill Sans MT" w:hAnsi="Gill Sans MT"/>
          <w:lang w:val="en-GB"/>
        </w:rPr>
      </w:pPr>
      <w:r w:rsidRPr="00671369">
        <w:rPr>
          <w:rFonts w:ascii="Gill Sans MT" w:hAnsi="Gill Sans MT"/>
          <w:lang w:val="en-GB"/>
        </w:rPr>
        <w:t xml:space="preserve">Numerous articles of the Criminal Code violate article 19 of the ICCPR, including: </w:t>
      </w:r>
    </w:p>
    <w:p w14:paraId="6B7784A6" w14:textId="6567E2DB" w:rsidR="00CB079B" w:rsidRPr="003E0C06" w:rsidRDefault="00CB079B" w:rsidP="00CB079B">
      <w:pPr>
        <w:pStyle w:val="ListParagraph"/>
        <w:keepNext/>
        <w:numPr>
          <w:ilvl w:val="0"/>
          <w:numId w:val="30"/>
        </w:numPr>
        <w:spacing w:before="120" w:after="120"/>
        <w:ind w:left="709" w:hanging="425"/>
        <w:jc w:val="both"/>
        <w:rPr>
          <w:rFonts w:ascii="Gill Sans MT" w:hAnsi="Gill Sans MT"/>
          <w:lang w:val="en-GB"/>
        </w:rPr>
      </w:pPr>
      <w:r w:rsidRPr="00671369">
        <w:rPr>
          <w:rFonts w:ascii="Gill Sans MT" w:hAnsi="Gill Sans MT"/>
          <w:lang w:val="en-GB"/>
        </w:rPr>
        <w:t>Article 274 which prohibits ‘dissemination of knowingly false information’. Various concerns have been raised including that the definition of ‘knowingly false information’ is vague, and fails to differentiate between facts and value judgements, opening the article to abuse to suppress legitimate forms of expression</w:t>
      </w:r>
      <w:r w:rsidRPr="003E0C06">
        <w:rPr>
          <w:rStyle w:val="EndnoteReference"/>
          <w:rFonts w:ascii="Gill Sans MT" w:hAnsi="Gill Sans MT"/>
          <w:lang w:val="en-GB"/>
        </w:rPr>
        <w:endnoteReference w:id="36"/>
      </w:r>
      <w:r w:rsidRPr="003E0C06">
        <w:rPr>
          <w:rFonts w:ascii="Gill Sans MT" w:hAnsi="Gill Sans MT"/>
          <w:lang w:val="en-GB"/>
        </w:rPr>
        <w:t>; and that the article is not ‘sufficiently precis[e]’ to enable individuals to regulate their conduct, and therefore is not a valid restriction on freedom of expression under article 19(3)</w:t>
      </w:r>
      <w:r w:rsidRPr="003E0C06">
        <w:rPr>
          <w:rStyle w:val="EndnoteReference"/>
          <w:rFonts w:ascii="Gill Sans MT" w:hAnsi="Gill Sans MT"/>
          <w:lang w:val="en-GB"/>
        </w:rPr>
        <w:endnoteReference w:id="37"/>
      </w:r>
      <w:r w:rsidRPr="003E0C06">
        <w:rPr>
          <w:rFonts w:ascii="Gill Sans MT" w:hAnsi="Gill Sans MT"/>
          <w:lang w:val="en-GB"/>
        </w:rPr>
        <w:t xml:space="preserve">. </w:t>
      </w:r>
    </w:p>
    <w:p w14:paraId="20B2527D" w14:textId="4F3EDEE0" w:rsidR="00CB079B" w:rsidRPr="003E0C06" w:rsidRDefault="00CB079B" w:rsidP="00CB079B">
      <w:pPr>
        <w:pStyle w:val="ListParagraph"/>
        <w:keepNext/>
        <w:numPr>
          <w:ilvl w:val="0"/>
          <w:numId w:val="30"/>
        </w:numPr>
        <w:spacing w:before="120" w:after="120"/>
        <w:ind w:left="709" w:hanging="425"/>
        <w:jc w:val="both"/>
        <w:rPr>
          <w:rFonts w:ascii="Gill Sans MT" w:hAnsi="Gill Sans MT"/>
          <w:lang w:val="en-GB"/>
        </w:rPr>
      </w:pPr>
      <w:r w:rsidRPr="003E0C06">
        <w:rPr>
          <w:rFonts w:ascii="Gill Sans MT" w:hAnsi="Gill Sans MT"/>
          <w:lang w:val="en-GB"/>
        </w:rPr>
        <w:t>Article</w:t>
      </w:r>
      <w:r w:rsidRPr="00805906">
        <w:rPr>
          <w:rFonts w:ascii="Gill Sans MT" w:hAnsi="Gill Sans MT"/>
          <w:b/>
          <w:lang w:val="en-GB"/>
        </w:rPr>
        <w:t xml:space="preserve"> </w:t>
      </w:r>
      <w:r w:rsidRPr="00671369">
        <w:rPr>
          <w:rFonts w:ascii="Gill Sans MT" w:hAnsi="Gill Sans MT"/>
          <w:lang w:val="en-GB"/>
        </w:rPr>
        <w:t xml:space="preserve">378 which criminalises public insult of a </w:t>
      </w:r>
      <w:r>
        <w:rPr>
          <w:rFonts w:ascii="Gill Sans MT" w:hAnsi="Gill Sans MT"/>
          <w:lang w:val="en-GB"/>
        </w:rPr>
        <w:t>S</w:t>
      </w:r>
      <w:r w:rsidRPr="00671369">
        <w:rPr>
          <w:rFonts w:ascii="Gill Sans MT" w:hAnsi="Gill Sans MT"/>
          <w:lang w:val="en-GB"/>
        </w:rPr>
        <w:t>tate official by mass media or information communication networks.</w:t>
      </w:r>
      <w:r w:rsidRPr="003E0C06">
        <w:rPr>
          <w:rStyle w:val="EndnoteReference"/>
          <w:rFonts w:ascii="Gill Sans MT" w:hAnsi="Gill Sans MT"/>
          <w:lang w:val="en-GB"/>
        </w:rPr>
        <w:endnoteReference w:id="38"/>
      </w:r>
      <w:r w:rsidRPr="003E0C06">
        <w:rPr>
          <w:rFonts w:ascii="Gill Sans MT" w:hAnsi="Gill Sans MT"/>
          <w:lang w:val="en-GB"/>
        </w:rPr>
        <w:t xml:space="preserve"> Despite the Committee’s view that ‘the penalisation of a media outlet, publishers or journalist solely for being critical</w:t>
      </w:r>
      <w:r w:rsidRPr="00805906">
        <w:rPr>
          <w:rFonts w:ascii="Gill Sans MT" w:hAnsi="Gill Sans MT"/>
          <w:lang w:val="en-GB"/>
        </w:rPr>
        <w:t xml:space="preserve"> </w:t>
      </w:r>
      <w:r w:rsidRPr="00671369">
        <w:rPr>
          <w:rFonts w:ascii="Gill Sans MT" w:hAnsi="Gill Sans MT"/>
          <w:lang w:val="en-GB"/>
        </w:rPr>
        <w:t xml:space="preserve">of the government or </w:t>
      </w:r>
      <w:r>
        <w:rPr>
          <w:rFonts w:ascii="Gill Sans MT" w:hAnsi="Gill Sans MT"/>
          <w:lang w:val="en-GB"/>
        </w:rPr>
        <w:t xml:space="preserve">that </w:t>
      </w:r>
      <w:r w:rsidRPr="00671369">
        <w:rPr>
          <w:rFonts w:ascii="Gill Sans MT" w:hAnsi="Gill Sans MT"/>
          <w:lang w:val="en-GB"/>
        </w:rPr>
        <w:t>the political social system espoused by the government can never be considered to be a necessary restriction of freedom of expression.’</w:t>
      </w:r>
      <w:r w:rsidRPr="003E0C06">
        <w:rPr>
          <w:rStyle w:val="EndnoteReference"/>
          <w:rFonts w:ascii="Gill Sans MT" w:hAnsi="Gill Sans MT"/>
          <w:lang w:val="en-GB"/>
        </w:rPr>
        <w:endnoteReference w:id="39"/>
      </w:r>
    </w:p>
    <w:p w14:paraId="74134339" w14:textId="03A42298" w:rsidR="00CB079B" w:rsidRPr="003E0C06" w:rsidRDefault="00CB079B" w:rsidP="00CB079B">
      <w:pPr>
        <w:pStyle w:val="ListParagraph"/>
        <w:numPr>
          <w:ilvl w:val="0"/>
          <w:numId w:val="30"/>
        </w:numPr>
        <w:spacing w:before="120" w:after="120"/>
        <w:ind w:left="709" w:hanging="425"/>
        <w:jc w:val="both"/>
        <w:rPr>
          <w:rFonts w:ascii="Gill Sans MT" w:hAnsi="Gill Sans MT"/>
          <w:lang w:val="en-GB"/>
        </w:rPr>
      </w:pPr>
      <w:r w:rsidRPr="003E0C06">
        <w:rPr>
          <w:rFonts w:ascii="Gill Sans MT" w:hAnsi="Gill Sans MT"/>
          <w:lang w:val="en-GB"/>
        </w:rPr>
        <w:t>Articles 373 and 375 which impose up to five years imprisonment for ‘public insult or other encroachment on the honour and dignity’ of the President of Kazakhstan.</w:t>
      </w:r>
      <w:r w:rsidRPr="003E0C06">
        <w:rPr>
          <w:rStyle w:val="EndnoteReference"/>
          <w:rFonts w:ascii="Gill Sans MT" w:hAnsi="Gill Sans MT"/>
          <w:lang w:val="en-GB"/>
        </w:rPr>
        <w:endnoteReference w:id="40"/>
      </w:r>
      <w:r w:rsidRPr="003E0C06">
        <w:rPr>
          <w:rFonts w:ascii="Gill Sans MT" w:hAnsi="Gill Sans MT"/>
          <w:lang w:val="en-GB"/>
        </w:rPr>
        <w:t xml:space="preserve"> The Committee has expressed that ‘the mere fact that forms of expression are considered to be insulting to a public figure is not sufficient to justify the imposition of penalties,’ and laws must not provide more severe penalties ‘solely on the basis of the identity of th</w:t>
      </w:r>
      <w:r w:rsidRPr="00805906">
        <w:rPr>
          <w:rFonts w:ascii="Gill Sans MT" w:hAnsi="Gill Sans MT"/>
          <w:lang w:val="en-GB"/>
        </w:rPr>
        <w:t>e person that may have been impugned.’</w:t>
      </w:r>
      <w:r w:rsidRPr="003E0C06">
        <w:rPr>
          <w:rStyle w:val="EndnoteReference"/>
          <w:rFonts w:ascii="Gill Sans MT" w:hAnsi="Gill Sans MT"/>
          <w:lang w:val="en-GB"/>
        </w:rPr>
        <w:endnoteReference w:id="41"/>
      </w:r>
    </w:p>
    <w:p w14:paraId="2206DC4B" w14:textId="2865C9D9" w:rsidR="00CB079B" w:rsidRPr="00671369" w:rsidRDefault="00CB079B" w:rsidP="00CB079B">
      <w:pPr>
        <w:pStyle w:val="ListParagraph"/>
        <w:numPr>
          <w:ilvl w:val="0"/>
          <w:numId w:val="30"/>
        </w:numPr>
        <w:spacing w:before="120" w:after="120"/>
        <w:ind w:left="709" w:hanging="425"/>
        <w:jc w:val="both"/>
        <w:rPr>
          <w:rFonts w:ascii="Gill Sans MT" w:hAnsi="Gill Sans MT"/>
          <w:lang w:val="en-GB"/>
        </w:rPr>
      </w:pPr>
      <w:r w:rsidRPr="00805906">
        <w:rPr>
          <w:rFonts w:ascii="Gill Sans MT" w:hAnsi="Gill Sans MT"/>
          <w:lang w:val="en-GB"/>
        </w:rPr>
        <w:t>A</w:t>
      </w:r>
      <w:r w:rsidRPr="00671369">
        <w:rPr>
          <w:rFonts w:ascii="Gill Sans MT" w:hAnsi="Gill Sans MT"/>
          <w:lang w:val="en-GB"/>
        </w:rPr>
        <w:t>rticle</w:t>
      </w:r>
      <w:r w:rsidRPr="00671369">
        <w:rPr>
          <w:rFonts w:ascii="Gill Sans MT" w:hAnsi="Gill Sans MT"/>
          <w:b/>
          <w:lang w:val="en-GB"/>
        </w:rPr>
        <w:t xml:space="preserve"> </w:t>
      </w:r>
      <w:r w:rsidRPr="00671369">
        <w:rPr>
          <w:rFonts w:ascii="Gill Sans MT" w:hAnsi="Gill Sans MT"/>
          <w:lang w:val="en-GB"/>
        </w:rPr>
        <w:t>131</w:t>
      </w:r>
      <w:r w:rsidRPr="00671369">
        <w:rPr>
          <w:rFonts w:ascii="Gill Sans MT" w:hAnsi="Gill Sans MT"/>
          <w:b/>
          <w:lang w:val="en-GB"/>
        </w:rPr>
        <w:t xml:space="preserve"> </w:t>
      </w:r>
      <w:r w:rsidRPr="00671369">
        <w:rPr>
          <w:rFonts w:ascii="Gill Sans MT" w:hAnsi="Gill Sans MT"/>
          <w:lang w:val="en-GB"/>
        </w:rPr>
        <w:t>which prohibits insult, being ‘denigration of the honour and dignity of another person in an indecent manner.’</w:t>
      </w:r>
      <w:r w:rsidRPr="003E0C06">
        <w:rPr>
          <w:rStyle w:val="EndnoteReference"/>
          <w:rFonts w:ascii="Gill Sans MT" w:hAnsi="Gill Sans MT"/>
          <w:lang w:val="en-GB"/>
        </w:rPr>
        <w:endnoteReference w:id="42"/>
      </w:r>
      <w:r w:rsidRPr="003E0C06">
        <w:rPr>
          <w:rFonts w:ascii="Gill Sans MT" w:hAnsi="Gill Sans MT"/>
          <w:lang w:val="en-GB"/>
        </w:rPr>
        <w:t xml:space="preserve"> If committed by mass media, it carries a fine or correctional labour. This law likely also violates article 19, particularly with respect to public officials</w:t>
      </w:r>
      <w:r w:rsidRPr="00805906">
        <w:rPr>
          <w:rFonts w:ascii="Gill Sans MT" w:hAnsi="Gill Sans MT"/>
          <w:lang w:val="en-GB"/>
        </w:rPr>
        <w:t xml:space="preserve"> as discussed above</w:t>
      </w:r>
      <w:r w:rsidRPr="00671369">
        <w:rPr>
          <w:rFonts w:ascii="Gill Sans MT" w:hAnsi="Gill Sans MT"/>
          <w:lang w:val="en-GB"/>
        </w:rPr>
        <w:t>.</w:t>
      </w:r>
    </w:p>
    <w:p w14:paraId="359FEFF4" w14:textId="686C8D31" w:rsidR="00CB079B" w:rsidRPr="003E0C06" w:rsidRDefault="00CB079B" w:rsidP="00CB079B">
      <w:pPr>
        <w:pStyle w:val="ListParagraph"/>
        <w:numPr>
          <w:ilvl w:val="0"/>
          <w:numId w:val="30"/>
        </w:numPr>
        <w:spacing w:before="120" w:after="120"/>
        <w:ind w:left="709" w:hanging="425"/>
        <w:jc w:val="both"/>
        <w:rPr>
          <w:rFonts w:ascii="Gill Sans MT" w:hAnsi="Gill Sans MT"/>
          <w:lang w:val="en-GB"/>
        </w:rPr>
      </w:pPr>
      <w:r w:rsidRPr="00671369">
        <w:rPr>
          <w:rFonts w:ascii="Gill Sans MT" w:hAnsi="Gill Sans MT"/>
          <w:lang w:val="en-GB"/>
        </w:rPr>
        <w:t>Articles 174, 183 and 404</w:t>
      </w:r>
      <w:r w:rsidRPr="00671369">
        <w:rPr>
          <w:rFonts w:ascii="Gill Sans MT" w:hAnsi="Gill Sans MT"/>
          <w:b/>
          <w:lang w:val="en-GB"/>
        </w:rPr>
        <w:t xml:space="preserve"> </w:t>
      </w:r>
      <w:r w:rsidRPr="00671369">
        <w:rPr>
          <w:rFonts w:ascii="Gill Sans MT" w:hAnsi="Gill Sans MT"/>
          <w:lang w:val="en-GB"/>
        </w:rPr>
        <w:t>which impose restrictions on the right to freedom of expression in relation to religion. Article 174 criminalises, with a maximum penalty of imprisonment from 12 to 20 years, the incitement of ‘social, national, ethnic, racial, class or religious hatred,’ including actions that ‘demean [the] national honour and dignity or religious feelings of citizens.’</w:t>
      </w:r>
      <w:r w:rsidRPr="003E0C06">
        <w:rPr>
          <w:rStyle w:val="EndnoteReference"/>
          <w:rFonts w:ascii="Gill Sans MT" w:hAnsi="Gill Sans MT"/>
          <w:lang w:val="en-GB"/>
        </w:rPr>
        <w:endnoteReference w:id="43"/>
      </w:r>
      <w:r w:rsidRPr="003E0C06">
        <w:rPr>
          <w:rFonts w:ascii="Gill Sans MT" w:hAnsi="Gill Sans MT"/>
          <w:lang w:val="en-GB"/>
        </w:rPr>
        <w:t xml:space="preserve"> Article 183 effectively circumscribes the same offence as article 174 when committed through mass media.</w:t>
      </w:r>
      <w:r w:rsidRPr="00805906">
        <w:rPr>
          <w:rFonts w:ascii="Gill Sans MT" w:hAnsi="Gill Sans MT"/>
          <w:lang w:val="en-GB"/>
        </w:rPr>
        <w:t xml:space="preserve"> </w:t>
      </w:r>
      <w:r w:rsidRPr="00671369">
        <w:rPr>
          <w:rFonts w:ascii="Gill Sans MT" w:hAnsi="Gill Sans MT"/>
          <w:lang w:val="en-GB"/>
        </w:rPr>
        <w:t xml:space="preserve">Article 404 criminalises, inter alia, the establishment, participation or leading of a ‘religious party or civic organization that propagates or practises religious intolerance or superiority.’ The </w:t>
      </w:r>
      <w:r>
        <w:rPr>
          <w:rFonts w:ascii="Gill Sans MT" w:hAnsi="Gill Sans MT"/>
          <w:lang w:val="en-GB"/>
        </w:rPr>
        <w:t>Special Rapporteur on f</w:t>
      </w:r>
      <w:r w:rsidRPr="003E0C06">
        <w:rPr>
          <w:rFonts w:ascii="Gill Sans MT" w:hAnsi="Gill Sans MT"/>
          <w:lang w:val="en-GB"/>
        </w:rPr>
        <w:t xml:space="preserve">reedom of </w:t>
      </w:r>
      <w:r>
        <w:rPr>
          <w:rFonts w:ascii="Gill Sans MT" w:hAnsi="Gill Sans MT"/>
          <w:lang w:val="en-GB"/>
        </w:rPr>
        <w:t>r</w:t>
      </w:r>
      <w:r w:rsidRPr="003E0C06">
        <w:rPr>
          <w:rFonts w:ascii="Gill Sans MT" w:hAnsi="Gill Sans MT"/>
          <w:lang w:val="en-GB"/>
        </w:rPr>
        <w:t xml:space="preserve">eligion or </w:t>
      </w:r>
      <w:r>
        <w:rPr>
          <w:rFonts w:ascii="Gill Sans MT" w:hAnsi="Gill Sans MT"/>
          <w:lang w:val="en-GB"/>
        </w:rPr>
        <w:t>b</w:t>
      </w:r>
      <w:r w:rsidRPr="003E0C06">
        <w:rPr>
          <w:rFonts w:ascii="Gill Sans MT" w:hAnsi="Gill Sans MT"/>
          <w:lang w:val="en-GB"/>
        </w:rPr>
        <w:t xml:space="preserve">elief </w:t>
      </w:r>
      <w:r w:rsidRPr="00671369">
        <w:rPr>
          <w:rFonts w:ascii="Gill Sans MT" w:hAnsi="Gill Sans MT"/>
          <w:lang w:val="en-GB"/>
        </w:rPr>
        <w:t>in his mission report noted that these laws are ‘vaguely circumscribed rather than being clearly defined,’</w:t>
      </w:r>
      <w:r w:rsidRPr="003E0C06">
        <w:rPr>
          <w:rStyle w:val="EndnoteReference"/>
          <w:rFonts w:ascii="Gill Sans MT" w:hAnsi="Gill Sans MT"/>
          <w:lang w:val="en-GB"/>
        </w:rPr>
        <w:endnoteReference w:id="44"/>
      </w:r>
      <w:r w:rsidRPr="003E0C06">
        <w:rPr>
          <w:rFonts w:ascii="Gill Sans MT" w:hAnsi="Gill Sans MT"/>
          <w:lang w:val="en-GB"/>
        </w:rPr>
        <w:t xml:space="preserve"> and together with the Committee on the Elimination of Racial Discrimination in its Concluding Observations to Kazakhstan (March 2015), rec</w:t>
      </w:r>
      <w:r w:rsidRPr="00805906">
        <w:rPr>
          <w:rFonts w:ascii="Gill Sans MT" w:hAnsi="Gill Sans MT"/>
          <w:lang w:val="en-GB"/>
        </w:rPr>
        <w:t>ommended a legislative revision to article 174 so that it does not unnecessarily or disproportionately interfere with freedom of expression.</w:t>
      </w:r>
      <w:r w:rsidRPr="003E0C06">
        <w:rPr>
          <w:rStyle w:val="EndnoteReference"/>
          <w:rFonts w:ascii="Gill Sans MT" w:hAnsi="Gill Sans MT"/>
          <w:lang w:val="en-GB"/>
        </w:rPr>
        <w:endnoteReference w:id="45"/>
      </w:r>
      <w:r w:rsidRPr="003E0C06">
        <w:rPr>
          <w:rFonts w:ascii="Gill Sans MT" w:hAnsi="Gill Sans MT"/>
          <w:lang w:val="en-GB"/>
        </w:rPr>
        <w:t xml:space="preserve"> </w:t>
      </w:r>
    </w:p>
    <w:p w14:paraId="46E7FD05" w14:textId="26E35B25" w:rsidR="00CB079B" w:rsidRPr="00671369" w:rsidRDefault="00CB079B" w:rsidP="00CB079B">
      <w:pPr>
        <w:spacing w:before="120" w:after="120"/>
        <w:jc w:val="both"/>
        <w:rPr>
          <w:rFonts w:ascii="Gill Sans MT" w:hAnsi="Gill Sans MT"/>
          <w:lang w:val="en-GB"/>
        </w:rPr>
      </w:pPr>
      <w:r w:rsidRPr="00671369">
        <w:rPr>
          <w:rFonts w:ascii="Gill Sans MT" w:hAnsi="Gill Sans MT"/>
          <w:b/>
          <w:lang w:val="en-GB"/>
        </w:rPr>
        <w:t>Freedom of Peaceful Assembly</w:t>
      </w:r>
    </w:p>
    <w:p w14:paraId="13DDEC27" w14:textId="6527CBFF" w:rsidR="00CB079B" w:rsidRPr="00671369"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The right to freedom of peaceful assembly is protected under the Constitution and is guaranteed under article 21 of the ICCPR, with restrictions allowed only in a narrow set of circumstances. Despite this, the Special Rapporteur on freedom of peaceful assembly and of association noted following his recent visit that ‘in Kazakhstan today the freedom of assembly is treated as a privilege, or a favour, rather than a right’ and that the Government’s approach to regulating assemblies ‘deprives the right of its meaning.’</w:t>
      </w:r>
      <w:r w:rsidRPr="00671369">
        <w:rPr>
          <w:rStyle w:val="EndnoteReference"/>
          <w:rFonts w:ascii="Gill Sans MT" w:hAnsi="Gill Sans MT"/>
          <w:lang w:val="en-GB"/>
        </w:rPr>
        <w:endnoteReference w:id="46"/>
      </w:r>
    </w:p>
    <w:p w14:paraId="65DEEA24" w14:textId="57C3BA68"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An emblematic case of reprisal</w:t>
      </w:r>
      <w:r w:rsidRPr="003E0C06">
        <w:rPr>
          <w:rFonts w:ascii="Gill Sans MT" w:hAnsi="Gill Sans MT"/>
          <w:lang w:val="en-GB"/>
        </w:rPr>
        <w:t>s</w:t>
      </w:r>
      <w:r w:rsidRPr="00671369">
        <w:rPr>
          <w:rFonts w:ascii="Gill Sans MT" w:hAnsi="Gill Sans MT"/>
          <w:lang w:val="en-GB"/>
        </w:rPr>
        <w:t xml:space="preserve"> against those exercising their right to peaceful assembly</w:t>
      </w:r>
      <w:r w:rsidRPr="003E0C06">
        <w:rPr>
          <w:rFonts w:ascii="Gill Sans MT" w:hAnsi="Gill Sans MT"/>
          <w:lang w:val="en-GB"/>
        </w:rPr>
        <w:t xml:space="preserve"> occurred in </w:t>
      </w:r>
      <w:r w:rsidRPr="00805906">
        <w:rPr>
          <w:rFonts w:ascii="Gill Sans MT" w:hAnsi="Gill Sans MT"/>
          <w:lang w:val="en-GB"/>
        </w:rPr>
        <w:t xml:space="preserve">response to </w:t>
      </w:r>
      <w:r w:rsidRPr="00671369">
        <w:rPr>
          <w:rFonts w:ascii="Gill Sans MT" w:hAnsi="Gill Sans MT"/>
          <w:lang w:val="en-GB"/>
        </w:rPr>
        <w:t>a peaceful public art-mob event on 11 March 2012, held to draw attention to the issue of moral leadership. The event allegedly lasted about 10 minutes, with 15 observers (mostly journalists and police).</w:t>
      </w:r>
      <w:r w:rsidRPr="00671369">
        <w:rPr>
          <w:rStyle w:val="EndnoteReference"/>
          <w:rFonts w:ascii="Gill Sans MT" w:hAnsi="Gill Sans MT"/>
          <w:lang w:val="en-GB"/>
        </w:rPr>
        <w:endnoteReference w:id="47"/>
      </w:r>
      <w:r w:rsidRPr="00671369">
        <w:rPr>
          <w:rFonts w:ascii="Gill Sans MT" w:hAnsi="Gill Sans MT"/>
          <w:lang w:val="en-GB"/>
        </w:rPr>
        <w:t xml:space="preserve"> Five days later </w:t>
      </w:r>
      <w:r w:rsidRPr="00671369">
        <w:rPr>
          <w:rFonts w:ascii="Gill Sans MT" w:hAnsi="Gill Sans MT"/>
          <w:lang w:val="en-GB"/>
        </w:rPr>
        <w:lastRenderedPageBreak/>
        <w:t>the organiser was arrested and subsequently convicted and fined for holding an event not authori</w:t>
      </w:r>
      <w:r>
        <w:rPr>
          <w:rFonts w:ascii="Gill Sans MT" w:hAnsi="Gill Sans MT"/>
          <w:lang w:val="en-GB"/>
        </w:rPr>
        <w:t>s</w:t>
      </w:r>
      <w:r w:rsidRPr="00671369">
        <w:rPr>
          <w:rFonts w:ascii="Gill Sans MT" w:hAnsi="Gill Sans MT"/>
          <w:lang w:val="en-GB"/>
        </w:rPr>
        <w:t>ed by the Peaceful Assembly Law.</w:t>
      </w:r>
      <w:r w:rsidRPr="00671369">
        <w:rPr>
          <w:rStyle w:val="EndnoteReference"/>
          <w:rFonts w:ascii="Gill Sans MT" w:hAnsi="Gill Sans MT"/>
          <w:lang w:val="en-GB"/>
        </w:rPr>
        <w:endnoteReference w:id="48"/>
      </w:r>
      <w:r w:rsidRPr="00671369">
        <w:rPr>
          <w:rFonts w:ascii="Gill Sans MT" w:hAnsi="Gill Sans MT"/>
          <w:lang w:val="en-GB"/>
        </w:rPr>
        <w:t xml:space="preserve"> The Committee found </w:t>
      </w:r>
      <w:r w:rsidRPr="003E0C06">
        <w:rPr>
          <w:rFonts w:ascii="Gill Sans MT" w:hAnsi="Gill Sans MT"/>
          <w:lang w:val="en-GB"/>
        </w:rPr>
        <w:t>that the c</w:t>
      </w:r>
      <w:r w:rsidRPr="00671369">
        <w:rPr>
          <w:rFonts w:ascii="Gill Sans MT" w:hAnsi="Gill Sans MT"/>
          <w:lang w:val="en-GB"/>
        </w:rPr>
        <w:t>onviction and fine violat</w:t>
      </w:r>
      <w:r w:rsidRPr="003E0C06">
        <w:rPr>
          <w:rFonts w:ascii="Gill Sans MT" w:hAnsi="Gill Sans MT"/>
          <w:lang w:val="en-GB"/>
        </w:rPr>
        <w:t>ed</w:t>
      </w:r>
      <w:r w:rsidRPr="00671369">
        <w:rPr>
          <w:rFonts w:ascii="Gill Sans MT" w:hAnsi="Gill Sans MT"/>
          <w:lang w:val="en-GB"/>
        </w:rPr>
        <w:t xml:space="preserve"> articles 19(2) and 21 of the ICCPR.</w:t>
      </w:r>
      <w:r w:rsidRPr="00671369">
        <w:rPr>
          <w:rStyle w:val="EndnoteReference"/>
          <w:rFonts w:ascii="Gill Sans MT" w:hAnsi="Gill Sans MT"/>
          <w:lang w:val="en-GB"/>
        </w:rPr>
        <w:endnoteReference w:id="49"/>
      </w:r>
    </w:p>
    <w:p w14:paraId="3C5F61F5" w14:textId="560A3FCA"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EE7692">
        <w:rPr>
          <w:rFonts w:ascii="Gill Sans MT" w:hAnsi="Gill Sans MT"/>
          <w:lang w:val="en-GB"/>
        </w:rPr>
        <w:t xml:space="preserve">The ongoing imprisonment and alleged ill-treatment of poet and dissident, Aron Atabek, sentenced to 18 years in 2007 for helping </w:t>
      </w:r>
      <w:r>
        <w:rPr>
          <w:rFonts w:ascii="Gill Sans MT" w:hAnsi="Gill Sans MT"/>
          <w:lang w:val="en-GB"/>
        </w:rPr>
        <w:t xml:space="preserve">to </w:t>
      </w:r>
      <w:r w:rsidRPr="00EE7692">
        <w:rPr>
          <w:rFonts w:ascii="Gill Sans MT" w:hAnsi="Gill Sans MT"/>
          <w:lang w:val="en-GB"/>
        </w:rPr>
        <w:t>organise protests that resulted in the death of a police officer, is also extremely alarming.</w:t>
      </w:r>
      <w:r w:rsidRPr="001B2C62">
        <w:rPr>
          <w:rStyle w:val="EndnoteReference"/>
          <w:rFonts w:ascii="Gill Sans MT" w:hAnsi="Gill Sans MT"/>
          <w:lang w:val="en-GB"/>
        </w:rPr>
        <w:endnoteReference w:id="50"/>
      </w:r>
    </w:p>
    <w:p w14:paraId="3109F510" w14:textId="75F64BFA" w:rsidR="00CB079B" w:rsidRPr="001B2C62" w:rsidRDefault="00CB079B" w:rsidP="00CB079B">
      <w:pPr>
        <w:pStyle w:val="ListParagraph"/>
        <w:numPr>
          <w:ilvl w:val="0"/>
          <w:numId w:val="25"/>
        </w:numPr>
        <w:spacing w:before="120" w:after="120"/>
        <w:ind w:left="221" w:hanging="221"/>
        <w:jc w:val="both"/>
        <w:rPr>
          <w:rFonts w:ascii="Gill Sans MT" w:hAnsi="Gill Sans MT"/>
          <w:lang w:val="en-GB"/>
        </w:rPr>
      </w:pPr>
      <w:r w:rsidRPr="001B2C62">
        <w:rPr>
          <w:rFonts w:ascii="Gill Sans MT" w:hAnsi="Gill Sans MT"/>
          <w:lang w:val="en-GB"/>
        </w:rPr>
        <w:t xml:space="preserve">In </w:t>
      </w:r>
      <w:r>
        <w:rPr>
          <w:rFonts w:ascii="Gill Sans MT" w:hAnsi="Gill Sans MT"/>
          <w:lang w:val="en-GB"/>
        </w:rPr>
        <w:t xml:space="preserve">December 2014 </w:t>
      </w:r>
      <w:r w:rsidRPr="001B2C62">
        <w:rPr>
          <w:rFonts w:ascii="Gill Sans MT" w:hAnsi="Gill Sans MT"/>
          <w:lang w:val="en-GB"/>
        </w:rPr>
        <w:t xml:space="preserve">its reply in </w:t>
      </w:r>
      <w:r>
        <w:rPr>
          <w:rFonts w:ascii="Gill Sans MT" w:hAnsi="Gill Sans MT"/>
          <w:lang w:val="en-GB"/>
        </w:rPr>
        <w:t xml:space="preserve">to the Committees Concluding Observations of 2011, </w:t>
      </w:r>
      <w:r w:rsidRPr="001B2C62">
        <w:rPr>
          <w:rFonts w:ascii="Gill Sans MT" w:hAnsi="Gill Sans MT"/>
          <w:lang w:val="en-GB"/>
        </w:rPr>
        <w:t xml:space="preserve">the Government </w:t>
      </w:r>
      <w:r>
        <w:rPr>
          <w:rFonts w:ascii="Gill Sans MT" w:hAnsi="Gill Sans MT"/>
          <w:lang w:val="en-GB"/>
        </w:rPr>
        <w:t>justified</w:t>
      </w:r>
      <w:r w:rsidRPr="001B2C62">
        <w:rPr>
          <w:rFonts w:ascii="Gill Sans MT" w:hAnsi="Gill Sans MT"/>
          <w:lang w:val="en-GB"/>
        </w:rPr>
        <w:t xml:space="preserve"> current legal limitations on freedom of assembly </w:t>
      </w:r>
      <w:r>
        <w:rPr>
          <w:rFonts w:ascii="Gill Sans MT" w:hAnsi="Gill Sans MT"/>
          <w:lang w:val="en-GB"/>
        </w:rPr>
        <w:t xml:space="preserve">as being </w:t>
      </w:r>
      <w:r w:rsidRPr="001B2C62">
        <w:rPr>
          <w:rFonts w:ascii="Gill Sans MT" w:hAnsi="Gill Sans MT"/>
          <w:lang w:val="en-GB"/>
        </w:rPr>
        <w:t>‘in the interests of the State and to protect the rights and freedoms of others.’</w:t>
      </w:r>
      <w:r w:rsidRPr="001B2C62">
        <w:rPr>
          <w:rStyle w:val="EndnoteReference"/>
          <w:rFonts w:ascii="Gill Sans MT" w:hAnsi="Gill Sans MT"/>
          <w:lang w:val="en-GB"/>
        </w:rPr>
        <w:endnoteReference w:id="51"/>
      </w:r>
      <w:r w:rsidRPr="001B2C62">
        <w:rPr>
          <w:rFonts w:ascii="Gill Sans MT" w:hAnsi="Gill Sans MT"/>
          <w:lang w:val="en-GB"/>
        </w:rPr>
        <w:t xml:space="preserve"> These vague reasons</w:t>
      </w:r>
      <w:r>
        <w:rPr>
          <w:rFonts w:ascii="Gill Sans MT" w:hAnsi="Gill Sans MT"/>
          <w:lang w:val="en-GB"/>
        </w:rPr>
        <w:t xml:space="preserve"> are</w:t>
      </w:r>
      <w:r w:rsidRPr="001B2C62">
        <w:rPr>
          <w:rFonts w:ascii="Gill Sans MT" w:hAnsi="Gill Sans MT"/>
          <w:lang w:val="en-GB"/>
        </w:rPr>
        <w:t xml:space="preserve"> open to abuse on a wide range of subjective grounds, and no explanation is given as to how the legal restrictions are ‘necessary’ to achieve those ends, as article 21 requires. For example, it is unclear how laws outlawing gatherings which might harm ‘trees, plants and small monuments’</w:t>
      </w:r>
      <w:r w:rsidRPr="001B2C62">
        <w:rPr>
          <w:rStyle w:val="EndnoteReference"/>
          <w:rFonts w:ascii="Gill Sans MT" w:hAnsi="Gill Sans MT"/>
          <w:lang w:val="en-GB"/>
        </w:rPr>
        <w:endnoteReference w:id="52"/>
      </w:r>
      <w:r w:rsidRPr="001B2C62">
        <w:rPr>
          <w:rFonts w:ascii="Gill Sans MT" w:hAnsi="Gill Sans MT"/>
          <w:lang w:val="en-GB"/>
        </w:rPr>
        <w:t xml:space="preserve"> are legitimate restrictions to protect others or the State</w:t>
      </w:r>
      <w:r>
        <w:rPr>
          <w:rFonts w:ascii="Gill Sans MT" w:hAnsi="Gill Sans MT"/>
          <w:lang w:val="en-GB"/>
        </w:rPr>
        <w:t>.</w:t>
      </w:r>
    </w:p>
    <w:p w14:paraId="660B37BC" w14:textId="517AE05F" w:rsidR="00CB079B" w:rsidRDefault="00CB079B" w:rsidP="00CB079B">
      <w:pPr>
        <w:pStyle w:val="ListParagraph"/>
        <w:numPr>
          <w:ilvl w:val="0"/>
          <w:numId w:val="25"/>
        </w:numPr>
        <w:spacing w:before="120" w:after="120"/>
        <w:ind w:left="221" w:hanging="221"/>
        <w:jc w:val="both"/>
        <w:rPr>
          <w:rFonts w:ascii="Gill Sans MT" w:hAnsi="Gill Sans MT"/>
          <w:lang w:val="en-GB"/>
        </w:rPr>
      </w:pPr>
      <w:r>
        <w:rPr>
          <w:rFonts w:ascii="Gill Sans MT" w:hAnsi="Gill Sans MT"/>
          <w:lang w:val="en-GB"/>
        </w:rPr>
        <w:t>In its reply the Government also noted</w:t>
      </w:r>
      <w:r w:rsidRPr="001B2C62">
        <w:rPr>
          <w:rFonts w:ascii="Gill Sans MT" w:hAnsi="Gill Sans MT"/>
          <w:lang w:val="en-GB"/>
        </w:rPr>
        <w:t xml:space="preserve"> widespread unauthori</w:t>
      </w:r>
      <w:r>
        <w:rPr>
          <w:rFonts w:ascii="Gill Sans MT" w:hAnsi="Gill Sans MT"/>
          <w:lang w:val="en-GB"/>
        </w:rPr>
        <w:t>s</w:t>
      </w:r>
      <w:r w:rsidRPr="001B2C62">
        <w:rPr>
          <w:rFonts w:ascii="Gill Sans MT" w:hAnsi="Gill Sans MT"/>
          <w:lang w:val="en-GB"/>
        </w:rPr>
        <w:t>ed gatherings attended by thousands of people between 2010</w:t>
      </w:r>
      <w:r>
        <w:rPr>
          <w:rFonts w:ascii="Gill Sans MT" w:hAnsi="Gill Sans MT"/>
          <w:lang w:val="en-GB"/>
        </w:rPr>
        <w:t xml:space="preserve"> and </w:t>
      </w:r>
      <w:r w:rsidRPr="001B2C62">
        <w:rPr>
          <w:rFonts w:ascii="Gill Sans MT" w:hAnsi="Gill Sans MT"/>
          <w:lang w:val="en-GB"/>
        </w:rPr>
        <w:t>2013,</w:t>
      </w:r>
      <w:r w:rsidRPr="001B2C62">
        <w:rPr>
          <w:rStyle w:val="EndnoteReference"/>
          <w:rFonts w:ascii="Gill Sans MT" w:hAnsi="Gill Sans MT"/>
          <w:lang w:val="en-GB"/>
        </w:rPr>
        <w:endnoteReference w:id="53"/>
      </w:r>
      <w:r w:rsidRPr="001B2C62">
        <w:rPr>
          <w:rFonts w:ascii="Gill Sans MT" w:hAnsi="Gill Sans MT"/>
          <w:lang w:val="en-GB"/>
        </w:rPr>
        <w:t xml:space="preserve"> </w:t>
      </w:r>
      <w:r>
        <w:rPr>
          <w:rFonts w:ascii="Gill Sans MT" w:hAnsi="Gill Sans MT"/>
          <w:lang w:val="en-GB"/>
        </w:rPr>
        <w:t xml:space="preserve">but </w:t>
      </w:r>
      <w:r w:rsidRPr="001B2C62">
        <w:rPr>
          <w:rFonts w:ascii="Gill Sans MT" w:hAnsi="Gill Sans MT"/>
          <w:lang w:val="en-GB"/>
        </w:rPr>
        <w:t>fail</w:t>
      </w:r>
      <w:r>
        <w:rPr>
          <w:rFonts w:ascii="Gill Sans MT" w:hAnsi="Gill Sans MT"/>
          <w:lang w:val="en-GB"/>
        </w:rPr>
        <w:t xml:space="preserve">ed </w:t>
      </w:r>
      <w:r w:rsidRPr="001B2C62">
        <w:rPr>
          <w:rFonts w:ascii="Gill Sans MT" w:hAnsi="Gill Sans MT"/>
          <w:lang w:val="en-GB"/>
        </w:rPr>
        <w:t xml:space="preserve">to provide what measures were taken to </w:t>
      </w:r>
      <w:r>
        <w:rPr>
          <w:rFonts w:ascii="Gill Sans MT" w:hAnsi="Gill Sans MT"/>
          <w:lang w:val="en-GB"/>
        </w:rPr>
        <w:t xml:space="preserve">ensure </w:t>
      </w:r>
      <w:r w:rsidRPr="001B2C62">
        <w:rPr>
          <w:rFonts w:ascii="Gill Sans MT" w:hAnsi="Gill Sans MT"/>
          <w:lang w:val="en-GB"/>
        </w:rPr>
        <w:t>criminali</w:t>
      </w:r>
      <w:r>
        <w:rPr>
          <w:rFonts w:ascii="Gill Sans MT" w:hAnsi="Gill Sans MT"/>
          <w:lang w:val="en-GB"/>
        </w:rPr>
        <w:t>sation of</w:t>
      </w:r>
      <w:r w:rsidRPr="001B2C62">
        <w:rPr>
          <w:rFonts w:ascii="Gill Sans MT" w:hAnsi="Gill Sans MT"/>
          <w:lang w:val="en-GB"/>
        </w:rPr>
        <w:t xml:space="preserve"> such gatherings </w:t>
      </w:r>
      <w:r>
        <w:rPr>
          <w:rFonts w:ascii="Gill Sans MT" w:hAnsi="Gill Sans MT"/>
          <w:lang w:val="en-GB"/>
        </w:rPr>
        <w:t xml:space="preserve">was only in </w:t>
      </w:r>
      <w:r w:rsidRPr="001B2C62">
        <w:rPr>
          <w:rFonts w:ascii="Gill Sans MT" w:hAnsi="Gill Sans MT"/>
          <w:lang w:val="en-GB"/>
        </w:rPr>
        <w:t>necessary circumstances and in accordance with article 21.</w:t>
      </w:r>
    </w:p>
    <w:p w14:paraId="19B58F77" w14:textId="496593FF" w:rsidR="00CB079B" w:rsidRPr="00A4117D" w:rsidRDefault="00CB079B" w:rsidP="00CB079B">
      <w:pPr>
        <w:pStyle w:val="ListParagraph"/>
        <w:numPr>
          <w:ilvl w:val="0"/>
          <w:numId w:val="25"/>
        </w:numPr>
        <w:spacing w:before="120" w:after="120"/>
        <w:ind w:left="221" w:hanging="221"/>
        <w:jc w:val="both"/>
        <w:rPr>
          <w:rFonts w:ascii="Gill Sans MT" w:hAnsi="Gill Sans MT"/>
          <w:b/>
          <w:lang w:val="en-GB"/>
        </w:rPr>
      </w:pPr>
      <w:r w:rsidRPr="00A4117D">
        <w:rPr>
          <w:rFonts w:ascii="Gill Sans MT" w:hAnsi="Gill Sans MT"/>
          <w:lang w:val="en-GB"/>
        </w:rPr>
        <w:t>In response to similar concerns express by the SRFPAA regarding Kazakhstan’s assembly laws, Government officials deemed restrictions necessary ‘for fear of revolution.’ The SRFPAA rejected this reason because freedom of peaceful assembly is in fact a ‘safety valve that protects against more serious turmoil in society’</w:t>
      </w:r>
      <w:r>
        <w:rPr>
          <w:rFonts w:ascii="Gill Sans MT" w:hAnsi="Gill Sans MT"/>
          <w:lang w:val="en-GB"/>
        </w:rPr>
        <w:t>.</w:t>
      </w:r>
      <w:r w:rsidRPr="003E0C06">
        <w:rPr>
          <w:rStyle w:val="EndnoteReference"/>
          <w:rFonts w:ascii="Gill Sans MT" w:hAnsi="Gill Sans MT"/>
          <w:lang w:val="en-GB"/>
        </w:rPr>
        <w:endnoteReference w:id="54"/>
      </w:r>
    </w:p>
    <w:p w14:paraId="1EEB9F0F" w14:textId="0AD3140E" w:rsidR="00CB079B" w:rsidRPr="003E0C06" w:rsidRDefault="00CB079B" w:rsidP="00CB079B">
      <w:pPr>
        <w:keepNext/>
        <w:spacing w:before="120" w:after="120"/>
        <w:contextualSpacing/>
        <w:jc w:val="both"/>
        <w:rPr>
          <w:rFonts w:ascii="Gill Sans MT" w:hAnsi="Gill Sans MT"/>
          <w:u w:val="single"/>
          <w:lang w:val="en-GB"/>
        </w:rPr>
      </w:pPr>
      <w:r w:rsidRPr="003E0C06">
        <w:rPr>
          <w:rFonts w:ascii="Gill Sans MT" w:hAnsi="Gill Sans MT"/>
          <w:u w:val="single"/>
          <w:lang w:val="en-GB"/>
        </w:rPr>
        <w:t xml:space="preserve">Restrictive Laws </w:t>
      </w:r>
    </w:p>
    <w:p w14:paraId="03C51C6B" w14:textId="5EB5229E" w:rsidR="00CB079B" w:rsidRPr="00671369" w:rsidRDefault="00CB079B" w:rsidP="00CB079B">
      <w:pPr>
        <w:pStyle w:val="ListParagraph"/>
        <w:keepNext/>
        <w:numPr>
          <w:ilvl w:val="0"/>
          <w:numId w:val="25"/>
        </w:numPr>
        <w:spacing w:before="120" w:after="120"/>
        <w:ind w:left="221" w:hanging="221"/>
        <w:jc w:val="both"/>
        <w:rPr>
          <w:rFonts w:ascii="Gill Sans MT" w:hAnsi="Gill Sans MT"/>
          <w:lang w:val="en-GB"/>
        </w:rPr>
      </w:pPr>
      <w:r w:rsidRPr="003E0C06">
        <w:rPr>
          <w:rFonts w:ascii="Gill Sans MT" w:hAnsi="Gill Sans MT"/>
          <w:lang w:val="en-GB"/>
        </w:rPr>
        <w:t xml:space="preserve">The </w:t>
      </w:r>
      <w:r w:rsidRPr="00671369">
        <w:rPr>
          <w:rFonts w:ascii="Gill Sans MT" w:hAnsi="Gill Sans MT"/>
          <w:lang w:val="en-GB"/>
        </w:rPr>
        <w:t xml:space="preserve">Law on the Order of Organization and Conduct of Peaceful Assemblies, Meetings, Processions, Pickets and Demonstrations (Peaceful Assembly Law) creates broad restrictions and sanctions on the right to freedom of peaceful assembly beyond that which is permitted under article 21 of the ICCPR. </w:t>
      </w:r>
    </w:p>
    <w:p w14:paraId="5037C0D5" w14:textId="262E8F48" w:rsidR="00CB079B" w:rsidRPr="003E0C06"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The Committee has expressed grave concern its recent Concluding Observations about undue restrictions in the law</w:t>
      </w:r>
      <w:r w:rsidRPr="003E0C06">
        <w:rPr>
          <w:rStyle w:val="EndnoteReference"/>
          <w:rFonts w:ascii="Gill Sans MT" w:hAnsi="Gill Sans MT"/>
          <w:lang w:val="en-GB"/>
        </w:rPr>
        <w:endnoteReference w:id="55"/>
      </w:r>
      <w:r>
        <w:rPr>
          <w:rFonts w:ascii="Gill Sans MT" w:hAnsi="Gill Sans MT"/>
          <w:lang w:val="en-GB"/>
        </w:rPr>
        <w:t xml:space="preserve">. Restrictions included that </w:t>
      </w:r>
      <w:r w:rsidRPr="003E0C06">
        <w:rPr>
          <w:rFonts w:ascii="Gill Sans MT" w:hAnsi="Gill Sans MT"/>
          <w:lang w:val="en-GB"/>
        </w:rPr>
        <w:t>the law:</w:t>
      </w:r>
    </w:p>
    <w:p w14:paraId="4BF9ED0D" w14:textId="2E873094" w:rsidR="00CB079B" w:rsidRPr="003E0C06" w:rsidRDefault="00CB079B" w:rsidP="00CB079B">
      <w:pPr>
        <w:pStyle w:val="ListParagraph"/>
        <w:numPr>
          <w:ilvl w:val="0"/>
          <w:numId w:val="25"/>
        </w:numPr>
        <w:spacing w:before="120" w:after="120"/>
        <w:ind w:left="709" w:hanging="425"/>
        <w:jc w:val="both"/>
        <w:rPr>
          <w:rFonts w:ascii="Gill Sans MT" w:hAnsi="Gill Sans MT"/>
          <w:lang w:val="en-GB"/>
        </w:rPr>
      </w:pPr>
      <w:r w:rsidRPr="003E0C06">
        <w:rPr>
          <w:rFonts w:ascii="Gill Sans MT" w:hAnsi="Gill Sans MT"/>
          <w:lang w:val="en-GB"/>
        </w:rPr>
        <w:t xml:space="preserve">Requires prior </w:t>
      </w:r>
      <w:r w:rsidRPr="00671369">
        <w:rPr>
          <w:rFonts w:ascii="Gill Sans MT" w:hAnsi="Gill Sans MT"/>
          <w:lang w:val="en-GB"/>
        </w:rPr>
        <w:t>authorisation to hold public events, which has been deemed by the OSCE as ‘not in line with international standards and good practice’</w:t>
      </w:r>
      <w:r w:rsidRPr="003E0C06">
        <w:rPr>
          <w:rStyle w:val="EndnoteReference"/>
          <w:rFonts w:ascii="Gill Sans MT" w:hAnsi="Gill Sans MT"/>
          <w:lang w:val="en-GB"/>
        </w:rPr>
        <w:endnoteReference w:id="56"/>
      </w:r>
      <w:r w:rsidRPr="003E0C06">
        <w:rPr>
          <w:rFonts w:ascii="Gill Sans MT" w:hAnsi="Gill Sans MT"/>
          <w:lang w:val="en-GB"/>
        </w:rPr>
        <w:t xml:space="preserve">; </w:t>
      </w:r>
    </w:p>
    <w:p w14:paraId="61B1F3F2" w14:textId="4D576B31" w:rsidR="00CB079B" w:rsidRPr="00671369" w:rsidRDefault="00CB079B" w:rsidP="00CB079B">
      <w:pPr>
        <w:pStyle w:val="ListParagraph"/>
        <w:numPr>
          <w:ilvl w:val="0"/>
          <w:numId w:val="25"/>
        </w:numPr>
        <w:spacing w:before="120" w:after="120"/>
        <w:ind w:left="709" w:hanging="425"/>
        <w:jc w:val="both"/>
        <w:rPr>
          <w:rFonts w:ascii="Gill Sans MT" w:hAnsi="Gill Sans MT"/>
          <w:lang w:val="en-GB"/>
        </w:rPr>
      </w:pPr>
      <w:r w:rsidRPr="00805906">
        <w:rPr>
          <w:rFonts w:ascii="Gill Sans MT" w:hAnsi="Gill Sans MT"/>
          <w:lang w:val="en-GB"/>
        </w:rPr>
        <w:t>G</w:t>
      </w:r>
      <w:r w:rsidRPr="00671369">
        <w:rPr>
          <w:rFonts w:ascii="Gill Sans MT" w:hAnsi="Gill Sans MT"/>
          <w:lang w:val="en-GB"/>
        </w:rPr>
        <w:t>rants unlimited powers to local executive bodies to decide on the time and place of assemblies</w:t>
      </w:r>
      <w:r>
        <w:rPr>
          <w:rFonts w:ascii="Gill Sans MT" w:hAnsi="Gill Sans MT"/>
          <w:lang w:val="en-GB"/>
        </w:rPr>
        <w:t>;</w:t>
      </w:r>
    </w:p>
    <w:p w14:paraId="4CFCEA19" w14:textId="5E476D83" w:rsidR="00CB079B" w:rsidRPr="003E0C06" w:rsidRDefault="00CB079B" w:rsidP="00CB079B">
      <w:pPr>
        <w:pStyle w:val="ListParagraph"/>
        <w:numPr>
          <w:ilvl w:val="0"/>
          <w:numId w:val="25"/>
        </w:numPr>
        <w:spacing w:before="120" w:after="120"/>
        <w:ind w:left="709" w:hanging="425"/>
        <w:jc w:val="both"/>
        <w:rPr>
          <w:rFonts w:ascii="Gill Sans MT" w:hAnsi="Gill Sans MT"/>
          <w:lang w:val="en-GB"/>
        </w:rPr>
      </w:pPr>
      <w:r w:rsidRPr="00671369">
        <w:rPr>
          <w:rFonts w:ascii="Gill Sans MT" w:hAnsi="Gill Sans MT"/>
          <w:lang w:val="en-GB"/>
        </w:rPr>
        <w:t>Provides the right to terminate an event not in compliance with the requirements set out above</w:t>
      </w:r>
      <w:r w:rsidRPr="003E0C06">
        <w:rPr>
          <w:rStyle w:val="EndnoteReference"/>
          <w:rFonts w:ascii="Gill Sans MT" w:hAnsi="Gill Sans MT"/>
          <w:lang w:val="en-GB"/>
        </w:rPr>
        <w:endnoteReference w:id="57"/>
      </w:r>
      <w:r w:rsidRPr="003E0C06">
        <w:rPr>
          <w:rFonts w:ascii="Gill Sans MT" w:hAnsi="Gill Sans MT"/>
          <w:lang w:val="en-GB"/>
        </w:rPr>
        <w:t xml:space="preserve">; and </w:t>
      </w:r>
    </w:p>
    <w:p w14:paraId="5249D783" w14:textId="326366F6" w:rsidR="00CB079B" w:rsidRPr="003E0C06" w:rsidRDefault="00CB079B" w:rsidP="00CB079B">
      <w:pPr>
        <w:pStyle w:val="ListParagraph"/>
        <w:numPr>
          <w:ilvl w:val="0"/>
          <w:numId w:val="25"/>
        </w:numPr>
        <w:spacing w:before="120" w:after="120"/>
        <w:ind w:left="709" w:hanging="425"/>
        <w:jc w:val="both"/>
        <w:rPr>
          <w:rFonts w:ascii="Gill Sans MT" w:hAnsi="Gill Sans MT"/>
          <w:lang w:val="en-GB"/>
        </w:rPr>
      </w:pPr>
      <w:r w:rsidRPr="00805906">
        <w:rPr>
          <w:rFonts w:ascii="Gill Sans MT" w:hAnsi="Gill Sans MT"/>
          <w:lang w:val="en-GB"/>
        </w:rPr>
        <w:t>R</w:t>
      </w:r>
      <w:r w:rsidRPr="00671369">
        <w:rPr>
          <w:rFonts w:ascii="Gill Sans MT" w:hAnsi="Gill Sans MT"/>
          <w:lang w:val="en-GB"/>
        </w:rPr>
        <w:t>estricts the holding of ‘authorised assemblies’ to designated si</w:t>
      </w:r>
      <w:r>
        <w:rPr>
          <w:rFonts w:ascii="Gill Sans MT" w:hAnsi="Gill Sans MT"/>
          <w:lang w:val="en-GB"/>
        </w:rPr>
        <w:t>tes, thereby ‘preventing organis</w:t>
      </w:r>
      <w:r w:rsidRPr="00671369">
        <w:rPr>
          <w:rFonts w:ascii="Gill Sans MT" w:hAnsi="Gill Sans MT"/>
          <w:lang w:val="en-GB"/>
        </w:rPr>
        <w:t xml:space="preserve">ers and participants from choosing </w:t>
      </w:r>
      <w:r>
        <w:rPr>
          <w:rFonts w:ascii="Gill Sans MT" w:hAnsi="Gill Sans MT"/>
          <w:lang w:val="en-GB"/>
        </w:rPr>
        <w:t>venues they consider appropriate</w:t>
      </w:r>
      <w:r w:rsidRPr="00671369">
        <w:rPr>
          <w:rFonts w:ascii="Gill Sans MT" w:hAnsi="Gill Sans MT"/>
          <w:lang w:val="en-GB"/>
        </w:rPr>
        <w:t>’</w:t>
      </w:r>
      <w:r>
        <w:rPr>
          <w:rFonts w:ascii="Gill Sans MT" w:hAnsi="Gill Sans MT"/>
          <w:lang w:val="en-GB"/>
        </w:rPr>
        <w:t>.</w:t>
      </w:r>
      <w:r w:rsidRPr="003E0C06">
        <w:rPr>
          <w:rStyle w:val="EndnoteReference"/>
          <w:rFonts w:ascii="Gill Sans MT" w:hAnsi="Gill Sans MT"/>
          <w:lang w:val="en-GB"/>
        </w:rPr>
        <w:endnoteReference w:id="58"/>
      </w:r>
    </w:p>
    <w:p w14:paraId="0E854E00" w14:textId="2A71AC42" w:rsidR="00CB079B" w:rsidRPr="003E0C06"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Article 400 of the Criminal Code introduces a new concept of ‘an illegal public event,’ in addition to the concept of an ‘an illegal assembly, rally, march, picket, demonstration.’ These various prohibited activities are punishable by a fine, correctional labour, public work or imprisonment of up to 75 days.</w:t>
      </w:r>
      <w:r w:rsidRPr="003E0C06">
        <w:rPr>
          <w:rStyle w:val="EndnoteReference"/>
          <w:rFonts w:ascii="Gill Sans MT" w:hAnsi="Gill Sans MT"/>
          <w:lang w:val="en-GB"/>
        </w:rPr>
        <w:endnoteReference w:id="59"/>
      </w:r>
    </w:p>
    <w:p w14:paraId="56B0866B" w14:textId="65EA1EFD" w:rsidR="00CB079B" w:rsidRPr="003E0C06" w:rsidRDefault="00CB079B" w:rsidP="00CB079B">
      <w:pPr>
        <w:pStyle w:val="ListParagraph"/>
        <w:numPr>
          <w:ilvl w:val="0"/>
          <w:numId w:val="25"/>
        </w:numPr>
        <w:spacing w:before="120" w:after="120"/>
        <w:ind w:left="221" w:hanging="221"/>
        <w:jc w:val="both"/>
        <w:rPr>
          <w:rFonts w:ascii="Gill Sans MT" w:hAnsi="Gill Sans MT"/>
          <w:lang w:val="en-GB"/>
        </w:rPr>
      </w:pPr>
      <w:r w:rsidRPr="003E0C06">
        <w:rPr>
          <w:rFonts w:ascii="Gill Sans MT" w:hAnsi="Gill Sans MT"/>
          <w:lang w:val="en-GB"/>
        </w:rPr>
        <w:t>These suffocated rights have brought near silence to Kazakhstani streets, with the OSCE explaining that almost no requests were made to conduct open-air events in 2015.</w:t>
      </w:r>
      <w:r w:rsidRPr="003E0C06">
        <w:rPr>
          <w:rStyle w:val="EndnoteReference"/>
          <w:rFonts w:ascii="Gill Sans MT" w:hAnsi="Gill Sans MT"/>
          <w:lang w:val="en-GB"/>
        </w:rPr>
        <w:endnoteReference w:id="60"/>
      </w:r>
      <w:r w:rsidRPr="003E0C06">
        <w:rPr>
          <w:rFonts w:ascii="Gill Sans MT" w:hAnsi="Gill Sans MT"/>
          <w:lang w:val="en-GB"/>
        </w:rPr>
        <w:t xml:space="preserve"> This shows a near cessation of political expression and legitimate dissent through peaceful gathering.</w:t>
      </w:r>
    </w:p>
    <w:p w14:paraId="375B3879" w14:textId="77777777" w:rsidR="00CB079B" w:rsidRPr="00805906" w:rsidRDefault="00CB079B" w:rsidP="00CB079B">
      <w:pPr>
        <w:keepNext/>
        <w:spacing w:before="120" w:after="120"/>
        <w:contextualSpacing/>
        <w:jc w:val="both"/>
        <w:rPr>
          <w:rFonts w:ascii="Gill Sans MT" w:hAnsi="Gill Sans MT"/>
          <w:b/>
          <w:lang w:val="en-GB"/>
        </w:rPr>
      </w:pPr>
      <w:r w:rsidRPr="00805906">
        <w:rPr>
          <w:rFonts w:ascii="Gill Sans MT" w:hAnsi="Gill Sans MT"/>
          <w:b/>
          <w:lang w:val="en-GB"/>
        </w:rPr>
        <w:t>Freedom of Association</w:t>
      </w:r>
    </w:p>
    <w:p w14:paraId="541AAE47" w14:textId="4009CF7D" w:rsidR="00CB079B" w:rsidRPr="00671369" w:rsidRDefault="00CB079B" w:rsidP="00CB079B">
      <w:pPr>
        <w:pStyle w:val="ListParagraph"/>
        <w:keepNext/>
        <w:numPr>
          <w:ilvl w:val="0"/>
          <w:numId w:val="25"/>
        </w:numPr>
        <w:spacing w:before="120" w:after="120"/>
        <w:ind w:left="221" w:hanging="221"/>
        <w:jc w:val="both"/>
        <w:rPr>
          <w:rFonts w:ascii="Gill Sans MT" w:hAnsi="Gill Sans MT"/>
          <w:lang w:val="en-GB"/>
        </w:rPr>
      </w:pPr>
      <w:r w:rsidRPr="00671369">
        <w:rPr>
          <w:rFonts w:ascii="Gill Sans MT" w:hAnsi="Gill Sans MT"/>
          <w:lang w:val="en-GB"/>
        </w:rPr>
        <w:t>Article 22(1) of the ICCPR guarantees the right to freedom of association with others, with limitations permitted only where necessary in a narrow set of circumstances under article 22(2).</w:t>
      </w:r>
    </w:p>
    <w:p w14:paraId="67F2EC3A" w14:textId="397FD501" w:rsidR="00CB079B" w:rsidRPr="00671369" w:rsidRDefault="00CB079B" w:rsidP="00CB079B">
      <w:pPr>
        <w:pStyle w:val="ListParagraph"/>
        <w:numPr>
          <w:ilvl w:val="0"/>
          <w:numId w:val="25"/>
        </w:numPr>
        <w:spacing w:before="120" w:after="120"/>
        <w:ind w:left="221" w:hanging="221"/>
        <w:jc w:val="both"/>
        <w:rPr>
          <w:rFonts w:ascii="Gill Sans MT" w:hAnsi="Gill Sans MT"/>
          <w:lang w:val="en-GB"/>
        </w:rPr>
      </w:pPr>
      <w:r>
        <w:rPr>
          <w:rFonts w:ascii="Gill Sans MT" w:hAnsi="Gill Sans MT"/>
          <w:lang w:val="en-GB"/>
        </w:rPr>
        <w:t>Proposed u</w:t>
      </w:r>
      <w:r w:rsidRPr="003E0C06">
        <w:rPr>
          <w:rFonts w:ascii="Gill Sans MT" w:hAnsi="Gill Sans MT"/>
          <w:lang w:val="en-GB"/>
        </w:rPr>
        <w:t xml:space="preserve">nnecessary or disproportionate limitations on </w:t>
      </w:r>
      <w:r>
        <w:rPr>
          <w:rFonts w:ascii="Gill Sans MT" w:hAnsi="Gill Sans MT"/>
          <w:lang w:val="en-GB"/>
        </w:rPr>
        <w:t>non-governmental organisations (</w:t>
      </w:r>
      <w:r w:rsidRPr="003E0C06">
        <w:rPr>
          <w:rFonts w:ascii="Gill Sans MT" w:hAnsi="Gill Sans MT"/>
          <w:lang w:val="en-GB"/>
        </w:rPr>
        <w:t>NGO</w:t>
      </w:r>
      <w:r>
        <w:rPr>
          <w:rFonts w:ascii="Gill Sans MT" w:hAnsi="Gill Sans MT"/>
          <w:lang w:val="en-GB"/>
        </w:rPr>
        <w:t>s)</w:t>
      </w:r>
      <w:r w:rsidRPr="003E0C06">
        <w:rPr>
          <w:rFonts w:ascii="Gill Sans MT" w:hAnsi="Gill Sans MT"/>
          <w:lang w:val="en-GB"/>
        </w:rPr>
        <w:t xml:space="preserve"> registration and funding also violates articles 21 and 22 of the ICCPR, by </w:t>
      </w:r>
      <w:r w:rsidRPr="00805906">
        <w:rPr>
          <w:rFonts w:ascii="Gill Sans MT" w:hAnsi="Gill Sans MT"/>
          <w:lang w:val="en-GB"/>
        </w:rPr>
        <w:t>effectivel</w:t>
      </w:r>
      <w:r w:rsidRPr="00671369">
        <w:rPr>
          <w:rFonts w:ascii="Gill Sans MT" w:hAnsi="Gill Sans MT"/>
          <w:lang w:val="en-GB"/>
        </w:rPr>
        <w:t>y limiting the capacity of civil society to peacefully organise itself.</w:t>
      </w:r>
      <w:r>
        <w:rPr>
          <w:rFonts w:ascii="Gill Sans MT" w:hAnsi="Gill Sans MT"/>
          <w:lang w:val="en-GB"/>
        </w:rPr>
        <w:t xml:space="preserve"> </w:t>
      </w:r>
    </w:p>
    <w:p w14:paraId="21FDB9F7" w14:textId="1C7C3FEF" w:rsidR="00CB079B" w:rsidRPr="00671369" w:rsidRDefault="00CB079B" w:rsidP="00CB079B">
      <w:pPr>
        <w:spacing w:before="120" w:after="120"/>
        <w:contextualSpacing/>
        <w:jc w:val="both"/>
        <w:rPr>
          <w:rFonts w:ascii="Gill Sans MT" w:hAnsi="Gill Sans MT"/>
          <w:u w:val="single"/>
          <w:lang w:val="en-GB"/>
        </w:rPr>
      </w:pPr>
      <w:r w:rsidRPr="00671369">
        <w:rPr>
          <w:rFonts w:ascii="Gill Sans MT" w:hAnsi="Gill Sans MT"/>
          <w:u w:val="single"/>
          <w:lang w:val="en-GB"/>
        </w:rPr>
        <w:t xml:space="preserve">Restrictive Laws </w:t>
      </w:r>
      <w:r>
        <w:rPr>
          <w:rFonts w:ascii="Gill Sans MT" w:hAnsi="Gill Sans MT"/>
          <w:u w:val="single"/>
          <w:lang w:val="en-GB"/>
        </w:rPr>
        <w:t xml:space="preserve">– Proposed NGO Legislation </w:t>
      </w:r>
    </w:p>
    <w:p w14:paraId="79AB240C" w14:textId="45B958D4" w:rsidR="00CB079B" w:rsidRPr="00671369"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 xml:space="preserve">As at 9 June 2015, </w:t>
      </w:r>
      <w:r>
        <w:rPr>
          <w:rFonts w:ascii="Gill Sans MT" w:hAnsi="Gill Sans MT"/>
          <w:lang w:val="en-GB"/>
        </w:rPr>
        <w:t xml:space="preserve">proposed legislation incorporating requirements for </w:t>
      </w:r>
      <w:r w:rsidRPr="00671369">
        <w:rPr>
          <w:rFonts w:ascii="Gill Sans MT" w:hAnsi="Gill Sans MT"/>
          <w:lang w:val="en-GB"/>
        </w:rPr>
        <w:t>NGOs in Kazakhstan:</w:t>
      </w:r>
    </w:p>
    <w:p w14:paraId="3592D2C7" w14:textId="781B5E34" w:rsidR="00CB079B" w:rsidRPr="00671369" w:rsidRDefault="00CB079B" w:rsidP="00CB079B">
      <w:pPr>
        <w:pStyle w:val="ListParagraph"/>
        <w:numPr>
          <w:ilvl w:val="0"/>
          <w:numId w:val="25"/>
        </w:numPr>
        <w:spacing w:before="120" w:after="120"/>
        <w:ind w:left="709" w:hanging="425"/>
        <w:jc w:val="both"/>
        <w:rPr>
          <w:rFonts w:ascii="Gill Sans MT" w:hAnsi="Gill Sans MT"/>
          <w:lang w:val="en-GB"/>
        </w:rPr>
      </w:pPr>
      <w:r w:rsidRPr="00671369">
        <w:rPr>
          <w:rFonts w:ascii="Gill Sans MT" w:hAnsi="Gill Sans MT"/>
          <w:lang w:val="en-GB"/>
        </w:rPr>
        <w:t>Perpetuate</w:t>
      </w:r>
      <w:r>
        <w:rPr>
          <w:rFonts w:ascii="Gill Sans MT" w:hAnsi="Gill Sans MT"/>
          <w:lang w:val="en-GB"/>
        </w:rPr>
        <w:t>s</w:t>
      </w:r>
      <w:r w:rsidRPr="00671369">
        <w:rPr>
          <w:rFonts w:ascii="Gill Sans MT" w:hAnsi="Gill Sans MT"/>
          <w:lang w:val="en-GB"/>
        </w:rPr>
        <w:t xml:space="preserve"> the bidding system by NGOs for government funding; </w:t>
      </w:r>
    </w:p>
    <w:p w14:paraId="5CACDDDB" w14:textId="1C9BF940" w:rsidR="00CB079B" w:rsidRPr="00671369" w:rsidRDefault="00CB079B" w:rsidP="00CB079B">
      <w:pPr>
        <w:pStyle w:val="ListParagraph"/>
        <w:numPr>
          <w:ilvl w:val="0"/>
          <w:numId w:val="25"/>
        </w:numPr>
        <w:spacing w:before="120" w:after="120"/>
        <w:ind w:left="709" w:hanging="425"/>
        <w:jc w:val="both"/>
        <w:rPr>
          <w:rFonts w:ascii="Gill Sans MT" w:hAnsi="Gill Sans MT"/>
          <w:lang w:val="en-GB"/>
        </w:rPr>
      </w:pPr>
      <w:r w:rsidRPr="00671369">
        <w:rPr>
          <w:rFonts w:ascii="Gill Sans MT" w:hAnsi="Gill Sans MT"/>
          <w:lang w:val="en-GB"/>
        </w:rPr>
        <w:t>Grant</w:t>
      </w:r>
      <w:r>
        <w:rPr>
          <w:rFonts w:ascii="Gill Sans MT" w:hAnsi="Gill Sans MT"/>
          <w:lang w:val="en-GB"/>
        </w:rPr>
        <w:t>s</w:t>
      </w:r>
      <w:r w:rsidRPr="00671369">
        <w:rPr>
          <w:rFonts w:ascii="Gill Sans MT" w:hAnsi="Gill Sans MT"/>
          <w:lang w:val="en-GB"/>
        </w:rPr>
        <w:t xml:space="preserve"> the Government oversight powers for state funding to NGOs;</w:t>
      </w:r>
    </w:p>
    <w:p w14:paraId="6EC7F1EC" w14:textId="260D4E4C" w:rsidR="00CB079B" w:rsidRPr="00671369" w:rsidRDefault="00CB079B" w:rsidP="00CB079B">
      <w:pPr>
        <w:pStyle w:val="ListParagraph"/>
        <w:numPr>
          <w:ilvl w:val="0"/>
          <w:numId w:val="25"/>
        </w:numPr>
        <w:spacing w:before="120" w:after="120"/>
        <w:ind w:left="709" w:hanging="425"/>
        <w:jc w:val="both"/>
        <w:rPr>
          <w:rFonts w:ascii="Gill Sans MT" w:hAnsi="Gill Sans MT"/>
          <w:lang w:val="en-GB"/>
        </w:rPr>
      </w:pPr>
      <w:r w:rsidRPr="00671369">
        <w:rPr>
          <w:rFonts w:ascii="Gill Sans MT" w:hAnsi="Gill Sans MT"/>
          <w:lang w:val="en-GB"/>
        </w:rPr>
        <w:lastRenderedPageBreak/>
        <w:t>Circumscribe</w:t>
      </w:r>
      <w:r>
        <w:rPr>
          <w:rFonts w:ascii="Gill Sans MT" w:hAnsi="Gill Sans MT"/>
          <w:lang w:val="en-GB"/>
        </w:rPr>
        <w:t>s</w:t>
      </w:r>
      <w:r w:rsidRPr="00671369">
        <w:rPr>
          <w:rFonts w:ascii="Gill Sans MT" w:hAnsi="Gill Sans MT"/>
          <w:lang w:val="en-GB"/>
        </w:rPr>
        <w:t xml:space="preserve"> specific thematic areas of activities eligible for funding; and </w:t>
      </w:r>
    </w:p>
    <w:p w14:paraId="641E7D99" w14:textId="1B626E8F" w:rsidR="00CB079B" w:rsidRDefault="00CB079B" w:rsidP="00CB079B">
      <w:pPr>
        <w:pStyle w:val="ListParagraph"/>
        <w:numPr>
          <w:ilvl w:val="0"/>
          <w:numId w:val="25"/>
        </w:numPr>
        <w:spacing w:before="120" w:after="120"/>
        <w:ind w:left="709" w:hanging="425"/>
        <w:jc w:val="both"/>
        <w:rPr>
          <w:rFonts w:ascii="Gill Sans MT" w:hAnsi="Gill Sans MT"/>
          <w:lang w:val="en-GB"/>
        </w:rPr>
      </w:pPr>
      <w:r w:rsidRPr="00671369">
        <w:rPr>
          <w:rFonts w:ascii="Gill Sans MT" w:hAnsi="Gill Sans MT"/>
          <w:lang w:val="en-GB"/>
        </w:rPr>
        <w:t>Provide</w:t>
      </w:r>
      <w:r>
        <w:rPr>
          <w:rFonts w:ascii="Gill Sans MT" w:hAnsi="Gill Sans MT"/>
          <w:lang w:val="en-GB"/>
        </w:rPr>
        <w:t>s</w:t>
      </w:r>
      <w:r w:rsidRPr="00671369">
        <w:rPr>
          <w:rFonts w:ascii="Gill Sans MT" w:hAnsi="Gill Sans MT"/>
          <w:lang w:val="en-GB"/>
        </w:rPr>
        <w:t xml:space="preserve"> that the use of grants will be closely monitored</w:t>
      </w:r>
      <w:r w:rsidRPr="003E0C06">
        <w:rPr>
          <w:rStyle w:val="EndnoteReference"/>
          <w:rFonts w:ascii="Gill Sans MT" w:hAnsi="Gill Sans MT"/>
          <w:lang w:val="en-GB"/>
        </w:rPr>
        <w:endnoteReference w:id="61"/>
      </w:r>
      <w:r>
        <w:rPr>
          <w:rFonts w:ascii="Gill Sans MT" w:hAnsi="Gill Sans MT"/>
          <w:lang w:val="en-GB"/>
        </w:rPr>
        <w:t>;</w:t>
      </w:r>
    </w:p>
    <w:p w14:paraId="0F4918A5" w14:textId="1272108C" w:rsidR="00CB079B" w:rsidRPr="00F4363E" w:rsidRDefault="00CB079B" w:rsidP="00CB079B">
      <w:pPr>
        <w:pStyle w:val="ListParagraph"/>
        <w:numPr>
          <w:ilvl w:val="0"/>
          <w:numId w:val="25"/>
        </w:numPr>
        <w:spacing w:before="120" w:after="120"/>
        <w:ind w:left="709" w:hanging="425"/>
        <w:jc w:val="both"/>
        <w:rPr>
          <w:rFonts w:ascii="Gill Sans MT" w:hAnsi="Gill Sans MT"/>
          <w:lang w:val="en-GB"/>
        </w:rPr>
      </w:pPr>
      <w:r>
        <w:rPr>
          <w:rFonts w:ascii="Gill Sans MT" w:hAnsi="Gill Sans MT"/>
          <w:lang w:val="en-GB"/>
        </w:rPr>
        <w:t xml:space="preserve">Provides that </w:t>
      </w:r>
      <w:r w:rsidRPr="00F4363E">
        <w:rPr>
          <w:rFonts w:ascii="Gill Sans MT" w:hAnsi="Gill Sans MT"/>
          <w:lang w:val="en-GB"/>
        </w:rPr>
        <w:t>leaders of NGOs and public associations that fail to comply with NGO registration or funding</w:t>
      </w:r>
      <w:r w:rsidRPr="00671369">
        <w:rPr>
          <w:rFonts w:ascii="Gill Sans MT" w:hAnsi="Gill Sans MT"/>
          <w:lang w:val="en-GB"/>
        </w:rPr>
        <w:t xml:space="preserve"> laws face up to six years jail</w:t>
      </w:r>
      <w:r w:rsidRPr="003E0C06">
        <w:rPr>
          <w:rStyle w:val="EndnoteReference"/>
          <w:rFonts w:ascii="Gill Sans MT" w:hAnsi="Gill Sans MT"/>
          <w:lang w:val="en-GB"/>
        </w:rPr>
        <w:endnoteReference w:id="62"/>
      </w:r>
      <w:r>
        <w:rPr>
          <w:rFonts w:ascii="Gill Sans MT" w:hAnsi="Gill Sans MT"/>
          <w:lang w:val="en-GB"/>
        </w:rPr>
        <w:t>.</w:t>
      </w:r>
    </w:p>
    <w:p w14:paraId="02433AC7" w14:textId="77777777"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805906">
        <w:rPr>
          <w:rFonts w:ascii="Gill Sans MT" w:hAnsi="Gill Sans MT"/>
          <w:lang w:val="en-GB"/>
        </w:rPr>
        <w:t>Such provisions could, alone or in combination, impede the funding and work of NGOs and, according to head of the Kazakhstan International Bureau for Human Rights and Rule of Law (KIBHR) Informational-Educational Centre, S</w:t>
      </w:r>
      <w:r w:rsidRPr="00671369">
        <w:rPr>
          <w:rFonts w:ascii="Gill Sans MT" w:hAnsi="Gill Sans MT"/>
          <w:lang w:val="en-GB"/>
        </w:rPr>
        <w:t>ergei Duvanov, those laws that are vaguely worded are open to dual interpretation that could ‘threaten the existence of a segment of the non-governmental sector.’</w:t>
      </w:r>
      <w:r w:rsidRPr="003E0C06">
        <w:rPr>
          <w:rStyle w:val="EndnoteReference"/>
          <w:rFonts w:ascii="Gill Sans MT" w:hAnsi="Gill Sans MT"/>
          <w:lang w:val="en-GB"/>
        </w:rPr>
        <w:endnoteReference w:id="63"/>
      </w:r>
    </w:p>
    <w:p w14:paraId="68CD5766" w14:textId="54657F98" w:rsidR="00CB079B" w:rsidRPr="00671369" w:rsidRDefault="00CB079B" w:rsidP="00CB079B">
      <w:pPr>
        <w:spacing w:before="120" w:after="120"/>
        <w:jc w:val="both"/>
        <w:rPr>
          <w:rFonts w:ascii="Gill Sans MT" w:hAnsi="Gill Sans MT"/>
          <w:u w:val="single"/>
          <w:lang w:val="en-GB"/>
        </w:rPr>
      </w:pPr>
      <w:r w:rsidRPr="00671369">
        <w:rPr>
          <w:rFonts w:ascii="Gill Sans MT" w:hAnsi="Gill Sans MT"/>
          <w:u w:val="single"/>
          <w:lang w:val="en-GB"/>
        </w:rPr>
        <w:t xml:space="preserve">Restrictive Laws </w:t>
      </w:r>
      <w:r w:rsidRPr="00F4363E">
        <w:rPr>
          <w:rFonts w:ascii="Gill Sans MT" w:hAnsi="Gill Sans MT"/>
          <w:u w:val="single"/>
          <w:lang w:val="en-GB"/>
        </w:rPr>
        <w:t xml:space="preserve">– </w:t>
      </w:r>
      <w:r>
        <w:rPr>
          <w:rFonts w:ascii="Gill Sans MT" w:hAnsi="Gill Sans MT"/>
          <w:u w:val="single"/>
          <w:lang w:val="en-GB"/>
        </w:rPr>
        <w:t>Criminal Code,</w:t>
      </w:r>
      <w:r w:rsidRPr="00F4363E">
        <w:rPr>
          <w:rFonts w:ascii="Gill Sans MT" w:hAnsi="Gill Sans MT"/>
          <w:u w:val="single"/>
          <w:lang w:val="en-GB"/>
        </w:rPr>
        <w:t xml:space="preserve"> </w:t>
      </w:r>
      <w:r w:rsidRPr="00671369">
        <w:rPr>
          <w:rFonts w:ascii="Gill Sans MT" w:hAnsi="Gill Sans MT"/>
          <w:u w:val="single"/>
          <w:lang w:val="en-GB"/>
        </w:rPr>
        <w:t>Code on Administrative Offences</w:t>
      </w:r>
      <w:r w:rsidRPr="001D2F36">
        <w:rPr>
          <w:rFonts w:ascii="Gill Sans MT" w:hAnsi="Gill Sans MT"/>
          <w:u w:val="single"/>
          <w:lang w:val="en-GB"/>
        </w:rPr>
        <w:t xml:space="preserve"> &amp; Law on Countering Extremism</w:t>
      </w:r>
    </w:p>
    <w:p w14:paraId="1768D316" w14:textId="1C778BFE" w:rsidR="00CB079B" w:rsidRPr="003E0C06" w:rsidRDefault="00CB079B" w:rsidP="00CB079B">
      <w:pPr>
        <w:pStyle w:val="ListParagraph"/>
        <w:numPr>
          <w:ilvl w:val="0"/>
          <w:numId w:val="25"/>
        </w:numPr>
        <w:spacing w:before="120" w:after="120"/>
        <w:ind w:left="221" w:hanging="221"/>
        <w:jc w:val="both"/>
        <w:rPr>
          <w:rFonts w:ascii="Gill Sans MT" w:hAnsi="Gill Sans MT"/>
          <w:lang w:val="en-GB"/>
        </w:rPr>
      </w:pPr>
      <w:r w:rsidRPr="00671369">
        <w:rPr>
          <w:rFonts w:ascii="Gill Sans MT" w:hAnsi="Gill Sans MT"/>
          <w:lang w:val="en-GB"/>
        </w:rPr>
        <w:t>Kazakhstan International Bureau for Human Rights and Rule of Law (KIBHR), Nota Bene, Turkmen Initiative for Human Rights and International Partnership for Human Rights recently states that the Criminal Code and Code on Administrative Offences could ‘criminalise and penalise the legitimate activities of associations and their members… and [provide] broad grounds for denying registration to associations or closing them down.’</w:t>
      </w:r>
      <w:r w:rsidRPr="003E0C06">
        <w:rPr>
          <w:rStyle w:val="EndnoteReference"/>
          <w:rFonts w:ascii="Gill Sans MT" w:hAnsi="Gill Sans MT"/>
          <w:lang w:val="en-GB"/>
        </w:rPr>
        <w:endnoteReference w:id="64"/>
      </w:r>
    </w:p>
    <w:p w14:paraId="5F81CDA0" w14:textId="3D221B18"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3E0C06">
        <w:rPr>
          <w:rFonts w:ascii="Gill Sans MT" w:hAnsi="Gill Sans MT"/>
          <w:lang w:val="en-GB"/>
        </w:rPr>
        <w:t>Article 404 of the Criminal code, and the 2005 Law on Countering Extremism, authorise relevant agencies to monitor a</w:t>
      </w:r>
      <w:r w:rsidRPr="00805906">
        <w:rPr>
          <w:rFonts w:ascii="Gill Sans MT" w:hAnsi="Gill Sans MT"/>
          <w:lang w:val="en-GB"/>
        </w:rPr>
        <w:t xml:space="preserve">nd take preventative measures against associations accused of inciting ‘religious extremism.’ The </w:t>
      </w:r>
      <w:r>
        <w:rPr>
          <w:rFonts w:ascii="Gill Sans MT" w:hAnsi="Gill Sans MT"/>
          <w:lang w:val="en-GB"/>
        </w:rPr>
        <w:t>Special Rapporteur on f</w:t>
      </w:r>
      <w:r w:rsidRPr="003E0C06">
        <w:rPr>
          <w:rFonts w:ascii="Gill Sans MT" w:hAnsi="Gill Sans MT"/>
          <w:lang w:val="en-GB"/>
        </w:rPr>
        <w:t xml:space="preserve">reedom of </w:t>
      </w:r>
      <w:r>
        <w:rPr>
          <w:rFonts w:ascii="Gill Sans MT" w:hAnsi="Gill Sans MT"/>
          <w:lang w:val="en-GB"/>
        </w:rPr>
        <w:t>r</w:t>
      </w:r>
      <w:r w:rsidRPr="003E0C06">
        <w:rPr>
          <w:rFonts w:ascii="Gill Sans MT" w:hAnsi="Gill Sans MT"/>
          <w:lang w:val="en-GB"/>
        </w:rPr>
        <w:t xml:space="preserve">eligion or </w:t>
      </w:r>
      <w:r>
        <w:rPr>
          <w:rFonts w:ascii="Gill Sans MT" w:hAnsi="Gill Sans MT"/>
          <w:lang w:val="en-GB"/>
        </w:rPr>
        <w:t>b</w:t>
      </w:r>
      <w:r w:rsidRPr="003E0C06">
        <w:rPr>
          <w:rFonts w:ascii="Gill Sans MT" w:hAnsi="Gill Sans MT"/>
          <w:lang w:val="en-GB"/>
        </w:rPr>
        <w:t xml:space="preserve">elief </w:t>
      </w:r>
      <w:r w:rsidRPr="00805906">
        <w:rPr>
          <w:rFonts w:ascii="Gill Sans MT" w:hAnsi="Gill Sans MT"/>
          <w:lang w:val="en-GB"/>
        </w:rPr>
        <w:t>noted in his recent mission report that the former law provides no clear legal definition, and the latter is ‘overly broad and vague.’ These deficiencies</w:t>
      </w:r>
      <w:r w:rsidRPr="00671369">
        <w:rPr>
          <w:rFonts w:ascii="Gill Sans MT" w:hAnsi="Gill Sans MT"/>
          <w:lang w:val="en-GB"/>
        </w:rPr>
        <w:t xml:space="preserve"> allow for the arbitrary application of the law, and ‘open the floodgates for punitive measures’ against those deemed to be suspicious by some government institutions.</w:t>
      </w:r>
      <w:r w:rsidRPr="003E0C06">
        <w:rPr>
          <w:rStyle w:val="EndnoteReference"/>
          <w:rFonts w:ascii="Gill Sans MT" w:hAnsi="Gill Sans MT"/>
          <w:lang w:val="en-GB"/>
        </w:rPr>
        <w:endnoteReference w:id="65"/>
      </w:r>
      <w:r w:rsidRPr="003E0C06">
        <w:rPr>
          <w:rFonts w:ascii="Gill Sans MT" w:hAnsi="Gill Sans MT"/>
          <w:lang w:val="en-GB"/>
        </w:rPr>
        <w:t xml:space="preserve"> There is no clear justification for them under articles 22(1) or 22(2) of the ICCPR.</w:t>
      </w:r>
    </w:p>
    <w:p w14:paraId="52191E16" w14:textId="732F1472"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1B2C62">
        <w:rPr>
          <w:rFonts w:ascii="Gill Sans MT" w:hAnsi="Gill Sans MT"/>
          <w:lang w:val="en-GB"/>
        </w:rPr>
        <w:t xml:space="preserve">In December 2014 </w:t>
      </w:r>
      <w:r>
        <w:rPr>
          <w:rFonts w:ascii="Gill Sans MT" w:hAnsi="Gill Sans MT"/>
          <w:lang w:val="en-GB"/>
        </w:rPr>
        <w:t xml:space="preserve">in </w:t>
      </w:r>
      <w:r w:rsidRPr="001B2C62">
        <w:rPr>
          <w:rFonts w:ascii="Gill Sans MT" w:hAnsi="Gill Sans MT"/>
          <w:lang w:val="en-GB"/>
        </w:rPr>
        <w:t>its reply to the Committees Concluding Observations of 2011, the Government</w:t>
      </w:r>
      <w:r>
        <w:rPr>
          <w:rFonts w:ascii="Gill Sans MT" w:hAnsi="Gill Sans MT"/>
          <w:lang w:val="en-GB"/>
        </w:rPr>
        <w:t xml:space="preserve"> </w:t>
      </w:r>
      <w:r w:rsidRPr="001B2C62">
        <w:rPr>
          <w:rFonts w:ascii="Gill Sans MT" w:hAnsi="Gill Sans MT"/>
          <w:lang w:val="en-GB"/>
        </w:rPr>
        <w:t>reported that, from a 2013 Supreme Court review of judicial practice in considering criminal cases involving extremism and terrorism, such practices complied with international law standards. The integrity of this claim is to be questioned given Kazakhstan was ranked 88</w:t>
      </w:r>
      <w:r w:rsidRPr="001B2C62">
        <w:rPr>
          <w:rFonts w:ascii="Gill Sans MT" w:hAnsi="Gill Sans MT"/>
          <w:vertAlign w:val="superscript"/>
          <w:lang w:val="en-GB"/>
        </w:rPr>
        <w:t>th</w:t>
      </w:r>
      <w:r w:rsidRPr="001B2C62">
        <w:rPr>
          <w:rFonts w:ascii="Gill Sans MT" w:hAnsi="Gill Sans MT"/>
          <w:lang w:val="en-GB"/>
        </w:rPr>
        <w:t xml:space="preserve"> in the Global Competitiveness Index 2013-2014 for judicial independence</w:t>
      </w:r>
      <w:r>
        <w:rPr>
          <w:rFonts w:ascii="Gill Sans MT" w:hAnsi="Gill Sans MT"/>
          <w:lang w:val="en-GB"/>
        </w:rPr>
        <w:t>.</w:t>
      </w:r>
      <w:r w:rsidRPr="001B2C62">
        <w:rPr>
          <w:rStyle w:val="EndnoteReference"/>
          <w:rFonts w:ascii="Gill Sans MT" w:hAnsi="Gill Sans MT"/>
          <w:lang w:val="en-GB"/>
        </w:rPr>
        <w:endnoteReference w:id="66"/>
      </w:r>
    </w:p>
    <w:p w14:paraId="6109BD6B" w14:textId="77777777" w:rsidR="00CB079B" w:rsidRPr="001B2C62" w:rsidRDefault="00CB079B" w:rsidP="00CB079B">
      <w:pPr>
        <w:pStyle w:val="ListParagraph"/>
        <w:spacing w:before="120" w:after="120"/>
        <w:ind w:left="221"/>
        <w:jc w:val="both"/>
        <w:rPr>
          <w:rFonts w:ascii="Gill Sans MT" w:hAnsi="Gill Sans MT"/>
          <w:lang w:val="en-GB"/>
        </w:rPr>
      </w:pPr>
    </w:p>
    <w:p w14:paraId="7B7C00CB" w14:textId="3ADCC6BB" w:rsidR="00CB079B" w:rsidRPr="00671369" w:rsidRDefault="00CB079B" w:rsidP="00CB079B">
      <w:pPr>
        <w:widowControl w:val="0"/>
        <w:autoSpaceDE w:val="0"/>
        <w:autoSpaceDN w:val="0"/>
        <w:adjustRightInd w:val="0"/>
        <w:spacing w:before="120" w:after="120"/>
        <w:contextualSpacing/>
        <w:jc w:val="both"/>
        <w:rPr>
          <w:rFonts w:ascii="Gill Sans MT" w:eastAsiaTheme="minorEastAsia" w:hAnsi="Gill Sans MT" w:cs="Gill Sans"/>
          <w:b/>
          <w:color w:val="CC0031"/>
          <w:lang w:val="en-GB"/>
        </w:rPr>
      </w:pPr>
      <w:r w:rsidRPr="00671369">
        <w:rPr>
          <w:rFonts w:ascii="Gill Sans MT" w:eastAsiaTheme="minorEastAsia" w:hAnsi="Gill Sans MT" w:cs="Gill Sans"/>
          <w:b/>
          <w:color w:val="CC0031"/>
          <w:lang w:val="en-GB"/>
        </w:rPr>
        <w:t>HUMAN RIGHTS DEFENDERS FACING PARTICULAR RISKS</w:t>
      </w:r>
    </w:p>
    <w:p w14:paraId="71D7AFC7" w14:textId="7DEFD585" w:rsidR="00CB079B" w:rsidRDefault="00CB079B" w:rsidP="00CB079B">
      <w:pPr>
        <w:pStyle w:val="ListParagraph"/>
        <w:numPr>
          <w:ilvl w:val="0"/>
          <w:numId w:val="25"/>
        </w:numPr>
        <w:spacing w:before="120" w:after="120"/>
        <w:ind w:left="221" w:hanging="221"/>
        <w:jc w:val="both"/>
        <w:rPr>
          <w:rFonts w:ascii="Gill Sans MT" w:hAnsi="Gill Sans MT"/>
          <w:lang w:val="en-GB"/>
        </w:rPr>
      </w:pPr>
      <w:r w:rsidRPr="003E0C06">
        <w:rPr>
          <w:rFonts w:ascii="Gill Sans MT" w:hAnsi="Gill Sans MT"/>
          <w:lang w:val="en-GB"/>
        </w:rPr>
        <w:t>Oil</w:t>
      </w:r>
      <w:r w:rsidRPr="003E0C06">
        <w:rPr>
          <w:rFonts w:ascii="Gill Sans MT" w:hAnsi="Gill Sans MT" w:cs="Arial"/>
          <w:color w:val="000000"/>
          <w:lang w:val="en-GB"/>
        </w:rPr>
        <w:t xml:space="preserve"> workers </w:t>
      </w:r>
      <w:r w:rsidRPr="00671369">
        <w:rPr>
          <w:rFonts w:ascii="Gill Sans MT" w:hAnsi="Gill Sans MT" w:cs="Arial"/>
          <w:lang w:val="en-GB"/>
        </w:rPr>
        <w:t xml:space="preserve">across Kazakhstan </w:t>
      </w:r>
      <w:r>
        <w:rPr>
          <w:rFonts w:ascii="Gill Sans MT" w:hAnsi="Gill Sans MT" w:cs="Arial"/>
          <w:lang w:val="en-GB"/>
        </w:rPr>
        <w:t xml:space="preserve">suffer </w:t>
      </w:r>
      <w:r w:rsidRPr="00671369">
        <w:rPr>
          <w:rFonts w:ascii="Gill Sans MT" w:hAnsi="Gill Sans MT" w:cs="Arial"/>
          <w:lang w:val="en-GB"/>
        </w:rPr>
        <w:t>violations to the rights to freedom of association and expression, collective bargaining, and the right to strike</w:t>
      </w:r>
      <w:r>
        <w:rPr>
          <w:rFonts w:ascii="Gill Sans MT" w:hAnsi="Gill Sans MT" w:cs="Arial"/>
          <w:lang w:val="en-GB"/>
        </w:rPr>
        <w:t>,</w:t>
      </w:r>
      <w:r w:rsidRPr="00671369">
        <w:rPr>
          <w:rFonts w:ascii="Gill Sans MT" w:hAnsi="Gill Sans MT" w:cs="Arial"/>
          <w:lang w:val="en-GB"/>
        </w:rPr>
        <w:t xml:space="preserve"> carried out by Kazakhstani officials and often permitted by oil companies.</w:t>
      </w:r>
      <w:r w:rsidRPr="00671369">
        <w:rPr>
          <w:rStyle w:val="EndnoteReference"/>
          <w:rFonts w:ascii="Gill Sans MT" w:hAnsi="Gill Sans MT" w:cs="Arial"/>
          <w:lang w:val="en-GB"/>
        </w:rPr>
        <w:endnoteReference w:id="67"/>
      </w:r>
      <w:r w:rsidRPr="00671369">
        <w:rPr>
          <w:rFonts w:ascii="Gill Sans MT" w:hAnsi="Gill Sans MT" w:cs="Arial"/>
          <w:lang w:val="en-GB"/>
        </w:rPr>
        <w:t xml:space="preserve"> The Zhanaozen </w:t>
      </w:r>
      <w:r>
        <w:rPr>
          <w:rFonts w:ascii="Gill Sans MT" w:hAnsi="Gill Sans MT" w:cs="Arial"/>
          <w:lang w:val="en-GB"/>
        </w:rPr>
        <w:t xml:space="preserve">Strike on 16 and </w:t>
      </w:r>
      <w:r w:rsidRPr="00671369">
        <w:rPr>
          <w:rFonts w:ascii="Gill Sans MT" w:hAnsi="Gill Sans MT" w:cs="Arial"/>
          <w:lang w:val="en-GB"/>
        </w:rPr>
        <w:t>17 December 2011is a particularly heinous example of this. HRDs were allegedly arrested, tortured and ill-treated in the aftermath.</w:t>
      </w:r>
      <w:r w:rsidRPr="00671369">
        <w:rPr>
          <w:rStyle w:val="EndnoteReference"/>
          <w:rFonts w:ascii="Gill Sans MT" w:hAnsi="Gill Sans MT" w:cs="Arial"/>
          <w:lang w:val="en-GB"/>
        </w:rPr>
        <w:endnoteReference w:id="68"/>
      </w:r>
      <w:r w:rsidRPr="00671369">
        <w:rPr>
          <w:rFonts w:ascii="Gill Sans MT" w:hAnsi="Gill Sans MT" w:cs="Arial"/>
          <w:lang w:val="en-GB"/>
        </w:rPr>
        <w:t xml:space="preserve"> In addition 8 </w:t>
      </w:r>
      <w:r w:rsidRPr="00671369">
        <w:rPr>
          <w:rFonts w:ascii="Gill Sans MT" w:hAnsi="Gill Sans MT"/>
          <w:lang w:val="en-GB"/>
        </w:rPr>
        <w:t>newspapers</w:t>
      </w:r>
      <w:r w:rsidRPr="00671369">
        <w:rPr>
          <w:rFonts w:ascii="Gill Sans MT" w:hAnsi="Gill Sans MT" w:cs="Arial"/>
          <w:lang w:val="en-GB"/>
        </w:rPr>
        <w:t xml:space="preserve">, 23 internet resources, two TV channels and one newspaper </w:t>
      </w:r>
      <w:r w:rsidRPr="00671369">
        <w:rPr>
          <w:rFonts w:ascii="Gill Sans MT" w:hAnsi="Gill Sans MT"/>
          <w:lang w:val="en-GB"/>
        </w:rPr>
        <w:t>were closed in 2012, on charges of extremism and incitement to social hatred under article 164 of the old criminal code (equivalent to article 174 of the new Criminal Code).</w:t>
      </w:r>
      <w:r w:rsidRPr="00671369">
        <w:rPr>
          <w:rStyle w:val="EndnoteReference"/>
          <w:rFonts w:ascii="Gill Sans MT" w:hAnsi="Gill Sans MT" w:cs="Arial"/>
          <w:lang w:val="en-GB"/>
        </w:rPr>
        <w:endnoteReference w:id="69"/>
      </w:r>
      <w:r w:rsidRPr="00671369">
        <w:rPr>
          <w:rFonts w:ascii="Gill Sans MT" w:hAnsi="Gill Sans MT"/>
          <w:lang w:val="en-GB"/>
        </w:rPr>
        <w:t xml:space="preserve"> Journalists and HRDs who called for investigations were defamed, intimidated and faced physical attacks.</w:t>
      </w:r>
      <w:r w:rsidRPr="00671369">
        <w:rPr>
          <w:rStyle w:val="EndnoteReference"/>
          <w:rFonts w:ascii="Gill Sans MT" w:hAnsi="Gill Sans MT" w:cs="Arial"/>
          <w:lang w:val="en-GB"/>
        </w:rPr>
        <w:endnoteReference w:id="70"/>
      </w:r>
      <w:r w:rsidRPr="00671369">
        <w:rPr>
          <w:rFonts w:ascii="Gill Sans MT" w:hAnsi="Gill Sans MT"/>
          <w:lang w:val="en-GB"/>
        </w:rPr>
        <w:t xml:space="preserve"> Roza Tuletaeva, who worked to bring attention to the events, was sentenced to five years imprisonment on charges of organisation of mass unrest. She reported being tortured while imprisoned, but three requests by her lawyer to investigate the allegations were rejected.</w:t>
      </w:r>
      <w:r w:rsidRPr="00671369">
        <w:rPr>
          <w:rStyle w:val="EndnoteReference"/>
          <w:rFonts w:ascii="Gill Sans MT" w:hAnsi="Gill Sans MT" w:cs="Arial"/>
          <w:lang w:val="en-GB"/>
        </w:rPr>
        <w:endnoteReference w:id="71"/>
      </w:r>
      <w:r w:rsidRPr="00671369">
        <w:rPr>
          <w:rFonts w:ascii="Gill Sans MT" w:hAnsi="Gill Sans MT"/>
          <w:lang w:val="en-GB"/>
        </w:rPr>
        <w:t xml:space="preserve"> </w:t>
      </w:r>
    </w:p>
    <w:p w14:paraId="3AE8F7CA" w14:textId="74DF390A" w:rsidR="00CB079B" w:rsidRPr="00671369" w:rsidRDefault="00CB079B" w:rsidP="00CB079B">
      <w:pPr>
        <w:pStyle w:val="ListParagraph"/>
        <w:spacing w:before="120" w:after="120"/>
        <w:ind w:left="221"/>
        <w:jc w:val="both"/>
        <w:rPr>
          <w:rFonts w:ascii="Gill Sans MT" w:hAnsi="Gill Sans MT"/>
          <w:lang w:val="en-GB"/>
        </w:rPr>
      </w:pPr>
    </w:p>
    <w:p w14:paraId="08130056" w14:textId="2E5A42F7" w:rsidR="00CB079B" w:rsidRPr="00671369" w:rsidRDefault="00CB079B" w:rsidP="00CB079B">
      <w:pPr>
        <w:widowControl w:val="0"/>
        <w:autoSpaceDE w:val="0"/>
        <w:autoSpaceDN w:val="0"/>
        <w:adjustRightInd w:val="0"/>
        <w:spacing w:before="120" w:after="120"/>
        <w:contextualSpacing/>
        <w:jc w:val="both"/>
        <w:rPr>
          <w:rFonts w:ascii="Gill Sans MT" w:eastAsiaTheme="minorEastAsia" w:hAnsi="Gill Sans MT" w:cs="Gill Sans"/>
          <w:b/>
          <w:color w:val="CC0031"/>
          <w:lang w:val="en-GB"/>
        </w:rPr>
      </w:pPr>
      <w:r w:rsidRPr="00671369">
        <w:rPr>
          <w:rFonts w:ascii="Gill Sans MT" w:eastAsiaTheme="minorEastAsia" w:hAnsi="Gill Sans MT" w:cs="Gill Sans"/>
          <w:b/>
          <w:color w:val="CC0031"/>
          <w:lang w:val="en-GB"/>
        </w:rPr>
        <w:t>INTIMIDATION AND REPRISALS AGAINST HUMAN RIGHTS DEFENDERS ACCESSING INTERNATIONAL HUMAN RIGHTS MECHANISMS</w:t>
      </w:r>
    </w:p>
    <w:p w14:paraId="17469451" w14:textId="77777777" w:rsidR="00CB079B" w:rsidRPr="00671369" w:rsidRDefault="00CB079B" w:rsidP="00CB079B">
      <w:pPr>
        <w:pStyle w:val="ListParagraph"/>
        <w:numPr>
          <w:ilvl w:val="0"/>
          <w:numId w:val="18"/>
        </w:numPr>
        <w:spacing w:before="120" w:after="120"/>
        <w:ind w:left="357" w:hanging="357"/>
        <w:jc w:val="both"/>
        <w:rPr>
          <w:rFonts w:ascii="Gill Sans MT" w:hAnsi="Gill Sans MT"/>
          <w:lang w:val="en-GB" w:eastAsia="en-AU"/>
        </w:rPr>
      </w:pPr>
      <w:bookmarkStart w:id="1" w:name="OLE_LINK1"/>
      <w:bookmarkStart w:id="2" w:name="OLE_LINK2"/>
      <w:r w:rsidRPr="003E0C06">
        <w:rPr>
          <w:rFonts w:ascii="Gill Sans MT" w:hAnsi="Gill Sans MT"/>
          <w:lang w:val="en-GB"/>
        </w:rPr>
        <w:t>In its 2013 Annual Report, Front Line Defenders raised concerns over State reprisals against Kazakh HRDs for cooperating with UN human rights bodies.</w:t>
      </w:r>
      <w:r w:rsidRPr="00805906">
        <w:rPr>
          <w:rStyle w:val="EndnoteReference"/>
          <w:rFonts w:ascii="Gill Sans MT" w:hAnsi="Gill Sans MT"/>
          <w:lang w:val="en-GB"/>
        </w:rPr>
        <w:endnoteReference w:id="72"/>
      </w:r>
      <w:r w:rsidRPr="00805906">
        <w:rPr>
          <w:rFonts w:ascii="Gill Sans MT" w:hAnsi="Gill Sans MT"/>
          <w:lang w:val="en-GB"/>
        </w:rPr>
        <w:t xml:space="preserve"> Similar fears about reprisals were recorded in the Human Rights Watch 2014 World Report.</w:t>
      </w:r>
      <w:r w:rsidRPr="00671369">
        <w:rPr>
          <w:rStyle w:val="EndnoteReference"/>
          <w:rFonts w:ascii="Gill Sans MT" w:hAnsi="Gill Sans MT" w:cs="Arial"/>
          <w:color w:val="000000"/>
          <w:lang w:val="en-GB"/>
        </w:rPr>
        <w:endnoteReference w:id="73"/>
      </w:r>
    </w:p>
    <w:bookmarkEnd w:id="1"/>
    <w:bookmarkEnd w:id="2"/>
    <w:p w14:paraId="4C69C1D8" w14:textId="6C23FE20" w:rsidR="00CB079B" w:rsidRDefault="00CB079B" w:rsidP="00CB079B">
      <w:pPr>
        <w:pStyle w:val="ListParagraph"/>
        <w:numPr>
          <w:ilvl w:val="0"/>
          <w:numId w:val="18"/>
        </w:numPr>
        <w:spacing w:before="120" w:after="120"/>
        <w:ind w:left="357" w:hanging="357"/>
        <w:jc w:val="both"/>
        <w:rPr>
          <w:rFonts w:ascii="Gill Sans MT" w:hAnsi="Gill Sans MT"/>
          <w:lang w:val="en-GB"/>
        </w:rPr>
      </w:pPr>
      <w:r>
        <w:rPr>
          <w:rFonts w:ascii="Gill Sans MT" w:hAnsi="Gill Sans MT"/>
          <w:lang w:val="en-GB"/>
        </w:rPr>
        <w:t>The State restricted numerous rights s</w:t>
      </w:r>
      <w:r w:rsidRPr="003E0C06">
        <w:rPr>
          <w:rFonts w:ascii="Gill Sans MT" w:hAnsi="Gill Sans MT"/>
          <w:lang w:val="en-GB"/>
        </w:rPr>
        <w:t xml:space="preserve">urrounding </w:t>
      </w:r>
      <w:r>
        <w:rPr>
          <w:rFonts w:ascii="Gill Sans MT" w:hAnsi="Gill Sans MT"/>
          <w:lang w:val="en-GB"/>
        </w:rPr>
        <w:t xml:space="preserve">a </w:t>
      </w:r>
      <w:r w:rsidRPr="003E0C06">
        <w:rPr>
          <w:rFonts w:ascii="Gill Sans MT" w:hAnsi="Gill Sans MT"/>
          <w:lang w:val="en-GB"/>
        </w:rPr>
        <w:t xml:space="preserve">visit </w:t>
      </w:r>
      <w:r>
        <w:rPr>
          <w:rFonts w:ascii="Gill Sans MT" w:hAnsi="Gill Sans MT"/>
          <w:lang w:val="en-GB"/>
        </w:rPr>
        <w:t>by the</w:t>
      </w:r>
      <w:r w:rsidRPr="001B2C62">
        <w:rPr>
          <w:rFonts w:ascii="Gill Sans MT" w:hAnsi="Gill Sans MT"/>
          <w:lang w:val="en-GB"/>
        </w:rPr>
        <w:t xml:space="preserve"> Special Rapporteur on freedom of peaceful assembly and of association</w:t>
      </w:r>
      <w:r w:rsidRPr="003E0C06">
        <w:rPr>
          <w:rFonts w:ascii="Gill Sans MT" w:hAnsi="Gill Sans MT"/>
          <w:lang w:val="en-GB"/>
        </w:rPr>
        <w:t xml:space="preserve"> </w:t>
      </w:r>
      <w:r>
        <w:rPr>
          <w:rFonts w:ascii="Gill Sans MT" w:hAnsi="Gill Sans MT"/>
          <w:lang w:val="en-GB"/>
        </w:rPr>
        <w:t xml:space="preserve">including refusing </w:t>
      </w:r>
      <w:r w:rsidRPr="003E0C06">
        <w:rPr>
          <w:rFonts w:ascii="Gill Sans MT" w:hAnsi="Gill Sans MT"/>
          <w:lang w:val="en-GB"/>
        </w:rPr>
        <w:t>requests to hold peaceful assemblies between 24 and 27 January 2015</w:t>
      </w:r>
      <w:r>
        <w:rPr>
          <w:rFonts w:ascii="Gill Sans MT" w:hAnsi="Gill Sans MT"/>
          <w:lang w:val="en-GB"/>
        </w:rPr>
        <w:t>, photographing</w:t>
      </w:r>
      <w:r w:rsidRPr="003E0C06">
        <w:rPr>
          <w:rFonts w:ascii="Gill Sans MT" w:hAnsi="Gill Sans MT"/>
          <w:lang w:val="en-GB"/>
        </w:rPr>
        <w:t xml:space="preserve"> and inti</w:t>
      </w:r>
      <w:r>
        <w:rPr>
          <w:rFonts w:ascii="Gill Sans MT" w:hAnsi="Gill Sans MT"/>
          <w:lang w:val="en-GB"/>
        </w:rPr>
        <w:t>midating HRDs, arbitrarily detaining j</w:t>
      </w:r>
      <w:r w:rsidRPr="003E0C06">
        <w:rPr>
          <w:rFonts w:ascii="Gill Sans MT" w:hAnsi="Gill Sans MT"/>
          <w:lang w:val="en-GB"/>
        </w:rPr>
        <w:t xml:space="preserve">ournalists who sought to protest the closure of media outlet </w:t>
      </w:r>
      <w:r w:rsidRPr="003E0C06">
        <w:rPr>
          <w:rFonts w:ascii="Gill Sans MT" w:hAnsi="Gill Sans MT"/>
          <w:i/>
          <w:lang w:val="en-GB"/>
        </w:rPr>
        <w:t>ADAMbol</w:t>
      </w:r>
      <w:r w:rsidRPr="001D2F36">
        <w:rPr>
          <w:rFonts w:ascii="Gill Sans MT" w:hAnsi="Gill Sans MT"/>
          <w:lang w:val="en-GB"/>
        </w:rPr>
        <w:t xml:space="preserve"> during the visit</w:t>
      </w:r>
      <w:r w:rsidRPr="003E0C06">
        <w:rPr>
          <w:rFonts w:ascii="Gill Sans MT" w:hAnsi="Gill Sans MT"/>
          <w:lang w:val="en-GB"/>
        </w:rPr>
        <w:t>.</w:t>
      </w:r>
      <w:r w:rsidRPr="003E0C06">
        <w:rPr>
          <w:rStyle w:val="EndnoteReference"/>
          <w:rFonts w:ascii="Gill Sans MT" w:hAnsi="Gill Sans MT"/>
          <w:lang w:val="en-GB"/>
        </w:rPr>
        <w:endnoteReference w:id="74"/>
      </w:r>
      <w:r w:rsidRPr="003E0C06">
        <w:rPr>
          <w:rFonts w:ascii="Gill Sans MT" w:hAnsi="Gill Sans MT"/>
          <w:lang w:val="en-GB"/>
        </w:rPr>
        <w:t xml:space="preserve">The </w:t>
      </w:r>
      <w:r w:rsidRPr="00671369">
        <w:rPr>
          <w:rFonts w:ascii="Gill Sans MT" w:hAnsi="Gill Sans MT"/>
          <w:lang w:val="en-GB"/>
        </w:rPr>
        <w:t xml:space="preserve">Special Rapporteur </w:t>
      </w:r>
      <w:r w:rsidRPr="003E0C06">
        <w:rPr>
          <w:rFonts w:ascii="Gill Sans MT" w:hAnsi="Gill Sans MT"/>
          <w:lang w:val="en-GB"/>
        </w:rPr>
        <w:t xml:space="preserve">has demanded that the </w:t>
      </w:r>
      <w:r w:rsidRPr="00805906">
        <w:rPr>
          <w:rFonts w:ascii="Gill Sans MT" w:hAnsi="Gill Sans MT"/>
          <w:lang w:val="en-GB"/>
        </w:rPr>
        <w:lastRenderedPageBreak/>
        <w:t xml:space="preserve">Government </w:t>
      </w:r>
      <w:r w:rsidRPr="00671369">
        <w:rPr>
          <w:rFonts w:ascii="Gill Sans MT" w:hAnsi="Gill Sans MT"/>
          <w:lang w:val="en-GB"/>
        </w:rPr>
        <w:t xml:space="preserve">ensure the safety of all </w:t>
      </w:r>
      <w:r>
        <w:rPr>
          <w:rFonts w:ascii="Gill Sans MT" w:hAnsi="Gill Sans MT"/>
          <w:lang w:val="en-GB"/>
        </w:rPr>
        <w:t xml:space="preserve">HRDs </w:t>
      </w:r>
      <w:r w:rsidRPr="003E0C06">
        <w:rPr>
          <w:rFonts w:ascii="Gill Sans MT" w:hAnsi="Gill Sans MT"/>
          <w:lang w:val="en-GB"/>
        </w:rPr>
        <w:t xml:space="preserve">from threats, harassment, punishment or judicial proceedings as required by Human Rights Council resolutions 24/24 and 12/2 and the Terms of Reference of country visits by </w:t>
      </w:r>
      <w:r>
        <w:rPr>
          <w:rFonts w:ascii="Gill Sans MT" w:hAnsi="Gill Sans MT"/>
          <w:lang w:val="en-GB"/>
        </w:rPr>
        <w:t>s</w:t>
      </w:r>
      <w:r w:rsidRPr="003E0C06">
        <w:rPr>
          <w:rFonts w:ascii="Gill Sans MT" w:hAnsi="Gill Sans MT"/>
          <w:lang w:val="en-GB"/>
        </w:rPr>
        <w:t>pecial rapporteurs.</w:t>
      </w:r>
      <w:r w:rsidRPr="00805906">
        <w:rPr>
          <w:rStyle w:val="EndnoteReference"/>
          <w:rFonts w:ascii="Gill Sans MT" w:hAnsi="Gill Sans MT"/>
          <w:lang w:val="en-GB"/>
        </w:rPr>
        <w:endnoteReference w:id="75"/>
      </w:r>
    </w:p>
    <w:p w14:paraId="2D0D81F5" w14:textId="56647100" w:rsidR="00CB079B" w:rsidRDefault="00CB079B" w:rsidP="00CB079B">
      <w:pPr>
        <w:pStyle w:val="ListParagraph"/>
        <w:numPr>
          <w:ilvl w:val="0"/>
          <w:numId w:val="18"/>
        </w:numPr>
        <w:spacing w:before="120" w:after="120"/>
        <w:ind w:left="357" w:hanging="357"/>
        <w:jc w:val="both"/>
        <w:rPr>
          <w:rFonts w:ascii="Gill Sans MT" w:hAnsi="Gill Sans MT"/>
          <w:lang w:val="en-GB"/>
        </w:rPr>
      </w:pPr>
      <w:r>
        <w:rPr>
          <w:rFonts w:ascii="Gill Sans MT" w:hAnsi="Gill Sans MT"/>
          <w:lang w:val="en-GB"/>
        </w:rPr>
        <w:t>In response to the Special Rapporteur’s concern</w:t>
      </w:r>
      <w:r w:rsidRPr="00671369">
        <w:rPr>
          <w:rFonts w:ascii="Gill Sans MT" w:hAnsi="Gill Sans MT"/>
          <w:lang w:val="en-GB"/>
        </w:rPr>
        <w:t xml:space="preserve"> about reprisals during his recent official visit</w:t>
      </w:r>
      <w:r>
        <w:rPr>
          <w:rFonts w:ascii="Gill Sans MT" w:hAnsi="Gill Sans MT"/>
          <w:lang w:val="en-GB"/>
        </w:rPr>
        <w:t xml:space="preserve">, the Government </w:t>
      </w:r>
      <w:r w:rsidRPr="00671369">
        <w:rPr>
          <w:rFonts w:ascii="Gill Sans MT" w:hAnsi="Gill Sans MT"/>
          <w:lang w:val="en-GB"/>
        </w:rPr>
        <w:t xml:space="preserve">assured </w:t>
      </w:r>
      <w:r>
        <w:rPr>
          <w:rFonts w:ascii="Gill Sans MT" w:hAnsi="Gill Sans MT"/>
          <w:lang w:val="en-GB"/>
        </w:rPr>
        <w:t xml:space="preserve">him </w:t>
      </w:r>
      <w:r w:rsidRPr="00671369">
        <w:rPr>
          <w:rFonts w:ascii="Gill Sans MT" w:hAnsi="Gill Sans MT"/>
          <w:lang w:val="en-GB"/>
        </w:rPr>
        <w:t>that no reprisals would occur and that deliberate acts of intimidation would be investigated.</w:t>
      </w:r>
      <w:r w:rsidRPr="003E0C06">
        <w:rPr>
          <w:rStyle w:val="EndnoteReference"/>
          <w:rFonts w:ascii="Gill Sans MT" w:hAnsi="Gill Sans MT"/>
          <w:lang w:val="en-GB"/>
        </w:rPr>
        <w:endnoteReference w:id="76"/>
      </w:r>
    </w:p>
    <w:p w14:paraId="35CC30A9" w14:textId="77777777" w:rsidR="00CB079B" w:rsidRPr="00671369" w:rsidRDefault="00CB079B" w:rsidP="00CB079B">
      <w:pPr>
        <w:pStyle w:val="ListParagraph"/>
        <w:spacing w:before="120" w:after="120"/>
        <w:ind w:left="357"/>
        <w:jc w:val="both"/>
        <w:rPr>
          <w:rFonts w:ascii="Gill Sans MT" w:hAnsi="Gill Sans MT"/>
          <w:lang w:val="en-GB"/>
        </w:rPr>
      </w:pPr>
    </w:p>
    <w:p w14:paraId="1773DB1E" w14:textId="0A048AB6" w:rsidR="00CB079B" w:rsidRPr="003E0C06" w:rsidRDefault="00CB079B" w:rsidP="00CB079B">
      <w:pPr>
        <w:keepNext/>
        <w:autoSpaceDE w:val="0"/>
        <w:autoSpaceDN w:val="0"/>
        <w:adjustRightInd w:val="0"/>
        <w:spacing w:before="120" w:after="120"/>
        <w:contextualSpacing/>
        <w:jc w:val="both"/>
        <w:rPr>
          <w:rFonts w:ascii="Gill Sans MT" w:eastAsiaTheme="minorEastAsia" w:hAnsi="Gill Sans MT" w:cs="Gill Sans"/>
          <w:b/>
          <w:color w:val="CC0031"/>
          <w:lang w:val="en-GB"/>
        </w:rPr>
      </w:pPr>
      <w:r w:rsidRPr="00671369">
        <w:rPr>
          <w:rFonts w:ascii="Gill Sans MT" w:eastAsiaTheme="minorEastAsia" w:hAnsi="Gill Sans MT" w:cs="Gill Sans"/>
          <w:b/>
          <w:color w:val="CC0031"/>
          <w:lang w:val="en-GB"/>
        </w:rPr>
        <w:t>RESPONSES OF THE STATE REGARDING THE PROTECTION OF HUMAN RIGHTS DEFENDERS</w:t>
      </w:r>
    </w:p>
    <w:p w14:paraId="5DC01340" w14:textId="2320CEBA" w:rsidR="00CB079B" w:rsidRPr="00805906" w:rsidRDefault="00CB079B" w:rsidP="00CB079B">
      <w:pPr>
        <w:pStyle w:val="ListParagraph"/>
        <w:keepNext/>
        <w:numPr>
          <w:ilvl w:val="0"/>
          <w:numId w:val="18"/>
        </w:numPr>
        <w:autoSpaceDE w:val="0"/>
        <w:autoSpaceDN w:val="0"/>
        <w:adjustRightInd w:val="0"/>
        <w:spacing w:before="120" w:after="120"/>
        <w:ind w:left="357" w:hanging="357"/>
        <w:jc w:val="both"/>
        <w:rPr>
          <w:rFonts w:ascii="Gill Sans MT" w:hAnsi="Gill Sans MT"/>
          <w:lang w:val="en-GB"/>
        </w:rPr>
      </w:pPr>
      <w:r w:rsidRPr="001D2F36">
        <w:rPr>
          <w:rFonts w:ascii="Gill Sans MT" w:hAnsi="Gill Sans MT"/>
          <w:lang w:val="en-GB"/>
        </w:rPr>
        <w:t xml:space="preserve">Contrary to </w:t>
      </w:r>
      <w:r w:rsidRPr="00671369">
        <w:rPr>
          <w:rFonts w:ascii="Gill Sans MT" w:hAnsi="Gill Sans MT"/>
          <w:lang w:val="en-GB"/>
        </w:rPr>
        <w:t>CCPR General Comment 25, which provides that freedom of expression is an ‘essential condition for the effective exercise of the right to vote and must be fully protected’</w:t>
      </w:r>
      <w:r w:rsidRPr="00805906">
        <w:rPr>
          <w:rStyle w:val="EndnoteReference"/>
          <w:rFonts w:ascii="Gill Sans MT" w:hAnsi="Gill Sans MT"/>
          <w:lang w:val="en-GB"/>
        </w:rPr>
        <w:endnoteReference w:id="77"/>
      </w:r>
      <w:r w:rsidRPr="001D2F36">
        <w:rPr>
          <w:rFonts w:ascii="Gill Sans MT" w:hAnsi="Gill Sans MT"/>
          <w:lang w:val="en-GB"/>
        </w:rPr>
        <w:t xml:space="preserve">, in the 2015 </w:t>
      </w:r>
      <w:r w:rsidRPr="00671369">
        <w:rPr>
          <w:rFonts w:ascii="Gill Sans MT" w:hAnsi="Gill Sans MT"/>
          <w:lang w:val="en-GB"/>
        </w:rPr>
        <w:t>Presidential election campaign fear of reprisal stifled public debate</w:t>
      </w:r>
      <w:r w:rsidRPr="00805906">
        <w:rPr>
          <w:rStyle w:val="EndnoteReference"/>
          <w:rFonts w:ascii="Gill Sans MT" w:hAnsi="Gill Sans MT"/>
          <w:lang w:val="en-GB"/>
        </w:rPr>
        <w:endnoteReference w:id="78"/>
      </w:r>
      <w:r w:rsidRPr="001D2F36">
        <w:rPr>
          <w:rFonts w:ascii="Gill Sans MT" w:hAnsi="Gill Sans MT"/>
          <w:lang w:val="en-GB"/>
        </w:rPr>
        <w:t xml:space="preserve">. This occurred, </w:t>
      </w:r>
      <w:r w:rsidRPr="001D2F36">
        <w:rPr>
          <w:rFonts w:ascii="Gill Sans MT" w:hAnsi="Gill Sans MT"/>
          <w:color w:val="000000"/>
          <w:lang w:val="en-GB"/>
        </w:rPr>
        <w:t>notwithstanding a</w:t>
      </w:r>
      <w:r w:rsidRPr="001D2F36">
        <w:rPr>
          <w:rFonts w:ascii="Gill Sans MT" w:hAnsi="Gill Sans MT"/>
          <w:lang w:val="en-GB"/>
        </w:rPr>
        <w:t>mendments to the Administrative Offences Code which strengthened the integrity and democracy of the 2015 presidential elections</w:t>
      </w:r>
      <w:r w:rsidRPr="001D2F36">
        <w:rPr>
          <w:rStyle w:val="EndnoteReference"/>
          <w:rFonts w:ascii="Gill Sans MT" w:hAnsi="Gill Sans MT"/>
          <w:lang w:val="en-GB"/>
        </w:rPr>
        <w:t xml:space="preserve"> </w:t>
      </w:r>
      <w:r w:rsidRPr="001D2F36">
        <w:rPr>
          <w:rStyle w:val="EndnoteReference"/>
          <w:rFonts w:ascii="Gill Sans MT" w:hAnsi="Gill Sans MT"/>
          <w:lang w:val="en-GB"/>
        </w:rPr>
        <w:endnoteReference w:id="79"/>
      </w:r>
      <w:r w:rsidRPr="001D2F36">
        <w:rPr>
          <w:rFonts w:ascii="Gill Sans MT" w:hAnsi="Gill Sans MT"/>
          <w:lang w:val="en-GB"/>
        </w:rPr>
        <w:t>, the Central Electoral Commission sessions being open to observers</w:t>
      </w:r>
      <w:r w:rsidRPr="001D2F36">
        <w:rPr>
          <w:rStyle w:val="EndnoteReference"/>
          <w:rFonts w:ascii="Gill Sans MT" w:hAnsi="Gill Sans MT"/>
          <w:lang w:val="en-GB"/>
        </w:rPr>
        <w:endnoteReference w:id="80"/>
      </w:r>
      <w:r w:rsidRPr="001D2F36">
        <w:rPr>
          <w:rFonts w:ascii="Gill Sans MT" w:hAnsi="Gill Sans MT"/>
          <w:lang w:val="en-GB"/>
        </w:rPr>
        <w:t xml:space="preserve"> and half the political rallies being held in favour of opposition candidates</w:t>
      </w:r>
      <w:r w:rsidRPr="001D2F36">
        <w:rPr>
          <w:rStyle w:val="EndnoteReference"/>
          <w:rFonts w:ascii="Gill Sans MT" w:hAnsi="Gill Sans MT"/>
          <w:lang w:val="en-GB"/>
        </w:rPr>
        <w:endnoteReference w:id="81"/>
      </w:r>
      <w:r>
        <w:rPr>
          <w:rFonts w:ascii="Gill Sans MT" w:hAnsi="Gill Sans MT"/>
          <w:lang w:val="en-GB"/>
        </w:rPr>
        <w:t>. C</w:t>
      </w:r>
      <w:r w:rsidRPr="00671369">
        <w:rPr>
          <w:rFonts w:ascii="Gill Sans MT" w:hAnsi="Gill Sans MT"/>
          <w:lang w:val="en-GB"/>
        </w:rPr>
        <w:t xml:space="preserve">redible reports of pressure applied to voters to ‘attend rallies and vote in high numbers for the incumbent’ also </w:t>
      </w:r>
      <w:r w:rsidRPr="001D2F36">
        <w:rPr>
          <w:rFonts w:ascii="Gill Sans MT" w:hAnsi="Gill Sans MT"/>
          <w:lang w:val="en-GB"/>
        </w:rPr>
        <w:t>raised concerns about voters’</w:t>
      </w:r>
      <w:r w:rsidRPr="00671369">
        <w:rPr>
          <w:rFonts w:ascii="Gill Sans MT" w:hAnsi="Gill Sans MT"/>
          <w:lang w:val="en-GB"/>
        </w:rPr>
        <w:t xml:space="preserve"> ability to cas</w:t>
      </w:r>
      <w:r w:rsidRPr="001D2F36">
        <w:rPr>
          <w:rFonts w:ascii="Gill Sans MT" w:hAnsi="Gill Sans MT"/>
          <w:lang w:val="en-GB"/>
        </w:rPr>
        <w:t>t a vote free of fear and retribution.</w:t>
      </w:r>
      <w:r>
        <w:rPr>
          <w:rStyle w:val="EndnoteReference"/>
          <w:rFonts w:ascii="Gill Sans MT" w:hAnsi="Gill Sans MT"/>
          <w:lang w:val="en-GB"/>
        </w:rPr>
        <w:endnoteReference w:id="82"/>
      </w:r>
      <w:r w:rsidRPr="00805906">
        <w:rPr>
          <w:rFonts w:ascii="Gill Sans MT" w:hAnsi="Gill Sans MT"/>
          <w:lang w:val="en-GB"/>
        </w:rPr>
        <w:t xml:space="preserve"> Opposition was also stifled with the detention of a group of </w:t>
      </w:r>
      <w:r w:rsidRPr="00671369">
        <w:rPr>
          <w:rFonts w:ascii="Gill Sans MT" w:hAnsi="Gill Sans MT"/>
          <w:lang w:val="en-GB"/>
        </w:rPr>
        <w:t>people, including a political nominee and journalist</w:t>
      </w:r>
      <w:r>
        <w:rPr>
          <w:rFonts w:ascii="Gill Sans MT" w:hAnsi="Gill Sans MT"/>
          <w:lang w:val="en-GB"/>
        </w:rPr>
        <w:t>,</w:t>
      </w:r>
      <w:r w:rsidRPr="00671369">
        <w:rPr>
          <w:rFonts w:ascii="Gill Sans MT" w:hAnsi="Gill Sans MT"/>
          <w:lang w:val="en-GB"/>
        </w:rPr>
        <w:t xml:space="preserve"> who sought a meeting with the </w:t>
      </w:r>
      <w:r>
        <w:rPr>
          <w:rFonts w:ascii="Gill Sans MT" w:hAnsi="Gill Sans MT"/>
          <w:lang w:val="en-GB"/>
        </w:rPr>
        <w:t>P</w:t>
      </w:r>
      <w:r w:rsidRPr="00671369">
        <w:rPr>
          <w:rFonts w:ascii="Gill Sans MT" w:hAnsi="Gill Sans MT"/>
          <w:lang w:val="en-GB"/>
        </w:rPr>
        <w:t>resident.</w:t>
      </w:r>
      <w:r>
        <w:rPr>
          <w:rStyle w:val="EndnoteReference"/>
          <w:rFonts w:ascii="Gill Sans MT" w:hAnsi="Gill Sans MT"/>
          <w:lang w:val="en-GB"/>
        </w:rPr>
        <w:endnoteReference w:id="83"/>
      </w:r>
      <w:r w:rsidRPr="00805906">
        <w:rPr>
          <w:rFonts w:ascii="Gill Sans MT" w:hAnsi="Gill Sans MT"/>
          <w:lang w:val="en-GB"/>
        </w:rPr>
        <w:t xml:space="preserve"> </w:t>
      </w:r>
    </w:p>
    <w:p w14:paraId="39C6A5E0" w14:textId="4E119303" w:rsid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Pr>
          <w:rFonts w:ascii="Gill Sans MT" w:hAnsi="Gill Sans MT"/>
          <w:lang w:val="en-GB"/>
        </w:rPr>
        <w:t xml:space="preserve">Government representatives and civil society prepared the </w:t>
      </w:r>
      <w:r w:rsidRPr="003E0C06">
        <w:rPr>
          <w:rFonts w:ascii="Gill Sans MT" w:hAnsi="Gill Sans MT"/>
          <w:lang w:val="en-GB"/>
        </w:rPr>
        <w:t>Kazakh National</w:t>
      </w:r>
      <w:r w:rsidRPr="00805906">
        <w:rPr>
          <w:rFonts w:ascii="Gill Sans MT" w:hAnsi="Gill Sans MT"/>
          <w:lang w:val="en-GB"/>
        </w:rPr>
        <w:t xml:space="preserve"> Human Rights Action Plan 2009-2012</w:t>
      </w:r>
      <w:r>
        <w:rPr>
          <w:rFonts w:ascii="Gill Sans MT" w:hAnsi="Gill Sans MT"/>
          <w:lang w:val="en-GB"/>
        </w:rPr>
        <w:t xml:space="preserve"> which </w:t>
      </w:r>
      <w:r w:rsidRPr="00805906">
        <w:rPr>
          <w:rFonts w:ascii="Gill Sans MT" w:hAnsi="Gill Sans MT"/>
          <w:lang w:val="en-GB"/>
        </w:rPr>
        <w:t>aimed to increase protection of Kazakhstan nationals’ civil and political rights and freedoms.</w:t>
      </w:r>
      <w:r>
        <w:rPr>
          <w:rFonts w:ascii="Gill Sans MT" w:hAnsi="Gill Sans MT"/>
          <w:lang w:val="en-GB"/>
        </w:rPr>
        <w:t xml:space="preserve"> However, d</w:t>
      </w:r>
      <w:r w:rsidRPr="00805906">
        <w:rPr>
          <w:rFonts w:ascii="Gill Sans MT" w:hAnsi="Gill Sans MT"/>
          <w:lang w:val="en-GB"/>
        </w:rPr>
        <w:t>uring the 4 years of implementation, Kazakhstan only fulfilled 23%</w:t>
      </w:r>
      <w:r w:rsidRPr="00EE55B3">
        <w:rPr>
          <w:rFonts w:ascii="Gill Sans MT" w:hAnsi="Gill Sans MT"/>
          <w:lang w:val="en-GB"/>
        </w:rPr>
        <w:t xml:space="preserve"> of its goals, </w:t>
      </w:r>
      <w:r>
        <w:rPr>
          <w:rFonts w:ascii="Gill Sans MT" w:hAnsi="Gill Sans MT"/>
          <w:lang w:val="en-GB"/>
        </w:rPr>
        <w:t xml:space="preserve">and in response the EU has offered to work with Kazakhstan to </w:t>
      </w:r>
      <w:r w:rsidRPr="00EE55B3">
        <w:rPr>
          <w:rFonts w:ascii="Gill Sans MT" w:hAnsi="Gill Sans MT"/>
          <w:lang w:val="en-GB"/>
        </w:rPr>
        <w:t xml:space="preserve">develop and implement a new </w:t>
      </w:r>
      <w:r>
        <w:rPr>
          <w:rFonts w:ascii="Gill Sans MT" w:hAnsi="Gill Sans MT"/>
          <w:lang w:val="en-GB"/>
        </w:rPr>
        <w:t>action plan</w:t>
      </w:r>
      <w:r w:rsidRPr="00EE55B3">
        <w:rPr>
          <w:rFonts w:ascii="Gill Sans MT" w:hAnsi="Gill Sans MT"/>
          <w:lang w:val="en-GB"/>
        </w:rPr>
        <w:t>.</w:t>
      </w:r>
      <w:r w:rsidRPr="003E0C06">
        <w:rPr>
          <w:rStyle w:val="EndnoteReference"/>
          <w:rFonts w:ascii="Gill Sans MT" w:hAnsi="Gill Sans MT"/>
          <w:lang w:val="en-GB"/>
        </w:rPr>
        <w:endnoteReference w:id="84"/>
      </w:r>
    </w:p>
    <w:p w14:paraId="14B415D8" w14:textId="21AF9516" w:rsid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Pr>
          <w:rFonts w:ascii="Gill Sans MT" w:hAnsi="Gill Sans MT"/>
          <w:lang w:val="en-GB"/>
        </w:rPr>
        <w:t>T</w:t>
      </w:r>
      <w:r w:rsidRPr="00805906">
        <w:rPr>
          <w:rFonts w:ascii="Gill Sans MT" w:hAnsi="Gill Sans MT"/>
          <w:lang w:val="en-GB"/>
        </w:rPr>
        <w:t>he Go</w:t>
      </w:r>
      <w:r w:rsidRPr="001B2C62">
        <w:rPr>
          <w:rFonts w:ascii="Gill Sans MT" w:hAnsi="Gill Sans MT"/>
          <w:lang w:val="en-GB"/>
        </w:rPr>
        <w:t>vernment’s assurance</w:t>
      </w:r>
      <w:r>
        <w:rPr>
          <w:rFonts w:ascii="Gill Sans MT" w:hAnsi="Gill Sans MT"/>
          <w:lang w:val="en-GB"/>
        </w:rPr>
        <w:t xml:space="preserve"> </w:t>
      </w:r>
      <w:r w:rsidRPr="001B2C62">
        <w:rPr>
          <w:rFonts w:ascii="Gill Sans MT" w:hAnsi="Gill Sans MT"/>
          <w:lang w:val="en-GB"/>
        </w:rPr>
        <w:t xml:space="preserve">at its </w:t>
      </w:r>
      <w:r>
        <w:rPr>
          <w:rFonts w:ascii="Gill Sans MT" w:hAnsi="Gill Sans MT"/>
          <w:lang w:val="en-GB"/>
        </w:rPr>
        <w:t>Universal Periodic Review (</w:t>
      </w:r>
      <w:r w:rsidRPr="001B2C62">
        <w:rPr>
          <w:rFonts w:ascii="Gill Sans MT" w:hAnsi="Gill Sans MT"/>
          <w:lang w:val="en-GB"/>
        </w:rPr>
        <w:t>UPR</w:t>
      </w:r>
      <w:r>
        <w:rPr>
          <w:rFonts w:ascii="Gill Sans MT" w:hAnsi="Gill Sans MT"/>
          <w:lang w:val="en-GB"/>
        </w:rPr>
        <w:t>)</w:t>
      </w:r>
      <w:r w:rsidRPr="001B2C62">
        <w:rPr>
          <w:rFonts w:ascii="Gill Sans MT" w:hAnsi="Gill Sans MT"/>
          <w:lang w:val="en-GB"/>
        </w:rPr>
        <w:t xml:space="preserve"> in October 2014 to improve its legislation governing freedom of assembly is counteracted by its accompanying belief that</w:t>
      </w:r>
      <w:r>
        <w:rPr>
          <w:rFonts w:ascii="Gill Sans MT" w:hAnsi="Gill Sans MT"/>
          <w:lang w:val="en-GB"/>
        </w:rPr>
        <w:t xml:space="preserve"> </w:t>
      </w:r>
      <w:r w:rsidRPr="001B2C62">
        <w:rPr>
          <w:rFonts w:ascii="Gill Sans MT" w:hAnsi="Gill Sans MT"/>
          <w:lang w:val="en-GB"/>
        </w:rPr>
        <w:t>the existing limitations on freedom of assembly ‘adher[ed] to international human rights standards.’</w:t>
      </w:r>
      <w:r w:rsidRPr="003E0C06">
        <w:rPr>
          <w:rStyle w:val="EndnoteReference"/>
          <w:rFonts w:ascii="Gill Sans MT" w:hAnsi="Gill Sans MT"/>
          <w:lang w:val="en-GB"/>
        </w:rPr>
        <w:endnoteReference w:id="85"/>
      </w:r>
      <w:r>
        <w:rPr>
          <w:rFonts w:ascii="Gill Sans MT" w:hAnsi="Gill Sans MT"/>
          <w:lang w:val="en-GB"/>
        </w:rPr>
        <w:t xml:space="preserve"> </w:t>
      </w:r>
      <w:r w:rsidRPr="003E0C06">
        <w:rPr>
          <w:rFonts w:ascii="Gill Sans MT" w:hAnsi="Gill Sans MT"/>
          <w:lang w:val="en-GB"/>
        </w:rPr>
        <w:t>The Government’s UPR insincerity is also highlighted by KIBHR, the Turkmen Initiative f</w:t>
      </w:r>
      <w:r w:rsidRPr="00805906">
        <w:rPr>
          <w:rFonts w:ascii="Gill Sans MT" w:hAnsi="Gill Sans MT"/>
          <w:lang w:val="en-GB"/>
        </w:rPr>
        <w:t>or Human Rights, Nota Bene, and International Partnership for Human Rights, who jointly argue that, since the 2014 UPR,</w:t>
      </w:r>
      <w:r w:rsidRPr="001B2C62">
        <w:rPr>
          <w:rFonts w:ascii="Gill Sans MT" w:hAnsi="Gill Sans MT"/>
          <w:lang w:val="en-GB"/>
        </w:rPr>
        <w:t xml:space="preserve"> ‘no measures [had] been taken’ to revise Kazakhstan’s assembly laws as at 15 April 2015. </w:t>
      </w:r>
      <w:r w:rsidRPr="003E0C06">
        <w:rPr>
          <w:rStyle w:val="EndnoteReference"/>
          <w:rFonts w:ascii="Gill Sans MT" w:hAnsi="Gill Sans MT"/>
          <w:lang w:val="en-GB"/>
        </w:rPr>
        <w:endnoteReference w:id="86"/>
      </w:r>
    </w:p>
    <w:p w14:paraId="6F5B9F84" w14:textId="7C168421" w:rsidR="00F814EF" w:rsidRPr="00671369"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sidRPr="00671369">
        <w:rPr>
          <w:rFonts w:ascii="Gill Sans MT" w:hAnsi="Gill Sans MT"/>
          <w:lang w:val="en-GB"/>
        </w:rPr>
        <w:t xml:space="preserve">In 2012, the UN High Commissioner for Human Rights Navi Pillay visited the country and called for an independent international investigation into the use of force and fatalities associated with the </w:t>
      </w:r>
      <w:r w:rsidRPr="00671369">
        <w:rPr>
          <w:rFonts w:ascii="Gill Sans MT" w:hAnsi="Gill Sans MT" w:cs="Arial"/>
          <w:lang w:val="en-GB"/>
        </w:rPr>
        <w:t>Zhanaozen</w:t>
      </w:r>
      <w:r w:rsidRPr="00671369">
        <w:rPr>
          <w:rFonts w:ascii="Gill Sans MT" w:hAnsi="Gill Sans MT"/>
          <w:lang w:val="en-GB"/>
        </w:rPr>
        <w:t>.</w:t>
      </w:r>
      <w:r w:rsidRPr="003E0C06">
        <w:rPr>
          <w:rStyle w:val="EndnoteReference"/>
          <w:rFonts w:ascii="Gill Sans MT" w:hAnsi="Gill Sans MT"/>
          <w:lang w:val="en-GB"/>
        </w:rPr>
        <w:endnoteReference w:id="87"/>
      </w:r>
      <w:r w:rsidRPr="00395BFA">
        <w:rPr>
          <w:rFonts w:ascii="Gill Sans MT" w:hAnsi="Gill Sans MT"/>
          <w:lang w:val="en-GB"/>
        </w:rPr>
        <w:t xml:space="preserve"> </w:t>
      </w:r>
      <w:r w:rsidR="007454F7" w:rsidRPr="00395BFA">
        <w:rPr>
          <w:rFonts w:ascii="Gill Sans MT" w:hAnsi="Gill Sans MT"/>
          <w:lang w:val="en-GB"/>
        </w:rPr>
        <w:t>The Go</w:t>
      </w:r>
      <w:r w:rsidR="00FF679B" w:rsidRPr="00395BFA">
        <w:rPr>
          <w:rFonts w:ascii="Gill Sans MT" w:hAnsi="Gill Sans MT"/>
          <w:lang w:val="en-GB"/>
        </w:rPr>
        <w:t xml:space="preserve">vernment </w:t>
      </w:r>
      <w:r w:rsidR="007454F7" w:rsidRPr="00395BFA">
        <w:rPr>
          <w:rFonts w:ascii="Gill Sans MT" w:hAnsi="Gill Sans MT"/>
          <w:lang w:val="en-GB"/>
        </w:rPr>
        <w:t xml:space="preserve">has provided no substantive reply nor taken substantive action to remedy alleged violations where they </w:t>
      </w:r>
      <w:r w:rsidR="001D2F36" w:rsidRPr="00395BFA">
        <w:rPr>
          <w:rFonts w:ascii="Gill Sans MT" w:hAnsi="Gill Sans MT"/>
          <w:lang w:val="en-GB"/>
        </w:rPr>
        <w:t>occurred</w:t>
      </w:r>
      <w:r w:rsidR="007454F7" w:rsidRPr="00395BFA">
        <w:rPr>
          <w:rFonts w:ascii="Gill Sans MT" w:hAnsi="Gill Sans MT"/>
          <w:lang w:val="en-GB"/>
        </w:rPr>
        <w:t>.</w:t>
      </w:r>
    </w:p>
    <w:p w14:paraId="1CB17932" w14:textId="10BEFB22" w:rsidR="007454F7" w:rsidRDefault="007454F7" w:rsidP="00CB079B">
      <w:pPr>
        <w:widowControl w:val="0"/>
        <w:autoSpaceDE w:val="0"/>
        <w:autoSpaceDN w:val="0"/>
        <w:adjustRightInd w:val="0"/>
        <w:spacing w:before="120" w:after="120"/>
        <w:contextualSpacing/>
        <w:jc w:val="both"/>
        <w:rPr>
          <w:rFonts w:ascii="Gill Sans MT" w:eastAsiaTheme="minorEastAsia" w:hAnsi="Gill Sans MT" w:cs="Gill Sans"/>
          <w:color w:val="CC0031"/>
          <w:lang w:val="en-GB"/>
        </w:rPr>
      </w:pPr>
      <w:r w:rsidRPr="00671369">
        <w:rPr>
          <w:rFonts w:ascii="Gill Sans MT" w:eastAsiaTheme="minorEastAsia" w:hAnsi="Gill Sans MT" w:cs="Gill Sans"/>
          <w:b/>
          <w:color w:val="CC0031"/>
          <w:lang w:val="en-GB"/>
        </w:rPr>
        <w:t>RECOMMENDATIONS OF THE GOVERNMENT OF KAZAKSTAN</w:t>
      </w:r>
    </w:p>
    <w:p w14:paraId="34DA21D1" w14:textId="7E2CA3F9" w:rsidR="00CB079B" w:rsidRP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Pr>
          <w:rFonts w:ascii="Gill Sans MT" w:hAnsi="Gill Sans MT"/>
          <w:lang w:val="en-GB"/>
        </w:rPr>
        <w:t>What steps will</w:t>
      </w:r>
      <w:r w:rsidRPr="00CB079B">
        <w:rPr>
          <w:rFonts w:ascii="Gill Sans MT" w:hAnsi="Gill Sans MT"/>
          <w:lang w:val="en-GB"/>
        </w:rPr>
        <w:t xml:space="preserve"> the </w:t>
      </w:r>
      <w:r>
        <w:rPr>
          <w:rFonts w:ascii="Gill Sans MT" w:hAnsi="Gill Sans MT"/>
          <w:lang w:val="en-GB"/>
        </w:rPr>
        <w:t>Kazakh</w:t>
      </w:r>
      <w:r w:rsidRPr="00CB079B">
        <w:rPr>
          <w:rFonts w:ascii="Gill Sans MT" w:hAnsi="Gill Sans MT"/>
          <w:lang w:val="en-GB"/>
        </w:rPr>
        <w:t xml:space="preserve"> State tak</w:t>
      </w:r>
      <w:r>
        <w:rPr>
          <w:rFonts w:ascii="Gill Sans MT" w:hAnsi="Gill Sans MT"/>
          <w:lang w:val="en-GB"/>
        </w:rPr>
        <w:t>e</w:t>
      </w:r>
      <w:r w:rsidRPr="00CB079B">
        <w:rPr>
          <w:rFonts w:ascii="Gill Sans MT" w:hAnsi="Gill Sans MT"/>
          <w:lang w:val="en-GB"/>
        </w:rPr>
        <w:t xml:space="preserve"> to enshrine the UN Declaration on </w:t>
      </w:r>
      <w:r>
        <w:rPr>
          <w:rFonts w:ascii="Gill Sans MT" w:hAnsi="Gill Sans MT"/>
          <w:lang w:val="en-GB"/>
        </w:rPr>
        <w:t>HRDs</w:t>
      </w:r>
      <w:r w:rsidRPr="00CB079B">
        <w:rPr>
          <w:rFonts w:ascii="Gill Sans MT" w:hAnsi="Gill Sans MT"/>
          <w:lang w:val="en-GB"/>
        </w:rPr>
        <w:t xml:space="preserve"> in national law and policies, in order to guarantee their recognition and protection</w:t>
      </w:r>
      <w:r>
        <w:rPr>
          <w:rFonts w:ascii="Gill Sans MT" w:hAnsi="Gill Sans MT"/>
          <w:lang w:val="en-GB"/>
        </w:rPr>
        <w:t>,</w:t>
      </w:r>
      <w:r w:rsidRPr="00CB079B">
        <w:rPr>
          <w:rFonts w:ascii="Gill Sans MT" w:hAnsi="Gill Sans MT"/>
          <w:lang w:val="en-GB"/>
        </w:rPr>
        <w:t xml:space="preserve"> and a safe and enabling environment for their work?</w:t>
      </w:r>
    </w:p>
    <w:p w14:paraId="2E337BAA" w14:textId="5E9336E2" w:rsidR="00CB079B" w:rsidRP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sidRPr="00CB079B">
        <w:rPr>
          <w:rFonts w:ascii="Gill Sans MT" w:hAnsi="Gill Sans MT"/>
          <w:lang w:val="en-GB"/>
        </w:rPr>
        <w:t xml:space="preserve">What steps will the </w:t>
      </w:r>
      <w:r>
        <w:rPr>
          <w:rFonts w:ascii="Gill Sans MT" w:hAnsi="Gill Sans MT"/>
          <w:lang w:val="en-GB"/>
        </w:rPr>
        <w:t>Kazakh</w:t>
      </w:r>
      <w:r w:rsidRPr="00CB079B">
        <w:rPr>
          <w:rFonts w:ascii="Gill Sans MT" w:hAnsi="Gill Sans MT"/>
          <w:lang w:val="en-GB"/>
        </w:rPr>
        <w:t xml:space="preserve"> State take to guarantee due process to </w:t>
      </w:r>
      <w:r>
        <w:rPr>
          <w:rFonts w:ascii="Gill Sans MT" w:hAnsi="Gill Sans MT"/>
          <w:lang w:val="en-GB"/>
        </w:rPr>
        <w:t>HRDs</w:t>
      </w:r>
      <w:r w:rsidRPr="00CB079B">
        <w:rPr>
          <w:rFonts w:ascii="Gill Sans MT" w:hAnsi="Gill Sans MT"/>
          <w:lang w:val="en-GB"/>
        </w:rPr>
        <w:t xml:space="preserve"> and journalists and end the criminalisation of their work?</w:t>
      </w:r>
    </w:p>
    <w:p w14:paraId="081BFE2E" w14:textId="27A4ABB0" w:rsidR="00CB079B" w:rsidRP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sidRPr="00CB079B">
        <w:rPr>
          <w:rFonts w:ascii="Gill Sans MT" w:hAnsi="Gill Sans MT"/>
          <w:lang w:val="en-GB"/>
        </w:rPr>
        <w:t xml:space="preserve">How will the </w:t>
      </w:r>
      <w:r>
        <w:rPr>
          <w:rFonts w:ascii="Gill Sans MT" w:hAnsi="Gill Sans MT"/>
          <w:lang w:val="en-GB"/>
        </w:rPr>
        <w:t>Kazakh</w:t>
      </w:r>
      <w:r w:rsidRPr="00CB079B">
        <w:rPr>
          <w:rFonts w:ascii="Gill Sans MT" w:hAnsi="Gill Sans MT"/>
          <w:lang w:val="en-GB"/>
        </w:rPr>
        <w:t xml:space="preserve"> State end the intimidation and harassment of individuals participating in peaceful protests and thus guarantee the right to freedom of assembly.</w:t>
      </w:r>
    </w:p>
    <w:p w14:paraId="7CC75897" w14:textId="77777777" w:rsid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sidRPr="00CB079B">
        <w:rPr>
          <w:rFonts w:ascii="Gill Sans MT" w:hAnsi="Gill Sans MT"/>
          <w:lang w:val="en-GB"/>
        </w:rPr>
        <w:t xml:space="preserve">How and when will the </w:t>
      </w:r>
      <w:r>
        <w:rPr>
          <w:rFonts w:ascii="Gill Sans MT" w:hAnsi="Gill Sans MT"/>
          <w:lang w:val="en-GB"/>
        </w:rPr>
        <w:t>Kazakh</w:t>
      </w:r>
      <w:r w:rsidRPr="00CB079B">
        <w:rPr>
          <w:rFonts w:ascii="Gill Sans MT" w:hAnsi="Gill Sans MT"/>
          <w:lang w:val="en-GB"/>
        </w:rPr>
        <w:t xml:space="preserve"> State repeal its criminal defamation laws, ensuring that they cannot be applied arbitrarily against </w:t>
      </w:r>
      <w:r>
        <w:rPr>
          <w:rFonts w:ascii="Gill Sans MT" w:hAnsi="Gill Sans MT"/>
          <w:lang w:val="en-GB"/>
        </w:rPr>
        <w:t>HRDs</w:t>
      </w:r>
      <w:r w:rsidRPr="00CB079B">
        <w:rPr>
          <w:rFonts w:ascii="Gill Sans MT" w:hAnsi="Gill Sans MT"/>
          <w:lang w:val="en-GB"/>
        </w:rPr>
        <w:t>?</w:t>
      </w:r>
    </w:p>
    <w:p w14:paraId="0969E06F" w14:textId="468DAECD" w:rsidR="00CB079B" w:rsidRPr="00CB079B" w:rsidRDefault="00CB079B" w:rsidP="00CB079B">
      <w:pPr>
        <w:pStyle w:val="ListParagraph"/>
        <w:widowControl w:val="0"/>
        <w:numPr>
          <w:ilvl w:val="0"/>
          <w:numId w:val="18"/>
        </w:numPr>
        <w:autoSpaceDE w:val="0"/>
        <w:autoSpaceDN w:val="0"/>
        <w:adjustRightInd w:val="0"/>
        <w:spacing w:before="120" w:after="120"/>
        <w:ind w:left="357" w:hanging="357"/>
        <w:jc w:val="both"/>
        <w:rPr>
          <w:rFonts w:ascii="Gill Sans MT" w:hAnsi="Gill Sans MT"/>
          <w:lang w:val="en-GB"/>
        </w:rPr>
      </w:pPr>
      <w:r w:rsidRPr="00CB079B">
        <w:rPr>
          <w:rFonts w:ascii="Gill Sans MT" w:hAnsi="Gill Sans MT"/>
          <w:lang w:val="en-GB"/>
        </w:rPr>
        <w:t xml:space="preserve">When and how does the </w:t>
      </w:r>
      <w:r>
        <w:rPr>
          <w:rFonts w:ascii="Gill Sans MT" w:hAnsi="Gill Sans MT"/>
          <w:lang w:val="en-GB"/>
        </w:rPr>
        <w:t xml:space="preserve">Kazakh </w:t>
      </w:r>
      <w:r w:rsidRPr="00CB079B">
        <w:rPr>
          <w:rFonts w:ascii="Gill Sans MT" w:hAnsi="Gill Sans MT"/>
          <w:lang w:val="en-GB"/>
        </w:rPr>
        <w:t xml:space="preserve">State intend to modify </w:t>
      </w:r>
      <w:r>
        <w:rPr>
          <w:rFonts w:ascii="Gill Sans MT" w:hAnsi="Gill Sans MT"/>
          <w:lang w:val="en-GB"/>
        </w:rPr>
        <w:t xml:space="preserve">proposed </w:t>
      </w:r>
      <w:r w:rsidRPr="00CB079B">
        <w:rPr>
          <w:rFonts w:ascii="Gill Sans MT" w:hAnsi="Gill Sans MT"/>
          <w:lang w:val="en-GB"/>
        </w:rPr>
        <w:t>legislation regarding the registration and operation of NGOs in order to relax undue governmental oversight and de facto restrictions, and rather guarantee their freedoms of association and expression?</w:t>
      </w:r>
    </w:p>
    <w:p w14:paraId="64AA2474" w14:textId="0D708248" w:rsidR="00CB079B" w:rsidRPr="00CB079B" w:rsidRDefault="00CB079B" w:rsidP="00CB079B">
      <w:pPr>
        <w:pStyle w:val="ListParagraph"/>
        <w:widowControl w:val="0"/>
        <w:autoSpaceDE w:val="0"/>
        <w:autoSpaceDN w:val="0"/>
        <w:adjustRightInd w:val="0"/>
        <w:spacing w:before="120" w:after="120"/>
        <w:ind w:left="357"/>
        <w:jc w:val="both"/>
        <w:rPr>
          <w:rFonts w:ascii="Gill Sans MT" w:hAnsi="Gill Sans MT"/>
          <w:lang w:val="en-GB"/>
        </w:rPr>
      </w:pPr>
    </w:p>
    <w:p w14:paraId="5F832417" w14:textId="77777777" w:rsidR="007454F7" w:rsidRPr="00671369" w:rsidRDefault="007454F7" w:rsidP="00CB079B">
      <w:pPr>
        <w:shd w:val="clear" w:color="auto" w:fill="FFFFFF"/>
        <w:spacing w:before="120" w:after="120"/>
        <w:contextualSpacing/>
        <w:jc w:val="both"/>
        <w:rPr>
          <w:rFonts w:ascii="Gill Sans MT" w:eastAsia="Times New Roman" w:hAnsi="Gill Sans MT" w:cs="Arial"/>
          <w:color w:val="000000"/>
          <w:lang w:val="en-GB" w:eastAsia="en-AU"/>
        </w:rPr>
      </w:pPr>
    </w:p>
    <w:sectPr w:rsidR="007454F7" w:rsidRPr="00671369" w:rsidSect="00496F07">
      <w:footerReference w:type="default" r:id="rId9"/>
      <w:headerReference w:type="first" r:id="rId10"/>
      <w:endnotePr>
        <w:numFmt w:val="decimal"/>
      </w:endnotePr>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A448" w14:textId="77777777" w:rsidR="00C91661" w:rsidRDefault="00C91661" w:rsidP="00717498">
      <w:pPr>
        <w:spacing w:after="0" w:line="240" w:lineRule="auto"/>
      </w:pPr>
      <w:r>
        <w:separator/>
      </w:r>
    </w:p>
  </w:endnote>
  <w:endnote w:type="continuationSeparator" w:id="0">
    <w:p w14:paraId="00765D70" w14:textId="77777777" w:rsidR="00C91661" w:rsidRDefault="00C91661" w:rsidP="00717498">
      <w:pPr>
        <w:spacing w:after="0" w:line="240" w:lineRule="auto"/>
      </w:pPr>
      <w:r>
        <w:continuationSeparator/>
      </w:r>
    </w:p>
  </w:endnote>
  <w:endnote w:id="1">
    <w:p w14:paraId="0465519A" w14:textId="153D2091" w:rsidR="00CB079B" w:rsidRPr="002B2EFA" w:rsidRDefault="00CB079B" w:rsidP="00F37432">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1" w:history="1">
        <w:r w:rsidRPr="002B2EFA">
          <w:rPr>
            <w:rStyle w:val="Hyperlink"/>
            <w:rFonts w:cs="Times"/>
            <w:sz w:val="18"/>
            <w:szCs w:val="18"/>
            <w:lang w:val="en-US"/>
          </w:rPr>
          <w:t>Meeting of the working group under Consultative-Advisory Body Dialogue Platform on Human Dimension</w:t>
        </w:r>
      </w:hyperlink>
      <w:r w:rsidRPr="002B2EFA">
        <w:rPr>
          <w:rFonts w:cs="Times"/>
          <w:sz w:val="18"/>
          <w:szCs w:val="18"/>
          <w:lang w:val="en-US"/>
        </w:rPr>
        <w:t>, Organization for Security and Co-operation in Europe, November 2014.</w:t>
      </w:r>
    </w:p>
  </w:endnote>
  <w:endnote w:id="2">
    <w:p w14:paraId="3DF82476" w14:textId="699F8B7C" w:rsidR="00CB079B" w:rsidRPr="002B2EFA" w:rsidRDefault="00CB079B" w:rsidP="00F37432">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2" w:history="1">
        <w:r w:rsidRPr="002B2EFA">
          <w:rPr>
            <w:rStyle w:val="Hyperlink"/>
            <w:sz w:val="18"/>
            <w:szCs w:val="18"/>
            <w:lang w:val="en-GB"/>
          </w:rPr>
          <w:t>World Report 2014: Kazakhstan</w:t>
        </w:r>
      </w:hyperlink>
      <w:r w:rsidRPr="002B2EFA">
        <w:rPr>
          <w:sz w:val="18"/>
          <w:szCs w:val="18"/>
          <w:lang w:val="en-GB"/>
        </w:rPr>
        <w:t xml:space="preserve">, Human Rights Watch, January 2014. </w:t>
      </w:r>
    </w:p>
  </w:endnote>
  <w:endnote w:id="3">
    <w:p w14:paraId="739BA073" w14:textId="1A27743E" w:rsidR="00CB079B" w:rsidRPr="002B2EFA" w:rsidRDefault="00CB079B" w:rsidP="00F37432">
      <w:pPr>
        <w:pStyle w:val="EndnoteText"/>
        <w:rPr>
          <w:sz w:val="18"/>
          <w:szCs w:val="18"/>
          <w:lang w:val="en-GB"/>
        </w:rPr>
      </w:pPr>
      <w:r w:rsidRPr="002B2EFA">
        <w:rPr>
          <w:rStyle w:val="EndnoteReference"/>
          <w:sz w:val="18"/>
          <w:szCs w:val="18"/>
        </w:rPr>
        <w:endnoteRef/>
      </w:r>
      <w:r w:rsidRPr="002B2EFA">
        <w:rPr>
          <w:sz w:val="18"/>
          <w:szCs w:val="18"/>
          <w:lang w:val="en-GB"/>
        </w:rPr>
        <w:t xml:space="preserve"> Ibid.</w:t>
      </w:r>
    </w:p>
  </w:endnote>
  <w:endnote w:id="4">
    <w:p w14:paraId="1A08955C" w14:textId="6F4FFE26" w:rsidR="00CB079B" w:rsidRPr="002B2EFA" w:rsidRDefault="00CB079B" w:rsidP="00F37432">
      <w:pPr>
        <w:pStyle w:val="EndnoteText"/>
        <w:rPr>
          <w:sz w:val="18"/>
          <w:szCs w:val="18"/>
          <w:lang w:val="en-GB"/>
        </w:rPr>
      </w:pPr>
      <w:r w:rsidRPr="002B2EFA">
        <w:rPr>
          <w:rStyle w:val="EndnoteReference"/>
          <w:sz w:val="18"/>
          <w:szCs w:val="18"/>
        </w:rPr>
        <w:endnoteRef/>
      </w:r>
      <w:r w:rsidRPr="002B2EFA">
        <w:rPr>
          <w:sz w:val="18"/>
          <w:szCs w:val="18"/>
          <w:lang w:val="en-GB"/>
        </w:rPr>
        <w:t xml:space="preserve"> Ibid.</w:t>
      </w:r>
    </w:p>
  </w:endnote>
  <w:endnote w:id="5">
    <w:p w14:paraId="18ECFE36" w14:textId="72A1CA79" w:rsidR="00CB079B" w:rsidRPr="002B2EFA" w:rsidRDefault="00CB079B" w:rsidP="00F37432">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3" w:history="1">
        <w:r w:rsidRPr="002B2EFA">
          <w:rPr>
            <w:rStyle w:val="Hyperlink"/>
            <w:rFonts w:cs="Times"/>
            <w:sz w:val="18"/>
            <w:szCs w:val="18"/>
            <w:lang w:val="en-GB"/>
          </w:rPr>
          <w:t>Calendar of strikes of the oil industry workers in Western Kazakhstan (Mangistau)</w:t>
        </w:r>
      </w:hyperlink>
      <w:r w:rsidRPr="002B2EFA">
        <w:rPr>
          <w:rFonts w:cs="Times"/>
          <w:color w:val="292929"/>
          <w:sz w:val="18"/>
          <w:szCs w:val="18"/>
          <w:lang w:val="en-GB"/>
        </w:rPr>
        <w:t>, Open Dialogue Foundation</w:t>
      </w:r>
      <w:r w:rsidRPr="002B2EFA">
        <w:rPr>
          <w:rFonts w:cs="Times"/>
          <w:color w:val="292929"/>
          <w:sz w:val="18"/>
          <w:szCs w:val="18"/>
          <w:lang w:val="en-US"/>
        </w:rPr>
        <w:t>.</w:t>
      </w:r>
    </w:p>
  </w:endnote>
  <w:endnote w:id="6">
    <w:p w14:paraId="45B770F5" w14:textId="36F88A27" w:rsidR="00CB079B" w:rsidRPr="002B2EFA" w:rsidRDefault="00CB079B">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4" w:history="1">
        <w:r w:rsidRPr="002B2EFA">
          <w:rPr>
            <w:rStyle w:val="Hyperlink"/>
            <w:sz w:val="18"/>
            <w:szCs w:val="18"/>
            <w:lang w:val="en-GB"/>
          </w:rPr>
          <w:t>The Civicus 2013 Enabling Environment Index</w:t>
        </w:r>
      </w:hyperlink>
      <w:r w:rsidRPr="002B2EFA">
        <w:rPr>
          <w:sz w:val="18"/>
          <w:szCs w:val="18"/>
          <w:lang w:val="en-GB"/>
        </w:rPr>
        <w:t xml:space="preserve">, Civicus, 2013. </w:t>
      </w:r>
    </w:p>
  </w:endnote>
  <w:endnote w:id="7">
    <w:p w14:paraId="4C103DBB" w14:textId="77777777" w:rsidR="00CB079B" w:rsidRPr="002B2EFA" w:rsidRDefault="00CB079B" w:rsidP="005F23BE">
      <w:pPr>
        <w:pStyle w:val="EndnoteText"/>
        <w:rPr>
          <w:sz w:val="18"/>
          <w:szCs w:val="18"/>
          <w:lang w:val="en-GB"/>
        </w:rPr>
      </w:pPr>
      <w:r w:rsidRPr="002B2EFA">
        <w:rPr>
          <w:rStyle w:val="EndnoteReference"/>
          <w:sz w:val="18"/>
          <w:szCs w:val="18"/>
        </w:rPr>
        <w:endnoteRef/>
      </w:r>
      <w:r w:rsidRPr="002B2EFA">
        <w:rPr>
          <w:sz w:val="18"/>
          <w:szCs w:val="18"/>
          <w:lang w:val="en-GB"/>
        </w:rPr>
        <w:t xml:space="preserve"> Addendum, Report of the Special Rapporteur on freedom of religion or belief, 23 Dec 2014, A/HRC/28/66/Add.1 para 51.</w:t>
      </w:r>
    </w:p>
  </w:endnote>
  <w:endnote w:id="8">
    <w:p w14:paraId="7EDADB9E" w14:textId="77777777" w:rsidR="00CB079B" w:rsidRPr="002B2EFA" w:rsidRDefault="00CB079B" w:rsidP="00C853B4">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5" w:history="1">
        <w:r w:rsidRPr="002B2EFA">
          <w:rPr>
            <w:rStyle w:val="Hyperlink"/>
            <w:sz w:val="18"/>
            <w:szCs w:val="18"/>
            <w:lang w:val="en-GB"/>
          </w:rPr>
          <w:t>Concluding observations of the Human Rights Committee - Kazakhstan</w:t>
        </w:r>
      </w:hyperlink>
      <w:r w:rsidRPr="002B2EFA">
        <w:rPr>
          <w:sz w:val="18"/>
          <w:szCs w:val="18"/>
          <w:lang w:val="en-GB"/>
        </w:rPr>
        <w:t>, HRC, CCPR/C/KAZ/CO/1, para 7.</w:t>
      </w:r>
    </w:p>
  </w:endnote>
  <w:endnote w:id="9">
    <w:p w14:paraId="65D5CFAE" w14:textId="77777777" w:rsidR="00CB079B" w:rsidRPr="002B2EFA" w:rsidRDefault="00CB079B" w:rsidP="00EE7692">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6" w:history="1">
        <w:r w:rsidRPr="002B2EFA">
          <w:rPr>
            <w:rStyle w:val="Hyperlink"/>
            <w:rFonts w:cs="Times"/>
            <w:sz w:val="18"/>
            <w:szCs w:val="18"/>
            <w:lang w:val="en-US"/>
          </w:rPr>
          <w:t>Kazakhstan and human rights</w:t>
        </w:r>
      </w:hyperlink>
      <w:r w:rsidRPr="002B2EFA">
        <w:rPr>
          <w:rFonts w:cs="Times"/>
          <w:color w:val="262626"/>
          <w:sz w:val="18"/>
          <w:szCs w:val="18"/>
          <w:lang w:val="en-US"/>
        </w:rPr>
        <w:t>, The Guardian, December 2013</w:t>
      </w:r>
      <w:r w:rsidRPr="002B2EFA">
        <w:rPr>
          <w:sz w:val="18"/>
          <w:szCs w:val="18"/>
        </w:rPr>
        <w:t xml:space="preserve">; </w:t>
      </w:r>
      <w:hyperlink r:id="rId7" w:history="1">
        <w:r w:rsidRPr="002B2EFA">
          <w:rPr>
            <w:rStyle w:val="Hyperlink"/>
            <w:rFonts w:eastAsiaTheme="minorEastAsia" w:cs="Times"/>
            <w:sz w:val="18"/>
            <w:szCs w:val="18"/>
            <w:lang w:val="en-US"/>
          </w:rPr>
          <w:t>A Few Truths About Kazakhstan</w:t>
        </w:r>
      </w:hyperlink>
      <w:r w:rsidRPr="002B2EFA">
        <w:rPr>
          <w:rFonts w:eastAsiaTheme="minorEastAsia" w:cs="Times"/>
          <w:color w:val="262626"/>
          <w:sz w:val="18"/>
          <w:szCs w:val="18"/>
          <w:lang w:val="en-US"/>
        </w:rPr>
        <w:t xml:space="preserve">, </w:t>
      </w:r>
      <w:r w:rsidRPr="002B2EFA">
        <w:rPr>
          <w:sz w:val="18"/>
          <w:szCs w:val="18"/>
        </w:rPr>
        <w:t>The Wall Street Journal</w:t>
      </w:r>
      <w:r w:rsidRPr="002B2EFA">
        <w:rPr>
          <w:i/>
          <w:sz w:val="18"/>
          <w:szCs w:val="18"/>
        </w:rPr>
        <w:t>, October 2014.</w:t>
      </w:r>
    </w:p>
  </w:endnote>
  <w:endnote w:id="10">
    <w:p w14:paraId="6D4DF160" w14:textId="77777777" w:rsidR="00CB079B" w:rsidRPr="002B2EFA" w:rsidRDefault="00CB079B" w:rsidP="00EE7692">
      <w:pPr>
        <w:pStyle w:val="EndnoteText"/>
        <w:rPr>
          <w:color w:val="0000FF" w:themeColor="hyperlink"/>
          <w:sz w:val="18"/>
          <w:szCs w:val="18"/>
          <w:u w:val="single"/>
          <w:lang w:val="en-GB"/>
        </w:rPr>
      </w:pPr>
      <w:r w:rsidRPr="002B2EFA">
        <w:rPr>
          <w:rStyle w:val="EndnoteReference"/>
          <w:sz w:val="18"/>
          <w:szCs w:val="18"/>
        </w:rPr>
        <w:endnoteRef/>
      </w:r>
      <w:r w:rsidRPr="002B2EFA">
        <w:rPr>
          <w:sz w:val="18"/>
          <w:szCs w:val="18"/>
          <w:lang w:val="en-GB"/>
        </w:rPr>
        <w:t xml:space="preserve"> </w:t>
      </w:r>
      <w:hyperlink r:id="rId8" w:history="1">
        <w:r w:rsidRPr="002B2EFA">
          <w:rPr>
            <w:rStyle w:val="Hyperlink"/>
            <w:rFonts w:cs="Helvetica"/>
            <w:bCs/>
            <w:sz w:val="18"/>
            <w:szCs w:val="18"/>
            <w:lang w:val="en-US"/>
          </w:rPr>
          <w:t>Kazakhstan opposition leader jailed</w:t>
        </w:r>
      </w:hyperlink>
      <w:r w:rsidRPr="002B2EFA">
        <w:rPr>
          <w:rFonts w:cs="Helvetica"/>
          <w:bCs/>
          <w:color w:val="171717"/>
          <w:sz w:val="18"/>
          <w:szCs w:val="18"/>
          <w:lang w:val="en-US"/>
        </w:rPr>
        <w:t xml:space="preserve">, BBC NEWS, October 2012; </w:t>
      </w:r>
      <w:hyperlink r:id="rId9" w:history="1">
        <w:r w:rsidRPr="002B2EFA">
          <w:rPr>
            <w:rStyle w:val="Hyperlink"/>
            <w:rFonts w:cs="Arial"/>
            <w:sz w:val="18"/>
            <w:szCs w:val="18"/>
            <w:lang w:val="en-US"/>
          </w:rPr>
          <w:t>UN Envoy Slams Kazakhstan’s Curbs on Free Assembly, EURASIANET</w:t>
        </w:r>
      </w:hyperlink>
      <w:r w:rsidRPr="002B2EFA">
        <w:rPr>
          <w:rFonts w:cs="Arial"/>
          <w:sz w:val="18"/>
          <w:szCs w:val="18"/>
          <w:lang w:val="en-US"/>
        </w:rPr>
        <w:t>, January 2015.</w:t>
      </w:r>
    </w:p>
  </w:endnote>
  <w:endnote w:id="11">
    <w:p w14:paraId="6231DA7F" w14:textId="77777777" w:rsidR="00CB079B" w:rsidRPr="002B2EFA" w:rsidRDefault="00CB079B" w:rsidP="00EE7692">
      <w:pPr>
        <w:pStyle w:val="EndnoteText"/>
        <w:rPr>
          <w:sz w:val="18"/>
          <w:szCs w:val="18"/>
          <w:lang w:val="en-GB"/>
        </w:rPr>
      </w:pPr>
      <w:r w:rsidRPr="002B2EFA">
        <w:rPr>
          <w:rStyle w:val="EndnoteReference"/>
          <w:sz w:val="18"/>
          <w:szCs w:val="18"/>
        </w:rPr>
        <w:endnoteRef/>
      </w:r>
      <w:r w:rsidRPr="002B2EFA">
        <w:rPr>
          <w:sz w:val="18"/>
          <w:szCs w:val="18"/>
          <w:lang w:val="en-GB"/>
        </w:rPr>
        <w:t xml:space="preserve"> Trial Observation Report:</w:t>
      </w:r>
      <w:r w:rsidRPr="002B2EFA">
        <w:rPr>
          <w:i/>
          <w:sz w:val="18"/>
          <w:szCs w:val="18"/>
          <w:lang w:val="en-GB"/>
        </w:rPr>
        <w:t xml:space="preserve"> The Republic of Kazakhstan v. Vladimir Kozlov, Seryck Sapargali and Akzhanat Aminov</w:t>
      </w:r>
      <w:r w:rsidRPr="002B2EFA">
        <w:rPr>
          <w:sz w:val="18"/>
          <w:szCs w:val="18"/>
          <w:lang w:val="en-GB"/>
        </w:rPr>
        <w:t>,  Solicitors International Human Rights Group, November 2012, page 61.</w:t>
      </w:r>
    </w:p>
  </w:endnote>
  <w:endnote w:id="12">
    <w:p w14:paraId="41008FF0" w14:textId="77777777" w:rsidR="00CB079B" w:rsidRPr="002B2EFA" w:rsidRDefault="00CB079B" w:rsidP="00EE7692">
      <w:pPr>
        <w:widowControl w:val="0"/>
        <w:autoSpaceDE w:val="0"/>
        <w:autoSpaceDN w:val="0"/>
        <w:adjustRightInd w:val="0"/>
        <w:spacing w:after="0" w:line="240" w:lineRule="auto"/>
        <w:rPr>
          <w:rFonts w:eastAsiaTheme="minorEastAsia" w:cs="Arial"/>
          <w:bCs/>
          <w:sz w:val="18"/>
          <w:szCs w:val="18"/>
          <w:lang w:val="en-US"/>
        </w:rPr>
      </w:pPr>
      <w:r w:rsidRPr="002B2EFA">
        <w:rPr>
          <w:rStyle w:val="EndnoteReference"/>
          <w:sz w:val="18"/>
          <w:szCs w:val="18"/>
        </w:rPr>
        <w:endnoteRef/>
      </w:r>
      <w:r w:rsidRPr="002B2EFA">
        <w:rPr>
          <w:sz w:val="18"/>
          <w:szCs w:val="18"/>
        </w:rPr>
        <w:t xml:space="preserve"> </w:t>
      </w:r>
      <w:hyperlink r:id="rId10" w:history="1">
        <w:r w:rsidRPr="002B2EFA">
          <w:rPr>
            <w:rStyle w:val="Hyperlink"/>
            <w:rFonts w:eastAsiaTheme="minorEastAsia" w:cs="Arial"/>
            <w:bCs/>
            <w:sz w:val="18"/>
            <w:szCs w:val="18"/>
            <w:lang w:val="en-US"/>
          </w:rPr>
          <w:t>European Parliament resolution of 18 April 2013 on the human rights situation in Kazakhstan</w:t>
        </w:r>
      </w:hyperlink>
      <w:r w:rsidRPr="002B2EFA">
        <w:rPr>
          <w:rFonts w:eastAsiaTheme="minorEastAsia" w:cs="Arial"/>
          <w:bCs/>
          <w:color w:val="5363A5"/>
          <w:sz w:val="18"/>
          <w:szCs w:val="18"/>
          <w:lang w:val="en-US"/>
        </w:rPr>
        <w:t xml:space="preserve"> </w:t>
      </w:r>
      <w:r w:rsidRPr="002B2EFA">
        <w:rPr>
          <w:rFonts w:eastAsiaTheme="minorEastAsia" w:cs="Arial"/>
          <w:bCs/>
          <w:sz w:val="18"/>
          <w:szCs w:val="18"/>
          <w:lang w:val="en-US"/>
        </w:rPr>
        <w:t>(</w:t>
      </w:r>
      <w:hyperlink r:id="rId11" w:history="1">
        <w:r w:rsidRPr="002B2EFA">
          <w:rPr>
            <w:rFonts w:eastAsiaTheme="minorEastAsia" w:cs="Arial"/>
            <w:bCs/>
            <w:sz w:val="18"/>
            <w:szCs w:val="18"/>
            <w:lang w:val="en-US"/>
          </w:rPr>
          <w:t>2013/2600(RSP)</w:t>
        </w:r>
      </w:hyperlink>
      <w:r w:rsidRPr="002B2EFA">
        <w:rPr>
          <w:rFonts w:eastAsiaTheme="minorEastAsia" w:cs="Arial"/>
          <w:bCs/>
          <w:sz w:val="18"/>
          <w:szCs w:val="18"/>
          <w:lang w:val="en-US"/>
        </w:rPr>
        <w:t>), European Parliament, para. 6, April 2013.</w:t>
      </w:r>
    </w:p>
  </w:endnote>
  <w:endnote w:id="13">
    <w:p w14:paraId="19D2543A" w14:textId="77777777" w:rsidR="00CB079B" w:rsidRPr="002B2EFA" w:rsidRDefault="00CB079B" w:rsidP="00CF479F">
      <w:pPr>
        <w:spacing w:after="0" w:line="240" w:lineRule="auto"/>
        <w:rPr>
          <w:rFonts w:ascii="Times" w:hAnsi="Times" w:cs="Times"/>
          <w:sz w:val="18"/>
          <w:szCs w:val="18"/>
          <w:lang w:val="en-US"/>
        </w:rPr>
      </w:pPr>
      <w:r w:rsidRPr="002B2EFA">
        <w:rPr>
          <w:rStyle w:val="EndnoteReference"/>
          <w:sz w:val="18"/>
          <w:szCs w:val="18"/>
        </w:rPr>
        <w:endnoteRef/>
      </w:r>
      <w:r w:rsidRPr="002B2EFA">
        <w:rPr>
          <w:sz w:val="18"/>
          <w:szCs w:val="18"/>
        </w:rPr>
        <w:t xml:space="preserve"> </w:t>
      </w:r>
      <w:hyperlink r:id="rId12" w:history="1">
        <w:r w:rsidRPr="002B2EFA">
          <w:rPr>
            <w:rStyle w:val="Hyperlink"/>
            <w:rFonts w:cs="Helvetica Neue"/>
            <w:iCs/>
            <w:sz w:val="18"/>
            <w:szCs w:val="18"/>
            <w:lang w:val="en-US"/>
          </w:rPr>
          <w:t>CCPR General Comment No. 34</w:t>
        </w:r>
      </w:hyperlink>
      <w:r w:rsidRPr="002B2EFA">
        <w:rPr>
          <w:rFonts w:cs="Helvetica Neue"/>
          <w:iCs/>
          <w:color w:val="303030"/>
          <w:sz w:val="18"/>
          <w:szCs w:val="18"/>
          <w:lang w:val="en-US"/>
        </w:rPr>
        <w:t xml:space="preserve">, UN Human Rights Committee (HRC), </w:t>
      </w:r>
      <w:r w:rsidRPr="002B2EFA">
        <w:rPr>
          <w:sz w:val="18"/>
          <w:szCs w:val="18"/>
          <w:lang w:val="en-GB"/>
        </w:rPr>
        <w:t>CCPR/C/GC/34, para.</w:t>
      </w:r>
      <w:r w:rsidRPr="002B2EFA">
        <w:rPr>
          <w:sz w:val="18"/>
          <w:szCs w:val="18"/>
        </w:rPr>
        <w:t xml:space="preserve"> 39, July 2011.</w:t>
      </w:r>
    </w:p>
  </w:endnote>
  <w:endnote w:id="14">
    <w:p w14:paraId="34F5FC7A" w14:textId="77777777" w:rsidR="00CB079B" w:rsidRPr="002B2EFA" w:rsidRDefault="00CB079B" w:rsidP="00CF479F">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13" w:history="1">
        <w:r w:rsidRPr="002B2EFA">
          <w:rPr>
            <w:rStyle w:val="Hyperlink"/>
            <w:rFonts w:cs="Times"/>
            <w:sz w:val="18"/>
            <w:szCs w:val="18"/>
            <w:lang w:val="en-US"/>
          </w:rPr>
          <w:t>New criminal defamation cases against journalists in Kazakhstan threat to media freedom, says OSCE representative</w:t>
        </w:r>
      </w:hyperlink>
      <w:r w:rsidRPr="002B2EFA">
        <w:rPr>
          <w:rFonts w:cs="Times"/>
          <w:sz w:val="18"/>
          <w:szCs w:val="18"/>
          <w:lang w:val="en-US"/>
        </w:rPr>
        <w:t xml:space="preserve">, </w:t>
      </w:r>
      <w:r w:rsidRPr="002B2EFA">
        <w:rPr>
          <w:sz w:val="18"/>
          <w:szCs w:val="18"/>
        </w:rPr>
        <w:t>OSCE RFoM, June 2014.</w:t>
      </w:r>
    </w:p>
  </w:endnote>
  <w:endnote w:id="15">
    <w:p w14:paraId="5BE3B221" w14:textId="77777777" w:rsidR="00CB079B" w:rsidRPr="002B2EFA" w:rsidRDefault="00CB079B" w:rsidP="00CF479F">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14" w:history="1">
        <w:r w:rsidRPr="002B2EFA">
          <w:rPr>
            <w:rStyle w:val="Hyperlink"/>
            <w:bCs/>
            <w:sz w:val="18"/>
            <w:szCs w:val="18"/>
            <w:lang w:val="en-GB"/>
          </w:rPr>
          <w:t>ELECTION OBSERVATION MISSION</w:t>
        </w:r>
      </w:hyperlink>
      <w:r w:rsidRPr="002B2EFA">
        <w:rPr>
          <w:bCs/>
          <w:sz w:val="18"/>
          <w:szCs w:val="18"/>
          <w:lang w:val="en-GB"/>
        </w:rPr>
        <w:t>: Republic of Kazakhstan - Early Presidential Election, OSCE, page 10, 26 April 2015</w:t>
      </w:r>
      <w:r w:rsidRPr="002B2EFA">
        <w:rPr>
          <w:sz w:val="18"/>
          <w:szCs w:val="18"/>
          <w:lang w:val="en-GB"/>
        </w:rPr>
        <w:t>.</w:t>
      </w:r>
    </w:p>
  </w:endnote>
  <w:endnote w:id="16">
    <w:p w14:paraId="13FB5F9C" w14:textId="77777777" w:rsidR="00CB079B" w:rsidRPr="002B2EFA" w:rsidRDefault="00CB079B" w:rsidP="00E4123F">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15" w:history="1">
        <w:r w:rsidRPr="002B2EFA">
          <w:rPr>
            <w:rStyle w:val="Hyperlink"/>
            <w:sz w:val="18"/>
            <w:szCs w:val="18"/>
            <w:lang w:val="en-GB"/>
          </w:rPr>
          <w:t>Kazakhstan newspaper: Publish or be damned</w:t>
        </w:r>
      </w:hyperlink>
      <w:r w:rsidRPr="002B2EFA">
        <w:rPr>
          <w:sz w:val="18"/>
          <w:szCs w:val="18"/>
          <w:lang w:val="en-GB"/>
        </w:rPr>
        <w:t>, 2015.</w:t>
      </w:r>
    </w:p>
  </w:endnote>
  <w:endnote w:id="17">
    <w:p w14:paraId="2D8F91AE" w14:textId="77777777" w:rsidR="00CB079B" w:rsidRPr="002B2EFA" w:rsidRDefault="00CB079B" w:rsidP="00E4123F">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16" w:history="1">
        <w:r w:rsidRPr="002B2EFA">
          <w:rPr>
            <w:rStyle w:val="Hyperlink"/>
            <w:rFonts w:cs="Times"/>
            <w:sz w:val="18"/>
            <w:szCs w:val="18"/>
            <w:lang w:val="en-US"/>
          </w:rPr>
          <w:t>Kazakhstan: Journal Loses Shutdown Appeal</w:t>
        </w:r>
      </w:hyperlink>
      <w:r w:rsidRPr="002B2EFA">
        <w:rPr>
          <w:rFonts w:cs="Times"/>
          <w:color w:val="343434"/>
          <w:sz w:val="18"/>
          <w:szCs w:val="18"/>
          <w:lang w:val="en-US"/>
        </w:rPr>
        <w:t>, Human Rights Watch, February 2015.</w:t>
      </w:r>
    </w:p>
  </w:endnote>
  <w:endnote w:id="18">
    <w:p w14:paraId="77D487EA" w14:textId="77777777" w:rsidR="00CB079B" w:rsidRPr="002B2EFA" w:rsidRDefault="00CB079B" w:rsidP="00E4123F">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17" w:history="1">
        <w:r w:rsidRPr="002B2EFA">
          <w:rPr>
            <w:rStyle w:val="Hyperlink"/>
            <w:sz w:val="18"/>
            <w:szCs w:val="18"/>
            <w:lang w:val="en-GB"/>
          </w:rPr>
          <w:t>Kazakhstan newspaper: Publish or be damned</w:t>
        </w:r>
      </w:hyperlink>
      <w:r w:rsidRPr="002B2EFA">
        <w:rPr>
          <w:sz w:val="18"/>
          <w:szCs w:val="18"/>
          <w:lang w:val="en-GB"/>
        </w:rPr>
        <w:t>, Bureau.kz, 2015.</w:t>
      </w:r>
    </w:p>
  </w:endnote>
  <w:endnote w:id="19">
    <w:p w14:paraId="43A14553" w14:textId="77777777" w:rsidR="00CB079B" w:rsidRPr="002B2EFA" w:rsidRDefault="00CB079B" w:rsidP="00E4123F">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18" w:history="1">
        <w:r w:rsidRPr="002B2EFA">
          <w:rPr>
            <w:rStyle w:val="Hyperlink"/>
            <w:rFonts w:eastAsiaTheme="minorEastAsia" w:cs="Times"/>
            <w:sz w:val="18"/>
            <w:szCs w:val="18"/>
            <w:lang w:val="en-US"/>
          </w:rPr>
          <w:t>Shutdown of independent magazine in Kazakhstan further endangers media pluralism</w:t>
        </w:r>
      </w:hyperlink>
      <w:r w:rsidRPr="002B2EFA">
        <w:rPr>
          <w:rFonts w:eastAsiaTheme="minorEastAsia" w:cs="Times"/>
          <w:sz w:val="18"/>
          <w:szCs w:val="18"/>
          <w:lang w:val="en-US"/>
        </w:rPr>
        <w:t xml:space="preserve">, says OSCE Representative, OSCE, November 2014. </w:t>
      </w:r>
      <w:hyperlink r:id="rId19" w:history="1">
        <w:r w:rsidRPr="002B2EFA">
          <w:rPr>
            <w:rStyle w:val="Hyperlink"/>
            <w:rFonts w:cs="Times"/>
            <w:sz w:val="18"/>
            <w:szCs w:val="18"/>
            <w:lang w:val="en-US"/>
          </w:rPr>
          <w:t>Kazakhstan: Newspaper Closing a Blow to Free Speech</w:t>
        </w:r>
      </w:hyperlink>
      <w:r w:rsidRPr="002B2EFA">
        <w:rPr>
          <w:rFonts w:cs="Times"/>
          <w:color w:val="343434"/>
          <w:sz w:val="18"/>
          <w:szCs w:val="18"/>
          <w:lang w:val="en-US"/>
        </w:rPr>
        <w:t>, Human Rights Watch, April 2014.</w:t>
      </w:r>
      <w:r w:rsidRPr="002B2EFA">
        <w:rPr>
          <w:sz w:val="18"/>
          <w:szCs w:val="18"/>
          <w:lang w:val="en-GB"/>
        </w:rPr>
        <w:t xml:space="preserve"> </w:t>
      </w:r>
    </w:p>
  </w:endnote>
  <w:endnote w:id="20">
    <w:p w14:paraId="5F5F2D5A" w14:textId="77777777" w:rsidR="00CB079B" w:rsidRPr="002B2EFA" w:rsidRDefault="00CB079B" w:rsidP="00093C1F">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20" w:history="1">
        <w:r w:rsidRPr="002B2EFA">
          <w:rPr>
            <w:rStyle w:val="Hyperlink"/>
            <w:rFonts w:cs="Times"/>
            <w:sz w:val="18"/>
            <w:szCs w:val="18"/>
            <w:lang w:val="en-US"/>
          </w:rPr>
          <w:t>Kazakstan: "Gay Propaganda" Ban for Internet</w:t>
        </w:r>
      </w:hyperlink>
      <w:r w:rsidRPr="002B2EFA">
        <w:rPr>
          <w:rFonts w:cs="Times"/>
          <w:color w:val="1A1A1A"/>
          <w:sz w:val="18"/>
          <w:szCs w:val="18"/>
          <w:lang w:val="en-US"/>
        </w:rPr>
        <w:t>, Institute for War &amp; Peace Reporting, March 2015</w:t>
      </w:r>
      <w:r w:rsidRPr="002B2EFA">
        <w:rPr>
          <w:sz w:val="18"/>
          <w:szCs w:val="18"/>
          <w:lang w:val="en-GB"/>
        </w:rPr>
        <w:t xml:space="preserve">; </w:t>
      </w:r>
      <w:hyperlink r:id="rId21" w:anchor=".VUOWYZP4aMo" w:history="1">
        <w:r w:rsidRPr="002B2EFA">
          <w:rPr>
            <w:rStyle w:val="Hyperlink"/>
            <w:rFonts w:eastAsiaTheme="minorEastAsia" w:cs="Times"/>
            <w:sz w:val="18"/>
            <w:szCs w:val="18"/>
            <w:lang w:val="en-US"/>
          </w:rPr>
          <w:t>Kazakhstan: New Restrictions on Freedom of Expression, LGBTI Rights</w:t>
        </w:r>
      </w:hyperlink>
      <w:r w:rsidRPr="002B2EFA">
        <w:rPr>
          <w:rFonts w:eastAsiaTheme="minorEastAsia" w:cs="Times"/>
          <w:color w:val="262626"/>
          <w:sz w:val="18"/>
          <w:szCs w:val="18"/>
          <w:lang w:val="en-US"/>
        </w:rPr>
        <w:t>, Freedom House</w:t>
      </w:r>
      <w:r w:rsidRPr="002B2EFA">
        <w:rPr>
          <w:sz w:val="18"/>
          <w:szCs w:val="18"/>
          <w:lang w:val="en-GB"/>
        </w:rPr>
        <w:t>, February 2015.</w:t>
      </w:r>
    </w:p>
  </w:endnote>
  <w:endnote w:id="21">
    <w:p w14:paraId="21F9B356" w14:textId="77777777" w:rsidR="00CB079B" w:rsidRPr="002B2EFA" w:rsidRDefault="00CB079B" w:rsidP="00093C1F">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22" w:history="1">
        <w:r w:rsidRPr="002B2EFA">
          <w:rPr>
            <w:rStyle w:val="Hyperlink"/>
            <w:rFonts w:cs="Times"/>
            <w:sz w:val="18"/>
            <w:szCs w:val="18"/>
            <w:lang w:val="en-US"/>
          </w:rPr>
          <w:t>Proposed legal amendments in Kazakhstan threat to media freedom</w:t>
        </w:r>
      </w:hyperlink>
      <w:r w:rsidRPr="002B2EFA">
        <w:rPr>
          <w:rFonts w:cs="Times"/>
          <w:sz w:val="18"/>
          <w:szCs w:val="18"/>
          <w:lang w:val="en-US"/>
        </w:rPr>
        <w:t>, says OSCE representative, OSCE, April 2014</w:t>
      </w:r>
      <w:r w:rsidRPr="002B2EFA">
        <w:rPr>
          <w:sz w:val="18"/>
          <w:szCs w:val="18"/>
        </w:rPr>
        <w:t xml:space="preserve">; </w:t>
      </w:r>
      <w:hyperlink r:id="rId23" w:history="1">
        <w:r w:rsidRPr="002B2EFA">
          <w:rPr>
            <w:rStyle w:val="Hyperlink"/>
            <w:rFonts w:cs="Palatino Linotype"/>
            <w:bCs/>
            <w:sz w:val="18"/>
            <w:szCs w:val="18"/>
            <w:lang w:val="en-US"/>
          </w:rPr>
          <w:t>Kazakhstan New Law Allows Government to Block Internet Sites</w:t>
        </w:r>
      </w:hyperlink>
      <w:r w:rsidRPr="002B2EFA">
        <w:rPr>
          <w:rFonts w:cs="Palatino Linotype"/>
          <w:bCs/>
          <w:color w:val="343434"/>
          <w:sz w:val="18"/>
          <w:szCs w:val="18"/>
          <w:lang w:val="en-US"/>
        </w:rPr>
        <w:t>, Internet or Cell Phones Without Warrant, Liberty Voice, April 2014.</w:t>
      </w:r>
      <w:r w:rsidRPr="002B2EFA">
        <w:rPr>
          <w:sz w:val="18"/>
          <w:szCs w:val="18"/>
        </w:rPr>
        <w:t xml:space="preserve"> </w:t>
      </w:r>
      <w:hyperlink r:id="rId24" w:history="1">
        <w:r w:rsidRPr="002B2EFA">
          <w:rPr>
            <w:rStyle w:val="Hyperlink"/>
            <w:rFonts w:cs="Georgia"/>
            <w:bCs/>
            <w:sz w:val="18"/>
            <w:szCs w:val="18"/>
            <w:lang w:val="en-US"/>
          </w:rPr>
          <w:t>Kazakh Leader Signs Law Curbing Internet</w:t>
        </w:r>
      </w:hyperlink>
      <w:r w:rsidRPr="002B2EFA">
        <w:rPr>
          <w:rFonts w:cs="Georgia"/>
          <w:bCs/>
          <w:sz w:val="18"/>
          <w:szCs w:val="18"/>
          <w:lang w:val="en-US"/>
        </w:rPr>
        <w:t>, Radio Free Europe – Radio Liberty, 2009.</w:t>
      </w:r>
    </w:p>
  </w:endnote>
  <w:endnote w:id="22">
    <w:p w14:paraId="2FC298A8" w14:textId="77777777" w:rsidR="00CB079B" w:rsidRPr="002B2EFA" w:rsidRDefault="00CB079B" w:rsidP="00A53C9E">
      <w:pPr>
        <w:spacing w:after="0" w:line="240" w:lineRule="auto"/>
        <w:rPr>
          <w:bCs/>
          <w:sz w:val="18"/>
          <w:szCs w:val="18"/>
        </w:rPr>
      </w:pPr>
      <w:r w:rsidRPr="002B2EFA">
        <w:rPr>
          <w:rStyle w:val="EndnoteReference"/>
          <w:sz w:val="18"/>
          <w:szCs w:val="18"/>
        </w:rPr>
        <w:endnoteRef/>
      </w:r>
      <w:r w:rsidRPr="002B2EFA">
        <w:rPr>
          <w:sz w:val="18"/>
          <w:szCs w:val="18"/>
          <w:lang w:val="en-GB"/>
        </w:rPr>
        <w:t xml:space="preserve"> </w:t>
      </w:r>
      <w:hyperlink r:id="rId25" w:history="1">
        <w:r w:rsidRPr="002B2EFA">
          <w:rPr>
            <w:rStyle w:val="Hyperlink"/>
            <w:bCs/>
            <w:sz w:val="18"/>
            <w:szCs w:val="18"/>
          </w:rPr>
          <w:t>ELECTION OBSERVATION MISSION</w:t>
        </w:r>
      </w:hyperlink>
      <w:r w:rsidRPr="002B2EFA">
        <w:rPr>
          <w:bCs/>
          <w:sz w:val="18"/>
          <w:szCs w:val="18"/>
        </w:rPr>
        <w:t>: Republic of Kazakhstan - Early Presidential Election, OSCE</w:t>
      </w:r>
      <w:r w:rsidRPr="002B2EFA">
        <w:rPr>
          <w:sz w:val="18"/>
          <w:szCs w:val="18"/>
          <w:lang w:val="en-GB"/>
        </w:rPr>
        <w:t>, page 9</w:t>
      </w:r>
      <w:r w:rsidRPr="002B2EFA">
        <w:rPr>
          <w:bCs/>
          <w:sz w:val="18"/>
          <w:szCs w:val="18"/>
        </w:rPr>
        <w:t>, 26 April 2015</w:t>
      </w:r>
      <w:r w:rsidRPr="002B2EFA">
        <w:rPr>
          <w:sz w:val="18"/>
          <w:szCs w:val="18"/>
          <w:lang w:val="en-GB"/>
        </w:rPr>
        <w:t>.</w:t>
      </w:r>
    </w:p>
  </w:endnote>
  <w:endnote w:id="23">
    <w:p w14:paraId="10A00AC5" w14:textId="0D3A6592" w:rsidR="00CB079B" w:rsidRPr="002B2EFA" w:rsidRDefault="00CB079B" w:rsidP="00C853B4">
      <w:pPr>
        <w:spacing w:after="0" w:line="240" w:lineRule="auto"/>
        <w:rPr>
          <w:sz w:val="18"/>
          <w:szCs w:val="18"/>
        </w:rPr>
      </w:pPr>
      <w:r w:rsidRPr="002B2EFA">
        <w:rPr>
          <w:rStyle w:val="EndnoteReference"/>
          <w:sz w:val="18"/>
          <w:szCs w:val="18"/>
        </w:rPr>
        <w:endnoteRef/>
      </w:r>
      <w:r w:rsidRPr="002B2EFA">
        <w:rPr>
          <w:sz w:val="18"/>
          <w:szCs w:val="18"/>
          <w:lang w:val="en-GB"/>
        </w:rPr>
        <w:t xml:space="preserve"> </w:t>
      </w:r>
      <w:hyperlink r:id="rId26" w:history="1">
        <w:r w:rsidRPr="002B2EFA">
          <w:rPr>
            <w:sz w:val="18"/>
            <w:szCs w:val="18"/>
          </w:rPr>
          <w:t>CCPR Consideratio</w:t>
        </w:r>
        <w:r w:rsidR="002B2EFA" w:rsidRPr="002B2EFA">
          <w:rPr>
            <w:sz w:val="18"/>
            <w:szCs w:val="18"/>
          </w:rPr>
          <w:t>n of reports submitted by State</w:t>
        </w:r>
        <w:r w:rsidRPr="002B2EFA">
          <w:rPr>
            <w:sz w:val="18"/>
            <w:szCs w:val="18"/>
          </w:rPr>
          <w:t xml:space="preserve"> parties under article 40 of the Covenant </w:t>
        </w:r>
        <w:r w:rsidRPr="002B2EFA">
          <w:rPr>
            <w:rFonts w:hint="eastAsia"/>
            <w:sz w:val="18"/>
            <w:szCs w:val="18"/>
          </w:rPr>
          <w:t>–</w:t>
        </w:r>
        <w:r w:rsidRPr="002B2EFA">
          <w:rPr>
            <w:sz w:val="18"/>
            <w:szCs w:val="18"/>
          </w:rPr>
          <w:t xml:space="preserve"> Kazakhstan</w:t>
        </w:r>
      </w:hyperlink>
      <w:r w:rsidRPr="002B2EFA">
        <w:rPr>
          <w:sz w:val="18"/>
          <w:szCs w:val="18"/>
        </w:rPr>
        <w:t>, Human Rights Committee, CCPR/C/KAZ/2, para. 140, December 2014. Such laws would include resolution A/HRC/RES/22/6 on protecting the freedoms of civil society and human rights defenders while combating terrorism, as well as A/HRC/RES/27/31,</w:t>
      </w:r>
      <w:r w:rsidRPr="002B2EFA">
        <w:rPr>
          <w:sz w:val="18"/>
          <w:szCs w:val="18"/>
          <w:lang w:val="en-GB"/>
        </w:rPr>
        <w:t xml:space="preserve"> para 255.</w:t>
      </w:r>
    </w:p>
  </w:endnote>
  <w:endnote w:id="24">
    <w:p w14:paraId="0CF0A4A7" w14:textId="1A3120D7" w:rsidR="00CB079B" w:rsidRPr="002B2EFA" w:rsidRDefault="00CB079B">
      <w:pPr>
        <w:pStyle w:val="EndnoteText"/>
        <w:rPr>
          <w:sz w:val="18"/>
          <w:szCs w:val="18"/>
          <w:lang w:val="en-GB"/>
        </w:rPr>
      </w:pPr>
      <w:r w:rsidRPr="002B2EFA">
        <w:rPr>
          <w:rStyle w:val="EndnoteReference"/>
          <w:sz w:val="18"/>
          <w:szCs w:val="18"/>
        </w:rPr>
        <w:endnoteRef/>
      </w:r>
      <w:r w:rsidRPr="002B2EFA">
        <w:rPr>
          <w:sz w:val="18"/>
          <w:szCs w:val="18"/>
          <w:lang w:val="en-GB"/>
        </w:rPr>
        <w:t xml:space="preserve"> Article </w:t>
      </w:r>
      <w:r w:rsidRPr="002B2EFA">
        <w:rPr>
          <w:rFonts w:ascii="Gill Sans MT" w:hAnsi="Gill Sans MT"/>
          <w:sz w:val="18"/>
          <w:szCs w:val="18"/>
          <w:lang w:val="en-GB"/>
        </w:rPr>
        <w:t xml:space="preserve">130, Criminal Code. </w:t>
      </w:r>
    </w:p>
  </w:endnote>
  <w:endnote w:id="25">
    <w:p w14:paraId="0CEBFFA4" w14:textId="77777777" w:rsidR="00CB079B" w:rsidRPr="002B2EFA" w:rsidRDefault="00CB079B" w:rsidP="00BA5E16">
      <w:pPr>
        <w:pStyle w:val="NormalWeb"/>
        <w:spacing w:before="0" w:beforeAutospacing="0" w:after="0" w:afterAutospacing="0"/>
        <w:rPr>
          <w:rFonts w:ascii="Calibri" w:hAnsi="Calibri"/>
          <w:sz w:val="18"/>
          <w:szCs w:val="18"/>
        </w:rPr>
      </w:pPr>
      <w:r w:rsidRPr="002B2EFA">
        <w:rPr>
          <w:rStyle w:val="EndnoteReference"/>
          <w:rFonts w:ascii="Calibri" w:hAnsi="Calibri"/>
          <w:sz w:val="18"/>
          <w:szCs w:val="18"/>
        </w:rPr>
        <w:endnoteRef/>
      </w:r>
      <w:r w:rsidRPr="002B2EFA">
        <w:rPr>
          <w:sz w:val="18"/>
          <w:szCs w:val="18"/>
          <w:lang w:val="en-GB"/>
        </w:rPr>
        <w:t xml:space="preserve"> </w:t>
      </w:r>
      <w:hyperlink r:id="rId27" w:history="1">
        <w:r w:rsidRPr="002B2EFA">
          <w:rPr>
            <w:rStyle w:val="Hyperlink"/>
            <w:rFonts w:ascii="Calibri" w:hAnsi="Calibri"/>
            <w:bCs/>
            <w:sz w:val="18"/>
            <w:szCs w:val="18"/>
          </w:rPr>
          <w:t>ELECTION OBSERVATION MISSION</w:t>
        </w:r>
      </w:hyperlink>
      <w:r w:rsidRPr="002B2EFA">
        <w:rPr>
          <w:rFonts w:ascii="Calibri" w:hAnsi="Calibri"/>
          <w:bCs/>
          <w:sz w:val="18"/>
          <w:szCs w:val="18"/>
        </w:rPr>
        <w:t>: Republic of Kazakhstan - Early Presidential Election, OSCE, 26 April 2015.</w:t>
      </w:r>
    </w:p>
  </w:endnote>
  <w:endnote w:id="26">
    <w:p w14:paraId="5793906A" w14:textId="70CFB1D4" w:rsidR="00CB079B" w:rsidRPr="002B2EFA" w:rsidRDefault="00CB079B" w:rsidP="005F23BE">
      <w:pPr>
        <w:spacing w:after="0" w:line="240" w:lineRule="auto"/>
        <w:rPr>
          <w:sz w:val="18"/>
          <w:szCs w:val="18"/>
        </w:rPr>
      </w:pPr>
      <w:r w:rsidRPr="002B2EFA">
        <w:rPr>
          <w:rStyle w:val="EndnoteReference"/>
          <w:sz w:val="18"/>
          <w:szCs w:val="18"/>
        </w:rPr>
        <w:endnoteRef/>
      </w:r>
      <w:r w:rsidRPr="002B2EFA">
        <w:rPr>
          <w:sz w:val="18"/>
          <w:szCs w:val="18"/>
          <w:lang w:val="en-GB"/>
        </w:rPr>
        <w:t xml:space="preserve"> </w:t>
      </w:r>
      <w:hyperlink r:id="rId28" w:history="1">
        <w:r w:rsidRPr="002B2EFA">
          <w:rPr>
            <w:rStyle w:val="Hyperlink"/>
            <w:sz w:val="18"/>
            <w:szCs w:val="18"/>
          </w:rPr>
          <w:t>Written statement</w:t>
        </w:r>
      </w:hyperlink>
      <w:r w:rsidRPr="002B2EFA">
        <w:rPr>
          <w:sz w:val="18"/>
          <w:szCs w:val="18"/>
        </w:rPr>
        <w:t xml:space="preserve">* submitted by the Verein Sudwind Entwicklungspolitik, a non-governmental organization in special consultative status, </w:t>
      </w:r>
      <w:r w:rsidRPr="002B2EFA">
        <w:rPr>
          <w:sz w:val="18"/>
          <w:szCs w:val="18"/>
          <w:lang w:val="en-GB"/>
        </w:rPr>
        <w:t>A/HRC/28/NGO/104, 2012.</w:t>
      </w:r>
    </w:p>
  </w:endnote>
  <w:endnote w:id="27">
    <w:p w14:paraId="5D45DD90" w14:textId="28AD50C5" w:rsidR="00CB079B" w:rsidRPr="002B2EFA" w:rsidRDefault="00CB079B" w:rsidP="002826C5">
      <w:pPr>
        <w:spacing w:after="0" w:line="240" w:lineRule="auto"/>
        <w:rPr>
          <w:rFonts w:ascii="Times" w:hAnsi="Times" w:cs="Times"/>
          <w:sz w:val="18"/>
          <w:szCs w:val="18"/>
          <w:lang w:val="en-US"/>
        </w:rPr>
      </w:pPr>
      <w:r w:rsidRPr="002B2EFA">
        <w:rPr>
          <w:rStyle w:val="EndnoteReference"/>
          <w:sz w:val="18"/>
          <w:szCs w:val="18"/>
        </w:rPr>
        <w:endnoteRef/>
      </w:r>
      <w:r w:rsidRPr="002B2EFA">
        <w:rPr>
          <w:sz w:val="18"/>
          <w:szCs w:val="18"/>
          <w:lang w:val="en-GB"/>
        </w:rPr>
        <w:t xml:space="preserve"> </w:t>
      </w:r>
      <w:hyperlink r:id="rId29" w:history="1">
        <w:r w:rsidRPr="002B2EFA">
          <w:rPr>
            <w:rStyle w:val="Hyperlink"/>
            <w:rFonts w:cs="Helvetica Neue"/>
            <w:iCs/>
            <w:sz w:val="18"/>
            <w:szCs w:val="18"/>
            <w:lang w:val="en-US"/>
          </w:rPr>
          <w:t>CCPR General Comment No. 34</w:t>
        </w:r>
      </w:hyperlink>
      <w:r w:rsidRPr="002B2EFA">
        <w:rPr>
          <w:rFonts w:cs="Helvetica Neue"/>
          <w:iCs/>
          <w:color w:val="303030"/>
          <w:sz w:val="18"/>
          <w:szCs w:val="18"/>
          <w:lang w:val="en-US"/>
        </w:rPr>
        <w:t xml:space="preserve">, UN Human Rights Committee (HRC), </w:t>
      </w:r>
      <w:r w:rsidRPr="002B2EFA">
        <w:rPr>
          <w:sz w:val="18"/>
          <w:szCs w:val="18"/>
          <w:lang w:val="en-GB"/>
        </w:rPr>
        <w:t>CCPR/C/GC/34, para. 47.</w:t>
      </w:r>
    </w:p>
  </w:endnote>
  <w:endnote w:id="28">
    <w:p w14:paraId="4584A97F" w14:textId="0AE55357" w:rsidR="00CB079B" w:rsidRPr="002B2EFA" w:rsidRDefault="00CB079B" w:rsidP="002826C5">
      <w:pPr>
        <w:pStyle w:val="EndnoteText"/>
        <w:rPr>
          <w:sz w:val="18"/>
          <w:szCs w:val="18"/>
          <w:lang w:val="en-GB"/>
        </w:rPr>
      </w:pPr>
      <w:r w:rsidRPr="002B2EFA">
        <w:rPr>
          <w:rStyle w:val="EndnoteReference"/>
          <w:sz w:val="18"/>
          <w:szCs w:val="18"/>
        </w:rPr>
        <w:endnoteRef/>
      </w:r>
      <w:r w:rsidRPr="002B2EFA">
        <w:rPr>
          <w:sz w:val="18"/>
          <w:szCs w:val="18"/>
          <w:lang w:val="en-GB"/>
        </w:rPr>
        <w:t xml:space="preserve"> Ibid.</w:t>
      </w:r>
    </w:p>
  </w:endnote>
  <w:endnote w:id="29">
    <w:p w14:paraId="0D67416F" w14:textId="2B47498A" w:rsidR="00CB079B" w:rsidRPr="002B2EFA" w:rsidRDefault="00CB079B" w:rsidP="000D2DFA">
      <w:pPr>
        <w:pStyle w:val="EndnoteText"/>
        <w:rPr>
          <w:sz w:val="18"/>
          <w:szCs w:val="18"/>
          <w:lang w:val="en-GB"/>
        </w:rPr>
      </w:pPr>
      <w:r w:rsidRPr="002B2EFA">
        <w:rPr>
          <w:rStyle w:val="EndnoteReference"/>
          <w:sz w:val="18"/>
          <w:szCs w:val="18"/>
        </w:rPr>
        <w:endnoteRef/>
      </w:r>
      <w:hyperlink r:id="rId30" w:history="1">
        <w:r w:rsidRPr="002B2EFA">
          <w:rPr>
            <w:rStyle w:val="Hyperlink"/>
            <w:sz w:val="18"/>
            <w:szCs w:val="18"/>
            <w:lang w:val="en-GB"/>
          </w:rPr>
          <w:t>Joint Declaration by the UN Special Rapporteur on Freedom of Opinion and Expression, the OSCE Representative on Freedom of the Media and the OAS Special Rapporteur on Freedom of Expression</w:t>
        </w:r>
      </w:hyperlink>
      <w:r w:rsidRPr="002B2EFA">
        <w:rPr>
          <w:sz w:val="18"/>
          <w:szCs w:val="18"/>
          <w:lang w:val="en-GB"/>
        </w:rPr>
        <w:t>, 30 November 2000. Report of the Special Rapporteur on the promotion and protection of the right to freedom of opinion and expression, Frank La Rue, A/HRC/20/17, 4 June 2012; European Court of Human Rights (ECtHR), Lingens v. Austria, 24 June 1986, Application No. 9815/82, at para. 42.</w:t>
      </w:r>
    </w:p>
  </w:endnote>
  <w:endnote w:id="30">
    <w:p w14:paraId="41FB1AE0" w14:textId="7399C48B" w:rsidR="00CB079B" w:rsidRPr="002B2EFA" w:rsidRDefault="00CB079B" w:rsidP="00C853B4">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31" w:history="1">
        <w:r w:rsidRPr="002B2EFA">
          <w:rPr>
            <w:rStyle w:val="Hyperlink"/>
            <w:sz w:val="18"/>
            <w:szCs w:val="18"/>
            <w:lang w:val="en-GB"/>
          </w:rPr>
          <w:t xml:space="preserve">CCPR Consideration of reports submitted by States parties under article 40 of the Covenant </w:t>
        </w:r>
        <w:r w:rsidRPr="002B2EFA">
          <w:rPr>
            <w:rStyle w:val="Hyperlink"/>
            <w:rFonts w:hint="eastAsia"/>
            <w:sz w:val="18"/>
            <w:szCs w:val="18"/>
            <w:lang w:val="en-GB"/>
          </w:rPr>
          <w:t>–</w:t>
        </w:r>
        <w:r w:rsidRPr="002B2EFA">
          <w:rPr>
            <w:rStyle w:val="Hyperlink"/>
            <w:sz w:val="18"/>
            <w:szCs w:val="18"/>
            <w:lang w:val="en-GB"/>
          </w:rPr>
          <w:t xml:space="preserve"> Kazakhstan</w:t>
        </w:r>
      </w:hyperlink>
      <w:r w:rsidRPr="002B2EFA">
        <w:rPr>
          <w:sz w:val="18"/>
          <w:szCs w:val="18"/>
          <w:lang w:val="en-GB"/>
        </w:rPr>
        <w:t>, Human Rights Committee, CCPR/C/KAZ/2, para. 140, December 2014. Such laws would include resolution A/HRC/RES/22/6 on protecting the freedoms of civil society and human rights defenders while combating terrorism, as well as A/HRC/RES/27/31 [para 8].</w:t>
      </w:r>
    </w:p>
  </w:endnote>
  <w:endnote w:id="31">
    <w:p w14:paraId="199EA5DA" w14:textId="77777777" w:rsidR="00CB079B" w:rsidRPr="002B2EFA" w:rsidRDefault="00CB079B" w:rsidP="00D41E6A">
      <w:pPr>
        <w:pStyle w:val="EndnoteText"/>
        <w:rPr>
          <w:sz w:val="18"/>
          <w:szCs w:val="18"/>
          <w:lang w:val="en-GB"/>
        </w:rPr>
      </w:pPr>
      <w:r w:rsidRPr="002B2EFA">
        <w:rPr>
          <w:rStyle w:val="EndnoteReference"/>
          <w:sz w:val="18"/>
          <w:szCs w:val="18"/>
        </w:rPr>
        <w:endnoteRef/>
      </w:r>
      <w:r w:rsidRPr="002B2EFA">
        <w:rPr>
          <w:sz w:val="18"/>
          <w:szCs w:val="18"/>
          <w:lang w:val="en-GB"/>
        </w:rPr>
        <w:t xml:space="preserve"> Ibid, para 141 – 143.</w:t>
      </w:r>
    </w:p>
  </w:endnote>
  <w:endnote w:id="32">
    <w:p w14:paraId="2FA508AC" w14:textId="77777777" w:rsidR="00CB079B" w:rsidRPr="002B2EFA" w:rsidRDefault="00CB079B" w:rsidP="00BC0350">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32" w:history="1">
        <w:r w:rsidRPr="002B2EFA">
          <w:rPr>
            <w:rStyle w:val="Hyperlink"/>
            <w:rFonts w:cs="Times"/>
            <w:sz w:val="18"/>
            <w:szCs w:val="18"/>
            <w:lang w:val="en-US"/>
          </w:rPr>
          <w:t>Kazakstan: "Gay Propaganda" Ban for Internet</w:t>
        </w:r>
      </w:hyperlink>
      <w:r w:rsidRPr="002B2EFA">
        <w:rPr>
          <w:rFonts w:cs="Times"/>
          <w:color w:val="1A1A1A"/>
          <w:sz w:val="18"/>
          <w:szCs w:val="18"/>
          <w:lang w:val="en-US"/>
        </w:rPr>
        <w:t>, Institute for War &amp; Peace Reporting, March 2015</w:t>
      </w:r>
      <w:r w:rsidRPr="002B2EFA">
        <w:rPr>
          <w:sz w:val="18"/>
          <w:szCs w:val="18"/>
          <w:lang w:val="en-GB"/>
        </w:rPr>
        <w:t xml:space="preserve">; </w:t>
      </w:r>
      <w:hyperlink r:id="rId33" w:anchor=".VUOWYZP4aMo" w:history="1">
        <w:r w:rsidRPr="002B2EFA">
          <w:rPr>
            <w:rStyle w:val="Hyperlink"/>
            <w:rFonts w:eastAsiaTheme="minorEastAsia" w:cs="Times"/>
            <w:sz w:val="18"/>
            <w:szCs w:val="18"/>
            <w:lang w:val="en-US"/>
          </w:rPr>
          <w:t>Kazakhstan: New Restrictions on Freedom of Expression, LGBTI Rights</w:t>
        </w:r>
      </w:hyperlink>
      <w:r w:rsidRPr="002B2EFA">
        <w:rPr>
          <w:rFonts w:eastAsiaTheme="minorEastAsia" w:cs="Times"/>
          <w:color w:val="262626"/>
          <w:sz w:val="18"/>
          <w:szCs w:val="18"/>
          <w:lang w:val="en-US"/>
        </w:rPr>
        <w:t>, Freedom House</w:t>
      </w:r>
      <w:r w:rsidRPr="002B2EFA">
        <w:rPr>
          <w:sz w:val="18"/>
          <w:szCs w:val="18"/>
          <w:lang w:val="en-GB"/>
        </w:rPr>
        <w:t>, February 2015.</w:t>
      </w:r>
    </w:p>
  </w:endnote>
  <w:endnote w:id="33">
    <w:p w14:paraId="1EC58A3C" w14:textId="77777777" w:rsidR="00CB079B" w:rsidRPr="002B2EFA" w:rsidRDefault="00CB079B" w:rsidP="00B65F75">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34" w:history="1">
        <w:r w:rsidRPr="002B2EFA">
          <w:rPr>
            <w:rStyle w:val="Hyperlink"/>
            <w:rFonts w:cs="Times"/>
            <w:sz w:val="18"/>
            <w:szCs w:val="18"/>
            <w:lang w:val="en-US"/>
          </w:rPr>
          <w:t>Kazakhstan: Anti-Gay Laws Found Unconstitutional</w:t>
        </w:r>
      </w:hyperlink>
      <w:r w:rsidRPr="002B2EFA">
        <w:rPr>
          <w:rFonts w:cs="Times"/>
          <w:color w:val="343434"/>
          <w:sz w:val="18"/>
          <w:szCs w:val="18"/>
          <w:lang w:val="en-US"/>
        </w:rPr>
        <w:t xml:space="preserve">, </w:t>
      </w:r>
      <w:r w:rsidRPr="002B2EFA">
        <w:rPr>
          <w:sz w:val="18"/>
          <w:szCs w:val="18"/>
        </w:rPr>
        <w:t xml:space="preserve">Human Rights Watch, May 2015. </w:t>
      </w:r>
    </w:p>
  </w:endnote>
  <w:endnote w:id="34">
    <w:p w14:paraId="7F9877F8" w14:textId="4046BF50" w:rsidR="00CB079B" w:rsidRPr="002B2EFA" w:rsidRDefault="00CB079B">
      <w:pPr>
        <w:pStyle w:val="EndnoteText"/>
        <w:rPr>
          <w:sz w:val="18"/>
          <w:szCs w:val="18"/>
          <w:lang w:val="en-AU"/>
        </w:rPr>
      </w:pPr>
      <w:r w:rsidRPr="002B2EFA">
        <w:rPr>
          <w:rStyle w:val="EndnoteReference"/>
          <w:sz w:val="18"/>
          <w:szCs w:val="18"/>
        </w:rPr>
        <w:endnoteRef/>
      </w:r>
      <w:r w:rsidRPr="002B2EFA">
        <w:rPr>
          <w:sz w:val="18"/>
          <w:szCs w:val="18"/>
          <w:lang w:val="en-AU"/>
        </w:rPr>
        <w:t xml:space="preserve"> http://blog.amnestyusa.org/asia/kazakhstan-reject-anti-lgbt-propaganda-law/</w:t>
      </w:r>
    </w:p>
  </w:endnote>
  <w:endnote w:id="35">
    <w:p w14:paraId="794DFF5C" w14:textId="77777777" w:rsidR="00CB079B" w:rsidRPr="002B2EFA" w:rsidRDefault="00CB079B" w:rsidP="00CF479F">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35" w:history="1">
        <w:r w:rsidRPr="002B2EFA">
          <w:rPr>
            <w:rStyle w:val="Hyperlink"/>
            <w:rFonts w:eastAsiaTheme="minorEastAsia" w:cs="Times"/>
            <w:sz w:val="18"/>
            <w:szCs w:val="18"/>
            <w:lang w:val="en-US"/>
          </w:rPr>
          <w:t>EU-Kazakhstan Human Rights Dialogue</w:t>
        </w:r>
      </w:hyperlink>
      <w:r w:rsidRPr="002B2EFA">
        <w:rPr>
          <w:sz w:val="18"/>
          <w:szCs w:val="18"/>
          <w:lang w:val="en-GB"/>
        </w:rPr>
        <w:t>, European Union External Action, November 2014.</w:t>
      </w:r>
    </w:p>
  </w:endnote>
  <w:endnote w:id="36">
    <w:p w14:paraId="087D2E19" w14:textId="62452B5C" w:rsidR="00CB079B" w:rsidRPr="002B2EFA" w:rsidRDefault="00CB079B" w:rsidP="000D2DFA">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36" w:history="1">
        <w:r w:rsidRPr="002B2EFA">
          <w:rPr>
            <w:rStyle w:val="Hyperlink"/>
            <w:sz w:val="18"/>
            <w:szCs w:val="18"/>
          </w:rPr>
          <w:t>Written statement</w:t>
        </w:r>
      </w:hyperlink>
      <w:r w:rsidRPr="002B2EFA">
        <w:rPr>
          <w:sz w:val="18"/>
          <w:szCs w:val="18"/>
        </w:rPr>
        <w:t xml:space="preserve">* submitted by the Verein Sudwind Entwicklungspolitik, a non-governmental organization in special consultative status, </w:t>
      </w:r>
      <w:r w:rsidRPr="002B2EFA">
        <w:rPr>
          <w:sz w:val="18"/>
          <w:szCs w:val="18"/>
          <w:lang w:val="en-GB"/>
        </w:rPr>
        <w:t>A/HRC/28/NGO/104, page 2, 2012.</w:t>
      </w:r>
    </w:p>
  </w:endnote>
  <w:endnote w:id="37">
    <w:p w14:paraId="455E2410" w14:textId="64237858" w:rsidR="00CB079B" w:rsidRPr="002B2EFA" w:rsidRDefault="00CB079B" w:rsidP="000D2DFA">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37" w:history="1">
        <w:r w:rsidRPr="002B2EFA">
          <w:rPr>
            <w:rStyle w:val="Hyperlink"/>
            <w:rFonts w:cs="Helvetica Neue"/>
            <w:iCs/>
            <w:sz w:val="18"/>
            <w:szCs w:val="18"/>
            <w:lang w:val="en-US"/>
          </w:rPr>
          <w:t>CCPR General Comment No. 34</w:t>
        </w:r>
      </w:hyperlink>
      <w:r w:rsidRPr="002B2EFA">
        <w:rPr>
          <w:rFonts w:cs="Helvetica Neue"/>
          <w:iCs/>
          <w:color w:val="303030"/>
          <w:sz w:val="18"/>
          <w:szCs w:val="18"/>
          <w:lang w:val="en-US"/>
        </w:rPr>
        <w:t xml:space="preserve">, UN Human Rights Committee (HRC), </w:t>
      </w:r>
      <w:r w:rsidRPr="002B2EFA">
        <w:rPr>
          <w:sz w:val="18"/>
          <w:szCs w:val="18"/>
          <w:lang w:val="en-GB"/>
        </w:rPr>
        <w:t>CCPR/C/GC/34, para. 25.</w:t>
      </w:r>
    </w:p>
  </w:endnote>
  <w:endnote w:id="38">
    <w:p w14:paraId="479A4F61" w14:textId="4293DDB4" w:rsidR="00CB079B" w:rsidRPr="002B2EFA" w:rsidRDefault="00CB079B" w:rsidP="000D2DFA">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38" w:history="1">
        <w:r w:rsidRPr="002B2EFA">
          <w:rPr>
            <w:rStyle w:val="Hyperlink"/>
            <w:sz w:val="18"/>
            <w:szCs w:val="18"/>
          </w:rPr>
          <w:t>Written statement</w:t>
        </w:r>
      </w:hyperlink>
      <w:r w:rsidRPr="002B2EFA">
        <w:rPr>
          <w:sz w:val="18"/>
          <w:szCs w:val="18"/>
        </w:rPr>
        <w:t xml:space="preserve">* submitted by the Verein Sudwind Entwicklungspolitik, a non-governmental organization in special consultative status, </w:t>
      </w:r>
      <w:r w:rsidRPr="002B2EFA">
        <w:rPr>
          <w:sz w:val="18"/>
          <w:szCs w:val="18"/>
          <w:lang w:val="en-GB"/>
        </w:rPr>
        <w:t>A/HRC/28/NGO/104, page 3, 2012</w:t>
      </w:r>
      <w:r w:rsidRPr="002B2EFA">
        <w:rPr>
          <w:sz w:val="18"/>
          <w:szCs w:val="18"/>
        </w:rPr>
        <w:t>.</w:t>
      </w:r>
    </w:p>
  </w:endnote>
  <w:endnote w:id="39">
    <w:p w14:paraId="05E426B7" w14:textId="03410323" w:rsidR="00CB079B" w:rsidRPr="002B2EFA" w:rsidRDefault="00CB079B" w:rsidP="00165CA7">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39" w:history="1">
        <w:r w:rsidRPr="002B2EFA">
          <w:rPr>
            <w:rStyle w:val="Hyperlink"/>
            <w:rFonts w:cs="Helvetica Neue"/>
            <w:iCs/>
            <w:sz w:val="18"/>
            <w:szCs w:val="18"/>
            <w:lang w:val="en-US"/>
          </w:rPr>
          <w:t>CCPR General Comment No. 34</w:t>
        </w:r>
      </w:hyperlink>
      <w:r w:rsidRPr="002B2EFA">
        <w:rPr>
          <w:rFonts w:cs="Helvetica Neue"/>
          <w:iCs/>
          <w:color w:val="303030"/>
          <w:sz w:val="18"/>
          <w:szCs w:val="18"/>
          <w:lang w:val="en-US"/>
        </w:rPr>
        <w:t xml:space="preserve">, UN Human Rights Committee (HRC), </w:t>
      </w:r>
      <w:r w:rsidRPr="002B2EFA">
        <w:rPr>
          <w:sz w:val="18"/>
          <w:szCs w:val="18"/>
          <w:lang w:val="en-GB"/>
        </w:rPr>
        <w:t>CCPR/C/GC/34, para 42.</w:t>
      </w:r>
    </w:p>
  </w:endnote>
  <w:endnote w:id="40">
    <w:p w14:paraId="1CADF23B" w14:textId="38C4092B" w:rsidR="00CB079B" w:rsidRPr="002B2EFA" w:rsidRDefault="00CB079B" w:rsidP="00165CA7">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40" w:history="1">
        <w:r w:rsidRPr="002B2EFA">
          <w:rPr>
            <w:rStyle w:val="Hyperlink"/>
            <w:sz w:val="18"/>
            <w:szCs w:val="18"/>
          </w:rPr>
          <w:t>Written statement</w:t>
        </w:r>
      </w:hyperlink>
      <w:r w:rsidRPr="002B2EFA">
        <w:rPr>
          <w:sz w:val="18"/>
          <w:szCs w:val="18"/>
        </w:rPr>
        <w:t xml:space="preserve">* submitted by the Verein Sudwind Entwicklungspolitik, a non-governmental organization in special consultative status, </w:t>
      </w:r>
      <w:r w:rsidRPr="002B2EFA">
        <w:rPr>
          <w:sz w:val="18"/>
          <w:szCs w:val="18"/>
          <w:lang w:val="en-GB"/>
        </w:rPr>
        <w:t>A/HRC/28/NGO/104, page 3, 2012.</w:t>
      </w:r>
    </w:p>
  </w:endnote>
  <w:endnote w:id="41">
    <w:p w14:paraId="58327A4E" w14:textId="3B531228" w:rsidR="00CB079B" w:rsidRPr="002B2EFA" w:rsidRDefault="00CB079B" w:rsidP="00165CA7">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41" w:history="1">
        <w:r w:rsidRPr="002B2EFA">
          <w:rPr>
            <w:rStyle w:val="Hyperlink"/>
            <w:rFonts w:cs="Helvetica Neue"/>
            <w:iCs/>
            <w:sz w:val="18"/>
            <w:szCs w:val="18"/>
            <w:lang w:val="en-US"/>
          </w:rPr>
          <w:t>CCPR General Comment No. 34</w:t>
        </w:r>
      </w:hyperlink>
      <w:r w:rsidRPr="002B2EFA">
        <w:rPr>
          <w:rFonts w:cs="Helvetica Neue"/>
          <w:iCs/>
          <w:color w:val="303030"/>
          <w:sz w:val="18"/>
          <w:szCs w:val="18"/>
          <w:lang w:val="en-US"/>
        </w:rPr>
        <w:t xml:space="preserve">, UN Human Rights Committee (HRC), </w:t>
      </w:r>
      <w:r w:rsidRPr="002B2EFA">
        <w:rPr>
          <w:sz w:val="18"/>
          <w:szCs w:val="18"/>
          <w:lang w:val="en-GB"/>
        </w:rPr>
        <w:t>CCPR/C/GC/34, para. 38.</w:t>
      </w:r>
    </w:p>
  </w:endnote>
  <w:endnote w:id="42">
    <w:p w14:paraId="238AD702" w14:textId="65C7B791" w:rsidR="00CB079B" w:rsidRPr="002B2EFA" w:rsidRDefault="00CB079B" w:rsidP="00165CA7">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42" w:history="1">
        <w:r w:rsidRPr="002B2EFA">
          <w:rPr>
            <w:rStyle w:val="Hyperlink"/>
            <w:sz w:val="18"/>
            <w:szCs w:val="18"/>
            <w:lang w:val="en-GB"/>
          </w:rPr>
          <w:t>Written statement</w:t>
        </w:r>
      </w:hyperlink>
      <w:r w:rsidRPr="002B2EFA">
        <w:rPr>
          <w:sz w:val="18"/>
          <w:szCs w:val="18"/>
          <w:lang w:val="en-GB"/>
        </w:rPr>
        <w:t>* submitted by the Verein Sudwind Entwicklungspolitik, a non-governmental organization in special consultative status, A/HRC/28/NGO/104, page 3, 2012.</w:t>
      </w:r>
    </w:p>
  </w:endnote>
  <w:endnote w:id="43">
    <w:p w14:paraId="206724F2" w14:textId="368D5E60" w:rsidR="00CB079B" w:rsidRPr="002B2EFA" w:rsidRDefault="00CB079B" w:rsidP="00165CA7">
      <w:pPr>
        <w:pStyle w:val="EndnoteText"/>
        <w:rPr>
          <w:sz w:val="18"/>
          <w:szCs w:val="18"/>
          <w:lang w:val="en-GB"/>
        </w:rPr>
      </w:pPr>
      <w:r w:rsidRPr="002B2EFA">
        <w:rPr>
          <w:rStyle w:val="EndnoteReference"/>
          <w:sz w:val="18"/>
          <w:szCs w:val="18"/>
        </w:rPr>
        <w:endnoteRef/>
      </w:r>
      <w:r w:rsidRPr="002B2EFA">
        <w:rPr>
          <w:sz w:val="18"/>
          <w:szCs w:val="18"/>
          <w:lang w:val="en-GB"/>
        </w:rPr>
        <w:t xml:space="preserve"> </w:t>
      </w:r>
      <w:r w:rsidR="000C1025" w:rsidRPr="002B2EFA">
        <w:rPr>
          <w:sz w:val="18"/>
          <w:szCs w:val="18"/>
          <w:lang w:val="en-GB"/>
        </w:rPr>
        <w:t>Ibid.</w:t>
      </w:r>
    </w:p>
  </w:endnote>
  <w:endnote w:id="44">
    <w:p w14:paraId="30011AC0" w14:textId="08D03F65" w:rsidR="00CB079B" w:rsidRPr="002B2EFA" w:rsidRDefault="00CB079B" w:rsidP="00165CA7">
      <w:pPr>
        <w:pStyle w:val="EndnoteText"/>
        <w:rPr>
          <w:sz w:val="18"/>
          <w:szCs w:val="18"/>
          <w:lang w:val="en-GB"/>
        </w:rPr>
      </w:pPr>
      <w:r w:rsidRPr="002B2EFA">
        <w:rPr>
          <w:rStyle w:val="EndnoteReference"/>
          <w:sz w:val="18"/>
          <w:szCs w:val="18"/>
        </w:rPr>
        <w:endnoteRef/>
      </w:r>
      <w:r w:rsidRPr="002B2EFA">
        <w:rPr>
          <w:sz w:val="18"/>
          <w:szCs w:val="18"/>
          <w:lang w:val="en-GB"/>
        </w:rPr>
        <w:t xml:space="preserve"> Addendum, Report of the Special Rapporteur on freedom of religion or belief, A/HRC/28/66/Add.1, para. 46, 23 Dec 2014.</w:t>
      </w:r>
    </w:p>
  </w:endnote>
  <w:endnote w:id="45">
    <w:p w14:paraId="356C127D" w14:textId="1DF00359" w:rsidR="00CB079B" w:rsidRPr="002B2EFA" w:rsidRDefault="00CB079B" w:rsidP="00165CA7">
      <w:pPr>
        <w:pStyle w:val="EndnoteText"/>
        <w:rPr>
          <w:sz w:val="18"/>
          <w:szCs w:val="18"/>
          <w:lang w:val="en-GB"/>
        </w:rPr>
      </w:pPr>
      <w:r w:rsidRPr="002B2EFA">
        <w:rPr>
          <w:rStyle w:val="EndnoteReference"/>
          <w:sz w:val="18"/>
          <w:szCs w:val="18"/>
        </w:rPr>
        <w:endnoteRef/>
      </w:r>
      <w:r w:rsidRPr="002B2EFA">
        <w:rPr>
          <w:sz w:val="18"/>
          <w:szCs w:val="18"/>
          <w:lang w:val="en-GB"/>
        </w:rPr>
        <w:t xml:space="preserve"> Addendum, Report of the Special Rapporteur on freedom of religion or belief, A/HRC/28/66/Add.1, para. 47, 23 Dec 2014</w:t>
      </w:r>
    </w:p>
  </w:endnote>
  <w:endnote w:id="46">
    <w:p w14:paraId="3654ECCE" w14:textId="207C7ADD" w:rsidR="00CB079B" w:rsidRPr="002B2EFA" w:rsidRDefault="00CB079B" w:rsidP="00FB3B19">
      <w:pPr>
        <w:spacing w:after="0" w:line="240" w:lineRule="auto"/>
        <w:rPr>
          <w:rFonts w:cs="Georgia"/>
          <w:bCs/>
          <w:sz w:val="18"/>
          <w:szCs w:val="18"/>
          <w:lang w:val="en-US"/>
        </w:rPr>
      </w:pPr>
      <w:r w:rsidRPr="002B2EFA">
        <w:rPr>
          <w:rStyle w:val="EndnoteReference"/>
          <w:sz w:val="18"/>
          <w:szCs w:val="18"/>
        </w:rPr>
        <w:endnoteRef/>
      </w:r>
      <w:r w:rsidRPr="004E5C7D">
        <w:rPr>
          <w:sz w:val="18"/>
          <w:szCs w:val="18"/>
          <w:lang w:val="en-GB"/>
        </w:rPr>
        <w:t xml:space="preserve"> </w:t>
      </w:r>
      <w:hyperlink r:id="rId43" w:history="1">
        <w:r w:rsidRPr="002B2EFA">
          <w:rPr>
            <w:rStyle w:val="Hyperlink"/>
            <w:rFonts w:cs="Times"/>
            <w:sz w:val="18"/>
            <w:szCs w:val="18"/>
            <w:lang w:val="en-US"/>
          </w:rPr>
          <w:t>Statement By The UN Special Rapporteur</w:t>
        </w:r>
      </w:hyperlink>
      <w:r w:rsidRPr="002B2EFA">
        <w:rPr>
          <w:rFonts w:cs="Times"/>
          <w:color w:val="434343"/>
          <w:sz w:val="18"/>
          <w:szCs w:val="18"/>
          <w:lang w:val="en-US"/>
        </w:rPr>
        <w:t xml:space="preserve"> On The Rights To Freedom Of Peaceful Assembly And Of Association At The Conclusion Of His Visit To The Republic Of Kazakhstan, January 2015. </w:t>
      </w:r>
    </w:p>
  </w:endnote>
  <w:endnote w:id="47">
    <w:p w14:paraId="48BB6E09" w14:textId="77777777" w:rsidR="00CB079B" w:rsidRPr="002B2EFA" w:rsidRDefault="00CB079B" w:rsidP="00EE7692">
      <w:pPr>
        <w:pStyle w:val="NormalWeb"/>
        <w:spacing w:before="0" w:beforeAutospacing="0" w:after="0" w:afterAutospacing="0"/>
        <w:rPr>
          <w:rFonts w:ascii="Calibri" w:hAnsi="Calibri"/>
          <w:sz w:val="18"/>
          <w:szCs w:val="18"/>
          <w:lang w:val="en-GB"/>
        </w:rPr>
      </w:pPr>
      <w:r w:rsidRPr="002B2EFA">
        <w:rPr>
          <w:rStyle w:val="EndnoteReference"/>
          <w:rFonts w:ascii="Calibri" w:hAnsi="Calibri"/>
          <w:color w:val="000000"/>
          <w:sz w:val="18"/>
          <w:szCs w:val="18"/>
          <w:lang w:val="en-GB"/>
        </w:rPr>
        <w:endnoteRef/>
      </w:r>
      <w:r w:rsidRPr="002B2EFA">
        <w:rPr>
          <w:rFonts w:ascii="Calibri" w:hAnsi="Calibri"/>
          <w:color w:val="000000"/>
          <w:sz w:val="18"/>
          <w:szCs w:val="18"/>
          <w:lang w:val="en-GB"/>
        </w:rPr>
        <w:t xml:space="preserve"> </w:t>
      </w:r>
      <w:hyperlink r:id="rId44" w:history="1">
        <w:r w:rsidRPr="002B2EFA">
          <w:rPr>
            <w:rStyle w:val="Hyperlink"/>
            <w:rFonts w:ascii="Calibri" w:hAnsi="Calibri"/>
            <w:sz w:val="18"/>
            <w:szCs w:val="18"/>
            <w:lang w:val="en-GB"/>
          </w:rPr>
          <w:t xml:space="preserve">CCPR </w:t>
        </w:r>
        <w:r w:rsidRPr="002B2EFA">
          <w:rPr>
            <w:rStyle w:val="Hyperlink"/>
            <w:rFonts w:ascii="Calibri" w:hAnsi="Calibri"/>
            <w:bCs/>
            <w:sz w:val="18"/>
            <w:szCs w:val="18"/>
            <w:lang w:val="en-GB"/>
          </w:rPr>
          <w:t>Communication No. 2137/2012</w:t>
        </w:r>
      </w:hyperlink>
      <w:r w:rsidRPr="002B2EFA">
        <w:rPr>
          <w:rFonts w:ascii="Calibri" w:hAnsi="Calibri"/>
          <w:bCs/>
          <w:sz w:val="18"/>
          <w:szCs w:val="18"/>
          <w:lang w:val="en-GB"/>
        </w:rPr>
        <w:t>, Human Rights Committee,</w:t>
      </w:r>
      <w:r w:rsidRPr="002B2EFA">
        <w:rPr>
          <w:rFonts w:ascii="Calibri" w:hAnsi="Calibri"/>
          <w:color w:val="000000"/>
          <w:sz w:val="18"/>
          <w:szCs w:val="18"/>
          <w:lang w:val="en-GB"/>
        </w:rPr>
        <w:t xml:space="preserve"> CCPR/C/112/D/2137/2012, [5.1]-[5.2], 2014.</w:t>
      </w:r>
    </w:p>
  </w:endnote>
  <w:endnote w:id="48">
    <w:p w14:paraId="1D2E1DE0" w14:textId="506045EF" w:rsidR="00CB079B" w:rsidRPr="002B2EFA" w:rsidRDefault="00CB079B" w:rsidP="00D6600E">
      <w:pPr>
        <w:pStyle w:val="EndnoteText"/>
        <w:rPr>
          <w:color w:val="000000"/>
          <w:sz w:val="18"/>
          <w:szCs w:val="18"/>
          <w:lang w:val="en-GB"/>
        </w:rPr>
      </w:pPr>
      <w:r w:rsidRPr="002B2EFA">
        <w:rPr>
          <w:rStyle w:val="EndnoteReference"/>
          <w:color w:val="000000"/>
          <w:sz w:val="18"/>
          <w:szCs w:val="18"/>
          <w:lang w:val="en-GB"/>
        </w:rPr>
        <w:endnoteRef/>
      </w:r>
      <w:r w:rsidRPr="002B2EFA">
        <w:rPr>
          <w:color w:val="000000"/>
          <w:sz w:val="18"/>
          <w:szCs w:val="18"/>
          <w:lang w:val="en-GB"/>
        </w:rPr>
        <w:t xml:space="preserve"> </w:t>
      </w:r>
      <w:r w:rsidR="000C1025" w:rsidRPr="004E5C7D">
        <w:rPr>
          <w:sz w:val="18"/>
          <w:szCs w:val="18"/>
          <w:lang w:val="en-GB"/>
        </w:rPr>
        <w:t>Ibid</w:t>
      </w:r>
      <w:r w:rsidRPr="002B2EFA">
        <w:rPr>
          <w:color w:val="000000"/>
          <w:sz w:val="18"/>
          <w:szCs w:val="18"/>
          <w:lang w:val="en-GB"/>
        </w:rPr>
        <w:t>, [2.1]-[2.2], 2014.</w:t>
      </w:r>
    </w:p>
  </w:endnote>
  <w:endnote w:id="49">
    <w:p w14:paraId="0D3CD5DF" w14:textId="5CDCB679" w:rsidR="00CB079B" w:rsidRPr="002B2EFA" w:rsidRDefault="00CB079B" w:rsidP="00D6600E">
      <w:pPr>
        <w:pStyle w:val="EndnoteText"/>
        <w:rPr>
          <w:sz w:val="18"/>
          <w:szCs w:val="18"/>
          <w:lang w:val="en-GB"/>
        </w:rPr>
      </w:pPr>
      <w:r w:rsidRPr="002B2EFA">
        <w:rPr>
          <w:rStyle w:val="EndnoteReference"/>
          <w:color w:val="000000"/>
          <w:sz w:val="18"/>
          <w:szCs w:val="18"/>
          <w:lang w:val="en-GB"/>
        </w:rPr>
        <w:endnoteRef/>
      </w:r>
      <w:r w:rsidRPr="002B2EFA">
        <w:rPr>
          <w:color w:val="000000"/>
          <w:sz w:val="18"/>
          <w:szCs w:val="18"/>
          <w:lang w:val="en-GB"/>
        </w:rPr>
        <w:t xml:space="preserve"> </w:t>
      </w:r>
      <w:r w:rsidR="000C1025" w:rsidRPr="002B2EFA">
        <w:rPr>
          <w:color w:val="000000"/>
          <w:sz w:val="18"/>
          <w:szCs w:val="18"/>
          <w:lang w:val="en-GB"/>
        </w:rPr>
        <w:t>Ibid</w:t>
      </w:r>
      <w:r w:rsidRPr="002B2EFA">
        <w:rPr>
          <w:sz w:val="18"/>
          <w:szCs w:val="18"/>
          <w:lang w:val="en-GB"/>
        </w:rPr>
        <w:t>,</w:t>
      </w:r>
      <w:r w:rsidRPr="002B2EFA">
        <w:rPr>
          <w:color w:val="000000"/>
          <w:sz w:val="18"/>
          <w:szCs w:val="18"/>
          <w:lang w:val="en-GB"/>
        </w:rPr>
        <w:t xml:space="preserve"> [7.2], [7.6], 2014.</w:t>
      </w:r>
    </w:p>
  </w:endnote>
  <w:endnote w:id="50">
    <w:p w14:paraId="4C5BB871" w14:textId="77777777" w:rsidR="00CB079B" w:rsidRPr="002B2EFA" w:rsidRDefault="00CB079B" w:rsidP="00EE7692">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45" w:history="1">
        <w:r w:rsidRPr="002B2EFA">
          <w:rPr>
            <w:rStyle w:val="Hyperlink"/>
            <w:rFonts w:eastAsiaTheme="minorEastAsia" w:cs="Times"/>
            <w:sz w:val="18"/>
            <w:szCs w:val="18"/>
            <w:lang w:val="en-US"/>
          </w:rPr>
          <w:t>Dissident Aron Atabek is being subjected to cruel treatment in a Kazakh prison</w:t>
        </w:r>
      </w:hyperlink>
      <w:r w:rsidRPr="002B2EFA">
        <w:rPr>
          <w:sz w:val="18"/>
          <w:szCs w:val="18"/>
          <w:lang w:val="en-GB"/>
        </w:rPr>
        <w:t xml:space="preserve">, Open Dialogue Foundation, August 2014; </w:t>
      </w:r>
      <w:hyperlink r:id="rId46" w:history="1">
        <w:r w:rsidRPr="002B2EFA">
          <w:rPr>
            <w:rStyle w:val="Hyperlink"/>
            <w:rFonts w:eastAsiaTheme="minorEastAsia" w:cs="Georgia"/>
            <w:bCs/>
            <w:sz w:val="18"/>
            <w:szCs w:val="18"/>
            <w:lang w:val="en-US"/>
          </w:rPr>
          <w:t>Kazakh Authorities Deny Dissident Poet Tortured In Jail</w:t>
        </w:r>
      </w:hyperlink>
      <w:r w:rsidRPr="002B2EFA">
        <w:rPr>
          <w:sz w:val="18"/>
          <w:szCs w:val="18"/>
          <w:lang w:val="en-GB"/>
        </w:rPr>
        <w:t xml:space="preserve">, Radio Free Europe – Radio Liberty, November 2014.  </w:t>
      </w:r>
    </w:p>
  </w:endnote>
  <w:endnote w:id="51">
    <w:p w14:paraId="576607BA" w14:textId="77777777" w:rsidR="00CB079B" w:rsidRPr="002B2EFA" w:rsidRDefault="00CB079B" w:rsidP="00A4117D">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47" w:history="1">
        <w:r w:rsidRPr="002B2EFA">
          <w:rPr>
            <w:rStyle w:val="Hyperlink"/>
            <w:sz w:val="18"/>
            <w:szCs w:val="18"/>
            <w:lang w:val="en-GB"/>
          </w:rPr>
          <w:t xml:space="preserve">CCPR Consideration of reports submitted by States parties under article 40 of the Covenant </w:t>
        </w:r>
        <w:r w:rsidRPr="002B2EFA">
          <w:rPr>
            <w:rStyle w:val="Hyperlink"/>
            <w:rFonts w:hint="eastAsia"/>
            <w:sz w:val="18"/>
            <w:szCs w:val="18"/>
            <w:lang w:val="en-GB"/>
          </w:rPr>
          <w:t>–</w:t>
        </w:r>
        <w:r w:rsidRPr="002B2EFA">
          <w:rPr>
            <w:rStyle w:val="Hyperlink"/>
            <w:sz w:val="18"/>
            <w:szCs w:val="18"/>
            <w:lang w:val="en-GB"/>
          </w:rPr>
          <w:t xml:space="preserve"> Kazakhstan</w:t>
        </w:r>
      </w:hyperlink>
      <w:r w:rsidRPr="002B2EFA">
        <w:rPr>
          <w:sz w:val="18"/>
          <w:szCs w:val="18"/>
          <w:lang w:val="en-GB"/>
        </w:rPr>
        <w:t>, Human Rights Committee, CCPR/C/KAZ/2, para. 145, December 2014.</w:t>
      </w:r>
    </w:p>
  </w:endnote>
  <w:endnote w:id="52">
    <w:p w14:paraId="00436203" w14:textId="0F8D62A4" w:rsidR="00CB079B" w:rsidRPr="002B2EFA" w:rsidRDefault="00CB079B" w:rsidP="00A4117D">
      <w:pPr>
        <w:pStyle w:val="EndnoteText"/>
        <w:rPr>
          <w:sz w:val="18"/>
          <w:szCs w:val="18"/>
          <w:lang w:val="en-GB"/>
        </w:rPr>
      </w:pPr>
      <w:r w:rsidRPr="002B2EFA">
        <w:rPr>
          <w:rStyle w:val="EndnoteReference"/>
          <w:sz w:val="18"/>
          <w:szCs w:val="18"/>
        </w:rPr>
        <w:endnoteRef/>
      </w:r>
      <w:r w:rsidRPr="002B2EFA">
        <w:rPr>
          <w:sz w:val="18"/>
          <w:szCs w:val="18"/>
          <w:lang w:val="en-GB"/>
        </w:rPr>
        <w:t xml:space="preserve"> Ibid, para 147, December 2014.</w:t>
      </w:r>
    </w:p>
  </w:endnote>
  <w:endnote w:id="53">
    <w:p w14:paraId="3413AEBC" w14:textId="74CCC331" w:rsidR="00CB079B" w:rsidRPr="002B2EFA" w:rsidRDefault="00CB079B" w:rsidP="00A4117D">
      <w:pPr>
        <w:pStyle w:val="EndnoteText"/>
        <w:rPr>
          <w:sz w:val="18"/>
          <w:szCs w:val="18"/>
          <w:lang w:val="en-GB"/>
        </w:rPr>
      </w:pPr>
      <w:r w:rsidRPr="002B2EFA">
        <w:rPr>
          <w:rStyle w:val="EndnoteReference"/>
          <w:sz w:val="18"/>
          <w:szCs w:val="18"/>
        </w:rPr>
        <w:endnoteRef/>
      </w:r>
      <w:r w:rsidRPr="002B2EFA">
        <w:rPr>
          <w:sz w:val="18"/>
          <w:szCs w:val="18"/>
          <w:lang w:val="en-GB"/>
        </w:rPr>
        <w:t xml:space="preserve"> Ibid, para 259, December 2014.</w:t>
      </w:r>
    </w:p>
  </w:endnote>
  <w:endnote w:id="54">
    <w:p w14:paraId="654D981A" w14:textId="77777777" w:rsidR="00CB079B" w:rsidRPr="002B2EFA" w:rsidRDefault="00CB079B" w:rsidP="00A4117D">
      <w:pPr>
        <w:pStyle w:val="EndnoteText"/>
        <w:rPr>
          <w:sz w:val="18"/>
          <w:szCs w:val="18"/>
          <w:lang w:val="en-GB"/>
        </w:rPr>
      </w:pPr>
      <w:r w:rsidRPr="002B2EFA">
        <w:rPr>
          <w:rStyle w:val="EndnoteReference"/>
          <w:sz w:val="18"/>
          <w:szCs w:val="18"/>
        </w:rPr>
        <w:endnoteRef/>
      </w:r>
      <w:r w:rsidRPr="004E5C7D">
        <w:rPr>
          <w:sz w:val="18"/>
          <w:szCs w:val="18"/>
          <w:lang w:val="en-GB"/>
        </w:rPr>
        <w:t xml:space="preserve"> </w:t>
      </w:r>
      <w:hyperlink r:id="rId48" w:history="1">
        <w:r w:rsidRPr="002B2EFA">
          <w:rPr>
            <w:rStyle w:val="Hyperlink"/>
            <w:rFonts w:cs="Times"/>
            <w:sz w:val="18"/>
            <w:szCs w:val="18"/>
            <w:lang w:val="en-US"/>
          </w:rPr>
          <w:t>Statement By The UN Special Rapporteur</w:t>
        </w:r>
      </w:hyperlink>
      <w:r w:rsidRPr="002B2EFA">
        <w:rPr>
          <w:rFonts w:cs="Times"/>
          <w:color w:val="434343"/>
          <w:sz w:val="18"/>
          <w:szCs w:val="18"/>
          <w:lang w:val="en-US"/>
        </w:rPr>
        <w:t xml:space="preserve"> On The Rights To Freedom Of Peaceful Assembly And Of Association At The Conclusion Of His Visit To The Republic Of Kazakhstan, January 2015.</w:t>
      </w:r>
    </w:p>
  </w:endnote>
  <w:endnote w:id="55">
    <w:p w14:paraId="747350FB" w14:textId="77777777" w:rsidR="00CB079B" w:rsidRPr="002B2EFA" w:rsidRDefault="00CB079B" w:rsidP="00A434C4">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49" w:history="1">
        <w:r w:rsidRPr="002B2EFA">
          <w:rPr>
            <w:rStyle w:val="Hyperlink"/>
            <w:sz w:val="18"/>
            <w:szCs w:val="18"/>
            <w:lang w:val="en-GB"/>
          </w:rPr>
          <w:t>Concluding observations of the Human Rights Committee - Kazakhstan</w:t>
        </w:r>
      </w:hyperlink>
      <w:r w:rsidRPr="002B2EFA">
        <w:rPr>
          <w:sz w:val="18"/>
          <w:szCs w:val="18"/>
          <w:lang w:val="en-GB"/>
        </w:rPr>
        <w:t>, HRC, CCPR/C/KAZ/CO/1, para. 26.</w:t>
      </w:r>
    </w:p>
  </w:endnote>
  <w:endnote w:id="56">
    <w:p w14:paraId="730D64DD" w14:textId="00DF9030" w:rsidR="00CB079B" w:rsidRPr="002B2EFA" w:rsidRDefault="00CB079B" w:rsidP="00FB3B19">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50" w:history="1">
        <w:r w:rsidRPr="002B2EFA">
          <w:rPr>
            <w:rStyle w:val="Hyperlink"/>
            <w:bCs/>
            <w:sz w:val="18"/>
            <w:szCs w:val="18"/>
            <w:lang w:val="en-GB"/>
          </w:rPr>
          <w:t>ELECTION OBSERVATION MISSION</w:t>
        </w:r>
      </w:hyperlink>
      <w:r w:rsidRPr="002B2EFA">
        <w:rPr>
          <w:bCs/>
          <w:sz w:val="18"/>
          <w:szCs w:val="18"/>
          <w:lang w:val="en-GB"/>
        </w:rPr>
        <w:t xml:space="preserve">: Republic of Kazakhstan - Early Presidential Election, OSCE, page 9, 26 April 2015. </w:t>
      </w:r>
    </w:p>
  </w:endnote>
  <w:endnote w:id="57">
    <w:p w14:paraId="63E35DCE" w14:textId="5A768C51" w:rsidR="00CB079B" w:rsidRPr="002B2EFA" w:rsidRDefault="00CB079B" w:rsidP="00FB3B19">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51" w:history="1">
        <w:r w:rsidRPr="002B2EFA">
          <w:rPr>
            <w:rStyle w:val="Hyperlink"/>
            <w:sz w:val="18"/>
            <w:szCs w:val="18"/>
          </w:rPr>
          <w:t>Written statement</w:t>
        </w:r>
      </w:hyperlink>
      <w:r w:rsidRPr="002B2EFA">
        <w:rPr>
          <w:sz w:val="18"/>
          <w:szCs w:val="18"/>
        </w:rPr>
        <w:t xml:space="preserve">* submitted by the Verein Sudwind Entwicklungspolitik, a non-governmental organization in special consultative status, </w:t>
      </w:r>
      <w:r w:rsidRPr="002B2EFA">
        <w:rPr>
          <w:sz w:val="18"/>
          <w:szCs w:val="18"/>
          <w:lang w:val="en-GB"/>
        </w:rPr>
        <w:t>A/HRC/28/NGO/104, page 4, 2012.</w:t>
      </w:r>
    </w:p>
  </w:endnote>
  <w:endnote w:id="58">
    <w:p w14:paraId="24929ADA" w14:textId="60579538" w:rsidR="00CB079B" w:rsidRPr="002B2EFA" w:rsidRDefault="00CB079B" w:rsidP="00FB3B19">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52" w:history="1">
        <w:r w:rsidRPr="002B2EFA">
          <w:rPr>
            <w:rStyle w:val="Hyperlink"/>
            <w:rFonts w:cs="Times"/>
            <w:sz w:val="18"/>
            <w:szCs w:val="18"/>
            <w:lang w:val="en-US"/>
          </w:rPr>
          <w:t>Statement By The UN Special Rapporteur</w:t>
        </w:r>
      </w:hyperlink>
      <w:r w:rsidRPr="002B2EFA">
        <w:rPr>
          <w:rFonts w:cs="Times"/>
          <w:color w:val="434343"/>
          <w:sz w:val="18"/>
          <w:szCs w:val="18"/>
          <w:lang w:val="en-US"/>
        </w:rPr>
        <w:t xml:space="preserve"> On The Rights To Freedom Of Peaceful Assembly And Of Association At The Conclusion Of His Visit To The Republic Of Kazakhstan, January 2015.</w:t>
      </w:r>
      <w:r w:rsidRPr="002B2EFA">
        <w:rPr>
          <w:sz w:val="18"/>
          <w:szCs w:val="18"/>
        </w:rPr>
        <w:t xml:space="preserve"> </w:t>
      </w:r>
    </w:p>
  </w:endnote>
  <w:endnote w:id="59">
    <w:p w14:paraId="141711F9" w14:textId="6294077D" w:rsidR="00CB079B" w:rsidRPr="002B2EFA" w:rsidRDefault="00CB079B" w:rsidP="00FB3B19">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53" w:history="1">
        <w:r w:rsidRPr="002B2EFA">
          <w:rPr>
            <w:rStyle w:val="Hyperlink"/>
            <w:sz w:val="18"/>
            <w:szCs w:val="18"/>
          </w:rPr>
          <w:t>Written statement</w:t>
        </w:r>
      </w:hyperlink>
      <w:r w:rsidRPr="002B2EFA">
        <w:rPr>
          <w:sz w:val="18"/>
          <w:szCs w:val="18"/>
        </w:rPr>
        <w:t xml:space="preserve">* submitted by the Verein Sudwind Entwicklungspolitik, a non-governmental organization in special consultative status, </w:t>
      </w:r>
      <w:r w:rsidRPr="002B2EFA">
        <w:rPr>
          <w:sz w:val="18"/>
          <w:szCs w:val="18"/>
          <w:lang w:val="en-GB"/>
        </w:rPr>
        <w:t>A/HRC/28/NGO/104, page 4, 2012.</w:t>
      </w:r>
    </w:p>
  </w:endnote>
  <w:endnote w:id="60">
    <w:p w14:paraId="5419301C" w14:textId="10D21BF3" w:rsidR="00CB079B" w:rsidRPr="002B2EFA" w:rsidRDefault="00CB079B" w:rsidP="00FB3B19">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54" w:history="1">
        <w:r w:rsidRPr="002B2EFA">
          <w:rPr>
            <w:rStyle w:val="Hyperlink"/>
            <w:bCs/>
            <w:sz w:val="18"/>
            <w:szCs w:val="18"/>
            <w:lang w:val="en-GB"/>
          </w:rPr>
          <w:t>ELECTION OBSERVATION MISSION</w:t>
        </w:r>
      </w:hyperlink>
      <w:r w:rsidRPr="002B2EFA">
        <w:rPr>
          <w:bCs/>
          <w:sz w:val="18"/>
          <w:szCs w:val="18"/>
          <w:lang w:val="en-GB"/>
        </w:rPr>
        <w:t xml:space="preserve">: Republic of Kazakhstan - Early Presidential Election, OSCE, page 9, 26 April 2015. </w:t>
      </w:r>
    </w:p>
  </w:endnote>
  <w:endnote w:id="61">
    <w:p w14:paraId="683286AF" w14:textId="77777777" w:rsidR="00CB079B" w:rsidRPr="002B2EFA" w:rsidRDefault="00CB079B" w:rsidP="00DE5907">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55" w:history="1">
        <w:r w:rsidRPr="002B2EFA">
          <w:rPr>
            <w:rStyle w:val="Hyperlink"/>
            <w:rFonts w:cs="Verdana"/>
            <w:bCs/>
            <w:sz w:val="18"/>
            <w:szCs w:val="18"/>
            <w:lang w:val="en-US"/>
          </w:rPr>
          <w:t>Stifling civil society in Kazakhstan</w:t>
        </w:r>
      </w:hyperlink>
      <w:r w:rsidRPr="002B2EFA">
        <w:rPr>
          <w:rFonts w:cs="Verdana"/>
          <w:bCs/>
          <w:sz w:val="18"/>
          <w:szCs w:val="18"/>
          <w:lang w:val="en-US"/>
        </w:rPr>
        <w:t>, Tajikistan and Turkmenistan: Current concerns, International Partnership for Human Rights, April 2015.</w:t>
      </w:r>
    </w:p>
  </w:endnote>
  <w:endnote w:id="62">
    <w:p w14:paraId="7565CFB9" w14:textId="77777777" w:rsidR="00CB079B" w:rsidRPr="002B2EFA" w:rsidRDefault="00CB079B" w:rsidP="00DE5907">
      <w:pPr>
        <w:spacing w:after="0" w:line="240" w:lineRule="auto"/>
        <w:rPr>
          <w:sz w:val="18"/>
          <w:szCs w:val="18"/>
          <w:lang w:val="pt-BR"/>
        </w:rPr>
      </w:pPr>
      <w:r w:rsidRPr="002B2EFA">
        <w:rPr>
          <w:rStyle w:val="EndnoteReference"/>
          <w:sz w:val="18"/>
          <w:szCs w:val="18"/>
        </w:rPr>
        <w:endnoteRef/>
      </w:r>
      <w:r w:rsidRPr="002B2EFA">
        <w:rPr>
          <w:sz w:val="18"/>
          <w:szCs w:val="18"/>
        </w:rPr>
        <w:t xml:space="preserve"> </w:t>
      </w:r>
      <w:hyperlink r:id="rId56" w:history="1">
        <w:r w:rsidRPr="002B2EFA">
          <w:rPr>
            <w:rStyle w:val="Hyperlink"/>
            <w:rFonts w:cs="Times"/>
            <w:sz w:val="18"/>
            <w:szCs w:val="18"/>
            <w:lang w:val="en-US"/>
          </w:rPr>
          <w:t>Hard Times Ahead for Kazakstan Civil Society</w:t>
        </w:r>
      </w:hyperlink>
      <w:r w:rsidRPr="002B2EFA">
        <w:rPr>
          <w:rFonts w:cs="Times"/>
          <w:color w:val="1A1A1A"/>
          <w:sz w:val="18"/>
          <w:szCs w:val="18"/>
          <w:lang w:val="en-US"/>
        </w:rPr>
        <w:t xml:space="preserve">, Institute for War &amp; Peace Reporting, June 2014; </w:t>
      </w:r>
      <w:hyperlink r:id="rId57" w:history="1">
        <w:r w:rsidRPr="002B2EFA">
          <w:rPr>
            <w:rStyle w:val="Hyperlink"/>
            <w:rFonts w:cs="Arial"/>
            <w:sz w:val="18"/>
            <w:szCs w:val="18"/>
            <w:lang w:val="en-US"/>
          </w:rPr>
          <w:t>Kazak government falls silent on NGO law</w:t>
        </w:r>
      </w:hyperlink>
      <w:r w:rsidRPr="002B2EFA">
        <w:rPr>
          <w:rFonts w:cs="Arial"/>
          <w:color w:val="0D489E"/>
          <w:sz w:val="18"/>
          <w:szCs w:val="18"/>
          <w:lang w:val="en-US"/>
        </w:rPr>
        <w:t xml:space="preserve">, December 2014. </w:t>
      </w:r>
    </w:p>
  </w:endnote>
  <w:endnote w:id="63">
    <w:p w14:paraId="5DDEEF7B" w14:textId="77777777" w:rsidR="00CB079B" w:rsidRPr="002B2EFA" w:rsidRDefault="00CB079B" w:rsidP="00DE5907">
      <w:pPr>
        <w:spacing w:after="0" w:line="240" w:lineRule="auto"/>
        <w:rPr>
          <w:sz w:val="18"/>
          <w:szCs w:val="18"/>
        </w:rPr>
      </w:pPr>
      <w:r w:rsidRPr="002B2EFA">
        <w:rPr>
          <w:rStyle w:val="EndnoteReference"/>
          <w:sz w:val="18"/>
          <w:szCs w:val="18"/>
        </w:rPr>
        <w:endnoteRef/>
      </w:r>
      <w:r w:rsidRPr="004E5C7D">
        <w:rPr>
          <w:sz w:val="18"/>
          <w:szCs w:val="18"/>
          <w:lang w:val="en-GB"/>
        </w:rPr>
        <w:t xml:space="preserve"> </w:t>
      </w:r>
      <w:hyperlink r:id="rId58" w:history="1">
        <w:r w:rsidRPr="002B2EFA">
          <w:rPr>
            <w:rStyle w:val="Hyperlink"/>
            <w:rFonts w:cs="Arial"/>
            <w:sz w:val="18"/>
            <w:szCs w:val="18"/>
            <w:lang w:val="en-US"/>
          </w:rPr>
          <w:t>Грантам – кранты</w:t>
        </w:r>
      </w:hyperlink>
      <w:r w:rsidRPr="002B2EFA">
        <w:rPr>
          <w:rFonts w:cs="Arial"/>
          <w:sz w:val="18"/>
          <w:szCs w:val="18"/>
          <w:lang w:val="en-US"/>
        </w:rPr>
        <w:t>, February 2015.</w:t>
      </w:r>
    </w:p>
  </w:endnote>
  <w:endnote w:id="64">
    <w:p w14:paraId="2B76A545" w14:textId="77777777" w:rsidR="00CB079B" w:rsidRPr="002B2EFA" w:rsidRDefault="00CB079B" w:rsidP="00F4363E">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59" w:history="1">
        <w:r w:rsidRPr="002B2EFA">
          <w:rPr>
            <w:rStyle w:val="Hyperlink"/>
            <w:rFonts w:cs="Verdana"/>
            <w:bCs/>
            <w:sz w:val="18"/>
            <w:szCs w:val="18"/>
            <w:lang w:val="en-US"/>
          </w:rPr>
          <w:t>Stifling civil society in Kazakhstan</w:t>
        </w:r>
      </w:hyperlink>
      <w:r w:rsidRPr="002B2EFA">
        <w:rPr>
          <w:rFonts w:cs="Verdana"/>
          <w:bCs/>
          <w:sz w:val="18"/>
          <w:szCs w:val="18"/>
          <w:lang w:val="en-US"/>
        </w:rPr>
        <w:t>, Tajikistan and Turkmenistan: Current concerns, International Partnership for Human Rights, April 2015.</w:t>
      </w:r>
    </w:p>
  </w:endnote>
  <w:endnote w:id="65">
    <w:p w14:paraId="7051BDE2" w14:textId="35FBCFC2" w:rsidR="00CB079B" w:rsidRPr="002B2EFA" w:rsidRDefault="00CB079B" w:rsidP="00FB3B19">
      <w:pPr>
        <w:pStyle w:val="EndnoteText"/>
        <w:rPr>
          <w:sz w:val="18"/>
          <w:szCs w:val="18"/>
          <w:lang w:val="en-GB"/>
        </w:rPr>
      </w:pPr>
      <w:r w:rsidRPr="002B2EFA">
        <w:rPr>
          <w:rStyle w:val="EndnoteReference"/>
          <w:sz w:val="18"/>
          <w:szCs w:val="18"/>
        </w:rPr>
        <w:endnoteRef/>
      </w:r>
      <w:r w:rsidRPr="002B2EFA">
        <w:rPr>
          <w:sz w:val="18"/>
          <w:szCs w:val="18"/>
          <w:lang w:val="en-GB"/>
        </w:rPr>
        <w:t>Addendum, Report of the Special Rapporteur on freedom of religion or belief, A/HRC/28/66/Add.1, paras 48-9, 23 Dec 2014.</w:t>
      </w:r>
    </w:p>
  </w:endnote>
  <w:endnote w:id="66">
    <w:p w14:paraId="28A4241C" w14:textId="77777777" w:rsidR="00CB079B" w:rsidRPr="002B2EFA" w:rsidRDefault="00CB079B" w:rsidP="00A4117D">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60" w:history="1">
        <w:r w:rsidRPr="002B2EFA">
          <w:rPr>
            <w:rStyle w:val="Hyperlink"/>
            <w:sz w:val="18"/>
            <w:szCs w:val="18"/>
            <w:lang w:val="en-GB"/>
          </w:rPr>
          <w:t xml:space="preserve">CCPR Consideration of reports submitted by States parties under article 40 of the Covenant </w:t>
        </w:r>
        <w:r w:rsidRPr="002B2EFA">
          <w:rPr>
            <w:rStyle w:val="Hyperlink"/>
            <w:rFonts w:hint="eastAsia"/>
            <w:sz w:val="18"/>
            <w:szCs w:val="18"/>
            <w:lang w:val="en-GB"/>
          </w:rPr>
          <w:t>–</w:t>
        </w:r>
        <w:r w:rsidRPr="002B2EFA">
          <w:rPr>
            <w:rStyle w:val="Hyperlink"/>
            <w:sz w:val="18"/>
            <w:szCs w:val="18"/>
            <w:lang w:val="en-GB"/>
          </w:rPr>
          <w:t xml:space="preserve"> Kazakhstan</w:t>
        </w:r>
      </w:hyperlink>
      <w:r w:rsidRPr="002B2EFA">
        <w:rPr>
          <w:sz w:val="18"/>
          <w:szCs w:val="18"/>
          <w:lang w:val="en-GB"/>
        </w:rPr>
        <w:t>, Human Rights Committee, CCPR/C/KAZ/2, para 24 December 2014.</w:t>
      </w:r>
    </w:p>
  </w:endnote>
  <w:endnote w:id="67">
    <w:p w14:paraId="09364499" w14:textId="2796B325" w:rsidR="00CB079B" w:rsidRPr="002B2EFA" w:rsidRDefault="00CB079B" w:rsidP="00A26729">
      <w:pPr>
        <w:pStyle w:val="EndnoteText"/>
        <w:rPr>
          <w:sz w:val="18"/>
          <w:szCs w:val="18"/>
          <w:lang w:val="en-GB"/>
        </w:rPr>
      </w:pPr>
      <w:r w:rsidRPr="002B2EFA">
        <w:rPr>
          <w:rStyle w:val="EndnoteReference"/>
          <w:sz w:val="18"/>
          <w:szCs w:val="18"/>
        </w:rPr>
        <w:endnoteRef/>
      </w:r>
      <w:r w:rsidRPr="002B2EFA">
        <w:rPr>
          <w:sz w:val="18"/>
          <w:szCs w:val="18"/>
          <w:lang w:val="en-GB"/>
        </w:rPr>
        <w:t xml:space="preserve"> </w:t>
      </w:r>
      <w:hyperlink r:id="rId61" w:history="1">
        <w:r w:rsidRPr="002B2EFA">
          <w:rPr>
            <w:rStyle w:val="Hyperlink"/>
            <w:i/>
            <w:sz w:val="18"/>
            <w:szCs w:val="18"/>
            <w:lang w:val="en-GB"/>
          </w:rPr>
          <w:t>Striking Oil, Striking Workers</w:t>
        </w:r>
      </w:hyperlink>
      <w:r w:rsidRPr="002B2EFA">
        <w:rPr>
          <w:i/>
          <w:sz w:val="18"/>
          <w:szCs w:val="18"/>
          <w:lang w:val="en-GB"/>
        </w:rPr>
        <w:t>: Violations of Labor Rights in Kazakhstan’s Oil Sector</w:t>
      </w:r>
      <w:r w:rsidRPr="002B2EFA">
        <w:rPr>
          <w:sz w:val="18"/>
          <w:szCs w:val="18"/>
          <w:lang w:val="en-GB"/>
        </w:rPr>
        <w:t>, Human Rights Watch, September 2012.</w:t>
      </w:r>
    </w:p>
  </w:endnote>
  <w:endnote w:id="68">
    <w:p w14:paraId="5888EB11" w14:textId="77777777" w:rsidR="00CB079B" w:rsidRPr="002B2EFA" w:rsidRDefault="00CB079B" w:rsidP="00D6600E">
      <w:pPr>
        <w:spacing w:after="0" w:line="240" w:lineRule="auto"/>
        <w:rPr>
          <w:sz w:val="18"/>
          <w:szCs w:val="18"/>
          <w:lang w:val="en-GB"/>
        </w:rPr>
      </w:pPr>
      <w:r w:rsidRPr="002B2EFA">
        <w:rPr>
          <w:rStyle w:val="EndnoteReference"/>
          <w:color w:val="000000"/>
          <w:sz w:val="18"/>
          <w:szCs w:val="18"/>
        </w:rPr>
        <w:endnoteRef/>
      </w:r>
      <w:r w:rsidRPr="002B2EFA">
        <w:rPr>
          <w:sz w:val="18"/>
          <w:szCs w:val="18"/>
        </w:rPr>
        <w:t xml:space="preserve"> </w:t>
      </w:r>
      <w:hyperlink r:id="rId62" w:history="1">
        <w:r w:rsidRPr="002B2EFA">
          <w:rPr>
            <w:rStyle w:val="Hyperlink"/>
            <w:rFonts w:cs="Times"/>
            <w:sz w:val="18"/>
            <w:szCs w:val="18"/>
            <w:lang w:val="en-GB"/>
          </w:rPr>
          <w:t>Calendar of strikes of the oil industry workers in Western Kazakhstan (Mangistau)</w:t>
        </w:r>
      </w:hyperlink>
      <w:r w:rsidRPr="002B2EFA">
        <w:rPr>
          <w:rFonts w:cs="Times"/>
          <w:color w:val="292929"/>
          <w:sz w:val="18"/>
          <w:szCs w:val="18"/>
          <w:lang w:val="en-GB"/>
        </w:rPr>
        <w:t>, Open Dialogue Foundation, 2012</w:t>
      </w:r>
      <w:r w:rsidRPr="002B2EFA">
        <w:rPr>
          <w:color w:val="000000"/>
          <w:sz w:val="18"/>
          <w:szCs w:val="18"/>
          <w:lang w:val="en-GB"/>
        </w:rPr>
        <w:t>;</w:t>
      </w:r>
      <w:r w:rsidRPr="002B2EFA">
        <w:rPr>
          <w:i/>
          <w:color w:val="000000"/>
          <w:sz w:val="18"/>
          <w:szCs w:val="18"/>
          <w:lang w:val="en-GB"/>
        </w:rPr>
        <w:t xml:space="preserve"> </w:t>
      </w:r>
      <w:hyperlink r:id="rId63" w:history="1">
        <w:r w:rsidRPr="002B2EFA">
          <w:rPr>
            <w:rStyle w:val="Hyperlink"/>
            <w:sz w:val="18"/>
            <w:szCs w:val="18"/>
            <w:lang w:val="en-GB"/>
          </w:rPr>
          <w:t>Kazakhstan: Suspend Trial, Investigate Torture Allegations</w:t>
        </w:r>
      </w:hyperlink>
      <w:r w:rsidRPr="002B2EFA">
        <w:rPr>
          <w:color w:val="000000"/>
          <w:sz w:val="18"/>
          <w:szCs w:val="18"/>
          <w:lang w:val="en-GB"/>
        </w:rPr>
        <w:t xml:space="preserve">, Human Rights Watch, </w:t>
      </w:r>
      <w:r w:rsidRPr="002B2EFA">
        <w:rPr>
          <w:rFonts w:cs="Arial"/>
          <w:color w:val="000000"/>
          <w:sz w:val="18"/>
          <w:szCs w:val="18"/>
          <w:lang w:val="en-GB" w:eastAsia="en-AU"/>
        </w:rPr>
        <w:t xml:space="preserve">April 23, 2012. </w:t>
      </w:r>
    </w:p>
  </w:endnote>
  <w:endnote w:id="69">
    <w:p w14:paraId="01F24FF7" w14:textId="1DFE804A" w:rsidR="00CB079B" w:rsidRPr="002B2EFA" w:rsidRDefault="00CB079B" w:rsidP="00506782">
      <w:pPr>
        <w:pStyle w:val="EndnoteText"/>
        <w:rPr>
          <w:color w:val="000000"/>
          <w:sz w:val="18"/>
          <w:szCs w:val="18"/>
          <w:lang w:val="en-GB"/>
        </w:rPr>
      </w:pPr>
      <w:r w:rsidRPr="002B2EFA">
        <w:rPr>
          <w:rStyle w:val="EndnoteReference"/>
          <w:sz w:val="18"/>
          <w:szCs w:val="18"/>
        </w:rPr>
        <w:endnoteRef/>
      </w:r>
      <w:r w:rsidRPr="002B2EFA">
        <w:rPr>
          <w:sz w:val="18"/>
          <w:szCs w:val="18"/>
          <w:lang w:val="en-GB"/>
        </w:rPr>
        <w:t xml:space="preserve"> </w:t>
      </w:r>
      <w:hyperlink r:id="rId64" w:history="1">
        <w:r w:rsidRPr="002B2EFA">
          <w:rPr>
            <w:rStyle w:val="Hyperlink"/>
            <w:sz w:val="18"/>
            <w:szCs w:val="18"/>
            <w:lang w:val="en-GB"/>
          </w:rPr>
          <w:t>Public Statement by ARTICLE 19</w:t>
        </w:r>
      </w:hyperlink>
      <w:r w:rsidRPr="002B2EFA">
        <w:rPr>
          <w:sz w:val="18"/>
          <w:szCs w:val="18"/>
          <w:lang w:val="en-GB"/>
        </w:rPr>
        <w:t>, Article 19, AdilSoz and PEN International, [3.2], Oct 6 2014</w:t>
      </w:r>
      <w:r w:rsidRPr="002B2EFA">
        <w:rPr>
          <w:color w:val="000000"/>
          <w:sz w:val="18"/>
          <w:szCs w:val="18"/>
          <w:lang w:val="en-GB"/>
        </w:rPr>
        <w:t xml:space="preserve">; </w:t>
      </w:r>
      <w:hyperlink r:id="rId65" w:history="1">
        <w:r w:rsidRPr="002B2EFA">
          <w:rPr>
            <w:rStyle w:val="Hyperlink"/>
            <w:sz w:val="18"/>
            <w:szCs w:val="18"/>
            <w:lang w:val="en-GB"/>
          </w:rPr>
          <w:t>Frontline Annual report</w:t>
        </w:r>
      </w:hyperlink>
      <w:r w:rsidRPr="002B2EFA">
        <w:rPr>
          <w:color w:val="000000"/>
          <w:sz w:val="18"/>
          <w:szCs w:val="18"/>
          <w:lang w:val="en-GB"/>
        </w:rPr>
        <w:t>, Frontline Defenders, page 13, 2013</w:t>
      </w:r>
      <w:r w:rsidRPr="002B2EFA">
        <w:rPr>
          <w:rFonts w:cs="Arial"/>
          <w:color w:val="000000"/>
          <w:sz w:val="18"/>
          <w:szCs w:val="18"/>
          <w:lang w:val="en-GB" w:eastAsia="en-AU"/>
        </w:rPr>
        <w:t>.</w:t>
      </w:r>
    </w:p>
  </w:endnote>
  <w:endnote w:id="70">
    <w:p w14:paraId="47F27AEA" w14:textId="2E09F8E1" w:rsidR="00CB079B" w:rsidRPr="002B2EFA" w:rsidRDefault="00CB079B" w:rsidP="00506782">
      <w:pPr>
        <w:pStyle w:val="EndnoteText"/>
        <w:rPr>
          <w:color w:val="000000"/>
          <w:sz w:val="18"/>
          <w:szCs w:val="18"/>
          <w:lang w:val="en-GB"/>
        </w:rPr>
      </w:pPr>
      <w:r w:rsidRPr="002B2EFA">
        <w:rPr>
          <w:rStyle w:val="EndnoteReference"/>
          <w:sz w:val="18"/>
          <w:szCs w:val="18"/>
        </w:rPr>
        <w:endnoteRef/>
      </w:r>
      <w:r w:rsidRPr="002B2EFA">
        <w:rPr>
          <w:rFonts w:cs="Arial"/>
          <w:sz w:val="18"/>
          <w:szCs w:val="18"/>
          <w:lang w:val="en-GB" w:eastAsia="en-AU"/>
        </w:rPr>
        <w:t xml:space="preserve"> </w:t>
      </w:r>
      <w:hyperlink r:id="rId66" w:history="1">
        <w:r w:rsidRPr="002B2EFA">
          <w:rPr>
            <w:rStyle w:val="Hyperlink"/>
            <w:sz w:val="18"/>
            <w:szCs w:val="18"/>
            <w:lang w:val="en-GB"/>
          </w:rPr>
          <w:t>Frontline Annual report</w:t>
        </w:r>
      </w:hyperlink>
      <w:r w:rsidRPr="002B2EFA">
        <w:rPr>
          <w:color w:val="000000"/>
          <w:sz w:val="18"/>
          <w:szCs w:val="18"/>
          <w:lang w:val="en-GB"/>
        </w:rPr>
        <w:t>, Frontline Defenders, page 13, 2013</w:t>
      </w:r>
      <w:r w:rsidRPr="002B2EFA">
        <w:rPr>
          <w:rFonts w:cs="Arial"/>
          <w:color w:val="000000"/>
          <w:sz w:val="18"/>
          <w:szCs w:val="18"/>
          <w:lang w:val="en-GB" w:eastAsia="en-AU"/>
        </w:rPr>
        <w:t>.</w:t>
      </w:r>
    </w:p>
  </w:endnote>
  <w:endnote w:id="71">
    <w:p w14:paraId="2174661C" w14:textId="1DF3A0A4" w:rsidR="00CB079B" w:rsidRPr="002B2EFA" w:rsidRDefault="00CB079B" w:rsidP="00506782">
      <w:pPr>
        <w:pStyle w:val="EndnoteText"/>
        <w:rPr>
          <w:color w:val="000000"/>
          <w:sz w:val="18"/>
          <w:szCs w:val="18"/>
          <w:lang w:val="en-GB"/>
        </w:rPr>
      </w:pPr>
      <w:r w:rsidRPr="002B2EFA">
        <w:rPr>
          <w:rStyle w:val="EndnoteReference"/>
          <w:sz w:val="18"/>
          <w:szCs w:val="18"/>
          <w:lang w:val="en-GB"/>
        </w:rPr>
        <w:endnoteRef/>
      </w:r>
      <w:r w:rsidR="000C1025" w:rsidRPr="002B2EFA">
        <w:rPr>
          <w:sz w:val="18"/>
          <w:szCs w:val="18"/>
          <w:lang w:val="en-GB"/>
        </w:rPr>
        <w:t xml:space="preserve"> Ibid</w:t>
      </w:r>
      <w:r w:rsidRPr="002B2EFA">
        <w:rPr>
          <w:rFonts w:cs="Arial"/>
          <w:color w:val="000000"/>
          <w:sz w:val="18"/>
          <w:szCs w:val="18"/>
          <w:lang w:val="en-GB" w:eastAsia="en-AU"/>
        </w:rPr>
        <w:t>.</w:t>
      </w:r>
      <w:r w:rsidRPr="002B2EFA">
        <w:rPr>
          <w:rFonts w:cs="Arial"/>
          <w:sz w:val="18"/>
          <w:szCs w:val="18"/>
          <w:lang w:val="en-GB" w:eastAsia="en-AU"/>
        </w:rPr>
        <w:t xml:space="preserve"> </w:t>
      </w:r>
    </w:p>
  </w:endnote>
  <w:endnote w:id="72">
    <w:p w14:paraId="09B49D9A" w14:textId="44D96FBC" w:rsidR="00CB079B" w:rsidRPr="002B2EFA" w:rsidRDefault="00CB079B" w:rsidP="00506782">
      <w:pPr>
        <w:pStyle w:val="EndnoteText"/>
        <w:rPr>
          <w:sz w:val="18"/>
          <w:szCs w:val="18"/>
          <w:lang w:val="en-GB"/>
        </w:rPr>
      </w:pPr>
      <w:r w:rsidRPr="002B2EFA">
        <w:rPr>
          <w:rStyle w:val="EndnoteReference"/>
          <w:sz w:val="18"/>
          <w:szCs w:val="18"/>
          <w:lang w:val="en-GB"/>
        </w:rPr>
        <w:endnoteRef/>
      </w:r>
      <w:r w:rsidRPr="002B2EFA">
        <w:rPr>
          <w:rFonts w:cs="Arial"/>
          <w:color w:val="000000"/>
          <w:sz w:val="18"/>
          <w:szCs w:val="18"/>
          <w:lang w:val="en-GB"/>
        </w:rPr>
        <w:t xml:space="preserve"> </w:t>
      </w:r>
      <w:r w:rsidR="000C1025" w:rsidRPr="004E5C7D">
        <w:rPr>
          <w:sz w:val="18"/>
          <w:szCs w:val="18"/>
          <w:lang w:val="en-GB"/>
        </w:rPr>
        <w:t>Ibid</w:t>
      </w:r>
      <w:r w:rsidRPr="002B2EFA">
        <w:rPr>
          <w:rFonts w:cs="Arial"/>
          <w:color w:val="000000"/>
          <w:sz w:val="18"/>
          <w:szCs w:val="18"/>
          <w:lang w:val="en-GB" w:eastAsia="en-AU"/>
        </w:rPr>
        <w:t>.</w:t>
      </w:r>
    </w:p>
  </w:endnote>
  <w:endnote w:id="73">
    <w:p w14:paraId="710EDCEE" w14:textId="4E001EB9" w:rsidR="00CB079B" w:rsidRPr="002B2EFA" w:rsidRDefault="00CB079B" w:rsidP="009F0869">
      <w:pPr>
        <w:pStyle w:val="Default"/>
        <w:rPr>
          <w:rFonts w:ascii="Calibri" w:hAnsi="Calibri" w:cs="Arial"/>
          <w:sz w:val="18"/>
          <w:szCs w:val="18"/>
        </w:rPr>
      </w:pPr>
      <w:r w:rsidRPr="002B2EFA">
        <w:rPr>
          <w:rStyle w:val="EndnoteReference"/>
          <w:rFonts w:ascii="Calibri" w:hAnsi="Calibri"/>
          <w:sz w:val="18"/>
          <w:szCs w:val="18"/>
        </w:rPr>
        <w:endnoteRef/>
      </w:r>
      <w:r w:rsidRPr="002B2EFA">
        <w:rPr>
          <w:rFonts w:ascii="Calibri" w:hAnsi="Calibri" w:cs="Arial"/>
          <w:sz w:val="18"/>
          <w:szCs w:val="18"/>
        </w:rPr>
        <w:t xml:space="preserve"> </w:t>
      </w:r>
      <w:hyperlink r:id="rId67" w:history="1">
        <w:r w:rsidRPr="002B2EFA">
          <w:rPr>
            <w:rStyle w:val="Hyperlink"/>
            <w:rFonts w:ascii="Calibri" w:hAnsi="Calibri"/>
            <w:sz w:val="18"/>
            <w:szCs w:val="18"/>
          </w:rPr>
          <w:t>World Report 2014: Kazakhstan</w:t>
        </w:r>
      </w:hyperlink>
      <w:r w:rsidRPr="002B2EFA">
        <w:rPr>
          <w:rFonts w:ascii="Calibri" w:hAnsi="Calibri"/>
          <w:sz w:val="18"/>
          <w:szCs w:val="18"/>
        </w:rPr>
        <w:t>, Human Rights Watch, January 2014</w:t>
      </w:r>
      <w:r w:rsidRPr="002B2EFA">
        <w:rPr>
          <w:rFonts w:ascii="Calibri" w:hAnsi="Calibri" w:cs="Arial"/>
          <w:sz w:val="18"/>
          <w:szCs w:val="18"/>
        </w:rPr>
        <w:t xml:space="preserve">. </w:t>
      </w:r>
    </w:p>
  </w:endnote>
  <w:endnote w:id="74">
    <w:p w14:paraId="631B2134" w14:textId="0A3AB0F3" w:rsidR="00CB079B" w:rsidRPr="002B2EFA" w:rsidRDefault="00CB079B" w:rsidP="00ED557A">
      <w:pPr>
        <w:spacing w:after="0" w:line="240" w:lineRule="auto"/>
        <w:rPr>
          <w:sz w:val="18"/>
          <w:szCs w:val="18"/>
          <w:lang w:val="en-GB" w:eastAsia="en-AU"/>
        </w:rPr>
      </w:pPr>
      <w:r w:rsidRPr="002B2EFA">
        <w:rPr>
          <w:rStyle w:val="EndnoteReference"/>
          <w:sz w:val="18"/>
          <w:szCs w:val="18"/>
        </w:rPr>
        <w:endnoteRef/>
      </w:r>
      <w:r w:rsidRPr="004E5C7D">
        <w:rPr>
          <w:sz w:val="18"/>
          <w:szCs w:val="18"/>
          <w:lang w:val="en-GB"/>
        </w:rPr>
        <w:t xml:space="preserve"> </w:t>
      </w:r>
      <w:hyperlink r:id="rId68" w:history="1">
        <w:r w:rsidRPr="002B2EFA">
          <w:rPr>
            <w:rStyle w:val="Hyperlink"/>
            <w:rFonts w:eastAsiaTheme="minorEastAsia" w:cs="Times"/>
            <w:sz w:val="18"/>
            <w:szCs w:val="18"/>
            <w:lang w:val="en-US"/>
          </w:rPr>
          <w:t>Kazakhstan: Journal Loses Shutdown Appeal</w:t>
        </w:r>
      </w:hyperlink>
      <w:r w:rsidRPr="002B2EFA">
        <w:rPr>
          <w:rFonts w:eastAsiaTheme="minorEastAsia" w:cs="Times"/>
          <w:color w:val="343434"/>
          <w:sz w:val="18"/>
          <w:szCs w:val="18"/>
          <w:lang w:val="en-US"/>
        </w:rPr>
        <w:t xml:space="preserve">, Human Rights Watch, February 2015. </w:t>
      </w:r>
    </w:p>
  </w:endnote>
  <w:endnote w:id="75">
    <w:p w14:paraId="22D5B80F" w14:textId="46D277DA" w:rsidR="00CB079B" w:rsidRPr="002B2EFA" w:rsidRDefault="00CB079B" w:rsidP="00ED557A">
      <w:pPr>
        <w:spacing w:after="0" w:line="240" w:lineRule="auto"/>
        <w:rPr>
          <w:sz w:val="18"/>
          <w:szCs w:val="18"/>
        </w:rPr>
      </w:pPr>
      <w:r w:rsidRPr="002B2EFA">
        <w:rPr>
          <w:rStyle w:val="EndnoteReference"/>
          <w:sz w:val="18"/>
          <w:szCs w:val="18"/>
        </w:rPr>
        <w:endnoteRef/>
      </w:r>
      <w:r w:rsidRPr="004E5C7D">
        <w:rPr>
          <w:sz w:val="18"/>
          <w:szCs w:val="18"/>
          <w:lang w:val="en-GB"/>
        </w:rPr>
        <w:t xml:space="preserve"> </w:t>
      </w:r>
      <w:hyperlink r:id="rId69" w:history="1">
        <w:r w:rsidRPr="002B2EFA">
          <w:rPr>
            <w:rStyle w:val="Hyperlink"/>
            <w:sz w:val="18"/>
            <w:szCs w:val="18"/>
          </w:rPr>
          <w:t>Destination Justice Petitions the UN Working Group on Arbitrary Detention in the case of Ms. Zinaida Mukhortova</w:t>
        </w:r>
      </w:hyperlink>
      <w:r w:rsidRPr="002B2EFA">
        <w:rPr>
          <w:sz w:val="18"/>
          <w:szCs w:val="18"/>
        </w:rPr>
        <w:t>, Bureau.kz, November 2014.</w:t>
      </w:r>
    </w:p>
  </w:endnote>
  <w:endnote w:id="76">
    <w:p w14:paraId="7A3F6273" w14:textId="77777777" w:rsidR="00CB079B" w:rsidRPr="002B2EFA" w:rsidRDefault="00CB079B" w:rsidP="00D41E6A">
      <w:pPr>
        <w:spacing w:after="0" w:line="240" w:lineRule="auto"/>
        <w:rPr>
          <w:rFonts w:cs="Times"/>
          <w:color w:val="434343"/>
          <w:sz w:val="18"/>
          <w:szCs w:val="18"/>
          <w:lang w:val="en-US"/>
        </w:rPr>
      </w:pPr>
      <w:r w:rsidRPr="002B2EFA">
        <w:rPr>
          <w:rStyle w:val="EndnoteReference"/>
          <w:sz w:val="18"/>
          <w:szCs w:val="18"/>
        </w:rPr>
        <w:endnoteRef/>
      </w:r>
      <w:r w:rsidRPr="004E5C7D">
        <w:rPr>
          <w:sz w:val="18"/>
          <w:szCs w:val="18"/>
          <w:lang w:val="en-GB"/>
        </w:rPr>
        <w:t xml:space="preserve"> </w:t>
      </w:r>
      <w:hyperlink r:id="rId70" w:history="1">
        <w:r w:rsidRPr="002B2EFA">
          <w:rPr>
            <w:rStyle w:val="Hyperlink"/>
            <w:rFonts w:cs="Times"/>
            <w:sz w:val="18"/>
            <w:szCs w:val="18"/>
            <w:lang w:val="en-US"/>
          </w:rPr>
          <w:t>Statement By The UN Special Rapporteur</w:t>
        </w:r>
      </w:hyperlink>
      <w:r w:rsidRPr="002B2EFA">
        <w:rPr>
          <w:rFonts w:cs="Times"/>
          <w:color w:val="434343"/>
          <w:sz w:val="18"/>
          <w:szCs w:val="18"/>
          <w:lang w:val="en-US"/>
        </w:rPr>
        <w:t xml:space="preserve"> On The Rights To Freedom Of Peaceful Assembly And Of Association At The Conclusion Of His Visit To The Republic Of Kazakhstan, January 2015.</w:t>
      </w:r>
    </w:p>
  </w:endnote>
  <w:endnote w:id="77">
    <w:p w14:paraId="601DD896" w14:textId="77777777" w:rsidR="00CB079B" w:rsidRPr="002B2EFA" w:rsidRDefault="00CB079B" w:rsidP="00BC0350">
      <w:pPr>
        <w:widowControl w:val="0"/>
        <w:autoSpaceDE w:val="0"/>
        <w:autoSpaceDN w:val="0"/>
        <w:adjustRightInd w:val="0"/>
        <w:spacing w:after="0" w:line="240" w:lineRule="auto"/>
        <w:rPr>
          <w:rFonts w:cs="Helvetica Neue"/>
          <w:color w:val="303030"/>
          <w:sz w:val="18"/>
          <w:szCs w:val="18"/>
          <w:lang w:val="en-US"/>
        </w:rPr>
      </w:pPr>
      <w:r w:rsidRPr="002B2EFA">
        <w:rPr>
          <w:rStyle w:val="EndnoteReference"/>
          <w:sz w:val="18"/>
          <w:szCs w:val="18"/>
        </w:rPr>
        <w:endnoteRef/>
      </w:r>
      <w:r w:rsidRPr="002B2EFA">
        <w:rPr>
          <w:sz w:val="18"/>
          <w:szCs w:val="18"/>
          <w:lang w:val="en-GB"/>
        </w:rPr>
        <w:t xml:space="preserve"> </w:t>
      </w:r>
      <w:r w:rsidRPr="002B2EFA">
        <w:rPr>
          <w:rFonts w:cs="Helvetica Neue"/>
          <w:iCs/>
          <w:color w:val="303030"/>
          <w:sz w:val="18"/>
          <w:szCs w:val="18"/>
          <w:lang w:val="en-US"/>
        </w:rPr>
        <w:t>CCPR General Comment No. 25</w:t>
      </w:r>
      <w:r w:rsidRPr="002B2EFA">
        <w:rPr>
          <w:rFonts w:cs="Helvetica Neue"/>
          <w:i/>
          <w:iCs/>
          <w:color w:val="303030"/>
          <w:sz w:val="18"/>
          <w:szCs w:val="18"/>
          <w:lang w:val="en-US"/>
        </w:rPr>
        <w:t xml:space="preserve">, </w:t>
      </w:r>
      <w:r w:rsidRPr="002B2EFA">
        <w:rPr>
          <w:rFonts w:cs="Helvetica Neue"/>
          <w:color w:val="303030"/>
          <w:sz w:val="18"/>
          <w:szCs w:val="18"/>
          <w:lang w:val="en-US"/>
        </w:rPr>
        <w:t>UN Human Rights Committee (HRC), CCPR/C/21/Rev.1/Add.7</w:t>
      </w:r>
      <w:r w:rsidRPr="002B2EFA">
        <w:rPr>
          <w:sz w:val="18"/>
          <w:szCs w:val="18"/>
          <w:lang w:val="en-GB"/>
        </w:rPr>
        <w:t xml:space="preserve">, para 12, </w:t>
      </w:r>
      <w:r w:rsidRPr="002B2EFA">
        <w:rPr>
          <w:rFonts w:cs="Helvetica Neue"/>
          <w:color w:val="303030"/>
          <w:sz w:val="18"/>
          <w:szCs w:val="18"/>
          <w:lang w:val="en-US"/>
        </w:rPr>
        <w:t>12 July 1996.</w:t>
      </w:r>
    </w:p>
  </w:endnote>
  <w:endnote w:id="78">
    <w:p w14:paraId="7EF597A4" w14:textId="77777777" w:rsidR="00CB079B" w:rsidRPr="002B2EFA" w:rsidRDefault="00CB079B" w:rsidP="00BC0350">
      <w:pPr>
        <w:spacing w:after="0" w:line="240" w:lineRule="auto"/>
        <w:rPr>
          <w:rFonts w:cs="Times"/>
          <w:sz w:val="18"/>
          <w:szCs w:val="18"/>
          <w:lang w:val="en-US"/>
        </w:rPr>
      </w:pPr>
      <w:r w:rsidRPr="002B2EFA">
        <w:rPr>
          <w:rStyle w:val="EndnoteReference"/>
          <w:sz w:val="18"/>
          <w:szCs w:val="18"/>
        </w:rPr>
        <w:endnoteRef/>
      </w:r>
      <w:r w:rsidRPr="002B2EFA">
        <w:rPr>
          <w:sz w:val="18"/>
          <w:szCs w:val="18"/>
          <w:lang w:val="en-GB"/>
        </w:rPr>
        <w:t xml:space="preserve"> </w:t>
      </w:r>
      <w:hyperlink r:id="rId71" w:history="1">
        <w:r w:rsidRPr="002B2EFA">
          <w:rPr>
            <w:rStyle w:val="Hyperlink"/>
            <w:rFonts w:cs="Times"/>
            <w:sz w:val="18"/>
            <w:szCs w:val="18"/>
            <w:lang w:val="en-US"/>
          </w:rPr>
          <w:t>Kazakhstan, Early Presidential Election, 26 April 2015</w:t>
        </w:r>
      </w:hyperlink>
      <w:r w:rsidRPr="002B2EFA">
        <w:rPr>
          <w:rFonts w:cs="Times"/>
          <w:sz w:val="18"/>
          <w:szCs w:val="18"/>
          <w:lang w:val="en-US"/>
        </w:rPr>
        <w:t>: Statement of Preliminary Findings and Conclusions, OSCE, April 2015.</w:t>
      </w:r>
    </w:p>
  </w:endnote>
  <w:endnote w:id="79">
    <w:p w14:paraId="4B7130B5" w14:textId="77777777" w:rsidR="00CB079B" w:rsidRPr="002B2EFA" w:rsidRDefault="00CB079B" w:rsidP="001D2F36">
      <w:pPr>
        <w:spacing w:after="0" w:line="240" w:lineRule="auto"/>
        <w:rPr>
          <w:bCs/>
          <w:sz w:val="18"/>
          <w:szCs w:val="18"/>
        </w:rPr>
      </w:pPr>
      <w:r w:rsidRPr="002B2EFA">
        <w:rPr>
          <w:rStyle w:val="EndnoteReference"/>
          <w:sz w:val="18"/>
          <w:szCs w:val="18"/>
        </w:rPr>
        <w:endnoteRef/>
      </w:r>
      <w:r w:rsidRPr="002B2EFA">
        <w:rPr>
          <w:sz w:val="18"/>
          <w:szCs w:val="18"/>
          <w:lang w:val="en-GB"/>
        </w:rPr>
        <w:t xml:space="preserve"> </w:t>
      </w:r>
      <w:hyperlink r:id="rId72" w:history="1">
        <w:r w:rsidRPr="002B2EFA">
          <w:rPr>
            <w:rStyle w:val="Hyperlink"/>
            <w:bCs/>
            <w:sz w:val="18"/>
            <w:szCs w:val="18"/>
          </w:rPr>
          <w:t>ELECTION OBSERVATION MISSION</w:t>
        </w:r>
      </w:hyperlink>
      <w:r w:rsidRPr="002B2EFA">
        <w:rPr>
          <w:bCs/>
          <w:sz w:val="18"/>
          <w:szCs w:val="18"/>
        </w:rPr>
        <w:t>: Republic of Kazakhstan - Early Presidential Election, OSCE, page 4, 26 April 2015.</w:t>
      </w:r>
    </w:p>
  </w:endnote>
  <w:endnote w:id="80">
    <w:p w14:paraId="5066664C" w14:textId="50F2D114" w:rsidR="00CB079B" w:rsidRPr="002B2EFA" w:rsidRDefault="00CB079B" w:rsidP="001D2F36">
      <w:pPr>
        <w:spacing w:after="0" w:line="240" w:lineRule="auto"/>
        <w:rPr>
          <w:bCs/>
          <w:sz w:val="18"/>
          <w:szCs w:val="18"/>
        </w:rPr>
      </w:pPr>
      <w:r w:rsidRPr="002B2EFA">
        <w:rPr>
          <w:rStyle w:val="EndnoteReference"/>
          <w:sz w:val="18"/>
          <w:szCs w:val="18"/>
        </w:rPr>
        <w:endnoteRef/>
      </w:r>
      <w:r w:rsidRPr="002B2EFA">
        <w:rPr>
          <w:sz w:val="18"/>
          <w:szCs w:val="18"/>
          <w:lang w:val="en-GB"/>
        </w:rPr>
        <w:t xml:space="preserve"> </w:t>
      </w:r>
      <w:r w:rsidRPr="002B2EFA">
        <w:rPr>
          <w:sz w:val="18"/>
          <w:szCs w:val="18"/>
        </w:rPr>
        <w:t>Ibid</w:t>
      </w:r>
      <w:r w:rsidRPr="002B2EFA">
        <w:rPr>
          <w:bCs/>
          <w:sz w:val="18"/>
          <w:szCs w:val="18"/>
        </w:rPr>
        <w:t>,</w:t>
      </w:r>
      <w:r w:rsidRPr="002B2EFA">
        <w:rPr>
          <w:sz w:val="18"/>
          <w:szCs w:val="18"/>
        </w:rPr>
        <w:t xml:space="preserve"> </w:t>
      </w:r>
      <w:r w:rsidRPr="002B2EFA">
        <w:rPr>
          <w:bCs/>
          <w:sz w:val="18"/>
          <w:szCs w:val="18"/>
        </w:rPr>
        <w:t>page 5, 26 April 2015.</w:t>
      </w:r>
    </w:p>
  </w:endnote>
  <w:endnote w:id="81">
    <w:p w14:paraId="036F4396" w14:textId="0AFED6DD" w:rsidR="00CB079B" w:rsidRPr="002B2EFA" w:rsidRDefault="00CB079B" w:rsidP="001D2F36">
      <w:pPr>
        <w:spacing w:after="0" w:line="240" w:lineRule="auto"/>
        <w:rPr>
          <w:bCs/>
          <w:sz w:val="18"/>
          <w:szCs w:val="18"/>
        </w:rPr>
      </w:pPr>
      <w:r w:rsidRPr="002B2EFA">
        <w:rPr>
          <w:rStyle w:val="EndnoteReference"/>
          <w:sz w:val="18"/>
          <w:szCs w:val="18"/>
        </w:rPr>
        <w:endnoteRef/>
      </w:r>
      <w:r w:rsidRPr="002B2EFA">
        <w:rPr>
          <w:sz w:val="18"/>
          <w:szCs w:val="18"/>
          <w:lang w:val="en-GB"/>
        </w:rPr>
        <w:t xml:space="preserve"> </w:t>
      </w:r>
      <w:r w:rsidRPr="002B2EFA">
        <w:rPr>
          <w:sz w:val="18"/>
          <w:szCs w:val="18"/>
        </w:rPr>
        <w:t>Ibid</w:t>
      </w:r>
      <w:r w:rsidRPr="002B2EFA">
        <w:rPr>
          <w:bCs/>
          <w:sz w:val="18"/>
          <w:szCs w:val="18"/>
        </w:rPr>
        <w:t>, page 8, 26 April 2015.</w:t>
      </w:r>
    </w:p>
  </w:endnote>
  <w:endnote w:id="82">
    <w:p w14:paraId="34EC4576" w14:textId="3A72A049" w:rsidR="00CB079B" w:rsidRPr="002B2EFA" w:rsidRDefault="00CB079B">
      <w:pPr>
        <w:pStyle w:val="EndnoteText"/>
        <w:rPr>
          <w:sz w:val="18"/>
          <w:szCs w:val="18"/>
          <w:lang w:val="en-GB"/>
        </w:rPr>
      </w:pPr>
      <w:r w:rsidRPr="002B2EFA">
        <w:rPr>
          <w:rStyle w:val="EndnoteReference"/>
          <w:sz w:val="18"/>
          <w:szCs w:val="18"/>
        </w:rPr>
        <w:endnoteRef/>
      </w:r>
      <w:r w:rsidRPr="002B2EFA">
        <w:rPr>
          <w:sz w:val="18"/>
          <w:szCs w:val="18"/>
          <w:lang w:val="en-GB"/>
        </w:rPr>
        <w:t xml:space="preserve"> Ibid</w:t>
      </w:r>
      <w:r w:rsidRPr="002B2EFA">
        <w:rPr>
          <w:bCs/>
          <w:sz w:val="18"/>
          <w:szCs w:val="18"/>
          <w:lang w:val="en-GB"/>
        </w:rPr>
        <w:t>, page 1 and 9, 26 April 2015.</w:t>
      </w:r>
    </w:p>
  </w:endnote>
  <w:endnote w:id="83">
    <w:p w14:paraId="76505A4A" w14:textId="5D31303C" w:rsidR="00CB079B" w:rsidRPr="002B2EFA" w:rsidRDefault="00CB079B">
      <w:pPr>
        <w:pStyle w:val="EndnoteText"/>
        <w:rPr>
          <w:sz w:val="18"/>
          <w:szCs w:val="18"/>
          <w:lang w:val="en-GB"/>
        </w:rPr>
      </w:pPr>
      <w:r w:rsidRPr="002B2EFA">
        <w:rPr>
          <w:rStyle w:val="EndnoteReference"/>
          <w:sz w:val="18"/>
          <w:szCs w:val="18"/>
        </w:rPr>
        <w:endnoteRef/>
      </w:r>
      <w:r w:rsidRPr="002B2EFA">
        <w:rPr>
          <w:sz w:val="18"/>
          <w:szCs w:val="18"/>
          <w:lang w:val="en-GB"/>
        </w:rPr>
        <w:t xml:space="preserve"> Ibid</w:t>
      </w:r>
      <w:r w:rsidRPr="002B2EFA">
        <w:rPr>
          <w:bCs/>
          <w:sz w:val="18"/>
          <w:szCs w:val="18"/>
          <w:lang w:val="en-GB"/>
        </w:rPr>
        <w:t>, page 1, 26 April 2015</w:t>
      </w:r>
    </w:p>
  </w:endnote>
  <w:endnote w:id="84">
    <w:p w14:paraId="463E08A5" w14:textId="77777777" w:rsidR="00CB079B" w:rsidRPr="002B2EFA" w:rsidRDefault="00CB079B" w:rsidP="00E40580">
      <w:pPr>
        <w:pStyle w:val="EndnoteText"/>
        <w:rPr>
          <w:sz w:val="18"/>
          <w:szCs w:val="18"/>
          <w:lang w:val="en-GB"/>
        </w:rPr>
      </w:pPr>
      <w:r w:rsidRPr="002B2EFA">
        <w:rPr>
          <w:rStyle w:val="EndnoteReference"/>
          <w:sz w:val="18"/>
          <w:szCs w:val="18"/>
        </w:rPr>
        <w:endnoteRef/>
      </w:r>
      <w:r w:rsidRPr="004E5C7D">
        <w:rPr>
          <w:sz w:val="18"/>
          <w:szCs w:val="18"/>
          <w:lang w:val="en-GB"/>
        </w:rPr>
        <w:t xml:space="preserve"> </w:t>
      </w:r>
      <w:hyperlink r:id="rId73" w:history="1">
        <w:r w:rsidRPr="002B2EFA">
          <w:rPr>
            <w:rStyle w:val="Hyperlink"/>
            <w:rFonts w:eastAsiaTheme="minorEastAsia" w:cs="Times"/>
            <w:sz w:val="18"/>
            <w:szCs w:val="18"/>
            <w:lang w:val="en-US"/>
          </w:rPr>
          <w:t>EU-Kazakhstan Human Rights Dialogue</w:t>
        </w:r>
      </w:hyperlink>
      <w:r w:rsidRPr="002B2EFA">
        <w:rPr>
          <w:sz w:val="18"/>
          <w:szCs w:val="18"/>
          <w:lang w:val="en-GB"/>
        </w:rPr>
        <w:t>, European Union External Action, November 2014.</w:t>
      </w:r>
    </w:p>
  </w:endnote>
  <w:endnote w:id="85">
    <w:p w14:paraId="0BAFF5D2" w14:textId="77777777" w:rsidR="00CB079B" w:rsidRPr="002B2EFA" w:rsidRDefault="00CB079B" w:rsidP="00A4117D">
      <w:pPr>
        <w:spacing w:after="0" w:line="240" w:lineRule="auto"/>
        <w:rPr>
          <w:sz w:val="18"/>
          <w:szCs w:val="18"/>
        </w:rPr>
      </w:pPr>
      <w:r w:rsidRPr="002B2EFA">
        <w:rPr>
          <w:rStyle w:val="EndnoteReference"/>
          <w:sz w:val="18"/>
          <w:szCs w:val="18"/>
        </w:rPr>
        <w:endnoteRef/>
      </w:r>
      <w:r w:rsidRPr="002B2EFA">
        <w:rPr>
          <w:sz w:val="18"/>
          <w:szCs w:val="18"/>
        </w:rPr>
        <w:t xml:space="preserve"> </w:t>
      </w:r>
      <w:hyperlink r:id="rId74" w:history="1">
        <w:r w:rsidRPr="002B2EFA">
          <w:rPr>
            <w:rStyle w:val="Hyperlink"/>
            <w:sz w:val="18"/>
            <w:szCs w:val="18"/>
          </w:rPr>
          <w:t>Report of the Working Group on the Universal Periodic Review – Kazakhstan</w:t>
        </w:r>
      </w:hyperlink>
      <w:r w:rsidRPr="002B2EFA">
        <w:rPr>
          <w:sz w:val="18"/>
          <w:szCs w:val="18"/>
        </w:rPr>
        <w:t>, Human Rights Council, A/HRC/28/10</w:t>
      </w:r>
      <w:r w:rsidRPr="004E5C7D">
        <w:rPr>
          <w:sz w:val="18"/>
          <w:szCs w:val="18"/>
          <w:lang w:val="en-GB"/>
        </w:rPr>
        <w:t>, para 108, December 2014.</w:t>
      </w:r>
    </w:p>
  </w:endnote>
  <w:endnote w:id="86">
    <w:p w14:paraId="787639CD" w14:textId="77777777" w:rsidR="00CB079B" w:rsidRPr="002B2EFA" w:rsidRDefault="00CB079B" w:rsidP="00A4117D">
      <w:pPr>
        <w:spacing w:after="0" w:line="240" w:lineRule="auto"/>
        <w:rPr>
          <w:rFonts w:cs="Verdana"/>
          <w:bCs/>
          <w:sz w:val="18"/>
          <w:szCs w:val="18"/>
          <w:lang w:val="en-US"/>
        </w:rPr>
      </w:pPr>
      <w:r w:rsidRPr="002B2EFA">
        <w:rPr>
          <w:rStyle w:val="EndnoteReference"/>
          <w:sz w:val="18"/>
          <w:szCs w:val="18"/>
        </w:rPr>
        <w:endnoteRef/>
      </w:r>
      <w:r w:rsidRPr="002B2EFA">
        <w:rPr>
          <w:sz w:val="18"/>
          <w:szCs w:val="18"/>
        </w:rPr>
        <w:t xml:space="preserve"> </w:t>
      </w:r>
      <w:hyperlink r:id="rId75" w:history="1">
        <w:r w:rsidRPr="002B2EFA">
          <w:rPr>
            <w:rStyle w:val="Hyperlink"/>
            <w:rFonts w:cs="Verdana"/>
            <w:bCs/>
            <w:sz w:val="18"/>
            <w:szCs w:val="18"/>
            <w:lang w:val="en-US"/>
          </w:rPr>
          <w:t>Stifling civil society in Kazakhstan</w:t>
        </w:r>
      </w:hyperlink>
      <w:r w:rsidRPr="002B2EFA">
        <w:rPr>
          <w:rFonts w:cs="Verdana"/>
          <w:bCs/>
          <w:sz w:val="18"/>
          <w:szCs w:val="18"/>
          <w:lang w:val="en-US"/>
        </w:rPr>
        <w:t>, Tajikistan and Turkmenistan: Current concerns, International Partnership for Human Rights, April 2015</w:t>
      </w:r>
      <w:r w:rsidRPr="004E5C7D">
        <w:rPr>
          <w:sz w:val="18"/>
          <w:szCs w:val="18"/>
          <w:lang w:val="en-GB"/>
        </w:rPr>
        <w:t>.</w:t>
      </w:r>
    </w:p>
  </w:endnote>
  <w:endnote w:id="87">
    <w:p w14:paraId="1D27EB10" w14:textId="453BA9B9" w:rsidR="00CB079B" w:rsidRPr="002B2EFA" w:rsidRDefault="00CB079B" w:rsidP="008E408B">
      <w:pPr>
        <w:pStyle w:val="EndnoteText"/>
        <w:rPr>
          <w:sz w:val="18"/>
          <w:szCs w:val="18"/>
          <w:lang w:val="en-GB"/>
        </w:rPr>
      </w:pPr>
      <w:r w:rsidRPr="002B2EFA">
        <w:rPr>
          <w:rStyle w:val="EndnoteReference"/>
          <w:sz w:val="18"/>
          <w:szCs w:val="18"/>
        </w:rPr>
        <w:endnoteRef/>
      </w:r>
      <w:r w:rsidRPr="004E5C7D">
        <w:rPr>
          <w:sz w:val="18"/>
          <w:szCs w:val="18"/>
          <w:lang w:val="en-GB"/>
        </w:rPr>
        <w:t xml:space="preserve"> </w:t>
      </w:r>
      <w:hyperlink r:id="rId76" w:anchor="sthash.sfnOiktI.dpuf" w:history="1">
        <w:r w:rsidRPr="002B2EFA">
          <w:rPr>
            <w:rStyle w:val="Hyperlink"/>
            <w:rFonts w:eastAsiaTheme="minorEastAsia" w:cs="Verdana"/>
            <w:sz w:val="18"/>
            <w:szCs w:val="18"/>
            <w:lang w:val="en-US"/>
          </w:rPr>
          <w:t>Opening remarks by UN High Commissioner for Human Rights Navi Pillay</w:t>
        </w:r>
      </w:hyperlink>
      <w:r w:rsidRPr="002B2EFA">
        <w:rPr>
          <w:rFonts w:eastAsiaTheme="minorEastAsia" w:cs="Verdana"/>
          <w:sz w:val="18"/>
          <w:szCs w:val="18"/>
          <w:lang w:val="en-US"/>
        </w:rPr>
        <w:t xml:space="preserve"> at a press conference during her mission to Kazakhstan Astana, 12 July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ndida BT">
    <w:altName w:val="Cambria"/>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Black">
    <w:altName w:val="Calibri"/>
    <w:charset w:val="00"/>
    <w:family w:val="auto"/>
    <w:pitch w:val="variable"/>
    <w:sig w:usb0="00000003" w:usb1="4000604A"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D7AE" w14:textId="77777777" w:rsidR="00671369" w:rsidRDefault="00671369">
    <w:pPr>
      <w:pStyle w:val="Footer"/>
      <w:jc w:val="center"/>
    </w:pPr>
    <w:r>
      <w:fldChar w:fldCharType="begin"/>
    </w:r>
    <w:r>
      <w:instrText xml:space="preserve"> PAGE   \* MERGEFORMAT </w:instrText>
    </w:r>
    <w:r>
      <w:fldChar w:fldCharType="separate"/>
    </w:r>
    <w:r w:rsidR="00250CA2">
      <w:rPr>
        <w:noProof/>
      </w:rPr>
      <w:t>8</w:t>
    </w:r>
    <w:r>
      <w:fldChar w:fldCharType="end"/>
    </w:r>
  </w:p>
  <w:p w14:paraId="7BC0F16B" w14:textId="77777777" w:rsidR="00671369" w:rsidRDefault="00671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EA53" w14:textId="77777777" w:rsidR="00C91661" w:rsidRDefault="00C91661" w:rsidP="00717498">
      <w:pPr>
        <w:spacing w:after="0" w:line="240" w:lineRule="auto"/>
      </w:pPr>
      <w:r>
        <w:separator/>
      </w:r>
    </w:p>
  </w:footnote>
  <w:footnote w:type="continuationSeparator" w:id="0">
    <w:p w14:paraId="2DEEF773" w14:textId="77777777" w:rsidR="00C91661" w:rsidRDefault="00C91661" w:rsidP="00717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352F" w14:textId="77777777" w:rsidR="00671369" w:rsidRDefault="00671369" w:rsidP="00496F07">
    <w:r>
      <w:rPr>
        <w:noProof/>
        <w:lang w:val="en-GB" w:eastAsia="en-GB"/>
      </w:rPr>
      <w:drawing>
        <wp:inline distT="0" distB="0" distL="0" distR="0" wp14:anchorId="3226B838" wp14:editId="1276100B">
          <wp:extent cx="2638800" cy="302400"/>
          <wp:effectExtent l="0" t="0" r="0" b="2540"/>
          <wp:docPr id="2" name="Picture 2" descr="C:\Users\w.ramsay\Desktop\Design\Pictures\logo_doc_i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say\Desktop\Design\Pictures\logo_doc_is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800" cy="302400"/>
                  </a:xfrm>
                  <a:prstGeom prst="rect">
                    <a:avLst/>
                  </a:prstGeom>
                  <a:noFill/>
                  <a:ln>
                    <a:noFill/>
                  </a:ln>
                </pic:spPr>
              </pic:pic>
            </a:graphicData>
          </a:graphic>
        </wp:inline>
      </w:drawing>
    </w:r>
  </w:p>
  <w:tbl>
    <w:tblPr>
      <w:tblW w:w="10375" w:type="dxa"/>
      <w:tblLook w:val="01E0" w:firstRow="1" w:lastRow="1" w:firstColumn="1" w:lastColumn="1" w:noHBand="0" w:noVBand="0"/>
    </w:tblPr>
    <w:tblGrid>
      <w:gridCol w:w="5495"/>
      <w:gridCol w:w="4880"/>
    </w:tblGrid>
    <w:tr w:rsidR="00671369" w:rsidRPr="00E34398" w14:paraId="0C68F90A" w14:textId="77777777" w:rsidTr="00671369">
      <w:trPr>
        <w:trHeight w:val="1408"/>
      </w:trPr>
      <w:tc>
        <w:tcPr>
          <w:tcW w:w="5495" w:type="dxa"/>
          <w:shd w:val="clear" w:color="auto" w:fill="auto"/>
        </w:tcPr>
        <w:p w14:paraId="74957E66" w14:textId="3407DB8E" w:rsidR="00671369" w:rsidRPr="0023077F" w:rsidRDefault="00671369" w:rsidP="00671369">
          <w:pPr>
            <w:spacing w:before="100" w:beforeAutospacing="1" w:after="100" w:afterAutospacing="1" w:line="240" w:lineRule="auto"/>
            <w:rPr>
              <w:rFonts w:cs="Arial"/>
              <w:b/>
              <w:sz w:val="32"/>
              <w:lang w:val="en-US"/>
            </w:rPr>
          </w:pPr>
          <w:r w:rsidRPr="00F60E8E">
            <w:rPr>
              <w:rFonts w:ascii="Gill Sans MT" w:eastAsiaTheme="minorEastAsia" w:hAnsi="Gill Sans MT"/>
              <w:color w:val="565456"/>
              <w:sz w:val="52"/>
              <w:szCs w:val="52"/>
              <w:lang w:val="pt-BR"/>
            </w:rPr>
            <w:t xml:space="preserve">THE SITUATION OF </w:t>
          </w:r>
          <w:r w:rsidRPr="00F60E8E">
            <w:rPr>
              <w:rFonts w:ascii="Gill Sans MT" w:eastAsiaTheme="minorEastAsia" w:hAnsi="Gill Sans MT"/>
              <w:color w:val="565456"/>
              <w:sz w:val="36"/>
              <w:szCs w:val="36"/>
              <w:lang w:val="pt-BR"/>
            </w:rPr>
            <w:t>HUMAN RIGHTS DEFENDERS</w:t>
          </w:r>
        </w:p>
      </w:tc>
      <w:tc>
        <w:tcPr>
          <w:tcW w:w="4880" w:type="dxa"/>
          <w:shd w:val="clear" w:color="auto" w:fill="auto"/>
        </w:tcPr>
        <w:p w14:paraId="4D3C7BD6" w14:textId="5CE21A82" w:rsidR="00671369" w:rsidRPr="004949FF" w:rsidRDefault="00671369" w:rsidP="004949FF">
          <w:pPr>
            <w:spacing w:before="100" w:beforeAutospacing="1" w:after="100" w:afterAutospacing="1" w:line="240" w:lineRule="auto"/>
            <w:rPr>
              <w:rFonts w:ascii="Times" w:eastAsiaTheme="minorEastAsia" w:hAnsi="Times"/>
              <w:sz w:val="66"/>
              <w:szCs w:val="66"/>
              <w:lang w:val="pt-BR"/>
            </w:rPr>
          </w:pPr>
          <w:r>
            <w:rPr>
              <w:rFonts w:ascii="Gill Sans MT" w:eastAsiaTheme="minorEastAsia" w:hAnsi="Gill Sans MT"/>
              <w:color w:val="565456"/>
              <w:sz w:val="70"/>
              <w:szCs w:val="70"/>
              <w:lang w:val="pt-BR"/>
            </w:rPr>
            <w:t xml:space="preserve"> </w:t>
          </w:r>
          <w:r w:rsidRPr="00496F07">
            <w:rPr>
              <w:rFonts w:ascii="Gill Sans MT" w:eastAsiaTheme="minorEastAsia" w:hAnsi="Gill Sans MT"/>
              <w:color w:val="565456"/>
              <w:sz w:val="66"/>
              <w:szCs w:val="66"/>
              <w:lang w:val="pt-BR"/>
            </w:rPr>
            <w:t>KAZAKHSTAN</w:t>
          </w:r>
        </w:p>
      </w:tc>
    </w:tr>
  </w:tbl>
  <w:p w14:paraId="7DF233BF" w14:textId="637D1422" w:rsidR="00671369" w:rsidRPr="002561F2" w:rsidRDefault="00671369" w:rsidP="002561F2">
    <w:pPr>
      <w:pStyle w:val="NormalWeb"/>
      <w:jc w:val="right"/>
    </w:pPr>
    <w:r w:rsidRPr="00A43279">
      <w:rPr>
        <w:rFonts w:ascii="Gill Sans" w:hAnsi="Gill Sans" w:cs="Gill Sans"/>
        <w:b/>
        <w:bCs/>
        <w:color w:val="E50044"/>
        <w:sz w:val="24"/>
        <w:szCs w:val="24"/>
        <w:lang w:val="en-GB"/>
      </w:rPr>
      <w:t>Human Rights Committee Briefing Paper –</w:t>
    </w:r>
    <w:r>
      <w:rPr>
        <w:rFonts w:ascii="Gill Sans" w:hAnsi="Gill Sans" w:cs="Gill Sans"/>
        <w:b/>
        <w:bCs/>
        <w:color w:val="E50044"/>
        <w:sz w:val="24"/>
        <w:szCs w:val="24"/>
      </w:rPr>
      <w:t xml:space="preserve"> 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92BE6"/>
    <w:multiLevelType w:val="hybridMultilevel"/>
    <w:tmpl w:val="9B6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56F0A"/>
    <w:multiLevelType w:val="hybridMultilevel"/>
    <w:tmpl w:val="DF0EDD84"/>
    <w:lvl w:ilvl="0" w:tplc="CBC84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5E4EBB"/>
    <w:multiLevelType w:val="hybridMultilevel"/>
    <w:tmpl w:val="1F4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45F4C"/>
    <w:multiLevelType w:val="hybridMultilevel"/>
    <w:tmpl w:val="9B5247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933EF5"/>
    <w:multiLevelType w:val="hybridMultilevel"/>
    <w:tmpl w:val="F15E66F8"/>
    <w:lvl w:ilvl="0" w:tplc="100C0001">
      <w:start w:val="1"/>
      <w:numFmt w:val="bullet"/>
      <w:lvlText w:val=""/>
      <w:lvlJc w:val="left"/>
      <w:pPr>
        <w:ind w:left="360" w:hanging="360"/>
      </w:pPr>
      <w:rPr>
        <w:rFonts w:ascii="Symbol" w:hAnsi="Symbol"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nsid w:val="176B0D51"/>
    <w:multiLevelType w:val="hybridMultilevel"/>
    <w:tmpl w:val="27D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35D2D"/>
    <w:multiLevelType w:val="hybridMultilevel"/>
    <w:tmpl w:val="A00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A46E9"/>
    <w:multiLevelType w:val="hybridMultilevel"/>
    <w:tmpl w:val="72E2CB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93D545B"/>
    <w:multiLevelType w:val="hybridMultilevel"/>
    <w:tmpl w:val="AA1EF582"/>
    <w:lvl w:ilvl="0" w:tplc="0424340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6D4293"/>
    <w:multiLevelType w:val="hybridMultilevel"/>
    <w:tmpl w:val="A590F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F2A15AA"/>
    <w:multiLevelType w:val="hybridMultilevel"/>
    <w:tmpl w:val="ECD08F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F93589E"/>
    <w:multiLevelType w:val="hybridMultilevel"/>
    <w:tmpl w:val="4A6A35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19A0ECD"/>
    <w:multiLevelType w:val="hybridMultilevel"/>
    <w:tmpl w:val="E8B2ABF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691316"/>
    <w:multiLevelType w:val="hybridMultilevel"/>
    <w:tmpl w:val="9B5247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C67DD6"/>
    <w:multiLevelType w:val="hybridMultilevel"/>
    <w:tmpl w:val="ACA82EF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349C02A4"/>
    <w:multiLevelType w:val="hybridMultilevel"/>
    <w:tmpl w:val="1376EE98"/>
    <w:lvl w:ilvl="0" w:tplc="0C090001">
      <w:start w:val="1"/>
      <w:numFmt w:val="bullet"/>
      <w:lvlText w:val=""/>
      <w:lvlJc w:val="left"/>
      <w:pPr>
        <w:ind w:left="1891" w:hanging="360"/>
      </w:pPr>
      <w:rPr>
        <w:rFonts w:ascii="Symbol" w:hAnsi="Symbol" w:hint="default"/>
      </w:rPr>
    </w:lvl>
    <w:lvl w:ilvl="1" w:tplc="0C090003">
      <w:start w:val="1"/>
      <w:numFmt w:val="bullet"/>
      <w:lvlText w:val="o"/>
      <w:lvlJc w:val="left"/>
      <w:pPr>
        <w:ind w:left="2611" w:hanging="360"/>
      </w:pPr>
      <w:rPr>
        <w:rFonts w:ascii="Courier New" w:hAnsi="Courier New" w:cs="Courier New" w:hint="default"/>
      </w:rPr>
    </w:lvl>
    <w:lvl w:ilvl="2" w:tplc="0C090005" w:tentative="1">
      <w:start w:val="1"/>
      <w:numFmt w:val="bullet"/>
      <w:lvlText w:val=""/>
      <w:lvlJc w:val="left"/>
      <w:pPr>
        <w:ind w:left="3331" w:hanging="360"/>
      </w:pPr>
      <w:rPr>
        <w:rFonts w:ascii="Wingdings" w:hAnsi="Wingdings" w:hint="default"/>
      </w:rPr>
    </w:lvl>
    <w:lvl w:ilvl="3" w:tplc="0C090001" w:tentative="1">
      <w:start w:val="1"/>
      <w:numFmt w:val="bullet"/>
      <w:lvlText w:val=""/>
      <w:lvlJc w:val="left"/>
      <w:pPr>
        <w:ind w:left="4051" w:hanging="360"/>
      </w:pPr>
      <w:rPr>
        <w:rFonts w:ascii="Symbol" w:hAnsi="Symbol" w:hint="default"/>
      </w:rPr>
    </w:lvl>
    <w:lvl w:ilvl="4" w:tplc="0C090003" w:tentative="1">
      <w:start w:val="1"/>
      <w:numFmt w:val="bullet"/>
      <w:lvlText w:val="o"/>
      <w:lvlJc w:val="left"/>
      <w:pPr>
        <w:ind w:left="4771" w:hanging="360"/>
      </w:pPr>
      <w:rPr>
        <w:rFonts w:ascii="Courier New" w:hAnsi="Courier New" w:cs="Courier New" w:hint="default"/>
      </w:rPr>
    </w:lvl>
    <w:lvl w:ilvl="5" w:tplc="0C090005" w:tentative="1">
      <w:start w:val="1"/>
      <w:numFmt w:val="bullet"/>
      <w:lvlText w:val=""/>
      <w:lvlJc w:val="left"/>
      <w:pPr>
        <w:ind w:left="5491" w:hanging="360"/>
      </w:pPr>
      <w:rPr>
        <w:rFonts w:ascii="Wingdings" w:hAnsi="Wingdings" w:hint="default"/>
      </w:rPr>
    </w:lvl>
    <w:lvl w:ilvl="6" w:tplc="0C090001" w:tentative="1">
      <w:start w:val="1"/>
      <w:numFmt w:val="bullet"/>
      <w:lvlText w:val=""/>
      <w:lvlJc w:val="left"/>
      <w:pPr>
        <w:ind w:left="6211" w:hanging="360"/>
      </w:pPr>
      <w:rPr>
        <w:rFonts w:ascii="Symbol" w:hAnsi="Symbol" w:hint="default"/>
      </w:rPr>
    </w:lvl>
    <w:lvl w:ilvl="7" w:tplc="0C090003" w:tentative="1">
      <w:start w:val="1"/>
      <w:numFmt w:val="bullet"/>
      <w:lvlText w:val="o"/>
      <w:lvlJc w:val="left"/>
      <w:pPr>
        <w:ind w:left="6931" w:hanging="360"/>
      </w:pPr>
      <w:rPr>
        <w:rFonts w:ascii="Courier New" w:hAnsi="Courier New" w:cs="Courier New" w:hint="default"/>
      </w:rPr>
    </w:lvl>
    <w:lvl w:ilvl="8" w:tplc="0C090005" w:tentative="1">
      <w:start w:val="1"/>
      <w:numFmt w:val="bullet"/>
      <w:lvlText w:val=""/>
      <w:lvlJc w:val="left"/>
      <w:pPr>
        <w:ind w:left="7651" w:hanging="360"/>
      </w:pPr>
      <w:rPr>
        <w:rFonts w:ascii="Wingdings" w:hAnsi="Wingdings" w:hint="default"/>
      </w:rPr>
    </w:lvl>
  </w:abstractNum>
  <w:abstractNum w:abstractNumId="17">
    <w:nsid w:val="3CEE24A4"/>
    <w:multiLevelType w:val="hybridMultilevel"/>
    <w:tmpl w:val="A6B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570E7"/>
    <w:multiLevelType w:val="hybridMultilevel"/>
    <w:tmpl w:val="995E5AFE"/>
    <w:lvl w:ilvl="0" w:tplc="100C0001">
      <w:start w:val="1"/>
      <w:numFmt w:val="bullet"/>
      <w:lvlText w:val=""/>
      <w:lvlJc w:val="left"/>
      <w:pPr>
        <w:ind w:left="581" w:hanging="360"/>
      </w:pPr>
      <w:rPr>
        <w:rFonts w:ascii="Symbol" w:hAnsi="Symbol" w:hint="default"/>
      </w:rPr>
    </w:lvl>
    <w:lvl w:ilvl="1" w:tplc="0C090003">
      <w:start w:val="1"/>
      <w:numFmt w:val="bullet"/>
      <w:lvlText w:val="o"/>
      <w:lvlJc w:val="left"/>
      <w:pPr>
        <w:ind w:left="1301" w:hanging="360"/>
      </w:pPr>
      <w:rPr>
        <w:rFonts w:ascii="Courier New" w:hAnsi="Courier New" w:cs="Courier New" w:hint="default"/>
      </w:rPr>
    </w:lvl>
    <w:lvl w:ilvl="2" w:tplc="0C090005" w:tentative="1">
      <w:start w:val="1"/>
      <w:numFmt w:val="bullet"/>
      <w:lvlText w:val=""/>
      <w:lvlJc w:val="left"/>
      <w:pPr>
        <w:ind w:left="2021" w:hanging="360"/>
      </w:pPr>
      <w:rPr>
        <w:rFonts w:ascii="Wingdings" w:hAnsi="Wingdings" w:hint="default"/>
      </w:rPr>
    </w:lvl>
    <w:lvl w:ilvl="3" w:tplc="0C090001" w:tentative="1">
      <w:start w:val="1"/>
      <w:numFmt w:val="bullet"/>
      <w:lvlText w:val=""/>
      <w:lvlJc w:val="left"/>
      <w:pPr>
        <w:ind w:left="2741" w:hanging="360"/>
      </w:pPr>
      <w:rPr>
        <w:rFonts w:ascii="Symbol" w:hAnsi="Symbol" w:hint="default"/>
      </w:rPr>
    </w:lvl>
    <w:lvl w:ilvl="4" w:tplc="0C090003" w:tentative="1">
      <w:start w:val="1"/>
      <w:numFmt w:val="bullet"/>
      <w:lvlText w:val="o"/>
      <w:lvlJc w:val="left"/>
      <w:pPr>
        <w:ind w:left="3461" w:hanging="360"/>
      </w:pPr>
      <w:rPr>
        <w:rFonts w:ascii="Courier New" w:hAnsi="Courier New" w:cs="Courier New" w:hint="default"/>
      </w:rPr>
    </w:lvl>
    <w:lvl w:ilvl="5" w:tplc="0C090005" w:tentative="1">
      <w:start w:val="1"/>
      <w:numFmt w:val="bullet"/>
      <w:lvlText w:val=""/>
      <w:lvlJc w:val="left"/>
      <w:pPr>
        <w:ind w:left="4181" w:hanging="360"/>
      </w:pPr>
      <w:rPr>
        <w:rFonts w:ascii="Wingdings" w:hAnsi="Wingdings" w:hint="default"/>
      </w:rPr>
    </w:lvl>
    <w:lvl w:ilvl="6" w:tplc="0C090001" w:tentative="1">
      <w:start w:val="1"/>
      <w:numFmt w:val="bullet"/>
      <w:lvlText w:val=""/>
      <w:lvlJc w:val="left"/>
      <w:pPr>
        <w:ind w:left="4901" w:hanging="360"/>
      </w:pPr>
      <w:rPr>
        <w:rFonts w:ascii="Symbol" w:hAnsi="Symbol" w:hint="default"/>
      </w:rPr>
    </w:lvl>
    <w:lvl w:ilvl="7" w:tplc="0C090003" w:tentative="1">
      <w:start w:val="1"/>
      <w:numFmt w:val="bullet"/>
      <w:lvlText w:val="o"/>
      <w:lvlJc w:val="left"/>
      <w:pPr>
        <w:ind w:left="5621" w:hanging="360"/>
      </w:pPr>
      <w:rPr>
        <w:rFonts w:ascii="Courier New" w:hAnsi="Courier New" w:cs="Courier New" w:hint="default"/>
      </w:rPr>
    </w:lvl>
    <w:lvl w:ilvl="8" w:tplc="0C090005" w:tentative="1">
      <w:start w:val="1"/>
      <w:numFmt w:val="bullet"/>
      <w:lvlText w:val=""/>
      <w:lvlJc w:val="left"/>
      <w:pPr>
        <w:ind w:left="6341" w:hanging="360"/>
      </w:pPr>
      <w:rPr>
        <w:rFonts w:ascii="Wingdings" w:hAnsi="Wingdings" w:hint="default"/>
      </w:rPr>
    </w:lvl>
  </w:abstractNum>
  <w:abstractNum w:abstractNumId="19">
    <w:nsid w:val="3F567ACD"/>
    <w:multiLevelType w:val="hybridMultilevel"/>
    <w:tmpl w:val="8C4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F21AE"/>
    <w:multiLevelType w:val="hybridMultilevel"/>
    <w:tmpl w:val="3C3C2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6F7A9E"/>
    <w:multiLevelType w:val="hybridMultilevel"/>
    <w:tmpl w:val="A390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80842"/>
    <w:multiLevelType w:val="hybridMultilevel"/>
    <w:tmpl w:val="00A8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790F51"/>
    <w:multiLevelType w:val="hybridMultilevel"/>
    <w:tmpl w:val="ECCE2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0383A"/>
    <w:multiLevelType w:val="hybridMultilevel"/>
    <w:tmpl w:val="32C641D0"/>
    <w:lvl w:ilvl="0" w:tplc="100C0001">
      <w:start w:val="1"/>
      <w:numFmt w:val="bullet"/>
      <w:lvlText w:val=""/>
      <w:lvlJc w:val="left"/>
      <w:pPr>
        <w:ind w:left="360" w:hanging="360"/>
      </w:pPr>
      <w:rPr>
        <w:rFonts w:ascii="Symbol" w:hAnsi="Symbol" w:hint="default"/>
        <w:b/>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nsid w:val="4A6247FF"/>
    <w:multiLevelType w:val="hybridMultilevel"/>
    <w:tmpl w:val="7C9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73B34"/>
    <w:multiLevelType w:val="hybridMultilevel"/>
    <w:tmpl w:val="D9C2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C5E52"/>
    <w:multiLevelType w:val="hybridMultilevel"/>
    <w:tmpl w:val="FAFC5EEC"/>
    <w:lvl w:ilvl="0" w:tplc="100C0001">
      <w:start w:val="1"/>
      <w:numFmt w:val="bullet"/>
      <w:lvlText w:val=""/>
      <w:lvlJc w:val="left"/>
      <w:pPr>
        <w:ind w:left="360" w:hanging="360"/>
      </w:pPr>
      <w:rPr>
        <w:rFonts w:ascii="Symbol" w:hAnsi="Symbol"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523D2780"/>
    <w:multiLevelType w:val="hybridMultilevel"/>
    <w:tmpl w:val="030C4C3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9">
    <w:nsid w:val="58D474E5"/>
    <w:multiLevelType w:val="hybridMultilevel"/>
    <w:tmpl w:val="02C482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FA50999"/>
    <w:multiLevelType w:val="hybridMultilevel"/>
    <w:tmpl w:val="7E50674C"/>
    <w:lvl w:ilvl="0" w:tplc="3D5077AC">
      <w:start w:val="1"/>
      <w:numFmt w:val="decimal"/>
      <w:pStyle w:val="Briefingpaper-heading"/>
      <w:lvlText w:val="%1."/>
      <w:lvlJc w:val="left"/>
      <w:pPr>
        <w:ind w:left="2160" w:hanging="360"/>
      </w:pPr>
      <w:rPr>
        <w:rFonts w:hint="default"/>
      </w:rPr>
    </w:lvl>
    <w:lvl w:ilvl="1" w:tplc="100C0019">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31">
    <w:nsid w:val="67921563"/>
    <w:multiLevelType w:val="hybridMultilevel"/>
    <w:tmpl w:val="60A4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75395E"/>
    <w:multiLevelType w:val="hybridMultilevel"/>
    <w:tmpl w:val="A532E966"/>
    <w:lvl w:ilvl="0" w:tplc="A9800982">
      <w:start w:val="1"/>
      <w:numFmt w:val="bullet"/>
      <w:pStyle w:val="Briefingpaper-list"/>
      <w:lvlText w:val=""/>
      <w:lvlJc w:val="left"/>
      <w:pPr>
        <w:ind w:left="360" w:hanging="360"/>
      </w:pPr>
      <w:rPr>
        <w:rFonts w:ascii="Symbol" w:hAnsi="Symbol" w:hint="default"/>
        <w:color w:val="auto"/>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nsid w:val="705D6805"/>
    <w:multiLevelType w:val="hybridMultilevel"/>
    <w:tmpl w:val="B666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F370A7"/>
    <w:multiLevelType w:val="hybridMultilevel"/>
    <w:tmpl w:val="FBEEA3BC"/>
    <w:lvl w:ilvl="0" w:tplc="100C0001">
      <w:start w:val="1"/>
      <w:numFmt w:val="bullet"/>
      <w:lvlText w:val=""/>
      <w:lvlJc w:val="left"/>
      <w:pPr>
        <w:ind w:left="360" w:hanging="360"/>
      </w:pPr>
      <w:rPr>
        <w:rFonts w:ascii="Symbol" w:hAnsi="Symbol"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5">
    <w:nsid w:val="78355E6D"/>
    <w:multiLevelType w:val="hybridMultilevel"/>
    <w:tmpl w:val="78C49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48303E"/>
    <w:multiLevelType w:val="hybridMultilevel"/>
    <w:tmpl w:val="501E11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79935FCD"/>
    <w:multiLevelType w:val="hybridMultilevel"/>
    <w:tmpl w:val="EF981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7176C4"/>
    <w:multiLevelType w:val="hybridMultilevel"/>
    <w:tmpl w:val="02A4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176270"/>
    <w:multiLevelType w:val="hybridMultilevel"/>
    <w:tmpl w:val="4BF8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5"/>
  </w:num>
  <w:num w:numId="4">
    <w:abstractNumId w:val="9"/>
  </w:num>
  <w:num w:numId="5">
    <w:abstractNumId w:val="39"/>
  </w:num>
  <w:num w:numId="6">
    <w:abstractNumId w:val="19"/>
  </w:num>
  <w:num w:numId="7">
    <w:abstractNumId w:val="17"/>
  </w:num>
  <w:num w:numId="8">
    <w:abstractNumId w:val="21"/>
  </w:num>
  <w:num w:numId="9">
    <w:abstractNumId w:val="0"/>
  </w:num>
  <w:num w:numId="10">
    <w:abstractNumId w:val="15"/>
  </w:num>
  <w:num w:numId="11">
    <w:abstractNumId w:val="25"/>
  </w:num>
  <w:num w:numId="12">
    <w:abstractNumId w:val="24"/>
  </w:num>
  <w:num w:numId="13">
    <w:abstractNumId w:val="34"/>
  </w:num>
  <w:num w:numId="14">
    <w:abstractNumId w:val="32"/>
  </w:num>
  <w:num w:numId="15">
    <w:abstractNumId w:val="29"/>
  </w:num>
  <w:num w:numId="16">
    <w:abstractNumId w:val="30"/>
  </w:num>
  <w:num w:numId="17">
    <w:abstractNumId w:val="36"/>
  </w:num>
  <w:num w:numId="18">
    <w:abstractNumId w:val="8"/>
  </w:num>
  <w:num w:numId="19">
    <w:abstractNumId w:val="12"/>
  </w:num>
  <w:num w:numId="20">
    <w:abstractNumId w:val="11"/>
  </w:num>
  <w:num w:numId="21">
    <w:abstractNumId w:val="28"/>
  </w:num>
  <w:num w:numId="22">
    <w:abstractNumId w:val="3"/>
  </w:num>
  <w:num w:numId="23">
    <w:abstractNumId w:val="26"/>
  </w:num>
  <w:num w:numId="24">
    <w:abstractNumId w:val="7"/>
  </w:num>
  <w:num w:numId="25">
    <w:abstractNumId w:val="16"/>
  </w:num>
  <w:num w:numId="26">
    <w:abstractNumId w:val="22"/>
  </w:num>
  <w:num w:numId="27">
    <w:abstractNumId w:val="14"/>
  </w:num>
  <w:num w:numId="28">
    <w:abstractNumId w:val="13"/>
  </w:num>
  <w:num w:numId="29">
    <w:abstractNumId w:val="1"/>
  </w:num>
  <w:num w:numId="30">
    <w:abstractNumId w:val="18"/>
  </w:num>
  <w:num w:numId="31">
    <w:abstractNumId w:val="31"/>
  </w:num>
  <w:num w:numId="32">
    <w:abstractNumId w:val="37"/>
  </w:num>
  <w:num w:numId="33">
    <w:abstractNumId w:val="33"/>
  </w:num>
  <w:num w:numId="34">
    <w:abstractNumId w:val="10"/>
  </w:num>
  <w:num w:numId="35">
    <w:abstractNumId w:val="35"/>
  </w:num>
  <w:num w:numId="36">
    <w:abstractNumId w:val="6"/>
  </w:num>
  <w:num w:numId="37">
    <w:abstractNumId w:val="23"/>
  </w:num>
  <w:num w:numId="38">
    <w:abstractNumId w:val="2"/>
  </w:num>
  <w:num w:numId="39">
    <w:abstractNumId w:val="2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60"/>
    <w:rsid w:val="000065E8"/>
    <w:rsid w:val="000202DE"/>
    <w:rsid w:val="000322C0"/>
    <w:rsid w:val="0003507D"/>
    <w:rsid w:val="000662AA"/>
    <w:rsid w:val="00072FA3"/>
    <w:rsid w:val="00086A4E"/>
    <w:rsid w:val="00092817"/>
    <w:rsid w:val="00093C1F"/>
    <w:rsid w:val="000B0180"/>
    <w:rsid w:val="000C1025"/>
    <w:rsid w:val="000D1E70"/>
    <w:rsid w:val="000D2DFA"/>
    <w:rsid w:val="000D6224"/>
    <w:rsid w:val="000E0851"/>
    <w:rsid w:val="000E44A5"/>
    <w:rsid w:val="000F39A8"/>
    <w:rsid w:val="00135BEF"/>
    <w:rsid w:val="00140C20"/>
    <w:rsid w:val="00155313"/>
    <w:rsid w:val="001642C2"/>
    <w:rsid w:val="00165CA7"/>
    <w:rsid w:val="001661A8"/>
    <w:rsid w:val="001669DE"/>
    <w:rsid w:val="00193DBD"/>
    <w:rsid w:val="001941AA"/>
    <w:rsid w:val="00196B6E"/>
    <w:rsid w:val="001B1A32"/>
    <w:rsid w:val="001B65BD"/>
    <w:rsid w:val="001D2F36"/>
    <w:rsid w:val="001D5D59"/>
    <w:rsid w:val="002248EF"/>
    <w:rsid w:val="002314C8"/>
    <w:rsid w:val="00242E03"/>
    <w:rsid w:val="00247E9A"/>
    <w:rsid w:val="00250CA2"/>
    <w:rsid w:val="002561F2"/>
    <w:rsid w:val="002826C5"/>
    <w:rsid w:val="0028492B"/>
    <w:rsid w:val="002854F2"/>
    <w:rsid w:val="002A5DEA"/>
    <w:rsid w:val="002B2EFA"/>
    <w:rsid w:val="002C7102"/>
    <w:rsid w:val="002D0101"/>
    <w:rsid w:val="002D6890"/>
    <w:rsid w:val="002E0182"/>
    <w:rsid w:val="002E4A93"/>
    <w:rsid w:val="003107F8"/>
    <w:rsid w:val="00322109"/>
    <w:rsid w:val="003410BB"/>
    <w:rsid w:val="003471B3"/>
    <w:rsid w:val="0036386E"/>
    <w:rsid w:val="003757C5"/>
    <w:rsid w:val="00381546"/>
    <w:rsid w:val="003872C1"/>
    <w:rsid w:val="00394A68"/>
    <w:rsid w:val="00395BFA"/>
    <w:rsid w:val="003A3964"/>
    <w:rsid w:val="003A598E"/>
    <w:rsid w:val="003B7F5D"/>
    <w:rsid w:val="003E0C06"/>
    <w:rsid w:val="003F62C8"/>
    <w:rsid w:val="004219E1"/>
    <w:rsid w:val="00445BCA"/>
    <w:rsid w:val="00456BA8"/>
    <w:rsid w:val="00460523"/>
    <w:rsid w:val="00460EFF"/>
    <w:rsid w:val="004664FD"/>
    <w:rsid w:val="004723A4"/>
    <w:rsid w:val="004949FF"/>
    <w:rsid w:val="00496F07"/>
    <w:rsid w:val="004A61F2"/>
    <w:rsid w:val="004A64DD"/>
    <w:rsid w:val="004D71CF"/>
    <w:rsid w:val="004E5C7D"/>
    <w:rsid w:val="004F59DF"/>
    <w:rsid w:val="00506782"/>
    <w:rsid w:val="005426F1"/>
    <w:rsid w:val="00562E59"/>
    <w:rsid w:val="00562EC9"/>
    <w:rsid w:val="00573BAF"/>
    <w:rsid w:val="005754E5"/>
    <w:rsid w:val="00580D9B"/>
    <w:rsid w:val="00590DE5"/>
    <w:rsid w:val="005A3454"/>
    <w:rsid w:val="005A6056"/>
    <w:rsid w:val="005B0316"/>
    <w:rsid w:val="005B3A30"/>
    <w:rsid w:val="005C3EC0"/>
    <w:rsid w:val="005F23BE"/>
    <w:rsid w:val="00617E4A"/>
    <w:rsid w:val="00636BCA"/>
    <w:rsid w:val="006544D2"/>
    <w:rsid w:val="0065498A"/>
    <w:rsid w:val="00665335"/>
    <w:rsid w:val="00671369"/>
    <w:rsid w:val="00683AEF"/>
    <w:rsid w:val="0068458F"/>
    <w:rsid w:val="006947FB"/>
    <w:rsid w:val="006A24E3"/>
    <w:rsid w:val="006A5F78"/>
    <w:rsid w:val="006B0E64"/>
    <w:rsid w:val="006B6A98"/>
    <w:rsid w:val="006C7AB6"/>
    <w:rsid w:val="006D5076"/>
    <w:rsid w:val="006E3C76"/>
    <w:rsid w:val="006F6786"/>
    <w:rsid w:val="006F6909"/>
    <w:rsid w:val="0070253E"/>
    <w:rsid w:val="00702BFB"/>
    <w:rsid w:val="00704280"/>
    <w:rsid w:val="00710705"/>
    <w:rsid w:val="007120F2"/>
    <w:rsid w:val="00713911"/>
    <w:rsid w:val="00717498"/>
    <w:rsid w:val="007220D2"/>
    <w:rsid w:val="00742263"/>
    <w:rsid w:val="007454F7"/>
    <w:rsid w:val="00754A71"/>
    <w:rsid w:val="007550F5"/>
    <w:rsid w:val="00765AA2"/>
    <w:rsid w:val="00766F51"/>
    <w:rsid w:val="00771A57"/>
    <w:rsid w:val="00774C90"/>
    <w:rsid w:val="00795894"/>
    <w:rsid w:val="007A1E15"/>
    <w:rsid w:val="007B320C"/>
    <w:rsid w:val="007D2671"/>
    <w:rsid w:val="007E156D"/>
    <w:rsid w:val="007E27C0"/>
    <w:rsid w:val="007E6D07"/>
    <w:rsid w:val="007E6EE0"/>
    <w:rsid w:val="007F2578"/>
    <w:rsid w:val="00805906"/>
    <w:rsid w:val="00811C37"/>
    <w:rsid w:val="00821B41"/>
    <w:rsid w:val="00830AC4"/>
    <w:rsid w:val="008336BB"/>
    <w:rsid w:val="00835E61"/>
    <w:rsid w:val="0085230F"/>
    <w:rsid w:val="008571FD"/>
    <w:rsid w:val="0087149E"/>
    <w:rsid w:val="00884A53"/>
    <w:rsid w:val="00886883"/>
    <w:rsid w:val="00897405"/>
    <w:rsid w:val="008A5F7C"/>
    <w:rsid w:val="008B6805"/>
    <w:rsid w:val="008D3FFB"/>
    <w:rsid w:val="008E408B"/>
    <w:rsid w:val="008E59D5"/>
    <w:rsid w:val="008F0F91"/>
    <w:rsid w:val="008F3399"/>
    <w:rsid w:val="009039CE"/>
    <w:rsid w:val="009142E6"/>
    <w:rsid w:val="009252E9"/>
    <w:rsid w:val="00943602"/>
    <w:rsid w:val="00957AD2"/>
    <w:rsid w:val="009707B9"/>
    <w:rsid w:val="00973F05"/>
    <w:rsid w:val="009752B6"/>
    <w:rsid w:val="00984D80"/>
    <w:rsid w:val="00990B8F"/>
    <w:rsid w:val="009978AB"/>
    <w:rsid w:val="009A219A"/>
    <w:rsid w:val="009B011A"/>
    <w:rsid w:val="009C382D"/>
    <w:rsid w:val="009C731B"/>
    <w:rsid w:val="009F0869"/>
    <w:rsid w:val="009F659A"/>
    <w:rsid w:val="00A00B49"/>
    <w:rsid w:val="00A02080"/>
    <w:rsid w:val="00A04982"/>
    <w:rsid w:val="00A26729"/>
    <w:rsid w:val="00A374F7"/>
    <w:rsid w:val="00A4117D"/>
    <w:rsid w:val="00A419D2"/>
    <w:rsid w:val="00A43279"/>
    <w:rsid w:val="00A434C4"/>
    <w:rsid w:val="00A53C9E"/>
    <w:rsid w:val="00A7601C"/>
    <w:rsid w:val="00A83132"/>
    <w:rsid w:val="00A923A2"/>
    <w:rsid w:val="00AB0D7A"/>
    <w:rsid w:val="00AC1A9C"/>
    <w:rsid w:val="00AC49A2"/>
    <w:rsid w:val="00AC6CBA"/>
    <w:rsid w:val="00AC7846"/>
    <w:rsid w:val="00B5295C"/>
    <w:rsid w:val="00B65F75"/>
    <w:rsid w:val="00B91BBA"/>
    <w:rsid w:val="00B92037"/>
    <w:rsid w:val="00B936F1"/>
    <w:rsid w:val="00B95D23"/>
    <w:rsid w:val="00BA22E0"/>
    <w:rsid w:val="00BA5E16"/>
    <w:rsid w:val="00BA688B"/>
    <w:rsid w:val="00BA6FED"/>
    <w:rsid w:val="00BA724E"/>
    <w:rsid w:val="00BA7A24"/>
    <w:rsid w:val="00BB78DB"/>
    <w:rsid w:val="00BC0350"/>
    <w:rsid w:val="00BC25E7"/>
    <w:rsid w:val="00BC4F92"/>
    <w:rsid w:val="00BC5EB5"/>
    <w:rsid w:val="00BF0F5C"/>
    <w:rsid w:val="00BF20AB"/>
    <w:rsid w:val="00C07000"/>
    <w:rsid w:val="00C32D13"/>
    <w:rsid w:val="00C54D60"/>
    <w:rsid w:val="00C853B4"/>
    <w:rsid w:val="00C91661"/>
    <w:rsid w:val="00C9456E"/>
    <w:rsid w:val="00C96872"/>
    <w:rsid w:val="00CB079B"/>
    <w:rsid w:val="00CB1C95"/>
    <w:rsid w:val="00CF479F"/>
    <w:rsid w:val="00CF6049"/>
    <w:rsid w:val="00D03157"/>
    <w:rsid w:val="00D120BB"/>
    <w:rsid w:val="00D240D2"/>
    <w:rsid w:val="00D40EDF"/>
    <w:rsid w:val="00D41E6A"/>
    <w:rsid w:val="00D45EE4"/>
    <w:rsid w:val="00D6600E"/>
    <w:rsid w:val="00D671EB"/>
    <w:rsid w:val="00D717E9"/>
    <w:rsid w:val="00D842A5"/>
    <w:rsid w:val="00D87242"/>
    <w:rsid w:val="00D94F5B"/>
    <w:rsid w:val="00DA5BF7"/>
    <w:rsid w:val="00DB3170"/>
    <w:rsid w:val="00DB6A31"/>
    <w:rsid w:val="00DC54AA"/>
    <w:rsid w:val="00DC5BCB"/>
    <w:rsid w:val="00DC73FF"/>
    <w:rsid w:val="00DE28EA"/>
    <w:rsid w:val="00DE5907"/>
    <w:rsid w:val="00DE6365"/>
    <w:rsid w:val="00E24980"/>
    <w:rsid w:val="00E40580"/>
    <w:rsid w:val="00E4123F"/>
    <w:rsid w:val="00E44634"/>
    <w:rsid w:val="00E655C6"/>
    <w:rsid w:val="00E721CB"/>
    <w:rsid w:val="00E969C2"/>
    <w:rsid w:val="00EC0CC7"/>
    <w:rsid w:val="00EC17AA"/>
    <w:rsid w:val="00ED557A"/>
    <w:rsid w:val="00ED71BD"/>
    <w:rsid w:val="00EE09A2"/>
    <w:rsid w:val="00EE7692"/>
    <w:rsid w:val="00EF0238"/>
    <w:rsid w:val="00EF3E4B"/>
    <w:rsid w:val="00F03B46"/>
    <w:rsid w:val="00F16990"/>
    <w:rsid w:val="00F171C5"/>
    <w:rsid w:val="00F22C27"/>
    <w:rsid w:val="00F37432"/>
    <w:rsid w:val="00F4363E"/>
    <w:rsid w:val="00F80D9D"/>
    <w:rsid w:val="00F814EF"/>
    <w:rsid w:val="00F83F42"/>
    <w:rsid w:val="00FA7726"/>
    <w:rsid w:val="00FB3B19"/>
    <w:rsid w:val="00FC2E58"/>
    <w:rsid w:val="00FD11D7"/>
    <w:rsid w:val="00FD2CF8"/>
    <w:rsid w:val="00FF54F7"/>
    <w:rsid w:val="00FF679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A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98"/>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717498"/>
    <w:pPr>
      <w:spacing w:after="0" w:line="240" w:lineRule="auto"/>
    </w:pPr>
    <w:rPr>
      <w:sz w:val="20"/>
      <w:szCs w:val="20"/>
    </w:rPr>
  </w:style>
  <w:style w:type="character" w:customStyle="1" w:styleId="FootnoteTextChar">
    <w:name w:val="Footnote Text Char"/>
    <w:aliases w:val="5_G Char"/>
    <w:basedOn w:val="DefaultParagraphFont"/>
    <w:link w:val="FootnoteText"/>
    <w:rsid w:val="00717498"/>
    <w:rPr>
      <w:rFonts w:ascii="Calibri" w:eastAsia="Calibri" w:hAnsi="Calibri" w:cs="Times New Roman"/>
      <w:sz w:val="20"/>
      <w:szCs w:val="20"/>
      <w:lang w:val="en-AU"/>
    </w:rPr>
  </w:style>
  <w:style w:type="character" w:styleId="FootnoteReference">
    <w:name w:val="footnote reference"/>
    <w:aliases w:val="4_G"/>
    <w:unhideWhenUsed/>
    <w:qFormat/>
    <w:rsid w:val="00717498"/>
    <w:rPr>
      <w:vertAlign w:val="superscript"/>
    </w:rPr>
  </w:style>
  <w:style w:type="paragraph" w:styleId="ListParagraph">
    <w:name w:val="List Paragraph"/>
    <w:basedOn w:val="Normal"/>
    <w:uiPriority w:val="34"/>
    <w:qFormat/>
    <w:rsid w:val="00717498"/>
    <w:pPr>
      <w:ind w:left="720"/>
      <w:contextualSpacing/>
    </w:pPr>
    <w:rPr>
      <w:lang w:val="fr-CH"/>
    </w:rPr>
  </w:style>
  <w:style w:type="character" w:styleId="Hyperlink">
    <w:name w:val="Hyperlink"/>
    <w:uiPriority w:val="99"/>
    <w:unhideWhenUsed/>
    <w:rsid w:val="00717498"/>
    <w:rPr>
      <w:color w:val="0000FF"/>
      <w:u w:val="single"/>
    </w:rPr>
  </w:style>
  <w:style w:type="paragraph" w:styleId="EndnoteText">
    <w:name w:val="endnote text"/>
    <w:basedOn w:val="Normal"/>
    <w:link w:val="EndnoteTextChar"/>
    <w:uiPriority w:val="99"/>
    <w:unhideWhenUsed/>
    <w:rsid w:val="00717498"/>
    <w:pPr>
      <w:spacing w:after="0" w:line="240" w:lineRule="auto"/>
    </w:pPr>
    <w:rPr>
      <w:sz w:val="20"/>
      <w:szCs w:val="20"/>
      <w:lang w:val="fr-CH"/>
    </w:rPr>
  </w:style>
  <w:style w:type="character" w:customStyle="1" w:styleId="EndnoteTextChar">
    <w:name w:val="Endnote Text Char"/>
    <w:basedOn w:val="DefaultParagraphFont"/>
    <w:link w:val="EndnoteText"/>
    <w:uiPriority w:val="99"/>
    <w:rsid w:val="00717498"/>
    <w:rPr>
      <w:rFonts w:ascii="Calibri" w:eastAsia="Calibri" w:hAnsi="Calibri" w:cs="Times New Roman"/>
      <w:sz w:val="20"/>
      <w:szCs w:val="20"/>
      <w:lang w:val="fr-CH"/>
    </w:rPr>
  </w:style>
  <w:style w:type="character" w:styleId="CommentReference">
    <w:name w:val="annotation reference"/>
    <w:uiPriority w:val="99"/>
    <w:semiHidden/>
    <w:unhideWhenUsed/>
    <w:rsid w:val="00717498"/>
    <w:rPr>
      <w:sz w:val="16"/>
      <w:szCs w:val="16"/>
    </w:rPr>
  </w:style>
  <w:style w:type="paragraph" w:styleId="CommentText">
    <w:name w:val="annotation text"/>
    <w:basedOn w:val="Normal"/>
    <w:link w:val="CommentTextChar"/>
    <w:uiPriority w:val="99"/>
    <w:semiHidden/>
    <w:unhideWhenUsed/>
    <w:rsid w:val="00717498"/>
    <w:pPr>
      <w:spacing w:line="240" w:lineRule="auto"/>
    </w:pPr>
    <w:rPr>
      <w:sz w:val="20"/>
      <w:szCs w:val="20"/>
    </w:rPr>
  </w:style>
  <w:style w:type="character" w:customStyle="1" w:styleId="CommentTextChar">
    <w:name w:val="Comment Text Char"/>
    <w:basedOn w:val="DefaultParagraphFont"/>
    <w:link w:val="CommentText"/>
    <w:uiPriority w:val="99"/>
    <w:semiHidden/>
    <w:rsid w:val="00717498"/>
    <w:rPr>
      <w:rFonts w:ascii="Calibri" w:eastAsia="Calibri" w:hAnsi="Calibri" w:cs="Times New Roman"/>
      <w:sz w:val="20"/>
      <w:szCs w:val="20"/>
      <w:lang w:val="en-AU"/>
    </w:rPr>
  </w:style>
  <w:style w:type="character" w:customStyle="1" w:styleId="A5">
    <w:name w:val="A5"/>
    <w:uiPriority w:val="99"/>
    <w:rsid w:val="00717498"/>
    <w:rPr>
      <w:rFonts w:cs="Candida BT"/>
      <w:color w:val="000000"/>
      <w:sz w:val="19"/>
      <w:szCs w:val="19"/>
    </w:rPr>
  </w:style>
  <w:style w:type="paragraph" w:styleId="Footer">
    <w:name w:val="footer"/>
    <w:basedOn w:val="Normal"/>
    <w:link w:val="FooterChar"/>
    <w:uiPriority w:val="99"/>
    <w:unhideWhenUsed/>
    <w:rsid w:val="00717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498"/>
    <w:rPr>
      <w:rFonts w:ascii="Calibri" w:eastAsia="Calibri" w:hAnsi="Calibri" w:cs="Times New Roman"/>
      <w:sz w:val="22"/>
      <w:szCs w:val="22"/>
      <w:lang w:val="en-AU"/>
    </w:rPr>
  </w:style>
  <w:style w:type="paragraph" w:styleId="BalloonText">
    <w:name w:val="Balloon Text"/>
    <w:basedOn w:val="Normal"/>
    <w:link w:val="BalloonTextChar"/>
    <w:uiPriority w:val="99"/>
    <w:semiHidden/>
    <w:unhideWhenUsed/>
    <w:rsid w:val="007174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498"/>
    <w:rPr>
      <w:rFonts w:ascii="Lucida Grande" w:eastAsia="Calibri" w:hAnsi="Lucida Grande" w:cs="Lucida Grande"/>
      <w:sz w:val="18"/>
      <w:szCs w:val="18"/>
      <w:lang w:val="en-AU"/>
    </w:rPr>
  </w:style>
  <w:style w:type="character" w:styleId="FollowedHyperlink">
    <w:name w:val="FollowedHyperlink"/>
    <w:basedOn w:val="DefaultParagraphFont"/>
    <w:uiPriority w:val="99"/>
    <w:semiHidden/>
    <w:unhideWhenUsed/>
    <w:rsid w:val="00717498"/>
    <w:rPr>
      <w:color w:val="800080" w:themeColor="followedHyperlink"/>
      <w:u w:val="single"/>
    </w:rPr>
  </w:style>
  <w:style w:type="paragraph" w:styleId="NormalWeb">
    <w:name w:val="Normal (Web)"/>
    <w:basedOn w:val="Normal"/>
    <w:uiPriority w:val="99"/>
    <w:unhideWhenUsed/>
    <w:rsid w:val="00140C20"/>
    <w:pPr>
      <w:spacing w:before="100" w:beforeAutospacing="1" w:after="100" w:afterAutospacing="1" w:line="240" w:lineRule="auto"/>
    </w:pPr>
    <w:rPr>
      <w:rFonts w:ascii="Times" w:eastAsiaTheme="minorEastAsia" w:hAnsi="Times"/>
      <w:sz w:val="20"/>
      <w:szCs w:val="20"/>
      <w:lang w:val="pt-BR"/>
    </w:rPr>
  </w:style>
  <w:style w:type="paragraph" w:styleId="Header">
    <w:name w:val="header"/>
    <w:basedOn w:val="Normal"/>
    <w:link w:val="HeaderChar"/>
    <w:uiPriority w:val="99"/>
    <w:unhideWhenUsed/>
    <w:rsid w:val="00D240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0D2"/>
    <w:rPr>
      <w:rFonts w:ascii="Calibri" w:eastAsia="Calibri" w:hAnsi="Calibri" w:cs="Times New Roman"/>
      <w:sz w:val="22"/>
      <w:szCs w:val="22"/>
      <w:lang w:val="en-AU"/>
    </w:rPr>
  </w:style>
  <w:style w:type="character" w:styleId="EndnoteReference">
    <w:name w:val="endnote reference"/>
    <w:basedOn w:val="DefaultParagraphFont"/>
    <w:uiPriority w:val="99"/>
    <w:unhideWhenUsed/>
    <w:rsid w:val="00D240D2"/>
    <w:rPr>
      <w:vertAlign w:val="superscript"/>
    </w:rPr>
  </w:style>
  <w:style w:type="paragraph" w:customStyle="1" w:styleId="Briefingpaper-list">
    <w:name w:val="Briefingpaper-list"/>
    <w:basedOn w:val="ListParagraph"/>
    <w:qFormat/>
    <w:rsid w:val="00AC49A2"/>
    <w:pPr>
      <w:numPr>
        <w:numId w:val="14"/>
      </w:numPr>
      <w:jc w:val="both"/>
    </w:pPr>
    <w:rPr>
      <w:rFonts w:ascii="Helvetica" w:eastAsiaTheme="minorHAnsi" w:hAnsi="Helvetica" w:cs="Arial"/>
      <w:sz w:val="20"/>
      <w:szCs w:val="20"/>
      <w:lang w:val="en-GB"/>
    </w:rPr>
  </w:style>
  <w:style w:type="paragraph" w:customStyle="1" w:styleId="Briefingpaper-heading">
    <w:name w:val="Briefingpaper-heading"/>
    <w:basedOn w:val="ListParagraph"/>
    <w:qFormat/>
    <w:rsid w:val="00F814EF"/>
    <w:pPr>
      <w:numPr>
        <w:numId w:val="16"/>
      </w:numPr>
      <w:spacing w:after="0"/>
      <w:ind w:left="357" w:hanging="357"/>
      <w:jc w:val="both"/>
    </w:pPr>
    <w:rPr>
      <w:rFonts w:ascii="Helvetica" w:eastAsiaTheme="minorHAnsi" w:hAnsi="Helvetica" w:cs="Arial"/>
      <w:b/>
      <w:sz w:val="20"/>
      <w:szCs w:val="20"/>
      <w:lang w:val="en-GB"/>
    </w:rPr>
  </w:style>
  <w:style w:type="paragraph" w:customStyle="1" w:styleId="Briefingpaper-conclusion">
    <w:name w:val="Briefingpaper-conclusion"/>
    <w:basedOn w:val="Normal"/>
    <w:qFormat/>
    <w:rsid w:val="00F814EF"/>
    <w:pPr>
      <w:jc w:val="both"/>
    </w:pPr>
    <w:rPr>
      <w:rFonts w:ascii="Lato Black" w:eastAsiaTheme="minorHAnsi" w:hAnsi="Lato Black" w:cs="Arial"/>
      <w:sz w:val="20"/>
      <w:szCs w:val="20"/>
      <w:lang w:val="en-GB"/>
    </w:rPr>
  </w:style>
  <w:style w:type="paragraph" w:customStyle="1" w:styleId="Default">
    <w:name w:val="Default"/>
    <w:rsid w:val="009F0869"/>
    <w:pPr>
      <w:autoSpaceDE w:val="0"/>
      <w:autoSpaceDN w:val="0"/>
      <w:adjustRightInd w:val="0"/>
    </w:pPr>
    <w:rPr>
      <w:rFonts w:ascii="Cambria" w:eastAsia="Calibri" w:hAnsi="Cambria" w:cs="Cambria"/>
      <w:color w:val="000000"/>
      <w:lang w:val="en-AU"/>
    </w:rPr>
  </w:style>
  <w:style w:type="paragraph" w:customStyle="1" w:styleId="H1G">
    <w:name w:val="_ H_1_G"/>
    <w:basedOn w:val="Normal"/>
    <w:next w:val="Normal"/>
    <w:rsid w:val="00193DBD"/>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customStyle="1" w:styleId="footnote">
    <w:name w:val="footnote"/>
    <w:basedOn w:val="Normal"/>
    <w:rsid w:val="00193DBD"/>
    <w:pPr>
      <w:spacing w:after="0" w:line="240" w:lineRule="auto"/>
    </w:pPr>
    <w:rPr>
      <w:sz w:val="20"/>
      <w:szCs w:val="20"/>
    </w:rPr>
  </w:style>
  <w:style w:type="character" w:styleId="Strong">
    <w:name w:val="Strong"/>
    <w:basedOn w:val="DefaultParagraphFont"/>
    <w:uiPriority w:val="22"/>
    <w:qFormat/>
    <w:rsid w:val="00CB1C95"/>
    <w:rPr>
      <w:b/>
      <w:bCs/>
    </w:rPr>
  </w:style>
  <w:style w:type="character" w:customStyle="1" w:styleId="apple-converted-space">
    <w:name w:val="apple-converted-space"/>
    <w:basedOn w:val="DefaultParagraphFont"/>
    <w:rsid w:val="00CB1C95"/>
  </w:style>
  <w:style w:type="paragraph" w:styleId="Revision">
    <w:name w:val="Revision"/>
    <w:hidden/>
    <w:uiPriority w:val="99"/>
    <w:semiHidden/>
    <w:rsid w:val="00671369"/>
    <w:rPr>
      <w:rFonts w:ascii="Calibri" w:eastAsia="Calibri" w:hAnsi="Calibri" w:cs="Times New Roman"/>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98"/>
    <w:pPr>
      <w:spacing w:after="200" w:line="276" w:lineRule="auto"/>
    </w:pPr>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717498"/>
    <w:pPr>
      <w:spacing w:after="0" w:line="240" w:lineRule="auto"/>
    </w:pPr>
    <w:rPr>
      <w:sz w:val="20"/>
      <w:szCs w:val="20"/>
    </w:rPr>
  </w:style>
  <w:style w:type="character" w:customStyle="1" w:styleId="FootnoteTextChar">
    <w:name w:val="Footnote Text Char"/>
    <w:aliases w:val="5_G Char"/>
    <w:basedOn w:val="DefaultParagraphFont"/>
    <w:link w:val="FootnoteText"/>
    <w:rsid w:val="00717498"/>
    <w:rPr>
      <w:rFonts w:ascii="Calibri" w:eastAsia="Calibri" w:hAnsi="Calibri" w:cs="Times New Roman"/>
      <w:sz w:val="20"/>
      <w:szCs w:val="20"/>
      <w:lang w:val="en-AU"/>
    </w:rPr>
  </w:style>
  <w:style w:type="character" w:styleId="FootnoteReference">
    <w:name w:val="footnote reference"/>
    <w:aliases w:val="4_G"/>
    <w:unhideWhenUsed/>
    <w:qFormat/>
    <w:rsid w:val="00717498"/>
    <w:rPr>
      <w:vertAlign w:val="superscript"/>
    </w:rPr>
  </w:style>
  <w:style w:type="paragraph" w:styleId="ListParagraph">
    <w:name w:val="List Paragraph"/>
    <w:basedOn w:val="Normal"/>
    <w:uiPriority w:val="34"/>
    <w:qFormat/>
    <w:rsid w:val="00717498"/>
    <w:pPr>
      <w:ind w:left="720"/>
      <w:contextualSpacing/>
    </w:pPr>
    <w:rPr>
      <w:lang w:val="fr-CH"/>
    </w:rPr>
  </w:style>
  <w:style w:type="character" w:styleId="Hyperlink">
    <w:name w:val="Hyperlink"/>
    <w:uiPriority w:val="99"/>
    <w:unhideWhenUsed/>
    <w:rsid w:val="00717498"/>
    <w:rPr>
      <w:color w:val="0000FF"/>
      <w:u w:val="single"/>
    </w:rPr>
  </w:style>
  <w:style w:type="paragraph" w:styleId="EndnoteText">
    <w:name w:val="endnote text"/>
    <w:basedOn w:val="Normal"/>
    <w:link w:val="EndnoteTextChar"/>
    <w:uiPriority w:val="99"/>
    <w:unhideWhenUsed/>
    <w:rsid w:val="00717498"/>
    <w:pPr>
      <w:spacing w:after="0" w:line="240" w:lineRule="auto"/>
    </w:pPr>
    <w:rPr>
      <w:sz w:val="20"/>
      <w:szCs w:val="20"/>
      <w:lang w:val="fr-CH"/>
    </w:rPr>
  </w:style>
  <w:style w:type="character" w:customStyle="1" w:styleId="EndnoteTextChar">
    <w:name w:val="Endnote Text Char"/>
    <w:basedOn w:val="DefaultParagraphFont"/>
    <w:link w:val="EndnoteText"/>
    <w:uiPriority w:val="99"/>
    <w:rsid w:val="00717498"/>
    <w:rPr>
      <w:rFonts w:ascii="Calibri" w:eastAsia="Calibri" w:hAnsi="Calibri" w:cs="Times New Roman"/>
      <w:sz w:val="20"/>
      <w:szCs w:val="20"/>
      <w:lang w:val="fr-CH"/>
    </w:rPr>
  </w:style>
  <w:style w:type="character" w:styleId="CommentReference">
    <w:name w:val="annotation reference"/>
    <w:uiPriority w:val="99"/>
    <w:semiHidden/>
    <w:unhideWhenUsed/>
    <w:rsid w:val="00717498"/>
    <w:rPr>
      <w:sz w:val="16"/>
      <w:szCs w:val="16"/>
    </w:rPr>
  </w:style>
  <w:style w:type="paragraph" w:styleId="CommentText">
    <w:name w:val="annotation text"/>
    <w:basedOn w:val="Normal"/>
    <w:link w:val="CommentTextChar"/>
    <w:uiPriority w:val="99"/>
    <w:semiHidden/>
    <w:unhideWhenUsed/>
    <w:rsid w:val="00717498"/>
    <w:pPr>
      <w:spacing w:line="240" w:lineRule="auto"/>
    </w:pPr>
    <w:rPr>
      <w:sz w:val="20"/>
      <w:szCs w:val="20"/>
    </w:rPr>
  </w:style>
  <w:style w:type="character" w:customStyle="1" w:styleId="CommentTextChar">
    <w:name w:val="Comment Text Char"/>
    <w:basedOn w:val="DefaultParagraphFont"/>
    <w:link w:val="CommentText"/>
    <w:uiPriority w:val="99"/>
    <w:semiHidden/>
    <w:rsid w:val="00717498"/>
    <w:rPr>
      <w:rFonts w:ascii="Calibri" w:eastAsia="Calibri" w:hAnsi="Calibri" w:cs="Times New Roman"/>
      <w:sz w:val="20"/>
      <w:szCs w:val="20"/>
      <w:lang w:val="en-AU"/>
    </w:rPr>
  </w:style>
  <w:style w:type="character" w:customStyle="1" w:styleId="A5">
    <w:name w:val="A5"/>
    <w:uiPriority w:val="99"/>
    <w:rsid w:val="00717498"/>
    <w:rPr>
      <w:rFonts w:cs="Candida BT"/>
      <w:color w:val="000000"/>
      <w:sz w:val="19"/>
      <w:szCs w:val="19"/>
    </w:rPr>
  </w:style>
  <w:style w:type="paragraph" w:styleId="Footer">
    <w:name w:val="footer"/>
    <w:basedOn w:val="Normal"/>
    <w:link w:val="FooterChar"/>
    <w:uiPriority w:val="99"/>
    <w:unhideWhenUsed/>
    <w:rsid w:val="00717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498"/>
    <w:rPr>
      <w:rFonts w:ascii="Calibri" w:eastAsia="Calibri" w:hAnsi="Calibri" w:cs="Times New Roman"/>
      <w:sz w:val="22"/>
      <w:szCs w:val="22"/>
      <w:lang w:val="en-AU"/>
    </w:rPr>
  </w:style>
  <w:style w:type="paragraph" w:styleId="BalloonText">
    <w:name w:val="Balloon Text"/>
    <w:basedOn w:val="Normal"/>
    <w:link w:val="BalloonTextChar"/>
    <w:uiPriority w:val="99"/>
    <w:semiHidden/>
    <w:unhideWhenUsed/>
    <w:rsid w:val="007174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498"/>
    <w:rPr>
      <w:rFonts w:ascii="Lucida Grande" w:eastAsia="Calibri" w:hAnsi="Lucida Grande" w:cs="Lucida Grande"/>
      <w:sz w:val="18"/>
      <w:szCs w:val="18"/>
      <w:lang w:val="en-AU"/>
    </w:rPr>
  </w:style>
  <w:style w:type="character" w:styleId="FollowedHyperlink">
    <w:name w:val="FollowedHyperlink"/>
    <w:basedOn w:val="DefaultParagraphFont"/>
    <w:uiPriority w:val="99"/>
    <w:semiHidden/>
    <w:unhideWhenUsed/>
    <w:rsid w:val="00717498"/>
    <w:rPr>
      <w:color w:val="800080" w:themeColor="followedHyperlink"/>
      <w:u w:val="single"/>
    </w:rPr>
  </w:style>
  <w:style w:type="paragraph" w:styleId="NormalWeb">
    <w:name w:val="Normal (Web)"/>
    <w:basedOn w:val="Normal"/>
    <w:uiPriority w:val="99"/>
    <w:unhideWhenUsed/>
    <w:rsid w:val="00140C20"/>
    <w:pPr>
      <w:spacing w:before="100" w:beforeAutospacing="1" w:after="100" w:afterAutospacing="1" w:line="240" w:lineRule="auto"/>
    </w:pPr>
    <w:rPr>
      <w:rFonts w:ascii="Times" w:eastAsiaTheme="minorEastAsia" w:hAnsi="Times"/>
      <w:sz w:val="20"/>
      <w:szCs w:val="20"/>
      <w:lang w:val="pt-BR"/>
    </w:rPr>
  </w:style>
  <w:style w:type="paragraph" w:styleId="Header">
    <w:name w:val="header"/>
    <w:basedOn w:val="Normal"/>
    <w:link w:val="HeaderChar"/>
    <w:uiPriority w:val="99"/>
    <w:unhideWhenUsed/>
    <w:rsid w:val="00D240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0D2"/>
    <w:rPr>
      <w:rFonts w:ascii="Calibri" w:eastAsia="Calibri" w:hAnsi="Calibri" w:cs="Times New Roman"/>
      <w:sz w:val="22"/>
      <w:szCs w:val="22"/>
      <w:lang w:val="en-AU"/>
    </w:rPr>
  </w:style>
  <w:style w:type="character" w:styleId="EndnoteReference">
    <w:name w:val="endnote reference"/>
    <w:basedOn w:val="DefaultParagraphFont"/>
    <w:uiPriority w:val="99"/>
    <w:unhideWhenUsed/>
    <w:rsid w:val="00D240D2"/>
    <w:rPr>
      <w:vertAlign w:val="superscript"/>
    </w:rPr>
  </w:style>
  <w:style w:type="paragraph" w:customStyle="1" w:styleId="Briefingpaper-list">
    <w:name w:val="Briefingpaper-list"/>
    <w:basedOn w:val="ListParagraph"/>
    <w:qFormat/>
    <w:rsid w:val="00AC49A2"/>
    <w:pPr>
      <w:numPr>
        <w:numId w:val="14"/>
      </w:numPr>
      <w:jc w:val="both"/>
    </w:pPr>
    <w:rPr>
      <w:rFonts w:ascii="Helvetica" w:eastAsiaTheme="minorHAnsi" w:hAnsi="Helvetica" w:cs="Arial"/>
      <w:sz w:val="20"/>
      <w:szCs w:val="20"/>
      <w:lang w:val="en-GB"/>
    </w:rPr>
  </w:style>
  <w:style w:type="paragraph" w:customStyle="1" w:styleId="Briefingpaper-heading">
    <w:name w:val="Briefingpaper-heading"/>
    <w:basedOn w:val="ListParagraph"/>
    <w:qFormat/>
    <w:rsid w:val="00F814EF"/>
    <w:pPr>
      <w:numPr>
        <w:numId w:val="16"/>
      </w:numPr>
      <w:spacing w:after="0"/>
      <w:ind w:left="357" w:hanging="357"/>
      <w:jc w:val="both"/>
    </w:pPr>
    <w:rPr>
      <w:rFonts w:ascii="Helvetica" w:eastAsiaTheme="minorHAnsi" w:hAnsi="Helvetica" w:cs="Arial"/>
      <w:b/>
      <w:sz w:val="20"/>
      <w:szCs w:val="20"/>
      <w:lang w:val="en-GB"/>
    </w:rPr>
  </w:style>
  <w:style w:type="paragraph" w:customStyle="1" w:styleId="Briefingpaper-conclusion">
    <w:name w:val="Briefingpaper-conclusion"/>
    <w:basedOn w:val="Normal"/>
    <w:qFormat/>
    <w:rsid w:val="00F814EF"/>
    <w:pPr>
      <w:jc w:val="both"/>
    </w:pPr>
    <w:rPr>
      <w:rFonts w:ascii="Lato Black" w:eastAsiaTheme="minorHAnsi" w:hAnsi="Lato Black" w:cs="Arial"/>
      <w:sz w:val="20"/>
      <w:szCs w:val="20"/>
      <w:lang w:val="en-GB"/>
    </w:rPr>
  </w:style>
  <w:style w:type="paragraph" w:customStyle="1" w:styleId="Default">
    <w:name w:val="Default"/>
    <w:rsid w:val="009F0869"/>
    <w:pPr>
      <w:autoSpaceDE w:val="0"/>
      <w:autoSpaceDN w:val="0"/>
      <w:adjustRightInd w:val="0"/>
    </w:pPr>
    <w:rPr>
      <w:rFonts w:ascii="Cambria" w:eastAsia="Calibri" w:hAnsi="Cambria" w:cs="Cambria"/>
      <w:color w:val="000000"/>
      <w:lang w:val="en-AU"/>
    </w:rPr>
  </w:style>
  <w:style w:type="paragraph" w:customStyle="1" w:styleId="H1G">
    <w:name w:val="_ H_1_G"/>
    <w:basedOn w:val="Normal"/>
    <w:next w:val="Normal"/>
    <w:rsid w:val="00193DBD"/>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paragraph" w:customStyle="1" w:styleId="footnote">
    <w:name w:val="footnote"/>
    <w:basedOn w:val="Normal"/>
    <w:rsid w:val="00193DBD"/>
    <w:pPr>
      <w:spacing w:after="0" w:line="240" w:lineRule="auto"/>
    </w:pPr>
    <w:rPr>
      <w:sz w:val="20"/>
      <w:szCs w:val="20"/>
    </w:rPr>
  </w:style>
  <w:style w:type="character" w:styleId="Strong">
    <w:name w:val="Strong"/>
    <w:basedOn w:val="DefaultParagraphFont"/>
    <w:uiPriority w:val="22"/>
    <w:qFormat/>
    <w:rsid w:val="00CB1C95"/>
    <w:rPr>
      <w:b/>
      <w:bCs/>
    </w:rPr>
  </w:style>
  <w:style w:type="character" w:customStyle="1" w:styleId="apple-converted-space">
    <w:name w:val="apple-converted-space"/>
    <w:basedOn w:val="DefaultParagraphFont"/>
    <w:rsid w:val="00CB1C95"/>
  </w:style>
  <w:style w:type="paragraph" w:styleId="Revision">
    <w:name w:val="Revision"/>
    <w:hidden/>
    <w:uiPriority w:val="99"/>
    <w:semiHidden/>
    <w:rsid w:val="00671369"/>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888">
      <w:bodyDiv w:val="1"/>
      <w:marLeft w:val="0"/>
      <w:marRight w:val="0"/>
      <w:marTop w:val="0"/>
      <w:marBottom w:val="0"/>
      <w:divBdr>
        <w:top w:val="none" w:sz="0" w:space="0" w:color="auto"/>
        <w:left w:val="none" w:sz="0" w:space="0" w:color="auto"/>
        <w:bottom w:val="none" w:sz="0" w:space="0" w:color="auto"/>
        <w:right w:val="none" w:sz="0" w:space="0" w:color="auto"/>
      </w:divBdr>
      <w:divsChild>
        <w:div w:id="66847481">
          <w:marLeft w:val="0"/>
          <w:marRight w:val="0"/>
          <w:marTop w:val="0"/>
          <w:marBottom w:val="0"/>
          <w:divBdr>
            <w:top w:val="none" w:sz="0" w:space="0" w:color="auto"/>
            <w:left w:val="none" w:sz="0" w:space="0" w:color="auto"/>
            <w:bottom w:val="none" w:sz="0" w:space="0" w:color="auto"/>
            <w:right w:val="none" w:sz="0" w:space="0" w:color="auto"/>
          </w:divBdr>
          <w:divsChild>
            <w:div w:id="1911571284">
              <w:marLeft w:val="0"/>
              <w:marRight w:val="0"/>
              <w:marTop w:val="0"/>
              <w:marBottom w:val="0"/>
              <w:divBdr>
                <w:top w:val="none" w:sz="0" w:space="0" w:color="auto"/>
                <w:left w:val="none" w:sz="0" w:space="0" w:color="auto"/>
                <w:bottom w:val="none" w:sz="0" w:space="0" w:color="auto"/>
                <w:right w:val="none" w:sz="0" w:space="0" w:color="auto"/>
              </w:divBdr>
              <w:divsChild>
                <w:div w:id="755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6755">
      <w:bodyDiv w:val="1"/>
      <w:marLeft w:val="0"/>
      <w:marRight w:val="0"/>
      <w:marTop w:val="0"/>
      <w:marBottom w:val="0"/>
      <w:divBdr>
        <w:top w:val="none" w:sz="0" w:space="0" w:color="auto"/>
        <w:left w:val="none" w:sz="0" w:space="0" w:color="auto"/>
        <w:bottom w:val="none" w:sz="0" w:space="0" w:color="auto"/>
        <w:right w:val="none" w:sz="0" w:space="0" w:color="auto"/>
      </w:divBdr>
      <w:divsChild>
        <w:div w:id="1794907690">
          <w:marLeft w:val="0"/>
          <w:marRight w:val="0"/>
          <w:marTop w:val="0"/>
          <w:marBottom w:val="0"/>
          <w:divBdr>
            <w:top w:val="none" w:sz="0" w:space="0" w:color="auto"/>
            <w:left w:val="none" w:sz="0" w:space="0" w:color="auto"/>
            <w:bottom w:val="none" w:sz="0" w:space="0" w:color="auto"/>
            <w:right w:val="none" w:sz="0" w:space="0" w:color="auto"/>
          </w:divBdr>
          <w:divsChild>
            <w:div w:id="1463310765">
              <w:marLeft w:val="0"/>
              <w:marRight w:val="0"/>
              <w:marTop w:val="0"/>
              <w:marBottom w:val="0"/>
              <w:divBdr>
                <w:top w:val="none" w:sz="0" w:space="0" w:color="auto"/>
                <w:left w:val="none" w:sz="0" w:space="0" w:color="auto"/>
                <w:bottom w:val="none" w:sz="0" w:space="0" w:color="auto"/>
                <w:right w:val="none" w:sz="0" w:space="0" w:color="auto"/>
              </w:divBdr>
              <w:divsChild>
                <w:div w:id="1433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2422">
      <w:bodyDiv w:val="1"/>
      <w:marLeft w:val="0"/>
      <w:marRight w:val="0"/>
      <w:marTop w:val="0"/>
      <w:marBottom w:val="0"/>
      <w:divBdr>
        <w:top w:val="none" w:sz="0" w:space="0" w:color="auto"/>
        <w:left w:val="none" w:sz="0" w:space="0" w:color="auto"/>
        <w:bottom w:val="none" w:sz="0" w:space="0" w:color="auto"/>
        <w:right w:val="none" w:sz="0" w:space="0" w:color="auto"/>
      </w:divBdr>
      <w:divsChild>
        <w:div w:id="681589710">
          <w:marLeft w:val="0"/>
          <w:marRight w:val="0"/>
          <w:marTop w:val="0"/>
          <w:marBottom w:val="0"/>
          <w:divBdr>
            <w:top w:val="none" w:sz="0" w:space="0" w:color="auto"/>
            <w:left w:val="none" w:sz="0" w:space="0" w:color="auto"/>
            <w:bottom w:val="none" w:sz="0" w:space="0" w:color="auto"/>
            <w:right w:val="none" w:sz="0" w:space="0" w:color="auto"/>
          </w:divBdr>
          <w:divsChild>
            <w:div w:id="899633472">
              <w:marLeft w:val="0"/>
              <w:marRight w:val="0"/>
              <w:marTop w:val="0"/>
              <w:marBottom w:val="0"/>
              <w:divBdr>
                <w:top w:val="none" w:sz="0" w:space="0" w:color="auto"/>
                <w:left w:val="none" w:sz="0" w:space="0" w:color="auto"/>
                <w:bottom w:val="none" w:sz="0" w:space="0" w:color="auto"/>
                <w:right w:val="none" w:sz="0" w:space="0" w:color="auto"/>
              </w:divBdr>
              <w:divsChild>
                <w:div w:id="118568905">
                  <w:marLeft w:val="0"/>
                  <w:marRight w:val="0"/>
                  <w:marTop w:val="0"/>
                  <w:marBottom w:val="0"/>
                  <w:divBdr>
                    <w:top w:val="none" w:sz="0" w:space="0" w:color="auto"/>
                    <w:left w:val="none" w:sz="0" w:space="0" w:color="auto"/>
                    <w:bottom w:val="none" w:sz="0" w:space="0" w:color="auto"/>
                    <w:right w:val="none" w:sz="0" w:space="0" w:color="auto"/>
                  </w:divBdr>
                  <w:divsChild>
                    <w:div w:id="11199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482">
      <w:bodyDiv w:val="1"/>
      <w:marLeft w:val="0"/>
      <w:marRight w:val="0"/>
      <w:marTop w:val="0"/>
      <w:marBottom w:val="0"/>
      <w:divBdr>
        <w:top w:val="none" w:sz="0" w:space="0" w:color="auto"/>
        <w:left w:val="none" w:sz="0" w:space="0" w:color="auto"/>
        <w:bottom w:val="none" w:sz="0" w:space="0" w:color="auto"/>
        <w:right w:val="none" w:sz="0" w:space="0" w:color="auto"/>
      </w:divBdr>
      <w:divsChild>
        <w:div w:id="1000427121">
          <w:marLeft w:val="0"/>
          <w:marRight w:val="0"/>
          <w:marTop w:val="0"/>
          <w:marBottom w:val="0"/>
          <w:divBdr>
            <w:top w:val="none" w:sz="0" w:space="0" w:color="auto"/>
            <w:left w:val="none" w:sz="0" w:space="0" w:color="auto"/>
            <w:bottom w:val="none" w:sz="0" w:space="0" w:color="auto"/>
            <w:right w:val="none" w:sz="0" w:space="0" w:color="auto"/>
          </w:divBdr>
          <w:divsChild>
            <w:div w:id="1272279880">
              <w:marLeft w:val="0"/>
              <w:marRight w:val="0"/>
              <w:marTop w:val="0"/>
              <w:marBottom w:val="0"/>
              <w:divBdr>
                <w:top w:val="none" w:sz="0" w:space="0" w:color="auto"/>
                <w:left w:val="none" w:sz="0" w:space="0" w:color="auto"/>
                <w:bottom w:val="none" w:sz="0" w:space="0" w:color="auto"/>
                <w:right w:val="none" w:sz="0" w:space="0" w:color="auto"/>
              </w:divBdr>
              <w:divsChild>
                <w:div w:id="9095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3" Type="http://schemas.openxmlformats.org/officeDocument/2006/relationships/hyperlink" Target="http://www.osce.org/fom/119562" TargetMode="External"/><Relationship Id="rId18" Type="http://schemas.openxmlformats.org/officeDocument/2006/relationships/hyperlink" Target="http://www.osce.org/fom/127436" TargetMode="External"/><Relationship Id="rId26" Type="http://schemas.openxmlformats.org/officeDocument/2006/relationships/hyperlink" Target="http://daccess-dds-ny.un.org/doc/UNDOC/GEN/G15/023/57/PDF/G1502357.pdf?OpenElement" TargetMode="External"/><Relationship Id="rId39" Type="http://schemas.openxmlformats.org/officeDocument/2006/relationships/hyperlink" Target="http://www2.ohchr.org/english/bodies/hrc/docs/gc34.pdf" TargetMode="External"/><Relationship Id="rId21" Type="http://schemas.openxmlformats.org/officeDocument/2006/relationships/hyperlink" Target="https://freedomhouse.org/article/kazakhstan-new-restrictions-freedom-expression-lgbti-rights" TargetMode="External"/><Relationship Id="rId34" Type="http://schemas.openxmlformats.org/officeDocument/2006/relationships/hyperlink" Target="http://www.hrw.org/news/2015/05/28/kazakhstan-anti-gay-laws-found-unconstitutional" TargetMode="External"/><Relationship Id="rId42" Type="http://schemas.openxmlformats.org/officeDocument/2006/relationships/hyperlink" Target="http://daccess-dds-ny.un.org/doc/UNDOC/GEN/G12/142/13/PDF/G1214213.pdf?OpenElement" TargetMode="External"/><Relationship Id="rId47" Type="http://schemas.openxmlformats.org/officeDocument/2006/relationships/hyperlink" Target="http://daccess-dds-ny.un.org/doc/UNDOC/GEN/G15/023/57/PDF/G1502357.pdf?OpenElement" TargetMode="External"/><Relationship Id="rId50" Type="http://schemas.openxmlformats.org/officeDocument/2006/relationships/hyperlink" Target="http://www.osce.org/odihr/elections/kazakhstan/153566?download=true" TargetMode="External"/><Relationship Id="rId55" Type="http://schemas.openxmlformats.org/officeDocument/2006/relationships/hyperlink" Target="http://www.iphronline.org/stifling-civil-society-in-kazakhstan-tajikistan-and-turkmenistan-20150415.html" TargetMode="External"/><Relationship Id="rId63" Type="http://schemas.openxmlformats.org/officeDocument/2006/relationships/hyperlink" Target="http://www.hrw.org/news/2012/04/23/kazakhstan-suspend-trial-investigate-torture-allegations" TargetMode="External"/><Relationship Id="rId68" Type="http://schemas.openxmlformats.org/officeDocument/2006/relationships/hyperlink" Target="http://www.hrw.org/news/2015/02/27/kazakhstan-journal-loses-shutdown-appeal" TargetMode="External"/><Relationship Id="rId76" Type="http://schemas.openxmlformats.org/officeDocument/2006/relationships/hyperlink" Target="http://www.ohchr.org/en/NewsEvents/Pages/DisplayNews.aspx?NewsID=12343&amp;LangID=E" TargetMode="External"/><Relationship Id="rId7" Type="http://schemas.openxmlformats.org/officeDocument/2006/relationships/hyperlink" Target="file:///C:\.http\::www.wsj.com:articles:a-few-truths-about-kazakhstanletters-to-the-editor-1413920231" TargetMode="External"/><Relationship Id="rId71" Type="http://schemas.openxmlformats.org/officeDocument/2006/relationships/hyperlink" Target="http://www.osce.org/odihr/elections/kazakhstan/153566?download=true" TargetMode="External"/><Relationship Id="rId2" Type="http://schemas.openxmlformats.org/officeDocument/2006/relationships/hyperlink" Target="http://www.hrw.org/world-report/2014/country-chapters/kazakhstan?page=2" TargetMode="External"/><Relationship Id="rId16" Type="http://schemas.openxmlformats.org/officeDocument/2006/relationships/hyperlink" Target="http://www.hrw.org/news/2015/02/27/kazakhstan-journal-loses-shutdown-appeal" TargetMode="External"/><Relationship Id="rId29" Type="http://schemas.openxmlformats.org/officeDocument/2006/relationships/hyperlink" Target="http://www2.ohchr.org/english/bodies/hrc/docs/gc34.pdf" TargetMode="External"/><Relationship Id="rId11" Type="http://schemas.openxmlformats.org/officeDocument/2006/relationships/hyperlink" Target="http://www.europarl.europa.eu/oeil/popups/ficheprocedure.do?lang=en&amp;reference=2013/2600(RSP)" TargetMode="External"/><Relationship Id="rId24" Type="http://schemas.openxmlformats.org/officeDocument/2006/relationships/hyperlink" Target="http://www.rferl.org/content/Kazakh_Leader_Signs_Law_Curbing_Internet_/1775473.html" TargetMode="External"/><Relationship Id="rId32" Type="http://schemas.openxmlformats.org/officeDocument/2006/relationships/hyperlink" Target="https://iwpr.net/global-voices/kazakstan-gay-propaganda-ban-internet" TargetMode="External"/><Relationship Id="rId37" Type="http://schemas.openxmlformats.org/officeDocument/2006/relationships/hyperlink" Target="http://www2.ohchr.org/english/bodies/hrc/docs/gc34.pdf" TargetMode="External"/><Relationship Id="rId40" Type="http://schemas.openxmlformats.org/officeDocument/2006/relationships/hyperlink" Target="http://daccess-dds-ny.un.org/doc/UNDOC/GEN/G12/142/13/PDF/G1214213.pdf?OpenElement" TargetMode="External"/><Relationship Id="rId45" Type="http://schemas.openxmlformats.org/officeDocument/2006/relationships/hyperlink" Target="http://en.odfoundation.eu/a/4748,dissident-aron-atabek-is-being-subjected-to-cruel-treatment-in-a-kazakh-prison" TargetMode="External"/><Relationship Id="rId53" Type="http://schemas.openxmlformats.org/officeDocument/2006/relationships/hyperlink" Target="http://daccess-dds-ny.un.org/doc/UNDOC/GEN/G12/142/13/PDF/G1214213.pdf?OpenElement" TargetMode="External"/><Relationship Id="rId58" Type="http://schemas.openxmlformats.org/officeDocument/2006/relationships/hyperlink" Target="http://bureau.kz/data.php?page=0&amp;n_id=8075&amp;l=ru" TargetMode="External"/><Relationship Id="rId66" Type="http://schemas.openxmlformats.org/officeDocument/2006/relationships/hyperlink" Target="http://www.frontlinedefenders.org/files/frontline_annual_report2013_0_2.pdf" TargetMode="External"/><Relationship Id="rId74" Type="http://schemas.openxmlformats.org/officeDocument/2006/relationships/hyperlink" Target="http://www.ohchr.org/EN/HRBodies/HRC/RegularSessions/Session28/Documents/A_HRC_28_10_ENG.doc" TargetMode="External"/><Relationship Id="rId5" Type="http://schemas.openxmlformats.org/officeDocument/2006/relationships/hyperlink" Target="http://www2.ohchr.org/english/bodies/hrc/docs/co/CCPR-C-KAZ-CO-1.doc" TargetMode="External"/><Relationship Id="rId15" Type="http://schemas.openxmlformats.org/officeDocument/2006/relationships/hyperlink" Target="http://www.bureau.kz/data.php?page=3&amp;n_id=6663&amp;l=ru" TargetMode="External"/><Relationship Id="rId23" Type="http://schemas.openxmlformats.org/officeDocument/2006/relationships/hyperlink" Target="http://guardianlv.com/2014/04/kazakhstan-new-law-allows-government-to-block-internet-sites-internet-or-cell-phones-without-warrant/" TargetMode="External"/><Relationship Id="rId28" Type="http://schemas.openxmlformats.org/officeDocument/2006/relationships/hyperlink" Target="http://daccess-dds-ny.un.org/doc/UNDOC/GEN/G12/142/13/PDF/G1214213.pdf?OpenElement" TargetMode="External"/><Relationship Id="rId36" Type="http://schemas.openxmlformats.org/officeDocument/2006/relationships/hyperlink" Target="http://daccess-dds-ny.un.org/doc/UNDOC/GEN/G12/142/13/PDF/G1214213.pdf?OpenElement" TargetMode="External"/><Relationship Id="rId49" Type="http://schemas.openxmlformats.org/officeDocument/2006/relationships/hyperlink" Target="http://www2.ohchr.org/english/bodies/hrc/docs/co/CCPR-C-KAZ-CO-1.doc" TargetMode="External"/><Relationship Id="rId57" Type="http://schemas.openxmlformats.org/officeDocument/2006/relationships/hyperlink" Target="http://www.bureau.kz/data.php?page=0&amp;n_id=7812&amp;l=en" TargetMode="External"/><Relationship Id="rId61" Type="http://schemas.openxmlformats.org/officeDocument/2006/relationships/hyperlink" Target="http://www.hrw.org/sites/default/files/reports/kazakhstan0912ForUpload_0.pdf" TargetMode="External"/><Relationship Id="rId10" Type="http://schemas.openxmlformats.org/officeDocument/2006/relationships/hyperlink" Target="http://www.europarl.europa.eu/sides/getDoc.do?type=TA&amp;reference=P7-TA-2013-0190&amp;format=XML&amp;language=EN" TargetMode="External"/><Relationship Id="rId19" Type="http://schemas.openxmlformats.org/officeDocument/2006/relationships/hyperlink" Target="http://www.hrw.org/news/2014/04/22/kazakhstan-newspaper-closing-blow-free-speech" TargetMode="External"/><Relationship Id="rId31" Type="http://schemas.openxmlformats.org/officeDocument/2006/relationships/hyperlink" Target="http://daccess-dds-ny.un.org/doc/UNDOC/GEN/G15/023/57/PDF/G1502357.pdf?OpenElement" TargetMode="External"/><Relationship Id="rId44" Type="http://schemas.openxmlformats.org/officeDocument/2006/relationships/hyperlink" Target="http://www1.umn.edu/humanrts/undocs/2137-2012.pdf" TargetMode="External"/><Relationship Id="rId52" Type="http://schemas.openxmlformats.org/officeDocument/2006/relationships/hyperlink" Target="http://freeassembly.net/rapporteurpressnews/statement-kazakhstan/" TargetMode="External"/><Relationship Id="rId60" Type="http://schemas.openxmlformats.org/officeDocument/2006/relationships/hyperlink" Target="http://daccess-dds-ny.un.org/doc/UNDOC/GEN/G15/023/57/PDF/G1502357.pdf?OpenElement" TargetMode="External"/><Relationship Id="rId65" Type="http://schemas.openxmlformats.org/officeDocument/2006/relationships/hyperlink" Target="http://www.frontlinedefenders.org/files/frontline_annual_report2013_0_2.pdf" TargetMode="External"/><Relationship Id="rId73" Type="http://schemas.openxmlformats.org/officeDocument/2006/relationships/hyperlink" Target="http://eeas.europa.eu/statements-eeas/2014/141112_03_en.htm" TargetMode="External"/><Relationship Id="rId4" Type="http://schemas.openxmlformats.org/officeDocument/2006/relationships/hyperlink" Target="http://civicus.org/eei/downloads/Civicus_EEI%20REPORT%202013_WEB_FINAL.pdf" TargetMode="External"/><Relationship Id="rId9" Type="http://schemas.openxmlformats.org/officeDocument/2006/relationships/hyperlink" Target="http://www.eurasianet.org/node/71801" TargetMode="External"/><Relationship Id="rId14" Type="http://schemas.openxmlformats.org/officeDocument/2006/relationships/hyperlink" Target="http://www.osce.org/odihr/elections/kazakhstan/153566?download=true" TargetMode="External"/><Relationship Id="rId22" Type="http://schemas.openxmlformats.org/officeDocument/2006/relationships/hyperlink" Target="http://www.osce.org/fom/117595" TargetMode="External"/><Relationship Id="rId27" Type="http://schemas.openxmlformats.org/officeDocument/2006/relationships/hyperlink" Target="http://www.osce.org/odihr/elections/kazakhstan/153566?download=true" TargetMode="External"/><Relationship Id="rId30" Type="http://schemas.openxmlformats.org/officeDocument/2006/relationships/hyperlink" Target="http://www.article19.org/data/files/pdfs/igo-documents/three-mandates-dec-2000.pdf" TargetMode="External"/><Relationship Id="rId35" Type="http://schemas.openxmlformats.org/officeDocument/2006/relationships/hyperlink" Target="http://eeas.europa.eu/statements-eeas/2014/141112_03_en.htm" TargetMode="External"/><Relationship Id="rId43" Type="http://schemas.openxmlformats.org/officeDocument/2006/relationships/hyperlink" Target="http://freeassembly.net/rapporteurpressnews/statement-kazakhstan/" TargetMode="External"/><Relationship Id="rId48" Type="http://schemas.openxmlformats.org/officeDocument/2006/relationships/hyperlink" Target="http://freeassembly.net/rapporteurpressnews/statement-kazakhstan/" TargetMode="External"/><Relationship Id="rId56" Type="http://schemas.openxmlformats.org/officeDocument/2006/relationships/hyperlink" Target="https://iwpr.net/global-voices/hard-times-ahead-kazakstan-civil-society" TargetMode="External"/><Relationship Id="rId64" Type="http://schemas.openxmlformats.org/officeDocument/2006/relationships/hyperlink" Target="http://www.google.ch/url?sa=t&amp;rct=j&amp;q=&amp;esrc=s&amp;source=web&amp;cd=3&amp;cad=rja&amp;uact=8&amp;ved=0CCsQFjAC&amp;url=http%3A%2F%2Fwww.article19.org%2Fdata%2Ffiles%2Fmedialibrary%2F37723%2FKazakhstan-UPR-Pre-Session-Oct-2014---Oral-Statement-%5BA19%2C-Adil-Soz%2C-PEN-Intl%5D.pdf&amp;ei=Wt1JVcqOE4b_UrWUgNAK&amp;usg=AFQjCNHNy_XtKWJPQFHaZG5lK7WwD2NXBQ&amp;sig2=zIvbYphVeM9Ns092DKqghw&amp;bvm=bv.92291466,d.d24" TargetMode="External"/><Relationship Id="rId69" Type="http://schemas.openxmlformats.org/officeDocument/2006/relationships/hyperlink" Target="http://www.bureau.kz/data.php?page=1&amp;n_id=7653&amp;l=ru" TargetMode="External"/><Relationship Id="rId8" Type="http://schemas.openxmlformats.org/officeDocument/2006/relationships/hyperlink" Target="http://www.bbc.com/news/world-asia-19873237" TargetMode="External"/><Relationship Id="rId51" Type="http://schemas.openxmlformats.org/officeDocument/2006/relationships/hyperlink" Target="http://daccess-dds-ny.un.org/doc/UNDOC/GEN/G12/142/13/PDF/G1214213.pdf?OpenElement" TargetMode="External"/><Relationship Id="rId72" Type="http://schemas.openxmlformats.org/officeDocument/2006/relationships/hyperlink" Target="http://www.osce.org/odihr/elections/kazakhstan/153566?download=true" TargetMode="External"/><Relationship Id="rId3" Type="http://schemas.openxmlformats.org/officeDocument/2006/relationships/hyperlink" Target="http://odfoundation.eu/a/268,calendar-of-strikes-of-the-oil-industry-workers-in-western-kazakhstan-mangistau" TargetMode="External"/><Relationship Id="rId12" Type="http://schemas.openxmlformats.org/officeDocument/2006/relationships/hyperlink" Target="http://www2.ohchr.org/english/bodies/hrc/docs/gc34.pdf" TargetMode="External"/><Relationship Id="rId17" Type="http://schemas.openxmlformats.org/officeDocument/2006/relationships/hyperlink" Target="http://www.bureau.kz/data.php?page=3&amp;n_id=6663&amp;l=ru" TargetMode="External"/><Relationship Id="rId25" Type="http://schemas.openxmlformats.org/officeDocument/2006/relationships/hyperlink" Target="http://www.osce.org/odihr/elections/kazakhstan/153566?download=true" TargetMode="External"/><Relationship Id="rId33" Type="http://schemas.openxmlformats.org/officeDocument/2006/relationships/hyperlink" Target="https://freedomhouse.org/article/kazakhstan-new-restrictions-freedom-expression-lgbti-rights" TargetMode="External"/><Relationship Id="rId38" Type="http://schemas.openxmlformats.org/officeDocument/2006/relationships/hyperlink" Target="http://daccess-dds-ny.un.org/doc/UNDOC/GEN/G12/142/13/PDF/G1214213.pdf?OpenElement" TargetMode="External"/><Relationship Id="rId46" Type="http://schemas.openxmlformats.org/officeDocument/2006/relationships/hyperlink" Target="http://www.rferl.org/content/atabek-aron-torture-shangyraq-kazakh-dissident-poet/26691641.html" TargetMode="External"/><Relationship Id="rId59" Type="http://schemas.openxmlformats.org/officeDocument/2006/relationships/hyperlink" Target="http://www.iphronline.org/stifling-civil-society-in-kazakhstan-tajikistan-and-turkmenistan-20150415.html" TargetMode="External"/><Relationship Id="rId67" Type="http://schemas.openxmlformats.org/officeDocument/2006/relationships/hyperlink" Target="http://www.hrw.org/world-report/2014/country-chapters/kazakhstan?page=2" TargetMode="External"/><Relationship Id="rId20" Type="http://schemas.openxmlformats.org/officeDocument/2006/relationships/hyperlink" Target="https://iwpr.net/global-voices/kazakstan-gay-propaganda-ban-internet" TargetMode="External"/><Relationship Id="rId41" Type="http://schemas.openxmlformats.org/officeDocument/2006/relationships/hyperlink" Target="http://www2.ohchr.org/english/bodies/hrc/docs/gc34.pdf" TargetMode="External"/><Relationship Id="rId54" Type="http://schemas.openxmlformats.org/officeDocument/2006/relationships/hyperlink" Target="http://www.osce.org/odihr/elections/kazakhstan/153566?download=true" TargetMode="External"/><Relationship Id="rId62" Type="http://schemas.openxmlformats.org/officeDocument/2006/relationships/hyperlink" Target="http://odfoundation.eu/a/268,calendar-of-strikes-of-the-oil-industry-workers-in-western-kazakhstan-mangistau" TargetMode="External"/><Relationship Id="rId70" Type="http://schemas.openxmlformats.org/officeDocument/2006/relationships/hyperlink" Target="http://freeassembly.net/rapporteurpressnews/statement-kazakhstan/" TargetMode="External"/><Relationship Id="rId75" Type="http://schemas.openxmlformats.org/officeDocument/2006/relationships/hyperlink" Target="http://www.iphronline.org/stifling-civil-society-in-kazakhstan-tajikistan-and-turkmenistan-20150415.html" TargetMode="External"/><Relationship Id="rId1" Type="http://schemas.openxmlformats.org/officeDocument/2006/relationships/hyperlink" Target="http://www.osce.org/astana/126371" TargetMode="External"/><Relationship Id="rId6" Type="http://schemas.openxmlformats.org/officeDocument/2006/relationships/hyperlink" Target="http://www.theguardian.com/world/2013/dec/04/kazakhstan-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FCD45-19AE-4E22-9891-31B5267A8D9F}"/>
</file>

<file path=customXml/itemProps2.xml><?xml version="1.0" encoding="utf-8"?>
<ds:datastoreItem xmlns:ds="http://schemas.openxmlformats.org/officeDocument/2006/customXml" ds:itemID="{1418CE23-E143-4FAA-B59F-945F98D813FC}"/>
</file>

<file path=customXml/itemProps3.xml><?xml version="1.0" encoding="utf-8"?>
<ds:datastoreItem xmlns:ds="http://schemas.openxmlformats.org/officeDocument/2006/customXml" ds:itemID="{7084332F-6449-4807-A07A-B2A974E0904C}"/>
</file>

<file path=customXml/itemProps4.xml><?xml version="1.0" encoding="utf-8"?>
<ds:datastoreItem xmlns:ds="http://schemas.openxmlformats.org/officeDocument/2006/customXml" ds:itemID="{30C5B38D-E10D-4577-B7F0-CE18B26A2D75}"/>
</file>

<file path=docProps/app.xml><?xml version="1.0" encoding="utf-8"?>
<Properties xmlns="http://schemas.openxmlformats.org/officeDocument/2006/extended-properties" xmlns:vt="http://schemas.openxmlformats.org/officeDocument/2006/docPropsVTypes">
  <Template>Normal</Template>
  <TotalTime>0</TotalTime>
  <Pages>8</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Baracho</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Urquiza</dc:creator>
  <cp:lastModifiedBy>DL</cp:lastModifiedBy>
  <cp:revision>2</cp:revision>
  <cp:lastPrinted>2015-08-13T14:09:00Z</cp:lastPrinted>
  <dcterms:created xsi:type="dcterms:W3CDTF">2015-08-15T11:36:00Z</dcterms:created>
  <dcterms:modified xsi:type="dcterms:W3CDTF">2015-08-15T11:36:00Z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