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C06D" w14:textId="77777777" w:rsidR="00CA2F0A" w:rsidRPr="00110602" w:rsidRDefault="00CA2F0A" w:rsidP="00B360E1">
      <w:pPr>
        <w:jc w:val="both"/>
        <w:rPr>
          <w:rFonts w:ascii="Times New Roman" w:hAnsi="Times New Roman" w:cs="Times New Roman"/>
        </w:rPr>
      </w:pPr>
    </w:p>
    <w:p w14:paraId="379A7E69" w14:textId="77777777" w:rsidR="00CF1C1D" w:rsidRPr="00110602" w:rsidRDefault="00CF1C1D" w:rsidP="00B360E1">
      <w:pPr>
        <w:jc w:val="both"/>
        <w:rPr>
          <w:rFonts w:ascii="Times New Roman" w:hAnsi="Times New Roman" w:cs="Times New Roman"/>
        </w:rPr>
      </w:pPr>
    </w:p>
    <w:p w14:paraId="3CF04222" w14:textId="77777777" w:rsidR="00CF1C1D" w:rsidRPr="00110602" w:rsidRDefault="00CF1C1D" w:rsidP="00B360E1">
      <w:pPr>
        <w:jc w:val="both"/>
        <w:rPr>
          <w:rFonts w:ascii="Times New Roman" w:hAnsi="Times New Roman" w:cs="Times New Roman"/>
        </w:rPr>
      </w:pPr>
    </w:p>
    <w:p w14:paraId="6825F0D6" w14:textId="77777777" w:rsidR="00CF1C1D" w:rsidRPr="00110602" w:rsidRDefault="00CF1C1D" w:rsidP="00B360E1">
      <w:pPr>
        <w:jc w:val="both"/>
        <w:rPr>
          <w:rFonts w:ascii="Times New Roman" w:hAnsi="Times New Roman" w:cs="Times New Roman"/>
        </w:rPr>
      </w:pPr>
    </w:p>
    <w:p w14:paraId="12951D75" w14:textId="77777777" w:rsidR="00CF1C1D" w:rsidRPr="00110602" w:rsidRDefault="00CF1C1D" w:rsidP="00B360E1">
      <w:pPr>
        <w:jc w:val="both"/>
        <w:rPr>
          <w:rFonts w:ascii="Times New Roman" w:hAnsi="Times New Roman" w:cs="Times New Roman"/>
        </w:rPr>
      </w:pPr>
    </w:p>
    <w:p w14:paraId="7D97D190" w14:textId="5E8A3B49" w:rsidR="00CF1C1D" w:rsidRPr="00CA2F0A" w:rsidRDefault="00CA2F0A" w:rsidP="00CA2F0A">
      <w:pPr>
        <w:jc w:val="center"/>
        <w:rPr>
          <w:rFonts w:ascii="Times New Roman" w:hAnsi="Times New Roman" w:cs="Times New Roman"/>
          <w:b/>
          <w:sz w:val="52"/>
        </w:rPr>
      </w:pPr>
      <w:r w:rsidRPr="00CA2F0A">
        <w:rPr>
          <w:rFonts w:ascii="Times New Roman" w:hAnsi="Times New Roman" w:cs="Times New Roman"/>
          <w:b/>
          <w:sz w:val="52"/>
        </w:rPr>
        <w:t xml:space="preserve">The Government of Liberia </w:t>
      </w:r>
    </w:p>
    <w:p w14:paraId="7819B1F1" w14:textId="77777777" w:rsidR="00CA2F0A" w:rsidRDefault="00CA2F0A" w:rsidP="00CA2F0A">
      <w:pPr>
        <w:jc w:val="center"/>
        <w:rPr>
          <w:rFonts w:ascii="Times New Roman" w:hAnsi="Times New Roman" w:cs="Times New Roman"/>
        </w:rPr>
      </w:pPr>
    </w:p>
    <w:p w14:paraId="11F6AF80" w14:textId="4B9DD9FA" w:rsidR="00CA2F0A" w:rsidRPr="00CA2F0A" w:rsidRDefault="00CA2F0A" w:rsidP="00CA2F0A">
      <w:pPr>
        <w:jc w:val="center"/>
        <w:rPr>
          <w:rFonts w:ascii="Times New Roman" w:hAnsi="Times New Roman" w:cs="Times New Roman"/>
          <w:b/>
          <w:i/>
        </w:rPr>
      </w:pPr>
      <w:r w:rsidRPr="00CA2F0A">
        <w:rPr>
          <w:rFonts w:ascii="Times New Roman" w:hAnsi="Times New Roman" w:cs="Times New Roman"/>
          <w:b/>
          <w:i/>
          <w:sz w:val="28"/>
        </w:rPr>
        <w:t>Response to</w:t>
      </w:r>
      <w:r w:rsidRPr="00CA2F0A">
        <w:rPr>
          <w:rFonts w:ascii="Times New Roman" w:hAnsi="Times New Roman" w:cs="Times New Roman"/>
          <w:b/>
          <w:i/>
        </w:rPr>
        <w:t xml:space="preserve"> </w:t>
      </w:r>
    </w:p>
    <w:p w14:paraId="21F611E8" w14:textId="77777777" w:rsidR="00CA2F0A" w:rsidRDefault="00CA2F0A" w:rsidP="00CA2F0A">
      <w:pPr>
        <w:jc w:val="center"/>
        <w:rPr>
          <w:rFonts w:ascii="Times New Roman" w:hAnsi="Times New Roman" w:cs="Times New Roman"/>
        </w:rPr>
      </w:pPr>
    </w:p>
    <w:p w14:paraId="32AD9843" w14:textId="77777777" w:rsidR="00A907CD" w:rsidRDefault="00A907CD" w:rsidP="00CA2F0A">
      <w:pPr>
        <w:jc w:val="center"/>
        <w:rPr>
          <w:rFonts w:ascii="Times New Roman" w:hAnsi="Times New Roman" w:cs="Times New Roman"/>
        </w:rPr>
      </w:pPr>
    </w:p>
    <w:p w14:paraId="1FDE7646" w14:textId="615DF9E7" w:rsidR="00CA2F0A" w:rsidRPr="00A907CD" w:rsidRDefault="00CA2F0A" w:rsidP="00CA2F0A">
      <w:pPr>
        <w:jc w:val="center"/>
        <w:rPr>
          <w:rFonts w:ascii="Times New Roman" w:hAnsi="Times New Roman" w:cs="Times New Roman"/>
          <w:b/>
          <w:sz w:val="46"/>
        </w:rPr>
      </w:pPr>
      <w:r w:rsidRPr="00A907CD">
        <w:rPr>
          <w:rFonts w:ascii="Times New Roman" w:hAnsi="Times New Roman" w:cs="Times New Roman"/>
          <w:b/>
          <w:sz w:val="46"/>
        </w:rPr>
        <w:t>The List of Issue</w:t>
      </w:r>
      <w:r w:rsidR="00364EBE" w:rsidRPr="00A907CD">
        <w:rPr>
          <w:rFonts w:ascii="Times New Roman" w:hAnsi="Times New Roman" w:cs="Times New Roman"/>
          <w:b/>
          <w:sz w:val="46"/>
        </w:rPr>
        <w:t>s</w:t>
      </w:r>
    </w:p>
    <w:p w14:paraId="6E0B8735" w14:textId="4B4EF26A" w:rsidR="00A907CD" w:rsidRPr="00A907CD" w:rsidRDefault="00A907CD" w:rsidP="00CA2F0A">
      <w:pPr>
        <w:jc w:val="center"/>
        <w:rPr>
          <w:rFonts w:ascii="Times New Roman" w:hAnsi="Times New Roman" w:cs="Times New Roman"/>
          <w:b/>
          <w:sz w:val="46"/>
        </w:rPr>
      </w:pPr>
      <w:r w:rsidRPr="00A907CD">
        <w:rPr>
          <w:rFonts w:ascii="Times New Roman" w:hAnsi="Times New Roman" w:cs="Times New Roman"/>
          <w:b/>
          <w:sz w:val="46"/>
        </w:rPr>
        <w:t>From the Human Rights Committee</w:t>
      </w:r>
    </w:p>
    <w:p w14:paraId="444F8D21" w14:textId="5F4C8E8C" w:rsidR="00CF1C1D" w:rsidRDefault="00CF1C1D" w:rsidP="00B360E1">
      <w:pPr>
        <w:jc w:val="both"/>
        <w:rPr>
          <w:rFonts w:ascii="Times New Roman" w:hAnsi="Times New Roman" w:cs="Times New Roman"/>
        </w:rPr>
      </w:pPr>
    </w:p>
    <w:p w14:paraId="42D01FDD" w14:textId="77777777" w:rsidR="00CA2F0A" w:rsidRDefault="00CA2F0A" w:rsidP="00B360E1">
      <w:pPr>
        <w:jc w:val="both"/>
        <w:rPr>
          <w:rFonts w:ascii="Times New Roman" w:hAnsi="Times New Roman" w:cs="Times New Roman"/>
        </w:rPr>
      </w:pPr>
    </w:p>
    <w:p w14:paraId="4563307C" w14:textId="77777777" w:rsidR="00CA2F0A" w:rsidRDefault="00CA2F0A" w:rsidP="00B360E1">
      <w:pPr>
        <w:jc w:val="both"/>
        <w:rPr>
          <w:rFonts w:ascii="Times New Roman" w:hAnsi="Times New Roman" w:cs="Times New Roman"/>
        </w:rPr>
      </w:pPr>
    </w:p>
    <w:p w14:paraId="0947DEAA" w14:textId="77777777" w:rsidR="00CA2F0A" w:rsidRDefault="00CA2F0A" w:rsidP="00CA2F0A">
      <w:pPr>
        <w:jc w:val="center"/>
        <w:rPr>
          <w:rFonts w:ascii="Times New Roman" w:hAnsi="Times New Roman" w:cs="Times New Roman"/>
        </w:rPr>
      </w:pPr>
    </w:p>
    <w:p w14:paraId="2535DC87" w14:textId="20AC14EB" w:rsidR="00CA2F0A" w:rsidRPr="00CA2F0A" w:rsidRDefault="00CA2F0A" w:rsidP="00CA2F0A">
      <w:pPr>
        <w:jc w:val="center"/>
        <w:rPr>
          <w:rFonts w:ascii="Times New Roman" w:hAnsi="Times New Roman" w:cs="Times New Roman"/>
          <w:b/>
          <w:sz w:val="28"/>
        </w:rPr>
      </w:pPr>
      <w:r w:rsidRPr="00CA2F0A">
        <w:rPr>
          <w:rFonts w:ascii="Times New Roman" w:hAnsi="Times New Roman" w:cs="Times New Roman"/>
          <w:b/>
          <w:sz w:val="28"/>
        </w:rPr>
        <w:t>July 6, 2018</w:t>
      </w:r>
    </w:p>
    <w:p w14:paraId="3AE602BB" w14:textId="77777777" w:rsidR="00CF1C1D" w:rsidRPr="00110602" w:rsidRDefault="00CF1C1D" w:rsidP="00CA2F0A">
      <w:pPr>
        <w:jc w:val="center"/>
        <w:rPr>
          <w:rFonts w:ascii="Times New Roman" w:hAnsi="Times New Roman" w:cs="Times New Roman"/>
        </w:rPr>
      </w:pPr>
    </w:p>
    <w:p w14:paraId="25038E50" w14:textId="77777777" w:rsidR="00CF1C1D" w:rsidRPr="00110602" w:rsidRDefault="00CF1C1D" w:rsidP="00B360E1">
      <w:pPr>
        <w:jc w:val="both"/>
        <w:rPr>
          <w:rFonts w:ascii="Times New Roman" w:hAnsi="Times New Roman" w:cs="Times New Roman"/>
        </w:rPr>
      </w:pPr>
    </w:p>
    <w:p w14:paraId="14774664" w14:textId="1E3D373A" w:rsidR="00CF1C1D" w:rsidRPr="00110602" w:rsidRDefault="00A540EC" w:rsidP="00B360E1">
      <w:pPr>
        <w:jc w:val="both"/>
        <w:rPr>
          <w:rFonts w:ascii="Times New Roman" w:hAnsi="Times New Roman" w:cs="Times New Roman"/>
        </w:rPr>
      </w:pPr>
      <w:r>
        <w:rPr>
          <w:noProof/>
        </w:rPr>
        <w:drawing>
          <wp:anchor distT="0" distB="0" distL="114300" distR="114300" simplePos="0" relativeHeight="251659264" behindDoc="0" locked="0" layoutInCell="1" allowOverlap="1" wp14:anchorId="374FCB00" wp14:editId="4B8C95D6">
            <wp:simplePos x="0" y="0"/>
            <wp:positionH relativeFrom="column">
              <wp:posOffset>1676400</wp:posOffset>
            </wp:positionH>
            <wp:positionV relativeFrom="paragraph">
              <wp:posOffset>4444</wp:posOffset>
            </wp:positionV>
            <wp:extent cx="2524125" cy="2428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0513" t="25384" r="60256" b="42564"/>
                    <a:stretch/>
                  </pic:blipFill>
                  <pic:spPr bwMode="auto">
                    <a:xfrm>
                      <a:off x="0" y="0"/>
                      <a:ext cx="25241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D42E10" w14:textId="77777777" w:rsidR="00CF1C1D" w:rsidRPr="00110602" w:rsidRDefault="00CF1C1D" w:rsidP="00B360E1">
      <w:pPr>
        <w:jc w:val="both"/>
        <w:rPr>
          <w:rFonts w:ascii="Times New Roman" w:hAnsi="Times New Roman" w:cs="Times New Roman"/>
        </w:rPr>
      </w:pPr>
    </w:p>
    <w:p w14:paraId="6CF7FD71" w14:textId="77777777" w:rsidR="00CF1C1D" w:rsidRPr="00110602" w:rsidRDefault="00CF1C1D" w:rsidP="00B360E1">
      <w:pPr>
        <w:jc w:val="both"/>
        <w:rPr>
          <w:rFonts w:ascii="Times New Roman" w:hAnsi="Times New Roman" w:cs="Times New Roman"/>
        </w:rPr>
      </w:pPr>
    </w:p>
    <w:p w14:paraId="00C2CBE5" w14:textId="77777777" w:rsidR="00CF1C1D" w:rsidRPr="00110602" w:rsidRDefault="00CF1C1D" w:rsidP="00B360E1">
      <w:pPr>
        <w:jc w:val="both"/>
        <w:rPr>
          <w:rFonts w:ascii="Times New Roman" w:hAnsi="Times New Roman" w:cs="Times New Roman"/>
        </w:rPr>
      </w:pPr>
    </w:p>
    <w:p w14:paraId="4C14BCC6" w14:textId="7423D8B3" w:rsidR="00CF1C1D" w:rsidRPr="00110602" w:rsidRDefault="00CF1C1D" w:rsidP="00B360E1">
      <w:pPr>
        <w:jc w:val="both"/>
        <w:rPr>
          <w:rFonts w:ascii="Times New Roman" w:hAnsi="Times New Roman" w:cs="Times New Roman"/>
        </w:rPr>
      </w:pPr>
    </w:p>
    <w:p w14:paraId="529AD4B1" w14:textId="77777777" w:rsidR="00CF1C1D" w:rsidRPr="00110602" w:rsidRDefault="00CF1C1D" w:rsidP="00B360E1">
      <w:pPr>
        <w:jc w:val="both"/>
        <w:rPr>
          <w:rFonts w:ascii="Times New Roman" w:hAnsi="Times New Roman" w:cs="Times New Roman"/>
        </w:rPr>
      </w:pPr>
    </w:p>
    <w:p w14:paraId="18DE6AA9" w14:textId="77777777" w:rsidR="00CF1C1D" w:rsidRPr="00110602" w:rsidRDefault="00CF1C1D" w:rsidP="00B360E1">
      <w:pPr>
        <w:jc w:val="both"/>
        <w:rPr>
          <w:rFonts w:ascii="Times New Roman" w:hAnsi="Times New Roman" w:cs="Times New Roman"/>
        </w:rPr>
      </w:pPr>
    </w:p>
    <w:p w14:paraId="27AE9F80" w14:textId="77777777" w:rsidR="00CF1C1D" w:rsidRPr="00110602" w:rsidRDefault="00CF1C1D" w:rsidP="00B360E1">
      <w:pPr>
        <w:jc w:val="both"/>
        <w:rPr>
          <w:rFonts w:ascii="Times New Roman" w:hAnsi="Times New Roman" w:cs="Times New Roman"/>
        </w:rPr>
      </w:pPr>
    </w:p>
    <w:p w14:paraId="7129BDA0" w14:textId="77777777" w:rsidR="00CF1C1D" w:rsidRPr="00110602" w:rsidRDefault="00CF1C1D" w:rsidP="00B360E1">
      <w:pPr>
        <w:jc w:val="both"/>
        <w:rPr>
          <w:rFonts w:ascii="Times New Roman" w:hAnsi="Times New Roman" w:cs="Times New Roman"/>
        </w:rPr>
      </w:pPr>
    </w:p>
    <w:p w14:paraId="695C91F1" w14:textId="77777777" w:rsidR="00CF1C1D" w:rsidRPr="00110602" w:rsidRDefault="00CF1C1D" w:rsidP="00B360E1">
      <w:pPr>
        <w:jc w:val="both"/>
        <w:rPr>
          <w:rFonts w:ascii="Times New Roman" w:hAnsi="Times New Roman" w:cs="Times New Roman"/>
        </w:rPr>
      </w:pPr>
    </w:p>
    <w:p w14:paraId="1F57BD45" w14:textId="77777777" w:rsidR="00CF1C1D" w:rsidRPr="00110602" w:rsidRDefault="00CF1C1D" w:rsidP="00B360E1">
      <w:pPr>
        <w:jc w:val="both"/>
        <w:rPr>
          <w:rFonts w:ascii="Times New Roman" w:hAnsi="Times New Roman" w:cs="Times New Roman"/>
        </w:rPr>
      </w:pPr>
    </w:p>
    <w:p w14:paraId="0404B711" w14:textId="77777777" w:rsidR="00CF1C1D" w:rsidRPr="00110602" w:rsidRDefault="00CF1C1D" w:rsidP="00B360E1">
      <w:pPr>
        <w:jc w:val="both"/>
        <w:rPr>
          <w:rFonts w:ascii="Times New Roman" w:hAnsi="Times New Roman" w:cs="Times New Roman"/>
        </w:rPr>
      </w:pPr>
    </w:p>
    <w:p w14:paraId="43EFC717" w14:textId="77777777" w:rsidR="00CF1C1D" w:rsidRPr="00110602" w:rsidRDefault="00CF1C1D" w:rsidP="00B360E1">
      <w:pPr>
        <w:jc w:val="both"/>
        <w:rPr>
          <w:rFonts w:ascii="Times New Roman" w:hAnsi="Times New Roman" w:cs="Times New Roman"/>
        </w:rPr>
      </w:pPr>
    </w:p>
    <w:p w14:paraId="60B594DF" w14:textId="77777777" w:rsidR="00CF1C1D" w:rsidRPr="00110602" w:rsidRDefault="00CF1C1D" w:rsidP="00B360E1">
      <w:pPr>
        <w:jc w:val="both"/>
        <w:rPr>
          <w:rFonts w:ascii="Times New Roman" w:hAnsi="Times New Roman" w:cs="Times New Roman"/>
        </w:rPr>
      </w:pPr>
    </w:p>
    <w:p w14:paraId="311D0ED9" w14:textId="77777777" w:rsidR="00CF1C1D" w:rsidRPr="00110602" w:rsidRDefault="00CF1C1D" w:rsidP="00B360E1">
      <w:pPr>
        <w:jc w:val="both"/>
        <w:rPr>
          <w:rFonts w:ascii="Times New Roman" w:hAnsi="Times New Roman" w:cs="Times New Roman"/>
        </w:rPr>
      </w:pPr>
    </w:p>
    <w:p w14:paraId="42CF5A85" w14:textId="77777777" w:rsidR="00CF1C1D" w:rsidRPr="00110602" w:rsidRDefault="00CF1C1D" w:rsidP="00B360E1">
      <w:pPr>
        <w:jc w:val="both"/>
        <w:rPr>
          <w:rFonts w:ascii="Times New Roman" w:hAnsi="Times New Roman" w:cs="Times New Roman"/>
        </w:rPr>
      </w:pPr>
    </w:p>
    <w:p w14:paraId="27D0894B" w14:textId="77777777" w:rsidR="00CF1C1D" w:rsidRPr="00110602" w:rsidRDefault="00CF1C1D" w:rsidP="00B360E1">
      <w:pPr>
        <w:jc w:val="both"/>
        <w:rPr>
          <w:rFonts w:ascii="Times New Roman" w:hAnsi="Times New Roman" w:cs="Times New Roman"/>
        </w:rPr>
      </w:pPr>
    </w:p>
    <w:p w14:paraId="062FC815" w14:textId="77777777" w:rsidR="00CF1C1D" w:rsidRPr="00110602" w:rsidRDefault="00CF1C1D" w:rsidP="00B360E1">
      <w:pPr>
        <w:jc w:val="both"/>
        <w:rPr>
          <w:rFonts w:ascii="Times New Roman" w:hAnsi="Times New Roman" w:cs="Times New Roman"/>
        </w:rPr>
      </w:pPr>
    </w:p>
    <w:p w14:paraId="721B8C31" w14:textId="77777777" w:rsidR="00CF1C1D" w:rsidRPr="00110602" w:rsidRDefault="00CF1C1D" w:rsidP="00B360E1">
      <w:pPr>
        <w:jc w:val="both"/>
        <w:rPr>
          <w:rFonts w:ascii="Times New Roman" w:hAnsi="Times New Roman" w:cs="Times New Roman"/>
        </w:rPr>
      </w:pPr>
    </w:p>
    <w:p w14:paraId="25DE2758" w14:textId="77777777" w:rsidR="00CF1C1D" w:rsidRPr="00110602" w:rsidRDefault="00CF1C1D" w:rsidP="00B360E1">
      <w:pPr>
        <w:jc w:val="both"/>
        <w:rPr>
          <w:rFonts w:ascii="Times New Roman" w:hAnsi="Times New Roman" w:cs="Times New Roman"/>
        </w:rPr>
      </w:pPr>
    </w:p>
    <w:p w14:paraId="5698120A" w14:textId="77777777" w:rsidR="00CF1C1D" w:rsidRPr="00110602" w:rsidRDefault="00CF1C1D" w:rsidP="00B360E1">
      <w:pPr>
        <w:jc w:val="both"/>
        <w:rPr>
          <w:rFonts w:ascii="Times New Roman" w:hAnsi="Times New Roman" w:cs="Times New Roman"/>
        </w:rPr>
      </w:pPr>
    </w:p>
    <w:p w14:paraId="22F8F6E1" w14:textId="77777777" w:rsidR="00CF1C1D" w:rsidRPr="00110602" w:rsidRDefault="00CF1C1D" w:rsidP="00B360E1">
      <w:pPr>
        <w:jc w:val="both"/>
        <w:rPr>
          <w:rFonts w:ascii="Times New Roman" w:hAnsi="Times New Roman" w:cs="Times New Roman"/>
        </w:rPr>
      </w:pPr>
    </w:p>
    <w:p w14:paraId="4423E922" w14:textId="77777777" w:rsidR="00CF1C1D" w:rsidRPr="00110602" w:rsidRDefault="00CF1C1D" w:rsidP="00B360E1">
      <w:pPr>
        <w:jc w:val="both"/>
        <w:rPr>
          <w:rFonts w:ascii="Times New Roman" w:hAnsi="Times New Roman" w:cs="Times New Roman"/>
        </w:rPr>
      </w:pPr>
    </w:p>
    <w:p w14:paraId="30B39D90" w14:textId="77777777" w:rsidR="00CF1C1D" w:rsidRPr="00110602" w:rsidRDefault="00CF1C1D" w:rsidP="00B360E1">
      <w:pPr>
        <w:jc w:val="both"/>
        <w:rPr>
          <w:rFonts w:ascii="Times New Roman" w:hAnsi="Times New Roman" w:cs="Times New Roman"/>
        </w:rPr>
      </w:pPr>
    </w:p>
    <w:p w14:paraId="75B0597A" w14:textId="77777777" w:rsidR="00CF1C1D" w:rsidRPr="00110602" w:rsidRDefault="00CF1C1D" w:rsidP="00B360E1">
      <w:pPr>
        <w:jc w:val="both"/>
        <w:rPr>
          <w:rFonts w:ascii="Times New Roman" w:hAnsi="Times New Roman" w:cs="Times New Roman"/>
        </w:rPr>
      </w:pPr>
    </w:p>
    <w:p w14:paraId="0965980E" w14:textId="77777777" w:rsidR="00CF1C1D" w:rsidRDefault="00CF1C1D" w:rsidP="00B360E1">
      <w:pPr>
        <w:jc w:val="both"/>
        <w:rPr>
          <w:rFonts w:ascii="Times New Roman" w:hAnsi="Times New Roman" w:cs="Times New Roman"/>
        </w:rPr>
      </w:pPr>
    </w:p>
    <w:p w14:paraId="2C68216C" w14:textId="77777777" w:rsidR="00330FAA" w:rsidRPr="00110602" w:rsidRDefault="00330FAA" w:rsidP="00B360E1">
      <w:pPr>
        <w:jc w:val="both"/>
        <w:rPr>
          <w:rFonts w:ascii="Times New Roman" w:hAnsi="Times New Roman" w:cs="Times New Roman"/>
        </w:rPr>
      </w:pPr>
    </w:p>
    <w:p w14:paraId="198718F2" w14:textId="77777777" w:rsidR="00CF1C1D" w:rsidRPr="00110602" w:rsidRDefault="00CF1C1D" w:rsidP="00B360E1">
      <w:pPr>
        <w:jc w:val="both"/>
        <w:rPr>
          <w:rFonts w:ascii="Times New Roman" w:hAnsi="Times New Roman" w:cs="Times New Roman"/>
        </w:rPr>
      </w:pPr>
    </w:p>
    <w:p w14:paraId="6ED4B6CE" w14:textId="77777777" w:rsidR="00CF1C1D" w:rsidRPr="00110602" w:rsidRDefault="00CF1C1D" w:rsidP="00B360E1">
      <w:pPr>
        <w:jc w:val="both"/>
        <w:rPr>
          <w:rFonts w:ascii="Times New Roman" w:hAnsi="Times New Roman" w:cs="Times New Roman"/>
        </w:rPr>
      </w:pPr>
    </w:p>
    <w:p w14:paraId="7175F432" w14:textId="77777777" w:rsidR="00CF1C1D" w:rsidRPr="00110602" w:rsidRDefault="00CF1C1D" w:rsidP="00B360E1">
      <w:pPr>
        <w:jc w:val="both"/>
        <w:rPr>
          <w:rFonts w:ascii="Times New Roman" w:hAnsi="Times New Roman" w:cs="Times New Roman"/>
        </w:rPr>
      </w:pPr>
    </w:p>
    <w:p w14:paraId="20EB7A42" w14:textId="77777777" w:rsidR="00330FAA" w:rsidRDefault="00330FAA" w:rsidP="00663287">
      <w:pPr>
        <w:jc w:val="both"/>
        <w:rPr>
          <w:rFonts w:ascii="Times New Roman" w:hAnsi="Times New Roman" w:cs="Times New Roman"/>
          <w:lang w:val="en-GB"/>
        </w:rPr>
      </w:pPr>
    </w:p>
    <w:p w14:paraId="04BDF838" w14:textId="1206F96A" w:rsidR="00330FAA" w:rsidRDefault="00330FAA" w:rsidP="00663287">
      <w:pPr>
        <w:jc w:val="both"/>
        <w:rPr>
          <w:rFonts w:ascii="Times New Roman" w:hAnsi="Times New Roman" w:cs="Times New Roman"/>
          <w:lang w:val="en-GB"/>
        </w:rPr>
      </w:pPr>
      <w:r>
        <w:rPr>
          <w:rFonts w:ascii="Times New Roman" w:hAnsi="Times New Roman" w:cs="Times New Roman"/>
          <w:lang w:val="en-GB"/>
        </w:rPr>
        <w:t>Introduction:</w:t>
      </w:r>
    </w:p>
    <w:p w14:paraId="19060F5E" w14:textId="77777777" w:rsidR="00DB58DA" w:rsidRDefault="00DB58DA" w:rsidP="00663287">
      <w:pPr>
        <w:jc w:val="both"/>
        <w:rPr>
          <w:rFonts w:ascii="Times New Roman" w:hAnsi="Times New Roman" w:cs="Times New Roman"/>
          <w:lang w:val="en-GB"/>
        </w:rPr>
      </w:pPr>
    </w:p>
    <w:p w14:paraId="06E81F57" w14:textId="5D2617BB" w:rsidR="00330FAA" w:rsidRDefault="00FD3B6F" w:rsidP="00663287">
      <w:pPr>
        <w:jc w:val="both"/>
        <w:rPr>
          <w:rFonts w:ascii="Times New Roman" w:hAnsi="Times New Roman" w:cs="Times New Roman"/>
          <w:lang w:val="en-GB"/>
        </w:rPr>
      </w:pPr>
      <w:r>
        <w:rPr>
          <w:rFonts w:ascii="Times New Roman" w:hAnsi="Times New Roman" w:cs="Times New Roman"/>
          <w:lang w:val="en-GB"/>
        </w:rPr>
        <w:t xml:space="preserve">The </w:t>
      </w:r>
      <w:r w:rsidR="00330FAA">
        <w:rPr>
          <w:rFonts w:ascii="Times New Roman" w:hAnsi="Times New Roman" w:cs="Times New Roman"/>
          <w:lang w:val="en-GB"/>
        </w:rPr>
        <w:t xml:space="preserve">Government of </w:t>
      </w:r>
      <w:r w:rsidR="0033741C">
        <w:rPr>
          <w:rFonts w:ascii="Times New Roman" w:hAnsi="Times New Roman" w:cs="Times New Roman"/>
          <w:lang w:val="en-GB"/>
        </w:rPr>
        <w:t xml:space="preserve">the Republic of </w:t>
      </w:r>
      <w:r w:rsidR="00330FAA">
        <w:rPr>
          <w:rFonts w:ascii="Times New Roman" w:hAnsi="Times New Roman" w:cs="Times New Roman"/>
          <w:lang w:val="en-GB"/>
        </w:rPr>
        <w:t>Liberia</w:t>
      </w:r>
      <w:r w:rsidR="0033741C">
        <w:rPr>
          <w:rFonts w:ascii="Times New Roman" w:hAnsi="Times New Roman" w:cs="Times New Roman"/>
          <w:lang w:val="en-GB"/>
        </w:rPr>
        <w:t xml:space="preserve"> </w:t>
      </w:r>
      <w:r w:rsidR="00330FAA" w:rsidRPr="00663287">
        <w:rPr>
          <w:rFonts w:ascii="Times New Roman" w:hAnsi="Times New Roman" w:cs="Times New Roman"/>
          <w:lang w:val="en-GB"/>
        </w:rPr>
        <w:t xml:space="preserve">(hereinafter the </w:t>
      </w:r>
      <w:r w:rsidR="00093A69">
        <w:rPr>
          <w:rFonts w:ascii="Times New Roman" w:hAnsi="Times New Roman" w:cs="Times New Roman"/>
          <w:lang w:val="en-GB"/>
        </w:rPr>
        <w:t>“</w:t>
      </w:r>
      <w:r w:rsidR="00330FAA" w:rsidRPr="00663287">
        <w:rPr>
          <w:rFonts w:ascii="Times New Roman" w:hAnsi="Times New Roman" w:cs="Times New Roman"/>
          <w:lang w:val="en-GB"/>
        </w:rPr>
        <w:t>Government</w:t>
      </w:r>
      <w:r w:rsidR="00093A69">
        <w:rPr>
          <w:rFonts w:ascii="Times New Roman" w:hAnsi="Times New Roman" w:cs="Times New Roman"/>
          <w:lang w:val="en-GB"/>
        </w:rPr>
        <w:t>”</w:t>
      </w:r>
      <w:r w:rsidR="00330FAA" w:rsidRPr="00663287">
        <w:rPr>
          <w:rFonts w:ascii="Times New Roman" w:hAnsi="Times New Roman" w:cs="Times New Roman"/>
          <w:lang w:val="en-GB"/>
        </w:rPr>
        <w:t xml:space="preserve">), </w:t>
      </w:r>
      <w:r w:rsidR="00330FAA">
        <w:rPr>
          <w:rFonts w:ascii="Times New Roman" w:hAnsi="Times New Roman" w:cs="Times New Roman"/>
          <w:lang w:val="en-GB"/>
        </w:rPr>
        <w:t xml:space="preserve"> submitted its initial  report on the implementation of the </w:t>
      </w:r>
      <w:r w:rsidR="00330FAA" w:rsidRPr="00663287">
        <w:rPr>
          <w:rFonts w:ascii="Times New Roman" w:hAnsi="Times New Roman" w:cs="Times New Roman"/>
          <w:lang w:val="en-GB"/>
        </w:rPr>
        <w:t>International Covenant on Civil and Political Rights</w:t>
      </w:r>
      <w:r w:rsidR="00686299">
        <w:rPr>
          <w:rFonts w:ascii="Times New Roman" w:hAnsi="Times New Roman" w:cs="Times New Roman"/>
          <w:lang w:val="en-GB"/>
        </w:rPr>
        <w:t xml:space="preserve"> </w:t>
      </w:r>
      <w:r w:rsidR="00330FAA">
        <w:rPr>
          <w:rFonts w:ascii="Times New Roman" w:hAnsi="Times New Roman" w:cs="Times New Roman"/>
          <w:lang w:val="en-GB"/>
        </w:rPr>
        <w:t xml:space="preserve">(ICCPR)  to the United Nations </w:t>
      </w:r>
      <w:r w:rsidR="00330FAA" w:rsidRPr="00330FAA">
        <w:rPr>
          <w:rFonts w:ascii="Times New Roman" w:hAnsi="Times New Roman" w:cs="Times New Roman"/>
          <w:lang w:val="en-GB"/>
        </w:rPr>
        <w:t xml:space="preserve"> </w:t>
      </w:r>
      <w:r w:rsidR="00330FAA" w:rsidRPr="00663287">
        <w:rPr>
          <w:rFonts w:ascii="Times New Roman" w:hAnsi="Times New Roman" w:cs="Times New Roman"/>
          <w:lang w:val="en-GB"/>
        </w:rPr>
        <w:t>Human Rights Committee</w:t>
      </w:r>
      <w:r w:rsidR="00330FAA">
        <w:rPr>
          <w:rFonts w:ascii="Times New Roman" w:hAnsi="Times New Roman" w:cs="Times New Roman"/>
          <w:lang w:val="en-GB"/>
        </w:rPr>
        <w:t xml:space="preserve"> on 2</w:t>
      </w:r>
      <w:r w:rsidR="00330FAA" w:rsidRPr="00720C45">
        <w:rPr>
          <w:rFonts w:ascii="Times New Roman" w:hAnsi="Times New Roman" w:cs="Times New Roman"/>
          <w:vertAlign w:val="superscript"/>
          <w:lang w:val="en-GB"/>
        </w:rPr>
        <w:t>nd</w:t>
      </w:r>
      <w:r w:rsidR="00330FAA">
        <w:rPr>
          <w:rFonts w:ascii="Times New Roman" w:hAnsi="Times New Roman" w:cs="Times New Roman"/>
          <w:lang w:val="en-GB"/>
        </w:rPr>
        <w:t xml:space="preserve"> November,</w:t>
      </w:r>
      <w:r w:rsidR="00686299">
        <w:rPr>
          <w:rFonts w:ascii="Times New Roman" w:hAnsi="Times New Roman" w:cs="Times New Roman"/>
          <w:lang w:val="en-GB"/>
        </w:rPr>
        <w:t xml:space="preserve"> </w:t>
      </w:r>
      <w:r w:rsidR="00330FAA">
        <w:rPr>
          <w:rFonts w:ascii="Times New Roman" w:hAnsi="Times New Roman" w:cs="Times New Roman"/>
          <w:lang w:val="en-GB"/>
        </w:rPr>
        <w:t xml:space="preserve">2016 </w:t>
      </w:r>
      <w:r w:rsidR="0033741C">
        <w:rPr>
          <w:rFonts w:ascii="Times New Roman" w:hAnsi="Times New Roman" w:cs="Times New Roman"/>
          <w:lang w:val="en-GB"/>
        </w:rPr>
        <w:t>consistent</w:t>
      </w:r>
      <w:r w:rsidR="00330FAA">
        <w:rPr>
          <w:rFonts w:ascii="Times New Roman" w:hAnsi="Times New Roman" w:cs="Times New Roman"/>
          <w:lang w:val="en-GB"/>
        </w:rPr>
        <w:t xml:space="preserve"> with its obligations relative to the ICCPR Treaty</w:t>
      </w:r>
      <w:r w:rsidR="0033741C">
        <w:rPr>
          <w:rFonts w:ascii="Times New Roman" w:hAnsi="Times New Roman" w:cs="Times New Roman"/>
          <w:lang w:val="en-GB"/>
        </w:rPr>
        <w:t xml:space="preserve"> reporting</w:t>
      </w:r>
      <w:r w:rsidR="00330FAA">
        <w:rPr>
          <w:rFonts w:ascii="Times New Roman" w:hAnsi="Times New Roman" w:cs="Times New Roman"/>
          <w:lang w:val="en-GB"/>
        </w:rPr>
        <w:t>. Following the review of the Government’s report</w:t>
      </w:r>
      <w:r w:rsidR="0033741C">
        <w:rPr>
          <w:rFonts w:ascii="Times New Roman" w:hAnsi="Times New Roman" w:cs="Times New Roman"/>
          <w:lang w:val="en-GB"/>
        </w:rPr>
        <w:t>,</w:t>
      </w:r>
      <w:r w:rsidR="00330FAA">
        <w:rPr>
          <w:rFonts w:ascii="Times New Roman" w:hAnsi="Times New Roman" w:cs="Times New Roman"/>
          <w:lang w:val="en-GB"/>
        </w:rPr>
        <w:t xml:space="preserve"> the </w:t>
      </w:r>
      <w:r w:rsidR="0033741C">
        <w:rPr>
          <w:rFonts w:ascii="Times New Roman" w:hAnsi="Times New Roman" w:cs="Times New Roman"/>
          <w:lang w:val="en-GB"/>
        </w:rPr>
        <w:t xml:space="preserve">Human Rights </w:t>
      </w:r>
      <w:r w:rsidR="00720C45">
        <w:rPr>
          <w:rFonts w:ascii="Times New Roman" w:hAnsi="Times New Roman" w:cs="Times New Roman"/>
          <w:lang w:val="en-GB"/>
        </w:rPr>
        <w:t>Committee advanced</w:t>
      </w:r>
      <w:r w:rsidR="0033741C">
        <w:rPr>
          <w:rFonts w:ascii="Times New Roman" w:hAnsi="Times New Roman" w:cs="Times New Roman"/>
          <w:lang w:val="en-GB"/>
        </w:rPr>
        <w:t xml:space="preserve"> a list of issues drawn from the report for Government’s attention </w:t>
      </w:r>
      <w:r w:rsidR="00720C45">
        <w:rPr>
          <w:rFonts w:ascii="Times New Roman" w:hAnsi="Times New Roman" w:cs="Times New Roman"/>
          <w:lang w:val="en-GB"/>
        </w:rPr>
        <w:t>and response</w:t>
      </w:r>
      <w:r w:rsidR="0033741C">
        <w:rPr>
          <w:rFonts w:ascii="Times New Roman" w:hAnsi="Times New Roman" w:cs="Times New Roman"/>
          <w:lang w:val="en-GB"/>
        </w:rPr>
        <w:t xml:space="preserve">.  </w:t>
      </w:r>
    </w:p>
    <w:p w14:paraId="23692798" w14:textId="77777777" w:rsidR="00720C45" w:rsidRDefault="00720C45" w:rsidP="00663287">
      <w:pPr>
        <w:jc w:val="both"/>
        <w:rPr>
          <w:rFonts w:ascii="Times New Roman" w:hAnsi="Times New Roman" w:cs="Times New Roman"/>
          <w:lang w:val="en-GB"/>
        </w:rPr>
      </w:pPr>
    </w:p>
    <w:p w14:paraId="7003BF11" w14:textId="7775227C" w:rsidR="0033741C" w:rsidRDefault="00663287" w:rsidP="00663287">
      <w:pPr>
        <w:jc w:val="both"/>
        <w:rPr>
          <w:rFonts w:ascii="Times New Roman" w:hAnsi="Times New Roman" w:cs="Times New Roman"/>
          <w:lang w:val="en-GB"/>
        </w:rPr>
      </w:pPr>
      <w:r w:rsidRPr="00663287">
        <w:rPr>
          <w:rFonts w:ascii="Times New Roman" w:hAnsi="Times New Roman" w:cs="Times New Roman"/>
          <w:lang w:val="en-GB"/>
        </w:rPr>
        <w:t xml:space="preserve">The Government welcomes the list of issues advanced by the Human Rights Committee and </w:t>
      </w:r>
      <w:r w:rsidR="0033741C">
        <w:rPr>
          <w:rFonts w:ascii="Times New Roman" w:hAnsi="Times New Roman" w:cs="Times New Roman"/>
          <w:lang w:val="en-GB"/>
        </w:rPr>
        <w:t>is</w:t>
      </w:r>
      <w:r w:rsidRPr="00663287">
        <w:rPr>
          <w:rFonts w:ascii="Times New Roman" w:hAnsi="Times New Roman" w:cs="Times New Roman"/>
          <w:lang w:val="en-GB"/>
        </w:rPr>
        <w:t xml:space="preserve"> </w:t>
      </w:r>
      <w:r w:rsidR="0033741C">
        <w:rPr>
          <w:rFonts w:ascii="Times New Roman" w:hAnsi="Times New Roman" w:cs="Times New Roman"/>
          <w:lang w:val="en-GB"/>
        </w:rPr>
        <w:t>pleased to submit</w:t>
      </w:r>
      <w:r w:rsidR="00DB58DA">
        <w:rPr>
          <w:rFonts w:ascii="Times New Roman" w:hAnsi="Times New Roman" w:cs="Times New Roman"/>
          <w:lang w:val="en-GB"/>
        </w:rPr>
        <w:t xml:space="preserve"> its response.</w:t>
      </w:r>
    </w:p>
    <w:p w14:paraId="742748E2" w14:textId="77777777" w:rsidR="0033741C" w:rsidRDefault="0033741C" w:rsidP="00663287">
      <w:pPr>
        <w:jc w:val="both"/>
        <w:rPr>
          <w:rFonts w:ascii="Times New Roman" w:hAnsi="Times New Roman" w:cs="Times New Roman"/>
          <w:lang w:val="en-GB"/>
        </w:rPr>
      </w:pPr>
    </w:p>
    <w:p w14:paraId="5EA2055F" w14:textId="1883F2CB" w:rsidR="0033741C" w:rsidRDefault="0033741C" w:rsidP="00663287">
      <w:pPr>
        <w:jc w:val="both"/>
        <w:rPr>
          <w:rFonts w:ascii="Times New Roman" w:hAnsi="Times New Roman" w:cs="Times New Roman"/>
          <w:lang w:val="en-GB"/>
        </w:rPr>
      </w:pPr>
      <w:r>
        <w:rPr>
          <w:rFonts w:ascii="Times New Roman" w:hAnsi="Times New Roman" w:cs="Times New Roman"/>
          <w:lang w:val="en-GB"/>
        </w:rPr>
        <w:t>This document was prepared</w:t>
      </w:r>
      <w:r w:rsidRPr="00663287">
        <w:rPr>
          <w:rFonts w:ascii="Times New Roman" w:hAnsi="Times New Roman" w:cs="Times New Roman"/>
          <w:lang w:val="en-GB"/>
        </w:rPr>
        <w:t xml:space="preserve"> in consultation with rele</w:t>
      </w:r>
      <w:r>
        <w:rPr>
          <w:rFonts w:ascii="Times New Roman" w:hAnsi="Times New Roman" w:cs="Times New Roman"/>
          <w:lang w:val="en-GB"/>
        </w:rPr>
        <w:t>vant Ministries, Agencies</w:t>
      </w:r>
      <w:r w:rsidR="00DB58DA">
        <w:rPr>
          <w:rFonts w:ascii="Times New Roman" w:hAnsi="Times New Roman" w:cs="Times New Roman"/>
          <w:lang w:val="en-GB"/>
        </w:rPr>
        <w:t>,</w:t>
      </w:r>
      <w:r w:rsidRPr="00663287">
        <w:rPr>
          <w:rFonts w:ascii="Times New Roman" w:hAnsi="Times New Roman" w:cs="Times New Roman"/>
          <w:lang w:val="en-GB"/>
        </w:rPr>
        <w:t xml:space="preserve"> human rights partners and</w:t>
      </w:r>
      <w:r>
        <w:rPr>
          <w:rFonts w:ascii="Times New Roman" w:hAnsi="Times New Roman" w:cs="Times New Roman"/>
          <w:lang w:val="en-GB"/>
        </w:rPr>
        <w:t xml:space="preserve"> other  stakeholders.</w:t>
      </w:r>
      <w:r w:rsidRPr="00663287">
        <w:rPr>
          <w:rFonts w:ascii="Times New Roman" w:hAnsi="Times New Roman" w:cs="Times New Roman"/>
          <w:lang w:val="en-GB"/>
        </w:rPr>
        <w:t xml:space="preserve"> </w:t>
      </w:r>
      <w:r w:rsidR="00DB58DA">
        <w:rPr>
          <w:rFonts w:ascii="Times New Roman" w:hAnsi="Times New Roman" w:cs="Times New Roman"/>
          <w:lang w:val="en-GB"/>
        </w:rPr>
        <w:t xml:space="preserve">The issues were </w:t>
      </w:r>
      <w:r w:rsidRPr="00663287">
        <w:rPr>
          <w:rFonts w:ascii="Times New Roman" w:hAnsi="Times New Roman" w:cs="Times New Roman"/>
          <w:lang w:val="en-GB"/>
        </w:rPr>
        <w:t xml:space="preserve">carefully considered </w:t>
      </w:r>
      <w:r w:rsidR="00DB58DA">
        <w:rPr>
          <w:rFonts w:ascii="Times New Roman" w:hAnsi="Times New Roman" w:cs="Times New Roman"/>
          <w:lang w:val="en-GB"/>
        </w:rPr>
        <w:t xml:space="preserve">and responses prepared </w:t>
      </w:r>
      <w:r w:rsidRPr="00663287">
        <w:rPr>
          <w:rFonts w:ascii="Times New Roman" w:hAnsi="Times New Roman" w:cs="Times New Roman"/>
          <w:lang w:val="en-GB"/>
        </w:rPr>
        <w:t xml:space="preserve">as directed by the </w:t>
      </w:r>
      <w:r w:rsidR="00DB58DA">
        <w:rPr>
          <w:rFonts w:ascii="Times New Roman" w:hAnsi="Times New Roman" w:cs="Times New Roman"/>
          <w:lang w:val="en-GB"/>
        </w:rPr>
        <w:t xml:space="preserve">Human  Rights </w:t>
      </w:r>
      <w:r w:rsidRPr="00663287">
        <w:rPr>
          <w:rFonts w:ascii="Times New Roman" w:hAnsi="Times New Roman" w:cs="Times New Roman"/>
          <w:lang w:val="en-GB"/>
        </w:rPr>
        <w:t>Committee as follows</w:t>
      </w:r>
      <w:r w:rsidR="00DB58DA">
        <w:rPr>
          <w:rFonts w:ascii="Times New Roman" w:hAnsi="Times New Roman" w:cs="Times New Roman"/>
          <w:lang w:val="en-GB"/>
        </w:rPr>
        <w:t>:</w:t>
      </w:r>
    </w:p>
    <w:p w14:paraId="1FCE715A" w14:textId="77777777" w:rsidR="0033741C" w:rsidRDefault="0033741C" w:rsidP="00663287">
      <w:pPr>
        <w:jc w:val="both"/>
        <w:rPr>
          <w:rFonts w:ascii="Times New Roman" w:hAnsi="Times New Roman" w:cs="Times New Roman"/>
          <w:lang w:val="en-GB"/>
        </w:rPr>
      </w:pPr>
    </w:p>
    <w:p w14:paraId="745E8FA4" w14:textId="77777777" w:rsidR="00663287" w:rsidRDefault="00663287" w:rsidP="00B360E1">
      <w:pPr>
        <w:jc w:val="both"/>
        <w:rPr>
          <w:rFonts w:ascii="Times New Roman" w:hAnsi="Times New Roman" w:cs="Times New Roman"/>
        </w:rPr>
      </w:pPr>
    </w:p>
    <w:p w14:paraId="3161ADD7" w14:textId="77777777"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Constitutional and legal framework within which the Covenant is implemented (art. 2)</w:t>
      </w:r>
    </w:p>
    <w:p w14:paraId="455DAB4C" w14:textId="77777777" w:rsidR="00CA5830" w:rsidRPr="00110602" w:rsidRDefault="00CA5830" w:rsidP="00B360E1">
      <w:pPr>
        <w:jc w:val="both"/>
        <w:rPr>
          <w:rFonts w:ascii="Times New Roman" w:hAnsi="Times New Roman" w:cs="Times New Roman"/>
          <w:b/>
        </w:rPr>
      </w:pPr>
    </w:p>
    <w:p w14:paraId="23E2558B" w14:textId="00BDD6CD" w:rsidR="002E22A6" w:rsidRPr="00027447" w:rsidRDefault="002E22A6" w:rsidP="00DB4362">
      <w:pPr>
        <w:pStyle w:val="ListParagraph"/>
        <w:numPr>
          <w:ilvl w:val="0"/>
          <w:numId w:val="2"/>
        </w:numPr>
        <w:jc w:val="both"/>
        <w:rPr>
          <w:rFonts w:ascii="Times New Roman" w:hAnsi="Times New Roman" w:cs="Times New Roman"/>
        </w:rPr>
      </w:pPr>
      <w:r w:rsidRPr="00027447">
        <w:rPr>
          <w:rFonts w:ascii="Times New Roman" w:hAnsi="Times New Roman" w:cs="Times New Roman"/>
        </w:rPr>
        <w:t>Liberia has ratified the Covenant thus making it a</w:t>
      </w:r>
      <w:r w:rsidR="003262D2" w:rsidRPr="00027447">
        <w:rPr>
          <w:rFonts w:ascii="Times New Roman" w:hAnsi="Times New Roman" w:cs="Times New Roman"/>
        </w:rPr>
        <w:t xml:space="preserve"> </w:t>
      </w:r>
      <w:r w:rsidRPr="00027447">
        <w:rPr>
          <w:rFonts w:ascii="Times New Roman" w:hAnsi="Times New Roman" w:cs="Times New Roman"/>
        </w:rPr>
        <w:t>part of national laws.  The protection of civil and p</w:t>
      </w:r>
      <w:r w:rsidR="00E34B46" w:rsidRPr="00027447">
        <w:rPr>
          <w:rFonts w:ascii="Times New Roman" w:hAnsi="Times New Roman" w:cs="Times New Roman"/>
        </w:rPr>
        <w:t>o</w:t>
      </w:r>
      <w:r w:rsidRPr="00027447">
        <w:rPr>
          <w:rFonts w:ascii="Times New Roman" w:hAnsi="Times New Roman" w:cs="Times New Roman"/>
        </w:rPr>
        <w:t>litical rights</w:t>
      </w:r>
      <w:r w:rsidR="007A4CFE" w:rsidRPr="00027447">
        <w:rPr>
          <w:rFonts w:ascii="Times New Roman" w:hAnsi="Times New Roman" w:cs="Times New Roman"/>
        </w:rPr>
        <w:t>,</w:t>
      </w:r>
      <w:r w:rsidRPr="00027447">
        <w:rPr>
          <w:rFonts w:ascii="Times New Roman" w:hAnsi="Times New Roman" w:cs="Times New Roman"/>
        </w:rPr>
        <w:t xml:space="preserve"> which is the epicenter of the Covenant</w:t>
      </w:r>
      <w:r w:rsidR="007A4CFE" w:rsidRPr="00027447">
        <w:rPr>
          <w:rFonts w:ascii="Times New Roman" w:hAnsi="Times New Roman" w:cs="Times New Roman"/>
        </w:rPr>
        <w:t>,</w:t>
      </w:r>
      <w:r w:rsidRPr="00027447">
        <w:rPr>
          <w:rFonts w:ascii="Times New Roman" w:hAnsi="Times New Roman" w:cs="Times New Roman"/>
        </w:rPr>
        <w:t xml:space="preserve"> is paramount in Liberia</w:t>
      </w:r>
      <w:r w:rsidR="007A4CFE" w:rsidRPr="00027447">
        <w:rPr>
          <w:rFonts w:ascii="Times New Roman" w:hAnsi="Times New Roman" w:cs="Times New Roman"/>
        </w:rPr>
        <w:t>’s</w:t>
      </w:r>
      <w:r w:rsidRPr="00027447">
        <w:rPr>
          <w:rFonts w:ascii="Times New Roman" w:hAnsi="Times New Roman" w:cs="Times New Roman"/>
        </w:rPr>
        <w:t xml:space="preserve"> legal framework. </w:t>
      </w:r>
      <w:r w:rsidR="007141F1" w:rsidRPr="00027447">
        <w:rPr>
          <w:rFonts w:ascii="Times New Roman" w:hAnsi="Times New Roman" w:cs="Times New Roman"/>
        </w:rPr>
        <w:t>Chapter III</w:t>
      </w:r>
      <w:r w:rsidRPr="00027447">
        <w:rPr>
          <w:rFonts w:ascii="Times New Roman" w:hAnsi="Times New Roman" w:cs="Times New Roman"/>
        </w:rPr>
        <w:t xml:space="preserve"> </w:t>
      </w:r>
      <w:r w:rsidR="0007059E" w:rsidRPr="00027447">
        <w:rPr>
          <w:rFonts w:ascii="Times New Roman" w:hAnsi="Times New Roman" w:cs="Times New Roman"/>
        </w:rPr>
        <w:t xml:space="preserve">(Fundamental Rights) </w:t>
      </w:r>
      <w:r w:rsidRPr="00027447">
        <w:rPr>
          <w:rFonts w:ascii="Times New Roman" w:hAnsi="Times New Roman" w:cs="Times New Roman"/>
        </w:rPr>
        <w:t>of the 1986</w:t>
      </w:r>
      <w:r w:rsidR="003262D2" w:rsidRPr="00027447">
        <w:rPr>
          <w:rFonts w:ascii="Times New Roman" w:hAnsi="Times New Roman" w:cs="Times New Roman"/>
        </w:rPr>
        <w:t xml:space="preserve"> </w:t>
      </w:r>
      <w:r w:rsidR="009A67E1" w:rsidRPr="00027447">
        <w:rPr>
          <w:rFonts w:ascii="Times New Roman" w:hAnsi="Times New Roman" w:cs="Times New Roman"/>
        </w:rPr>
        <w:t>Constitution of the Republic of Liberia</w:t>
      </w:r>
      <w:r w:rsidR="0007059E" w:rsidRPr="00027447">
        <w:rPr>
          <w:rFonts w:ascii="Times New Roman" w:hAnsi="Times New Roman" w:cs="Times New Roman"/>
        </w:rPr>
        <w:t xml:space="preserve"> </w:t>
      </w:r>
      <w:r w:rsidRPr="00027447">
        <w:rPr>
          <w:rFonts w:ascii="Times New Roman" w:hAnsi="Times New Roman" w:cs="Times New Roman"/>
        </w:rPr>
        <w:t xml:space="preserve">comprises 26 Articles </w:t>
      </w:r>
      <w:r w:rsidR="0007059E" w:rsidRPr="00027447">
        <w:rPr>
          <w:rFonts w:ascii="Times New Roman" w:hAnsi="Times New Roman" w:cs="Times New Roman"/>
        </w:rPr>
        <w:t xml:space="preserve">that </w:t>
      </w:r>
      <w:r w:rsidRPr="00027447">
        <w:rPr>
          <w:rFonts w:ascii="Times New Roman" w:hAnsi="Times New Roman" w:cs="Times New Roman"/>
        </w:rPr>
        <w:t xml:space="preserve">addresses the issue of </w:t>
      </w:r>
      <w:r w:rsidR="007C2C8F" w:rsidRPr="00027447">
        <w:rPr>
          <w:rFonts w:ascii="Times New Roman" w:hAnsi="Times New Roman" w:cs="Times New Roman"/>
        </w:rPr>
        <w:t xml:space="preserve">fundamental rights of all persons. </w:t>
      </w:r>
      <w:r w:rsidRPr="00027447">
        <w:rPr>
          <w:rFonts w:ascii="Times New Roman" w:hAnsi="Times New Roman" w:cs="Times New Roman"/>
        </w:rPr>
        <w:t xml:space="preserve"> The protections contained in the provisions of the Covenant are guaranteed to all persons by the Constitution of the Republic of Liberia. </w:t>
      </w:r>
      <w:r w:rsidR="007C2C8F" w:rsidRPr="00027447">
        <w:rPr>
          <w:rFonts w:ascii="Times New Roman" w:hAnsi="Times New Roman" w:cs="Times New Roman"/>
        </w:rPr>
        <w:t xml:space="preserve"> </w:t>
      </w:r>
      <w:r w:rsidRPr="00027447">
        <w:rPr>
          <w:rFonts w:ascii="Times New Roman" w:hAnsi="Times New Roman" w:cs="Times New Roman"/>
        </w:rPr>
        <w:t>Further, Liberia has enacted statutes to conform to the provisions of the Constitution which also prote</w:t>
      </w:r>
      <w:r w:rsidR="003262D2" w:rsidRPr="00027447">
        <w:rPr>
          <w:rFonts w:ascii="Times New Roman" w:hAnsi="Times New Roman" w:cs="Times New Roman"/>
        </w:rPr>
        <w:t>c</w:t>
      </w:r>
      <w:r w:rsidRPr="00027447">
        <w:rPr>
          <w:rFonts w:ascii="Times New Roman" w:hAnsi="Times New Roman" w:cs="Times New Roman"/>
        </w:rPr>
        <w:t xml:space="preserve">ts rights granted by the Covenant.  Examples of these statutes include the Decent Work Act, amendments to the Penal Law, and the Election Law.   The decisions of the Liberia courts often references the fundamental rights guaranteed by the Constitution and the Covenant.  Where Liberian national law directly speaks to an issue, the courts are required to apply the provisions of national law.  Because the </w:t>
      </w:r>
      <w:r w:rsidR="00DB4362" w:rsidRPr="00027447">
        <w:rPr>
          <w:rFonts w:ascii="Times New Roman" w:hAnsi="Times New Roman" w:cs="Times New Roman"/>
        </w:rPr>
        <w:t xml:space="preserve">rights protected by the Covenant are also guaranteed by the Constitution, the Courts apply the provisions of the Constitution in deciding cases. </w:t>
      </w:r>
    </w:p>
    <w:p w14:paraId="2A45CDFD" w14:textId="77777777" w:rsidR="00DB4362" w:rsidRPr="00110602" w:rsidRDefault="00DB4362" w:rsidP="00F302FF">
      <w:pPr>
        <w:pStyle w:val="ListParagraph"/>
        <w:ind w:left="360"/>
        <w:jc w:val="both"/>
        <w:rPr>
          <w:rFonts w:ascii="Times New Roman" w:hAnsi="Times New Roman" w:cs="Times New Roman"/>
        </w:rPr>
      </w:pPr>
    </w:p>
    <w:p w14:paraId="393E82AC" w14:textId="6A9E32CA" w:rsidR="00DB4362" w:rsidRPr="00110602" w:rsidRDefault="00DB4362" w:rsidP="00DB4362">
      <w:pPr>
        <w:pStyle w:val="ListParagraph"/>
        <w:ind w:left="360"/>
        <w:jc w:val="both"/>
        <w:rPr>
          <w:rFonts w:ascii="Times New Roman" w:hAnsi="Times New Roman" w:cs="Times New Roman"/>
        </w:rPr>
      </w:pPr>
      <w:r w:rsidRPr="00110602">
        <w:rPr>
          <w:rFonts w:ascii="Times New Roman" w:hAnsi="Times New Roman" w:cs="Times New Roman"/>
        </w:rPr>
        <w:t xml:space="preserve">The Constitution of Liberia is the organic law of the land upon which all statutes and laws </w:t>
      </w:r>
      <w:r w:rsidR="0007059E">
        <w:rPr>
          <w:rFonts w:ascii="Times New Roman" w:hAnsi="Times New Roman" w:cs="Times New Roman"/>
        </w:rPr>
        <w:t>must be in conformity with</w:t>
      </w:r>
      <w:r w:rsidRPr="00110602">
        <w:rPr>
          <w:rFonts w:ascii="Times New Roman" w:hAnsi="Times New Roman" w:cs="Times New Roman"/>
        </w:rPr>
        <w:t xml:space="preserve">. </w:t>
      </w:r>
      <w:r w:rsidR="005C6CDA">
        <w:rPr>
          <w:rFonts w:ascii="Times New Roman" w:hAnsi="Times New Roman" w:cs="Times New Roman"/>
        </w:rPr>
        <w:t>If t</w:t>
      </w:r>
      <w:r w:rsidRPr="00110602">
        <w:rPr>
          <w:rFonts w:ascii="Times New Roman" w:hAnsi="Times New Roman" w:cs="Times New Roman"/>
        </w:rPr>
        <w:t xml:space="preserve">he Constitution and laws of Liberia, to whatever extent, is found to be at variance with other provisions of the covenant, efforts are made to bring about the needed changes through law reform, constitutional referendum, and/or repeal.  </w:t>
      </w:r>
      <w:r w:rsidR="00FB1B63" w:rsidRPr="00110602">
        <w:rPr>
          <w:rFonts w:ascii="Times New Roman" w:hAnsi="Times New Roman" w:cs="Times New Roman"/>
        </w:rPr>
        <w:t xml:space="preserve">The Republic of Liberia acknowledges the requirement to develop domestic laws that protect the rights guaranteed by the Covenant and to harmonize its Constitution and statutes with the rights protected under the Covenant.  </w:t>
      </w:r>
      <w:r w:rsidR="0084448C" w:rsidRPr="00110602">
        <w:rPr>
          <w:rFonts w:ascii="Times New Roman" w:hAnsi="Times New Roman" w:cs="Times New Roman"/>
        </w:rPr>
        <w:t xml:space="preserve">The Constitution of Liberia, which is </w:t>
      </w:r>
      <w:r w:rsidR="005812DE">
        <w:rPr>
          <w:rFonts w:ascii="Times New Roman" w:hAnsi="Times New Roman" w:cs="Times New Roman"/>
        </w:rPr>
        <w:t>grounded</w:t>
      </w:r>
      <w:r w:rsidR="005812DE" w:rsidRPr="00110602">
        <w:rPr>
          <w:rFonts w:ascii="Times New Roman" w:hAnsi="Times New Roman" w:cs="Times New Roman"/>
        </w:rPr>
        <w:t xml:space="preserve"> </w:t>
      </w:r>
      <w:r w:rsidR="0084448C" w:rsidRPr="00110602">
        <w:rPr>
          <w:rFonts w:ascii="Times New Roman" w:hAnsi="Times New Roman" w:cs="Times New Roman"/>
        </w:rPr>
        <w:t xml:space="preserve">in the historical context of the founding of the Country, limits citizenship to persons of negro descent (Article 27), and limits ownership </w:t>
      </w:r>
      <w:r w:rsidR="005812DE">
        <w:rPr>
          <w:rFonts w:ascii="Times New Roman" w:hAnsi="Times New Roman" w:cs="Times New Roman"/>
        </w:rPr>
        <w:t xml:space="preserve">of real property </w:t>
      </w:r>
      <w:r w:rsidR="00C13CA9">
        <w:rPr>
          <w:rFonts w:ascii="Times New Roman" w:hAnsi="Times New Roman" w:cs="Times New Roman"/>
        </w:rPr>
        <w:t xml:space="preserve">to Liberians (Article 22). </w:t>
      </w:r>
      <w:r w:rsidR="0084448C" w:rsidRPr="00110602">
        <w:rPr>
          <w:rFonts w:ascii="Times New Roman" w:hAnsi="Times New Roman" w:cs="Times New Roman"/>
        </w:rPr>
        <w:t>Additionally</w:t>
      </w:r>
      <w:r w:rsidR="00C13CA9">
        <w:rPr>
          <w:rFonts w:ascii="Times New Roman" w:hAnsi="Times New Roman" w:cs="Times New Roman"/>
        </w:rPr>
        <w:t>, the Alien and Nationality Law</w:t>
      </w:r>
      <w:r w:rsidR="0084448C" w:rsidRPr="00110602">
        <w:rPr>
          <w:rFonts w:ascii="Times New Roman" w:hAnsi="Times New Roman" w:cs="Times New Roman"/>
        </w:rPr>
        <w:t xml:space="preserve"> does not allow dual citizenship.  </w:t>
      </w:r>
      <w:r w:rsidR="00C13CA9">
        <w:rPr>
          <w:rFonts w:ascii="Times New Roman" w:hAnsi="Times New Roman" w:cs="Times New Roman"/>
        </w:rPr>
        <w:t>Recognizing</w:t>
      </w:r>
      <w:r w:rsidR="0084448C" w:rsidRPr="00110602">
        <w:rPr>
          <w:rFonts w:ascii="Times New Roman" w:hAnsi="Times New Roman" w:cs="Times New Roman"/>
        </w:rPr>
        <w:t xml:space="preserve"> these </w:t>
      </w:r>
      <w:r w:rsidR="005812DE">
        <w:rPr>
          <w:rFonts w:ascii="Times New Roman" w:hAnsi="Times New Roman" w:cs="Times New Roman"/>
        </w:rPr>
        <w:t xml:space="preserve">restrictive </w:t>
      </w:r>
      <w:r w:rsidR="0084448C" w:rsidRPr="00110602">
        <w:rPr>
          <w:rFonts w:ascii="Times New Roman" w:hAnsi="Times New Roman" w:cs="Times New Roman"/>
        </w:rPr>
        <w:t xml:space="preserve">provisions </w:t>
      </w:r>
      <w:r w:rsidR="00FB1B63" w:rsidRPr="00110602">
        <w:rPr>
          <w:rFonts w:ascii="Times New Roman" w:hAnsi="Times New Roman" w:cs="Times New Roman"/>
        </w:rPr>
        <w:t>in the 1986 Constitution</w:t>
      </w:r>
      <w:r w:rsidR="0084448C" w:rsidRPr="00110602">
        <w:rPr>
          <w:rFonts w:ascii="Times New Roman" w:hAnsi="Times New Roman" w:cs="Times New Roman"/>
        </w:rPr>
        <w:t xml:space="preserve"> and the Alien and Nationality Law</w:t>
      </w:r>
      <w:r w:rsidR="00FB1B63" w:rsidRPr="00110602">
        <w:rPr>
          <w:rFonts w:ascii="Times New Roman" w:hAnsi="Times New Roman" w:cs="Times New Roman"/>
        </w:rPr>
        <w:t xml:space="preserve">, </w:t>
      </w:r>
      <w:r w:rsidR="005812DE">
        <w:rPr>
          <w:rFonts w:ascii="Times New Roman" w:hAnsi="Times New Roman" w:cs="Times New Roman"/>
        </w:rPr>
        <w:t xml:space="preserve">which many people consider discriminatory, </w:t>
      </w:r>
      <w:r w:rsidR="00FB1B63" w:rsidRPr="00110602">
        <w:rPr>
          <w:rFonts w:ascii="Times New Roman" w:hAnsi="Times New Roman" w:cs="Times New Roman"/>
        </w:rPr>
        <w:t>former President Ellen Johnson Sirleaf formed the Constitutional Review Committee</w:t>
      </w:r>
      <w:r w:rsidR="00A115FA" w:rsidRPr="00110602">
        <w:rPr>
          <w:rFonts w:ascii="Times New Roman" w:hAnsi="Times New Roman" w:cs="Times New Roman"/>
        </w:rPr>
        <w:t xml:space="preserve"> (CRC)</w:t>
      </w:r>
      <w:r w:rsidR="00FB1B63" w:rsidRPr="00110602">
        <w:rPr>
          <w:rFonts w:ascii="Times New Roman" w:hAnsi="Times New Roman" w:cs="Times New Roman"/>
        </w:rPr>
        <w:t xml:space="preserve"> to</w:t>
      </w:r>
      <w:r w:rsidR="0084448C" w:rsidRPr="00110602">
        <w:rPr>
          <w:rFonts w:ascii="Times New Roman" w:hAnsi="Times New Roman" w:cs="Times New Roman"/>
        </w:rPr>
        <w:t xml:space="preserve"> </w:t>
      </w:r>
      <w:r w:rsidR="00A115FA" w:rsidRPr="00110602">
        <w:rPr>
          <w:rFonts w:ascii="Times New Roman" w:hAnsi="Times New Roman" w:cs="Times New Roman"/>
        </w:rPr>
        <w:t xml:space="preserve">lead and manage </w:t>
      </w:r>
      <w:r w:rsidR="00A115FA" w:rsidRPr="00110602">
        <w:rPr>
          <w:rFonts w:ascii="Times New Roman" w:hAnsi="Times New Roman" w:cs="Times New Roman"/>
        </w:rPr>
        <w:lastRenderedPageBreak/>
        <w:t>the process for reviewing the Constitution to improve the governance of the country</w:t>
      </w:r>
      <w:r w:rsidR="0084448C" w:rsidRPr="00110602">
        <w:rPr>
          <w:rFonts w:ascii="Times New Roman" w:hAnsi="Times New Roman" w:cs="Times New Roman"/>
        </w:rPr>
        <w:t xml:space="preserve"> and protect the rights of all persons</w:t>
      </w:r>
      <w:r w:rsidR="00FB1B63" w:rsidRPr="00110602">
        <w:rPr>
          <w:rFonts w:ascii="Times New Roman" w:hAnsi="Times New Roman" w:cs="Times New Roman"/>
        </w:rPr>
        <w:t xml:space="preserve">.  In 2014, the Constitutional Review Committee (CRC) </w:t>
      </w:r>
      <w:r w:rsidR="00A115FA" w:rsidRPr="00110602">
        <w:rPr>
          <w:rFonts w:ascii="Times New Roman" w:hAnsi="Times New Roman" w:cs="Times New Roman"/>
        </w:rPr>
        <w:t>submitted its final report</w:t>
      </w:r>
      <w:r w:rsidR="0084448C" w:rsidRPr="00110602">
        <w:rPr>
          <w:rFonts w:ascii="Times New Roman" w:hAnsi="Times New Roman" w:cs="Times New Roman"/>
        </w:rPr>
        <w:t>,</w:t>
      </w:r>
      <w:r w:rsidR="00A115FA" w:rsidRPr="00110602">
        <w:rPr>
          <w:rFonts w:ascii="Times New Roman" w:hAnsi="Times New Roman" w:cs="Times New Roman"/>
        </w:rPr>
        <w:t xml:space="preserve"> which included 25 prop</w:t>
      </w:r>
      <w:r w:rsidR="0084448C" w:rsidRPr="00110602">
        <w:rPr>
          <w:rFonts w:ascii="Times New Roman" w:hAnsi="Times New Roman" w:cs="Times New Roman"/>
        </w:rPr>
        <w:t>os</w:t>
      </w:r>
      <w:r w:rsidR="00A115FA" w:rsidRPr="00110602">
        <w:rPr>
          <w:rFonts w:ascii="Times New Roman" w:hAnsi="Times New Roman" w:cs="Times New Roman"/>
        </w:rPr>
        <w:t xml:space="preserve">ed amendments to the Constitution. </w:t>
      </w:r>
      <w:r w:rsidR="0084448C" w:rsidRPr="00110602">
        <w:rPr>
          <w:rFonts w:ascii="Times New Roman" w:hAnsi="Times New Roman" w:cs="Times New Roman"/>
        </w:rPr>
        <w:t xml:space="preserve">The propositions </w:t>
      </w:r>
      <w:r w:rsidR="00F302FF" w:rsidRPr="00110602">
        <w:rPr>
          <w:rFonts w:ascii="Times New Roman" w:hAnsi="Times New Roman" w:cs="Times New Roman"/>
        </w:rPr>
        <w:t>that impact</w:t>
      </w:r>
      <w:r w:rsidR="0084448C" w:rsidRPr="00110602">
        <w:rPr>
          <w:rFonts w:ascii="Times New Roman" w:hAnsi="Times New Roman" w:cs="Times New Roman"/>
        </w:rPr>
        <w:t xml:space="preserve"> </w:t>
      </w:r>
      <w:r w:rsidR="00F302FF" w:rsidRPr="00110602">
        <w:rPr>
          <w:rFonts w:ascii="Times New Roman" w:hAnsi="Times New Roman" w:cs="Times New Roman"/>
        </w:rPr>
        <w:t>civil and political</w:t>
      </w:r>
      <w:r w:rsidR="0084448C" w:rsidRPr="00110602">
        <w:rPr>
          <w:rFonts w:ascii="Times New Roman" w:hAnsi="Times New Roman" w:cs="Times New Roman"/>
        </w:rPr>
        <w:t xml:space="preserve"> rights for all persons included </w:t>
      </w:r>
      <w:r w:rsidR="00A115FA" w:rsidRPr="00110602">
        <w:rPr>
          <w:rFonts w:ascii="Times New Roman" w:hAnsi="Times New Roman" w:cs="Times New Roman"/>
        </w:rPr>
        <w:t>Proposition 6 (Dual Citizenship), Pro</w:t>
      </w:r>
      <w:r w:rsidR="0084448C" w:rsidRPr="00110602">
        <w:rPr>
          <w:rFonts w:ascii="Times New Roman" w:hAnsi="Times New Roman" w:cs="Times New Roman"/>
        </w:rPr>
        <w:t>po</w:t>
      </w:r>
      <w:r w:rsidR="00A115FA" w:rsidRPr="00110602">
        <w:rPr>
          <w:rFonts w:ascii="Times New Roman" w:hAnsi="Times New Roman" w:cs="Times New Roman"/>
        </w:rPr>
        <w:t>sition 7 (Citizenship to persons of non-negro descent)</w:t>
      </w:r>
      <w:r w:rsidR="00C13CA9">
        <w:rPr>
          <w:rFonts w:ascii="Times New Roman" w:hAnsi="Times New Roman" w:cs="Times New Roman"/>
        </w:rPr>
        <w:t xml:space="preserve"> and</w:t>
      </w:r>
      <w:r w:rsidR="00A115FA" w:rsidRPr="00110602">
        <w:rPr>
          <w:rFonts w:ascii="Times New Roman" w:hAnsi="Times New Roman" w:cs="Times New Roman"/>
        </w:rPr>
        <w:t xml:space="preserve"> </w:t>
      </w:r>
      <w:r w:rsidRPr="00110602">
        <w:rPr>
          <w:rFonts w:ascii="Times New Roman" w:hAnsi="Times New Roman" w:cs="Times New Roman"/>
        </w:rPr>
        <w:t>Proposition 24</w:t>
      </w:r>
      <w:r w:rsidR="0084448C" w:rsidRPr="00110602">
        <w:rPr>
          <w:rFonts w:ascii="Times New Roman" w:hAnsi="Times New Roman" w:cs="Times New Roman"/>
        </w:rPr>
        <w:t xml:space="preserve"> (making Liberia a Christian State)</w:t>
      </w:r>
      <w:r w:rsidR="00F302FF" w:rsidRPr="00110602">
        <w:rPr>
          <w:rFonts w:ascii="Times New Roman" w:hAnsi="Times New Roman" w:cs="Times New Roman"/>
        </w:rPr>
        <w:t>.  Proposition 24</w:t>
      </w:r>
      <w:r w:rsidRPr="00110602">
        <w:rPr>
          <w:rFonts w:ascii="Times New Roman" w:hAnsi="Times New Roman" w:cs="Times New Roman"/>
        </w:rPr>
        <w:t xml:space="preserve"> was not endorsed by the President of Liberia nor the National Legislature for reason that it </w:t>
      </w:r>
      <w:r w:rsidR="00F302FF" w:rsidRPr="00110602">
        <w:rPr>
          <w:rFonts w:ascii="Times New Roman" w:hAnsi="Times New Roman" w:cs="Times New Roman"/>
        </w:rPr>
        <w:t>had the potential to</w:t>
      </w:r>
      <w:r w:rsidR="00C13CA9">
        <w:rPr>
          <w:rFonts w:ascii="Times New Roman" w:hAnsi="Times New Roman" w:cs="Times New Roman"/>
        </w:rPr>
        <w:t xml:space="preserve"> divide the people of Liberia. </w:t>
      </w:r>
      <w:r w:rsidRPr="00110602">
        <w:rPr>
          <w:rFonts w:ascii="Times New Roman" w:hAnsi="Times New Roman" w:cs="Times New Roman"/>
        </w:rPr>
        <w:t>Liberia does not currently have any constitutional or statutory prohibition on freedom of religion.</w:t>
      </w:r>
      <w:r w:rsidR="00F302FF" w:rsidRPr="00110602">
        <w:rPr>
          <w:rFonts w:ascii="Times New Roman" w:hAnsi="Times New Roman" w:cs="Times New Roman"/>
        </w:rPr>
        <w:t xml:space="preserve">  The Constitutional review efforts are still ongoing and President George Weah has expressed government’s support for removing the historical limitations placed on citizenship and property ownership that is currently in the Constitution.</w:t>
      </w:r>
    </w:p>
    <w:p w14:paraId="7560E302" w14:textId="77777777" w:rsidR="00F302FF" w:rsidRPr="00110602" w:rsidRDefault="00F302FF" w:rsidP="00DB4362">
      <w:pPr>
        <w:pStyle w:val="ListParagraph"/>
        <w:ind w:left="360"/>
        <w:jc w:val="both"/>
        <w:rPr>
          <w:rFonts w:ascii="Times New Roman" w:hAnsi="Times New Roman" w:cs="Times New Roman"/>
        </w:rPr>
      </w:pPr>
    </w:p>
    <w:p w14:paraId="400185E6" w14:textId="43ABA5B7" w:rsidR="00656922" w:rsidRPr="00110602" w:rsidRDefault="00F302FF" w:rsidP="00656922">
      <w:pPr>
        <w:pStyle w:val="ListParagraph"/>
        <w:ind w:left="360"/>
        <w:jc w:val="both"/>
        <w:rPr>
          <w:rFonts w:ascii="Times New Roman" w:hAnsi="Times New Roman" w:cs="Times New Roman"/>
        </w:rPr>
      </w:pPr>
      <w:r w:rsidRPr="00110602">
        <w:rPr>
          <w:rFonts w:ascii="Times New Roman" w:hAnsi="Times New Roman" w:cs="Times New Roman"/>
        </w:rPr>
        <w:t xml:space="preserve">Liberia acknowledges that there exists some discrepancy between statutory and customary law, however, there are continuing efforts by government entities in collaboration with civil society actors to educate traditional communities and propose statutory amendments while respecting traditional beliefs and customs.  Liberia has taken a strong stance against certain traditional practices that violate the rights of women, including Female Genital </w:t>
      </w:r>
      <w:r w:rsidR="00656922" w:rsidRPr="00110602">
        <w:rPr>
          <w:rFonts w:ascii="Times New Roman" w:hAnsi="Times New Roman" w:cs="Times New Roman"/>
        </w:rPr>
        <w:t>Mutilation</w:t>
      </w:r>
      <w:r w:rsidR="005812DE">
        <w:rPr>
          <w:rFonts w:ascii="Times New Roman" w:hAnsi="Times New Roman" w:cs="Times New Roman"/>
        </w:rPr>
        <w:t xml:space="preserve"> (FGM)</w:t>
      </w:r>
      <w:r w:rsidR="00EB3EF4">
        <w:rPr>
          <w:rFonts w:ascii="Times New Roman" w:hAnsi="Times New Roman" w:cs="Times New Roman"/>
        </w:rPr>
        <w:t xml:space="preserve"> and Trial by Ordeal. Executive Order 92,</w:t>
      </w:r>
      <w:r w:rsidRPr="00110602">
        <w:rPr>
          <w:rFonts w:ascii="Times New Roman" w:hAnsi="Times New Roman" w:cs="Times New Roman"/>
        </w:rPr>
        <w:t xml:space="preserve"> </w:t>
      </w:r>
      <w:r w:rsidR="00C13CA9">
        <w:rPr>
          <w:rFonts w:ascii="Times New Roman" w:hAnsi="Times New Roman" w:cs="Times New Roman"/>
        </w:rPr>
        <w:t>issued by former P</w:t>
      </w:r>
      <w:r w:rsidR="00EB3EF4">
        <w:rPr>
          <w:rFonts w:ascii="Times New Roman" w:hAnsi="Times New Roman" w:cs="Times New Roman"/>
        </w:rPr>
        <w:t xml:space="preserve">resident Ellen Johnson Sirleaf, </w:t>
      </w:r>
      <w:r w:rsidRPr="00110602">
        <w:rPr>
          <w:rFonts w:ascii="Times New Roman" w:hAnsi="Times New Roman" w:cs="Times New Roman"/>
        </w:rPr>
        <w:t xml:space="preserve">bans the practice </w:t>
      </w:r>
      <w:r w:rsidR="00656922" w:rsidRPr="00110602">
        <w:rPr>
          <w:rFonts w:ascii="Times New Roman" w:hAnsi="Times New Roman" w:cs="Times New Roman"/>
        </w:rPr>
        <w:t>for girls under the age of 18</w:t>
      </w:r>
      <w:r w:rsidR="00EB3EF4">
        <w:rPr>
          <w:rFonts w:ascii="Times New Roman" w:hAnsi="Times New Roman" w:cs="Times New Roman"/>
        </w:rPr>
        <w:t xml:space="preserve"> and requires the consent of</w:t>
      </w:r>
      <w:r w:rsidR="00656922" w:rsidRPr="00110602">
        <w:rPr>
          <w:rFonts w:ascii="Times New Roman" w:hAnsi="Times New Roman" w:cs="Times New Roman"/>
        </w:rPr>
        <w:t xml:space="preserve"> women over the age of 18.</w:t>
      </w:r>
      <w:r w:rsidRPr="00110602">
        <w:rPr>
          <w:rFonts w:ascii="Times New Roman" w:hAnsi="Times New Roman" w:cs="Times New Roman"/>
        </w:rPr>
        <w:t xml:space="preserve"> President Weah</w:t>
      </w:r>
      <w:r w:rsidR="00C13CA9">
        <w:rPr>
          <w:rFonts w:ascii="Times New Roman" w:hAnsi="Times New Roman" w:cs="Times New Roman"/>
        </w:rPr>
        <w:t>, during his address at th</w:t>
      </w:r>
      <w:r w:rsidR="005F7330" w:rsidRPr="00110602">
        <w:rPr>
          <w:rFonts w:ascii="Times New Roman" w:hAnsi="Times New Roman" w:cs="Times New Roman"/>
        </w:rPr>
        <w:t>e EU Development Day Summit on June 5, 2018</w:t>
      </w:r>
      <w:r w:rsidRPr="00110602">
        <w:rPr>
          <w:rFonts w:ascii="Times New Roman" w:hAnsi="Times New Roman" w:cs="Times New Roman"/>
        </w:rPr>
        <w:t xml:space="preserve"> </w:t>
      </w:r>
      <w:r w:rsidR="00656922" w:rsidRPr="00110602">
        <w:rPr>
          <w:rFonts w:ascii="Times New Roman" w:hAnsi="Times New Roman" w:cs="Times New Roman"/>
        </w:rPr>
        <w:t xml:space="preserve">committed to extending Executive Order 92 </w:t>
      </w:r>
      <w:r w:rsidRPr="00110602">
        <w:rPr>
          <w:rFonts w:ascii="Times New Roman" w:hAnsi="Times New Roman" w:cs="Times New Roman"/>
        </w:rPr>
        <w:t xml:space="preserve">while awaiting passage of the Domestic Violence Act. </w:t>
      </w:r>
      <w:r w:rsidR="00656922" w:rsidRPr="00110602">
        <w:rPr>
          <w:rFonts w:ascii="Times New Roman" w:hAnsi="Times New Roman" w:cs="Times New Roman"/>
        </w:rPr>
        <w:t xml:space="preserve"> </w:t>
      </w:r>
      <w:r w:rsidR="005F7330" w:rsidRPr="00110602">
        <w:rPr>
          <w:rFonts w:ascii="Times New Roman" w:hAnsi="Times New Roman" w:cs="Times New Roman"/>
        </w:rPr>
        <w:t>Trial by Ordeal violates Article 21 of the Constitution and under the Criminal Procedure Law, no evidence that is obtained by force and torture is admissible in Court.</w:t>
      </w:r>
      <w:r w:rsidR="00656922" w:rsidRPr="00110602">
        <w:rPr>
          <w:rFonts w:ascii="Times New Roman" w:hAnsi="Times New Roman" w:cs="Times New Roman"/>
        </w:rPr>
        <w:t xml:space="preserve">  </w:t>
      </w:r>
      <w:r w:rsidR="005F7330" w:rsidRPr="00110602">
        <w:rPr>
          <w:rFonts w:ascii="Times New Roman" w:hAnsi="Times New Roman" w:cs="Times New Roman"/>
        </w:rPr>
        <w:t xml:space="preserve">The Ministry of Justice, in collaboration with the </w:t>
      </w:r>
      <w:r w:rsidR="00656922" w:rsidRPr="00110602">
        <w:rPr>
          <w:rFonts w:ascii="Times New Roman" w:hAnsi="Times New Roman" w:cs="Times New Roman"/>
        </w:rPr>
        <w:t>INCHR conducted series of workshop</w:t>
      </w:r>
      <w:r w:rsidR="00110602">
        <w:rPr>
          <w:rFonts w:ascii="Times New Roman" w:hAnsi="Times New Roman" w:cs="Times New Roman"/>
        </w:rPr>
        <w:t>s</w:t>
      </w:r>
      <w:r w:rsidR="00656922" w:rsidRPr="00110602">
        <w:rPr>
          <w:rFonts w:ascii="Times New Roman" w:hAnsi="Times New Roman" w:cs="Times New Roman"/>
        </w:rPr>
        <w:t xml:space="preserve"> in the counties</w:t>
      </w:r>
      <w:r w:rsidR="00110602">
        <w:rPr>
          <w:rFonts w:ascii="Times New Roman" w:hAnsi="Times New Roman" w:cs="Times New Roman"/>
        </w:rPr>
        <w:t>,</w:t>
      </w:r>
      <w:r w:rsidR="00656922" w:rsidRPr="00110602">
        <w:rPr>
          <w:rFonts w:ascii="Times New Roman" w:hAnsi="Times New Roman" w:cs="Times New Roman"/>
        </w:rPr>
        <w:t xml:space="preserve"> under the </w:t>
      </w:r>
      <w:r w:rsidR="00110602">
        <w:rPr>
          <w:rFonts w:ascii="Times New Roman" w:hAnsi="Times New Roman" w:cs="Times New Roman"/>
        </w:rPr>
        <w:t xml:space="preserve">National </w:t>
      </w:r>
      <w:r w:rsidR="005F7330" w:rsidRPr="00110602">
        <w:rPr>
          <w:rFonts w:ascii="Times New Roman" w:hAnsi="Times New Roman" w:cs="Times New Roman"/>
        </w:rPr>
        <w:t>Human Rights Action Plan</w:t>
      </w:r>
      <w:r w:rsidR="00110602">
        <w:rPr>
          <w:rFonts w:ascii="Times New Roman" w:hAnsi="Times New Roman" w:cs="Times New Roman"/>
        </w:rPr>
        <w:t>,</w:t>
      </w:r>
      <w:r w:rsidR="00656922" w:rsidRPr="00110602">
        <w:rPr>
          <w:rFonts w:ascii="Times New Roman" w:hAnsi="Times New Roman" w:cs="Times New Roman"/>
        </w:rPr>
        <w:t xml:space="preserve"> to create awareness </w:t>
      </w:r>
      <w:r w:rsidR="005F7330" w:rsidRPr="00110602">
        <w:rPr>
          <w:rFonts w:ascii="Times New Roman" w:hAnsi="Times New Roman" w:cs="Times New Roman"/>
        </w:rPr>
        <w:t>o</w:t>
      </w:r>
      <w:r w:rsidR="00110602">
        <w:rPr>
          <w:rFonts w:ascii="Times New Roman" w:hAnsi="Times New Roman" w:cs="Times New Roman"/>
        </w:rPr>
        <w:t>n</w:t>
      </w:r>
      <w:r w:rsidR="005F7330" w:rsidRPr="00110602">
        <w:rPr>
          <w:rFonts w:ascii="Times New Roman" w:hAnsi="Times New Roman" w:cs="Times New Roman"/>
        </w:rPr>
        <w:t xml:space="preserve"> this harmful practice</w:t>
      </w:r>
      <w:r w:rsidR="00656922" w:rsidRPr="00110602">
        <w:rPr>
          <w:rFonts w:ascii="Times New Roman" w:hAnsi="Times New Roman" w:cs="Times New Roman"/>
        </w:rPr>
        <w:t xml:space="preserve">.  </w:t>
      </w:r>
      <w:r w:rsidR="005F7330" w:rsidRPr="00110602">
        <w:rPr>
          <w:rFonts w:ascii="Times New Roman" w:hAnsi="Times New Roman" w:cs="Times New Roman"/>
        </w:rPr>
        <w:t>The</w:t>
      </w:r>
      <w:r w:rsidR="00656922" w:rsidRPr="00110602">
        <w:rPr>
          <w:rFonts w:ascii="Times New Roman" w:hAnsi="Times New Roman" w:cs="Times New Roman"/>
        </w:rPr>
        <w:t xml:space="preserve"> Ministry of Justice and INCHR held work</w:t>
      </w:r>
      <w:r w:rsidR="005F7330" w:rsidRPr="00110602">
        <w:rPr>
          <w:rFonts w:ascii="Times New Roman" w:hAnsi="Times New Roman" w:cs="Times New Roman"/>
        </w:rPr>
        <w:t xml:space="preserve">shops with traditional leaders and </w:t>
      </w:r>
      <w:r w:rsidR="00E34B46" w:rsidRPr="00110602">
        <w:rPr>
          <w:rFonts w:ascii="Times New Roman" w:hAnsi="Times New Roman" w:cs="Times New Roman"/>
        </w:rPr>
        <w:t>complainants</w:t>
      </w:r>
      <w:r w:rsidR="005F7330" w:rsidRPr="00110602">
        <w:rPr>
          <w:rFonts w:ascii="Times New Roman" w:hAnsi="Times New Roman" w:cs="Times New Roman"/>
        </w:rPr>
        <w:t xml:space="preserve"> educating them that Trial by Ordeal is </w:t>
      </w:r>
      <w:r w:rsidR="00656922" w:rsidRPr="00110602">
        <w:rPr>
          <w:rFonts w:ascii="Times New Roman" w:hAnsi="Times New Roman" w:cs="Times New Roman"/>
        </w:rPr>
        <w:t xml:space="preserve">unlawful and a form of torture and forced extraction of confession </w:t>
      </w:r>
      <w:r w:rsidR="005F7330" w:rsidRPr="00110602">
        <w:rPr>
          <w:rFonts w:ascii="Times New Roman" w:hAnsi="Times New Roman" w:cs="Times New Roman"/>
        </w:rPr>
        <w:t xml:space="preserve">violates the </w:t>
      </w:r>
      <w:r w:rsidR="00656922" w:rsidRPr="00110602">
        <w:rPr>
          <w:rFonts w:ascii="Times New Roman" w:hAnsi="Times New Roman" w:cs="Times New Roman"/>
        </w:rPr>
        <w:t xml:space="preserve">law.  </w:t>
      </w:r>
      <w:r w:rsidR="005F7330" w:rsidRPr="00110602">
        <w:rPr>
          <w:rFonts w:ascii="Times New Roman" w:hAnsi="Times New Roman" w:cs="Times New Roman"/>
        </w:rPr>
        <w:t>Liberia recognizes the discrepancy between the Revised Rules and Regulations Governing the Hinterland of Liberia and the protections granted by the Covenant.  Specifically, under customary law, the age of marriage for a</w:t>
      </w:r>
      <w:r w:rsidR="00110602">
        <w:rPr>
          <w:rFonts w:ascii="Times New Roman" w:hAnsi="Times New Roman" w:cs="Times New Roman"/>
        </w:rPr>
        <w:t xml:space="preserve"> </w:t>
      </w:r>
      <w:r w:rsidR="005812DE">
        <w:rPr>
          <w:rFonts w:ascii="Times New Roman" w:hAnsi="Times New Roman" w:cs="Times New Roman"/>
        </w:rPr>
        <w:t xml:space="preserve">female </w:t>
      </w:r>
      <w:r w:rsidR="00110602">
        <w:rPr>
          <w:rFonts w:ascii="Times New Roman" w:hAnsi="Times New Roman" w:cs="Times New Roman"/>
        </w:rPr>
        <w:t>is</w:t>
      </w:r>
      <w:r w:rsidR="005F7330" w:rsidRPr="00110602">
        <w:rPr>
          <w:rFonts w:ascii="Times New Roman" w:hAnsi="Times New Roman" w:cs="Times New Roman"/>
        </w:rPr>
        <w:t xml:space="preserve"> 16</w:t>
      </w:r>
      <w:r w:rsidR="00110602">
        <w:rPr>
          <w:rFonts w:ascii="Times New Roman" w:hAnsi="Times New Roman" w:cs="Times New Roman"/>
        </w:rPr>
        <w:t>,</w:t>
      </w:r>
      <w:r w:rsidR="005F7330" w:rsidRPr="00110602">
        <w:rPr>
          <w:rFonts w:ascii="Times New Roman" w:hAnsi="Times New Roman" w:cs="Times New Roman"/>
        </w:rPr>
        <w:t xml:space="preserve"> while under the Penal Code, </w:t>
      </w:r>
      <w:r w:rsidR="005812DE">
        <w:rPr>
          <w:rFonts w:ascii="Times New Roman" w:hAnsi="Times New Roman" w:cs="Times New Roman"/>
        </w:rPr>
        <w:t xml:space="preserve">16 is not an age of consent and a female of such age is considered a minor and anyone having sexual intercourse with her commits </w:t>
      </w:r>
      <w:r w:rsidR="00110602">
        <w:rPr>
          <w:rFonts w:ascii="Times New Roman" w:hAnsi="Times New Roman" w:cs="Times New Roman"/>
        </w:rPr>
        <w:t>statutory rape</w:t>
      </w:r>
      <w:r w:rsidR="005F7330" w:rsidRPr="00110602">
        <w:rPr>
          <w:rFonts w:ascii="Times New Roman" w:hAnsi="Times New Roman" w:cs="Times New Roman"/>
        </w:rPr>
        <w:t xml:space="preserve">.  </w:t>
      </w:r>
      <w:r w:rsidR="00E34B46" w:rsidRPr="00110602">
        <w:rPr>
          <w:rFonts w:ascii="Times New Roman" w:hAnsi="Times New Roman" w:cs="Times New Roman"/>
        </w:rPr>
        <w:t>Through the Law Reform Commission</w:t>
      </w:r>
      <w:r w:rsidR="00110602">
        <w:rPr>
          <w:rFonts w:ascii="Times New Roman" w:hAnsi="Times New Roman" w:cs="Times New Roman"/>
        </w:rPr>
        <w:t>,</w:t>
      </w:r>
      <w:r w:rsidR="00E34B46" w:rsidRPr="00110602">
        <w:rPr>
          <w:rFonts w:ascii="Times New Roman" w:hAnsi="Times New Roman" w:cs="Times New Roman"/>
        </w:rPr>
        <w:t xml:space="preserve"> Liberia continues to review and move towards harmonization of is laws. However there have been measures taken to ensure the equal rights of women in customary marriages.  According to Chapter 2 of the Act to Govern the Devolution of Estates and Establish Rights of Inher</w:t>
      </w:r>
      <w:r w:rsidR="00AA5D77" w:rsidRPr="00110602">
        <w:rPr>
          <w:rFonts w:ascii="Times New Roman" w:hAnsi="Times New Roman" w:cs="Times New Roman"/>
        </w:rPr>
        <w:t>itan</w:t>
      </w:r>
      <w:r w:rsidR="00E34B46" w:rsidRPr="00110602">
        <w:rPr>
          <w:rFonts w:ascii="Times New Roman" w:hAnsi="Times New Roman" w:cs="Times New Roman"/>
        </w:rPr>
        <w:t xml:space="preserve">ce for Spouses (the “Inheritance Law”), wives under customary marriages are now afforded the same protections and dowers rights to one-third of all property (real and personal) as </w:t>
      </w:r>
      <w:r w:rsidR="00110602">
        <w:rPr>
          <w:rFonts w:ascii="Times New Roman" w:hAnsi="Times New Roman" w:cs="Times New Roman"/>
        </w:rPr>
        <w:t xml:space="preserve">in </w:t>
      </w:r>
      <w:r w:rsidR="00E34B46" w:rsidRPr="00110602">
        <w:rPr>
          <w:rFonts w:ascii="Times New Roman" w:hAnsi="Times New Roman" w:cs="Times New Roman"/>
        </w:rPr>
        <w:t xml:space="preserve">statutory marriage. </w:t>
      </w:r>
    </w:p>
    <w:p w14:paraId="157A9C67" w14:textId="77777777" w:rsidR="00656922" w:rsidRPr="00110602" w:rsidRDefault="00656922" w:rsidP="00656922">
      <w:pPr>
        <w:pStyle w:val="ListParagraph"/>
        <w:ind w:left="360"/>
        <w:jc w:val="both"/>
        <w:rPr>
          <w:rFonts w:ascii="Times New Roman" w:hAnsi="Times New Roman" w:cs="Times New Roman"/>
        </w:rPr>
      </w:pPr>
    </w:p>
    <w:p w14:paraId="296BEA49" w14:textId="64A1D226" w:rsidR="00E34B46" w:rsidRPr="00110602" w:rsidRDefault="00E34B46" w:rsidP="00E34B46">
      <w:pPr>
        <w:ind w:left="360"/>
        <w:jc w:val="both"/>
        <w:rPr>
          <w:rFonts w:ascii="Times New Roman" w:hAnsi="Times New Roman" w:cs="Times New Roman"/>
        </w:rPr>
      </w:pPr>
      <w:r w:rsidRPr="00110602">
        <w:rPr>
          <w:rFonts w:ascii="Times New Roman" w:hAnsi="Times New Roman" w:cs="Times New Roman"/>
        </w:rPr>
        <w:t>Although Liberia has not ratified the Optional Protocol, the INCHR currently receives and addresses complaints from individuals claiming violation of rights under the Convention.  Such complaints are also made to the Ministry of Justice Director of Human Rights.  Consideration for ratification of the Optional Protocol requires dedicated resources to determine the impact of ratification on existing laws and implementing agencies as well as consultations with the branches of government.  A National Mechanism for Reporting and Follow-Up (NMRF) was established in November 2017 with repr</w:t>
      </w:r>
      <w:r w:rsidR="00C13CA9">
        <w:rPr>
          <w:rFonts w:ascii="Times New Roman" w:hAnsi="Times New Roman" w:cs="Times New Roman"/>
        </w:rPr>
        <w:t>esentatives and members of the Exec</w:t>
      </w:r>
      <w:r w:rsidRPr="00110602">
        <w:rPr>
          <w:rFonts w:ascii="Times New Roman" w:hAnsi="Times New Roman" w:cs="Times New Roman"/>
        </w:rPr>
        <w:t>utive, Legislat</w:t>
      </w:r>
      <w:r w:rsidR="00C13CA9">
        <w:rPr>
          <w:rFonts w:ascii="Times New Roman" w:hAnsi="Times New Roman" w:cs="Times New Roman"/>
        </w:rPr>
        <w:t>ive</w:t>
      </w:r>
      <w:r w:rsidRPr="00110602">
        <w:rPr>
          <w:rFonts w:ascii="Times New Roman" w:hAnsi="Times New Roman" w:cs="Times New Roman"/>
        </w:rPr>
        <w:t xml:space="preserve"> and the Judiciary</w:t>
      </w:r>
      <w:r w:rsidR="00C13CA9">
        <w:rPr>
          <w:rFonts w:ascii="Times New Roman" w:hAnsi="Times New Roman" w:cs="Times New Roman"/>
        </w:rPr>
        <w:t xml:space="preserve"> along </w:t>
      </w:r>
      <w:r w:rsidR="00C13CA9">
        <w:rPr>
          <w:rFonts w:ascii="Times New Roman" w:hAnsi="Times New Roman" w:cs="Times New Roman"/>
        </w:rPr>
        <w:lastRenderedPageBreak/>
        <w:t>with the INCHR as observers</w:t>
      </w:r>
      <w:r w:rsidRPr="00110602">
        <w:rPr>
          <w:rFonts w:ascii="Times New Roman" w:hAnsi="Times New Roman" w:cs="Times New Roman"/>
        </w:rPr>
        <w:t>.  Members of the NMRF continue to collaborate and coordinate Liberia’s implementation of treaty obligations.   The NMRF does not have a dedicated budget, however, each member institution represented on the NMRF utilize its budgetary allocation to fa</w:t>
      </w:r>
      <w:r w:rsidR="006B7FE3">
        <w:rPr>
          <w:rFonts w:ascii="Times New Roman" w:hAnsi="Times New Roman" w:cs="Times New Roman"/>
        </w:rPr>
        <w:t>cilitate the work of the NMRF</w:t>
      </w:r>
      <w:r w:rsidRPr="00110602">
        <w:rPr>
          <w:rFonts w:ascii="Times New Roman" w:hAnsi="Times New Roman" w:cs="Times New Roman"/>
        </w:rPr>
        <w:t>. The NMRF was not factored into the government budget 2018-2019</w:t>
      </w:r>
      <w:r w:rsidR="006B7FE3">
        <w:rPr>
          <w:rFonts w:ascii="Times New Roman" w:hAnsi="Times New Roman" w:cs="Times New Roman"/>
        </w:rPr>
        <w:t xml:space="preserve"> and</w:t>
      </w:r>
      <w:r w:rsidRPr="00110602">
        <w:rPr>
          <w:rFonts w:ascii="Times New Roman" w:hAnsi="Times New Roman" w:cs="Times New Roman"/>
        </w:rPr>
        <w:t xml:space="preserve"> needs additional technical and financial resources to improve collaboration and coordination in the implementation of Liberia’s treaty obligations</w:t>
      </w:r>
      <w:r w:rsidR="006B7FE3">
        <w:rPr>
          <w:rFonts w:ascii="Times New Roman" w:hAnsi="Times New Roman" w:cs="Times New Roman"/>
        </w:rPr>
        <w:t>.</w:t>
      </w:r>
    </w:p>
    <w:p w14:paraId="19608F30" w14:textId="77777777" w:rsidR="00F302FF" w:rsidRPr="00110602" w:rsidRDefault="00F302FF" w:rsidP="00F302FF">
      <w:pPr>
        <w:pStyle w:val="ListParagraph"/>
        <w:ind w:left="360"/>
        <w:jc w:val="both"/>
        <w:rPr>
          <w:rFonts w:ascii="Times New Roman" w:hAnsi="Times New Roman" w:cs="Times New Roman"/>
        </w:rPr>
      </w:pPr>
    </w:p>
    <w:p w14:paraId="1D8C9223" w14:textId="1E3A24EE" w:rsidR="002708E4" w:rsidRPr="00027447" w:rsidRDefault="007C2C8F" w:rsidP="00D756DD">
      <w:pPr>
        <w:pStyle w:val="ListParagraph"/>
        <w:numPr>
          <w:ilvl w:val="0"/>
          <w:numId w:val="2"/>
        </w:numPr>
        <w:jc w:val="both"/>
        <w:rPr>
          <w:rFonts w:ascii="Times New Roman" w:hAnsi="Times New Roman" w:cs="Times New Roman"/>
        </w:rPr>
      </w:pPr>
      <w:r w:rsidRPr="00027447">
        <w:rPr>
          <w:rFonts w:ascii="Times New Roman" w:hAnsi="Times New Roman" w:cs="Times New Roman"/>
        </w:rPr>
        <w:t xml:space="preserve">The </w:t>
      </w:r>
      <w:r w:rsidR="001179BA" w:rsidRPr="00027447">
        <w:rPr>
          <w:rFonts w:ascii="Times New Roman" w:hAnsi="Times New Roman" w:cs="Times New Roman"/>
        </w:rPr>
        <w:t xml:space="preserve">independence of the INCHR is assured by </w:t>
      </w:r>
      <w:r w:rsidR="00DC7165" w:rsidRPr="00027447">
        <w:rPr>
          <w:rFonts w:ascii="Times New Roman" w:hAnsi="Times New Roman" w:cs="Times New Roman"/>
        </w:rPr>
        <w:t xml:space="preserve">the Act creating the INCHR and the entity’s </w:t>
      </w:r>
      <w:r w:rsidR="001179BA" w:rsidRPr="00027447">
        <w:rPr>
          <w:rFonts w:ascii="Times New Roman" w:hAnsi="Times New Roman" w:cs="Times New Roman"/>
        </w:rPr>
        <w:t>conformity to best international practices</w:t>
      </w:r>
      <w:r w:rsidR="00C46E67" w:rsidRPr="00027447">
        <w:rPr>
          <w:rStyle w:val="FootnoteReference"/>
          <w:rFonts w:ascii="Times New Roman" w:hAnsi="Times New Roman" w:cs="Times New Roman"/>
        </w:rPr>
        <w:footnoteReference w:id="1"/>
      </w:r>
      <w:r w:rsidR="006B7FE3">
        <w:rPr>
          <w:rFonts w:ascii="Times New Roman" w:hAnsi="Times New Roman" w:cs="Times New Roman"/>
        </w:rPr>
        <w:t>.  The Chairperson and C</w:t>
      </w:r>
      <w:r w:rsidR="001179BA" w:rsidRPr="00027447">
        <w:rPr>
          <w:rFonts w:ascii="Times New Roman" w:hAnsi="Times New Roman" w:cs="Times New Roman"/>
        </w:rPr>
        <w:t xml:space="preserve">ommissioners are vetted through rigorous process </w:t>
      </w:r>
      <w:r w:rsidR="00DC7165" w:rsidRPr="00027447">
        <w:rPr>
          <w:rFonts w:ascii="Times New Roman" w:hAnsi="Times New Roman" w:cs="Times New Roman"/>
        </w:rPr>
        <w:t>which includes</w:t>
      </w:r>
      <w:r w:rsidR="001179BA" w:rsidRPr="00027447">
        <w:rPr>
          <w:rFonts w:ascii="Times New Roman" w:hAnsi="Times New Roman" w:cs="Times New Roman"/>
        </w:rPr>
        <w:t xml:space="preserve"> Civil Society, the Judiciary, the Executive Branch and the National Legislature. The INCHR was also established in accordance with the Paris Principles of December 1993. </w:t>
      </w:r>
      <w:r w:rsidR="00D053C3" w:rsidRPr="00027447">
        <w:rPr>
          <w:rFonts w:ascii="Times New Roman" w:hAnsi="Times New Roman" w:cs="Times New Roman"/>
        </w:rPr>
        <w:t xml:space="preserve"> The</w:t>
      </w:r>
      <w:r w:rsidR="001179BA" w:rsidRPr="00027447">
        <w:rPr>
          <w:rFonts w:ascii="Times New Roman" w:hAnsi="Times New Roman" w:cs="Times New Roman"/>
        </w:rPr>
        <w:t xml:space="preserve"> INCHR is independent and is not supervised by any branch of government and does not report to any one branch of government.  The INCHR submits its quarterly and annual Human Rights Situation Report to the three branches of the Liberian government and to the Office of the High Commission on Human Rights.  The</w:t>
      </w:r>
      <w:r w:rsidR="00D053C3" w:rsidRPr="00027447">
        <w:rPr>
          <w:rFonts w:ascii="Times New Roman" w:hAnsi="Times New Roman" w:cs="Times New Roman"/>
        </w:rPr>
        <w:t xml:space="preserve"> </w:t>
      </w:r>
      <w:r w:rsidR="001179BA" w:rsidRPr="00027447">
        <w:rPr>
          <w:rFonts w:ascii="Times New Roman" w:hAnsi="Times New Roman" w:cs="Times New Roman"/>
        </w:rPr>
        <w:t xml:space="preserve">budgetary allocation </w:t>
      </w:r>
      <w:r w:rsidR="00D053C3" w:rsidRPr="00027447">
        <w:rPr>
          <w:rFonts w:ascii="Times New Roman" w:hAnsi="Times New Roman" w:cs="Times New Roman"/>
        </w:rPr>
        <w:t xml:space="preserve">for the INCHR is </w:t>
      </w:r>
      <w:r w:rsidR="001179BA" w:rsidRPr="00027447">
        <w:rPr>
          <w:rFonts w:ascii="Times New Roman" w:hAnsi="Times New Roman" w:cs="Times New Roman"/>
        </w:rPr>
        <w:t>in</w:t>
      </w:r>
      <w:r w:rsidR="00D053C3" w:rsidRPr="00027447">
        <w:rPr>
          <w:rFonts w:ascii="Times New Roman" w:hAnsi="Times New Roman" w:cs="Times New Roman"/>
        </w:rPr>
        <w:t>cluded in</w:t>
      </w:r>
      <w:r w:rsidR="001179BA" w:rsidRPr="00027447">
        <w:rPr>
          <w:rFonts w:ascii="Times New Roman" w:hAnsi="Times New Roman" w:cs="Times New Roman"/>
        </w:rPr>
        <w:t xml:space="preserve"> the National Budget</w:t>
      </w:r>
      <w:r w:rsidR="00C46E67" w:rsidRPr="00027447">
        <w:rPr>
          <w:rFonts w:ascii="Times New Roman" w:hAnsi="Times New Roman" w:cs="Times New Roman"/>
        </w:rPr>
        <w:t>,</w:t>
      </w:r>
      <w:r w:rsidR="001179BA" w:rsidRPr="00027447">
        <w:rPr>
          <w:rFonts w:ascii="Times New Roman" w:hAnsi="Times New Roman" w:cs="Times New Roman"/>
        </w:rPr>
        <w:t xml:space="preserve"> and expenditures</w:t>
      </w:r>
      <w:r w:rsidR="00D053C3" w:rsidRPr="00027447">
        <w:rPr>
          <w:rFonts w:ascii="Times New Roman" w:hAnsi="Times New Roman" w:cs="Times New Roman"/>
        </w:rPr>
        <w:t xml:space="preserve"> are determined by the INCHR</w:t>
      </w:r>
      <w:r w:rsidR="001179BA" w:rsidRPr="00027447">
        <w:rPr>
          <w:rFonts w:ascii="Times New Roman" w:hAnsi="Times New Roman" w:cs="Times New Roman"/>
        </w:rPr>
        <w:t>.</w:t>
      </w:r>
      <w:r w:rsidR="002708E4" w:rsidRPr="00027447">
        <w:rPr>
          <w:rFonts w:ascii="Times New Roman" w:hAnsi="Times New Roman" w:cs="Times New Roman"/>
        </w:rPr>
        <w:t xml:space="preserve"> The 2009 Amendment to the INCHR</w:t>
      </w:r>
      <w:r w:rsidR="006B7FE3">
        <w:rPr>
          <w:rFonts w:ascii="Times New Roman" w:hAnsi="Times New Roman" w:cs="Times New Roman"/>
        </w:rPr>
        <w:t xml:space="preserve"> Act</w:t>
      </w:r>
      <w:r w:rsidR="002708E4" w:rsidRPr="00027447">
        <w:rPr>
          <w:rFonts w:ascii="Times New Roman" w:hAnsi="Times New Roman" w:cs="Times New Roman"/>
        </w:rPr>
        <w:t xml:space="preserve"> requires that all funding from donors go through the national budgetary process consistent with the </w:t>
      </w:r>
      <w:r w:rsidR="00CE3867" w:rsidRPr="00027447">
        <w:rPr>
          <w:rFonts w:ascii="Times New Roman" w:hAnsi="Times New Roman" w:cs="Times New Roman"/>
        </w:rPr>
        <w:t>Public Finance Management Act (PFMA)</w:t>
      </w:r>
      <w:r w:rsidR="002708E4" w:rsidRPr="00027447">
        <w:rPr>
          <w:rFonts w:ascii="Times New Roman" w:hAnsi="Times New Roman" w:cs="Times New Roman"/>
        </w:rPr>
        <w:t xml:space="preserve">.  However, determination of expenditure is </w:t>
      </w:r>
      <w:r w:rsidR="006B7FE3">
        <w:rPr>
          <w:rFonts w:ascii="Times New Roman" w:hAnsi="Times New Roman" w:cs="Times New Roman"/>
        </w:rPr>
        <w:t>made</w:t>
      </w:r>
      <w:r w:rsidR="002708E4" w:rsidRPr="00027447">
        <w:rPr>
          <w:rFonts w:ascii="Times New Roman" w:hAnsi="Times New Roman" w:cs="Times New Roman"/>
        </w:rPr>
        <w:t xml:space="preserve"> solely by the Commission.  Liberia recognizes that the current budgetary allocation of the INCHR </w:t>
      </w:r>
      <w:r w:rsidR="004A2C48" w:rsidRPr="00027447">
        <w:rPr>
          <w:rFonts w:ascii="Times New Roman" w:hAnsi="Times New Roman" w:cs="Times New Roman"/>
        </w:rPr>
        <w:t>is inadequate, but this is due to</w:t>
      </w:r>
      <w:r w:rsidR="00264CEC" w:rsidRPr="00027447">
        <w:rPr>
          <w:rFonts w:ascii="Times New Roman" w:hAnsi="Times New Roman" w:cs="Times New Roman"/>
        </w:rPr>
        <w:t xml:space="preserve"> </w:t>
      </w:r>
      <w:r w:rsidR="006F6271" w:rsidRPr="00027447">
        <w:rPr>
          <w:rFonts w:ascii="Times New Roman" w:hAnsi="Times New Roman" w:cs="Times New Roman"/>
        </w:rPr>
        <w:t>limited resources</w:t>
      </w:r>
      <w:r w:rsidR="00264CEC" w:rsidRPr="00027447">
        <w:rPr>
          <w:rFonts w:ascii="Times New Roman" w:hAnsi="Times New Roman" w:cs="Times New Roman"/>
        </w:rPr>
        <w:t>.</w:t>
      </w:r>
      <w:r w:rsidR="004A2C48" w:rsidRPr="00027447">
        <w:rPr>
          <w:rFonts w:ascii="Times New Roman" w:hAnsi="Times New Roman" w:cs="Times New Roman"/>
        </w:rPr>
        <w:t xml:space="preserve"> </w:t>
      </w:r>
      <w:r w:rsidR="002708E4" w:rsidRPr="00027447">
        <w:rPr>
          <w:rFonts w:ascii="Times New Roman" w:hAnsi="Times New Roman" w:cs="Times New Roman"/>
        </w:rPr>
        <w:t xml:space="preserve"> </w:t>
      </w:r>
    </w:p>
    <w:p w14:paraId="34CF1106" w14:textId="77777777" w:rsidR="002708E4" w:rsidRPr="00110602" w:rsidRDefault="002708E4" w:rsidP="002708E4">
      <w:pPr>
        <w:pStyle w:val="ListParagraph"/>
        <w:ind w:left="360"/>
        <w:jc w:val="both"/>
        <w:rPr>
          <w:rFonts w:ascii="Times New Roman" w:hAnsi="Times New Roman" w:cs="Times New Roman"/>
        </w:rPr>
      </w:pPr>
    </w:p>
    <w:p w14:paraId="40E56421" w14:textId="77777777" w:rsidR="001179BA" w:rsidRPr="00110602" w:rsidRDefault="001179BA" w:rsidP="00B360E1">
      <w:pPr>
        <w:jc w:val="both"/>
        <w:rPr>
          <w:rFonts w:ascii="Times New Roman" w:hAnsi="Times New Roman" w:cs="Times New Roman"/>
        </w:rPr>
      </w:pPr>
    </w:p>
    <w:p w14:paraId="3B3F2885" w14:textId="156B3048" w:rsidR="00CF1C1D" w:rsidRDefault="00CF1C1D" w:rsidP="00B360E1">
      <w:pPr>
        <w:jc w:val="both"/>
        <w:rPr>
          <w:rFonts w:ascii="Times New Roman" w:hAnsi="Times New Roman" w:cs="Times New Roman"/>
          <w:b/>
        </w:rPr>
      </w:pPr>
      <w:r w:rsidRPr="00110602">
        <w:rPr>
          <w:rFonts w:ascii="Times New Roman" w:hAnsi="Times New Roman" w:cs="Times New Roman"/>
          <w:b/>
        </w:rPr>
        <w:t>Truth and Reconciliation Commission and past human rights violations (arts. 2, 6, 7, and 14)</w:t>
      </w:r>
    </w:p>
    <w:p w14:paraId="13E11AE5" w14:textId="77777777" w:rsidR="00CE3867" w:rsidRPr="00110602" w:rsidRDefault="00CE3867" w:rsidP="00B360E1">
      <w:pPr>
        <w:jc w:val="both"/>
        <w:rPr>
          <w:rFonts w:ascii="Times New Roman" w:hAnsi="Times New Roman" w:cs="Times New Roman"/>
          <w:b/>
        </w:rPr>
      </w:pPr>
    </w:p>
    <w:p w14:paraId="7C3E075D" w14:textId="06082AC2" w:rsidR="00D03AD9" w:rsidRPr="004A5530" w:rsidRDefault="0004116E" w:rsidP="00090269">
      <w:pPr>
        <w:pStyle w:val="ListParagraph"/>
        <w:numPr>
          <w:ilvl w:val="0"/>
          <w:numId w:val="2"/>
        </w:numPr>
        <w:jc w:val="both"/>
        <w:rPr>
          <w:rFonts w:ascii="Times New Roman" w:hAnsi="Times New Roman" w:cs="Times New Roman"/>
          <w:b/>
        </w:rPr>
      </w:pPr>
      <w:r w:rsidRPr="00110602">
        <w:rPr>
          <w:rFonts w:ascii="Times New Roman" w:hAnsi="Times New Roman" w:cs="Times New Roman"/>
        </w:rPr>
        <w:t>The</w:t>
      </w:r>
      <w:r w:rsidR="00743A57">
        <w:rPr>
          <w:rFonts w:ascii="Times New Roman" w:hAnsi="Times New Roman" w:cs="Times New Roman"/>
        </w:rPr>
        <w:t xml:space="preserve"> Truth and Reconciliation </w:t>
      </w:r>
      <w:r w:rsidR="001D2156">
        <w:rPr>
          <w:rFonts w:ascii="Times New Roman" w:hAnsi="Times New Roman" w:cs="Times New Roman"/>
        </w:rPr>
        <w:t>Commission (</w:t>
      </w:r>
      <w:r w:rsidR="00D03AD9" w:rsidRPr="00110602">
        <w:rPr>
          <w:rFonts w:ascii="Times New Roman" w:hAnsi="Times New Roman" w:cs="Times New Roman"/>
        </w:rPr>
        <w:t>TRC</w:t>
      </w:r>
      <w:r w:rsidR="00743A57">
        <w:rPr>
          <w:rFonts w:ascii="Times New Roman" w:hAnsi="Times New Roman" w:cs="Times New Roman"/>
        </w:rPr>
        <w:t>)</w:t>
      </w:r>
      <w:r w:rsidR="00D03AD9" w:rsidRPr="00110602">
        <w:rPr>
          <w:rFonts w:ascii="Times New Roman" w:hAnsi="Times New Roman" w:cs="Times New Roman"/>
        </w:rPr>
        <w:t xml:space="preserve"> recommendations </w:t>
      </w:r>
      <w:r w:rsidRPr="00110602">
        <w:rPr>
          <w:rFonts w:ascii="Times New Roman" w:hAnsi="Times New Roman" w:cs="Times New Roman"/>
        </w:rPr>
        <w:t xml:space="preserve">included </w:t>
      </w:r>
      <w:r w:rsidR="00D03AD9" w:rsidRPr="00110602">
        <w:rPr>
          <w:rFonts w:ascii="Times New Roman" w:hAnsi="Times New Roman" w:cs="Times New Roman"/>
        </w:rPr>
        <w:t xml:space="preserve">the prosecution of selected individuals for war crimes, and their prohibition from participation in political activities. </w:t>
      </w:r>
      <w:r w:rsidR="00AF0F4B" w:rsidRPr="00110602">
        <w:rPr>
          <w:rFonts w:ascii="Times New Roman" w:hAnsi="Times New Roman" w:cs="Times New Roman"/>
        </w:rPr>
        <w:t xml:space="preserve">The Republic of Liberia has focused on peace building and national reconciliation since the TRC process.  According to Article 18.7 of the TRC Report, the INCHR inherited </w:t>
      </w:r>
      <w:r w:rsidR="00743A57">
        <w:rPr>
          <w:rFonts w:ascii="Times New Roman" w:hAnsi="Times New Roman" w:cs="Times New Roman"/>
        </w:rPr>
        <w:t xml:space="preserve">the </w:t>
      </w:r>
      <w:r w:rsidR="00AF0F4B" w:rsidRPr="00110602">
        <w:rPr>
          <w:rFonts w:ascii="Times New Roman" w:hAnsi="Times New Roman" w:cs="Times New Roman"/>
        </w:rPr>
        <w:t>monitoring</w:t>
      </w:r>
      <w:r w:rsidR="00743A57">
        <w:rPr>
          <w:rFonts w:ascii="Times New Roman" w:hAnsi="Times New Roman" w:cs="Times New Roman"/>
        </w:rPr>
        <w:t xml:space="preserve"> of the </w:t>
      </w:r>
      <w:r w:rsidR="00743A57" w:rsidRPr="00110602">
        <w:rPr>
          <w:rFonts w:ascii="Times New Roman" w:hAnsi="Times New Roman" w:cs="Times New Roman"/>
        </w:rPr>
        <w:t>implementation</w:t>
      </w:r>
      <w:r w:rsidR="00AF0F4B" w:rsidRPr="00110602">
        <w:rPr>
          <w:rFonts w:ascii="Times New Roman" w:hAnsi="Times New Roman" w:cs="Times New Roman"/>
        </w:rPr>
        <w:t xml:space="preserve"> of the TRC</w:t>
      </w:r>
      <w:r w:rsidR="00743A57">
        <w:rPr>
          <w:rFonts w:ascii="Times New Roman" w:hAnsi="Times New Roman" w:cs="Times New Roman"/>
        </w:rPr>
        <w:t xml:space="preserve"> recommendations</w:t>
      </w:r>
      <w:r w:rsidR="00B31AA7">
        <w:rPr>
          <w:rFonts w:ascii="Times New Roman" w:hAnsi="Times New Roman" w:cs="Times New Roman"/>
        </w:rPr>
        <w:t xml:space="preserve">. </w:t>
      </w:r>
      <w:r w:rsidR="00AF0F4B" w:rsidRPr="00110602">
        <w:rPr>
          <w:rFonts w:ascii="Times New Roman" w:hAnsi="Times New Roman" w:cs="Times New Roman"/>
        </w:rPr>
        <w:t xml:space="preserve">Thus, the INCHR has the responsibility </w:t>
      </w:r>
      <w:r w:rsidR="00743A57">
        <w:rPr>
          <w:rFonts w:ascii="Times New Roman" w:hAnsi="Times New Roman" w:cs="Times New Roman"/>
        </w:rPr>
        <w:t>to monitor the implementation of the TRC Recommendations by the various</w:t>
      </w:r>
      <w:r w:rsidR="001D2156">
        <w:rPr>
          <w:rFonts w:ascii="Times New Roman" w:hAnsi="Times New Roman" w:cs="Times New Roman"/>
        </w:rPr>
        <w:t xml:space="preserve"> responsible institutions</w:t>
      </w:r>
      <w:r w:rsidR="00743A57">
        <w:rPr>
          <w:rFonts w:ascii="Times New Roman" w:hAnsi="Times New Roman" w:cs="Times New Roman"/>
        </w:rPr>
        <w:t xml:space="preserve"> and agencies of </w:t>
      </w:r>
      <w:r w:rsidR="001D2156">
        <w:rPr>
          <w:rFonts w:ascii="Times New Roman" w:hAnsi="Times New Roman" w:cs="Times New Roman"/>
        </w:rPr>
        <w:t>Government</w:t>
      </w:r>
      <w:r w:rsidR="00743A57">
        <w:rPr>
          <w:rFonts w:ascii="Times New Roman" w:hAnsi="Times New Roman" w:cs="Times New Roman"/>
        </w:rPr>
        <w:t xml:space="preserve"> and </w:t>
      </w:r>
      <w:r w:rsidR="00AF0F4B" w:rsidRPr="00110602">
        <w:rPr>
          <w:rFonts w:ascii="Times New Roman" w:hAnsi="Times New Roman" w:cs="Times New Roman"/>
        </w:rPr>
        <w:t xml:space="preserve">to submit </w:t>
      </w:r>
      <w:r w:rsidR="003F59C4">
        <w:rPr>
          <w:rFonts w:ascii="Times New Roman" w:hAnsi="Times New Roman" w:cs="Times New Roman"/>
        </w:rPr>
        <w:t>reports to</w:t>
      </w:r>
      <w:r w:rsidR="00743A57">
        <w:rPr>
          <w:rFonts w:ascii="Times New Roman" w:hAnsi="Times New Roman" w:cs="Times New Roman"/>
        </w:rPr>
        <w:t xml:space="preserve"> the President of Liberia</w:t>
      </w:r>
      <w:r w:rsidR="001D2156">
        <w:rPr>
          <w:rFonts w:ascii="Times New Roman" w:hAnsi="Times New Roman" w:cs="Times New Roman"/>
        </w:rPr>
        <w:t xml:space="preserve"> for onward report to the Legislature.</w:t>
      </w:r>
      <w:r w:rsidR="00AF0F4B" w:rsidRPr="00110602">
        <w:rPr>
          <w:rFonts w:ascii="Times New Roman" w:hAnsi="Times New Roman" w:cs="Times New Roman"/>
        </w:rPr>
        <w:t xml:space="preserve"> The</w:t>
      </w:r>
      <w:r w:rsidR="00D03AD9" w:rsidRPr="00110602">
        <w:rPr>
          <w:rFonts w:ascii="Times New Roman" w:hAnsi="Times New Roman" w:cs="Times New Roman"/>
        </w:rPr>
        <w:t xml:space="preserve"> </w:t>
      </w:r>
      <w:r w:rsidR="00CE3867">
        <w:rPr>
          <w:rFonts w:ascii="Times New Roman" w:hAnsi="Times New Roman" w:cs="Times New Roman"/>
        </w:rPr>
        <w:t>INCHR,</w:t>
      </w:r>
      <w:r w:rsidR="00D03AD9" w:rsidRPr="00110602">
        <w:rPr>
          <w:rFonts w:ascii="Times New Roman" w:hAnsi="Times New Roman" w:cs="Times New Roman"/>
        </w:rPr>
        <w:t xml:space="preserve"> through its recon</w:t>
      </w:r>
      <w:r w:rsidR="00743A57">
        <w:rPr>
          <w:rFonts w:ascii="Times New Roman" w:hAnsi="Times New Roman" w:cs="Times New Roman"/>
        </w:rPr>
        <w:t xml:space="preserve">ciliation programs </w:t>
      </w:r>
      <w:r w:rsidR="001D2156">
        <w:rPr>
          <w:rFonts w:ascii="Times New Roman" w:hAnsi="Times New Roman" w:cs="Times New Roman"/>
        </w:rPr>
        <w:t xml:space="preserve">undertook the </w:t>
      </w:r>
      <w:r w:rsidR="00743A57">
        <w:rPr>
          <w:rFonts w:ascii="Times New Roman" w:hAnsi="Times New Roman" w:cs="Times New Roman"/>
        </w:rPr>
        <w:t>Palava Hut discussions and constructed the first Memorial on the Duport road massacre s</w:t>
      </w:r>
      <w:r w:rsidR="00B31AA7">
        <w:rPr>
          <w:rFonts w:ascii="Times New Roman" w:hAnsi="Times New Roman" w:cs="Times New Roman"/>
        </w:rPr>
        <w:t xml:space="preserve">ite in honor of victims of the </w:t>
      </w:r>
      <w:r w:rsidR="00743A57">
        <w:rPr>
          <w:rFonts w:ascii="Times New Roman" w:hAnsi="Times New Roman" w:cs="Times New Roman"/>
        </w:rPr>
        <w:t xml:space="preserve">Civil war. With </w:t>
      </w:r>
      <w:r w:rsidR="00532E6A">
        <w:rPr>
          <w:rFonts w:ascii="Times New Roman" w:hAnsi="Times New Roman" w:cs="Times New Roman"/>
        </w:rPr>
        <w:t>funding from the G</w:t>
      </w:r>
      <w:r w:rsidR="00743A57">
        <w:rPr>
          <w:rFonts w:ascii="Times New Roman" w:hAnsi="Times New Roman" w:cs="Times New Roman"/>
        </w:rPr>
        <w:t>overnment, The INCHR is presently constructing another memorial</w:t>
      </w:r>
      <w:r w:rsidR="00532E6A">
        <w:rPr>
          <w:rFonts w:ascii="Times New Roman" w:hAnsi="Times New Roman" w:cs="Times New Roman"/>
        </w:rPr>
        <w:t xml:space="preserve"> at the Maher River m</w:t>
      </w:r>
      <w:r w:rsidR="00743A57">
        <w:rPr>
          <w:rFonts w:ascii="Times New Roman" w:hAnsi="Times New Roman" w:cs="Times New Roman"/>
        </w:rPr>
        <w:t xml:space="preserve">assacre Site in Bomi County to honor those who were massacred in Bomi </w:t>
      </w:r>
      <w:r w:rsidR="003F59C4">
        <w:rPr>
          <w:rFonts w:ascii="Times New Roman" w:hAnsi="Times New Roman" w:cs="Times New Roman"/>
        </w:rPr>
        <w:t xml:space="preserve">County. The </w:t>
      </w:r>
      <w:r w:rsidR="00743A57">
        <w:rPr>
          <w:rFonts w:ascii="Times New Roman" w:hAnsi="Times New Roman" w:cs="Times New Roman"/>
        </w:rPr>
        <w:t xml:space="preserve">INCHR has prepared two major reports on </w:t>
      </w:r>
      <w:r w:rsidR="003F59C4">
        <w:rPr>
          <w:rFonts w:ascii="Times New Roman" w:hAnsi="Times New Roman" w:cs="Times New Roman"/>
        </w:rPr>
        <w:t xml:space="preserve">the implementation of the TRC </w:t>
      </w:r>
      <w:r w:rsidR="00B31AA7">
        <w:rPr>
          <w:rFonts w:ascii="Times New Roman" w:hAnsi="Times New Roman" w:cs="Times New Roman"/>
        </w:rPr>
        <w:t xml:space="preserve">and submitted same to </w:t>
      </w:r>
      <w:r w:rsidR="003F59C4">
        <w:rPr>
          <w:rFonts w:ascii="Times New Roman" w:hAnsi="Times New Roman" w:cs="Times New Roman"/>
        </w:rPr>
        <w:t>the President Madam Ellen Johnson</w:t>
      </w:r>
      <w:r w:rsidR="00B31AA7">
        <w:rPr>
          <w:rFonts w:ascii="Times New Roman" w:hAnsi="Times New Roman" w:cs="Times New Roman"/>
        </w:rPr>
        <w:t xml:space="preserve">, who </w:t>
      </w:r>
      <w:r w:rsidR="00532E6A">
        <w:rPr>
          <w:rFonts w:ascii="Times New Roman" w:hAnsi="Times New Roman" w:cs="Times New Roman"/>
        </w:rPr>
        <w:t>reported to</w:t>
      </w:r>
      <w:r w:rsidR="00B31AA7">
        <w:rPr>
          <w:rFonts w:ascii="Times New Roman" w:hAnsi="Times New Roman" w:cs="Times New Roman"/>
        </w:rPr>
        <w:t xml:space="preserve"> the </w:t>
      </w:r>
      <w:r w:rsidR="003F59C4">
        <w:rPr>
          <w:rFonts w:ascii="Times New Roman" w:hAnsi="Times New Roman" w:cs="Times New Roman"/>
        </w:rPr>
        <w:t xml:space="preserve">National Legislature. Additionally, The INCHR carried </w:t>
      </w:r>
      <w:r w:rsidR="005534EA">
        <w:rPr>
          <w:rFonts w:ascii="Times New Roman" w:hAnsi="Times New Roman" w:cs="Times New Roman"/>
        </w:rPr>
        <w:t xml:space="preserve">out </w:t>
      </w:r>
      <w:r w:rsidR="003F59C4">
        <w:rPr>
          <w:rFonts w:ascii="Times New Roman" w:hAnsi="Times New Roman" w:cs="Times New Roman"/>
        </w:rPr>
        <w:t>the following</w:t>
      </w:r>
      <w:r w:rsidR="00532E6A">
        <w:rPr>
          <w:rFonts w:ascii="Times New Roman" w:hAnsi="Times New Roman" w:cs="Times New Roman"/>
        </w:rPr>
        <w:t xml:space="preserve"> activities </w:t>
      </w:r>
      <w:r w:rsidR="003F59C4">
        <w:rPr>
          <w:rFonts w:ascii="Times New Roman" w:hAnsi="Times New Roman" w:cs="Times New Roman"/>
        </w:rPr>
        <w:t xml:space="preserve"> in preparation for the conduct of the Palava Hut Forums</w:t>
      </w:r>
    </w:p>
    <w:p w14:paraId="0C6015E1" w14:textId="77777777" w:rsidR="00CE3867" w:rsidRPr="00110602" w:rsidRDefault="00CE3867" w:rsidP="004A5530">
      <w:pPr>
        <w:pStyle w:val="ListParagraph"/>
        <w:ind w:left="360"/>
        <w:jc w:val="both"/>
        <w:rPr>
          <w:rFonts w:ascii="Times New Roman" w:hAnsi="Times New Roman" w:cs="Times New Roman"/>
          <w:b/>
        </w:rPr>
      </w:pPr>
    </w:p>
    <w:p w14:paraId="078A42B0" w14:textId="3680CD11" w:rsidR="001224BE" w:rsidRPr="003F59C4" w:rsidRDefault="003F59C4" w:rsidP="003F59C4">
      <w:pPr>
        <w:pStyle w:val="Default"/>
        <w:numPr>
          <w:ilvl w:val="0"/>
          <w:numId w:val="16"/>
        </w:numPr>
        <w:jc w:val="both"/>
        <w:rPr>
          <w:rFonts w:ascii="Times New Roman" w:hAnsi="Times New Roman" w:cs="Times New Roman"/>
        </w:rPr>
      </w:pPr>
      <w:r>
        <w:rPr>
          <w:rFonts w:ascii="Times New Roman" w:hAnsi="Times New Roman" w:cs="Times New Roman"/>
        </w:rPr>
        <w:lastRenderedPageBreak/>
        <w:t>Conducted f</w:t>
      </w:r>
      <w:r w:rsidR="001224BE" w:rsidRPr="00110602">
        <w:rPr>
          <w:rFonts w:ascii="Times New Roman" w:hAnsi="Times New Roman" w:cs="Times New Roman"/>
        </w:rPr>
        <w:t>our ethnographic forums in Bomi, Grand Gedeh, Bong, and Montserrado</w:t>
      </w:r>
      <w:r>
        <w:rPr>
          <w:rFonts w:ascii="Times New Roman" w:hAnsi="Times New Roman" w:cs="Times New Roman"/>
        </w:rPr>
        <w:t xml:space="preserve"> Counties</w:t>
      </w:r>
      <w:r w:rsidR="001224BE" w:rsidRPr="00110602">
        <w:rPr>
          <w:rFonts w:ascii="Times New Roman" w:hAnsi="Times New Roman" w:cs="Times New Roman"/>
        </w:rPr>
        <w:t xml:space="preserve"> with 92 participants in two-day consultations to develop </w:t>
      </w:r>
      <w:r>
        <w:rPr>
          <w:rFonts w:ascii="Times New Roman" w:hAnsi="Times New Roman" w:cs="Times New Roman"/>
        </w:rPr>
        <w:t xml:space="preserve">Palava Hut </w:t>
      </w:r>
      <w:r w:rsidR="001224BE" w:rsidRPr="00110602">
        <w:rPr>
          <w:rFonts w:ascii="Times New Roman" w:hAnsi="Times New Roman" w:cs="Times New Roman"/>
        </w:rPr>
        <w:t xml:space="preserve">guidelines </w:t>
      </w:r>
      <w:r w:rsidR="001224BE" w:rsidRPr="003F59C4">
        <w:rPr>
          <w:rFonts w:ascii="Times New Roman" w:hAnsi="Times New Roman" w:cs="Times New Roman"/>
        </w:rPr>
        <w:t xml:space="preserve"> </w:t>
      </w:r>
    </w:p>
    <w:p w14:paraId="7F602496" w14:textId="7DD545FA" w:rsidR="001224BE" w:rsidRPr="00110602" w:rsidRDefault="003F59C4" w:rsidP="00090269">
      <w:pPr>
        <w:pStyle w:val="Default"/>
        <w:numPr>
          <w:ilvl w:val="0"/>
          <w:numId w:val="16"/>
        </w:numPr>
        <w:jc w:val="both"/>
        <w:rPr>
          <w:rFonts w:ascii="Times New Roman" w:hAnsi="Times New Roman" w:cs="Times New Roman"/>
        </w:rPr>
      </w:pPr>
      <w:r>
        <w:rPr>
          <w:rFonts w:ascii="Times New Roman" w:hAnsi="Times New Roman" w:cs="Times New Roman"/>
        </w:rPr>
        <w:t xml:space="preserve">Tracked and recorded  and </w:t>
      </w:r>
      <w:r w:rsidR="001224BE" w:rsidRPr="00110602">
        <w:rPr>
          <w:rFonts w:ascii="Times New Roman" w:hAnsi="Times New Roman" w:cs="Times New Roman"/>
        </w:rPr>
        <w:t xml:space="preserve">8,500 early warning; </w:t>
      </w:r>
    </w:p>
    <w:p w14:paraId="266878E4" w14:textId="43C364EE" w:rsidR="001224BE" w:rsidRPr="00110602" w:rsidRDefault="001224BE" w:rsidP="00090269">
      <w:pPr>
        <w:pStyle w:val="Default"/>
        <w:numPr>
          <w:ilvl w:val="0"/>
          <w:numId w:val="16"/>
        </w:numPr>
        <w:jc w:val="both"/>
        <w:rPr>
          <w:rFonts w:ascii="Times New Roman" w:hAnsi="Times New Roman" w:cs="Times New Roman"/>
        </w:rPr>
      </w:pPr>
      <w:r w:rsidRPr="00110602">
        <w:rPr>
          <w:rFonts w:ascii="Times New Roman" w:hAnsi="Times New Roman" w:cs="Times New Roman"/>
        </w:rPr>
        <w:t xml:space="preserve"> </w:t>
      </w:r>
      <w:r w:rsidR="00E9774B">
        <w:rPr>
          <w:rFonts w:ascii="Times New Roman" w:hAnsi="Times New Roman" w:cs="Times New Roman"/>
        </w:rPr>
        <w:t>Conducted awareness f</w:t>
      </w:r>
      <w:r w:rsidRPr="00110602">
        <w:rPr>
          <w:rFonts w:ascii="Times New Roman" w:hAnsi="Times New Roman" w:cs="Times New Roman"/>
        </w:rPr>
        <w:t xml:space="preserve">orums in five (5) of the fifteen (15) political </w:t>
      </w:r>
      <w:r w:rsidR="00E9774B">
        <w:rPr>
          <w:rFonts w:ascii="Times New Roman" w:hAnsi="Times New Roman" w:cs="Times New Roman"/>
        </w:rPr>
        <w:t>subdivisions (</w:t>
      </w:r>
      <w:r w:rsidRPr="00110602">
        <w:rPr>
          <w:rFonts w:ascii="Times New Roman" w:hAnsi="Times New Roman" w:cs="Times New Roman"/>
        </w:rPr>
        <w:t>Lofa, Bong, Margibi, Grand Bassa, and Monts</w:t>
      </w:r>
      <w:r w:rsidR="00CE3867">
        <w:rPr>
          <w:rFonts w:ascii="Times New Roman" w:hAnsi="Times New Roman" w:cs="Times New Roman"/>
        </w:rPr>
        <w:t>e</w:t>
      </w:r>
      <w:r w:rsidRPr="00110602">
        <w:rPr>
          <w:rFonts w:ascii="Times New Roman" w:hAnsi="Times New Roman" w:cs="Times New Roman"/>
        </w:rPr>
        <w:t>rrado</w:t>
      </w:r>
      <w:r w:rsidR="00E9774B">
        <w:rPr>
          <w:rFonts w:ascii="Times New Roman" w:hAnsi="Times New Roman" w:cs="Times New Roman"/>
        </w:rPr>
        <w:t>) Counties</w:t>
      </w:r>
      <w:r w:rsidRPr="00110602">
        <w:rPr>
          <w:rFonts w:ascii="Times New Roman" w:hAnsi="Times New Roman" w:cs="Times New Roman"/>
        </w:rPr>
        <w:t xml:space="preserve"> on</w:t>
      </w:r>
      <w:r w:rsidR="00E9774B">
        <w:rPr>
          <w:rFonts w:ascii="Times New Roman" w:hAnsi="Times New Roman" w:cs="Times New Roman"/>
        </w:rPr>
        <w:t xml:space="preserve"> the </w:t>
      </w:r>
      <w:r w:rsidRPr="00110602">
        <w:rPr>
          <w:rFonts w:ascii="Times New Roman" w:hAnsi="Times New Roman" w:cs="Times New Roman"/>
        </w:rPr>
        <w:t xml:space="preserve"> mandate</w:t>
      </w:r>
      <w:r w:rsidR="00E9774B">
        <w:rPr>
          <w:rFonts w:ascii="Times New Roman" w:hAnsi="Times New Roman" w:cs="Times New Roman"/>
        </w:rPr>
        <w:t xml:space="preserve"> of the INCHR </w:t>
      </w:r>
      <w:r w:rsidRPr="00110602">
        <w:rPr>
          <w:rFonts w:ascii="Times New Roman" w:hAnsi="Times New Roman" w:cs="Times New Roman"/>
        </w:rPr>
        <w:t xml:space="preserve"> and TRC report</w:t>
      </w:r>
      <w:r w:rsidR="009844AD">
        <w:rPr>
          <w:rStyle w:val="FootnoteReference"/>
          <w:rFonts w:ascii="Times New Roman" w:hAnsi="Times New Roman" w:cs="Times New Roman"/>
        </w:rPr>
        <w:footnoteReference w:id="2"/>
      </w:r>
    </w:p>
    <w:p w14:paraId="7996D242" w14:textId="77777777" w:rsidR="000038FF" w:rsidRPr="00110602" w:rsidRDefault="000038FF" w:rsidP="00B360E1">
      <w:pPr>
        <w:pStyle w:val="ListParagraph"/>
        <w:ind w:left="360"/>
        <w:jc w:val="both"/>
        <w:rPr>
          <w:rFonts w:ascii="Times New Roman" w:hAnsi="Times New Roman" w:cs="Times New Roman"/>
        </w:rPr>
      </w:pPr>
    </w:p>
    <w:p w14:paraId="2A0D390C" w14:textId="77777777"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State of emergency and counter-terrorism measures (arts. 2, 4, 7, and 9)</w:t>
      </w:r>
    </w:p>
    <w:p w14:paraId="585239A1" w14:textId="77777777" w:rsidR="000038FF" w:rsidRPr="00110602" w:rsidRDefault="000038FF" w:rsidP="00B360E1">
      <w:pPr>
        <w:jc w:val="both"/>
        <w:rPr>
          <w:rFonts w:ascii="Times New Roman" w:hAnsi="Times New Roman" w:cs="Times New Roman"/>
          <w:b/>
        </w:rPr>
      </w:pPr>
    </w:p>
    <w:p w14:paraId="3A3DCFDE" w14:textId="67BB87D1" w:rsidR="00404685" w:rsidRPr="00110602" w:rsidRDefault="00404685" w:rsidP="009D1316">
      <w:pPr>
        <w:pStyle w:val="ListParagraph"/>
        <w:numPr>
          <w:ilvl w:val="0"/>
          <w:numId w:val="2"/>
        </w:numPr>
        <w:jc w:val="both"/>
        <w:rPr>
          <w:rFonts w:ascii="Times New Roman" w:hAnsi="Times New Roman" w:cs="Times New Roman"/>
        </w:rPr>
      </w:pPr>
      <w:r w:rsidRPr="00110602">
        <w:rPr>
          <w:rFonts w:ascii="Times New Roman" w:hAnsi="Times New Roman" w:cs="Times New Roman"/>
        </w:rPr>
        <w:t xml:space="preserve">Pursuant to Article 86 </w:t>
      </w:r>
      <w:r w:rsidR="008358C2" w:rsidRPr="00110602">
        <w:rPr>
          <w:rFonts w:ascii="Times New Roman" w:hAnsi="Times New Roman" w:cs="Times New Roman"/>
        </w:rPr>
        <w:t xml:space="preserve">of the Constitution of the Republic of Liberia, in response to the Ebola Virus Disease public health emergency, Her Excellency President Ellen Johnson Sirleaf declared a </w:t>
      </w:r>
      <w:r w:rsidR="007B59A0" w:rsidRPr="00110602">
        <w:rPr>
          <w:rFonts w:ascii="Times New Roman" w:hAnsi="Times New Roman" w:cs="Times New Roman"/>
        </w:rPr>
        <w:t xml:space="preserve">90-day </w:t>
      </w:r>
      <w:r w:rsidR="008358C2" w:rsidRPr="00110602">
        <w:rPr>
          <w:rFonts w:ascii="Times New Roman" w:hAnsi="Times New Roman" w:cs="Times New Roman"/>
        </w:rPr>
        <w:t>state of emergency</w:t>
      </w:r>
      <w:r w:rsidR="007B59A0" w:rsidRPr="00110602">
        <w:rPr>
          <w:rFonts w:ascii="Times New Roman" w:hAnsi="Times New Roman" w:cs="Times New Roman"/>
        </w:rPr>
        <w:t xml:space="preserve"> beginning August 6, 2014</w:t>
      </w:r>
      <w:r w:rsidR="008358C2" w:rsidRPr="00110602">
        <w:rPr>
          <w:rFonts w:ascii="Times New Roman" w:hAnsi="Times New Roman" w:cs="Times New Roman"/>
        </w:rPr>
        <w:t>.</w:t>
      </w:r>
      <w:r w:rsidR="008358C2" w:rsidRPr="00110602">
        <w:rPr>
          <w:rStyle w:val="FootnoteReference"/>
          <w:rFonts w:ascii="Times New Roman" w:hAnsi="Times New Roman" w:cs="Times New Roman"/>
        </w:rPr>
        <w:footnoteReference w:id="3"/>
      </w:r>
      <w:r w:rsidR="008358C2" w:rsidRPr="00110602">
        <w:rPr>
          <w:rFonts w:ascii="Times New Roman" w:hAnsi="Times New Roman" w:cs="Times New Roman"/>
        </w:rPr>
        <w:t xml:space="preserve">  </w:t>
      </w:r>
      <w:r w:rsidR="007B59A0" w:rsidRPr="00110602">
        <w:rPr>
          <w:rFonts w:ascii="Times New Roman" w:hAnsi="Times New Roman" w:cs="Times New Roman"/>
        </w:rPr>
        <w:t>The President announced the end of the State of Emergency in November 2014.</w:t>
      </w:r>
    </w:p>
    <w:p w14:paraId="386E2BA7" w14:textId="77777777" w:rsidR="00752343" w:rsidRPr="00110602" w:rsidRDefault="00752343" w:rsidP="00B360E1">
      <w:pPr>
        <w:pStyle w:val="ListParagraph"/>
        <w:ind w:left="360"/>
        <w:jc w:val="both"/>
        <w:rPr>
          <w:rFonts w:ascii="Times New Roman" w:hAnsi="Times New Roman" w:cs="Times New Roman"/>
        </w:rPr>
      </w:pPr>
    </w:p>
    <w:p w14:paraId="0BFB86C9" w14:textId="62BF6C6A" w:rsidR="00404685" w:rsidRPr="00CE3867" w:rsidRDefault="00404685" w:rsidP="00CE3867">
      <w:pPr>
        <w:pStyle w:val="ListParagraph"/>
        <w:numPr>
          <w:ilvl w:val="1"/>
          <w:numId w:val="2"/>
        </w:numPr>
        <w:jc w:val="both"/>
        <w:rPr>
          <w:rFonts w:ascii="Times New Roman" w:hAnsi="Times New Roman" w:cs="Times New Roman"/>
        </w:rPr>
      </w:pPr>
      <w:r w:rsidRPr="00110602">
        <w:rPr>
          <w:rFonts w:ascii="Times New Roman" w:hAnsi="Times New Roman" w:cs="Times New Roman"/>
        </w:rPr>
        <w:t xml:space="preserve">The legal process for declaring a state of emergency are stated in Article </w:t>
      </w:r>
      <w:r w:rsidR="00C3749B" w:rsidRPr="00110602">
        <w:rPr>
          <w:rFonts w:ascii="Times New Roman" w:hAnsi="Times New Roman" w:cs="Times New Roman"/>
        </w:rPr>
        <w:t xml:space="preserve">86 </w:t>
      </w:r>
      <w:r w:rsidR="003F1619" w:rsidRPr="00110602">
        <w:rPr>
          <w:rFonts w:ascii="Times New Roman" w:hAnsi="Times New Roman" w:cs="Times New Roman"/>
        </w:rPr>
        <w:t>through 88</w:t>
      </w:r>
      <w:r w:rsidRPr="00110602">
        <w:rPr>
          <w:rFonts w:ascii="Times New Roman" w:hAnsi="Times New Roman" w:cs="Times New Roman"/>
        </w:rPr>
        <w:t xml:space="preserve"> of the Constitution.  The President is required to consult with the </w:t>
      </w:r>
      <w:r w:rsidR="00C3749B" w:rsidRPr="00110602">
        <w:rPr>
          <w:rFonts w:ascii="Times New Roman" w:hAnsi="Times New Roman" w:cs="Times New Roman"/>
        </w:rPr>
        <w:t xml:space="preserve">Speaker of the House of Representatives, the Pro Tempore of the Liberian Senate, following which the President may declare a state of emergency.  </w:t>
      </w:r>
      <w:r w:rsidR="003F1619" w:rsidRPr="00110602">
        <w:rPr>
          <w:rFonts w:ascii="Times New Roman" w:hAnsi="Times New Roman" w:cs="Times New Roman"/>
        </w:rPr>
        <w:t>Pursuant to Article 88, the National Legislature held an extraordinary session to decide that the proclamation of the State of emergency was justified.</w:t>
      </w:r>
      <w:r w:rsidR="003F1619" w:rsidRPr="00110602">
        <w:rPr>
          <w:rStyle w:val="FootnoteReference"/>
          <w:rFonts w:ascii="Times New Roman" w:hAnsi="Times New Roman" w:cs="Times New Roman"/>
        </w:rPr>
        <w:footnoteReference w:id="4"/>
      </w:r>
      <w:r w:rsidR="003F1619" w:rsidRPr="00110602">
        <w:rPr>
          <w:rFonts w:ascii="Times New Roman" w:hAnsi="Times New Roman" w:cs="Times New Roman"/>
        </w:rPr>
        <w:t xml:space="preserve"> A state of emergency is only allowed in the limited circumstances stated in Article 86(b) of the Constitution, which are limited to the threat or outbreak of war, where there is civil unrest affecting the existence, security, or </w:t>
      </w:r>
      <w:r w:rsidR="006B7FE3">
        <w:rPr>
          <w:rFonts w:ascii="Times New Roman" w:hAnsi="Times New Roman" w:cs="Times New Roman"/>
        </w:rPr>
        <w:t xml:space="preserve"> when the </w:t>
      </w:r>
      <w:r w:rsidR="003F1619" w:rsidRPr="00110602">
        <w:rPr>
          <w:rFonts w:ascii="Times New Roman" w:hAnsi="Times New Roman" w:cs="Times New Roman"/>
        </w:rPr>
        <w:t xml:space="preserve">well-being of the Republic amount to a clear and present danger.  </w:t>
      </w:r>
      <w:r w:rsidR="003B5ACE" w:rsidRPr="00110602">
        <w:rPr>
          <w:rFonts w:ascii="Times New Roman" w:hAnsi="Times New Roman" w:cs="Times New Roman"/>
        </w:rPr>
        <w:t xml:space="preserve">Upon declaring a state of emergency in 2014, </w:t>
      </w:r>
      <w:r w:rsidR="006B7FE3">
        <w:rPr>
          <w:rFonts w:ascii="Times New Roman" w:hAnsi="Times New Roman" w:cs="Times New Roman"/>
        </w:rPr>
        <w:t>t</w:t>
      </w:r>
      <w:r w:rsidR="00C3749B" w:rsidRPr="00110602">
        <w:rPr>
          <w:rFonts w:ascii="Times New Roman" w:hAnsi="Times New Roman" w:cs="Times New Roman"/>
        </w:rPr>
        <w:t xml:space="preserve">he President immediately </w:t>
      </w:r>
      <w:r w:rsidR="003B5ACE" w:rsidRPr="00110602">
        <w:rPr>
          <w:rFonts w:ascii="Times New Roman" w:hAnsi="Times New Roman" w:cs="Times New Roman"/>
        </w:rPr>
        <w:t xml:space="preserve">notified </w:t>
      </w:r>
      <w:r w:rsidR="00C3749B" w:rsidRPr="00110602">
        <w:rPr>
          <w:rFonts w:ascii="Times New Roman" w:hAnsi="Times New Roman" w:cs="Times New Roman"/>
        </w:rPr>
        <w:t>the National Legisl</w:t>
      </w:r>
      <w:r w:rsidR="007B59A0" w:rsidRPr="00110602">
        <w:rPr>
          <w:rFonts w:ascii="Times New Roman" w:hAnsi="Times New Roman" w:cs="Times New Roman"/>
        </w:rPr>
        <w:t>ature, as required by Article 88</w:t>
      </w:r>
      <w:r w:rsidR="00C3749B" w:rsidRPr="00110602">
        <w:rPr>
          <w:rFonts w:ascii="Times New Roman" w:hAnsi="Times New Roman" w:cs="Times New Roman"/>
        </w:rPr>
        <w:t xml:space="preserve"> of the </w:t>
      </w:r>
      <w:r w:rsidR="007B59A0" w:rsidRPr="00110602">
        <w:rPr>
          <w:rFonts w:ascii="Times New Roman" w:hAnsi="Times New Roman" w:cs="Times New Roman"/>
        </w:rPr>
        <w:t>Constitution</w:t>
      </w:r>
      <w:r w:rsidR="00C3749B" w:rsidRPr="00110602">
        <w:rPr>
          <w:rFonts w:ascii="Times New Roman" w:hAnsi="Times New Roman" w:cs="Times New Roman"/>
        </w:rPr>
        <w:t xml:space="preserve">, to inform them of the facts and circumstances leading to the declaration of the state of emergency.  </w:t>
      </w:r>
      <w:r w:rsidR="00CE3867">
        <w:rPr>
          <w:rFonts w:ascii="Times New Roman" w:hAnsi="Times New Roman" w:cs="Times New Roman"/>
        </w:rPr>
        <w:t>During this period, the</w:t>
      </w:r>
      <w:r w:rsidR="003B5ACE" w:rsidRPr="00110602">
        <w:rPr>
          <w:rFonts w:ascii="Times New Roman" w:hAnsi="Times New Roman" w:cs="Times New Roman"/>
        </w:rPr>
        <w:t xml:space="preserve"> INCHR </w:t>
      </w:r>
      <w:r w:rsidR="00CE3867">
        <w:rPr>
          <w:rFonts w:ascii="Times New Roman" w:hAnsi="Times New Roman" w:cs="Times New Roman"/>
        </w:rPr>
        <w:t xml:space="preserve">closely monitored measures put into place by the Government </w:t>
      </w:r>
      <w:r w:rsidR="00B60F9A" w:rsidRPr="00110602">
        <w:rPr>
          <w:rFonts w:ascii="Times New Roman" w:hAnsi="Times New Roman" w:cs="Times New Roman"/>
        </w:rPr>
        <w:t xml:space="preserve">to ensure that rights </w:t>
      </w:r>
      <w:r w:rsidR="003449A7">
        <w:rPr>
          <w:rFonts w:ascii="Times New Roman" w:hAnsi="Times New Roman" w:cs="Times New Roman"/>
        </w:rPr>
        <w:t>are</w:t>
      </w:r>
      <w:r w:rsidR="003F1619" w:rsidRPr="00110602">
        <w:rPr>
          <w:rFonts w:ascii="Times New Roman" w:hAnsi="Times New Roman" w:cs="Times New Roman"/>
        </w:rPr>
        <w:t xml:space="preserve"> not violated </w:t>
      </w:r>
      <w:r w:rsidR="00B60F9A" w:rsidRPr="00110602">
        <w:rPr>
          <w:rFonts w:ascii="Times New Roman" w:hAnsi="Times New Roman" w:cs="Times New Roman"/>
        </w:rPr>
        <w:t xml:space="preserve">during period of emergency. </w:t>
      </w:r>
      <w:r w:rsidR="00C3749B" w:rsidRPr="00CE3867">
        <w:rPr>
          <w:rFonts w:ascii="Times New Roman" w:hAnsi="Times New Roman" w:cs="Times New Roman"/>
        </w:rPr>
        <w:t xml:space="preserve">The Ebola Virus pandemic posed a clear and present danger to the security and well-being of the Republic.  </w:t>
      </w:r>
    </w:p>
    <w:p w14:paraId="33EF1813" w14:textId="77777777" w:rsidR="007B59A0" w:rsidRPr="00110602" w:rsidRDefault="007B59A0" w:rsidP="00B360E1">
      <w:pPr>
        <w:pStyle w:val="ListParagraph"/>
        <w:ind w:left="1080"/>
        <w:jc w:val="both"/>
        <w:rPr>
          <w:rFonts w:ascii="Times New Roman" w:hAnsi="Times New Roman" w:cs="Times New Roman"/>
        </w:rPr>
      </w:pPr>
    </w:p>
    <w:p w14:paraId="2CA82AC3" w14:textId="77777777" w:rsidR="006B7FE3" w:rsidRDefault="00D10781" w:rsidP="00B360E1">
      <w:pPr>
        <w:pStyle w:val="ListParagraph"/>
        <w:numPr>
          <w:ilvl w:val="1"/>
          <w:numId w:val="2"/>
        </w:numPr>
        <w:jc w:val="both"/>
        <w:rPr>
          <w:rFonts w:ascii="Times New Roman" w:hAnsi="Times New Roman" w:cs="Times New Roman"/>
        </w:rPr>
      </w:pPr>
      <w:r w:rsidRPr="006B7FE3">
        <w:rPr>
          <w:rFonts w:ascii="Times New Roman" w:hAnsi="Times New Roman" w:cs="Times New Roman"/>
        </w:rPr>
        <w:t>During the state of emergency</w:t>
      </w:r>
      <w:r w:rsidR="00B60F9A" w:rsidRPr="006B7FE3">
        <w:rPr>
          <w:rFonts w:ascii="Times New Roman" w:hAnsi="Times New Roman" w:cs="Times New Roman"/>
        </w:rPr>
        <w:t xml:space="preserve"> declared to protect the public health and stem the rapid spread of the disease</w:t>
      </w:r>
      <w:r w:rsidRPr="006B7FE3">
        <w:rPr>
          <w:rFonts w:ascii="Times New Roman" w:hAnsi="Times New Roman" w:cs="Times New Roman"/>
        </w:rPr>
        <w:t>,</w:t>
      </w:r>
      <w:r w:rsidR="00B60F9A" w:rsidRPr="006B7FE3">
        <w:rPr>
          <w:rFonts w:ascii="Times New Roman" w:hAnsi="Times New Roman" w:cs="Times New Roman"/>
        </w:rPr>
        <w:t xml:space="preserve"> </w:t>
      </w:r>
      <w:r w:rsidR="003F1619" w:rsidRPr="006B7FE3">
        <w:rPr>
          <w:rFonts w:ascii="Times New Roman" w:hAnsi="Times New Roman" w:cs="Times New Roman"/>
        </w:rPr>
        <w:t xml:space="preserve">schools were closed, </w:t>
      </w:r>
      <w:r w:rsidR="00B60F9A" w:rsidRPr="006B7FE3">
        <w:rPr>
          <w:rFonts w:ascii="Times New Roman" w:hAnsi="Times New Roman" w:cs="Times New Roman"/>
        </w:rPr>
        <w:t>a 9pm curfew was instituted</w:t>
      </w:r>
      <w:r w:rsidR="003F1619" w:rsidRPr="006B7FE3">
        <w:rPr>
          <w:rFonts w:ascii="Times New Roman" w:hAnsi="Times New Roman" w:cs="Times New Roman"/>
        </w:rPr>
        <w:t xml:space="preserve"> and some communities were quarantined</w:t>
      </w:r>
      <w:r w:rsidR="00B60F9A" w:rsidRPr="006B7FE3">
        <w:rPr>
          <w:rFonts w:ascii="Times New Roman" w:hAnsi="Times New Roman" w:cs="Times New Roman"/>
        </w:rPr>
        <w:t xml:space="preserve">, curtailing </w:t>
      </w:r>
      <w:r w:rsidR="001B218C" w:rsidRPr="006B7FE3">
        <w:rPr>
          <w:rFonts w:ascii="Times New Roman" w:hAnsi="Times New Roman" w:cs="Times New Roman"/>
        </w:rPr>
        <w:t>freedom of movement</w:t>
      </w:r>
      <w:r w:rsidR="006B7FE3" w:rsidRPr="006B7FE3">
        <w:rPr>
          <w:rFonts w:ascii="Times New Roman" w:hAnsi="Times New Roman" w:cs="Times New Roman"/>
        </w:rPr>
        <w:t xml:space="preserve"> consistent with Article 12</w:t>
      </w:r>
      <w:r w:rsidR="003F1619" w:rsidRPr="006B7FE3">
        <w:rPr>
          <w:rFonts w:ascii="Times New Roman" w:hAnsi="Times New Roman" w:cs="Times New Roman"/>
        </w:rPr>
        <w:t xml:space="preserve">(3) of the </w:t>
      </w:r>
      <w:r w:rsidR="006C55FD" w:rsidRPr="006B7FE3">
        <w:rPr>
          <w:rFonts w:ascii="Times New Roman" w:hAnsi="Times New Roman" w:cs="Times New Roman"/>
        </w:rPr>
        <w:t>Covenant</w:t>
      </w:r>
      <w:r w:rsidR="001B218C" w:rsidRPr="006B7FE3">
        <w:rPr>
          <w:rFonts w:ascii="Times New Roman" w:hAnsi="Times New Roman" w:cs="Times New Roman"/>
        </w:rPr>
        <w:t xml:space="preserve">. The </w:t>
      </w:r>
      <w:r w:rsidR="007C7C3B" w:rsidRPr="006B7FE3">
        <w:rPr>
          <w:rFonts w:ascii="Times New Roman" w:hAnsi="Times New Roman" w:cs="Times New Roman"/>
        </w:rPr>
        <w:t>right to assemble remained</w:t>
      </w:r>
      <w:r w:rsidR="001B218C" w:rsidRPr="006B7FE3">
        <w:rPr>
          <w:rFonts w:ascii="Times New Roman" w:hAnsi="Times New Roman" w:cs="Times New Roman"/>
        </w:rPr>
        <w:t xml:space="preserve"> in place, but awareness was raised by government and partners on the need to refrain from gathering </w:t>
      </w:r>
      <w:r w:rsidR="0028462E" w:rsidRPr="006B7FE3">
        <w:rPr>
          <w:rFonts w:ascii="Times New Roman" w:hAnsi="Times New Roman" w:cs="Times New Roman"/>
        </w:rPr>
        <w:t>to avoid the spreading of the virus.</w:t>
      </w:r>
      <w:r w:rsidRPr="006B7FE3">
        <w:rPr>
          <w:rFonts w:ascii="Times New Roman" w:hAnsi="Times New Roman" w:cs="Times New Roman"/>
        </w:rPr>
        <w:t xml:space="preserve">   </w:t>
      </w:r>
      <w:r w:rsidR="003F1619" w:rsidRPr="006B7FE3">
        <w:rPr>
          <w:rFonts w:ascii="Times New Roman" w:hAnsi="Times New Roman" w:cs="Times New Roman"/>
        </w:rPr>
        <w:t>All</w:t>
      </w:r>
      <w:r w:rsidR="00DE5055" w:rsidRPr="006B7FE3">
        <w:rPr>
          <w:rFonts w:ascii="Times New Roman" w:hAnsi="Times New Roman" w:cs="Times New Roman"/>
        </w:rPr>
        <w:t xml:space="preserve"> </w:t>
      </w:r>
      <w:r w:rsidR="001B218C" w:rsidRPr="006B7FE3">
        <w:rPr>
          <w:rFonts w:ascii="Times New Roman" w:hAnsi="Times New Roman" w:cs="Times New Roman"/>
        </w:rPr>
        <w:t>effort</w:t>
      </w:r>
      <w:r w:rsidR="00DE5055" w:rsidRPr="006B7FE3">
        <w:rPr>
          <w:rFonts w:ascii="Times New Roman" w:hAnsi="Times New Roman" w:cs="Times New Roman"/>
        </w:rPr>
        <w:t xml:space="preserve">s on the part of the government </w:t>
      </w:r>
      <w:r w:rsidR="003F1619" w:rsidRPr="006B7FE3">
        <w:rPr>
          <w:rFonts w:ascii="Times New Roman" w:hAnsi="Times New Roman" w:cs="Times New Roman"/>
        </w:rPr>
        <w:t xml:space="preserve">were made </w:t>
      </w:r>
      <w:r w:rsidR="001B218C" w:rsidRPr="006B7FE3">
        <w:rPr>
          <w:rFonts w:ascii="Times New Roman" w:hAnsi="Times New Roman" w:cs="Times New Roman"/>
        </w:rPr>
        <w:t xml:space="preserve">to protect Liberians and foreign </w:t>
      </w:r>
      <w:r w:rsidR="007C7C3B" w:rsidRPr="006B7FE3">
        <w:rPr>
          <w:rFonts w:ascii="Times New Roman" w:hAnsi="Times New Roman" w:cs="Times New Roman"/>
        </w:rPr>
        <w:t>residents alike</w:t>
      </w:r>
      <w:r w:rsidR="006B7FE3">
        <w:rPr>
          <w:rFonts w:ascii="Times New Roman" w:hAnsi="Times New Roman" w:cs="Times New Roman"/>
        </w:rPr>
        <w:t>.</w:t>
      </w:r>
    </w:p>
    <w:p w14:paraId="6E37ED14" w14:textId="4A7D5700" w:rsidR="00752343" w:rsidRPr="006B7FE3" w:rsidRDefault="00752343" w:rsidP="006B7FE3">
      <w:pPr>
        <w:pStyle w:val="ListParagraph"/>
        <w:ind w:left="1080"/>
        <w:jc w:val="both"/>
        <w:rPr>
          <w:rFonts w:ascii="Times New Roman" w:hAnsi="Times New Roman" w:cs="Times New Roman"/>
        </w:rPr>
      </w:pPr>
      <w:r w:rsidRPr="006B7FE3">
        <w:rPr>
          <w:rFonts w:ascii="Times New Roman" w:hAnsi="Times New Roman" w:cs="Times New Roman"/>
        </w:rPr>
        <w:t xml:space="preserve"> </w:t>
      </w:r>
    </w:p>
    <w:p w14:paraId="787FCBAF" w14:textId="6BA22375" w:rsidR="00E32EF2" w:rsidRPr="00110602" w:rsidRDefault="00752343" w:rsidP="00E32EF2">
      <w:pPr>
        <w:pStyle w:val="ListParagraph"/>
        <w:numPr>
          <w:ilvl w:val="1"/>
          <w:numId w:val="2"/>
        </w:numPr>
        <w:jc w:val="both"/>
        <w:rPr>
          <w:rFonts w:ascii="Times New Roman" w:hAnsi="Times New Roman" w:cs="Times New Roman"/>
        </w:rPr>
      </w:pPr>
      <w:r w:rsidRPr="00110602">
        <w:rPr>
          <w:rFonts w:ascii="Times New Roman" w:hAnsi="Times New Roman" w:cs="Times New Roman"/>
        </w:rPr>
        <w:t xml:space="preserve">The state of emergency complied with Article 4 of the Covenant as all measures instituted during the state of emergency </w:t>
      </w:r>
      <w:r w:rsidR="006C55FD">
        <w:rPr>
          <w:rFonts w:ascii="Times New Roman" w:hAnsi="Times New Roman" w:cs="Times New Roman"/>
        </w:rPr>
        <w:t>were</w:t>
      </w:r>
      <w:r w:rsidRPr="00110602">
        <w:rPr>
          <w:rFonts w:ascii="Times New Roman" w:hAnsi="Times New Roman" w:cs="Times New Roman"/>
        </w:rPr>
        <w:t xml:space="preserve"> non-discriminatory and done with </w:t>
      </w:r>
      <w:r w:rsidRPr="00110602">
        <w:rPr>
          <w:rFonts w:ascii="Times New Roman" w:hAnsi="Times New Roman" w:cs="Times New Roman"/>
        </w:rPr>
        <w:lastRenderedPageBreak/>
        <w:t>the sole purpose of protecting publi</w:t>
      </w:r>
      <w:r w:rsidR="006C55FD">
        <w:rPr>
          <w:rFonts w:ascii="Times New Roman" w:hAnsi="Times New Roman" w:cs="Times New Roman"/>
        </w:rPr>
        <w:t>c health.  During the State of E</w:t>
      </w:r>
      <w:r w:rsidRPr="00110602">
        <w:rPr>
          <w:rFonts w:ascii="Times New Roman" w:hAnsi="Times New Roman" w:cs="Times New Roman"/>
        </w:rPr>
        <w:t>mergency,</w:t>
      </w:r>
      <w:r w:rsidR="006C55FD">
        <w:rPr>
          <w:rFonts w:ascii="Times New Roman" w:hAnsi="Times New Roman" w:cs="Times New Roman"/>
        </w:rPr>
        <w:t xml:space="preserve"> efforts were imployed in upholding</w:t>
      </w:r>
      <w:r w:rsidRPr="00110602">
        <w:rPr>
          <w:rFonts w:ascii="Times New Roman" w:hAnsi="Times New Roman" w:cs="Times New Roman"/>
        </w:rPr>
        <w:t xml:space="preserve"> </w:t>
      </w:r>
      <w:r w:rsidR="00E32EF2" w:rsidRPr="00110602">
        <w:rPr>
          <w:rFonts w:ascii="Times New Roman" w:hAnsi="Times New Roman" w:cs="Times New Roman"/>
        </w:rPr>
        <w:t xml:space="preserve">rights granted under Articles 6, 7, 8 (paragraphs 1 and 2), 11, 15, 16 and 18 of the </w:t>
      </w:r>
      <w:r w:rsidR="006C55FD">
        <w:rPr>
          <w:rFonts w:ascii="Times New Roman" w:hAnsi="Times New Roman" w:cs="Times New Roman"/>
        </w:rPr>
        <w:t>Covenant</w:t>
      </w:r>
      <w:r w:rsidR="00E32EF2" w:rsidRPr="00110602">
        <w:rPr>
          <w:rFonts w:ascii="Times New Roman" w:hAnsi="Times New Roman" w:cs="Times New Roman"/>
        </w:rPr>
        <w:t>.</w:t>
      </w:r>
    </w:p>
    <w:p w14:paraId="38E8542D" w14:textId="77777777" w:rsidR="003F1619" w:rsidRPr="00110602" w:rsidRDefault="003F1619" w:rsidP="00090269">
      <w:pPr>
        <w:jc w:val="both"/>
        <w:rPr>
          <w:rFonts w:ascii="Times New Roman" w:hAnsi="Times New Roman" w:cs="Times New Roman"/>
        </w:rPr>
      </w:pPr>
    </w:p>
    <w:p w14:paraId="257D86A1" w14:textId="1AEA3B48" w:rsidR="00752343" w:rsidRPr="00110602" w:rsidRDefault="002251A1" w:rsidP="00750034">
      <w:pPr>
        <w:pStyle w:val="ListParagraph"/>
        <w:numPr>
          <w:ilvl w:val="1"/>
          <w:numId w:val="2"/>
        </w:numPr>
        <w:jc w:val="both"/>
        <w:rPr>
          <w:rFonts w:ascii="Times New Roman" w:hAnsi="Times New Roman" w:cs="Times New Roman"/>
        </w:rPr>
      </w:pPr>
      <w:r w:rsidRPr="00110602">
        <w:rPr>
          <w:rFonts w:ascii="Times New Roman" w:hAnsi="Times New Roman" w:cs="Times New Roman"/>
        </w:rPr>
        <w:t>During the State of Emergency, all reported cases of violations were investigated and appropriate actions were taken. The INCHR deployed Human Rights monitors in the counties to document potential violations and advised the Government on appropriate actions necessary to protect against human rights abuses.</w:t>
      </w:r>
      <w:r w:rsidR="00752343" w:rsidRPr="00110602">
        <w:rPr>
          <w:rFonts w:ascii="Times New Roman" w:hAnsi="Times New Roman" w:cs="Times New Roman"/>
        </w:rPr>
        <w:t xml:space="preserve"> </w:t>
      </w:r>
    </w:p>
    <w:p w14:paraId="3FED6488" w14:textId="6E0706B9" w:rsidR="00474DB8" w:rsidRPr="00110602" w:rsidRDefault="00474DB8" w:rsidP="00DE66EE">
      <w:pPr>
        <w:jc w:val="both"/>
        <w:rPr>
          <w:rFonts w:ascii="Times New Roman" w:hAnsi="Times New Roman" w:cs="Times New Roman"/>
          <w:highlight w:val="yellow"/>
        </w:rPr>
      </w:pPr>
    </w:p>
    <w:p w14:paraId="5E677E24" w14:textId="46373B94" w:rsidR="00D10781" w:rsidRPr="00110602" w:rsidRDefault="00D10781" w:rsidP="00090269">
      <w:pPr>
        <w:pStyle w:val="ListParagraph"/>
        <w:numPr>
          <w:ilvl w:val="1"/>
          <w:numId w:val="2"/>
        </w:numPr>
        <w:jc w:val="both"/>
        <w:rPr>
          <w:rFonts w:ascii="Times New Roman" w:hAnsi="Times New Roman" w:cs="Times New Roman"/>
        </w:rPr>
      </w:pPr>
      <w:r w:rsidRPr="00110602">
        <w:rPr>
          <w:rFonts w:ascii="Times New Roman" w:hAnsi="Times New Roman" w:cs="Times New Roman"/>
        </w:rPr>
        <w:t xml:space="preserve">After the August 20, 2014 protest in West Point, the Chief of Staff </w:t>
      </w:r>
      <w:r w:rsidR="00474DB8" w:rsidRPr="00110602">
        <w:rPr>
          <w:rFonts w:ascii="Times New Roman" w:hAnsi="Times New Roman" w:cs="Times New Roman"/>
        </w:rPr>
        <w:t xml:space="preserve">of the </w:t>
      </w:r>
      <w:r w:rsidRPr="00110602">
        <w:rPr>
          <w:rFonts w:ascii="Times New Roman" w:hAnsi="Times New Roman" w:cs="Times New Roman"/>
        </w:rPr>
        <w:t>A</w:t>
      </w:r>
      <w:r w:rsidR="00474DB8" w:rsidRPr="00110602">
        <w:rPr>
          <w:rFonts w:ascii="Times New Roman" w:hAnsi="Times New Roman" w:cs="Times New Roman"/>
        </w:rPr>
        <w:t xml:space="preserve">rmed </w:t>
      </w:r>
      <w:r w:rsidRPr="00110602">
        <w:rPr>
          <w:rFonts w:ascii="Times New Roman" w:hAnsi="Times New Roman" w:cs="Times New Roman"/>
        </w:rPr>
        <w:t>F</w:t>
      </w:r>
      <w:r w:rsidR="00474DB8" w:rsidRPr="00110602">
        <w:rPr>
          <w:rFonts w:ascii="Times New Roman" w:hAnsi="Times New Roman" w:cs="Times New Roman"/>
        </w:rPr>
        <w:t xml:space="preserve">orces of </w:t>
      </w:r>
      <w:r w:rsidRPr="00110602">
        <w:rPr>
          <w:rFonts w:ascii="Times New Roman" w:hAnsi="Times New Roman" w:cs="Times New Roman"/>
        </w:rPr>
        <w:t>L</w:t>
      </w:r>
      <w:r w:rsidR="00474DB8" w:rsidRPr="00110602">
        <w:rPr>
          <w:rFonts w:ascii="Times New Roman" w:hAnsi="Times New Roman" w:cs="Times New Roman"/>
        </w:rPr>
        <w:t>iberia (AFL)</w:t>
      </w:r>
      <w:r w:rsidRPr="00110602">
        <w:rPr>
          <w:rFonts w:ascii="Times New Roman" w:hAnsi="Times New Roman" w:cs="Times New Roman"/>
        </w:rPr>
        <w:t xml:space="preserve"> tasked the Provost Marshall (PM) to conduct an investigation into </w:t>
      </w:r>
      <w:r w:rsidR="00474DB8" w:rsidRPr="00110602">
        <w:rPr>
          <w:rFonts w:ascii="Times New Roman" w:hAnsi="Times New Roman" w:cs="Times New Roman"/>
        </w:rPr>
        <w:t>the</w:t>
      </w:r>
      <w:r w:rsidRPr="00110602">
        <w:rPr>
          <w:rFonts w:ascii="Times New Roman" w:hAnsi="Times New Roman" w:cs="Times New Roman"/>
        </w:rPr>
        <w:t xml:space="preserve"> alleged violation of the U</w:t>
      </w:r>
      <w:r w:rsidR="00DE66EE" w:rsidRPr="00110602">
        <w:rPr>
          <w:rFonts w:ascii="Times New Roman" w:hAnsi="Times New Roman" w:cs="Times New Roman"/>
        </w:rPr>
        <w:t xml:space="preserve">niform </w:t>
      </w:r>
      <w:r w:rsidRPr="00110602">
        <w:rPr>
          <w:rFonts w:ascii="Times New Roman" w:hAnsi="Times New Roman" w:cs="Times New Roman"/>
        </w:rPr>
        <w:t>C</w:t>
      </w:r>
      <w:r w:rsidR="00DE66EE" w:rsidRPr="00110602">
        <w:rPr>
          <w:rFonts w:ascii="Times New Roman" w:hAnsi="Times New Roman" w:cs="Times New Roman"/>
        </w:rPr>
        <w:t xml:space="preserve">ode of </w:t>
      </w:r>
      <w:r w:rsidRPr="00110602">
        <w:rPr>
          <w:rFonts w:ascii="Times New Roman" w:hAnsi="Times New Roman" w:cs="Times New Roman"/>
        </w:rPr>
        <w:t>M</w:t>
      </w:r>
      <w:r w:rsidR="00DE66EE" w:rsidRPr="00110602">
        <w:rPr>
          <w:rFonts w:ascii="Times New Roman" w:hAnsi="Times New Roman" w:cs="Times New Roman"/>
        </w:rPr>
        <w:t xml:space="preserve">ilitary </w:t>
      </w:r>
      <w:r w:rsidRPr="00110602">
        <w:rPr>
          <w:rFonts w:ascii="Times New Roman" w:hAnsi="Times New Roman" w:cs="Times New Roman"/>
        </w:rPr>
        <w:t>J</w:t>
      </w:r>
      <w:r w:rsidR="00DE66EE" w:rsidRPr="00110602">
        <w:rPr>
          <w:rFonts w:ascii="Times New Roman" w:hAnsi="Times New Roman" w:cs="Times New Roman"/>
        </w:rPr>
        <w:t>ustice</w:t>
      </w:r>
      <w:r w:rsidRPr="00110602">
        <w:rPr>
          <w:rFonts w:ascii="Times New Roman" w:hAnsi="Times New Roman" w:cs="Times New Roman"/>
        </w:rPr>
        <w:t xml:space="preserve"> and the Law of Armed Conflict. At the end of the investigat</w:t>
      </w:r>
      <w:r w:rsidR="00474DB8" w:rsidRPr="00110602">
        <w:rPr>
          <w:rFonts w:ascii="Times New Roman" w:hAnsi="Times New Roman" w:cs="Times New Roman"/>
        </w:rPr>
        <w:t>ion, five personnel of the AFL (</w:t>
      </w:r>
      <w:r w:rsidRPr="00110602">
        <w:rPr>
          <w:rFonts w:ascii="Times New Roman" w:hAnsi="Times New Roman" w:cs="Times New Roman"/>
        </w:rPr>
        <w:t xml:space="preserve">one officer and four enlisted </w:t>
      </w:r>
      <w:r w:rsidR="006C55FD">
        <w:rPr>
          <w:rFonts w:ascii="Times New Roman" w:hAnsi="Times New Roman" w:cs="Times New Roman"/>
        </w:rPr>
        <w:t xml:space="preserve">men </w:t>
      </w:r>
      <w:r w:rsidRPr="00110602">
        <w:rPr>
          <w:rFonts w:ascii="Times New Roman" w:hAnsi="Times New Roman" w:cs="Times New Roman"/>
        </w:rPr>
        <w:t>were found guilty of violating various UCMJ Articles</w:t>
      </w:r>
      <w:r w:rsidR="00474DB8" w:rsidRPr="00110602">
        <w:rPr>
          <w:rFonts w:ascii="Times New Roman" w:hAnsi="Times New Roman" w:cs="Times New Roman"/>
        </w:rPr>
        <w:t>) and the following measures were instituted</w:t>
      </w:r>
      <w:r w:rsidRPr="00110602">
        <w:rPr>
          <w:rFonts w:ascii="Times New Roman" w:hAnsi="Times New Roman" w:cs="Times New Roman"/>
        </w:rPr>
        <w:t>:</w:t>
      </w:r>
    </w:p>
    <w:p w14:paraId="063F2840" w14:textId="77777777" w:rsidR="00474DB8" w:rsidRPr="00110602" w:rsidRDefault="00474DB8" w:rsidP="00B360E1">
      <w:pPr>
        <w:pStyle w:val="ListParagraph"/>
        <w:ind w:left="1080"/>
        <w:jc w:val="both"/>
        <w:rPr>
          <w:rFonts w:ascii="Times New Roman" w:hAnsi="Times New Roman" w:cs="Times New Roman"/>
        </w:rPr>
      </w:pPr>
    </w:p>
    <w:p w14:paraId="435F1D32" w14:textId="0AE0E466" w:rsidR="00D10781" w:rsidRPr="00110602" w:rsidRDefault="00D10781" w:rsidP="00B360E1">
      <w:pPr>
        <w:pStyle w:val="ListParagraph"/>
        <w:numPr>
          <w:ilvl w:val="0"/>
          <w:numId w:val="3"/>
        </w:numPr>
        <w:spacing w:after="200" w:line="276" w:lineRule="auto"/>
        <w:jc w:val="both"/>
        <w:rPr>
          <w:rFonts w:ascii="Times New Roman" w:hAnsi="Times New Roman" w:cs="Times New Roman"/>
        </w:rPr>
      </w:pPr>
      <w:r w:rsidRPr="00110602">
        <w:rPr>
          <w:rFonts w:ascii="Times New Roman" w:hAnsi="Times New Roman" w:cs="Times New Roman"/>
        </w:rPr>
        <w:t xml:space="preserve">The </w:t>
      </w:r>
      <w:r w:rsidR="00474DB8" w:rsidRPr="00110602">
        <w:rPr>
          <w:rFonts w:ascii="Times New Roman" w:hAnsi="Times New Roman" w:cs="Times New Roman"/>
        </w:rPr>
        <w:t>PM Report</w:t>
      </w:r>
      <w:r w:rsidRPr="00110602">
        <w:rPr>
          <w:rFonts w:ascii="Times New Roman" w:hAnsi="Times New Roman" w:cs="Times New Roman"/>
        </w:rPr>
        <w:t xml:space="preserve"> was submitted to the office of the Judge Advocate General (JAG) for Legal review. At the end of review</w:t>
      </w:r>
      <w:r w:rsidR="00DE66EE" w:rsidRPr="00110602">
        <w:rPr>
          <w:rFonts w:ascii="Times New Roman" w:hAnsi="Times New Roman" w:cs="Times New Roman"/>
        </w:rPr>
        <w:t>,</w:t>
      </w:r>
      <w:r w:rsidRPr="00110602">
        <w:rPr>
          <w:rFonts w:ascii="Times New Roman" w:hAnsi="Times New Roman" w:cs="Times New Roman"/>
        </w:rPr>
        <w:t xml:space="preserve"> the COS app</w:t>
      </w:r>
      <w:r w:rsidR="00474DB8" w:rsidRPr="00110602">
        <w:rPr>
          <w:rFonts w:ascii="Times New Roman" w:hAnsi="Times New Roman" w:cs="Times New Roman"/>
        </w:rPr>
        <w:t xml:space="preserve">roved the JAG recommendation </w:t>
      </w:r>
      <w:r w:rsidRPr="00110602">
        <w:rPr>
          <w:rFonts w:ascii="Times New Roman" w:hAnsi="Times New Roman" w:cs="Times New Roman"/>
        </w:rPr>
        <w:t>from the Armed Forces of Libe</w:t>
      </w:r>
      <w:r w:rsidR="00474DB8" w:rsidRPr="00110602">
        <w:rPr>
          <w:rFonts w:ascii="Times New Roman" w:hAnsi="Times New Roman" w:cs="Times New Roman"/>
        </w:rPr>
        <w:t>ria Disciplinary Board</w:t>
      </w:r>
      <w:r w:rsidR="009A3020" w:rsidRPr="00110602">
        <w:rPr>
          <w:rFonts w:ascii="Times New Roman" w:hAnsi="Times New Roman" w:cs="Times New Roman"/>
        </w:rPr>
        <w:t xml:space="preserve"> </w:t>
      </w:r>
      <w:r w:rsidR="00474DB8" w:rsidRPr="00110602">
        <w:rPr>
          <w:rFonts w:ascii="Times New Roman" w:hAnsi="Times New Roman" w:cs="Times New Roman"/>
        </w:rPr>
        <w:t xml:space="preserve">(AFLDB). Currently, </w:t>
      </w:r>
      <w:r w:rsidR="006B7FE3">
        <w:rPr>
          <w:rFonts w:ascii="Times New Roman" w:hAnsi="Times New Roman" w:cs="Times New Roman"/>
        </w:rPr>
        <w:t>in the absence</w:t>
      </w:r>
      <w:r w:rsidR="000F42F5" w:rsidRPr="00110602">
        <w:rPr>
          <w:rFonts w:ascii="Times New Roman" w:hAnsi="Times New Roman" w:cs="Times New Roman"/>
        </w:rPr>
        <w:t xml:space="preserve"> of a Court-Martial</w:t>
      </w:r>
      <w:r w:rsidR="006B7FE3">
        <w:rPr>
          <w:rFonts w:ascii="Times New Roman" w:hAnsi="Times New Roman" w:cs="Times New Roman"/>
        </w:rPr>
        <w:t>`</w:t>
      </w:r>
      <w:r w:rsidR="000F42F5" w:rsidRPr="00110602">
        <w:rPr>
          <w:rFonts w:ascii="Times New Roman" w:hAnsi="Times New Roman" w:cs="Times New Roman"/>
        </w:rPr>
        <w:t xml:space="preserve">, </w:t>
      </w:r>
      <w:r w:rsidR="00474DB8" w:rsidRPr="00110602">
        <w:rPr>
          <w:rFonts w:ascii="Times New Roman" w:hAnsi="Times New Roman" w:cs="Times New Roman"/>
        </w:rPr>
        <w:t>t</w:t>
      </w:r>
      <w:r w:rsidRPr="00110602">
        <w:rPr>
          <w:rFonts w:ascii="Times New Roman" w:hAnsi="Times New Roman" w:cs="Times New Roman"/>
        </w:rPr>
        <w:t>he AFLDB is the highest form of Justice System in the AFL</w:t>
      </w:r>
      <w:r w:rsidR="00474DB8" w:rsidRPr="00110602">
        <w:rPr>
          <w:rFonts w:ascii="Times New Roman" w:hAnsi="Times New Roman" w:cs="Times New Roman"/>
        </w:rPr>
        <w:t>. The five personnel</w:t>
      </w:r>
      <w:r w:rsidRPr="00110602">
        <w:rPr>
          <w:rFonts w:ascii="Times New Roman" w:hAnsi="Times New Roman" w:cs="Times New Roman"/>
        </w:rPr>
        <w:t xml:space="preserve"> appeared before the board with their legal </w:t>
      </w:r>
      <w:r w:rsidR="00474DB8" w:rsidRPr="00110602">
        <w:rPr>
          <w:rFonts w:ascii="Times New Roman" w:hAnsi="Times New Roman" w:cs="Times New Roman"/>
        </w:rPr>
        <w:t>representatives</w:t>
      </w:r>
      <w:r w:rsidRPr="00110602">
        <w:rPr>
          <w:rFonts w:ascii="Times New Roman" w:hAnsi="Times New Roman" w:cs="Times New Roman"/>
        </w:rPr>
        <w:t xml:space="preserve"> and were found guilty of the charges and </w:t>
      </w:r>
      <w:r w:rsidR="00474DB8" w:rsidRPr="00110602">
        <w:rPr>
          <w:rFonts w:ascii="Times New Roman" w:hAnsi="Times New Roman" w:cs="Times New Roman"/>
        </w:rPr>
        <w:t>sentences</w:t>
      </w:r>
      <w:r w:rsidRPr="00110602">
        <w:rPr>
          <w:rFonts w:ascii="Times New Roman" w:hAnsi="Times New Roman" w:cs="Times New Roman"/>
        </w:rPr>
        <w:t xml:space="preserve"> were imposed ranging from detention </w:t>
      </w:r>
      <w:r w:rsidR="00474DB8" w:rsidRPr="00110602">
        <w:rPr>
          <w:rFonts w:ascii="Times New Roman" w:hAnsi="Times New Roman" w:cs="Times New Roman"/>
        </w:rPr>
        <w:t>to loss of pay.</w:t>
      </w:r>
    </w:p>
    <w:p w14:paraId="0C4393A1" w14:textId="77777777" w:rsidR="00474DB8" w:rsidRPr="00110602" w:rsidRDefault="00474DB8" w:rsidP="00B360E1">
      <w:pPr>
        <w:pStyle w:val="ListParagraph"/>
        <w:spacing w:after="200" w:line="276" w:lineRule="auto"/>
        <w:ind w:left="1440"/>
        <w:jc w:val="both"/>
        <w:rPr>
          <w:rFonts w:ascii="Times New Roman" w:hAnsi="Times New Roman" w:cs="Times New Roman"/>
        </w:rPr>
      </w:pPr>
    </w:p>
    <w:p w14:paraId="60C94EC5" w14:textId="46118F63" w:rsidR="00474DB8" w:rsidRPr="00110602" w:rsidRDefault="00D10781" w:rsidP="00B360E1">
      <w:pPr>
        <w:pStyle w:val="ListParagraph"/>
        <w:numPr>
          <w:ilvl w:val="0"/>
          <w:numId w:val="3"/>
        </w:numPr>
        <w:spacing w:after="200" w:line="276" w:lineRule="auto"/>
        <w:jc w:val="both"/>
        <w:rPr>
          <w:rFonts w:ascii="Times New Roman" w:hAnsi="Times New Roman" w:cs="Times New Roman"/>
        </w:rPr>
      </w:pPr>
      <w:r w:rsidRPr="00110602">
        <w:rPr>
          <w:rFonts w:ascii="Times New Roman" w:hAnsi="Times New Roman" w:cs="Times New Roman"/>
        </w:rPr>
        <w:t xml:space="preserve">The AFL has </w:t>
      </w:r>
      <w:r w:rsidR="00474DB8" w:rsidRPr="00110602">
        <w:rPr>
          <w:rFonts w:ascii="Times New Roman" w:hAnsi="Times New Roman" w:cs="Times New Roman"/>
        </w:rPr>
        <w:t xml:space="preserve">subsequently </w:t>
      </w:r>
      <w:r w:rsidRPr="00110602">
        <w:rPr>
          <w:rFonts w:ascii="Times New Roman" w:hAnsi="Times New Roman" w:cs="Times New Roman"/>
        </w:rPr>
        <w:t xml:space="preserve">put the following corrective measures </w:t>
      </w:r>
      <w:r w:rsidR="00474DB8" w:rsidRPr="00110602">
        <w:rPr>
          <w:rFonts w:ascii="Times New Roman" w:hAnsi="Times New Roman" w:cs="Times New Roman"/>
        </w:rPr>
        <w:t xml:space="preserve">in place </w:t>
      </w:r>
      <w:r w:rsidRPr="00110602">
        <w:rPr>
          <w:rFonts w:ascii="Times New Roman" w:hAnsi="Times New Roman" w:cs="Times New Roman"/>
        </w:rPr>
        <w:t>to prevent future incidents:</w:t>
      </w:r>
    </w:p>
    <w:p w14:paraId="21266DE3" w14:textId="656C4926" w:rsidR="00D10781" w:rsidRPr="00110602" w:rsidRDefault="00D10781" w:rsidP="00B360E1">
      <w:pPr>
        <w:pStyle w:val="ListParagraph"/>
        <w:numPr>
          <w:ilvl w:val="0"/>
          <w:numId w:val="4"/>
        </w:numPr>
        <w:spacing w:after="200" w:line="276" w:lineRule="auto"/>
        <w:jc w:val="both"/>
        <w:rPr>
          <w:rFonts w:ascii="Times New Roman" w:hAnsi="Times New Roman" w:cs="Times New Roman"/>
        </w:rPr>
      </w:pPr>
      <w:r w:rsidRPr="00110602">
        <w:rPr>
          <w:rFonts w:ascii="Times New Roman" w:hAnsi="Times New Roman" w:cs="Times New Roman"/>
        </w:rPr>
        <w:t>Consistently conducting training for units under command on</w:t>
      </w:r>
      <w:r w:rsidR="00474DB8" w:rsidRPr="00110602">
        <w:rPr>
          <w:rFonts w:ascii="Times New Roman" w:hAnsi="Times New Roman" w:cs="Times New Roman"/>
        </w:rPr>
        <w:t xml:space="preserve"> t</w:t>
      </w:r>
      <w:r w:rsidRPr="00110602">
        <w:rPr>
          <w:rFonts w:ascii="Times New Roman" w:hAnsi="Times New Roman" w:cs="Times New Roman"/>
        </w:rPr>
        <w:t>he Law of Armed Conflict (IHL/LOAC)</w:t>
      </w:r>
    </w:p>
    <w:p w14:paraId="408DE152" w14:textId="4FB6039C" w:rsidR="00474DB8" w:rsidRPr="00110602" w:rsidRDefault="00474DB8" w:rsidP="00B360E1">
      <w:pPr>
        <w:pStyle w:val="ListParagraph"/>
        <w:numPr>
          <w:ilvl w:val="0"/>
          <w:numId w:val="4"/>
        </w:numPr>
        <w:spacing w:after="200" w:line="276" w:lineRule="auto"/>
        <w:jc w:val="both"/>
        <w:rPr>
          <w:rFonts w:ascii="Times New Roman" w:hAnsi="Times New Roman" w:cs="Times New Roman"/>
        </w:rPr>
      </w:pPr>
      <w:r w:rsidRPr="00110602">
        <w:rPr>
          <w:rFonts w:ascii="Times New Roman" w:hAnsi="Times New Roman" w:cs="Times New Roman"/>
        </w:rPr>
        <w:t xml:space="preserve">Holds </w:t>
      </w:r>
      <w:r w:rsidR="00D10781" w:rsidRPr="00110602">
        <w:rPr>
          <w:rFonts w:ascii="Times New Roman" w:hAnsi="Times New Roman" w:cs="Times New Roman"/>
        </w:rPr>
        <w:t>monthly coord</w:t>
      </w:r>
      <w:r w:rsidRPr="00110602">
        <w:rPr>
          <w:rFonts w:ascii="Times New Roman" w:hAnsi="Times New Roman" w:cs="Times New Roman"/>
        </w:rPr>
        <w:t xml:space="preserve">ination meeting with the LNP to ensure proper coordination and </w:t>
      </w:r>
      <w:r w:rsidR="00D10781" w:rsidRPr="00110602">
        <w:rPr>
          <w:rFonts w:ascii="Times New Roman" w:hAnsi="Times New Roman" w:cs="Times New Roman"/>
        </w:rPr>
        <w:t>information sharing.</w:t>
      </w:r>
    </w:p>
    <w:p w14:paraId="5113F503" w14:textId="77777777" w:rsidR="00474DB8" w:rsidRPr="00110602" w:rsidRDefault="00474DB8" w:rsidP="00B360E1">
      <w:pPr>
        <w:pStyle w:val="ListParagraph"/>
        <w:numPr>
          <w:ilvl w:val="0"/>
          <w:numId w:val="4"/>
        </w:numPr>
        <w:spacing w:after="200" w:line="276" w:lineRule="auto"/>
        <w:jc w:val="both"/>
        <w:rPr>
          <w:rFonts w:ascii="Times New Roman" w:hAnsi="Times New Roman" w:cs="Times New Roman"/>
        </w:rPr>
      </w:pPr>
      <w:r w:rsidRPr="00110602">
        <w:rPr>
          <w:rFonts w:ascii="Times New Roman" w:hAnsi="Times New Roman" w:cs="Times New Roman"/>
        </w:rPr>
        <w:t>Established</w:t>
      </w:r>
      <w:r w:rsidR="00D10781" w:rsidRPr="00110602">
        <w:rPr>
          <w:rFonts w:ascii="Times New Roman" w:hAnsi="Times New Roman" w:cs="Times New Roman"/>
        </w:rPr>
        <w:t xml:space="preserve"> Liaison with the LNP.</w:t>
      </w:r>
    </w:p>
    <w:p w14:paraId="7FBE234F" w14:textId="6A98E3B7" w:rsidR="00474DB8" w:rsidRPr="00110602" w:rsidRDefault="00D10781" w:rsidP="00B360E1">
      <w:pPr>
        <w:pStyle w:val="ListParagraph"/>
        <w:numPr>
          <w:ilvl w:val="0"/>
          <w:numId w:val="4"/>
        </w:numPr>
        <w:spacing w:after="200" w:line="276" w:lineRule="auto"/>
        <w:jc w:val="both"/>
        <w:rPr>
          <w:rFonts w:ascii="Times New Roman" w:hAnsi="Times New Roman" w:cs="Times New Roman"/>
        </w:rPr>
      </w:pPr>
      <w:r w:rsidRPr="00110602">
        <w:rPr>
          <w:rFonts w:ascii="Times New Roman" w:hAnsi="Times New Roman" w:cs="Times New Roman"/>
        </w:rPr>
        <w:t>Ensure that Rules of Engagement and Code of Conduct is</w:t>
      </w:r>
      <w:r w:rsidR="00474DB8" w:rsidRPr="00110602">
        <w:rPr>
          <w:rFonts w:ascii="Times New Roman" w:hAnsi="Times New Roman" w:cs="Times New Roman"/>
        </w:rPr>
        <w:t xml:space="preserve"> </w:t>
      </w:r>
      <w:r w:rsidRPr="00110602">
        <w:rPr>
          <w:rFonts w:ascii="Times New Roman" w:hAnsi="Times New Roman" w:cs="Times New Roman"/>
        </w:rPr>
        <w:t xml:space="preserve">issued </w:t>
      </w:r>
      <w:r w:rsidR="00474DB8" w:rsidRPr="00110602">
        <w:rPr>
          <w:rFonts w:ascii="Times New Roman" w:hAnsi="Times New Roman" w:cs="Times New Roman"/>
        </w:rPr>
        <w:t xml:space="preserve">to </w:t>
      </w:r>
      <w:r w:rsidRPr="00110602">
        <w:rPr>
          <w:rFonts w:ascii="Times New Roman" w:hAnsi="Times New Roman" w:cs="Times New Roman"/>
        </w:rPr>
        <w:t xml:space="preserve"> all personnel deploy for operation</w:t>
      </w:r>
      <w:r w:rsidR="00474DB8" w:rsidRPr="00110602">
        <w:rPr>
          <w:rFonts w:ascii="Times New Roman" w:hAnsi="Times New Roman" w:cs="Times New Roman"/>
        </w:rPr>
        <w:t xml:space="preserve"> and training provided</w:t>
      </w:r>
      <w:r w:rsidRPr="00110602">
        <w:rPr>
          <w:rFonts w:ascii="Times New Roman" w:hAnsi="Times New Roman" w:cs="Times New Roman"/>
        </w:rPr>
        <w:t>.</w:t>
      </w:r>
    </w:p>
    <w:p w14:paraId="5E38B5D6" w14:textId="198747A6" w:rsidR="00474DB8" w:rsidRPr="00110602" w:rsidRDefault="00D10781" w:rsidP="00B360E1">
      <w:pPr>
        <w:pStyle w:val="ListParagraph"/>
        <w:numPr>
          <w:ilvl w:val="0"/>
          <w:numId w:val="4"/>
        </w:numPr>
        <w:spacing w:after="200" w:line="276" w:lineRule="auto"/>
        <w:jc w:val="both"/>
        <w:rPr>
          <w:rFonts w:ascii="Times New Roman" w:hAnsi="Times New Roman" w:cs="Times New Roman"/>
        </w:rPr>
      </w:pPr>
      <w:r w:rsidRPr="00110602">
        <w:rPr>
          <w:rFonts w:ascii="Times New Roman" w:hAnsi="Times New Roman" w:cs="Times New Roman"/>
        </w:rPr>
        <w:t>Conduct joint training with all</w:t>
      </w:r>
      <w:r w:rsidR="00F4188E">
        <w:rPr>
          <w:rFonts w:ascii="Times New Roman" w:hAnsi="Times New Roman" w:cs="Times New Roman"/>
        </w:rPr>
        <w:t xml:space="preserve"> security agencies.</w:t>
      </w:r>
    </w:p>
    <w:p w14:paraId="44EA2B95" w14:textId="77777777" w:rsidR="00D10781" w:rsidRPr="00110602" w:rsidRDefault="00D10781" w:rsidP="00B360E1">
      <w:pPr>
        <w:pStyle w:val="ListParagraph"/>
        <w:jc w:val="both"/>
        <w:rPr>
          <w:rFonts w:ascii="Times New Roman" w:hAnsi="Times New Roman" w:cs="Times New Roman"/>
        </w:rPr>
      </w:pPr>
    </w:p>
    <w:p w14:paraId="73D4FE06" w14:textId="512649BF" w:rsidR="00DF35FE" w:rsidRDefault="001228DA" w:rsidP="00B360E1">
      <w:pPr>
        <w:pStyle w:val="ListParagraph"/>
        <w:numPr>
          <w:ilvl w:val="0"/>
          <w:numId w:val="3"/>
        </w:numPr>
        <w:spacing w:after="200" w:line="276" w:lineRule="auto"/>
        <w:jc w:val="both"/>
        <w:rPr>
          <w:rFonts w:ascii="Times New Roman" w:hAnsi="Times New Roman" w:cs="Times New Roman"/>
        </w:rPr>
      </w:pPr>
      <w:r w:rsidRPr="00110602">
        <w:rPr>
          <w:rFonts w:ascii="Times New Roman" w:hAnsi="Times New Roman" w:cs="Times New Roman"/>
        </w:rPr>
        <w:t>The New National Defense Act of 2008</w:t>
      </w:r>
      <w:r w:rsidR="003152A3" w:rsidRPr="00110602">
        <w:rPr>
          <w:rFonts w:ascii="Times New Roman" w:hAnsi="Times New Roman" w:cs="Times New Roman"/>
        </w:rPr>
        <w:t xml:space="preserve"> specifically provides for the protection of human rights.</w:t>
      </w:r>
      <w:r w:rsidR="003152A3" w:rsidRPr="00110602">
        <w:rPr>
          <w:rStyle w:val="FootnoteReference"/>
          <w:rFonts w:ascii="Times New Roman" w:hAnsi="Times New Roman" w:cs="Times New Roman"/>
        </w:rPr>
        <w:footnoteReference w:id="5"/>
      </w:r>
      <w:r w:rsidR="003152A3" w:rsidRPr="00110602">
        <w:rPr>
          <w:rFonts w:ascii="Times New Roman" w:hAnsi="Times New Roman" w:cs="Times New Roman"/>
        </w:rPr>
        <w:t xml:space="preserve">  </w:t>
      </w:r>
      <w:r w:rsidR="00D10781" w:rsidRPr="00110602">
        <w:rPr>
          <w:rFonts w:ascii="Times New Roman" w:hAnsi="Times New Roman" w:cs="Times New Roman"/>
        </w:rPr>
        <w:t xml:space="preserve">The Armed Forces of Liberia </w:t>
      </w:r>
      <w:r w:rsidRPr="00110602">
        <w:rPr>
          <w:rFonts w:ascii="Times New Roman" w:hAnsi="Times New Roman" w:cs="Times New Roman"/>
        </w:rPr>
        <w:t>operationalized Section 8.5 of the Act</w:t>
      </w:r>
      <w:r w:rsidRPr="00110602">
        <w:rPr>
          <w:rStyle w:val="FootnoteReference"/>
          <w:rFonts w:ascii="Times New Roman" w:hAnsi="Times New Roman" w:cs="Times New Roman"/>
        </w:rPr>
        <w:footnoteReference w:id="6"/>
      </w:r>
      <w:r w:rsidRPr="00110602">
        <w:rPr>
          <w:rFonts w:ascii="Times New Roman" w:hAnsi="Times New Roman" w:cs="Times New Roman"/>
        </w:rPr>
        <w:t xml:space="preserve"> and </w:t>
      </w:r>
      <w:r w:rsidR="00D10781" w:rsidRPr="00110602">
        <w:rPr>
          <w:rFonts w:ascii="Times New Roman" w:hAnsi="Times New Roman" w:cs="Times New Roman"/>
        </w:rPr>
        <w:t>has established Human Right</w:t>
      </w:r>
      <w:r w:rsidR="00474DB8" w:rsidRPr="00110602">
        <w:rPr>
          <w:rFonts w:ascii="Times New Roman" w:hAnsi="Times New Roman" w:cs="Times New Roman"/>
        </w:rPr>
        <w:t xml:space="preserve"> Section</w:t>
      </w:r>
      <w:r w:rsidR="00D10781" w:rsidRPr="00110602">
        <w:rPr>
          <w:rFonts w:ascii="Times New Roman" w:hAnsi="Times New Roman" w:cs="Times New Roman"/>
        </w:rPr>
        <w:t xml:space="preserve"> that was sponsored by UNMIL. Part of its function is to report on human right </w:t>
      </w:r>
      <w:r w:rsidR="00D10781" w:rsidRPr="00110602">
        <w:rPr>
          <w:rFonts w:ascii="Times New Roman" w:hAnsi="Times New Roman" w:cs="Times New Roman"/>
        </w:rPr>
        <w:lastRenderedPageBreak/>
        <w:t xml:space="preserve">violations across the various units. There are check-lists </w:t>
      </w:r>
      <w:r w:rsidR="00474DB8" w:rsidRPr="00110602">
        <w:rPr>
          <w:rFonts w:ascii="Times New Roman" w:hAnsi="Times New Roman" w:cs="Times New Roman"/>
        </w:rPr>
        <w:t>that have been developed to assist Officers to identify human right violations.  The Human Rights Section reports to the O</w:t>
      </w:r>
      <w:r w:rsidR="00D10781" w:rsidRPr="00110602">
        <w:rPr>
          <w:rFonts w:ascii="Times New Roman" w:hAnsi="Times New Roman" w:cs="Times New Roman"/>
        </w:rPr>
        <w:t xml:space="preserve">ffice of the Judge Advocate General. </w:t>
      </w:r>
      <w:r w:rsidR="00474DB8" w:rsidRPr="00110602">
        <w:rPr>
          <w:rFonts w:ascii="Times New Roman" w:hAnsi="Times New Roman" w:cs="Times New Roman"/>
        </w:rPr>
        <w:t>AFL personnel have been</w:t>
      </w:r>
      <w:r w:rsidR="00D10781" w:rsidRPr="00110602">
        <w:rPr>
          <w:rFonts w:ascii="Times New Roman" w:hAnsi="Times New Roman" w:cs="Times New Roman"/>
        </w:rPr>
        <w:t xml:space="preserve"> trained in human right reporting. As part of their duties</w:t>
      </w:r>
      <w:r w:rsidR="00474DB8" w:rsidRPr="00110602">
        <w:rPr>
          <w:rFonts w:ascii="Times New Roman" w:hAnsi="Times New Roman" w:cs="Times New Roman"/>
        </w:rPr>
        <w:t>,</w:t>
      </w:r>
      <w:r w:rsidR="00D10781" w:rsidRPr="00110602">
        <w:rPr>
          <w:rFonts w:ascii="Times New Roman" w:hAnsi="Times New Roman" w:cs="Times New Roman"/>
        </w:rPr>
        <w:t xml:space="preserve"> </w:t>
      </w:r>
      <w:r w:rsidR="00474DB8" w:rsidRPr="00110602">
        <w:rPr>
          <w:rFonts w:ascii="Times New Roman" w:hAnsi="Times New Roman" w:cs="Times New Roman"/>
        </w:rPr>
        <w:t>the AFL personnel</w:t>
      </w:r>
      <w:r w:rsidR="00D10781" w:rsidRPr="00110602">
        <w:rPr>
          <w:rFonts w:ascii="Times New Roman" w:hAnsi="Times New Roman" w:cs="Times New Roman"/>
        </w:rPr>
        <w:t xml:space="preserve"> also conduct training in various units in accordance with</w:t>
      </w:r>
      <w:r w:rsidR="00474DB8" w:rsidRPr="00110602">
        <w:rPr>
          <w:rFonts w:ascii="Times New Roman" w:hAnsi="Times New Roman" w:cs="Times New Roman"/>
        </w:rPr>
        <w:t xml:space="preserve"> Annual Training Program (ATP) </w:t>
      </w:r>
      <w:r w:rsidR="00D10781" w:rsidRPr="00110602">
        <w:rPr>
          <w:rFonts w:ascii="Times New Roman" w:hAnsi="Times New Roman" w:cs="Times New Roman"/>
        </w:rPr>
        <w:t>and when AFL unit is being prepar</w:t>
      </w:r>
      <w:r w:rsidR="00A07262">
        <w:rPr>
          <w:rFonts w:ascii="Times New Roman" w:hAnsi="Times New Roman" w:cs="Times New Roman"/>
        </w:rPr>
        <w:t>ed for deployment</w:t>
      </w:r>
      <w:r w:rsidR="00D10781" w:rsidRPr="00110602">
        <w:rPr>
          <w:rFonts w:ascii="Times New Roman" w:hAnsi="Times New Roman" w:cs="Times New Roman"/>
        </w:rPr>
        <w:t>.</w:t>
      </w:r>
      <w:r w:rsidR="009A3020" w:rsidRPr="00110602">
        <w:rPr>
          <w:rFonts w:ascii="Times New Roman" w:hAnsi="Times New Roman" w:cs="Times New Roman"/>
        </w:rPr>
        <w:t xml:space="preserve"> The INCHR also conducted an investigation</w:t>
      </w:r>
      <w:r w:rsidR="009A3020" w:rsidRPr="00110602">
        <w:rPr>
          <w:rStyle w:val="FootnoteReference"/>
          <w:rFonts w:ascii="Times New Roman" w:hAnsi="Times New Roman" w:cs="Times New Roman"/>
        </w:rPr>
        <w:footnoteReference w:id="7"/>
      </w:r>
      <w:r w:rsidR="009A3020" w:rsidRPr="00110602">
        <w:rPr>
          <w:rFonts w:ascii="Times New Roman" w:hAnsi="Times New Roman" w:cs="Times New Roman"/>
        </w:rPr>
        <w:t xml:space="preserve"> into the quarantine of West point, a</w:t>
      </w:r>
      <w:r w:rsidR="00810ECD" w:rsidRPr="00110602">
        <w:rPr>
          <w:rFonts w:ascii="Times New Roman" w:hAnsi="Times New Roman" w:cs="Times New Roman"/>
        </w:rPr>
        <w:t xml:space="preserve"> slum community o</w:t>
      </w:r>
      <w:r w:rsidR="009A3020" w:rsidRPr="00110602">
        <w:rPr>
          <w:rFonts w:ascii="Times New Roman" w:hAnsi="Times New Roman" w:cs="Times New Roman"/>
        </w:rPr>
        <w:t xml:space="preserve">n the </w:t>
      </w:r>
      <w:r w:rsidR="00810ECD" w:rsidRPr="00110602">
        <w:rPr>
          <w:rFonts w:ascii="Times New Roman" w:hAnsi="Times New Roman" w:cs="Times New Roman"/>
        </w:rPr>
        <w:t xml:space="preserve">outskirt of Monrovia, which culminated to the </w:t>
      </w:r>
      <w:r w:rsidR="00413CBD" w:rsidRPr="00110602">
        <w:rPr>
          <w:rFonts w:ascii="Times New Roman" w:hAnsi="Times New Roman" w:cs="Times New Roman"/>
        </w:rPr>
        <w:t>shooting that left one person dead</w:t>
      </w:r>
      <w:r w:rsidR="00810ECD" w:rsidRPr="00110602">
        <w:rPr>
          <w:rFonts w:ascii="Times New Roman" w:hAnsi="Times New Roman" w:cs="Times New Roman"/>
        </w:rPr>
        <w:t xml:space="preserve"> and</w:t>
      </w:r>
      <w:r w:rsidR="00413CBD" w:rsidRPr="00110602">
        <w:rPr>
          <w:rFonts w:ascii="Times New Roman" w:hAnsi="Times New Roman" w:cs="Times New Roman"/>
        </w:rPr>
        <w:t xml:space="preserve"> another person seriously wounded on August 20, 2014. The Commission conducted an independent investigation into the complaint and came up with their findings which implicated members of t</w:t>
      </w:r>
      <w:r w:rsidR="00A5559A" w:rsidRPr="00110602">
        <w:rPr>
          <w:rFonts w:ascii="Times New Roman" w:hAnsi="Times New Roman" w:cs="Times New Roman"/>
        </w:rPr>
        <w:t xml:space="preserve">he Armed forces in the shooting. The report recommended </w:t>
      </w:r>
      <w:r w:rsidR="00557DBE" w:rsidRPr="00110602">
        <w:rPr>
          <w:rFonts w:ascii="Times New Roman" w:hAnsi="Times New Roman" w:cs="Times New Roman"/>
        </w:rPr>
        <w:t xml:space="preserve">amongst others </w:t>
      </w:r>
      <w:r w:rsidR="00A5559A" w:rsidRPr="00110602">
        <w:rPr>
          <w:rFonts w:ascii="Times New Roman" w:hAnsi="Times New Roman" w:cs="Times New Roman"/>
        </w:rPr>
        <w:t xml:space="preserve">that those found culpable should be </w:t>
      </w:r>
      <w:r w:rsidR="00E32EF2" w:rsidRPr="00110602">
        <w:rPr>
          <w:rFonts w:ascii="Times New Roman" w:hAnsi="Times New Roman" w:cs="Times New Roman"/>
        </w:rPr>
        <w:t>prosecuted</w:t>
      </w:r>
      <w:r w:rsidR="00A5559A" w:rsidRPr="00110602">
        <w:rPr>
          <w:rFonts w:ascii="Times New Roman" w:hAnsi="Times New Roman" w:cs="Times New Roman"/>
        </w:rPr>
        <w:t xml:space="preserve"> and penalized in line with the law</w:t>
      </w:r>
      <w:r w:rsidR="00DF35FE">
        <w:rPr>
          <w:rFonts w:ascii="Times New Roman" w:hAnsi="Times New Roman" w:cs="Times New Roman"/>
        </w:rPr>
        <w:t>.</w:t>
      </w:r>
      <w:r w:rsidR="00810ECD" w:rsidRPr="00110602">
        <w:rPr>
          <w:rFonts w:ascii="Times New Roman" w:hAnsi="Times New Roman" w:cs="Times New Roman"/>
        </w:rPr>
        <w:t xml:space="preserve"> </w:t>
      </w:r>
      <w:r w:rsidR="00557DBE" w:rsidRPr="00110602">
        <w:rPr>
          <w:rFonts w:ascii="Times New Roman" w:hAnsi="Times New Roman" w:cs="Times New Roman"/>
        </w:rPr>
        <w:t>The</w:t>
      </w:r>
      <w:r w:rsidR="00DE66EE" w:rsidRPr="00110602">
        <w:rPr>
          <w:rFonts w:ascii="Times New Roman" w:hAnsi="Times New Roman" w:cs="Times New Roman"/>
        </w:rPr>
        <w:t xml:space="preserve"> recommendation </w:t>
      </w:r>
      <w:r w:rsidR="00557DBE" w:rsidRPr="00110602">
        <w:rPr>
          <w:rFonts w:ascii="Times New Roman" w:hAnsi="Times New Roman" w:cs="Times New Roman"/>
        </w:rPr>
        <w:t>was implemented</w:t>
      </w:r>
      <w:r w:rsidR="00A60567" w:rsidRPr="00110602">
        <w:rPr>
          <w:rFonts w:ascii="Times New Roman" w:hAnsi="Times New Roman" w:cs="Times New Roman"/>
        </w:rPr>
        <w:t xml:space="preserve"> by the Government of Liberia.</w:t>
      </w:r>
    </w:p>
    <w:p w14:paraId="420E5A18" w14:textId="314751C8" w:rsidR="00D10781" w:rsidRPr="00110602" w:rsidRDefault="00D10781" w:rsidP="00DF35FE">
      <w:pPr>
        <w:pStyle w:val="ListParagraph"/>
        <w:spacing w:after="200" w:line="276" w:lineRule="auto"/>
        <w:ind w:left="1440"/>
        <w:jc w:val="both"/>
        <w:rPr>
          <w:rFonts w:ascii="Times New Roman" w:hAnsi="Times New Roman" w:cs="Times New Roman"/>
        </w:rPr>
      </w:pPr>
    </w:p>
    <w:p w14:paraId="6B0949F7" w14:textId="161605F5" w:rsidR="00D10781" w:rsidRPr="00110602" w:rsidRDefault="00474DB8" w:rsidP="00090269">
      <w:pPr>
        <w:pStyle w:val="ListParagraph"/>
        <w:numPr>
          <w:ilvl w:val="0"/>
          <w:numId w:val="3"/>
        </w:numPr>
        <w:spacing w:after="200" w:line="276" w:lineRule="auto"/>
        <w:jc w:val="both"/>
        <w:rPr>
          <w:rFonts w:ascii="Times New Roman" w:hAnsi="Times New Roman" w:cs="Times New Roman"/>
        </w:rPr>
      </w:pPr>
      <w:r w:rsidRPr="00110602">
        <w:rPr>
          <w:rFonts w:ascii="Times New Roman" w:hAnsi="Times New Roman" w:cs="Times New Roman"/>
        </w:rPr>
        <w:t xml:space="preserve">The INHCR and the AFL need additional technical </w:t>
      </w:r>
      <w:r w:rsidR="00A07262">
        <w:rPr>
          <w:rFonts w:ascii="Times New Roman" w:hAnsi="Times New Roman" w:cs="Times New Roman"/>
        </w:rPr>
        <w:t>support</w:t>
      </w:r>
      <w:r w:rsidRPr="00110602">
        <w:rPr>
          <w:rFonts w:ascii="Times New Roman" w:hAnsi="Times New Roman" w:cs="Times New Roman"/>
        </w:rPr>
        <w:t xml:space="preserve"> to i</w:t>
      </w:r>
      <w:r w:rsidR="006826E3" w:rsidRPr="00110602">
        <w:rPr>
          <w:rFonts w:ascii="Times New Roman" w:hAnsi="Times New Roman" w:cs="Times New Roman"/>
        </w:rPr>
        <w:t xml:space="preserve">mprove capacity related to the implementation of the Covenant.  The INHCR requires technical assistance to develop systems for investigating human rights abuses and protection of such rights.  The AFL requires additional support for the Human Rights Section to continue its efforts  as UNMIL has left Liberia.  </w:t>
      </w:r>
    </w:p>
    <w:p w14:paraId="5BCC0F17" w14:textId="77777777" w:rsidR="00B7651D" w:rsidRDefault="00B7651D" w:rsidP="00B7651D">
      <w:pPr>
        <w:pStyle w:val="ListParagraph"/>
        <w:ind w:left="360"/>
        <w:jc w:val="both"/>
        <w:rPr>
          <w:rFonts w:ascii="Times New Roman" w:hAnsi="Times New Roman" w:cs="Times New Roman"/>
        </w:rPr>
      </w:pPr>
    </w:p>
    <w:p w14:paraId="0109135C" w14:textId="77777777" w:rsidR="00233F26" w:rsidRPr="00110602" w:rsidRDefault="00233F26" w:rsidP="00B360E1">
      <w:pPr>
        <w:pStyle w:val="ListParagraph"/>
        <w:numPr>
          <w:ilvl w:val="0"/>
          <w:numId w:val="2"/>
        </w:numPr>
        <w:jc w:val="both"/>
        <w:rPr>
          <w:rFonts w:ascii="Times New Roman" w:hAnsi="Times New Roman" w:cs="Times New Roman"/>
        </w:rPr>
      </w:pPr>
      <w:r w:rsidRPr="00110602">
        <w:rPr>
          <w:rFonts w:ascii="Times New Roman" w:hAnsi="Times New Roman" w:cs="Times New Roman"/>
        </w:rPr>
        <w:t xml:space="preserve">The Penal Law of Liberia Section 14.54 (Terrorism) states that a person has committed a felony of the first degree, a capital offense, if he unlawfully, deliberately or intentionally attempts to discharge, or discharges fire-arm, grenades, bombs, time-bombs, missiles, explosives or other lethal devices which are likely to cause bodily injury, or place such person or group of persons in a building, outdoors or in an open space, or in a vehicle, whether or not such explosive causes bodily injury or death to another.  </w:t>
      </w:r>
    </w:p>
    <w:p w14:paraId="10DEF16E" w14:textId="77777777" w:rsidR="00233F26" w:rsidRPr="00110602" w:rsidRDefault="00233F26" w:rsidP="00B360E1">
      <w:pPr>
        <w:pStyle w:val="ListParagraph"/>
        <w:ind w:left="360"/>
        <w:jc w:val="both"/>
        <w:rPr>
          <w:rFonts w:ascii="Times New Roman" w:hAnsi="Times New Roman" w:cs="Times New Roman"/>
        </w:rPr>
      </w:pPr>
    </w:p>
    <w:p w14:paraId="53E0D277" w14:textId="5EE4A27A" w:rsidR="00233F26" w:rsidRPr="00110602" w:rsidRDefault="00233F26" w:rsidP="00090269">
      <w:pPr>
        <w:pStyle w:val="ListParagraph"/>
        <w:numPr>
          <w:ilvl w:val="0"/>
          <w:numId w:val="17"/>
        </w:numPr>
        <w:spacing w:after="200" w:line="276" w:lineRule="auto"/>
        <w:jc w:val="both"/>
        <w:rPr>
          <w:rFonts w:ascii="Times New Roman" w:hAnsi="Times New Roman" w:cs="Times New Roman"/>
        </w:rPr>
      </w:pPr>
      <w:r w:rsidRPr="00110602">
        <w:rPr>
          <w:rFonts w:ascii="Times New Roman" w:hAnsi="Times New Roman" w:cs="Times New Roman"/>
        </w:rPr>
        <w:t xml:space="preserve">This definition has two critical elements: 1) the person so convicted must have unlawfully, deliberately or intentionally attempted to discharge or discharged fire-arm, grenades, bombs, time-bombs, missiles, explosives or other lethal devices which are likely to cause bodily injury and 2) whether or not those devices as herein above named cause the intended injury or death. While other jurisdictions may attach purpose for the person or group committing the act such as social, political, religious, ethnic, racial or other reasons as their justification, Section 14.54 of the Penal Law of Liberia does not. Additionally, penalty for convict(s) under Section 14.54 is provided for in Section 15.34 of the same Penal Law and states that such person(s) shall be sentenced to a term of imprisonment for a period of not less than ten (10) calendar years, nor more than fifteen (15) calendar years, where no property or personal injury ensures </w:t>
      </w:r>
      <w:r w:rsidRPr="00110602">
        <w:rPr>
          <w:rFonts w:ascii="Times New Roman" w:hAnsi="Times New Roman" w:cs="Times New Roman"/>
        </w:rPr>
        <w:lastRenderedPageBreak/>
        <w:t>from the act of the offender or offenders. On the other hand, if death ensues, the penalty is death by hang</w:t>
      </w:r>
      <w:r w:rsidR="00A07262">
        <w:rPr>
          <w:rFonts w:ascii="Times New Roman" w:hAnsi="Times New Roman" w:cs="Times New Roman"/>
        </w:rPr>
        <w:t>ing in a public place or life</w:t>
      </w:r>
      <w:r w:rsidRPr="00110602">
        <w:rPr>
          <w:rFonts w:ascii="Times New Roman" w:hAnsi="Times New Roman" w:cs="Times New Roman"/>
        </w:rPr>
        <w:t xml:space="preserve"> imprisonment. However, while death by hanging is still in our Penal Law, it is no longer instituted mainly because; Liberia has signed and ratified the International Covenant on Civil and Political Rights (ICCPR) and acceded to the Second Optional Protocol of the ICCPR.  </w:t>
      </w:r>
    </w:p>
    <w:p w14:paraId="08D4CCAC" w14:textId="77777777" w:rsidR="00233F26" w:rsidRPr="00110602" w:rsidRDefault="00233F26" w:rsidP="00B360E1">
      <w:pPr>
        <w:pStyle w:val="ListParagraph"/>
        <w:ind w:left="360"/>
        <w:jc w:val="both"/>
        <w:rPr>
          <w:rFonts w:ascii="Times New Roman" w:hAnsi="Times New Roman" w:cs="Times New Roman"/>
        </w:rPr>
      </w:pPr>
    </w:p>
    <w:p w14:paraId="4C9C832B" w14:textId="77777777" w:rsidR="00A37930" w:rsidRPr="00110602" w:rsidRDefault="00233F26" w:rsidP="00B360E1">
      <w:pPr>
        <w:pStyle w:val="ListParagraph"/>
        <w:ind w:left="360"/>
        <w:jc w:val="both"/>
        <w:rPr>
          <w:rFonts w:ascii="Times New Roman" w:hAnsi="Times New Roman" w:cs="Times New Roman"/>
        </w:rPr>
      </w:pPr>
      <w:r w:rsidRPr="00110602">
        <w:rPr>
          <w:rFonts w:ascii="Times New Roman" w:hAnsi="Times New Roman" w:cs="Times New Roman"/>
        </w:rPr>
        <w:t>With respect to information regarding cases brought on charges of terrorism and their outcome, there is no record of any as yet for many years now.</w:t>
      </w:r>
    </w:p>
    <w:p w14:paraId="3DC2E737" w14:textId="77777777" w:rsidR="00A37930" w:rsidRPr="00110602" w:rsidRDefault="00A37930" w:rsidP="00B360E1">
      <w:pPr>
        <w:pStyle w:val="ListParagraph"/>
        <w:ind w:left="360"/>
        <w:jc w:val="both"/>
        <w:rPr>
          <w:rFonts w:ascii="Times New Roman" w:hAnsi="Times New Roman" w:cs="Times New Roman"/>
        </w:rPr>
      </w:pPr>
    </w:p>
    <w:p w14:paraId="47801344" w14:textId="57706728" w:rsidR="00A37930" w:rsidRPr="00110602" w:rsidRDefault="00A37930" w:rsidP="00090269">
      <w:pPr>
        <w:pStyle w:val="ListParagraph"/>
        <w:numPr>
          <w:ilvl w:val="0"/>
          <w:numId w:val="17"/>
        </w:numPr>
        <w:spacing w:after="200" w:line="276" w:lineRule="auto"/>
        <w:jc w:val="both"/>
        <w:rPr>
          <w:rFonts w:ascii="Times New Roman" w:hAnsi="Times New Roman" w:cs="Times New Roman"/>
        </w:rPr>
      </w:pPr>
      <w:r w:rsidRPr="00110602">
        <w:rPr>
          <w:rFonts w:ascii="Times New Roman" w:hAnsi="Times New Roman" w:cs="Times New Roman"/>
        </w:rPr>
        <w:t>Concerning legal safeguards in place for persons suspected of, or charged with, committing an act of terrorism or terrorism-related crime, same can be found in Sections 17.9 and 17.10 of the Penal Law, which provides for due process. Additionally, an Act, titled, Anti Money Laundering and Terrorist Financing Act was passed by the Fifty- Third National Legislature of Liberia on April 29, 2013, while another Act, titled, An Act to Establish Procedures for the Distribution of United Nations List of Terrorists and Terrorist Groups was also passed by the same Legislature on April 30, 2013.</w:t>
      </w:r>
      <w:r w:rsidR="000815B8" w:rsidRPr="00110602">
        <w:rPr>
          <w:rFonts w:ascii="Times New Roman" w:hAnsi="Times New Roman" w:cs="Times New Roman"/>
        </w:rPr>
        <w:t xml:space="preserve">  These statutes all provide for due process and conviction only by a court of competent jurisdiction.</w:t>
      </w:r>
    </w:p>
    <w:p w14:paraId="0AA67FE7" w14:textId="4B6E728F"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Non-discrimination (arts. 2, 6, 7, 13, 14, 17, 25 and 26)</w:t>
      </w:r>
    </w:p>
    <w:p w14:paraId="7C14CF32" w14:textId="77777777" w:rsidR="00CA5830" w:rsidRPr="00110602" w:rsidRDefault="00CA5830" w:rsidP="00B360E1">
      <w:pPr>
        <w:jc w:val="both"/>
        <w:rPr>
          <w:rFonts w:ascii="Times New Roman" w:hAnsi="Times New Roman" w:cs="Times New Roman"/>
        </w:rPr>
      </w:pPr>
    </w:p>
    <w:p w14:paraId="0985D6AB" w14:textId="1FAAC579" w:rsidR="006826E3" w:rsidRPr="00110602" w:rsidRDefault="006D167F" w:rsidP="00B360E1">
      <w:pPr>
        <w:pStyle w:val="ListParagraph"/>
        <w:numPr>
          <w:ilvl w:val="0"/>
          <w:numId w:val="2"/>
        </w:numPr>
        <w:jc w:val="both"/>
        <w:rPr>
          <w:rFonts w:ascii="Times New Roman" w:hAnsi="Times New Roman" w:cs="Times New Roman"/>
        </w:rPr>
      </w:pPr>
      <w:r w:rsidRPr="00110602">
        <w:rPr>
          <w:rFonts w:ascii="Times New Roman" w:hAnsi="Times New Roman" w:cs="Times New Roman"/>
        </w:rPr>
        <w:t xml:space="preserve">Liberia has enacted laws that prohibit discrimination in all forms.  Foremost, the Constitution </w:t>
      </w:r>
      <w:r w:rsidR="003152A3" w:rsidRPr="00110602">
        <w:rPr>
          <w:rFonts w:ascii="Times New Roman" w:hAnsi="Times New Roman" w:cs="Times New Roman"/>
        </w:rPr>
        <w:t>of the Republic of Liberia guarantees equal protection of all persons.  To ensure the protections guaranteed by the Constitution, Liberia has enacted many statutes that provide further protections against discrimination</w:t>
      </w:r>
      <w:r w:rsidR="007A6AA2" w:rsidRPr="00110602">
        <w:rPr>
          <w:rFonts w:ascii="Times New Roman" w:hAnsi="Times New Roman" w:cs="Times New Roman"/>
        </w:rPr>
        <w:t xml:space="preserve"> including the Decent Work Act which guarantees equal protection for men and women (Section 2.4) and equal remuneration (Section 2.5); </w:t>
      </w:r>
      <w:r w:rsidR="00E85C1A" w:rsidRPr="00110602">
        <w:rPr>
          <w:rFonts w:ascii="Times New Roman" w:hAnsi="Times New Roman" w:cs="Times New Roman"/>
        </w:rPr>
        <w:t xml:space="preserve">The Elections Law which seeks to ensure an inclusive political process by requiring at least thirty percent 30% representation of women in </w:t>
      </w:r>
      <w:r w:rsidR="00E85C1A" w:rsidRPr="004A5530">
        <w:rPr>
          <w:rFonts w:ascii="Times New Roman" w:hAnsi="Times New Roman" w:cs="Times New Roman"/>
        </w:rPr>
        <w:t xml:space="preserve">political </w:t>
      </w:r>
      <w:r w:rsidR="00D373B0" w:rsidRPr="004A5530">
        <w:rPr>
          <w:rFonts w:ascii="Times New Roman" w:hAnsi="Times New Roman" w:cs="Times New Roman"/>
        </w:rPr>
        <w:t>parties</w:t>
      </w:r>
      <w:r w:rsidR="003152A3" w:rsidRPr="004A5530">
        <w:rPr>
          <w:rFonts w:ascii="Times New Roman" w:hAnsi="Times New Roman" w:cs="Times New Roman"/>
        </w:rPr>
        <w:t>.</w:t>
      </w:r>
      <w:r w:rsidR="0089416D" w:rsidRPr="00110602">
        <w:rPr>
          <w:rFonts w:ascii="Times New Roman" w:hAnsi="Times New Roman" w:cs="Times New Roman"/>
        </w:rPr>
        <w:t xml:space="preserve">  Additionally, Liberia has ratified treaties that protect the rights of the disabled, including the UN Convention on the Rights of Persons with Disabilities.</w:t>
      </w:r>
    </w:p>
    <w:p w14:paraId="4E9D9717" w14:textId="77777777" w:rsidR="003152A3" w:rsidRPr="00110602" w:rsidRDefault="003152A3" w:rsidP="00B360E1">
      <w:pPr>
        <w:pStyle w:val="ListParagraph"/>
        <w:ind w:left="360"/>
        <w:jc w:val="both"/>
        <w:rPr>
          <w:rFonts w:ascii="Times New Roman" w:hAnsi="Times New Roman" w:cs="Times New Roman"/>
        </w:rPr>
      </w:pPr>
    </w:p>
    <w:p w14:paraId="112F71AB" w14:textId="37FD40E1" w:rsidR="003152A3" w:rsidRPr="00110602" w:rsidRDefault="003152A3" w:rsidP="00B360E1">
      <w:pPr>
        <w:pStyle w:val="ListParagraph"/>
        <w:numPr>
          <w:ilvl w:val="1"/>
          <w:numId w:val="2"/>
        </w:numPr>
        <w:jc w:val="both"/>
        <w:rPr>
          <w:rFonts w:ascii="Times New Roman" w:hAnsi="Times New Roman" w:cs="Times New Roman"/>
        </w:rPr>
      </w:pPr>
      <w:r w:rsidRPr="00110602">
        <w:rPr>
          <w:rFonts w:ascii="Times New Roman" w:hAnsi="Times New Roman" w:cs="Times New Roman"/>
        </w:rPr>
        <w:t xml:space="preserve">AN ACT TO AMEND THE PUBLIC HEALTH LAW, TITLE 33, LIBERIAN CODE OF LAWS REVISED (1976). To </w:t>
      </w:r>
      <w:r w:rsidR="00FF37BF" w:rsidRPr="00110602">
        <w:rPr>
          <w:rFonts w:ascii="Times New Roman" w:hAnsi="Times New Roman" w:cs="Times New Roman"/>
        </w:rPr>
        <w:t>create</w:t>
      </w:r>
      <w:r w:rsidRPr="00110602">
        <w:rPr>
          <w:rFonts w:ascii="Times New Roman" w:hAnsi="Times New Roman" w:cs="Times New Roman"/>
        </w:rPr>
        <w:t xml:space="preserve"> a new Chapter 18 providing for the "Control of Human Immunodeficiency Virus (HIV) and Acquired Immunodeficiency Syndrome (AIDS).  </w:t>
      </w:r>
      <w:r w:rsidR="002251A1" w:rsidRPr="00110602">
        <w:rPr>
          <w:rFonts w:ascii="Times New Roman" w:hAnsi="Times New Roman" w:cs="Times New Roman"/>
        </w:rPr>
        <w:t>Section 18.28 of the Act prohibits discrimination i</w:t>
      </w:r>
      <w:r w:rsidR="00501C94" w:rsidRPr="00110602">
        <w:rPr>
          <w:rFonts w:ascii="Times New Roman" w:hAnsi="Times New Roman" w:cs="Times New Roman"/>
        </w:rPr>
        <w:t xml:space="preserve">n the work place, at school, </w:t>
      </w:r>
      <w:r w:rsidR="002251A1" w:rsidRPr="00110602">
        <w:rPr>
          <w:rFonts w:ascii="Times New Roman" w:hAnsi="Times New Roman" w:cs="Times New Roman"/>
        </w:rPr>
        <w:t>public facilities</w:t>
      </w:r>
      <w:r w:rsidR="00501C94" w:rsidRPr="00110602">
        <w:rPr>
          <w:rFonts w:ascii="Times New Roman" w:hAnsi="Times New Roman" w:cs="Times New Roman"/>
        </w:rPr>
        <w:t xml:space="preserve"> and services, and generally protects against discrimination of any person living with HIV or perceived to be living with HIV.  Additionally, Sections 18.23 requires confidentiality of medical records.  Section 18.9 requires the development of national strategies and policies that ensure equality of women and girls, </w:t>
      </w:r>
      <w:r w:rsidR="009E2093" w:rsidRPr="00110602">
        <w:rPr>
          <w:rFonts w:ascii="Times New Roman" w:hAnsi="Times New Roman" w:cs="Times New Roman"/>
        </w:rPr>
        <w:t xml:space="preserve">sexual and reproductive rights </w:t>
      </w:r>
      <w:r w:rsidR="00501C94" w:rsidRPr="00110602">
        <w:rPr>
          <w:rFonts w:ascii="Times New Roman" w:hAnsi="Times New Roman" w:cs="Times New Roman"/>
        </w:rPr>
        <w:t>of women and girls, and strategies for i</w:t>
      </w:r>
      <w:r w:rsidR="00D373B0">
        <w:rPr>
          <w:rFonts w:ascii="Times New Roman" w:hAnsi="Times New Roman" w:cs="Times New Roman"/>
        </w:rPr>
        <w:t xml:space="preserve">ncreasing educational, economic, employment </w:t>
      </w:r>
      <w:r w:rsidR="00501C94" w:rsidRPr="00110602">
        <w:rPr>
          <w:rFonts w:ascii="Times New Roman" w:hAnsi="Times New Roman" w:cs="Times New Roman"/>
        </w:rPr>
        <w:t xml:space="preserve">and leadership opportunities for women. </w:t>
      </w:r>
    </w:p>
    <w:p w14:paraId="1B8199E2" w14:textId="77777777" w:rsidR="003152A3" w:rsidRPr="00110602" w:rsidRDefault="003152A3" w:rsidP="00B360E1">
      <w:pPr>
        <w:pStyle w:val="ListParagraph"/>
        <w:ind w:left="1080"/>
        <w:jc w:val="both"/>
        <w:rPr>
          <w:rFonts w:ascii="Times New Roman" w:hAnsi="Times New Roman" w:cs="Times New Roman"/>
        </w:rPr>
      </w:pPr>
    </w:p>
    <w:p w14:paraId="2D8B2C39" w14:textId="513688B7" w:rsidR="007A6AA2" w:rsidRPr="00110602" w:rsidRDefault="009E2093" w:rsidP="00F711D5">
      <w:pPr>
        <w:pStyle w:val="ListParagraph"/>
        <w:numPr>
          <w:ilvl w:val="1"/>
          <w:numId w:val="2"/>
        </w:numPr>
        <w:jc w:val="both"/>
        <w:rPr>
          <w:rFonts w:ascii="Times New Roman" w:hAnsi="Times New Roman" w:cs="Times New Roman"/>
        </w:rPr>
      </w:pPr>
      <w:r w:rsidRPr="00110602">
        <w:rPr>
          <w:rFonts w:ascii="Times New Roman" w:hAnsi="Times New Roman" w:cs="Times New Roman"/>
        </w:rPr>
        <w:t xml:space="preserve">Liberia </w:t>
      </w:r>
      <w:r w:rsidR="00FF37BF">
        <w:rPr>
          <w:rFonts w:ascii="Times New Roman" w:hAnsi="Times New Roman" w:cs="Times New Roman"/>
        </w:rPr>
        <w:t>also</w:t>
      </w:r>
      <w:r w:rsidRPr="00110602">
        <w:rPr>
          <w:rFonts w:ascii="Times New Roman" w:hAnsi="Times New Roman" w:cs="Times New Roman"/>
        </w:rPr>
        <w:t xml:space="preserve"> enacted the Disabilities Act (2005) which established the National Commission on Disabilities with the mandate to</w:t>
      </w:r>
      <w:r w:rsidR="007A6AA2" w:rsidRPr="00110602">
        <w:rPr>
          <w:rFonts w:ascii="Times New Roman" w:hAnsi="Times New Roman" w:cs="Times New Roman"/>
        </w:rPr>
        <w:t xml:space="preserve"> ensure protection and opportunities for disabled persons</w:t>
      </w:r>
      <w:r w:rsidR="00FF37BF">
        <w:rPr>
          <w:rFonts w:ascii="Times New Roman" w:hAnsi="Times New Roman" w:cs="Times New Roman"/>
        </w:rPr>
        <w:t xml:space="preserve"> and to allow their voices to be heard at the </w:t>
      </w:r>
      <w:r w:rsidR="00FF37BF">
        <w:rPr>
          <w:rFonts w:ascii="Times New Roman" w:hAnsi="Times New Roman" w:cs="Times New Roman"/>
        </w:rPr>
        <w:lastRenderedPageBreak/>
        <w:t>decision making level of Government</w:t>
      </w:r>
      <w:r w:rsidR="003152A3" w:rsidRPr="00110602">
        <w:rPr>
          <w:rFonts w:ascii="Times New Roman" w:hAnsi="Times New Roman" w:cs="Times New Roman"/>
        </w:rPr>
        <w:t>.</w:t>
      </w:r>
      <w:r w:rsidRPr="00110602">
        <w:rPr>
          <w:rFonts w:ascii="Times New Roman" w:hAnsi="Times New Roman" w:cs="Times New Roman"/>
        </w:rPr>
        <w:t xml:space="preserve">  Additionally, in July 2012, Liberia finalized ratification of the UN Convention </w:t>
      </w:r>
      <w:r w:rsidR="007A6AA2" w:rsidRPr="00110602">
        <w:rPr>
          <w:rFonts w:ascii="Times New Roman" w:hAnsi="Times New Roman" w:cs="Times New Roman"/>
        </w:rPr>
        <w:t xml:space="preserve">on the Rights of People with Disabilities.   The Republic of Liberia has also amended Chapter 2 of the Public Health Law (Mental Health) </w:t>
      </w:r>
      <w:r w:rsidR="00FF37BF">
        <w:rPr>
          <w:rFonts w:ascii="Times New Roman" w:hAnsi="Times New Roman" w:cs="Times New Roman"/>
        </w:rPr>
        <w:t xml:space="preserve">to </w:t>
      </w:r>
      <w:r w:rsidR="007A6AA2" w:rsidRPr="00110602">
        <w:rPr>
          <w:rFonts w:ascii="Times New Roman" w:hAnsi="Times New Roman" w:cs="Times New Roman"/>
        </w:rPr>
        <w:t xml:space="preserve">protect persons with mental disorders and/or persons with mental disabilities from discrimination, stigmatization, and marginalization on the basis of their mental or intellectual disability.  Liberia has also </w:t>
      </w:r>
      <w:r w:rsidR="00ED13DD" w:rsidRPr="00110602">
        <w:rPr>
          <w:rFonts w:ascii="Times New Roman" w:hAnsi="Times New Roman" w:cs="Times New Roman"/>
        </w:rPr>
        <w:t>developed</w:t>
      </w:r>
      <w:r w:rsidR="007A6AA2" w:rsidRPr="00110602">
        <w:rPr>
          <w:rFonts w:ascii="Times New Roman" w:hAnsi="Times New Roman" w:cs="Times New Roman"/>
        </w:rPr>
        <w:t xml:space="preserve"> the Inclusive Education Policy to ensure inclu</w:t>
      </w:r>
      <w:r w:rsidR="00D373B0">
        <w:rPr>
          <w:rFonts w:ascii="Times New Roman" w:hAnsi="Times New Roman" w:cs="Times New Roman"/>
        </w:rPr>
        <w:t>sion of children with disabilities</w:t>
      </w:r>
      <w:r w:rsidR="007A6AA2" w:rsidRPr="00110602">
        <w:rPr>
          <w:rFonts w:ascii="Times New Roman" w:hAnsi="Times New Roman" w:cs="Times New Roman"/>
        </w:rPr>
        <w:t xml:space="preserve"> within the education system of Liberia.  The Ministry of Education in collaboration with partners is working to train teachers in educational techniques adapted to the needs of children with disabilities.</w:t>
      </w:r>
      <w:r w:rsidR="00FF37BF">
        <w:rPr>
          <w:rFonts w:ascii="Times New Roman" w:hAnsi="Times New Roman" w:cs="Times New Roman"/>
        </w:rPr>
        <w:t xml:space="preserve"> </w:t>
      </w:r>
    </w:p>
    <w:p w14:paraId="55F9217B" w14:textId="20C6B1C8" w:rsidR="003152A3" w:rsidRPr="00110602" w:rsidRDefault="003152A3" w:rsidP="00F711D5">
      <w:pPr>
        <w:pStyle w:val="ListParagraph"/>
        <w:ind w:left="1080"/>
        <w:jc w:val="both"/>
        <w:rPr>
          <w:rFonts w:ascii="Times New Roman" w:hAnsi="Times New Roman" w:cs="Times New Roman"/>
        </w:rPr>
      </w:pPr>
    </w:p>
    <w:p w14:paraId="3427A8ED" w14:textId="2CA3E197" w:rsidR="00D373B0" w:rsidRDefault="00D373B0" w:rsidP="00090269">
      <w:pPr>
        <w:pStyle w:val="ListParagraph"/>
        <w:numPr>
          <w:ilvl w:val="1"/>
          <w:numId w:val="2"/>
        </w:numPr>
        <w:jc w:val="both"/>
        <w:rPr>
          <w:rFonts w:ascii="Times New Roman" w:hAnsi="Times New Roman" w:cs="Times New Roman"/>
        </w:rPr>
      </w:pPr>
      <w:r>
        <w:rPr>
          <w:rFonts w:ascii="Times New Roman" w:hAnsi="Times New Roman" w:cs="Times New Roman"/>
        </w:rPr>
        <w:t>In addition to the laws against discrimination, Government along with other partners continue to carry on public awareness, works</w:t>
      </w:r>
      <w:r w:rsidR="00A07262">
        <w:rPr>
          <w:rFonts w:ascii="Times New Roman" w:hAnsi="Times New Roman" w:cs="Times New Roman"/>
        </w:rPr>
        <w:t xml:space="preserve">hops and other programs to prohibit </w:t>
      </w:r>
      <w:r>
        <w:rPr>
          <w:rFonts w:ascii="Times New Roman" w:hAnsi="Times New Roman" w:cs="Times New Roman"/>
        </w:rPr>
        <w:t>against discrimination against the elderly, Ebola survivors, their families and healthcare workers who worked in the Ebola treatment facilities and foreign nationals.</w:t>
      </w:r>
    </w:p>
    <w:p w14:paraId="70885AC5" w14:textId="77777777" w:rsidR="00D373B0" w:rsidRPr="00D373B0" w:rsidRDefault="00D373B0" w:rsidP="00D373B0">
      <w:pPr>
        <w:jc w:val="both"/>
        <w:rPr>
          <w:rFonts w:ascii="Times New Roman" w:hAnsi="Times New Roman" w:cs="Times New Roman"/>
        </w:rPr>
      </w:pPr>
    </w:p>
    <w:p w14:paraId="70FC79B5" w14:textId="0BF43E02" w:rsidR="00F711D5" w:rsidRPr="00110602" w:rsidRDefault="00F711D5" w:rsidP="00090269">
      <w:pPr>
        <w:pStyle w:val="ListParagraph"/>
        <w:numPr>
          <w:ilvl w:val="1"/>
          <w:numId w:val="2"/>
        </w:numPr>
        <w:jc w:val="both"/>
        <w:rPr>
          <w:rFonts w:ascii="Times New Roman" w:hAnsi="Times New Roman" w:cs="Times New Roman"/>
        </w:rPr>
      </w:pPr>
      <w:r w:rsidRPr="00110602">
        <w:rPr>
          <w:rFonts w:ascii="Times New Roman" w:hAnsi="Times New Roman" w:cs="Times New Roman"/>
        </w:rPr>
        <w:t xml:space="preserve">There is no specific social protection for Persons with Albinism (PWA).  However, Liberia has no discriminatory laws or state sponsored actions that discriminate against Albinos.  There is no record of reported cases related to discriminatory practices specifically targeted at albinos.  Government remains committed to protecting all of its citizens including Albinos in keeping with its constitutional obligations of equal protection for all persons under the law. Supportive measures taken by our government </w:t>
      </w:r>
      <w:r w:rsidR="00C51461">
        <w:rPr>
          <w:rFonts w:ascii="Times New Roman" w:hAnsi="Times New Roman" w:cs="Times New Roman"/>
        </w:rPr>
        <w:t>include</w:t>
      </w:r>
      <w:r w:rsidRPr="00110602">
        <w:rPr>
          <w:rFonts w:ascii="Times New Roman" w:hAnsi="Times New Roman" w:cs="Times New Roman"/>
        </w:rPr>
        <w:t xml:space="preserve"> the employment of a number of Persons With Albinisms in various Ministries/agencies including three (3) persons in the </w:t>
      </w:r>
      <w:r w:rsidR="00C51461">
        <w:rPr>
          <w:rFonts w:ascii="Times New Roman" w:hAnsi="Times New Roman" w:cs="Times New Roman"/>
        </w:rPr>
        <w:t>Liberia</w:t>
      </w:r>
      <w:r w:rsidRPr="00110602">
        <w:rPr>
          <w:rFonts w:ascii="Times New Roman" w:hAnsi="Times New Roman" w:cs="Times New Roman"/>
        </w:rPr>
        <w:t xml:space="preserve"> Immigration</w:t>
      </w:r>
      <w:r w:rsidR="00C51461">
        <w:rPr>
          <w:rFonts w:ascii="Times New Roman" w:hAnsi="Times New Roman" w:cs="Times New Roman"/>
        </w:rPr>
        <w:t xml:space="preserve"> Services</w:t>
      </w:r>
      <w:r w:rsidRPr="00110602">
        <w:rPr>
          <w:rFonts w:ascii="Times New Roman" w:hAnsi="Times New Roman" w:cs="Times New Roman"/>
        </w:rPr>
        <w:t xml:space="preserve"> </w:t>
      </w:r>
      <w:r w:rsidR="00C51461">
        <w:rPr>
          <w:rFonts w:ascii="Times New Roman" w:hAnsi="Times New Roman" w:cs="Times New Roman"/>
        </w:rPr>
        <w:t xml:space="preserve">(LIS) </w:t>
      </w:r>
      <w:r w:rsidRPr="00110602">
        <w:rPr>
          <w:rFonts w:ascii="Times New Roman" w:hAnsi="Times New Roman" w:cs="Times New Roman"/>
        </w:rPr>
        <w:t>Ministry of Agriculture (MOA) and Principal for a government school in one of the Rural Communities.  With support from the Government of Liberia and its Partners, the Liberia Albino Society</w:t>
      </w:r>
      <w:r w:rsidRPr="00110602">
        <w:rPr>
          <w:rStyle w:val="FootnoteReference"/>
          <w:rFonts w:ascii="Times New Roman" w:hAnsi="Times New Roman" w:cs="Times New Roman"/>
        </w:rPr>
        <w:footnoteReference w:id="8"/>
      </w:r>
      <w:r w:rsidRPr="00110602">
        <w:rPr>
          <w:rFonts w:ascii="Times New Roman" w:hAnsi="Times New Roman" w:cs="Times New Roman"/>
        </w:rPr>
        <w:t xml:space="preserve"> completed a quick impact project in Bentor city</w:t>
      </w:r>
      <w:r w:rsidRPr="00110602">
        <w:rPr>
          <w:rStyle w:val="FootnoteReference"/>
          <w:rFonts w:ascii="Times New Roman" w:hAnsi="Times New Roman" w:cs="Times New Roman"/>
        </w:rPr>
        <w:footnoteReference w:id="9"/>
      </w:r>
      <w:r w:rsidRPr="00110602">
        <w:rPr>
          <w:rFonts w:ascii="Times New Roman" w:hAnsi="Times New Roman" w:cs="Times New Roman"/>
        </w:rPr>
        <w:t>, which was opened on the 13</w:t>
      </w:r>
      <w:r w:rsidRPr="00110602">
        <w:rPr>
          <w:rFonts w:ascii="Times New Roman" w:hAnsi="Times New Roman" w:cs="Times New Roman"/>
          <w:vertAlign w:val="superscript"/>
        </w:rPr>
        <w:t>th</w:t>
      </w:r>
      <w:r w:rsidRPr="00110602">
        <w:rPr>
          <w:rFonts w:ascii="Times New Roman" w:hAnsi="Times New Roman" w:cs="Times New Roman"/>
        </w:rPr>
        <w:t xml:space="preserve"> of June, 2015, in commemoration of World Albinism Day, to buttress the health sector in Bentor City. Some PWAs under this project, are also attending the Medical School studying to become nurses, while others are graduates from other universities and </w:t>
      </w:r>
      <w:r w:rsidR="00AE68F7">
        <w:rPr>
          <w:rFonts w:ascii="Times New Roman" w:hAnsi="Times New Roman" w:cs="Times New Roman"/>
        </w:rPr>
        <w:t>following</w:t>
      </w:r>
      <w:r w:rsidRPr="00110602">
        <w:rPr>
          <w:rFonts w:ascii="Times New Roman" w:hAnsi="Times New Roman" w:cs="Times New Roman"/>
        </w:rPr>
        <w:t xml:space="preserve"> other professional disciplines. They have about 30 students on scholarship in different schools of their choices.  </w:t>
      </w:r>
    </w:p>
    <w:p w14:paraId="2F93BF59" w14:textId="77777777" w:rsidR="00F711D5" w:rsidRPr="00110602" w:rsidRDefault="00F711D5" w:rsidP="00F711D5">
      <w:pPr>
        <w:pStyle w:val="ListParagraph"/>
        <w:ind w:left="1080"/>
        <w:jc w:val="both"/>
        <w:rPr>
          <w:rFonts w:ascii="Times New Roman" w:hAnsi="Times New Roman" w:cs="Times New Roman"/>
        </w:rPr>
      </w:pPr>
    </w:p>
    <w:p w14:paraId="05E54EB5" w14:textId="31618618" w:rsidR="003152A3" w:rsidRPr="00110602" w:rsidRDefault="00F711D5" w:rsidP="004E3C9E">
      <w:pPr>
        <w:pStyle w:val="ListParagraph"/>
        <w:numPr>
          <w:ilvl w:val="1"/>
          <w:numId w:val="2"/>
        </w:numPr>
        <w:jc w:val="both"/>
        <w:rPr>
          <w:rFonts w:ascii="Times New Roman" w:hAnsi="Times New Roman" w:cs="Times New Roman"/>
        </w:rPr>
      </w:pPr>
      <w:r w:rsidRPr="00110602">
        <w:rPr>
          <w:rFonts w:ascii="Times New Roman" w:hAnsi="Times New Roman" w:cs="Times New Roman"/>
        </w:rPr>
        <w:t xml:space="preserve">As stated in more detail in answer number 1 above, the Government of Liberia is committed to ensuring the rights of all persons and there </w:t>
      </w:r>
      <w:r w:rsidR="004A33AA">
        <w:rPr>
          <w:rFonts w:ascii="Times New Roman" w:hAnsi="Times New Roman" w:cs="Times New Roman"/>
        </w:rPr>
        <w:t xml:space="preserve">are </w:t>
      </w:r>
      <w:r w:rsidRPr="00110602">
        <w:rPr>
          <w:rFonts w:ascii="Times New Roman" w:hAnsi="Times New Roman" w:cs="Times New Roman"/>
        </w:rPr>
        <w:t>ongoing efforts to continue the constitutional review process.</w:t>
      </w:r>
    </w:p>
    <w:p w14:paraId="02713753" w14:textId="2EFB958D" w:rsidR="003136A4" w:rsidRPr="00110602" w:rsidRDefault="003136A4" w:rsidP="00090269">
      <w:pPr>
        <w:pStyle w:val="ListParagraph"/>
        <w:ind w:left="1080"/>
        <w:jc w:val="both"/>
        <w:rPr>
          <w:rFonts w:ascii="Times New Roman" w:hAnsi="Times New Roman" w:cs="Times New Roman"/>
        </w:rPr>
      </w:pPr>
    </w:p>
    <w:p w14:paraId="126449B9" w14:textId="33FB83BB" w:rsidR="00B67A77" w:rsidRPr="009F3CAF" w:rsidRDefault="00B67A77" w:rsidP="009F3CAF">
      <w:pPr>
        <w:pStyle w:val="ListParagraph"/>
        <w:numPr>
          <w:ilvl w:val="0"/>
          <w:numId w:val="2"/>
        </w:numPr>
        <w:jc w:val="both"/>
        <w:rPr>
          <w:rFonts w:ascii="Times New Roman" w:hAnsi="Times New Roman" w:cs="Times New Roman"/>
        </w:rPr>
      </w:pPr>
      <w:r w:rsidRPr="009F3CAF">
        <w:rPr>
          <w:rFonts w:ascii="Times New Roman" w:hAnsi="Times New Roman" w:cs="Times New Roman"/>
        </w:rPr>
        <w:t>Although the Penal code has deviant sexual conduct as a crime, there has been no reported</w:t>
      </w:r>
      <w:r w:rsidR="00915B6B">
        <w:rPr>
          <w:rFonts w:ascii="Times New Roman" w:hAnsi="Times New Roman" w:cs="Times New Roman"/>
        </w:rPr>
        <w:t xml:space="preserve"> </w:t>
      </w:r>
      <w:r w:rsidRPr="009F3CAF">
        <w:rPr>
          <w:rFonts w:ascii="Times New Roman" w:hAnsi="Times New Roman" w:cs="Times New Roman"/>
        </w:rPr>
        <w:t>cases in the recent past brought for prosecution</w:t>
      </w:r>
      <w:r w:rsidR="00735C1A" w:rsidRPr="009F3CAF">
        <w:rPr>
          <w:rFonts w:ascii="Times New Roman" w:hAnsi="Times New Roman" w:cs="Times New Roman"/>
        </w:rPr>
        <w:t xml:space="preserve">. </w:t>
      </w:r>
      <w:r w:rsidR="00326E29">
        <w:rPr>
          <w:rFonts w:ascii="Times New Roman" w:hAnsi="Times New Roman" w:cs="Times New Roman"/>
        </w:rPr>
        <w:t xml:space="preserve">The </w:t>
      </w:r>
      <w:r w:rsidR="00735C1A" w:rsidRPr="009F3CAF">
        <w:rPr>
          <w:rFonts w:ascii="Times New Roman" w:hAnsi="Times New Roman" w:cs="Times New Roman"/>
        </w:rPr>
        <w:t>Government maintains its position that the Constitution of Liberia prohibits discrimination and protects the fundamental rights and freedoms of all person within its borders without distinction on the basis of sexual orientation</w:t>
      </w:r>
      <w:r w:rsidR="00326E29">
        <w:rPr>
          <w:rFonts w:ascii="Times New Roman" w:hAnsi="Times New Roman" w:cs="Times New Roman"/>
        </w:rPr>
        <w:t>.</w:t>
      </w:r>
      <w:r w:rsidR="00735C1A" w:rsidRPr="009F3CAF">
        <w:rPr>
          <w:rFonts w:ascii="Times New Roman" w:hAnsi="Times New Roman" w:cs="Times New Roman"/>
        </w:rPr>
        <w:t xml:space="preserve"> </w:t>
      </w:r>
      <w:r w:rsidR="00326E29">
        <w:rPr>
          <w:rFonts w:ascii="Times New Roman" w:hAnsi="Times New Roman" w:cs="Times New Roman"/>
        </w:rPr>
        <w:t>The</w:t>
      </w:r>
      <w:r w:rsidR="00326E29" w:rsidRPr="009F3CAF">
        <w:rPr>
          <w:rFonts w:ascii="Times New Roman" w:hAnsi="Times New Roman" w:cs="Times New Roman"/>
        </w:rPr>
        <w:t xml:space="preserve"> </w:t>
      </w:r>
      <w:r w:rsidR="00735C1A" w:rsidRPr="009F3CAF">
        <w:rPr>
          <w:rFonts w:ascii="Times New Roman" w:hAnsi="Times New Roman" w:cs="Times New Roman"/>
        </w:rPr>
        <w:t xml:space="preserve">Government </w:t>
      </w:r>
      <w:r w:rsidR="00326E29">
        <w:rPr>
          <w:rFonts w:ascii="Times New Roman" w:hAnsi="Times New Roman" w:cs="Times New Roman"/>
        </w:rPr>
        <w:t xml:space="preserve">acknowledges the general limitations existing in the criminal justice system for all pre-trial detainees, including prolonged pre-trial detention, which is prevalent in the system due to limited resources, the legal </w:t>
      </w:r>
      <w:r w:rsidR="00326E29">
        <w:rPr>
          <w:rFonts w:ascii="Times New Roman" w:hAnsi="Times New Roman" w:cs="Times New Roman"/>
        </w:rPr>
        <w:lastRenderedPageBreak/>
        <w:t xml:space="preserve">requirements for trial, and the challenges existing in the judicial system.  On the specific </w:t>
      </w:r>
      <w:r w:rsidR="009D7B13">
        <w:rPr>
          <w:rFonts w:ascii="Times New Roman" w:hAnsi="Times New Roman" w:cs="Times New Roman"/>
        </w:rPr>
        <w:t xml:space="preserve">issue of </w:t>
      </w:r>
      <w:r w:rsidR="00326E29">
        <w:rPr>
          <w:rFonts w:ascii="Times New Roman" w:hAnsi="Times New Roman" w:cs="Times New Roman"/>
        </w:rPr>
        <w:t xml:space="preserve">sexual orientation and gender identity, </w:t>
      </w:r>
      <w:r w:rsidR="003D38BD">
        <w:rPr>
          <w:rFonts w:ascii="Times New Roman" w:hAnsi="Times New Roman" w:cs="Times New Roman"/>
        </w:rPr>
        <w:t>we are not aware of people being in pretrial detention for their gender identity. Notwithstanding, due to information from the INCHR a</w:t>
      </w:r>
      <w:r w:rsidR="0009254F">
        <w:rPr>
          <w:rFonts w:ascii="Times New Roman" w:hAnsi="Times New Roman" w:cs="Times New Roman"/>
        </w:rPr>
        <w:t>nd the Human Rights P</w:t>
      </w:r>
      <w:r w:rsidR="003D38BD">
        <w:rPr>
          <w:rFonts w:ascii="Times New Roman" w:hAnsi="Times New Roman" w:cs="Times New Roman"/>
        </w:rPr>
        <w:t xml:space="preserve">rotection Division, that LGBT people are being discriminated in the justice system, </w:t>
      </w:r>
      <w:r w:rsidR="00326E29">
        <w:rPr>
          <w:rFonts w:ascii="Times New Roman" w:hAnsi="Times New Roman" w:cs="Times New Roman"/>
        </w:rPr>
        <w:t>additional training and awareness is necessary as well as</w:t>
      </w:r>
      <w:r w:rsidR="00735C1A" w:rsidRPr="009F3CAF">
        <w:rPr>
          <w:rFonts w:ascii="Times New Roman" w:hAnsi="Times New Roman" w:cs="Times New Roman"/>
        </w:rPr>
        <w:t xml:space="preserve"> adequate public discourse, sensitization and awareness </w:t>
      </w:r>
      <w:r w:rsidR="00326E29">
        <w:rPr>
          <w:rFonts w:ascii="Times New Roman" w:hAnsi="Times New Roman" w:cs="Times New Roman"/>
        </w:rPr>
        <w:t>to ensure all persons feel protected under the law</w:t>
      </w:r>
      <w:r w:rsidR="00735C1A" w:rsidRPr="009F3CAF">
        <w:rPr>
          <w:rFonts w:ascii="Times New Roman" w:hAnsi="Times New Roman" w:cs="Times New Roman"/>
        </w:rPr>
        <w:t>.</w:t>
      </w:r>
      <w:r w:rsidR="009E7F26" w:rsidRPr="009F3CAF">
        <w:rPr>
          <w:rFonts w:ascii="Times New Roman" w:hAnsi="Times New Roman" w:cs="Times New Roman"/>
        </w:rPr>
        <w:t xml:space="preserve"> </w:t>
      </w:r>
      <w:r w:rsidR="003D38BD">
        <w:rPr>
          <w:rFonts w:ascii="Times New Roman" w:hAnsi="Times New Roman" w:cs="Times New Roman"/>
        </w:rPr>
        <w:t>Meanwhile, at</w:t>
      </w:r>
      <w:r w:rsidR="00326E29">
        <w:rPr>
          <w:rFonts w:ascii="Times New Roman" w:hAnsi="Times New Roman" w:cs="Times New Roman"/>
        </w:rPr>
        <w:t xml:space="preserve"> </w:t>
      </w:r>
      <w:r w:rsidR="004A33AA" w:rsidRPr="009F3CAF">
        <w:rPr>
          <w:rFonts w:ascii="Times New Roman" w:hAnsi="Times New Roman" w:cs="Times New Roman"/>
        </w:rPr>
        <w:t xml:space="preserve">least 100 police officers </w:t>
      </w:r>
      <w:r w:rsidR="00326E29">
        <w:rPr>
          <w:rFonts w:ascii="Times New Roman" w:hAnsi="Times New Roman" w:cs="Times New Roman"/>
        </w:rPr>
        <w:t xml:space="preserve">have been </w:t>
      </w:r>
      <w:r w:rsidR="004A33AA" w:rsidRPr="009F3CAF">
        <w:rPr>
          <w:rFonts w:ascii="Times New Roman" w:hAnsi="Times New Roman" w:cs="Times New Roman"/>
        </w:rPr>
        <w:t xml:space="preserve">trained to </w:t>
      </w:r>
      <w:r w:rsidR="00221A94">
        <w:rPr>
          <w:rFonts w:ascii="Times New Roman" w:hAnsi="Times New Roman" w:cs="Times New Roman"/>
        </w:rPr>
        <w:t>identify</w:t>
      </w:r>
      <w:r w:rsidR="004A33AA" w:rsidRPr="009F3CAF">
        <w:rPr>
          <w:rFonts w:ascii="Times New Roman" w:hAnsi="Times New Roman" w:cs="Times New Roman"/>
        </w:rPr>
        <w:t xml:space="preserve"> challenges faced by LGBTI persons coming in conflict with the law in Liberia.</w:t>
      </w:r>
      <w:r w:rsidR="00915B6B">
        <w:rPr>
          <w:rFonts w:ascii="Times New Roman" w:hAnsi="Times New Roman" w:cs="Times New Roman"/>
        </w:rPr>
        <w:t xml:space="preserve"> </w:t>
      </w:r>
    </w:p>
    <w:p w14:paraId="21FFFB08" w14:textId="77777777" w:rsidR="004D2A4E" w:rsidRPr="00110602" w:rsidRDefault="004D2A4E" w:rsidP="00B360E1">
      <w:pPr>
        <w:pStyle w:val="ListParagraph"/>
        <w:ind w:left="360"/>
        <w:jc w:val="both"/>
        <w:rPr>
          <w:rFonts w:ascii="Times New Roman" w:hAnsi="Times New Roman" w:cs="Times New Roman"/>
        </w:rPr>
      </w:pPr>
    </w:p>
    <w:p w14:paraId="308580C2" w14:textId="0B0F4395"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Gender equality (arts. 2, 3, 25 and 26)</w:t>
      </w:r>
    </w:p>
    <w:p w14:paraId="70640114" w14:textId="77777777" w:rsidR="006C46B4" w:rsidRPr="00110602" w:rsidRDefault="006C46B4" w:rsidP="00B360E1">
      <w:pPr>
        <w:jc w:val="both"/>
        <w:rPr>
          <w:rFonts w:ascii="Times New Roman" w:hAnsi="Times New Roman" w:cs="Times New Roman"/>
        </w:rPr>
      </w:pPr>
    </w:p>
    <w:p w14:paraId="11D47B8E" w14:textId="7AF523EC" w:rsidR="00354897" w:rsidRPr="00110602" w:rsidRDefault="00354897" w:rsidP="00BC671A">
      <w:pPr>
        <w:pStyle w:val="ListParagraph"/>
        <w:numPr>
          <w:ilvl w:val="0"/>
          <w:numId w:val="2"/>
        </w:numPr>
        <w:jc w:val="both"/>
        <w:rPr>
          <w:rFonts w:ascii="Times New Roman" w:hAnsi="Times New Roman" w:cs="Times New Roman"/>
        </w:rPr>
      </w:pPr>
      <w:r w:rsidRPr="00110602">
        <w:rPr>
          <w:rFonts w:ascii="Times New Roman" w:hAnsi="Times New Roman" w:cs="Times New Roman"/>
        </w:rPr>
        <w:t xml:space="preserve">No laws limit participation of women and/or members of minorities in the political process; therefore women enjoy </w:t>
      </w:r>
      <w:r w:rsidR="00341B9C">
        <w:rPr>
          <w:rFonts w:ascii="Times New Roman" w:hAnsi="Times New Roman" w:cs="Times New Roman"/>
        </w:rPr>
        <w:t>equal</w:t>
      </w:r>
      <w:r w:rsidR="00341B9C" w:rsidRPr="00110602">
        <w:rPr>
          <w:rFonts w:ascii="Times New Roman" w:hAnsi="Times New Roman" w:cs="Times New Roman"/>
        </w:rPr>
        <w:t xml:space="preserve"> </w:t>
      </w:r>
      <w:r w:rsidRPr="00110602">
        <w:rPr>
          <w:rFonts w:ascii="Times New Roman" w:hAnsi="Times New Roman" w:cs="Times New Roman"/>
        </w:rPr>
        <w:t>rights to self-determination and the right to participate</w:t>
      </w:r>
      <w:r w:rsidR="00341B9C">
        <w:rPr>
          <w:rFonts w:ascii="Times New Roman" w:hAnsi="Times New Roman" w:cs="Times New Roman"/>
        </w:rPr>
        <w:t xml:space="preserve"> in the political process</w:t>
      </w:r>
      <w:r w:rsidRPr="00110602">
        <w:rPr>
          <w:rFonts w:ascii="Times New Roman" w:hAnsi="Times New Roman" w:cs="Times New Roman"/>
        </w:rPr>
        <w:t>. Notwithstanding, it is believed that traditional and cultural factors</w:t>
      </w:r>
      <w:r w:rsidR="00341B9C">
        <w:rPr>
          <w:rFonts w:ascii="Times New Roman" w:hAnsi="Times New Roman" w:cs="Times New Roman"/>
        </w:rPr>
        <w:t xml:space="preserve"> have</w:t>
      </w:r>
      <w:r w:rsidRPr="00110602">
        <w:rPr>
          <w:rFonts w:ascii="Times New Roman" w:hAnsi="Times New Roman" w:cs="Times New Roman"/>
        </w:rPr>
        <w:t xml:space="preserve"> limit</w:t>
      </w:r>
      <w:r w:rsidR="00341B9C">
        <w:rPr>
          <w:rFonts w:ascii="Times New Roman" w:hAnsi="Times New Roman" w:cs="Times New Roman"/>
        </w:rPr>
        <w:t>ed</w:t>
      </w:r>
      <w:r w:rsidRPr="00110602">
        <w:rPr>
          <w:rFonts w:ascii="Times New Roman" w:hAnsi="Times New Roman" w:cs="Times New Roman"/>
        </w:rPr>
        <w:t xml:space="preserve"> women’s participation in politics compared with men. For example, Women participated at significantly lower levels than men as party leaders and as elected officials. </w:t>
      </w:r>
      <w:r w:rsidR="00341B9C">
        <w:rPr>
          <w:rFonts w:ascii="Times New Roman" w:hAnsi="Times New Roman" w:cs="Times New Roman"/>
        </w:rPr>
        <w:t xml:space="preserve"> The</w:t>
      </w:r>
      <w:r w:rsidRPr="00110602">
        <w:rPr>
          <w:rFonts w:ascii="Times New Roman" w:hAnsi="Times New Roman" w:cs="Times New Roman"/>
        </w:rPr>
        <w:t xml:space="preserve"> Election law, however, requires that political parties “endeavor to ensure 30 percent” female participation</w:t>
      </w:r>
      <w:r w:rsidR="00341B9C">
        <w:rPr>
          <w:rFonts w:ascii="Times New Roman" w:hAnsi="Times New Roman" w:cs="Times New Roman"/>
        </w:rPr>
        <w:t xml:space="preserve"> and </w:t>
      </w:r>
      <w:r w:rsidRPr="00110602">
        <w:rPr>
          <w:rFonts w:ascii="Times New Roman" w:hAnsi="Times New Roman" w:cs="Times New Roman"/>
        </w:rPr>
        <w:t xml:space="preserve">there was a 16 percent </w:t>
      </w:r>
      <w:r w:rsidR="00341B9C">
        <w:rPr>
          <w:rFonts w:ascii="Times New Roman" w:hAnsi="Times New Roman" w:cs="Times New Roman"/>
        </w:rPr>
        <w:t>increase</w:t>
      </w:r>
      <w:r w:rsidR="00341B9C" w:rsidRPr="00110602">
        <w:rPr>
          <w:rFonts w:ascii="Times New Roman" w:hAnsi="Times New Roman" w:cs="Times New Roman"/>
        </w:rPr>
        <w:t xml:space="preserve"> </w:t>
      </w:r>
      <w:r w:rsidRPr="00110602">
        <w:rPr>
          <w:rFonts w:ascii="Times New Roman" w:hAnsi="Times New Roman" w:cs="Times New Roman"/>
        </w:rPr>
        <w:t xml:space="preserve">in the number of female candidates </w:t>
      </w:r>
      <w:r w:rsidR="00341B9C">
        <w:rPr>
          <w:rFonts w:ascii="Times New Roman" w:hAnsi="Times New Roman" w:cs="Times New Roman"/>
        </w:rPr>
        <w:t xml:space="preserve">certified </w:t>
      </w:r>
      <w:r w:rsidRPr="00110602">
        <w:rPr>
          <w:rFonts w:ascii="Times New Roman" w:hAnsi="Times New Roman" w:cs="Times New Roman"/>
        </w:rPr>
        <w:t xml:space="preserve">for the </w:t>
      </w:r>
      <w:r w:rsidR="00341B9C">
        <w:rPr>
          <w:rFonts w:ascii="Times New Roman" w:hAnsi="Times New Roman" w:cs="Times New Roman"/>
        </w:rPr>
        <w:t xml:space="preserve">2017 </w:t>
      </w:r>
      <w:r w:rsidRPr="00110602">
        <w:rPr>
          <w:rFonts w:ascii="Times New Roman" w:hAnsi="Times New Roman" w:cs="Times New Roman"/>
        </w:rPr>
        <w:t xml:space="preserve">legislative </w:t>
      </w:r>
      <w:r w:rsidR="00341B9C">
        <w:rPr>
          <w:rFonts w:ascii="Times New Roman" w:hAnsi="Times New Roman" w:cs="Times New Roman"/>
        </w:rPr>
        <w:t>election</w:t>
      </w:r>
      <w:r w:rsidRPr="00110602">
        <w:rPr>
          <w:rFonts w:ascii="Times New Roman" w:hAnsi="Times New Roman" w:cs="Times New Roman"/>
        </w:rPr>
        <w:t>.  P</w:t>
      </w:r>
      <w:r w:rsidR="00341B9C">
        <w:rPr>
          <w:rFonts w:ascii="Times New Roman" w:hAnsi="Times New Roman" w:cs="Times New Roman"/>
        </w:rPr>
        <w:t>r</w:t>
      </w:r>
      <w:r w:rsidRPr="00110602">
        <w:rPr>
          <w:rFonts w:ascii="Times New Roman" w:hAnsi="Times New Roman" w:cs="Times New Roman"/>
        </w:rPr>
        <w:t xml:space="preserve">eliminary reports from the NEC </w:t>
      </w:r>
      <w:r w:rsidR="00341B9C">
        <w:rPr>
          <w:rFonts w:ascii="Times New Roman" w:hAnsi="Times New Roman" w:cs="Times New Roman"/>
        </w:rPr>
        <w:t xml:space="preserve">also </w:t>
      </w:r>
      <w:r w:rsidRPr="00110602">
        <w:rPr>
          <w:rFonts w:ascii="Times New Roman" w:hAnsi="Times New Roman" w:cs="Times New Roman"/>
        </w:rPr>
        <w:t>indicated more women than men voted on October 10, 2017.</w:t>
      </w:r>
      <w:r w:rsidR="00620BE7" w:rsidRPr="00110602">
        <w:rPr>
          <w:rFonts w:ascii="Times New Roman" w:hAnsi="Times New Roman" w:cs="Times New Roman"/>
        </w:rPr>
        <w:t xml:space="preserve"> </w:t>
      </w:r>
      <w:r w:rsidR="00341B9C">
        <w:rPr>
          <w:rFonts w:ascii="Times New Roman" w:hAnsi="Times New Roman" w:cs="Times New Roman"/>
        </w:rPr>
        <w:t>Of the five Supreme Court Justices, two are women, which</w:t>
      </w:r>
      <w:r w:rsidR="00620BE7" w:rsidRPr="00110602">
        <w:rPr>
          <w:rFonts w:ascii="Times New Roman" w:hAnsi="Times New Roman" w:cs="Times New Roman"/>
        </w:rPr>
        <w:t xml:space="preserve"> constitute 40% of the </w:t>
      </w:r>
      <w:r w:rsidR="00BC671A" w:rsidRPr="00110602">
        <w:rPr>
          <w:rFonts w:ascii="Times New Roman" w:hAnsi="Times New Roman" w:cs="Times New Roman"/>
        </w:rPr>
        <w:t>Supreme Court’s</w:t>
      </w:r>
      <w:r w:rsidR="00620BE7" w:rsidRPr="00110602">
        <w:rPr>
          <w:rFonts w:ascii="Times New Roman" w:hAnsi="Times New Roman" w:cs="Times New Roman"/>
        </w:rPr>
        <w:t xml:space="preserve"> bench.</w:t>
      </w:r>
      <w:r w:rsidR="00341B9C">
        <w:rPr>
          <w:rFonts w:ascii="Times New Roman" w:hAnsi="Times New Roman" w:cs="Times New Roman"/>
        </w:rPr>
        <w:t xml:space="preserve">  Additionally, since 2003, women have held prominent positions in the Executive Branch of Government, including at the highest level</w:t>
      </w:r>
      <w:r w:rsidR="004A1214">
        <w:rPr>
          <w:rFonts w:ascii="Times New Roman" w:hAnsi="Times New Roman" w:cs="Times New Roman"/>
        </w:rPr>
        <w:t xml:space="preserve"> where former President Ellen Johnson Sirleaf was the first </w:t>
      </w:r>
      <w:r w:rsidR="00C51461">
        <w:rPr>
          <w:rFonts w:ascii="Times New Roman" w:hAnsi="Times New Roman" w:cs="Times New Roman"/>
        </w:rPr>
        <w:t xml:space="preserve">democratically elected </w:t>
      </w:r>
      <w:r w:rsidR="004A1214">
        <w:rPr>
          <w:rFonts w:ascii="Times New Roman" w:hAnsi="Times New Roman" w:cs="Times New Roman"/>
        </w:rPr>
        <w:t xml:space="preserve">female president in Africa.  </w:t>
      </w:r>
    </w:p>
    <w:p w14:paraId="50A62B35" w14:textId="77777777" w:rsidR="00354897" w:rsidRPr="00110602" w:rsidRDefault="00354897" w:rsidP="00BC671A">
      <w:pPr>
        <w:pStyle w:val="ListParagraph"/>
        <w:ind w:left="360"/>
        <w:jc w:val="both"/>
        <w:rPr>
          <w:rFonts w:ascii="Times New Roman" w:hAnsi="Times New Roman" w:cs="Times New Roman"/>
        </w:rPr>
      </w:pPr>
    </w:p>
    <w:p w14:paraId="1A94659B" w14:textId="535ECCEF" w:rsidR="002C307D" w:rsidRPr="00110602" w:rsidRDefault="002C307D" w:rsidP="00B360E1">
      <w:pPr>
        <w:pStyle w:val="ListParagraph"/>
        <w:numPr>
          <w:ilvl w:val="0"/>
          <w:numId w:val="2"/>
        </w:numPr>
        <w:jc w:val="both"/>
        <w:rPr>
          <w:rFonts w:ascii="Times New Roman" w:hAnsi="Times New Roman" w:cs="Times New Roman"/>
        </w:rPr>
      </w:pPr>
      <w:r w:rsidRPr="00110602">
        <w:rPr>
          <w:rFonts w:ascii="Times New Roman" w:hAnsi="Times New Roman" w:cs="Times New Roman"/>
        </w:rPr>
        <w:t>The Constitution of the Republic of Liberia</w:t>
      </w:r>
      <w:r w:rsidR="009769E7">
        <w:rPr>
          <w:rFonts w:ascii="Times New Roman" w:hAnsi="Times New Roman" w:cs="Times New Roman"/>
        </w:rPr>
        <w:t>,</w:t>
      </w:r>
      <w:r w:rsidRPr="00110602">
        <w:rPr>
          <w:rFonts w:ascii="Times New Roman" w:hAnsi="Times New Roman" w:cs="Times New Roman"/>
        </w:rPr>
        <w:t xml:space="preserve"> Article 28 states that “Any person, at least one of whose parents was a citizen of Liberia at the time of the person’s birth, shall be a citizen of Liberia; provided that any such person shall upon reaching maturity renou</w:t>
      </w:r>
      <w:r w:rsidR="009769E7">
        <w:rPr>
          <w:rFonts w:ascii="Times New Roman" w:hAnsi="Times New Roman" w:cs="Times New Roman"/>
        </w:rPr>
        <w:t>n</w:t>
      </w:r>
      <w:r w:rsidRPr="00110602">
        <w:rPr>
          <w:rFonts w:ascii="Times New Roman" w:hAnsi="Times New Roman" w:cs="Times New Roman"/>
        </w:rPr>
        <w:t>ce any other citizenship acquired by virtue of one parent being a citizen of another country.”</w:t>
      </w:r>
    </w:p>
    <w:p w14:paraId="18430B1C" w14:textId="77777777" w:rsidR="002C307D" w:rsidRPr="00110602" w:rsidRDefault="002C307D" w:rsidP="00B360E1">
      <w:pPr>
        <w:pStyle w:val="ListParagraph"/>
        <w:ind w:left="360"/>
        <w:jc w:val="both"/>
        <w:rPr>
          <w:rFonts w:ascii="Times New Roman" w:hAnsi="Times New Roman" w:cs="Times New Roman"/>
        </w:rPr>
      </w:pPr>
    </w:p>
    <w:p w14:paraId="11E37A72" w14:textId="24E4E398" w:rsidR="002C307D" w:rsidRPr="00110602" w:rsidRDefault="002C307D" w:rsidP="00B360E1">
      <w:pPr>
        <w:pStyle w:val="ListParagraph"/>
        <w:ind w:left="360"/>
        <w:jc w:val="both"/>
        <w:rPr>
          <w:rFonts w:ascii="Times New Roman" w:hAnsi="Times New Roman" w:cs="Times New Roman"/>
        </w:rPr>
      </w:pPr>
      <w:r w:rsidRPr="00110602">
        <w:rPr>
          <w:rFonts w:ascii="Times New Roman" w:hAnsi="Times New Roman" w:cs="Times New Roman"/>
        </w:rPr>
        <w:t xml:space="preserve">The language of the Constitution of Liberia is thus clear that children born to one parent, whether it is the father or mother can acquire Liberian citizenship.  In contrast, under the </w:t>
      </w:r>
      <w:r w:rsidR="004A1214">
        <w:rPr>
          <w:rFonts w:ascii="Times New Roman" w:hAnsi="Times New Roman" w:cs="Times New Roman"/>
        </w:rPr>
        <w:t>Alien and Nationality Law</w:t>
      </w:r>
      <w:r w:rsidRPr="00110602">
        <w:rPr>
          <w:rFonts w:ascii="Times New Roman" w:hAnsi="Times New Roman" w:cs="Times New Roman"/>
        </w:rPr>
        <w:t xml:space="preserve"> of Liberia, only when the father is Liberian can a child have Liberian citizenship.  As the Constitution is the </w:t>
      </w:r>
      <w:r w:rsidR="00BC671A" w:rsidRPr="00110602">
        <w:rPr>
          <w:rFonts w:ascii="Times New Roman" w:hAnsi="Times New Roman" w:cs="Times New Roman"/>
        </w:rPr>
        <w:t>organic</w:t>
      </w:r>
      <w:r w:rsidRPr="00110602">
        <w:rPr>
          <w:rFonts w:ascii="Times New Roman" w:hAnsi="Times New Roman" w:cs="Times New Roman"/>
        </w:rPr>
        <w:t xml:space="preserve"> law of Liberia, Article 21 (b) of the Alien and Nationality Law of 1973, is superseded by the Constitution.</w:t>
      </w:r>
    </w:p>
    <w:p w14:paraId="674001C0" w14:textId="77777777" w:rsidR="002C307D" w:rsidRPr="00110602" w:rsidRDefault="002C307D" w:rsidP="00B360E1">
      <w:pPr>
        <w:pStyle w:val="ListParagraph"/>
        <w:ind w:left="360"/>
        <w:jc w:val="both"/>
        <w:rPr>
          <w:rFonts w:ascii="Times New Roman" w:hAnsi="Times New Roman" w:cs="Times New Roman"/>
        </w:rPr>
      </w:pPr>
    </w:p>
    <w:p w14:paraId="4E52C7E6" w14:textId="0E652975" w:rsidR="002C307D" w:rsidRPr="00110602" w:rsidRDefault="002C307D" w:rsidP="00B360E1">
      <w:pPr>
        <w:pStyle w:val="ListParagraph"/>
        <w:ind w:left="360"/>
        <w:jc w:val="both"/>
        <w:rPr>
          <w:rFonts w:ascii="Times New Roman" w:hAnsi="Times New Roman" w:cs="Times New Roman"/>
        </w:rPr>
      </w:pPr>
      <w:r w:rsidRPr="00110602">
        <w:rPr>
          <w:rFonts w:ascii="Times New Roman" w:hAnsi="Times New Roman" w:cs="Times New Roman"/>
        </w:rPr>
        <w:t>Over the years</w:t>
      </w:r>
      <w:r w:rsidR="00BC671A" w:rsidRPr="00110602">
        <w:rPr>
          <w:rFonts w:ascii="Times New Roman" w:hAnsi="Times New Roman" w:cs="Times New Roman"/>
        </w:rPr>
        <w:t xml:space="preserve">, </w:t>
      </w:r>
      <w:r w:rsidRPr="00110602">
        <w:rPr>
          <w:rFonts w:ascii="Times New Roman" w:hAnsi="Times New Roman" w:cs="Times New Roman"/>
        </w:rPr>
        <w:t xml:space="preserve">there have been discussions and reviews of the provisions of the </w:t>
      </w:r>
      <w:r w:rsidR="004A1214">
        <w:rPr>
          <w:rFonts w:ascii="Times New Roman" w:hAnsi="Times New Roman" w:cs="Times New Roman"/>
        </w:rPr>
        <w:t>Alien and Nationality Law</w:t>
      </w:r>
      <w:r w:rsidRPr="00110602">
        <w:rPr>
          <w:rFonts w:ascii="Times New Roman" w:hAnsi="Times New Roman" w:cs="Times New Roman"/>
        </w:rPr>
        <w:t xml:space="preserve"> to harmonize these provisions. A draft act has been validated by the Liberia Immigration Service (LIS) along with stakeholders and other civil society organizations to amend Chapter 20 (a) and (b) to provide for citizenship when “</w:t>
      </w:r>
      <w:r w:rsidRPr="00110602">
        <w:rPr>
          <w:rFonts w:ascii="Times New Roman" w:hAnsi="Times New Roman" w:cs="Times New Roman"/>
          <w:i/>
          <w:u w:val="single"/>
        </w:rPr>
        <w:t>Either parent [</w:t>
      </w:r>
      <w:r w:rsidR="004322BA" w:rsidRPr="00110602">
        <w:rPr>
          <w:rFonts w:ascii="Times New Roman" w:hAnsi="Times New Roman" w:cs="Times New Roman"/>
          <w:i/>
          <w:u w:val="single"/>
        </w:rPr>
        <w:t>at the time of birth</w:t>
      </w:r>
      <w:r w:rsidRPr="00110602">
        <w:rPr>
          <w:rFonts w:ascii="Times New Roman" w:hAnsi="Times New Roman" w:cs="Times New Roman"/>
          <w:i/>
          <w:u w:val="single"/>
        </w:rPr>
        <w:t>] is a Liberian</w:t>
      </w:r>
      <w:r w:rsidRPr="00110602">
        <w:rPr>
          <w:rFonts w:ascii="Times New Roman" w:hAnsi="Times New Roman" w:cs="Times New Roman"/>
        </w:rPr>
        <w:t>”.</w:t>
      </w:r>
    </w:p>
    <w:p w14:paraId="15EE03DC" w14:textId="77777777" w:rsidR="002C307D" w:rsidRPr="00110602" w:rsidRDefault="002C307D" w:rsidP="00B360E1">
      <w:pPr>
        <w:pStyle w:val="ListParagraph"/>
        <w:ind w:left="360"/>
        <w:jc w:val="both"/>
        <w:rPr>
          <w:rFonts w:ascii="Times New Roman" w:hAnsi="Times New Roman" w:cs="Times New Roman"/>
        </w:rPr>
      </w:pPr>
    </w:p>
    <w:p w14:paraId="06DC5E06" w14:textId="5D41EB6E" w:rsidR="00156E87" w:rsidRPr="00110602" w:rsidRDefault="00156E87" w:rsidP="00B360E1">
      <w:pPr>
        <w:pStyle w:val="ListParagraph"/>
        <w:ind w:left="360"/>
        <w:jc w:val="both"/>
        <w:rPr>
          <w:rFonts w:ascii="Times New Roman" w:hAnsi="Times New Roman" w:cs="Times New Roman"/>
        </w:rPr>
      </w:pPr>
      <w:r w:rsidRPr="00110602">
        <w:rPr>
          <w:rFonts w:ascii="Times New Roman" w:hAnsi="Times New Roman" w:cs="Times New Roman"/>
        </w:rPr>
        <w:t xml:space="preserve">Regarding the concepts of “customary marriage” and “statutory marriage”, Liberian law </w:t>
      </w:r>
      <w:r w:rsidR="002C307D" w:rsidRPr="00110602">
        <w:rPr>
          <w:rFonts w:ascii="Times New Roman" w:hAnsi="Times New Roman" w:cs="Times New Roman"/>
        </w:rPr>
        <w:t>recognize</w:t>
      </w:r>
      <w:r w:rsidR="004A1214">
        <w:rPr>
          <w:rFonts w:ascii="Times New Roman" w:hAnsi="Times New Roman" w:cs="Times New Roman"/>
        </w:rPr>
        <w:t>s</w:t>
      </w:r>
      <w:r w:rsidR="002C307D" w:rsidRPr="00110602">
        <w:rPr>
          <w:rFonts w:ascii="Times New Roman" w:hAnsi="Times New Roman" w:cs="Times New Roman"/>
        </w:rPr>
        <w:t xml:space="preserve"> </w:t>
      </w:r>
      <w:r w:rsidRPr="00110602">
        <w:rPr>
          <w:rFonts w:ascii="Times New Roman" w:hAnsi="Times New Roman" w:cs="Times New Roman"/>
        </w:rPr>
        <w:t xml:space="preserve">both as legal. </w:t>
      </w:r>
      <w:r w:rsidR="002C307D" w:rsidRPr="00110602">
        <w:rPr>
          <w:rFonts w:ascii="Times New Roman" w:hAnsi="Times New Roman" w:cs="Times New Roman"/>
        </w:rPr>
        <w:t xml:space="preserve">Under the Domestic Relations law, </w:t>
      </w:r>
      <w:r w:rsidR="004A1214">
        <w:rPr>
          <w:rFonts w:ascii="Times New Roman" w:hAnsi="Times New Roman" w:cs="Times New Roman"/>
        </w:rPr>
        <w:t xml:space="preserve">an individual cannot contract </w:t>
      </w:r>
      <w:r w:rsidR="002C307D" w:rsidRPr="00110602">
        <w:rPr>
          <w:rFonts w:ascii="Times New Roman" w:hAnsi="Times New Roman" w:cs="Times New Roman"/>
        </w:rPr>
        <w:t xml:space="preserve">both marriages at the same time.  Under </w:t>
      </w:r>
      <w:r w:rsidR="004A1214">
        <w:rPr>
          <w:rFonts w:ascii="Times New Roman" w:hAnsi="Times New Roman" w:cs="Times New Roman"/>
        </w:rPr>
        <w:t>the provisions governing</w:t>
      </w:r>
      <w:r w:rsidR="002C307D" w:rsidRPr="00110602">
        <w:rPr>
          <w:rFonts w:ascii="Times New Roman" w:hAnsi="Times New Roman" w:cs="Times New Roman"/>
        </w:rPr>
        <w:t xml:space="preserve"> statutory marriage</w:t>
      </w:r>
      <w:r w:rsidR="004A1214">
        <w:rPr>
          <w:rFonts w:ascii="Times New Roman" w:hAnsi="Times New Roman" w:cs="Times New Roman"/>
        </w:rPr>
        <w:t>,</w:t>
      </w:r>
      <w:r w:rsidR="002C307D" w:rsidRPr="00110602">
        <w:rPr>
          <w:rFonts w:ascii="Times New Roman" w:hAnsi="Times New Roman" w:cs="Times New Roman"/>
        </w:rPr>
        <w:t xml:space="preserve"> a man </w:t>
      </w:r>
      <w:r w:rsidR="004A1214">
        <w:rPr>
          <w:rFonts w:ascii="Times New Roman" w:hAnsi="Times New Roman" w:cs="Times New Roman"/>
        </w:rPr>
        <w:t>may</w:t>
      </w:r>
      <w:r w:rsidR="004A1214" w:rsidRPr="00110602">
        <w:rPr>
          <w:rFonts w:ascii="Times New Roman" w:hAnsi="Times New Roman" w:cs="Times New Roman"/>
        </w:rPr>
        <w:t xml:space="preserve"> </w:t>
      </w:r>
      <w:r w:rsidR="002C307D" w:rsidRPr="00110602">
        <w:rPr>
          <w:rFonts w:ascii="Times New Roman" w:hAnsi="Times New Roman" w:cs="Times New Roman"/>
        </w:rPr>
        <w:t>only have one wife</w:t>
      </w:r>
      <w:r w:rsidR="00D724FE">
        <w:rPr>
          <w:rFonts w:ascii="Times New Roman" w:hAnsi="Times New Roman" w:cs="Times New Roman"/>
        </w:rPr>
        <w:t>,</w:t>
      </w:r>
      <w:r w:rsidR="002C307D" w:rsidRPr="00110602">
        <w:rPr>
          <w:rFonts w:ascii="Times New Roman" w:hAnsi="Times New Roman" w:cs="Times New Roman"/>
        </w:rPr>
        <w:t xml:space="preserve"> whereas under </w:t>
      </w:r>
      <w:r w:rsidR="004A1214">
        <w:rPr>
          <w:rFonts w:ascii="Times New Roman" w:hAnsi="Times New Roman" w:cs="Times New Roman"/>
        </w:rPr>
        <w:t>laws governing</w:t>
      </w:r>
      <w:r w:rsidR="004A1214" w:rsidRPr="00110602">
        <w:rPr>
          <w:rFonts w:ascii="Times New Roman" w:hAnsi="Times New Roman" w:cs="Times New Roman"/>
        </w:rPr>
        <w:t xml:space="preserve"> </w:t>
      </w:r>
      <w:r w:rsidR="002C307D" w:rsidRPr="00110602">
        <w:rPr>
          <w:rFonts w:ascii="Times New Roman" w:hAnsi="Times New Roman" w:cs="Times New Roman"/>
        </w:rPr>
        <w:t>customary marriage</w:t>
      </w:r>
      <w:r w:rsidR="004A1214">
        <w:rPr>
          <w:rFonts w:ascii="Times New Roman" w:hAnsi="Times New Roman" w:cs="Times New Roman"/>
        </w:rPr>
        <w:t>s,</w:t>
      </w:r>
      <w:r w:rsidR="002C307D" w:rsidRPr="00110602">
        <w:rPr>
          <w:rFonts w:ascii="Times New Roman" w:hAnsi="Times New Roman" w:cs="Times New Roman"/>
        </w:rPr>
        <w:t xml:space="preserve"> </w:t>
      </w:r>
      <w:r w:rsidR="004A1214">
        <w:rPr>
          <w:rFonts w:ascii="Times New Roman" w:hAnsi="Times New Roman" w:cs="Times New Roman"/>
        </w:rPr>
        <w:t>a</w:t>
      </w:r>
      <w:r w:rsidR="004A1214" w:rsidRPr="00110602">
        <w:rPr>
          <w:rFonts w:ascii="Times New Roman" w:hAnsi="Times New Roman" w:cs="Times New Roman"/>
        </w:rPr>
        <w:t xml:space="preserve"> </w:t>
      </w:r>
      <w:r w:rsidR="002C307D" w:rsidRPr="00110602">
        <w:rPr>
          <w:rFonts w:ascii="Times New Roman" w:hAnsi="Times New Roman" w:cs="Times New Roman"/>
        </w:rPr>
        <w:t xml:space="preserve">man may </w:t>
      </w:r>
      <w:r w:rsidR="004A1214">
        <w:rPr>
          <w:rFonts w:ascii="Times New Roman" w:hAnsi="Times New Roman" w:cs="Times New Roman"/>
        </w:rPr>
        <w:t>have multiple wives</w:t>
      </w:r>
      <w:r w:rsidR="002C307D" w:rsidRPr="00110602">
        <w:rPr>
          <w:rFonts w:ascii="Times New Roman" w:hAnsi="Times New Roman" w:cs="Times New Roman"/>
        </w:rPr>
        <w:t>.</w:t>
      </w:r>
      <w:r w:rsidR="004A1214">
        <w:rPr>
          <w:rFonts w:ascii="Times New Roman" w:hAnsi="Times New Roman" w:cs="Times New Roman"/>
        </w:rPr>
        <w:t xml:space="preserve">  Customary marriages are rooted in the traditional beliefs and practices of indigenous people and the legal recognition of customary marriages was necessary to allow the government to regulate </w:t>
      </w:r>
      <w:r w:rsidR="001568F1">
        <w:rPr>
          <w:rFonts w:ascii="Times New Roman" w:hAnsi="Times New Roman" w:cs="Times New Roman"/>
        </w:rPr>
        <w:t>how such marriages are contracted</w:t>
      </w:r>
      <w:r w:rsidR="004A1214">
        <w:rPr>
          <w:rFonts w:ascii="Times New Roman" w:hAnsi="Times New Roman" w:cs="Times New Roman"/>
        </w:rPr>
        <w:t xml:space="preserve"> and a</w:t>
      </w:r>
      <w:r w:rsidR="001568F1">
        <w:rPr>
          <w:rFonts w:ascii="Times New Roman" w:hAnsi="Times New Roman" w:cs="Times New Roman"/>
        </w:rPr>
        <w:t xml:space="preserve">lso </w:t>
      </w:r>
      <w:r w:rsidR="001568F1">
        <w:rPr>
          <w:rFonts w:ascii="Times New Roman" w:hAnsi="Times New Roman" w:cs="Times New Roman"/>
        </w:rPr>
        <w:lastRenderedPageBreak/>
        <w:t>to provide legal protection</w:t>
      </w:r>
      <w:r w:rsidR="004A1214">
        <w:rPr>
          <w:rFonts w:ascii="Times New Roman" w:hAnsi="Times New Roman" w:cs="Times New Roman"/>
        </w:rPr>
        <w:t xml:space="preserve"> to the wives in customary marriages.  As explained previously, the new Inhe</w:t>
      </w:r>
      <w:r w:rsidR="001568F1">
        <w:rPr>
          <w:rFonts w:ascii="Times New Roman" w:hAnsi="Times New Roman" w:cs="Times New Roman"/>
        </w:rPr>
        <w:t>ritance Law provides protection</w:t>
      </w:r>
      <w:r w:rsidR="004A1214">
        <w:rPr>
          <w:rFonts w:ascii="Times New Roman" w:hAnsi="Times New Roman" w:cs="Times New Roman"/>
        </w:rPr>
        <w:t xml:space="preserve"> for women in customary marriages. </w:t>
      </w:r>
    </w:p>
    <w:p w14:paraId="2C466A0A" w14:textId="77777777" w:rsidR="00156E87" w:rsidRPr="00110602" w:rsidRDefault="00156E87" w:rsidP="00B360E1">
      <w:pPr>
        <w:pStyle w:val="ListParagraph"/>
        <w:ind w:left="360"/>
        <w:jc w:val="both"/>
        <w:rPr>
          <w:rFonts w:ascii="Times New Roman" w:hAnsi="Times New Roman" w:cs="Times New Roman"/>
        </w:rPr>
      </w:pPr>
    </w:p>
    <w:p w14:paraId="0B7BE8B7" w14:textId="77A26835" w:rsidR="00156E87" w:rsidRPr="00110602" w:rsidRDefault="00156E87" w:rsidP="00B360E1">
      <w:pPr>
        <w:pStyle w:val="ListParagraph"/>
        <w:ind w:left="360"/>
        <w:jc w:val="both"/>
        <w:rPr>
          <w:rFonts w:ascii="Times New Roman" w:hAnsi="Times New Roman" w:cs="Times New Roman"/>
        </w:rPr>
      </w:pPr>
      <w:r w:rsidRPr="00110602">
        <w:rPr>
          <w:rFonts w:ascii="Times New Roman" w:hAnsi="Times New Roman" w:cs="Times New Roman"/>
        </w:rPr>
        <w:t>Under</w:t>
      </w:r>
      <w:r w:rsidR="002C307D" w:rsidRPr="00110602">
        <w:rPr>
          <w:rFonts w:ascii="Times New Roman" w:hAnsi="Times New Roman" w:cs="Times New Roman"/>
        </w:rPr>
        <w:t xml:space="preserve"> customary law</w:t>
      </w:r>
      <w:r w:rsidRPr="00110602">
        <w:rPr>
          <w:rFonts w:ascii="Times New Roman" w:hAnsi="Times New Roman" w:cs="Times New Roman"/>
        </w:rPr>
        <w:t>,</w:t>
      </w:r>
      <w:r w:rsidR="002C307D" w:rsidRPr="00110602">
        <w:rPr>
          <w:rFonts w:ascii="Times New Roman" w:hAnsi="Times New Roman" w:cs="Times New Roman"/>
        </w:rPr>
        <w:t xml:space="preserve"> the </w:t>
      </w:r>
      <w:r w:rsidRPr="00110602">
        <w:rPr>
          <w:rFonts w:ascii="Times New Roman" w:hAnsi="Times New Roman" w:cs="Times New Roman"/>
        </w:rPr>
        <w:t xml:space="preserve">legal </w:t>
      </w:r>
      <w:r w:rsidR="002C307D" w:rsidRPr="00110602">
        <w:rPr>
          <w:rFonts w:ascii="Times New Roman" w:hAnsi="Times New Roman" w:cs="Times New Roman"/>
        </w:rPr>
        <w:t xml:space="preserve">age </w:t>
      </w:r>
      <w:r w:rsidRPr="00110602">
        <w:rPr>
          <w:rFonts w:ascii="Times New Roman" w:hAnsi="Times New Roman" w:cs="Times New Roman"/>
        </w:rPr>
        <w:t xml:space="preserve">for a customary </w:t>
      </w:r>
      <w:r w:rsidR="002C307D" w:rsidRPr="00110602">
        <w:rPr>
          <w:rFonts w:ascii="Times New Roman" w:hAnsi="Times New Roman" w:cs="Times New Roman"/>
        </w:rPr>
        <w:t xml:space="preserve">marriage for </w:t>
      </w:r>
      <w:r w:rsidRPr="00110602">
        <w:rPr>
          <w:rFonts w:ascii="Times New Roman" w:hAnsi="Times New Roman" w:cs="Times New Roman"/>
        </w:rPr>
        <w:t xml:space="preserve">a </w:t>
      </w:r>
      <w:r w:rsidR="002C307D" w:rsidRPr="00110602">
        <w:rPr>
          <w:rFonts w:ascii="Times New Roman" w:hAnsi="Times New Roman" w:cs="Times New Roman"/>
        </w:rPr>
        <w:t>woman is 16</w:t>
      </w:r>
      <w:r w:rsidRPr="00110602">
        <w:rPr>
          <w:rFonts w:ascii="Times New Roman" w:hAnsi="Times New Roman" w:cs="Times New Roman"/>
        </w:rPr>
        <w:t xml:space="preserve"> years</w:t>
      </w:r>
      <w:r w:rsidR="002C307D" w:rsidRPr="00110602">
        <w:rPr>
          <w:rFonts w:ascii="Times New Roman" w:hAnsi="Times New Roman" w:cs="Times New Roman"/>
        </w:rPr>
        <w:t xml:space="preserve">.  </w:t>
      </w:r>
      <w:r w:rsidRPr="00110602">
        <w:rPr>
          <w:rFonts w:ascii="Times New Roman" w:hAnsi="Times New Roman" w:cs="Times New Roman"/>
        </w:rPr>
        <w:t xml:space="preserve">The Government </w:t>
      </w:r>
      <w:r w:rsidR="002C307D" w:rsidRPr="00110602">
        <w:rPr>
          <w:rFonts w:ascii="Times New Roman" w:hAnsi="Times New Roman" w:cs="Times New Roman"/>
        </w:rPr>
        <w:t>has recognized the need to harmonize the age of marriage in line with the Conventio</w:t>
      </w:r>
      <w:r w:rsidR="001568F1">
        <w:rPr>
          <w:rFonts w:ascii="Times New Roman" w:hAnsi="Times New Roman" w:cs="Times New Roman"/>
        </w:rPr>
        <w:t xml:space="preserve">n on the Rights of the Child. </w:t>
      </w:r>
      <w:r w:rsidR="002C307D" w:rsidRPr="00110602">
        <w:rPr>
          <w:rFonts w:ascii="Times New Roman" w:hAnsi="Times New Roman" w:cs="Times New Roman"/>
        </w:rPr>
        <w:t xml:space="preserve">The passage of the amendment to the rape law passed in 2006 seeks to also discourage child marriages because under that law, the age of consent is 18. </w:t>
      </w:r>
      <w:r w:rsidR="00C51461">
        <w:rPr>
          <w:rFonts w:ascii="Times New Roman" w:hAnsi="Times New Roman" w:cs="Times New Roman"/>
        </w:rPr>
        <w:t>Thus the MOJ is prosecuting cases where</w:t>
      </w:r>
      <w:r w:rsidR="00574D1A">
        <w:rPr>
          <w:rFonts w:ascii="Times New Roman" w:hAnsi="Times New Roman" w:cs="Times New Roman"/>
        </w:rPr>
        <w:t xml:space="preserve"> a person engages in sexual intercourse with a</w:t>
      </w:r>
      <w:r w:rsidR="00C51461">
        <w:rPr>
          <w:rFonts w:ascii="Times New Roman" w:hAnsi="Times New Roman" w:cs="Times New Roman"/>
        </w:rPr>
        <w:t xml:space="preserve"> female under 18</w:t>
      </w:r>
      <w:r w:rsidR="00574D1A">
        <w:rPr>
          <w:rFonts w:ascii="Times New Roman" w:hAnsi="Times New Roman" w:cs="Times New Roman"/>
        </w:rPr>
        <w:t xml:space="preserve"> </w:t>
      </w:r>
      <w:r w:rsidR="00C51461">
        <w:rPr>
          <w:rFonts w:ascii="Times New Roman" w:hAnsi="Times New Roman" w:cs="Times New Roman"/>
        </w:rPr>
        <w:t>even if t</w:t>
      </w:r>
      <w:r w:rsidR="00574D1A">
        <w:rPr>
          <w:rFonts w:ascii="Times New Roman" w:hAnsi="Times New Roman" w:cs="Times New Roman"/>
        </w:rPr>
        <w:t xml:space="preserve">hat female is </w:t>
      </w:r>
      <w:r w:rsidR="00C51461">
        <w:rPr>
          <w:rFonts w:ascii="Times New Roman" w:hAnsi="Times New Roman" w:cs="Times New Roman"/>
        </w:rPr>
        <w:t>married under customary law.</w:t>
      </w:r>
      <w:r w:rsidR="002C307D" w:rsidRPr="00110602">
        <w:rPr>
          <w:rFonts w:ascii="Times New Roman" w:hAnsi="Times New Roman" w:cs="Times New Roman"/>
        </w:rPr>
        <w:t xml:space="preserve"> </w:t>
      </w:r>
    </w:p>
    <w:p w14:paraId="06F530E4" w14:textId="77777777" w:rsidR="00156E87" w:rsidRPr="00110602" w:rsidRDefault="00156E87" w:rsidP="00B360E1">
      <w:pPr>
        <w:pStyle w:val="ListParagraph"/>
        <w:ind w:left="360"/>
        <w:jc w:val="both"/>
        <w:rPr>
          <w:rFonts w:ascii="Times New Roman" w:hAnsi="Times New Roman" w:cs="Times New Roman"/>
        </w:rPr>
      </w:pPr>
    </w:p>
    <w:p w14:paraId="0AC8EC17" w14:textId="3063F67D" w:rsidR="00156E87" w:rsidRPr="00110602" w:rsidRDefault="00156E87" w:rsidP="00B360E1">
      <w:pPr>
        <w:pStyle w:val="ListParagraph"/>
        <w:ind w:left="360"/>
        <w:jc w:val="both"/>
        <w:rPr>
          <w:rFonts w:ascii="Times New Roman" w:hAnsi="Times New Roman" w:cs="Times New Roman"/>
        </w:rPr>
      </w:pPr>
      <w:r w:rsidRPr="00110602">
        <w:rPr>
          <w:rFonts w:ascii="Times New Roman" w:hAnsi="Times New Roman" w:cs="Times New Roman"/>
        </w:rPr>
        <w:t xml:space="preserve">Article 23 of the Constitution guarantees equal protection for spouses under both forms of marriages.  </w:t>
      </w:r>
      <w:r w:rsidR="002C307D" w:rsidRPr="00110602">
        <w:rPr>
          <w:rFonts w:ascii="Times New Roman" w:hAnsi="Times New Roman" w:cs="Times New Roman"/>
        </w:rPr>
        <w:t xml:space="preserve">In 2003 Liberia removed the dichotomy that existed between the two types of marriages by enacting the Inheritance Rights Law for traditional marriages, this law ensures that women married traditionally or </w:t>
      </w:r>
      <w:r w:rsidR="004322BA" w:rsidRPr="00110602">
        <w:rPr>
          <w:rFonts w:ascii="Times New Roman" w:hAnsi="Times New Roman" w:cs="Times New Roman"/>
        </w:rPr>
        <w:t>through statutory procedure</w:t>
      </w:r>
      <w:r w:rsidR="002C307D" w:rsidRPr="00110602">
        <w:rPr>
          <w:rFonts w:ascii="Times New Roman" w:hAnsi="Times New Roman" w:cs="Times New Roman"/>
        </w:rPr>
        <w:t xml:space="preserve"> </w:t>
      </w:r>
      <w:r w:rsidRPr="00110602">
        <w:rPr>
          <w:rFonts w:ascii="Times New Roman" w:hAnsi="Times New Roman" w:cs="Times New Roman"/>
        </w:rPr>
        <w:t>have</w:t>
      </w:r>
      <w:r w:rsidR="002C307D" w:rsidRPr="00110602">
        <w:rPr>
          <w:rFonts w:ascii="Times New Roman" w:hAnsi="Times New Roman" w:cs="Times New Roman"/>
        </w:rPr>
        <w:t xml:space="preserve"> </w:t>
      </w:r>
      <w:r w:rsidRPr="00110602">
        <w:rPr>
          <w:rFonts w:ascii="Times New Roman" w:hAnsi="Times New Roman" w:cs="Times New Roman"/>
        </w:rPr>
        <w:t>equal</w:t>
      </w:r>
      <w:r w:rsidR="002C307D" w:rsidRPr="00110602">
        <w:rPr>
          <w:rFonts w:ascii="Times New Roman" w:hAnsi="Times New Roman" w:cs="Times New Roman"/>
        </w:rPr>
        <w:t xml:space="preserve"> rights to inheritance</w:t>
      </w:r>
      <w:r w:rsidR="004322BA" w:rsidRPr="00110602">
        <w:rPr>
          <w:rFonts w:ascii="Times New Roman" w:hAnsi="Times New Roman" w:cs="Times New Roman"/>
        </w:rPr>
        <w:t>,</w:t>
      </w:r>
      <w:r w:rsidR="002C307D" w:rsidRPr="00110602">
        <w:rPr>
          <w:rFonts w:ascii="Times New Roman" w:hAnsi="Times New Roman" w:cs="Times New Roman"/>
        </w:rPr>
        <w:t xml:space="preserve"> which</w:t>
      </w:r>
      <w:r w:rsidR="002C307D" w:rsidRPr="00110602">
        <w:rPr>
          <w:rFonts w:ascii="Times New Roman" w:hAnsi="Times New Roman" w:cs="Times New Roman"/>
          <w:lang w:val="en-GB"/>
        </w:rPr>
        <w:t xml:space="preserve"> </w:t>
      </w:r>
      <w:r w:rsidR="002C307D" w:rsidRPr="00110602">
        <w:rPr>
          <w:rFonts w:ascii="Times New Roman" w:hAnsi="Times New Roman" w:cs="Times New Roman"/>
        </w:rPr>
        <w:t xml:space="preserve">was not </w:t>
      </w:r>
      <w:r w:rsidRPr="00110602">
        <w:rPr>
          <w:rFonts w:ascii="Times New Roman" w:hAnsi="Times New Roman" w:cs="Times New Roman"/>
        </w:rPr>
        <w:t xml:space="preserve">previously </w:t>
      </w:r>
      <w:r w:rsidR="002C307D" w:rsidRPr="00110602">
        <w:rPr>
          <w:rFonts w:ascii="Times New Roman" w:hAnsi="Times New Roman" w:cs="Times New Roman"/>
        </w:rPr>
        <w:t>the case wit</w:t>
      </w:r>
      <w:r w:rsidRPr="00110602">
        <w:rPr>
          <w:rFonts w:ascii="Times New Roman" w:hAnsi="Times New Roman" w:cs="Times New Roman"/>
        </w:rPr>
        <w:t xml:space="preserve">h women married traditionally. </w:t>
      </w:r>
    </w:p>
    <w:p w14:paraId="39C46030" w14:textId="77777777" w:rsidR="00156E87" w:rsidRPr="00110602" w:rsidRDefault="00156E87" w:rsidP="00B360E1">
      <w:pPr>
        <w:pStyle w:val="ListParagraph"/>
        <w:ind w:left="360"/>
        <w:jc w:val="both"/>
        <w:rPr>
          <w:rFonts w:ascii="Times New Roman" w:hAnsi="Times New Roman" w:cs="Times New Roman"/>
        </w:rPr>
      </w:pPr>
    </w:p>
    <w:p w14:paraId="4EB3A9CA" w14:textId="5C15AC7F" w:rsidR="002C307D" w:rsidRPr="00110602" w:rsidRDefault="007C259F" w:rsidP="00B360E1">
      <w:pPr>
        <w:pStyle w:val="ListParagraph"/>
        <w:ind w:left="360"/>
        <w:jc w:val="both"/>
        <w:rPr>
          <w:rFonts w:ascii="Times New Roman" w:hAnsi="Times New Roman" w:cs="Times New Roman"/>
        </w:rPr>
      </w:pPr>
      <w:r>
        <w:rPr>
          <w:rFonts w:ascii="Times New Roman" w:hAnsi="Times New Roman" w:cs="Times New Roman"/>
        </w:rPr>
        <w:t>Customary marriages allow polygamy and is part of the legal framework of Liberia.  There are efforts both by Government through the Ministry of Gender and Social Protection and Civil Society actors to create awareness and sensitization on the sexual and reproductive rights of women</w:t>
      </w:r>
      <w:r w:rsidR="002C307D" w:rsidRPr="00110602">
        <w:rPr>
          <w:rFonts w:ascii="Times New Roman" w:hAnsi="Times New Roman" w:cs="Times New Roman"/>
        </w:rPr>
        <w:t xml:space="preserve">.  Civil Society actors </w:t>
      </w:r>
      <w:r w:rsidR="00156E87" w:rsidRPr="00110602">
        <w:rPr>
          <w:rFonts w:ascii="Times New Roman" w:hAnsi="Times New Roman" w:cs="Times New Roman"/>
        </w:rPr>
        <w:t>continue to</w:t>
      </w:r>
      <w:r w:rsidR="002C307D" w:rsidRPr="00110602">
        <w:rPr>
          <w:rFonts w:ascii="Times New Roman" w:hAnsi="Times New Roman" w:cs="Times New Roman"/>
        </w:rPr>
        <w:t xml:space="preserve"> conduct awareness</w:t>
      </w:r>
      <w:r w:rsidR="00156E87" w:rsidRPr="00110602">
        <w:rPr>
          <w:rFonts w:ascii="Times New Roman" w:hAnsi="Times New Roman" w:cs="Times New Roman"/>
        </w:rPr>
        <w:t xml:space="preserve"> training for women</w:t>
      </w:r>
      <w:r w:rsidR="002C307D" w:rsidRPr="00110602">
        <w:rPr>
          <w:rFonts w:ascii="Times New Roman" w:hAnsi="Times New Roman" w:cs="Times New Roman"/>
        </w:rPr>
        <w:t xml:space="preserve"> on the inheritance law </w:t>
      </w:r>
      <w:r>
        <w:rPr>
          <w:rFonts w:ascii="Times New Roman" w:hAnsi="Times New Roman" w:cs="Times New Roman"/>
        </w:rPr>
        <w:t>governing customary</w:t>
      </w:r>
      <w:r w:rsidR="002C307D" w:rsidRPr="00110602">
        <w:rPr>
          <w:rFonts w:ascii="Times New Roman" w:hAnsi="Times New Roman" w:cs="Times New Roman"/>
        </w:rPr>
        <w:t xml:space="preserve"> marriages </w:t>
      </w:r>
      <w:r w:rsidR="00156E87" w:rsidRPr="00110602">
        <w:rPr>
          <w:rFonts w:ascii="Times New Roman" w:hAnsi="Times New Roman" w:cs="Times New Roman"/>
        </w:rPr>
        <w:t>and women reproductive</w:t>
      </w:r>
      <w:r w:rsidR="002C307D" w:rsidRPr="00110602">
        <w:rPr>
          <w:rFonts w:ascii="Times New Roman" w:hAnsi="Times New Roman" w:cs="Times New Roman"/>
        </w:rPr>
        <w:t xml:space="preserve"> </w:t>
      </w:r>
      <w:r w:rsidR="00156E87" w:rsidRPr="00110602">
        <w:rPr>
          <w:rFonts w:ascii="Times New Roman" w:hAnsi="Times New Roman" w:cs="Times New Roman"/>
        </w:rPr>
        <w:t xml:space="preserve">and sexual </w:t>
      </w:r>
      <w:r w:rsidR="002C307D" w:rsidRPr="00110602">
        <w:rPr>
          <w:rFonts w:ascii="Times New Roman" w:hAnsi="Times New Roman" w:cs="Times New Roman"/>
        </w:rPr>
        <w:t xml:space="preserve">health </w:t>
      </w:r>
      <w:r w:rsidR="00156E87" w:rsidRPr="00110602">
        <w:rPr>
          <w:rFonts w:ascii="Times New Roman" w:hAnsi="Times New Roman" w:cs="Times New Roman"/>
        </w:rPr>
        <w:t xml:space="preserve">issues </w:t>
      </w:r>
      <w:r w:rsidR="002C307D" w:rsidRPr="00110602">
        <w:rPr>
          <w:rFonts w:ascii="Times New Roman" w:hAnsi="Times New Roman" w:cs="Times New Roman"/>
        </w:rPr>
        <w:t xml:space="preserve">in </w:t>
      </w:r>
      <w:r w:rsidR="00156E87" w:rsidRPr="00110602">
        <w:rPr>
          <w:rFonts w:ascii="Times New Roman" w:hAnsi="Times New Roman" w:cs="Times New Roman"/>
        </w:rPr>
        <w:t xml:space="preserve">polygamist </w:t>
      </w:r>
      <w:r w:rsidR="002C307D" w:rsidRPr="00110602">
        <w:rPr>
          <w:rFonts w:ascii="Times New Roman" w:hAnsi="Times New Roman" w:cs="Times New Roman"/>
        </w:rPr>
        <w:t xml:space="preserve">marriages as well as </w:t>
      </w:r>
      <w:r w:rsidR="00156E87" w:rsidRPr="00110602">
        <w:rPr>
          <w:rFonts w:ascii="Times New Roman" w:hAnsi="Times New Roman" w:cs="Times New Roman"/>
        </w:rPr>
        <w:t xml:space="preserve">protection against </w:t>
      </w:r>
      <w:r w:rsidR="002C307D" w:rsidRPr="00110602">
        <w:rPr>
          <w:rFonts w:ascii="Times New Roman" w:hAnsi="Times New Roman" w:cs="Times New Roman"/>
        </w:rPr>
        <w:t xml:space="preserve">unequal distribution of inheritance.  </w:t>
      </w:r>
    </w:p>
    <w:p w14:paraId="2AD252E5" w14:textId="77777777" w:rsidR="002C307D" w:rsidRPr="00110602" w:rsidRDefault="002C307D" w:rsidP="00B360E1">
      <w:pPr>
        <w:jc w:val="both"/>
        <w:rPr>
          <w:rFonts w:ascii="Times New Roman" w:hAnsi="Times New Roman" w:cs="Times New Roman"/>
        </w:rPr>
      </w:pPr>
    </w:p>
    <w:p w14:paraId="564870A3" w14:textId="77777777" w:rsidR="006C46B4" w:rsidRPr="00110602" w:rsidRDefault="006C46B4" w:rsidP="00B360E1">
      <w:pPr>
        <w:jc w:val="both"/>
        <w:rPr>
          <w:rFonts w:ascii="Times New Roman" w:hAnsi="Times New Roman" w:cs="Times New Roman"/>
          <w:b/>
        </w:rPr>
      </w:pPr>
      <w:r w:rsidRPr="00110602">
        <w:rPr>
          <w:rFonts w:ascii="Times New Roman" w:hAnsi="Times New Roman" w:cs="Times New Roman"/>
          <w:b/>
        </w:rPr>
        <w:t>Violence against women (arts. 2, 3, 6, 7, 14, 24 and 26)</w:t>
      </w:r>
    </w:p>
    <w:p w14:paraId="2582545F" w14:textId="5F60291A" w:rsidR="00893F34" w:rsidRPr="00CA2C19" w:rsidRDefault="00893F34" w:rsidP="00CA2C19">
      <w:pPr>
        <w:pStyle w:val="NormalWeb"/>
        <w:numPr>
          <w:ilvl w:val="0"/>
          <w:numId w:val="2"/>
        </w:numPr>
        <w:jc w:val="both"/>
      </w:pPr>
      <w:r w:rsidRPr="00110602">
        <w:t>Ritualistic killings are committed for the political or physical strength they are believed to confer on the perpetrator(s) or to feed a fetish object or deity. Under the practice known</w:t>
      </w:r>
      <w:r w:rsidR="007C259F">
        <w:t xml:space="preserve"> locally</w:t>
      </w:r>
      <w:r w:rsidRPr="00110602">
        <w:t xml:space="preserve"> as Gboyo, there is a belief that human body parts extracted and eaten while the victim is still alive bestow power and affluence.</w:t>
      </w:r>
      <w:r w:rsidR="00CA2C19">
        <w:t xml:space="preserve">  </w:t>
      </w:r>
      <w:r w:rsidRPr="00CA2C19">
        <w:t>Very few cases have ever been conclusively investigated and prosecuted</w:t>
      </w:r>
      <w:r w:rsidR="00CA2C19">
        <w:t xml:space="preserve"> </w:t>
      </w:r>
      <w:r w:rsidRPr="00CA2C19">
        <w:t>due in part to inadequate police and forensic capacity. Evidence of suspected ritualistic killings include partial or total removal of body parts</w:t>
      </w:r>
      <w:r w:rsidR="00395290" w:rsidRPr="00CA2C19">
        <w:t>,</w:t>
      </w:r>
      <w:r w:rsidRPr="00CA2C19">
        <w:t xml:space="preserve"> </w:t>
      </w:r>
      <w:r w:rsidR="00221A94">
        <w:t xml:space="preserve">which most often is the only </w:t>
      </w:r>
      <w:r w:rsidR="00221A94" w:rsidRPr="00221A94">
        <w:rPr>
          <w:i/>
        </w:rPr>
        <w:t>prima facie</w:t>
      </w:r>
      <w:r w:rsidRPr="00CA2C19">
        <w:t xml:space="preserve"> evidence</w:t>
      </w:r>
      <w:r w:rsidR="00221A94">
        <w:t xml:space="preserve"> but the actual perpetrators usually abscond and are not apprehended to be made to face prosecution</w:t>
      </w:r>
      <w:r w:rsidRPr="00CA2C19">
        <w:t>.</w:t>
      </w:r>
      <w:r w:rsidR="00221A94">
        <w:t xml:space="preserve">   With the recent donation of a DNA machine to the Government of Liberia by UNMIL, </w:t>
      </w:r>
      <w:r w:rsidR="00C84D44">
        <w:t xml:space="preserve">there will be improvements in criminals </w:t>
      </w:r>
      <w:r w:rsidR="00221A94">
        <w:t>investigations and</w:t>
      </w:r>
      <w:r w:rsidR="00C84D44">
        <w:t xml:space="preserve"> thus lead to identification of suspects and subsequent </w:t>
      </w:r>
      <w:r w:rsidR="00516AF3">
        <w:t xml:space="preserve">prosecution </w:t>
      </w:r>
      <w:r w:rsidR="00221A94">
        <w:t>of these cases</w:t>
      </w:r>
      <w:r w:rsidR="00C84D44">
        <w:t>.</w:t>
      </w:r>
      <w:r w:rsidR="00221A94">
        <w:t xml:space="preserve"> </w:t>
      </w:r>
    </w:p>
    <w:p w14:paraId="6D472582" w14:textId="77777777" w:rsidR="00500BD4" w:rsidRPr="003E1098" w:rsidRDefault="00500BD4" w:rsidP="00500BD4">
      <w:pPr>
        <w:pStyle w:val="NoSpacing"/>
        <w:ind w:left="360"/>
        <w:jc w:val="both"/>
        <w:rPr>
          <w:rFonts w:ascii="Times New Roman" w:hAnsi="Times New Roman" w:cs="Times New Roman"/>
          <w:sz w:val="8"/>
          <w:szCs w:val="24"/>
        </w:rPr>
      </w:pPr>
    </w:p>
    <w:p w14:paraId="13B706C7" w14:textId="7872CA5A" w:rsidR="004312E4" w:rsidRPr="00110602" w:rsidRDefault="004312E4" w:rsidP="00BC671A">
      <w:pPr>
        <w:pStyle w:val="NoSpacing"/>
        <w:numPr>
          <w:ilvl w:val="0"/>
          <w:numId w:val="2"/>
        </w:numPr>
        <w:jc w:val="both"/>
        <w:rPr>
          <w:rFonts w:ascii="Times New Roman" w:hAnsi="Times New Roman" w:cs="Times New Roman"/>
          <w:sz w:val="24"/>
          <w:szCs w:val="24"/>
        </w:rPr>
      </w:pPr>
      <w:r w:rsidRPr="00110602">
        <w:rPr>
          <w:rFonts w:ascii="Times New Roman" w:hAnsi="Times New Roman" w:cs="Times New Roman"/>
          <w:sz w:val="24"/>
          <w:szCs w:val="24"/>
        </w:rPr>
        <w:t>The SGBV</w:t>
      </w:r>
      <w:r w:rsidR="00574D1A">
        <w:rPr>
          <w:rFonts w:ascii="Times New Roman" w:hAnsi="Times New Roman" w:cs="Times New Roman"/>
          <w:sz w:val="24"/>
          <w:szCs w:val="24"/>
        </w:rPr>
        <w:t xml:space="preserve"> sexual offence </w:t>
      </w:r>
      <w:r w:rsidRPr="00110602">
        <w:rPr>
          <w:rFonts w:ascii="Times New Roman" w:hAnsi="Times New Roman" w:cs="Times New Roman"/>
          <w:sz w:val="24"/>
          <w:szCs w:val="24"/>
        </w:rPr>
        <w:t xml:space="preserve"> Crim</w:t>
      </w:r>
      <w:r w:rsidR="00235F1A">
        <w:rPr>
          <w:rFonts w:ascii="Times New Roman" w:hAnsi="Times New Roman" w:cs="Times New Roman"/>
          <w:sz w:val="24"/>
          <w:szCs w:val="24"/>
        </w:rPr>
        <w:t>es Unit was established in 2009</w:t>
      </w:r>
      <w:r w:rsidRPr="00110602">
        <w:rPr>
          <w:rFonts w:ascii="Times New Roman" w:hAnsi="Times New Roman" w:cs="Times New Roman"/>
          <w:sz w:val="24"/>
          <w:szCs w:val="24"/>
        </w:rPr>
        <w:t xml:space="preserve"> </w:t>
      </w:r>
      <w:r w:rsidR="00235F1A">
        <w:rPr>
          <w:rFonts w:ascii="Times New Roman" w:hAnsi="Times New Roman" w:cs="Times New Roman"/>
          <w:sz w:val="24"/>
          <w:szCs w:val="24"/>
        </w:rPr>
        <w:t xml:space="preserve">with </w:t>
      </w:r>
      <w:r w:rsidR="00CA2C19">
        <w:rPr>
          <w:rFonts w:ascii="Times New Roman" w:hAnsi="Times New Roman" w:cs="Times New Roman"/>
          <w:sz w:val="24"/>
          <w:szCs w:val="24"/>
        </w:rPr>
        <w:t>the</w:t>
      </w:r>
      <w:r w:rsidR="00CA2C19" w:rsidRPr="00110602">
        <w:rPr>
          <w:rFonts w:ascii="Times New Roman" w:hAnsi="Times New Roman" w:cs="Times New Roman"/>
          <w:sz w:val="24"/>
          <w:szCs w:val="24"/>
        </w:rPr>
        <w:t xml:space="preserve"> </w:t>
      </w:r>
      <w:r w:rsidRPr="00110602">
        <w:rPr>
          <w:rFonts w:ascii="Times New Roman" w:hAnsi="Times New Roman" w:cs="Times New Roman"/>
          <w:sz w:val="24"/>
          <w:szCs w:val="24"/>
        </w:rPr>
        <w:t>overall mandate to prosecute all sexual related offenses. In this vein, the Unit has been involved with the robust prosecution of sex offenders th</w:t>
      </w:r>
      <w:r w:rsidR="00574D1A">
        <w:rPr>
          <w:rFonts w:ascii="Times New Roman" w:hAnsi="Times New Roman" w:cs="Times New Roman"/>
          <w:sz w:val="24"/>
          <w:szCs w:val="24"/>
        </w:rPr>
        <w:t>r</w:t>
      </w:r>
      <w:r w:rsidRPr="00110602">
        <w:rPr>
          <w:rFonts w:ascii="Times New Roman" w:hAnsi="Times New Roman" w:cs="Times New Roman"/>
          <w:sz w:val="24"/>
          <w:szCs w:val="24"/>
        </w:rPr>
        <w:t xml:space="preserve">ough collaboration with the police and other actors, </w:t>
      </w:r>
      <w:r w:rsidR="00CA2C19">
        <w:rPr>
          <w:rFonts w:ascii="Times New Roman" w:hAnsi="Times New Roman" w:cs="Times New Roman"/>
          <w:sz w:val="24"/>
          <w:szCs w:val="24"/>
        </w:rPr>
        <w:t>including</w:t>
      </w:r>
      <w:r w:rsidRPr="00110602">
        <w:rPr>
          <w:rFonts w:ascii="Times New Roman" w:hAnsi="Times New Roman" w:cs="Times New Roman"/>
          <w:sz w:val="24"/>
          <w:szCs w:val="24"/>
        </w:rPr>
        <w:t xml:space="preserve"> psycho-social counselors, medical practitioners, etc.  The </w:t>
      </w:r>
      <w:r w:rsidR="00CA2C19">
        <w:rPr>
          <w:rFonts w:ascii="Times New Roman" w:hAnsi="Times New Roman" w:cs="Times New Roman"/>
          <w:sz w:val="24"/>
          <w:szCs w:val="24"/>
        </w:rPr>
        <w:t>success</w:t>
      </w:r>
      <w:r w:rsidR="00CA2C19" w:rsidRPr="00110602">
        <w:rPr>
          <w:rFonts w:ascii="Times New Roman" w:hAnsi="Times New Roman" w:cs="Times New Roman"/>
          <w:sz w:val="24"/>
          <w:szCs w:val="24"/>
        </w:rPr>
        <w:t xml:space="preserve"> </w:t>
      </w:r>
      <w:r w:rsidRPr="00110602">
        <w:rPr>
          <w:rFonts w:ascii="Times New Roman" w:hAnsi="Times New Roman" w:cs="Times New Roman"/>
          <w:sz w:val="24"/>
          <w:szCs w:val="24"/>
        </w:rPr>
        <w:t>of the unit has been further strengthened and enhanced by the creation of Criminal Court “E”, one of the Courts in the Criminal Assizes of Montserrado County, also replicated now in Sanniquellie</w:t>
      </w:r>
      <w:r w:rsidR="00A62B3D">
        <w:rPr>
          <w:rFonts w:ascii="Times New Roman" w:hAnsi="Times New Roman" w:cs="Times New Roman"/>
          <w:sz w:val="24"/>
          <w:szCs w:val="24"/>
        </w:rPr>
        <w:t>,</w:t>
      </w:r>
      <w:r w:rsidR="00A87708">
        <w:rPr>
          <w:rFonts w:ascii="Times New Roman" w:hAnsi="Times New Roman" w:cs="Times New Roman"/>
          <w:sz w:val="24"/>
          <w:szCs w:val="24"/>
        </w:rPr>
        <w:t xml:space="preserve"> </w:t>
      </w:r>
      <w:r w:rsidRPr="00110602">
        <w:rPr>
          <w:rFonts w:ascii="Times New Roman" w:hAnsi="Times New Roman" w:cs="Times New Roman"/>
          <w:sz w:val="24"/>
          <w:szCs w:val="24"/>
        </w:rPr>
        <w:t>Nimba Count</w:t>
      </w:r>
      <w:r w:rsidR="00235F1A">
        <w:rPr>
          <w:rFonts w:ascii="Times New Roman" w:hAnsi="Times New Roman" w:cs="Times New Roman"/>
          <w:sz w:val="24"/>
          <w:szCs w:val="24"/>
        </w:rPr>
        <w:t>y</w:t>
      </w:r>
      <w:r w:rsidR="00A87708">
        <w:rPr>
          <w:rFonts w:ascii="Times New Roman" w:hAnsi="Times New Roman" w:cs="Times New Roman"/>
          <w:sz w:val="24"/>
          <w:szCs w:val="24"/>
        </w:rPr>
        <w:t xml:space="preserve"> </w:t>
      </w:r>
      <w:r w:rsidR="00CA2C19">
        <w:rPr>
          <w:rFonts w:ascii="Times New Roman" w:hAnsi="Times New Roman" w:cs="Times New Roman"/>
          <w:sz w:val="24"/>
          <w:szCs w:val="24"/>
        </w:rPr>
        <w:t>which specifically deals with cases related to sexual and gender based violence</w:t>
      </w:r>
      <w:r w:rsidRPr="00110602">
        <w:rPr>
          <w:rFonts w:ascii="Times New Roman" w:hAnsi="Times New Roman" w:cs="Times New Roman"/>
          <w:sz w:val="24"/>
          <w:szCs w:val="24"/>
        </w:rPr>
        <w:t>.</w:t>
      </w:r>
    </w:p>
    <w:p w14:paraId="0DB6BD4B" w14:textId="77777777" w:rsidR="004312E4" w:rsidRPr="00110602" w:rsidRDefault="004312E4" w:rsidP="00B360E1">
      <w:pPr>
        <w:pStyle w:val="ListParagraph"/>
        <w:ind w:left="360"/>
        <w:jc w:val="both"/>
        <w:rPr>
          <w:rFonts w:ascii="Times New Roman" w:hAnsi="Times New Roman" w:cs="Times New Roman"/>
        </w:rPr>
      </w:pPr>
    </w:p>
    <w:p w14:paraId="31FF7A0F" w14:textId="3C6CDA8F" w:rsidR="004312E4" w:rsidRPr="00110602" w:rsidRDefault="004312E4" w:rsidP="00EF5606">
      <w:pPr>
        <w:pStyle w:val="NoSpacing"/>
        <w:ind w:left="360"/>
        <w:jc w:val="both"/>
        <w:rPr>
          <w:rFonts w:ascii="Times New Roman" w:hAnsi="Times New Roman" w:cs="Times New Roman"/>
          <w:sz w:val="24"/>
          <w:szCs w:val="24"/>
        </w:rPr>
      </w:pPr>
      <w:r w:rsidRPr="00110602">
        <w:rPr>
          <w:rFonts w:ascii="Times New Roman" w:hAnsi="Times New Roman" w:cs="Times New Roman"/>
          <w:sz w:val="24"/>
          <w:szCs w:val="24"/>
        </w:rPr>
        <w:t xml:space="preserve">During </w:t>
      </w:r>
      <w:r w:rsidR="00CA2C19">
        <w:rPr>
          <w:rFonts w:ascii="Times New Roman" w:hAnsi="Times New Roman" w:cs="Times New Roman"/>
          <w:sz w:val="24"/>
          <w:szCs w:val="24"/>
        </w:rPr>
        <w:t>last five years</w:t>
      </w:r>
      <w:r w:rsidRPr="00110602">
        <w:rPr>
          <w:rFonts w:ascii="Times New Roman" w:hAnsi="Times New Roman" w:cs="Times New Roman"/>
          <w:sz w:val="24"/>
          <w:szCs w:val="24"/>
        </w:rPr>
        <w:t xml:space="preserve">, there were 117 pre-trial detainees </w:t>
      </w:r>
      <w:r w:rsidR="00CA2C19">
        <w:rPr>
          <w:rFonts w:ascii="Times New Roman" w:hAnsi="Times New Roman" w:cs="Times New Roman"/>
          <w:sz w:val="24"/>
          <w:szCs w:val="24"/>
        </w:rPr>
        <w:t>from</w:t>
      </w:r>
      <w:r w:rsidRPr="00110602">
        <w:rPr>
          <w:rFonts w:ascii="Times New Roman" w:hAnsi="Times New Roman" w:cs="Times New Roman"/>
          <w:sz w:val="24"/>
          <w:szCs w:val="24"/>
        </w:rPr>
        <w:t xml:space="preserve"> 60 cases reported </w:t>
      </w:r>
      <w:r w:rsidR="00CA2C19">
        <w:rPr>
          <w:rFonts w:ascii="Times New Roman" w:hAnsi="Times New Roman" w:cs="Times New Roman"/>
          <w:sz w:val="24"/>
          <w:szCs w:val="24"/>
        </w:rPr>
        <w:t xml:space="preserve">by victims </w:t>
      </w:r>
      <w:r w:rsidRPr="00110602">
        <w:rPr>
          <w:rFonts w:ascii="Times New Roman" w:hAnsi="Times New Roman" w:cs="Times New Roman"/>
          <w:sz w:val="24"/>
          <w:szCs w:val="24"/>
        </w:rPr>
        <w:t xml:space="preserve">in Montserrado County. </w:t>
      </w:r>
      <w:r w:rsidR="00CA2C19">
        <w:rPr>
          <w:rFonts w:ascii="Times New Roman" w:hAnsi="Times New Roman" w:cs="Times New Roman"/>
          <w:sz w:val="24"/>
          <w:szCs w:val="24"/>
        </w:rPr>
        <w:t>In the</w:t>
      </w:r>
      <w:r w:rsidRPr="00110602">
        <w:rPr>
          <w:rFonts w:ascii="Times New Roman" w:hAnsi="Times New Roman" w:cs="Times New Roman"/>
          <w:sz w:val="24"/>
          <w:szCs w:val="24"/>
        </w:rPr>
        <w:t xml:space="preserve"> Gbarnga Region</w:t>
      </w:r>
      <w:r w:rsidR="00CA2C19">
        <w:rPr>
          <w:rFonts w:ascii="Times New Roman" w:hAnsi="Times New Roman" w:cs="Times New Roman"/>
          <w:sz w:val="24"/>
          <w:szCs w:val="24"/>
        </w:rPr>
        <w:t>, there were</w:t>
      </w:r>
      <w:r w:rsidRPr="00110602">
        <w:rPr>
          <w:rFonts w:ascii="Times New Roman" w:hAnsi="Times New Roman" w:cs="Times New Roman"/>
          <w:sz w:val="24"/>
          <w:szCs w:val="24"/>
        </w:rPr>
        <w:t xml:space="preserve"> 58 pretrial detainees held in prison at the Gbarnga Hub.  </w:t>
      </w:r>
      <w:r w:rsidR="00CA2C19">
        <w:rPr>
          <w:rFonts w:ascii="Times New Roman" w:hAnsi="Times New Roman" w:cs="Times New Roman"/>
          <w:sz w:val="24"/>
          <w:szCs w:val="24"/>
        </w:rPr>
        <w:t>In 2013,</w:t>
      </w:r>
      <w:r w:rsidR="00574D1A">
        <w:rPr>
          <w:rFonts w:ascii="Times New Roman" w:hAnsi="Times New Roman" w:cs="Times New Roman"/>
          <w:sz w:val="24"/>
          <w:szCs w:val="24"/>
        </w:rPr>
        <w:t xml:space="preserve"> Liberia</w:t>
      </w:r>
      <w:r w:rsidRPr="00110602">
        <w:rPr>
          <w:rFonts w:ascii="Times New Roman" w:hAnsi="Times New Roman" w:cs="Times New Roman"/>
          <w:sz w:val="24"/>
          <w:szCs w:val="24"/>
        </w:rPr>
        <w:t xml:space="preserve"> National Police </w:t>
      </w:r>
      <w:r w:rsidR="00CA2C19">
        <w:rPr>
          <w:rFonts w:ascii="Times New Roman" w:hAnsi="Times New Roman" w:cs="Times New Roman"/>
          <w:sz w:val="24"/>
          <w:szCs w:val="24"/>
        </w:rPr>
        <w:t>also</w:t>
      </w:r>
      <w:r w:rsidRPr="00110602">
        <w:rPr>
          <w:rFonts w:ascii="Times New Roman" w:hAnsi="Times New Roman" w:cs="Times New Roman"/>
          <w:sz w:val="24"/>
          <w:szCs w:val="24"/>
        </w:rPr>
        <w:t xml:space="preserve"> recorded 359 </w:t>
      </w:r>
      <w:r w:rsidRPr="00110602">
        <w:rPr>
          <w:rFonts w:ascii="Times New Roman" w:hAnsi="Times New Roman" w:cs="Times New Roman"/>
          <w:sz w:val="24"/>
          <w:szCs w:val="24"/>
        </w:rPr>
        <w:lastRenderedPageBreak/>
        <w:t xml:space="preserve">cases of sexual violence cases nationwide with rape accounting for the highest. In the year 2014, a total of two hundred </w:t>
      </w:r>
      <w:r w:rsidR="00DC6EA3">
        <w:rPr>
          <w:rFonts w:ascii="Times New Roman" w:hAnsi="Times New Roman" w:cs="Times New Roman"/>
          <w:sz w:val="24"/>
          <w:szCs w:val="24"/>
        </w:rPr>
        <w:t xml:space="preserve">255 </w:t>
      </w:r>
      <w:r w:rsidRPr="00110602">
        <w:rPr>
          <w:rFonts w:ascii="Times New Roman" w:hAnsi="Times New Roman" w:cs="Times New Roman"/>
          <w:sz w:val="24"/>
          <w:szCs w:val="24"/>
        </w:rPr>
        <w:t xml:space="preserve"> detainees for sexual offense cases </w:t>
      </w:r>
      <w:r w:rsidR="00CA2C19">
        <w:rPr>
          <w:rFonts w:ascii="Times New Roman" w:hAnsi="Times New Roman" w:cs="Times New Roman"/>
          <w:sz w:val="24"/>
          <w:szCs w:val="24"/>
        </w:rPr>
        <w:t>were</w:t>
      </w:r>
      <w:r w:rsidR="00CA2C19" w:rsidRPr="00110602">
        <w:rPr>
          <w:rFonts w:ascii="Times New Roman" w:hAnsi="Times New Roman" w:cs="Times New Roman"/>
          <w:sz w:val="24"/>
          <w:szCs w:val="24"/>
        </w:rPr>
        <w:t xml:space="preserve"> </w:t>
      </w:r>
      <w:r w:rsidRPr="00110602">
        <w:rPr>
          <w:rFonts w:ascii="Times New Roman" w:hAnsi="Times New Roman" w:cs="Times New Roman"/>
          <w:sz w:val="24"/>
          <w:szCs w:val="24"/>
        </w:rPr>
        <w:t xml:space="preserve">incarcerated in Monrovia Central Prison (MCP) and the Regional Hubs prison, </w:t>
      </w:r>
      <w:r w:rsidR="00DC6EA3">
        <w:rPr>
          <w:rFonts w:ascii="Times New Roman" w:hAnsi="Times New Roman" w:cs="Times New Roman"/>
          <w:sz w:val="24"/>
          <w:szCs w:val="24"/>
        </w:rPr>
        <w:t xml:space="preserve">20 </w:t>
      </w:r>
      <w:r w:rsidRPr="00110602">
        <w:rPr>
          <w:rFonts w:ascii="Times New Roman" w:hAnsi="Times New Roman" w:cs="Times New Roman"/>
          <w:sz w:val="24"/>
          <w:szCs w:val="24"/>
        </w:rPr>
        <w:t xml:space="preserve"> cases were tried resulting </w:t>
      </w:r>
      <w:r w:rsidR="00CA2C19">
        <w:rPr>
          <w:rFonts w:ascii="Times New Roman" w:hAnsi="Times New Roman" w:cs="Times New Roman"/>
          <w:sz w:val="24"/>
          <w:szCs w:val="24"/>
        </w:rPr>
        <w:t>in</w:t>
      </w:r>
      <w:r w:rsidR="00CA2C19" w:rsidRPr="00110602">
        <w:rPr>
          <w:rFonts w:ascii="Times New Roman" w:hAnsi="Times New Roman" w:cs="Times New Roman"/>
          <w:sz w:val="24"/>
          <w:szCs w:val="24"/>
        </w:rPr>
        <w:t xml:space="preserve"> </w:t>
      </w:r>
      <w:r w:rsidRPr="00110602">
        <w:rPr>
          <w:rFonts w:ascii="Times New Roman" w:hAnsi="Times New Roman" w:cs="Times New Roman"/>
          <w:sz w:val="24"/>
          <w:szCs w:val="24"/>
        </w:rPr>
        <w:t>guilty verdict</w:t>
      </w:r>
      <w:r w:rsidR="00CA2C19">
        <w:rPr>
          <w:rFonts w:ascii="Times New Roman" w:hAnsi="Times New Roman" w:cs="Times New Roman"/>
          <w:sz w:val="24"/>
          <w:szCs w:val="24"/>
        </w:rPr>
        <w:t>s</w:t>
      </w:r>
      <w:r w:rsidRPr="00110602">
        <w:rPr>
          <w:rFonts w:ascii="Times New Roman" w:hAnsi="Times New Roman" w:cs="Times New Roman"/>
          <w:sz w:val="24"/>
          <w:szCs w:val="24"/>
        </w:rPr>
        <w:t xml:space="preserve"> </w:t>
      </w:r>
      <w:r w:rsidR="00CA2C19">
        <w:rPr>
          <w:rFonts w:ascii="Times New Roman" w:hAnsi="Times New Roman" w:cs="Times New Roman"/>
          <w:sz w:val="24"/>
          <w:szCs w:val="24"/>
        </w:rPr>
        <w:t>for</w:t>
      </w:r>
      <w:r w:rsidR="00CA2C19" w:rsidRPr="00110602">
        <w:rPr>
          <w:rFonts w:ascii="Times New Roman" w:hAnsi="Times New Roman" w:cs="Times New Roman"/>
          <w:sz w:val="24"/>
          <w:szCs w:val="24"/>
        </w:rPr>
        <w:t xml:space="preserve"> </w:t>
      </w:r>
      <w:r w:rsidR="00DC6EA3">
        <w:rPr>
          <w:rFonts w:ascii="Times New Roman" w:hAnsi="Times New Roman" w:cs="Times New Roman"/>
          <w:sz w:val="24"/>
          <w:szCs w:val="24"/>
        </w:rPr>
        <w:t>17</w:t>
      </w:r>
      <w:r w:rsidRPr="00110602">
        <w:rPr>
          <w:rFonts w:ascii="Times New Roman" w:hAnsi="Times New Roman" w:cs="Times New Roman"/>
          <w:sz w:val="24"/>
          <w:szCs w:val="24"/>
        </w:rPr>
        <w:t xml:space="preserve"> perpetrators with imprisonment terms ranging from </w:t>
      </w:r>
      <w:r w:rsidR="00DC6EA3">
        <w:rPr>
          <w:rFonts w:ascii="Times New Roman" w:hAnsi="Times New Roman" w:cs="Times New Roman"/>
          <w:sz w:val="24"/>
          <w:szCs w:val="24"/>
        </w:rPr>
        <w:t>4</w:t>
      </w:r>
      <w:r w:rsidR="00574D1A">
        <w:rPr>
          <w:rFonts w:ascii="Times New Roman" w:hAnsi="Times New Roman" w:cs="Times New Roman"/>
          <w:sz w:val="24"/>
          <w:szCs w:val="24"/>
        </w:rPr>
        <w:t xml:space="preserve"> years</w:t>
      </w:r>
      <w:r w:rsidR="00CA2C19">
        <w:rPr>
          <w:rFonts w:ascii="Times New Roman" w:hAnsi="Times New Roman" w:cs="Times New Roman"/>
          <w:sz w:val="24"/>
          <w:szCs w:val="24"/>
        </w:rPr>
        <w:t xml:space="preserve"> </w:t>
      </w:r>
      <w:r w:rsidRPr="00110602">
        <w:rPr>
          <w:rFonts w:ascii="Times New Roman" w:hAnsi="Times New Roman" w:cs="Times New Roman"/>
          <w:sz w:val="24"/>
          <w:szCs w:val="24"/>
        </w:rPr>
        <w:t>to lifetime</w:t>
      </w:r>
      <w:r w:rsidR="00CA2C19">
        <w:rPr>
          <w:rFonts w:ascii="Times New Roman" w:hAnsi="Times New Roman" w:cs="Times New Roman"/>
          <w:sz w:val="24"/>
          <w:szCs w:val="24"/>
        </w:rPr>
        <w:t xml:space="preserve"> imprisonment. </w:t>
      </w:r>
      <w:r w:rsidRPr="00110602">
        <w:rPr>
          <w:rFonts w:ascii="Times New Roman" w:hAnsi="Times New Roman" w:cs="Times New Roman"/>
          <w:sz w:val="24"/>
          <w:szCs w:val="24"/>
        </w:rPr>
        <w:t xml:space="preserve">Due to insufficient evidence, </w:t>
      </w:r>
      <w:r w:rsidR="00DC6EA3">
        <w:rPr>
          <w:rFonts w:ascii="Times New Roman" w:hAnsi="Times New Roman" w:cs="Times New Roman"/>
          <w:sz w:val="24"/>
          <w:szCs w:val="24"/>
        </w:rPr>
        <w:t>54</w:t>
      </w:r>
      <w:r w:rsidRPr="00110602">
        <w:rPr>
          <w:rFonts w:ascii="Times New Roman" w:hAnsi="Times New Roman" w:cs="Times New Roman"/>
          <w:sz w:val="24"/>
          <w:szCs w:val="24"/>
        </w:rPr>
        <w:t xml:space="preserve"> complaints were dismissed </w:t>
      </w:r>
      <w:r w:rsidR="00DC6EA3">
        <w:rPr>
          <w:rFonts w:ascii="Times New Roman" w:hAnsi="Times New Roman" w:cs="Times New Roman"/>
          <w:sz w:val="24"/>
          <w:szCs w:val="24"/>
        </w:rPr>
        <w:t>at</w:t>
      </w:r>
      <w:r w:rsidR="00DC6EA3" w:rsidRPr="00110602">
        <w:rPr>
          <w:rFonts w:ascii="Times New Roman" w:hAnsi="Times New Roman" w:cs="Times New Roman"/>
          <w:sz w:val="24"/>
          <w:szCs w:val="24"/>
        </w:rPr>
        <w:t xml:space="preserve"> </w:t>
      </w:r>
      <w:r w:rsidRPr="00110602">
        <w:rPr>
          <w:rFonts w:ascii="Times New Roman" w:hAnsi="Times New Roman" w:cs="Times New Roman"/>
          <w:sz w:val="24"/>
          <w:szCs w:val="24"/>
        </w:rPr>
        <w:t xml:space="preserve">the Gbarnga Regional Hub. </w:t>
      </w:r>
      <w:r w:rsidR="00DC6EA3">
        <w:rPr>
          <w:rFonts w:ascii="Times New Roman" w:hAnsi="Times New Roman" w:cs="Times New Roman"/>
          <w:sz w:val="24"/>
          <w:szCs w:val="24"/>
        </w:rPr>
        <w:t xml:space="preserve"> In 2017,</w:t>
      </w:r>
      <w:r w:rsidR="00DC6EA3" w:rsidRPr="00110602">
        <w:rPr>
          <w:rFonts w:ascii="Times New Roman" w:hAnsi="Times New Roman" w:cs="Times New Roman"/>
          <w:sz w:val="24"/>
          <w:szCs w:val="24"/>
        </w:rPr>
        <w:t xml:space="preserve"> </w:t>
      </w:r>
      <w:r w:rsidR="00A87708" w:rsidRPr="00110602">
        <w:rPr>
          <w:rFonts w:ascii="Times New Roman" w:hAnsi="Times New Roman" w:cs="Times New Roman"/>
          <w:sz w:val="24"/>
          <w:szCs w:val="24"/>
        </w:rPr>
        <w:t>total</w:t>
      </w:r>
      <w:r w:rsidRPr="00110602">
        <w:rPr>
          <w:rFonts w:ascii="Times New Roman" w:hAnsi="Times New Roman" w:cs="Times New Roman"/>
          <w:sz w:val="24"/>
          <w:szCs w:val="24"/>
        </w:rPr>
        <w:t xml:space="preserve"> of </w:t>
      </w:r>
      <w:r w:rsidR="00DC6EA3">
        <w:rPr>
          <w:rFonts w:ascii="Times New Roman" w:hAnsi="Times New Roman" w:cs="Times New Roman"/>
          <w:sz w:val="24"/>
          <w:szCs w:val="24"/>
        </w:rPr>
        <w:t>190</w:t>
      </w:r>
      <w:r w:rsidRPr="00110602">
        <w:rPr>
          <w:rFonts w:ascii="Times New Roman" w:hAnsi="Times New Roman" w:cs="Times New Roman"/>
          <w:sz w:val="24"/>
          <w:szCs w:val="24"/>
        </w:rPr>
        <w:t xml:space="preserve"> new complaints were received and documented by the Crimes Unit. </w:t>
      </w:r>
      <w:r w:rsidR="00A87708">
        <w:rPr>
          <w:rFonts w:ascii="Times New Roman" w:hAnsi="Times New Roman" w:cs="Times New Roman"/>
          <w:sz w:val="24"/>
          <w:szCs w:val="24"/>
        </w:rPr>
        <w:t>In 2017, upon appeal from the Steering Committee of the National Human Rights Action Plan for Liberia, the gathering of evidence to prosecute rape cases was boosted with the acquisition of a DNA machine, procured by the United Nations Missions in Liberia (UNMIL)</w:t>
      </w:r>
      <w:r w:rsidR="00DC6EA3">
        <w:rPr>
          <w:rFonts w:ascii="Times New Roman" w:hAnsi="Times New Roman" w:cs="Times New Roman"/>
          <w:sz w:val="24"/>
          <w:szCs w:val="24"/>
        </w:rPr>
        <w:t>.</w:t>
      </w:r>
      <w:r w:rsidR="00A87708">
        <w:rPr>
          <w:rFonts w:ascii="Times New Roman" w:hAnsi="Times New Roman" w:cs="Times New Roman"/>
          <w:sz w:val="24"/>
          <w:szCs w:val="24"/>
        </w:rPr>
        <w:t xml:space="preserve"> </w:t>
      </w:r>
    </w:p>
    <w:p w14:paraId="050A368A" w14:textId="77777777" w:rsidR="007B0EDE" w:rsidRPr="00110602" w:rsidRDefault="007B0EDE" w:rsidP="007B0EDE">
      <w:pPr>
        <w:pStyle w:val="NoSpacing"/>
        <w:ind w:left="360"/>
        <w:jc w:val="both"/>
        <w:rPr>
          <w:rFonts w:ascii="Times New Roman" w:hAnsi="Times New Roman" w:cs="Times New Roman"/>
          <w:sz w:val="24"/>
          <w:szCs w:val="24"/>
        </w:rPr>
      </w:pPr>
    </w:p>
    <w:p w14:paraId="73DAFD35" w14:textId="77777777" w:rsidR="007B0EDE" w:rsidRPr="001C7211" w:rsidRDefault="007B0EDE" w:rsidP="007B0EDE">
      <w:pPr>
        <w:pStyle w:val="NoSpacing"/>
        <w:ind w:left="360"/>
        <w:jc w:val="both"/>
        <w:rPr>
          <w:rFonts w:ascii="Times New Roman" w:hAnsi="Times New Roman" w:cs="Times New Roman"/>
          <w:sz w:val="16"/>
          <w:szCs w:val="24"/>
        </w:rPr>
      </w:pPr>
    </w:p>
    <w:p w14:paraId="2E348877" w14:textId="1D03E5C2" w:rsidR="00EC02DA" w:rsidRPr="00110602" w:rsidRDefault="00235F1A" w:rsidP="00AB305E">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In </w:t>
      </w:r>
      <w:r w:rsidR="004312E4" w:rsidRPr="00110602">
        <w:rPr>
          <w:rFonts w:ascii="Times New Roman" w:hAnsi="Times New Roman" w:cs="Times New Roman"/>
          <w:sz w:val="24"/>
          <w:szCs w:val="24"/>
        </w:rPr>
        <w:t xml:space="preserve">2015, </w:t>
      </w:r>
      <w:r w:rsidR="00574D1A">
        <w:rPr>
          <w:rFonts w:ascii="Times New Roman" w:hAnsi="Times New Roman" w:cs="Times New Roman"/>
          <w:sz w:val="24"/>
          <w:szCs w:val="24"/>
        </w:rPr>
        <w:t xml:space="preserve">the County Attorney of  </w:t>
      </w:r>
      <w:r w:rsidR="004312E4" w:rsidRPr="00110602">
        <w:rPr>
          <w:rFonts w:ascii="Times New Roman" w:hAnsi="Times New Roman" w:cs="Times New Roman"/>
          <w:sz w:val="24"/>
          <w:szCs w:val="24"/>
        </w:rPr>
        <w:t xml:space="preserve">Montserrado County </w:t>
      </w:r>
      <w:r w:rsidR="007B0EDE" w:rsidRPr="00110602">
        <w:rPr>
          <w:rFonts w:ascii="Times New Roman" w:hAnsi="Times New Roman" w:cs="Times New Roman"/>
          <w:sz w:val="24"/>
          <w:szCs w:val="24"/>
        </w:rPr>
        <w:t xml:space="preserve">Attorney </w:t>
      </w:r>
      <w:r w:rsidR="004312E4" w:rsidRPr="00110602">
        <w:rPr>
          <w:rFonts w:ascii="Times New Roman" w:hAnsi="Times New Roman" w:cs="Times New Roman"/>
          <w:sz w:val="24"/>
          <w:szCs w:val="24"/>
        </w:rPr>
        <w:t xml:space="preserve">presented two hundred </w:t>
      </w:r>
      <w:r w:rsidR="007B0EDE" w:rsidRPr="00110602">
        <w:rPr>
          <w:rFonts w:ascii="Times New Roman" w:hAnsi="Times New Roman" w:cs="Times New Roman"/>
          <w:sz w:val="24"/>
          <w:szCs w:val="24"/>
        </w:rPr>
        <w:t xml:space="preserve">and </w:t>
      </w:r>
      <w:r w:rsidR="004312E4" w:rsidRPr="00110602">
        <w:rPr>
          <w:rFonts w:ascii="Times New Roman" w:hAnsi="Times New Roman" w:cs="Times New Roman"/>
          <w:sz w:val="24"/>
          <w:szCs w:val="24"/>
        </w:rPr>
        <w:t>two (202) indictm</w:t>
      </w:r>
      <w:r w:rsidR="00574D1A">
        <w:rPr>
          <w:rFonts w:ascii="Times New Roman" w:hAnsi="Times New Roman" w:cs="Times New Roman"/>
          <w:sz w:val="24"/>
          <w:szCs w:val="24"/>
        </w:rPr>
        <w:t>ents to the Grand Jury for</w:t>
      </w:r>
      <w:r w:rsidR="004312E4" w:rsidRPr="00110602">
        <w:rPr>
          <w:rFonts w:ascii="Times New Roman" w:hAnsi="Times New Roman" w:cs="Times New Roman"/>
          <w:sz w:val="24"/>
          <w:szCs w:val="24"/>
        </w:rPr>
        <w:t xml:space="preserve"> determination</w:t>
      </w:r>
      <w:r w:rsidR="00DC6EA3">
        <w:rPr>
          <w:rFonts w:ascii="Times New Roman" w:hAnsi="Times New Roman" w:cs="Times New Roman"/>
          <w:sz w:val="24"/>
          <w:szCs w:val="24"/>
        </w:rPr>
        <w:t xml:space="preserve">.  Of the 202 cases, the Grand Jury agreed that evidence was sufficient in 199 cases to proceed to trial.  </w:t>
      </w:r>
      <w:r w:rsidR="004312E4" w:rsidRPr="00110602">
        <w:rPr>
          <w:rFonts w:ascii="Times New Roman" w:hAnsi="Times New Roman" w:cs="Times New Roman"/>
          <w:sz w:val="24"/>
          <w:szCs w:val="24"/>
        </w:rPr>
        <w:t xml:space="preserve">A total of </w:t>
      </w:r>
      <w:r w:rsidR="00DC6EA3">
        <w:rPr>
          <w:rFonts w:ascii="Times New Roman" w:hAnsi="Times New Roman" w:cs="Times New Roman"/>
          <w:sz w:val="24"/>
          <w:szCs w:val="24"/>
        </w:rPr>
        <w:t>80</w:t>
      </w:r>
      <w:r w:rsidR="004312E4" w:rsidRPr="00110602">
        <w:rPr>
          <w:rFonts w:ascii="Times New Roman" w:hAnsi="Times New Roman" w:cs="Times New Roman"/>
          <w:sz w:val="24"/>
          <w:szCs w:val="24"/>
        </w:rPr>
        <w:t xml:space="preserve"> new complaints were received in Montserrado; </w:t>
      </w:r>
      <w:r w:rsidR="00DC6EA3">
        <w:rPr>
          <w:rFonts w:ascii="Times New Roman" w:hAnsi="Times New Roman" w:cs="Times New Roman"/>
          <w:sz w:val="24"/>
          <w:szCs w:val="24"/>
        </w:rPr>
        <w:t>61</w:t>
      </w:r>
      <w:r w:rsidR="00574D1A">
        <w:rPr>
          <w:rFonts w:ascii="Times New Roman" w:hAnsi="Times New Roman" w:cs="Times New Roman"/>
          <w:sz w:val="24"/>
          <w:szCs w:val="24"/>
        </w:rPr>
        <w:t xml:space="preserve"> of these complaints were</w:t>
      </w:r>
      <w:r w:rsidR="004312E4" w:rsidRPr="00110602">
        <w:rPr>
          <w:rFonts w:ascii="Times New Roman" w:hAnsi="Times New Roman" w:cs="Times New Roman"/>
          <w:sz w:val="24"/>
          <w:szCs w:val="24"/>
        </w:rPr>
        <w:t xml:space="preserve"> Statutory Rape while </w:t>
      </w:r>
      <w:r w:rsidR="00DC6EA3">
        <w:rPr>
          <w:rFonts w:ascii="Times New Roman" w:hAnsi="Times New Roman" w:cs="Times New Roman"/>
          <w:sz w:val="24"/>
          <w:szCs w:val="24"/>
        </w:rPr>
        <w:t>2</w:t>
      </w:r>
      <w:r w:rsidR="004312E4" w:rsidRPr="00110602">
        <w:rPr>
          <w:rFonts w:ascii="Times New Roman" w:hAnsi="Times New Roman" w:cs="Times New Roman"/>
          <w:sz w:val="24"/>
          <w:szCs w:val="24"/>
        </w:rPr>
        <w:t xml:space="preserve"> were complaints of gang rape and </w:t>
      </w:r>
      <w:r w:rsidR="00DC6EA3">
        <w:rPr>
          <w:rFonts w:ascii="Times New Roman" w:hAnsi="Times New Roman" w:cs="Times New Roman"/>
          <w:sz w:val="24"/>
          <w:szCs w:val="24"/>
        </w:rPr>
        <w:t>11</w:t>
      </w:r>
      <w:r w:rsidR="00DC6EA3" w:rsidRPr="00110602">
        <w:rPr>
          <w:rFonts w:ascii="Times New Roman" w:hAnsi="Times New Roman" w:cs="Times New Roman"/>
          <w:sz w:val="24"/>
          <w:szCs w:val="24"/>
        </w:rPr>
        <w:t xml:space="preserve"> </w:t>
      </w:r>
      <w:r w:rsidR="004312E4" w:rsidRPr="00110602">
        <w:rPr>
          <w:rFonts w:ascii="Times New Roman" w:hAnsi="Times New Roman" w:cs="Times New Roman"/>
          <w:sz w:val="24"/>
          <w:szCs w:val="24"/>
        </w:rPr>
        <w:t xml:space="preserve">were complaints of rape.  In Regional Hub 1, </w:t>
      </w:r>
      <w:r w:rsidR="00DC6EA3">
        <w:rPr>
          <w:rFonts w:ascii="Times New Roman" w:hAnsi="Times New Roman" w:cs="Times New Roman"/>
          <w:sz w:val="24"/>
          <w:szCs w:val="24"/>
        </w:rPr>
        <w:t>14</w:t>
      </w:r>
      <w:r w:rsidR="004312E4" w:rsidRPr="00110602">
        <w:rPr>
          <w:rFonts w:ascii="Times New Roman" w:hAnsi="Times New Roman" w:cs="Times New Roman"/>
          <w:sz w:val="24"/>
          <w:szCs w:val="24"/>
        </w:rPr>
        <w:t xml:space="preserve"> sexual offense cases went to trial. The prosecution obtained </w:t>
      </w:r>
      <w:r w:rsidR="00DC6EA3">
        <w:rPr>
          <w:rFonts w:ascii="Times New Roman" w:hAnsi="Times New Roman" w:cs="Times New Roman"/>
          <w:sz w:val="24"/>
          <w:szCs w:val="24"/>
        </w:rPr>
        <w:t>11</w:t>
      </w:r>
      <w:r w:rsidR="004312E4" w:rsidRPr="00110602">
        <w:rPr>
          <w:rFonts w:ascii="Times New Roman" w:hAnsi="Times New Roman" w:cs="Times New Roman"/>
          <w:sz w:val="24"/>
          <w:szCs w:val="24"/>
        </w:rPr>
        <w:t xml:space="preserve"> convictions, </w:t>
      </w:r>
      <w:r w:rsidR="00DC6EA3">
        <w:rPr>
          <w:rFonts w:ascii="Times New Roman" w:hAnsi="Times New Roman" w:cs="Times New Roman"/>
          <w:sz w:val="24"/>
          <w:szCs w:val="24"/>
        </w:rPr>
        <w:t>1</w:t>
      </w:r>
      <w:r w:rsidR="004312E4" w:rsidRPr="00110602">
        <w:rPr>
          <w:rFonts w:ascii="Times New Roman" w:hAnsi="Times New Roman" w:cs="Times New Roman"/>
          <w:sz w:val="24"/>
          <w:szCs w:val="24"/>
        </w:rPr>
        <w:t xml:space="preserve"> hung verdict and lost </w:t>
      </w:r>
      <w:r w:rsidR="00DC6EA3">
        <w:rPr>
          <w:rFonts w:ascii="Times New Roman" w:hAnsi="Times New Roman" w:cs="Times New Roman"/>
          <w:sz w:val="24"/>
          <w:szCs w:val="24"/>
        </w:rPr>
        <w:t>1</w:t>
      </w:r>
      <w:r w:rsidR="004312E4" w:rsidRPr="00110602">
        <w:rPr>
          <w:rFonts w:ascii="Times New Roman" w:hAnsi="Times New Roman" w:cs="Times New Roman"/>
          <w:sz w:val="24"/>
          <w:szCs w:val="24"/>
        </w:rPr>
        <w:t xml:space="preserve"> case. In Regional Hub </w:t>
      </w:r>
      <w:r w:rsidR="00DC6EA3">
        <w:rPr>
          <w:rFonts w:ascii="Times New Roman" w:hAnsi="Times New Roman" w:cs="Times New Roman"/>
          <w:sz w:val="24"/>
          <w:szCs w:val="24"/>
        </w:rPr>
        <w:t>2</w:t>
      </w:r>
      <w:r w:rsidR="004312E4" w:rsidRPr="00110602">
        <w:rPr>
          <w:rFonts w:ascii="Times New Roman" w:hAnsi="Times New Roman" w:cs="Times New Roman"/>
          <w:sz w:val="24"/>
          <w:szCs w:val="24"/>
        </w:rPr>
        <w:t xml:space="preserve">, </w:t>
      </w:r>
      <w:r w:rsidR="00DC6EA3">
        <w:rPr>
          <w:rFonts w:ascii="Times New Roman" w:hAnsi="Times New Roman" w:cs="Times New Roman"/>
          <w:sz w:val="24"/>
          <w:szCs w:val="24"/>
        </w:rPr>
        <w:t>10</w:t>
      </w:r>
      <w:r w:rsidR="004312E4" w:rsidRPr="00110602">
        <w:rPr>
          <w:rFonts w:ascii="Times New Roman" w:hAnsi="Times New Roman" w:cs="Times New Roman"/>
          <w:sz w:val="24"/>
          <w:szCs w:val="24"/>
        </w:rPr>
        <w:t xml:space="preserve"> cases went to trial, out of which </w:t>
      </w:r>
      <w:r w:rsidR="00DC6EA3">
        <w:rPr>
          <w:rFonts w:ascii="Times New Roman" w:hAnsi="Times New Roman" w:cs="Times New Roman"/>
          <w:sz w:val="24"/>
          <w:szCs w:val="24"/>
        </w:rPr>
        <w:t>9</w:t>
      </w:r>
      <w:r w:rsidR="004312E4" w:rsidRPr="00110602">
        <w:rPr>
          <w:rFonts w:ascii="Times New Roman" w:hAnsi="Times New Roman" w:cs="Times New Roman"/>
          <w:sz w:val="24"/>
          <w:szCs w:val="24"/>
        </w:rPr>
        <w:t xml:space="preserve"> convictions were obtained. Hub 3 tried </w:t>
      </w:r>
      <w:r w:rsidR="00DC6EA3">
        <w:rPr>
          <w:rFonts w:ascii="Times New Roman" w:hAnsi="Times New Roman" w:cs="Times New Roman"/>
          <w:sz w:val="24"/>
          <w:szCs w:val="24"/>
        </w:rPr>
        <w:t>5</w:t>
      </w:r>
      <w:r w:rsidR="004312E4" w:rsidRPr="00110602">
        <w:rPr>
          <w:rFonts w:ascii="Times New Roman" w:hAnsi="Times New Roman" w:cs="Times New Roman"/>
          <w:sz w:val="24"/>
          <w:szCs w:val="24"/>
        </w:rPr>
        <w:t xml:space="preserve"> cases out of which </w:t>
      </w:r>
      <w:r w:rsidR="00DC6EA3">
        <w:rPr>
          <w:rFonts w:ascii="Times New Roman" w:hAnsi="Times New Roman" w:cs="Times New Roman"/>
          <w:sz w:val="24"/>
          <w:szCs w:val="24"/>
        </w:rPr>
        <w:t>2</w:t>
      </w:r>
      <w:r w:rsidR="004312E4" w:rsidRPr="00110602">
        <w:rPr>
          <w:rFonts w:ascii="Times New Roman" w:hAnsi="Times New Roman" w:cs="Times New Roman"/>
          <w:sz w:val="24"/>
          <w:szCs w:val="24"/>
        </w:rPr>
        <w:t xml:space="preserve"> convictions were </w:t>
      </w:r>
      <w:r w:rsidR="00DC6EA3">
        <w:rPr>
          <w:rFonts w:ascii="Times New Roman" w:hAnsi="Times New Roman" w:cs="Times New Roman"/>
          <w:sz w:val="24"/>
          <w:szCs w:val="24"/>
        </w:rPr>
        <w:t>obtained</w:t>
      </w:r>
      <w:r w:rsidR="004312E4" w:rsidRPr="00110602">
        <w:rPr>
          <w:rFonts w:ascii="Times New Roman" w:hAnsi="Times New Roman" w:cs="Times New Roman"/>
          <w:sz w:val="24"/>
          <w:szCs w:val="24"/>
        </w:rPr>
        <w:t xml:space="preserve">. </w:t>
      </w:r>
      <w:r w:rsidR="00DC6EA3">
        <w:rPr>
          <w:rFonts w:ascii="Times New Roman" w:hAnsi="Times New Roman" w:cs="Times New Roman"/>
          <w:sz w:val="24"/>
          <w:szCs w:val="24"/>
        </w:rPr>
        <w:t xml:space="preserve">In 2015, the SGBV </w:t>
      </w:r>
      <w:r w:rsidR="004312E4" w:rsidRPr="00110602">
        <w:rPr>
          <w:rFonts w:ascii="Times New Roman" w:hAnsi="Times New Roman" w:cs="Times New Roman"/>
          <w:sz w:val="24"/>
          <w:szCs w:val="24"/>
        </w:rPr>
        <w:t xml:space="preserve">Unit </w:t>
      </w:r>
      <w:r w:rsidR="00DC6EA3">
        <w:rPr>
          <w:rFonts w:ascii="Times New Roman" w:hAnsi="Times New Roman" w:cs="Times New Roman"/>
          <w:sz w:val="24"/>
          <w:szCs w:val="24"/>
        </w:rPr>
        <w:t>successfully obtained the</w:t>
      </w:r>
      <w:r w:rsidR="004312E4" w:rsidRPr="00110602">
        <w:rPr>
          <w:rFonts w:ascii="Times New Roman" w:hAnsi="Times New Roman" w:cs="Times New Roman"/>
          <w:sz w:val="24"/>
          <w:szCs w:val="24"/>
        </w:rPr>
        <w:t xml:space="preserve"> highest number of indictments ever in the Unit’s history. </w:t>
      </w:r>
    </w:p>
    <w:p w14:paraId="0EC1C127" w14:textId="4FBEF647" w:rsidR="004312E4" w:rsidRPr="00110602" w:rsidRDefault="004312E4" w:rsidP="00B83B3C">
      <w:pPr>
        <w:pStyle w:val="NoSpacing"/>
        <w:ind w:left="1080"/>
        <w:jc w:val="both"/>
        <w:rPr>
          <w:rFonts w:ascii="Times New Roman" w:hAnsi="Times New Roman" w:cs="Times New Roman"/>
        </w:rPr>
      </w:pPr>
    </w:p>
    <w:p w14:paraId="52FC09C9" w14:textId="77777777" w:rsidR="004312E4" w:rsidRPr="00CB492D" w:rsidRDefault="004312E4" w:rsidP="00AB305E">
      <w:pPr>
        <w:pStyle w:val="NoSpacing"/>
        <w:ind w:left="360"/>
        <w:jc w:val="both"/>
        <w:rPr>
          <w:rFonts w:ascii="Times New Roman" w:hAnsi="Times New Roman" w:cs="Times New Roman"/>
          <w:sz w:val="24"/>
        </w:rPr>
      </w:pPr>
      <w:r w:rsidRPr="00CB492D">
        <w:rPr>
          <w:rFonts w:ascii="Times New Roman" w:hAnsi="Times New Roman" w:cs="Times New Roman"/>
          <w:sz w:val="24"/>
        </w:rPr>
        <w:t>Also, in order to ensure the effective enforcement of the Rape Law of 2005 and to address impunity for sexual violence in all parts of the Country, the SGBV Crimes Unit with support from the Ministry of Justice and its partners have:</w:t>
      </w:r>
    </w:p>
    <w:p w14:paraId="1E27E0BA" w14:textId="77777777" w:rsidR="009B2F9F" w:rsidRPr="00110602" w:rsidRDefault="009B2F9F" w:rsidP="00B360E1">
      <w:pPr>
        <w:jc w:val="both"/>
        <w:rPr>
          <w:rFonts w:ascii="Times New Roman" w:hAnsi="Times New Roman" w:cs="Times New Roman"/>
        </w:rPr>
      </w:pPr>
    </w:p>
    <w:p w14:paraId="2A10371E" w14:textId="110BBBCF" w:rsidR="004312E4" w:rsidRPr="00CB492D" w:rsidRDefault="004312E4" w:rsidP="00CB492D">
      <w:pPr>
        <w:pStyle w:val="NoSpacing"/>
        <w:numPr>
          <w:ilvl w:val="0"/>
          <w:numId w:val="19"/>
        </w:numPr>
        <w:jc w:val="both"/>
        <w:rPr>
          <w:rFonts w:ascii="Times New Roman" w:hAnsi="Times New Roman" w:cs="Times New Roman"/>
          <w:sz w:val="24"/>
        </w:rPr>
      </w:pPr>
      <w:r w:rsidRPr="00CB492D">
        <w:rPr>
          <w:rFonts w:ascii="Times New Roman" w:hAnsi="Times New Roman" w:cs="Times New Roman"/>
          <w:sz w:val="24"/>
        </w:rPr>
        <w:t>Established the sub-offices of the SGBV Crimes Unit at the Justice and Security Hubs 1, 2 &amp; 3. Hub 1 comprises of Bong, Lofa &amp; Nimba Counties, Hub 2 comprises of Maryland, River Gee and Grand Kru Counties while Hub 3 comprises of Grand Gedeh and Sinoe Counties. The Unit presently covers nine (9) of the fifteen (15) Counties in order for survivors to have access to justice regardless of their location in Liberia</w:t>
      </w:r>
    </w:p>
    <w:p w14:paraId="1AFDD0FF" w14:textId="77777777" w:rsidR="002F07AE" w:rsidRDefault="002F07AE" w:rsidP="002F07AE">
      <w:pPr>
        <w:pStyle w:val="NoSpacing"/>
        <w:jc w:val="both"/>
        <w:rPr>
          <w:rFonts w:ascii="Times New Roman" w:hAnsi="Times New Roman" w:cs="Times New Roman"/>
        </w:rPr>
      </w:pPr>
    </w:p>
    <w:p w14:paraId="4B1F3E3C" w14:textId="77777777" w:rsidR="004312E4" w:rsidRPr="00110602" w:rsidRDefault="004312E4" w:rsidP="00CB492D">
      <w:pPr>
        <w:pStyle w:val="NoSpacing"/>
        <w:numPr>
          <w:ilvl w:val="0"/>
          <w:numId w:val="19"/>
        </w:numPr>
        <w:jc w:val="both"/>
        <w:rPr>
          <w:rFonts w:ascii="Times New Roman" w:hAnsi="Times New Roman" w:cs="Times New Roman"/>
        </w:rPr>
      </w:pPr>
      <w:r w:rsidRPr="00110602">
        <w:rPr>
          <w:rFonts w:ascii="Times New Roman" w:hAnsi="Times New Roman" w:cs="Times New Roman"/>
        </w:rPr>
        <w:t>Distributed mobile in camera screen to all the Circuit Courts in Liberia for the trial of sexual assault and abuse cases</w:t>
      </w:r>
    </w:p>
    <w:p w14:paraId="6B7C4F5F" w14:textId="77777777" w:rsidR="002F07AE" w:rsidRDefault="002F07AE" w:rsidP="002F07AE">
      <w:pPr>
        <w:pStyle w:val="NoSpacing"/>
        <w:jc w:val="both"/>
        <w:rPr>
          <w:rFonts w:ascii="Times New Roman" w:hAnsi="Times New Roman" w:cs="Times New Roman"/>
        </w:rPr>
      </w:pPr>
    </w:p>
    <w:p w14:paraId="08A35074" w14:textId="6A315F7B" w:rsidR="004312E4" w:rsidRPr="00110602" w:rsidRDefault="004312E4" w:rsidP="00CB492D">
      <w:pPr>
        <w:pStyle w:val="NoSpacing"/>
        <w:numPr>
          <w:ilvl w:val="0"/>
          <w:numId w:val="19"/>
        </w:numPr>
        <w:jc w:val="both"/>
        <w:rPr>
          <w:rFonts w:ascii="Times New Roman" w:hAnsi="Times New Roman" w:cs="Times New Roman"/>
        </w:rPr>
      </w:pPr>
      <w:r w:rsidRPr="00110602">
        <w:rPr>
          <w:rFonts w:ascii="Times New Roman" w:hAnsi="Times New Roman" w:cs="Times New Roman"/>
        </w:rPr>
        <w:t>Developed and distributed public educational materials during awareness programs or dialogue in communities, universities, schools at street corners, market places and air jin</w:t>
      </w:r>
      <w:r w:rsidR="00CB4D72" w:rsidRPr="00110602">
        <w:rPr>
          <w:rFonts w:ascii="Times New Roman" w:hAnsi="Times New Roman" w:cs="Times New Roman"/>
        </w:rPr>
        <w:t>g</w:t>
      </w:r>
      <w:r w:rsidRPr="00110602">
        <w:rPr>
          <w:rFonts w:ascii="Times New Roman" w:hAnsi="Times New Roman" w:cs="Times New Roman"/>
        </w:rPr>
        <w:t xml:space="preserve">les about rape to enhance </w:t>
      </w:r>
      <w:r w:rsidR="00574D1A">
        <w:rPr>
          <w:rFonts w:ascii="Times New Roman" w:hAnsi="Times New Roman" w:cs="Times New Roman"/>
        </w:rPr>
        <w:t>public trust in the rule of law.</w:t>
      </w:r>
    </w:p>
    <w:p w14:paraId="133B7821" w14:textId="77777777" w:rsidR="002F07AE" w:rsidRDefault="002F07AE" w:rsidP="002F07AE">
      <w:pPr>
        <w:pStyle w:val="NoSpacing"/>
        <w:jc w:val="both"/>
        <w:rPr>
          <w:rFonts w:ascii="Times New Roman" w:hAnsi="Times New Roman" w:cs="Times New Roman"/>
        </w:rPr>
      </w:pPr>
    </w:p>
    <w:p w14:paraId="7C521EA5" w14:textId="3B4C11C2" w:rsidR="004312E4" w:rsidRPr="00110602" w:rsidRDefault="004312E4" w:rsidP="00CB492D">
      <w:pPr>
        <w:pStyle w:val="NoSpacing"/>
        <w:numPr>
          <w:ilvl w:val="0"/>
          <w:numId w:val="19"/>
        </w:numPr>
        <w:jc w:val="both"/>
        <w:rPr>
          <w:rFonts w:ascii="Times New Roman" w:hAnsi="Times New Roman" w:cs="Times New Roman"/>
        </w:rPr>
      </w:pPr>
      <w:r w:rsidRPr="00110602">
        <w:rPr>
          <w:rFonts w:ascii="Times New Roman" w:hAnsi="Times New Roman" w:cs="Times New Roman"/>
        </w:rPr>
        <w:t>Held several talk shows on the former UNMIL Radio and now ECOWAS Radio</w:t>
      </w:r>
      <w:r w:rsidR="001C7211">
        <w:rPr>
          <w:rFonts w:ascii="Times New Roman" w:hAnsi="Times New Roman" w:cs="Times New Roman"/>
        </w:rPr>
        <w:t>,</w:t>
      </w:r>
      <w:r w:rsidRPr="00110602">
        <w:rPr>
          <w:rFonts w:ascii="Times New Roman" w:hAnsi="Times New Roman" w:cs="Times New Roman"/>
        </w:rPr>
        <w:t xml:space="preserve"> thus affording the general public the opportunity to understand and appreciate the role and responsibility of the SGBV Crimes Unit in the fight against sexual offenses. </w:t>
      </w:r>
    </w:p>
    <w:p w14:paraId="596F05B9" w14:textId="77777777" w:rsidR="002F07AE" w:rsidRDefault="002F07AE" w:rsidP="004A5530">
      <w:pPr>
        <w:pStyle w:val="NoSpacing"/>
        <w:ind w:left="360"/>
        <w:jc w:val="both"/>
        <w:rPr>
          <w:rFonts w:ascii="Times New Roman" w:hAnsi="Times New Roman" w:cs="Times New Roman"/>
          <w:sz w:val="24"/>
          <w:szCs w:val="24"/>
        </w:rPr>
      </w:pPr>
    </w:p>
    <w:p w14:paraId="0522A323" w14:textId="0328DD5C" w:rsidR="004312E4" w:rsidRDefault="004312E4" w:rsidP="00CB492D">
      <w:pPr>
        <w:pStyle w:val="NoSpacing"/>
        <w:jc w:val="both"/>
        <w:rPr>
          <w:rFonts w:ascii="Times New Roman" w:hAnsi="Times New Roman" w:cs="Times New Roman"/>
          <w:sz w:val="24"/>
          <w:szCs w:val="24"/>
        </w:rPr>
      </w:pPr>
      <w:r w:rsidRPr="00110602">
        <w:rPr>
          <w:rFonts w:ascii="Times New Roman" w:hAnsi="Times New Roman" w:cs="Times New Roman"/>
          <w:sz w:val="24"/>
          <w:szCs w:val="24"/>
        </w:rPr>
        <w:t>In order to promote and encourage reporting, the Unit has 24-hours hotlines to respond to complaints of SGBV and facilitate police and healthcare providers respond to ensure that victims have access to justice to benefit from appropriate services. The Unit i</w:t>
      </w:r>
      <w:r w:rsidR="000B6A71" w:rsidRPr="00110602">
        <w:rPr>
          <w:rFonts w:ascii="Times New Roman" w:hAnsi="Times New Roman" w:cs="Times New Roman"/>
          <w:sz w:val="24"/>
          <w:szCs w:val="24"/>
        </w:rPr>
        <w:t>n</w:t>
      </w:r>
      <w:r w:rsidRPr="00110602">
        <w:rPr>
          <w:rFonts w:ascii="Times New Roman" w:hAnsi="Times New Roman" w:cs="Times New Roman"/>
          <w:sz w:val="24"/>
          <w:szCs w:val="24"/>
        </w:rPr>
        <w:t xml:space="preserve"> utilizing the SGBV referral path</w:t>
      </w:r>
      <w:r w:rsidR="000B6A71" w:rsidRPr="00110602">
        <w:rPr>
          <w:rFonts w:ascii="Times New Roman" w:hAnsi="Times New Roman" w:cs="Times New Roman"/>
          <w:sz w:val="24"/>
          <w:szCs w:val="24"/>
        </w:rPr>
        <w:t>-</w:t>
      </w:r>
      <w:r w:rsidRPr="00110602">
        <w:rPr>
          <w:rFonts w:ascii="Times New Roman" w:hAnsi="Times New Roman" w:cs="Times New Roman"/>
          <w:sz w:val="24"/>
          <w:szCs w:val="24"/>
        </w:rPr>
        <w:t>way</w:t>
      </w:r>
      <w:r w:rsidR="000B6A71" w:rsidRPr="00110602">
        <w:rPr>
          <w:rFonts w:ascii="Times New Roman" w:hAnsi="Times New Roman" w:cs="Times New Roman"/>
          <w:sz w:val="24"/>
          <w:szCs w:val="24"/>
        </w:rPr>
        <w:t>,</w:t>
      </w:r>
      <w:r w:rsidRPr="00110602">
        <w:rPr>
          <w:rFonts w:ascii="Times New Roman" w:hAnsi="Times New Roman" w:cs="Times New Roman"/>
          <w:sz w:val="24"/>
          <w:szCs w:val="24"/>
        </w:rPr>
        <w:t xml:space="preserve"> demonstrates easy access to justice by specifying places w</w:t>
      </w:r>
      <w:r w:rsidR="00574D1A">
        <w:rPr>
          <w:rFonts w:ascii="Times New Roman" w:hAnsi="Times New Roman" w:cs="Times New Roman"/>
          <w:sz w:val="24"/>
          <w:szCs w:val="24"/>
        </w:rPr>
        <w:t>h</w:t>
      </w:r>
      <w:r w:rsidRPr="00110602">
        <w:rPr>
          <w:rFonts w:ascii="Times New Roman" w:hAnsi="Times New Roman" w:cs="Times New Roman"/>
          <w:sz w:val="24"/>
          <w:szCs w:val="24"/>
        </w:rPr>
        <w:t xml:space="preserve">ere survivors should go or should be referred for help. It educates in its simplest terms victims </w:t>
      </w:r>
      <w:r w:rsidRPr="00110602">
        <w:rPr>
          <w:rFonts w:ascii="Times New Roman" w:hAnsi="Times New Roman" w:cs="Times New Roman"/>
          <w:sz w:val="24"/>
          <w:szCs w:val="24"/>
        </w:rPr>
        <w:lastRenderedPageBreak/>
        <w:t>and community members about the systematic approach involved in reporting cases and the responsibility of each service provider.</w:t>
      </w:r>
    </w:p>
    <w:p w14:paraId="083747CE" w14:textId="77777777" w:rsidR="009B2F9F" w:rsidRPr="00110602" w:rsidRDefault="009B2F9F" w:rsidP="004A5530">
      <w:pPr>
        <w:pStyle w:val="NoSpacing"/>
        <w:ind w:left="360"/>
        <w:jc w:val="both"/>
        <w:rPr>
          <w:rFonts w:ascii="Times New Roman" w:hAnsi="Times New Roman" w:cs="Times New Roman"/>
          <w:sz w:val="24"/>
          <w:szCs w:val="24"/>
        </w:rPr>
      </w:pPr>
    </w:p>
    <w:p w14:paraId="54E26DE2" w14:textId="3085B507" w:rsidR="004312E4" w:rsidRPr="00110602" w:rsidRDefault="00F36A4C" w:rsidP="00CB492D">
      <w:pPr>
        <w:jc w:val="both"/>
        <w:rPr>
          <w:rFonts w:ascii="Times New Roman" w:hAnsi="Times New Roman" w:cs="Times New Roman"/>
        </w:rPr>
      </w:pPr>
      <w:r w:rsidRPr="00110602">
        <w:rPr>
          <w:rFonts w:ascii="Times New Roman" w:hAnsi="Times New Roman" w:cs="Times New Roman"/>
        </w:rPr>
        <w:t>T</w:t>
      </w:r>
      <w:r w:rsidR="004312E4" w:rsidRPr="00110602">
        <w:rPr>
          <w:rFonts w:ascii="Times New Roman" w:hAnsi="Times New Roman" w:cs="Times New Roman"/>
        </w:rPr>
        <w:t xml:space="preserve">he Unit </w:t>
      </w:r>
      <w:r w:rsidRPr="00110602">
        <w:rPr>
          <w:rFonts w:ascii="Times New Roman" w:hAnsi="Times New Roman" w:cs="Times New Roman"/>
        </w:rPr>
        <w:t xml:space="preserve">also </w:t>
      </w:r>
      <w:r w:rsidR="004312E4" w:rsidRPr="00110602">
        <w:rPr>
          <w:rFonts w:ascii="Times New Roman" w:hAnsi="Times New Roman" w:cs="Times New Roman"/>
        </w:rPr>
        <w:t>conducted several trainings to enhance the capacity of prosecutors, law enforcement officers and nurse examiners to improve investigation, evidence gathering, preservation and prosecution thus resulting to the following outcomes:</w:t>
      </w:r>
    </w:p>
    <w:p w14:paraId="4CBAEAE2" w14:textId="77777777" w:rsidR="00065377" w:rsidRDefault="00065377" w:rsidP="00065377">
      <w:pPr>
        <w:pStyle w:val="ListParagraph"/>
        <w:jc w:val="both"/>
        <w:rPr>
          <w:rFonts w:ascii="Times New Roman" w:hAnsi="Times New Roman" w:cs="Times New Roman"/>
        </w:rPr>
      </w:pPr>
    </w:p>
    <w:p w14:paraId="0D9E4DCC" w14:textId="6E6F9C64" w:rsidR="004312E4" w:rsidRPr="00110602" w:rsidRDefault="004312E4" w:rsidP="00750034">
      <w:pPr>
        <w:pStyle w:val="ListParagraph"/>
        <w:numPr>
          <w:ilvl w:val="0"/>
          <w:numId w:val="9"/>
        </w:numPr>
        <w:jc w:val="both"/>
        <w:rPr>
          <w:rFonts w:ascii="Times New Roman" w:hAnsi="Times New Roman" w:cs="Times New Roman"/>
        </w:rPr>
      </w:pPr>
      <w:r w:rsidRPr="00110602">
        <w:rPr>
          <w:rFonts w:ascii="Times New Roman" w:hAnsi="Times New Roman" w:cs="Times New Roman"/>
        </w:rPr>
        <w:t>Substantial compliance with the European Union benchmark for the trial of rape cases thus holding perpetrators accountable fo</w:t>
      </w:r>
      <w:r w:rsidR="003A557E">
        <w:rPr>
          <w:rFonts w:ascii="Times New Roman" w:hAnsi="Times New Roman" w:cs="Times New Roman"/>
        </w:rPr>
        <w:t>r human rights violation. In 201</w:t>
      </w:r>
      <w:r w:rsidRPr="00110602">
        <w:rPr>
          <w:rFonts w:ascii="Times New Roman" w:hAnsi="Times New Roman" w:cs="Times New Roman"/>
        </w:rPr>
        <w:t xml:space="preserve">7, </w:t>
      </w:r>
      <w:r w:rsidR="00F36A4C" w:rsidRPr="00110602">
        <w:rPr>
          <w:rFonts w:ascii="Times New Roman" w:hAnsi="Times New Roman" w:cs="Times New Roman"/>
        </w:rPr>
        <w:t>the Unit was</w:t>
      </w:r>
      <w:r w:rsidRPr="00110602">
        <w:rPr>
          <w:rFonts w:ascii="Times New Roman" w:hAnsi="Times New Roman" w:cs="Times New Roman"/>
        </w:rPr>
        <w:t xml:space="preserve"> required to prosecute 30 rape cases. </w:t>
      </w:r>
      <w:r w:rsidR="00F36A4C" w:rsidRPr="00110602">
        <w:rPr>
          <w:rFonts w:ascii="Times New Roman" w:hAnsi="Times New Roman" w:cs="Times New Roman"/>
        </w:rPr>
        <w:t xml:space="preserve">However, </w:t>
      </w:r>
      <w:r w:rsidRPr="00110602">
        <w:rPr>
          <w:rFonts w:ascii="Times New Roman" w:hAnsi="Times New Roman" w:cs="Times New Roman"/>
        </w:rPr>
        <w:t>47 cases</w:t>
      </w:r>
      <w:r w:rsidR="00F36A4C" w:rsidRPr="00110602">
        <w:rPr>
          <w:rFonts w:ascii="Times New Roman" w:hAnsi="Times New Roman" w:cs="Times New Roman"/>
        </w:rPr>
        <w:t xml:space="preserve"> were tried,</w:t>
      </w:r>
      <w:r w:rsidRPr="00110602">
        <w:rPr>
          <w:rFonts w:ascii="Times New Roman" w:hAnsi="Times New Roman" w:cs="Times New Roman"/>
        </w:rPr>
        <w:t xml:space="preserve"> thus exceeding </w:t>
      </w:r>
      <w:r w:rsidR="00F36A4C" w:rsidRPr="00110602">
        <w:rPr>
          <w:rFonts w:ascii="Times New Roman" w:hAnsi="Times New Roman" w:cs="Times New Roman"/>
        </w:rPr>
        <w:t>the expected benchmark</w:t>
      </w:r>
      <w:r w:rsidRPr="00110602">
        <w:rPr>
          <w:rFonts w:ascii="Times New Roman" w:hAnsi="Times New Roman" w:cs="Times New Roman"/>
        </w:rPr>
        <w:t xml:space="preserve">. </w:t>
      </w:r>
    </w:p>
    <w:p w14:paraId="68A17D7D" w14:textId="77777777" w:rsidR="000B6A71" w:rsidRPr="00110602" w:rsidRDefault="000B6A71" w:rsidP="00D74077">
      <w:pPr>
        <w:pStyle w:val="ListParagraph"/>
        <w:jc w:val="both"/>
        <w:rPr>
          <w:rFonts w:ascii="Times New Roman" w:hAnsi="Times New Roman" w:cs="Times New Roman"/>
        </w:rPr>
      </w:pPr>
    </w:p>
    <w:p w14:paraId="0D1B44A8" w14:textId="77777777" w:rsidR="004312E4" w:rsidRPr="00110602" w:rsidRDefault="004312E4" w:rsidP="00750034">
      <w:pPr>
        <w:pStyle w:val="ListParagraph"/>
        <w:numPr>
          <w:ilvl w:val="0"/>
          <w:numId w:val="9"/>
        </w:numPr>
        <w:jc w:val="both"/>
        <w:rPr>
          <w:rFonts w:ascii="Times New Roman" w:hAnsi="Times New Roman" w:cs="Times New Roman"/>
        </w:rPr>
      </w:pPr>
      <w:r w:rsidRPr="00110602">
        <w:rPr>
          <w:rFonts w:ascii="Times New Roman" w:hAnsi="Times New Roman" w:cs="Times New Roman"/>
        </w:rPr>
        <w:t xml:space="preserve">Decrease in backlog of cases and increase in the number of cases indicted and prosecuted as a result of enhanced collaboration and coordination amongst SGBV actors as well as ongoing support from our partners. </w:t>
      </w:r>
    </w:p>
    <w:p w14:paraId="45546AC8" w14:textId="77777777" w:rsidR="000B6A71" w:rsidRPr="00110602" w:rsidRDefault="000B6A71" w:rsidP="00D74077">
      <w:pPr>
        <w:pStyle w:val="ListParagraph"/>
        <w:jc w:val="both"/>
        <w:rPr>
          <w:rFonts w:ascii="Times New Roman" w:hAnsi="Times New Roman" w:cs="Times New Roman"/>
        </w:rPr>
      </w:pPr>
    </w:p>
    <w:p w14:paraId="419EEFCB" w14:textId="38AD2241" w:rsidR="004312E4" w:rsidRPr="00065377" w:rsidRDefault="004312E4" w:rsidP="00065377">
      <w:pPr>
        <w:pStyle w:val="ListParagraph"/>
        <w:numPr>
          <w:ilvl w:val="0"/>
          <w:numId w:val="9"/>
        </w:numPr>
        <w:jc w:val="both"/>
        <w:rPr>
          <w:rFonts w:ascii="Times New Roman" w:hAnsi="Times New Roman" w:cs="Times New Roman"/>
        </w:rPr>
      </w:pPr>
      <w:r w:rsidRPr="00065377">
        <w:rPr>
          <w:rFonts w:ascii="Times New Roman" w:hAnsi="Times New Roman" w:cs="Times New Roman"/>
        </w:rPr>
        <w:t>Provide support to victims of sexual violence, including by expanding access to one-stop centers;</w:t>
      </w:r>
      <w:r w:rsidR="00065377">
        <w:rPr>
          <w:rFonts w:ascii="Times New Roman" w:hAnsi="Times New Roman" w:cs="Times New Roman"/>
        </w:rPr>
        <w:t xml:space="preserve"> t</w:t>
      </w:r>
      <w:r w:rsidRPr="00065377">
        <w:rPr>
          <w:rFonts w:ascii="Times New Roman" w:hAnsi="Times New Roman" w:cs="Times New Roman"/>
        </w:rPr>
        <w:t>he Unit continues to provide support to witnesses/survivors during investigation, indictment, trial preparation and trial.</w:t>
      </w:r>
    </w:p>
    <w:p w14:paraId="36889D18" w14:textId="77777777" w:rsidR="004312E4" w:rsidRPr="00110602" w:rsidRDefault="004312E4" w:rsidP="00B360E1">
      <w:pPr>
        <w:jc w:val="both"/>
        <w:rPr>
          <w:rFonts w:ascii="Times New Roman" w:hAnsi="Times New Roman" w:cs="Times New Roman"/>
        </w:rPr>
      </w:pPr>
    </w:p>
    <w:p w14:paraId="05321AC6" w14:textId="2BCE6C54" w:rsidR="00720A83" w:rsidRPr="00110602" w:rsidRDefault="00720A83" w:rsidP="00804787">
      <w:pPr>
        <w:pStyle w:val="NoSpacing"/>
        <w:numPr>
          <w:ilvl w:val="0"/>
          <w:numId w:val="2"/>
        </w:numPr>
        <w:jc w:val="both"/>
        <w:rPr>
          <w:rFonts w:ascii="Times New Roman" w:hAnsi="Times New Roman" w:cs="Times New Roman"/>
          <w:color w:val="000000"/>
          <w:sz w:val="24"/>
          <w:szCs w:val="24"/>
        </w:rPr>
      </w:pPr>
      <w:r w:rsidRPr="00110602">
        <w:rPr>
          <w:rFonts w:ascii="Times New Roman" w:hAnsi="Times New Roman" w:cs="Times New Roman"/>
          <w:sz w:val="24"/>
          <w:szCs w:val="24"/>
        </w:rPr>
        <w:t xml:space="preserve">On January 19, 2018, former President Ellen Johnson Sirleaf, issued </w:t>
      </w:r>
      <w:r w:rsidR="004E647A">
        <w:rPr>
          <w:rFonts w:ascii="Times New Roman" w:hAnsi="Times New Roman" w:cs="Times New Roman"/>
          <w:sz w:val="24"/>
          <w:szCs w:val="24"/>
        </w:rPr>
        <w:t>Executive Order 92</w:t>
      </w:r>
      <w:r w:rsidRPr="00110602">
        <w:rPr>
          <w:rFonts w:ascii="Times New Roman" w:hAnsi="Times New Roman" w:cs="Times New Roman"/>
          <w:sz w:val="24"/>
          <w:szCs w:val="24"/>
        </w:rPr>
        <w:t xml:space="preserve"> </w:t>
      </w:r>
      <w:r w:rsidR="002C578C">
        <w:rPr>
          <w:rFonts w:ascii="Times New Roman" w:hAnsi="Times New Roman" w:cs="Times New Roman"/>
          <w:sz w:val="24"/>
          <w:szCs w:val="24"/>
        </w:rPr>
        <w:t>when the Domestic Violence Act</w:t>
      </w:r>
      <w:r w:rsidR="004E647A">
        <w:rPr>
          <w:rFonts w:ascii="Times New Roman" w:hAnsi="Times New Roman" w:cs="Times New Roman"/>
          <w:sz w:val="24"/>
          <w:szCs w:val="24"/>
        </w:rPr>
        <w:t xml:space="preserve"> </w:t>
      </w:r>
      <w:r w:rsidR="00574D1A">
        <w:rPr>
          <w:rFonts w:ascii="Times New Roman" w:hAnsi="Times New Roman" w:cs="Times New Roman"/>
          <w:sz w:val="24"/>
          <w:szCs w:val="24"/>
        </w:rPr>
        <w:t xml:space="preserve">which </w:t>
      </w:r>
      <w:r w:rsidR="002C578C">
        <w:rPr>
          <w:rFonts w:ascii="Times New Roman" w:hAnsi="Times New Roman" w:cs="Times New Roman"/>
          <w:sz w:val="24"/>
          <w:szCs w:val="24"/>
        </w:rPr>
        <w:t>was passed by the legislature</w:t>
      </w:r>
      <w:r w:rsidR="00574D1A">
        <w:rPr>
          <w:rFonts w:ascii="Times New Roman" w:hAnsi="Times New Roman" w:cs="Times New Roman"/>
          <w:sz w:val="24"/>
          <w:szCs w:val="24"/>
        </w:rPr>
        <w:t xml:space="preserve"> was v</w:t>
      </w:r>
      <w:r w:rsidR="00897D1F">
        <w:rPr>
          <w:rFonts w:ascii="Times New Roman" w:hAnsi="Times New Roman" w:cs="Times New Roman"/>
          <w:sz w:val="24"/>
          <w:szCs w:val="24"/>
        </w:rPr>
        <w:t xml:space="preserve">etoed by the President because </w:t>
      </w:r>
      <w:r w:rsidR="00574D1A">
        <w:rPr>
          <w:rFonts w:ascii="Times New Roman" w:hAnsi="Times New Roman" w:cs="Times New Roman"/>
          <w:sz w:val="24"/>
          <w:szCs w:val="24"/>
        </w:rPr>
        <w:t>it didn’t include</w:t>
      </w:r>
      <w:r w:rsidR="002C578C">
        <w:rPr>
          <w:rFonts w:ascii="Times New Roman" w:hAnsi="Times New Roman" w:cs="Times New Roman"/>
          <w:sz w:val="24"/>
          <w:szCs w:val="24"/>
        </w:rPr>
        <w:t xml:space="preserve"> without the provision on female genital mutilation. </w:t>
      </w:r>
      <w:r w:rsidR="0079556F" w:rsidRPr="00110602">
        <w:rPr>
          <w:rFonts w:ascii="Times New Roman" w:hAnsi="Times New Roman" w:cs="Times New Roman"/>
          <w:sz w:val="24"/>
          <w:szCs w:val="24"/>
        </w:rPr>
        <w:t xml:space="preserve"> </w:t>
      </w:r>
      <w:r w:rsidR="00CD14AB">
        <w:rPr>
          <w:rFonts w:ascii="Times New Roman" w:hAnsi="Times New Roman" w:cs="Times New Roman"/>
          <w:sz w:val="24"/>
          <w:szCs w:val="24"/>
        </w:rPr>
        <w:t xml:space="preserve">Executive Order 92 criminalizes all acts of domestic violence including FGM on females younger than 18 </w:t>
      </w:r>
      <w:r w:rsidR="00897D1F">
        <w:rPr>
          <w:rFonts w:ascii="Times New Roman" w:hAnsi="Times New Roman" w:cs="Times New Roman"/>
          <w:sz w:val="24"/>
          <w:szCs w:val="24"/>
        </w:rPr>
        <w:t>and females above 18 years old</w:t>
      </w:r>
      <w:r w:rsidR="00574D1A">
        <w:rPr>
          <w:rFonts w:ascii="Times New Roman" w:hAnsi="Times New Roman" w:cs="Times New Roman"/>
          <w:sz w:val="24"/>
          <w:szCs w:val="24"/>
        </w:rPr>
        <w:t>,</w:t>
      </w:r>
      <w:r w:rsidR="00897D1F">
        <w:rPr>
          <w:rFonts w:ascii="Times New Roman" w:hAnsi="Times New Roman" w:cs="Times New Roman"/>
          <w:sz w:val="24"/>
          <w:szCs w:val="24"/>
        </w:rPr>
        <w:t xml:space="preserve"> </w:t>
      </w:r>
      <w:r w:rsidR="00CD14AB">
        <w:rPr>
          <w:rFonts w:ascii="Times New Roman" w:hAnsi="Times New Roman" w:cs="Times New Roman"/>
          <w:sz w:val="24"/>
          <w:szCs w:val="24"/>
        </w:rPr>
        <w:t>without their consent.</w:t>
      </w:r>
      <w:r w:rsidR="0079556F" w:rsidRPr="00110602">
        <w:rPr>
          <w:rFonts w:ascii="Times New Roman" w:hAnsi="Times New Roman" w:cs="Times New Roman"/>
          <w:sz w:val="24"/>
          <w:szCs w:val="24"/>
        </w:rPr>
        <w:t xml:space="preserve"> According to a 1974</w:t>
      </w:r>
      <w:r w:rsidR="0079556F" w:rsidRPr="00110602">
        <w:rPr>
          <w:rStyle w:val="FootnoteReference"/>
          <w:rFonts w:ascii="Times New Roman" w:hAnsi="Times New Roman" w:cs="Times New Roman"/>
          <w:sz w:val="24"/>
          <w:szCs w:val="24"/>
        </w:rPr>
        <w:footnoteReference w:id="10"/>
      </w:r>
      <w:r w:rsidR="0079556F" w:rsidRPr="00110602">
        <w:rPr>
          <w:rFonts w:ascii="Times New Roman" w:hAnsi="Times New Roman" w:cs="Times New Roman"/>
          <w:sz w:val="24"/>
          <w:szCs w:val="24"/>
        </w:rPr>
        <w:t> ruling of the Liberia Supreme Court, presidential executive orders lapse after one year unless they are ratified by the legislature. The Court held that “</w:t>
      </w:r>
      <w:r w:rsidR="0079556F" w:rsidRPr="00110602">
        <w:rPr>
          <w:rFonts w:ascii="Times New Roman" w:hAnsi="Times New Roman" w:cs="Times New Roman"/>
          <w:color w:val="000000"/>
          <w:sz w:val="24"/>
          <w:szCs w:val="24"/>
        </w:rPr>
        <w:t>[i]n the exercise of the executive power vested in him by the Constitution, the President may issue executive orders in the public interest, either to meet emergencies or to correct particular situations which cannot wait until the lengthy legislative process has run its course. However, he must refer each executive order to the Legislature as soon as possible for ratification. If the Legislature does not act up on the executive order after it has been referred to it, the order lapses a year after issuance. Until it lapses it has the effect of law, and all courts in Liberia are bound to take note of and give effect to it</w:t>
      </w:r>
      <w:r w:rsidR="00CD14AB">
        <w:rPr>
          <w:rFonts w:ascii="Times New Roman" w:hAnsi="Times New Roman" w:cs="Times New Roman"/>
          <w:color w:val="000000"/>
          <w:sz w:val="24"/>
          <w:szCs w:val="24"/>
        </w:rPr>
        <w:t>”</w:t>
      </w:r>
      <w:r w:rsidR="0079556F" w:rsidRPr="00110602">
        <w:rPr>
          <w:rFonts w:ascii="Times New Roman" w:hAnsi="Times New Roman" w:cs="Times New Roman"/>
          <w:color w:val="000000"/>
          <w:sz w:val="24"/>
          <w:szCs w:val="24"/>
        </w:rPr>
        <w:t>. (</w:t>
      </w:r>
      <w:r w:rsidR="0079556F" w:rsidRPr="00110602">
        <w:rPr>
          <w:rStyle w:val="Emphasis"/>
          <w:rFonts w:ascii="Times New Roman" w:hAnsi="Times New Roman" w:cs="Times New Roman"/>
          <w:color w:val="000000"/>
          <w:sz w:val="24"/>
          <w:szCs w:val="24"/>
        </w:rPr>
        <w:t>Id</w:t>
      </w:r>
      <w:r w:rsidR="0079556F" w:rsidRPr="00110602">
        <w:rPr>
          <w:rFonts w:ascii="Times New Roman" w:hAnsi="Times New Roman" w:cs="Times New Roman"/>
          <w:color w:val="000000"/>
          <w:sz w:val="24"/>
          <w:szCs w:val="24"/>
        </w:rPr>
        <w:t>.)</w:t>
      </w:r>
      <w:r w:rsidR="00CD14AB">
        <w:rPr>
          <w:rFonts w:ascii="Times New Roman" w:hAnsi="Times New Roman" w:cs="Times New Roman"/>
          <w:color w:val="000000"/>
          <w:sz w:val="24"/>
          <w:szCs w:val="24"/>
        </w:rPr>
        <w:t xml:space="preserve">  President Weah has committed to extending Executive Order 92 until such time as the Domestic Violence Act is passed into law.</w:t>
      </w:r>
    </w:p>
    <w:p w14:paraId="59A1D46E" w14:textId="77777777" w:rsidR="000F54F8" w:rsidRPr="00110602" w:rsidRDefault="000F54F8" w:rsidP="00804787">
      <w:pPr>
        <w:pStyle w:val="NoSpacing"/>
        <w:ind w:left="360"/>
        <w:jc w:val="both"/>
        <w:rPr>
          <w:rFonts w:ascii="Times New Roman" w:hAnsi="Times New Roman" w:cs="Times New Roman"/>
          <w:sz w:val="24"/>
          <w:szCs w:val="24"/>
        </w:rPr>
      </w:pPr>
    </w:p>
    <w:p w14:paraId="562AFB88" w14:textId="6DE994ED" w:rsidR="004B720B" w:rsidRPr="00110602" w:rsidRDefault="004B720B" w:rsidP="004A5530">
      <w:pPr>
        <w:pStyle w:val="NoSpacing"/>
        <w:ind w:left="360"/>
        <w:jc w:val="both"/>
        <w:rPr>
          <w:rFonts w:ascii="Times New Roman" w:hAnsi="Times New Roman" w:cs="Times New Roman"/>
          <w:sz w:val="24"/>
          <w:szCs w:val="24"/>
        </w:rPr>
      </w:pPr>
      <w:r w:rsidRPr="00110602">
        <w:rPr>
          <w:rFonts w:ascii="Times New Roman" w:hAnsi="Times New Roman" w:cs="Times New Roman"/>
          <w:sz w:val="24"/>
          <w:szCs w:val="24"/>
        </w:rPr>
        <w:t>Any act or omission that amounts to domestic violence is an offense under the Order. This includes deliberately preventing a person “from engaging in any legitimate profession</w:t>
      </w:r>
      <w:r w:rsidR="00C84D44">
        <w:rPr>
          <w:rFonts w:ascii="Times New Roman" w:hAnsi="Times New Roman" w:cs="Times New Roman"/>
          <w:sz w:val="24"/>
          <w:szCs w:val="24"/>
        </w:rPr>
        <w:t>,</w:t>
      </w:r>
      <w:r w:rsidRPr="00110602">
        <w:rPr>
          <w:rFonts w:ascii="Times New Roman" w:hAnsi="Times New Roman" w:cs="Times New Roman"/>
          <w:sz w:val="24"/>
          <w:szCs w:val="24"/>
        </w:rPr>
        <w:t xml:space="preserve"> occupation, business or activity, depriving a person of the “use and enjoyment of conjugal property or property owned in common,” or coercing or attempting to coerce “a person to engage in any sexual activity which does not constitute rape by force, threat or intimidation.” (</w:t>
      </w:r>
      <w:r w:rsidRPr="00110602">
        <w:rPr>
          <w:rStyle w:val="Emphasis"/>
          <w:rFonts w:ascii="Times New Roman" w:hAnsi="Times New Roman" w:cs="Times New Roman"/>
          <w:color w:val="000000"/>
          <w:sz w:val="24"/>
          <w:szCs w:val="24"/>
        </w:rPr>
        <w:t>Id</w:t>
      </w:r>
      <w:r w:rsidRPr="00110602">
        <w:rPr>
          <w:rFonts w:ascii="Times New Roman" w:hAnsi="Times New Roman" w:cs="Times New Roman"/>
          <w:color w:val="000000"/>
          <w:sz w:val="24"/>
          <w:szCs w:val="24"/>
        </w:rPr>
        <w:t>. § 2.) Another offense is what is known as “dowry related violence”—that is, ”harassment or any act of violence or harassment associated with [the] giving or receiving of [a] dowry at any time before, during or after [a] marriage.” (</w:t>
      </w:r>
      <w:r w:rsidRPr="00110602">
        <w:rPr>
          <w:rStyle w:val="Emphasis"/>
          <w:rFonts w:ascii="Times New Roman" w:hAnsi="Times New Roman" w:cs="Times New Roman"/>
          <w:color w:val="000000"/>
          <w:sz w:val="24"/>
          <w:szCs w:val="24"/>
        </w:rPr>
        <w:t>Id</w:t>
      </w:r>
      <w:r w:rsidRPr="00110602">
        <w:rPr>
          <w:rFonts w:ascii="Times New Roman" w:hAnsi="Times New Roman" w:cs="Times New Roman"/>
          <w:color w:val="000000"/>
          <w:sz w:val="24"/>
          <w:szCs w:val="24"/>
        </w:rPr>
        <w:t>. §§ 1 &amp; 2.) Significantly, the Order criminalizes performing female genital mutilation (FGM) on a person below the age of eighteen under any circumstance or on an adult person without first securing the person’s consent. (</w:t>
      </w:r>
      <w:r w:rsidRPr="00110602">
        <w:rPr>
          <w:rStyle w:val="Emphasis"/>
          <w:rFonts w:ascii="Times New Roman" w:hAnsi="Times New Roman" w:cs="Times New Roman"/>
          <w:color w:val="000000"/>
          <w:sz w:val="24"/>
          <w:szCs w:val="24"/>
        </w:rPr>
        <w:t>Id</w:t>
      </w:r>
      <w:r w:rsidRPr="00110602">
        <w:rPr>
          <w:rFonts w:ascii="Times New Roman" w:hAnsi="Times New Roman" w:cs="Times New Roman"/>
          <w:color w:val="000000"/>
          <w:sz w:val="24"/>
          <w:szCs w:val="24"/>
        </w:rPr>
        <w:t xml:space="preserve">. § 2.) In addition, the Order criminalizes </w:t>
      </w:r>
      <w:r w:rsidRPr="00110602">
        <w:rPr>
          <w:rFonts w:ascii="Times New Roman" w:hAnsi="Times New Roman" w:cs="Times New Roman"/>
          <w:color w:val="000000"/>
          <w:sz w:val="24"/>
          <w:szCs w:val="24"/>
        </w:rPr>
        <w:lastRenderedPageBreak/>
        <w:t>forcing a person into marriage, including early marriage, or subjecting a person into cultural torture, such as “sassy wood” (a form of trial by ordeal) or other forms of trial by ordeal. (</w:t>
      </w:r>
      <w:r w:rsidRPr="00110602">
        <w:rPr>
          <w:rStyle w:val="Emphasis"/>
          <w:rFonts w:ascii="Times New Roman" w:hAnsi="Times New Roman" w:cs="Times New Roman"/>
          <w:color w:val="000000"/>
          <w:sz w:val="24"/>
          <w:szCs w:val="24"/>
        </w:rPr>
        <w:t>Id</w:t>
      </w:r>
      <w:r w:rsidRPr="00110602">
        <w:rPr>
          <w:rFonts w:ascii="Times New Roman" w:hAnsi="Times New Roman" w:cs="Times New Roman"/>
          <w:color w:val="000000"/>
          <w:sz w:val="24"/>
          <w:szCs w:val="24"/>
        </w:rPr>
        <w:t>. § 2.)  </w:t>
      </w:r>
    </w:p>
    <w:p w14:paraId="3499EDE4" w14:textId="77777777" w:rsidR="00804787" w:rsidRPr="00110602" w:rsidRDefault="00804787" w:rsidP="00804787">
      <w:pPr>
        <w:pStyle w:val="NoSpacing"/>
        <w:ind w:left="360"/>
        <w:jc w:val="both"/>
        <w:rPr>
          <w:rFonts w:ascii="Times New Roman" w:hAnsi="Times New Roman" w:cs="Times New Roman"/>
          <w:sz w:val="24"/>
          <w:szCs w:val="24"/>
        </w:rPr>
      </w:pPr>
    </w:p>
    <w:p w14:paraId="4A006526" w14:textId="210AB592" w:rsidR="004B720B" w:rsidRPr="00110602" w:rsidRDefault="004B720B" w:rsidP="004A5530">
      <w:pPr>
        <w:pStyle w:val="NoSpacing"/>
        <w:ind w:left="360"/>
        <w:jc w:val="both"/>
        <w:rPr>
          <w:rFonts w:ascii="Times New Roman" w:hAnsi="Times New Roman" w:cs="Times New Roman"/>
          <w:sz w:val="24"/>
          <w:szCs w:val="24"/>
        </w:rPr>
      </w:pPr>
      <w:r w:rsidRPr="00110602">
        <w:rPr>
          <w:rFonts w:ascii="Times New Roman" w:hAnsi="Times New Roman" w:cs="Times New Roman"/>
          <w:sz w:val="24"/>
          <w:szCs w:val="24"/>
        </w:rPr>
        <w:t>The gravity of the offense and the resulting penalty varies depending on the circumstances. An offense of domestic violence is a first-degree misdemeanor and is, on conviction, punishable by a maximum of one year in prison and/or a fine. (</w:t>
      </w:r>
      <w:r w:rsidRPr="00110602">
        <w:rPr>
          <w:rStyle w:val="Emphasis"/>
          <w:rFonts w:ascii="Times New Roman" w:hAnsi="Times New Roman" w:cs="Times New Roman"/>
          <w:color w:val="000000"/>
          <w:sz w:val="24"/>
          <w:szCs w:val="24"/>
        </w:rPr>
        <w:t>Id</w:t>
      </w:r>
      <w:r w:rsidRPr="00110602">
        <w:rPr>
          <w:rFonts w:ascii="Times New Roman" w:hAnsi="Times New Roman" w:cs="Times New Roman"/>
          <w:color w:val="000000"/>
          <w:sz w:val="24"/>
          <w:szCs w:val="24"/>
        </w:rPr>
        <w:t>. §§ 4 &amp; 5.) In addition, the Court may also order the convict to pay restitution to the victim. (</w:t>
      </w:r>
      <w:r w:rsidRPr="00110602">
        <w:rPr>
          <w:rStyle w:val="Emphasis"/>
          <w:rFonts w:ascii="Times New Roman" w:hAnsi="Times New Roman" w:cs="Times New Roman"/>
          <w:color w:val="000000"/>
          <w:sz w:val="24"/>
          <w:szCs w:val="24"/>
        </w:rPr>
        <w:t>Id</w:t>
      </w:r>
      <w:r w:rsidRPr="00110602">
        <w:rPr>
          <w:rFonts w:ascii="Times New Roman" w:hAnsi="Times New Roman" w:cs="Times New Roman"/>
          <w:color w:val="000000"/>
          <w:sz w:val="24"/>
          <w:szCs w:val="24"/>
        </w:rPr>
        <w:t>. § 5.) An offense of domestic violence constitutes a second-degree felony if, while committing the crime, the defendant inflicts bodily injury on the victim, uses or brandishes a deadly weapon, or is a recidivist. (</w:t>
      </w:r>
      <w:r w:rsidRPr="00110602">
        <w:rPr>
          <w:rStyle w:val="Emphasis"/>
          <w:rFonts w:ascii="Times New Roman" w:hAnsi="Times New Roman" w:cs="Times New Roman"/>
          <w:color w:val="000000"/>
          <w:sz w:val="24"/>
          <w:szCs w:val="24"/>
        </w:rPr>
        <w:t>Id</w:t>
      </w:r>
      <w:r w:rsidRPr="00110602">
        <w:rPr>
          <w:rFonts w:ascii="Times New Roman" w:hAnsi="Times New Roman" w:cs="Times New Roman"/>
          <w:color w:val="000000"/>
          <w:sz w:val="24"/>
          <w:szCs w:val="24"/>
        </w:rPr>
        <w:t>. § 4.) The punishment</w:t>
      </w:r>
      <w:r w:rsidRPr="00110602">
        <w:rPr>
          <w:rStyle w:val="FootnoteReference"/>
          <w:rFonts w:ascii="Times New Roman" w:hAnsi="Times New Roman" w:cs="Times New Roman"/>
          <w:color w:val="000000"/>
          <w:sz w:val="24"/>
          <w:szCs w:val="24"/>
        </w:rPr>
        <w:footnoteReference w:id="11"/>
      </w:r>
      <w:r w:rsidRPr="00110602">
        <w:rPr>
          <w:rFonts w:ascii="Times New Roman" w:hAnsi="Times New Roman" w:cs="Times New Roman"/>
          <w:color w:val="000000"/>
          <w:sz w:val="24"/>
          <w:szCs w:val="24"/>
        </w:rPr>
        <w:t xml:space="preserve"> for a second-degree felony is a prison term not exceeding five years. Under certain circumstances, courts may impose alternative sentences</w:t>
      </w:r>
      <w:r w:rsidR="00AD005A" w:rsidRPr="00110602">
        <w:rPr>
          <w:rStyle w:val="FootnoteReference"/>
          <w:rFonts w:ascii="Times New Roman" w:hAnsi="Times New Roman" w:cs="Times New Roman"/>
          <w:color w:val="000000"/>
          <w:sz w:val="24"/>
          <w:szCs w:val="24"/>
        </w:rPr>
        <w:footnoteReference w:id="12"/>
      </w:r>
      <w:r w:rsidRPr="00110602">
        <w:rPr>
          <w:rFonts w:ascii="Times New Roman" w:hAnsi="Times New Roman" w:cs="Times New Roman"/>
          <w:color w:val="000000"/>
          <w:sz w:val="24"/>
          <w:szCs w:val="24"/>
        </w:rPr>
        <w:t>.  The Court may order a person convicted on a domestic violence charge to attend a counseling or rehabilitation program. (Executive Order on Domestic Violence § 5.)  </w:t>
      </w:r>
    </w:p>
    <w:p w14:paraId="25CB0FAC" w14:textId="44335D0D" w:rsidR="004B720B" w:rsidRPr="00110602" w:rsidRDefault="004B720B" w:rsidP="004A5530">
      <w:pPr>
        <w:pStyle w:val="NormalWeb"/>
        <w:ind w:left="360"/>
        <w:jc w:val="both"/>
      </w:pPr>
      <w:r w:rsidRPr="00110602">
        <w:t>Being under the influence of mind-altering substances or having the consent of the victim is not an acceptable defense against a domestic violence charge. (</w:t>
      </w:r>
      <w:r w:rsidRPr="00110602">
        <w:rPr>
          <w:rStyle w:val="Emphasis"/>
          <w:color w:val="000000"/>
        </w:rPr>
        <w:t>Id. </w:t>
      </w:r>
      <w:r w:rsidRPr="00110602">
        <w:rPr>
          <w:color w:val="000000"/>
        </w:rPr>
        <w:t>§ 6.)</w:t>
      </w:r>
    </w:p>
    <w:p w14:paraId="100D3F19" w14:textId="77777777" w:rsidR="006C46B4" w:rsidRPr="00110602" w:rsidRDefault="006C46B4" w:rsidP="00B360E1">
      <w:pPr>
        <w:pStyle w:val="ListParagraph"/>
        <w:ind w:left="360"/>
        <w:jc w:val="both"/>
        <w:rPr>
          <w:rFonts w:ascii="Times New Roman" w:hAnsi="Times New Roman" w:cs="Times New Roman"/>
        </w:rPr>
      </w:pPr>
    </w:p>
    <w:p w14:paraId="5948C122" w14:textId="77777777"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Voluntary termination of pregnancy (arts. 3, 6, 7, 17 and 26)</w:t>
      </w:r>
    </w:p>
    <w:p w14:paraId="14A295C3" w14:textId="77777777" w:rsidR="002C307D" w:rsidRPr="00110602" w:rsidRDefault="002C307D" w:rsidP="00B360E1">
      <w:pPr>
        <w:jc w:val="both"/>
        <w:rPr>
          <w:rFonts w:ascii="Times New Roman" w:hAnsi="Times New Roman" w:cs="Times New Roman"/>
          <w:b/>
        </w:rPr>
      </w:pPr>
    </w:p>
    <w:p w14:paraId="3E7B70D0" w14:textId="27B095AE" w:rsidR="000052D4" w:rsidRPr="00110602" w:rsidRDefault="000052D4" w:rsidP="000052D4">
      <w:pPr>
        <w:pStyle w:val="ListParagraph"/>
        <w:numPr>
          <w:ilvl w:val="0"/>
          <w:numId w:val="2"/>
        </w:numPr>
        <w:jc w:val="both"/>
        <w:rPr>
          <w:rFonts w:ascii="Times New Roman" w:hAnsi="Times New Roman" w:cs="Times New Roman"/>
        </w:rPr>
      </w:pPr>
      <w:r w:rsidRPr="00110602">
        <w:rPr>
          <w:rFonts w:ascii="Times New Roman" w:hAnsi="Times New Roman" w:cs="Times New Roman"/>
        </w:rPr>
        <w:t>The amendment of Liberia’s penal law under Section 16.3 prohibits abortion, except in the case wherein a license physician believes that there is a substantial risk that continuation of the pregnancy would gravely impair the physical or mental health of the mother, or that the child would be born with grave physical or mental defects, or that the pregnancy resulted from incest or rape. The Ministry of Health, Social Welfare and the Family Planning Association of Liberia provide contraception for adolescents.</w:t>
      </w:r>
    </w:p>
    <w:p w14:paraId="4179E437" w14:textId="5E2738ED" w:rsidR="00295902" w:rsidRPr="00110602" w:rsidRDefault="00295902" w:rsidP="00804787">
      <w:pPr>
        <w:pStyle w:val="ListParagraph"/>
        <w:ind w:left="360"/>
        <w:rPr>
          <w:rFonts w:ascii="Times New Roman" w:hAnsi="Times New Roman" w:cs="Times New Roman"/>
        </w:rPr>
      </w:pPr>
    </w:p>
    <w:p w14:paraId="08DD53D9" w14:textId="7AC6EADC" w:rsidR="00295902" w:rsidRPr="00110602" w:rsidRDefault="006305A7" w:rsidP="006305A7">
      <w:pPr>
        <w:pStyle w:val="ListParagraph"/>
        <w:ind w:left="360"/>
        <w:jc w:val="both"/>
        <w:rPr>
          <w:rFonts w:ascii="Times New Roman" w:hAnsi="Times New Roman" w:cs="Times New Roman"/>
        </w:rPr>
      </w:pPr>
      <w:r>
        <w:rPr>
          <w:rFonts w:ascii="Times New Roman" w:hAnsi="Times New Roman" w:cs="Times New Roman"/>
        </w:rPr>
        <w:t>The</w:t>
      </w:r>
      <w:r w:rsidRPr="00110602">
        <w:rPr>
          <w:rFonts w:ascii="Times New Roman" w:hAnsi="Times New Roman" w:cs="Times New Roman"/>
        </w:rPr>
        <w:t xml:space="preserve"> </w:t>
      </w:r>
      <w:r w:rsidR="00295902" w:rsidRPr="00110602">
        <w:rPr>
          <w:rFonts w:ascii="Times New Roman" w:hAnsi="Times New Roman" w:cs="Times New Roman"/>
        </w:rPr>
        <w:t>rate of maternal mortality resulting from unsafe abortions according</w:t>
      </w:r>
      <w:r>
        <w:rPr>
          <w:rFonts w:ascii="Times New Roman" w:hAnsi="Times New Roman" w:cs="Times New Roman"/>
        </w:rPr>
        <w:t xml:space="preserve"> to the LDHS 2013 report is 31%.  </w:t>
      </w:r>
      <w:r w:rsidR="00295902" w:rsidRPr="006305A7">
        <w:rPr>
          <w:rFonts w:ascii="Times New Roman" w:hAnsi="Times New Roman" w:cs="Times New Roman"/>
        </w:rPr>
        <w:t>The official number of abortions and estimated clandestine abortions performed annually in Liberia are as follow:</w:t>
      </w:r>
      <w:r>
        <w:rPr>
          <w:rFonts w:ascii="Times New Roman" w:hAnsi="Times New Roman" w:cs="Times New Roman"/>
        </w:rPr>
        <w:t xml:space="preserve">  </w:t>
      </w:r>
      <w:r w:rsidR="00295902" w:rsidRPr="00110602">
        <w:rPr>
          <w:rFonts w:ascii="Times New Roman" w:eastAsia="Times New Roman" w:hAnsi="Times New Roman" w:cs="Times New Roman"/>
          <w:lang w:eastAsia="en-GB"/>
        </w:rPr>
        <w:t xml:space="preserve">Bomi (44), Bong (159), Gbarpolu (36), Grand Bassa (104), Grand Cape Mount (87), Grand Gedeh (65), Grand Kru (79), Lofa (106), Margibi (211), Maryland (132), Montserrado (504), Nimba (583), River Gee(69), and Rivercess(71) in 2017 and Bomi (38), Bong (101), Gbarpolu (11), Grand Bassa (21), Grand Cape Mount (50), Grand Gedeh (22), Grand Kru (38), Lofa (90), Margibi (97), Maryland (51), Montserrado (248), Sinoe (34), Nimba (148), River Gee(39), and Rivercess(30) in 2018. </w:t>
      </w:r>
      <w:r w:rsidR="00295902" w:rsidRPr="00110602">
        <w:rPr>
          <w:rFonts w:ascii="Times New Roman" w:hAnsi="Times New Roman" w:cs="Times New Roman"/>
        </w:rPr>
        <w:t xml:space="preserve">Awareness-raising efforts by the government and partners regarding reproductive health to combat the stigmatization of voluntary termination include </w:t>
      </w:r>
      <w:r w:rsidR="00295902" w:rsidRPr="00110602">
        <w:rPr>
          <w:rFonts w:ascii="Times New Roman" w:hAnsi="Times New Roman" w:cs="Times New Roman"/>
          <w:color w:val="000000" w:themeColor="text1"/>
        </w:rPr>
        <w:t>training in Emergency Maternal and Obstetric Care (EMOC) of skill service provider, training of both adolescents in school and those out of schools, the availability and accessibility of contraceptive/family planning commodities in health facilities including health education, as well as creating awareness in communities</w:t>
      </w:r>
      <w:r w:rsidR="00295902" w:rsidRPr="00110602">
        <w:rPr>
          <w:rFonts w:ascii="Times New Roman" w:hAnsi="Times New Roman" w:cs="Times New Roman"/>
        </w:rPr>
        <w:t xml:space="preserve"> </w:t>
      </w:r>
    </w:p>
    <w:p w14:paraId="22004C7A" w14:textId="77777777" w:rsidR="006C46B4" w:rsidRPr="00110602" w:rsidRDefault="006C46B4" w:rsidP="00B360E1">
      <w:pPr>
        <w:pStyle w:val="ListParagraph"/>
        <w:ind w:left="360"/>
        <w:jc w:val="both"/>
        <w:rPr>
          <w:rFonts w:ascii="Times New Roman" w:hAnsi="Times New Roman" w:cs="Times New Roman"/>
        </w:rPr>
      </w:pPr>
    </w:p>
    <w:p w14:paraId="57261B07" w14:textId="77777777"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Right to life, liberty and security of persons (arts. 6, 7, 9 and 11)</w:t>
      </w:r>
    </w:p>
    <w:p w14:paraId="08E00B4D" w14:textId="77777777" w:rsidR="000D1C80" w:rsidRPr="000D1C80" w:rsidRDefault="000D1C80" w:rsidP="000D1C80">
      <w:pPr>
        <w:pStyle w:val="ListParagraph"/>
        <w:ind w:left="360"/>
        <w:jc w:val="both"/>
        <w:rPr>
          <w:rFonts w:ascii="Times New Roman" w:hAnsi="Times New Roman" w:cs="Times New Roman"/>
        </w:rPr>
      </w:pPr>
    </w:p>
    <w:p w14:paraId="743400E2" w14:textId="20CC4060" w:rsidR="006C46B4" w:rsidRDefault="008C78F0" w:rsidP="00264CEC">
      <w:pPr>
        <w:pStyle w:val="ListParagraph"/>
        <w:numPr>
          <w:ilvl w:val="0"/>
          <w:numId w:val="2"/>
        </w:numPr>
        <w:jc w:val="both"/>
        <w:rPr>
          <w:rFonts w:ascii="Times New Roman" w:hAnsi="Times New Roman" w:cs="Times New Roman"/>
        </w:rPr>
      </w:pPr>
      <w:r w:rsidRPr="007B01BF">
        <w:rPr>
          <w:rFonts w:ascii="Times New Roman" w:hAnsi="Times New Roman" w:cs="Times New Roman"/>
        </w:rPr>
        <w:t xml:space="preserve">The Republic of Liberia acknowledges its international obligations under the Second Optional Protocol to the International Covenant on Civil and Political Rights, </w:t>
      </w:r>
      <w:r w:rsidR="006305A7" w:rsidRPr="007B01BF">
        <w:rPr>
          <w:rFonts w:ascii="Times New Roman" w:hAnsi="Times New Roman" w:cs="Times New Roman"/>
        </w:rPr>
        <w:t xml:space="preserve">aimed </w:t>
      </w:r>
      <w:r w:rsidRPr="007B01BF">
        <w:rPr>
          <w:rFonts w:ascii="Times New Roman" w:hAnsi="Times New Roman" w:cs="Times New Roman"/>
        </w:rPr>
        <w:t xml:space="preserve">at the </w:t>
      </w:r>
      <w:r w:rsidR="00CF7882" w:rsidRPr="007B01BF">
        <w:rPr>
          <w:rFonts w:ascii="Times New Roman" w:hAnsi="Times New Roman" w:cs="Times New Roman"/>
        </w:rPr>
        <w:t>abolition of the death penalty.</w:t>
      </w:r>
      <w:r w:rsidR="0081244B" w:rsidRPr="007B01BF">
        <w:rPr>
          <w:rFonts w:ascii="Times New Roman" w:hAnsi="Times New Roman" w:cs="Times New Roman"/>
        </w:rPr>
        <w:t xml:space="preserve"> </w:t>
      </w:r>
      <w:r w:rsidR="00CF7882" w:rsidRPr="007B01BF">
        <w:rPr>
          <w:rFonts w:ascii="Times New Roman" w:hAnsi="Times New Roman" w:cs="Times New Roman"/>
        </w:rPr>
        <w:t>D</w:t>
      </w:r>
      <w:r w:rsidR="0081244B" w:rsidRPr="007B01BF">
        <w:rPr>
          <w:rFonts w:ascii="Times New Roman" w:hAnsi="Times New Roman" w:cs="Times New Roman"/>
        </w:rPr>
        <w:t xml:space="preserve">iscussions </w:t>
      </w:r>
      <w:r w:rsidR="00CF7882" w:rsidRPr="007B01BF">
        <w:rPr>
          <w:rFonts w:ascii="Times New Roman" w:hAnsi="Times New Roman" w:cs="Times New Roman"/>
        </w:rPr>
        <w:t>are being held to repeal the death penalty law from our books.</w:t>
      </w:r>
      <w:r w:rsidR="00481730" w:rsidRPr="007B01BF">
        <w:rPr>
          <w:rFonts w:ascii="Times New Roman" w:hAnsi="Times New Roman" w:cs="Times New Roman"/>
        </w:rPr>
        <w:t xml:space="preserve"> </w:t>
      </w:r>
      <w:r w:rsidR="0081244B" w:rsidRPr="007B01BF">
        <w:rPr>
          <w:rFonts w:ascii="Times New Roman" w:hAnsi="Times New Roman" w:cs="Times New Roman"/>
        </w:rPr>
        <w:t xml:space="preserve">The Republic of Liberia </w:t>
      </w:r>
      <w:r w:rsidR="00ED7012" w:rsidRPr="007B01BF">
        <w:rPr>
          <w:rFonts w:ascii="Times New Roman" w:hAnsi="Times New Roman" w:cs="Times New Roman"/>
        </w:rPr>
        <w:t xml:space="preserve">welcomed recommendations </w:t>
      </w:r>
      <w:r w:rsidR="0081244B" w:rsidRPr="007B01BF">
        <w:rPr>
          <w:rFonts w:ascii="Times New Roman" w:hAnsi="Times New Roman" w:cs="Times New Roman"/>
        </w:rPr>
        <w:t>from the HRC</w:t>
      </w:r>
      <w:r w:rsidR="004C2972" w:rsidRPr="007B01BF">
        <w:rPr>
          <w:rFonts w:ascii="Times New Roman" w:hAnsi="Times New Roman" w:cs="Times New Roman"/>
        </w:rPr>
        <w:t>,</w:t>
      </w:r>
      <w:r w:rsidR="0081244B" w:rsidRPr="007B01BF">
        <w:rPr>
          <w:rFonts w:ascii="Times New Roman" w:hAnsi="Times New Roman" w:cs="Times New Roman"/>
        </w:rPr>
        <w:t xml:space="preserve"> </w:t>
      </w:r>
      <w:r w:rsidR="00ED7012" w:rsidRPr="007B01BF">
        <w:rPr>
          <w:rFonts w:ascii="Times New Roman" w:hAnsi="Times New Roman" w:cs="Times New Roman"/>
        </w:rPr>
        <w:t xml:space="preserve">made with regard to the abolition of the death penalty at its second cycle report to the Human Rights Council (HRC) under the Universal Periodic Review (UPR) on September 25, 2015. The </w:t>
      </w:r>
      <w:r w:rsidR="00802DB5" w:rsidRPr="007B01BF">
        <w:rPr>
          <w:rFonts w:ascii="Times New Roman" w:hAnsi="Times New Roman" w:cs="Times New Roman"/>
        </w:rPr>
        <w:t xml:space="preserve">head </w:t>
      </w:r>
      <w:r w:rsidR="00ED7012" w:rsidRPr="007B01BF">
        <w:rPr>
          <w:rFonts w:ascii="Times New Roman" w:hAnsi="Times New Roman" w:cs="Times New Roman"/>
        </w:rPr>
        <w:t xml:space="preserve">of delegation, </w:t>
      </w:r>
      <w:r w:rsidR="00802DB5" w:rsidRPr="007B01BF">
        <w:rPr>
          <w:rFonts w:ascii="Times New Roman" w:hAnsi="Times New Roman" w:cs="Times New Roman"/>
        </w:rPr>
        <w:t xml:space="preserve">then </w:t>
      </w:r>
      <w:r w:rsidR="00ED7012" w:rsidRPr="007B01BF">
        <w:rPr>
          <w:rFonts w:ascii="Times New Roman" w:hAnsi="Times New Roman" w:cs="Times New Roman"/>
        </w:rPr>
        <w:t xml:space="preserve">Attorney General of the Republic of Liberia, </w:t>
      </w:r>
      <w:r w:rsidR="00802DB5" w:rsidRPr="007B01BF">
        <w:rPr>
          <w:rFonts w:ascii="Times New Roman" w:hAnsi="Times New Roman" w:cs="Times New Roman"/>
        </w:rPr>
        <w:t>Cllr. Benedict F</w:t>
      </w:r>
      <w:r w:rsidR="00ED7012" w:rsidRPr="007B01BF">
        <w:rPr>
          <w:rFonts w:ascii="Times New Roman" w:hAnsi="Times New Roman" w:cs="Times New Roman"/>
        </w:rPr>
        <w:t>. Sannoh expressed Liberia’s inclination to maintain its position of “abolitionist by practice”, as a deterrence for conduct which pose threat to t</w:t>
      </w:r>
      <w:r w:rsidR="00802DB5" w:rsidRPr="007B01BF">
        <w:rPr>
          <w:rFonts w:ascii="Times New Roman" w:hAnsi="Times New Roman" w:cs="Times New Roman"/>
        </w:rPr>
        <w:t>he consolidation of the peace an</w:t>
      </w:r>
      <w:r w:rsidR="00ED7012" w:rsidRPr="007B01BF">
        <w:rPr>
          <w:rFonts w:ascii="Times New Roman" w:hAnsi="Times New Roman" w:cs="Times New Roman"/>
        </w:rPr>
        <w:t>d security of the State, thereby maintaining a de</w:t>
      </w:r>
      <w:r w:rsidR="00802DB5" w:rsidRPr="007B01BF">
        <w:rPr>
          <w:rFonts w:ascii="Times New Roman" w:hAnsi="Times New Roman" w:cs="Times New Roman"/>
        </w:rPr>
        <w:t>-</w:t>
      </w:r>
      <w:r w:rsidR="00ED7012" w:rsidRPr="007B01BF">
        <w:rPr>
          <w:rFonts w:ascii="Times New Roman" w:hAnsi="Times New Roman" w:cs="Times New Roman"/>
        </w:rPr>
        <w:t>facto moratorium, with the view to a consideration of de jure abolition.</w:t>
      </w:r>
      <w:r w:rsidR="007B01BF" w:rsidRPr="007B01BF">
        <w:rPr>
          <w:rFonts w:ascii="Times New Roman" w:hAnsi="Times New Roman" w:cs="Times New Roman"/>
        </w:rPr>
        <w:t xml:space="preserve"> </w:t>
      </w:r>
    </w:p>
    <w:p w14:paraId="56CE6629" w14:textId="77777777" w:rsidR="007B01BF" w:rsidRPr="007B01BF" w:rsidRDefault="007B01BF" w:rsidP="007B01BF">
      <w:pPr>
        <w:pStyle w:val="ListParagraph"/>
        <w:ind w:left="360"/>
        <w:jc w:val="both"/>
        <w:rPr>
          <w:rFonts w:ascii="Times New Roman" w:hAnsi="Times New Roman" w:cs="Times New Roman"/>
        </w:rPr>
      </w:pPr>
    </w:p>
    <w:p w14:paraId="7345DC97" w14:textId="66C61277" w:rsidR="008C78F0" w:rsidRPr="007B01BF" w:rsidRDefault="007B01BF" w:rsidP="007B01BF">
      <w:pPr>
        <w:ind w:left="360"/>
        <w:jc w:val="both"/>
        <w:rPr>
          <w:rFonts w:ascii="Times New Roman" w:hAnsi="Times New Roman" w:cs="Times New Roman"/>
        </w:rPr>
      </w:pPr>
      <w:r>
        <w:rPr>
          <w:rFonts w:ascii="Times New Roman" w:hAnsi="Times New Roman" w:cs="Times New Roman"/>
        </w:rPr>
        <w:t>T</w:t>
      </w:r>
      <w:r w:rsidR="008C78F0" w:rsidRPr="007B01BF">
        <w:rPr>
          <w:rFonts w:ascii="Times New Roman" w:hAnsi="Times New Roman" w:cs="Times New Roman"/>
        </w:rPr>
        <w:t>he Supreme Court has up till now</w:t>
      </w:r>
      <w:r w:rsidR="009D6B9B" w:rsidRPr="007B01BF">
        <w:rPr>
          <w:rFonts w:ascii="Times New Roman" w:hAnsi="Times New Roman" w:cs="Times New Roman"/>
        </w:rPr>
        <w:t>,</w:t>
      </w:r>
      <w:r w:rsidR="008C78F0" w:rsidRPr="007B01BF">
        <w:rPr>
          <w:rFonts w:ascii="Times New Roman" w:hAnsi="Times New Roman" w:cs="Times New Roman"/>
        </w:rPr>
        <w:t xml:space="preserve"> not affirmed any death penalty sentence and has shown disinclination to enforce death penalties in recent cases by commuting capital punishment into life imprisonment. Furthermore, the current administration, hea</w:t>
      </w:r>
      <w:r w:rsidR="00C62687" w:rsidRPr="007B01BF">
        <w:rPr>
          <w:rFonts w:ascii="Times New Roman" w:hAnsi="Times New Roman" w:cs="Times New Roman"/>
        </w:rPr>
        <w:t xml:space="preserve">ded by President George M. </w:t>
      </w:r>
      <w:r w:rsidR="00C84D44" w:rsidRPr="007B01BF">
        <w:rPr>
          <w:rFonts w:ascii="Times New Roman" w:hAnsi="Times New Roman" w:cs="Times New Roman"/>
        </w:rPr>
        <w:t>Weah</w:t>
      </w:r>
      <w:r w:rsidR="00C62687" w:rsidRPr="007B01BF">
        <w:rPr>
          <w:rFonts w:ascii="Times New Roman" w:hAnsi="Times New Roman" w:cs="Times New Roman"/>
        </w:rPr>
        <w:t xml:space="preserve">, </w:t>
      </w:r>
      <w:r w:rsidR="009D6B9B" w:rsidRPr="007B01BF">
        <w:rPr>
          <w:rFonts w:ascii="Times New Roman" w:hAnsi="Times New Roman" w:cs="Times New Roman"/>
        </w:rPr>
        <w:t>like his predecessor, h</w:t>
      </w:r>
      <w:r w:rsidR="008C78F0" w:rsidRPr="007B01BF">
        <w:rPr>
          <w:rFonts w:ascii="Times New Roman" w:hAnsi="Times New Roman" w:cs="Times New Roman"/>
        </w:rPr>
        <w:t>as not signed any warrant to carry out the execution of a death sentence.</w:t>
      </w:r>
    </w:p>
    <w:p w14:paraId="60129587" w14:textId="77777777" w:rsidR="0016240F" w:rsidRPr="00110602" w:rsidRDefault="0016240F" w:rsidP="00264CEC">
      <w:pPr>
        <w:pStyle w:val="ListParagraph"/>
        <w:ind w:left="360"/>
        <w:jc w:val="both"/>
        <w:rPr>
          <w:rFonts w:ascii="Times New Roman" w:hAnsi="Times New Roman" w:cs="Times New Roman"/>
        </w:rPr>
      </w:pPr>
    </w:p>
    <w:p w14:paraId="31ABFA21" w14:textId="1CE8F3D5" w:rsidR="001B52E9" w:rsidRPr="007B01BF" w:rsidRDefault="0016240F" w:rsidP="007B01BF">
      <w:pPr>
        <w:ind w:left="360"/>
        <w:jc w:val="both"/>
        <w:rPr>
          <w:rFonts w:ascii="Times New Roman" w:hAnsi="Times New Roman" w:cs="Times New Roman"/>
        </w:rPr>
      </w:pPr>
      <w:r w:rsidRPr="007B01BF">
        <w:rPr>
          <w:rFonts w:ascii="Times New Roman" w:hAnsi="Times New Roman" w:cs="Times New Roman"/>
        </w:rPr>
        <w:t>The Criminal Procedure Law of the Republic of Liberia Section 36.1 permits the imposition of the death penalty, except for children below 18 years (Penal Code§51.3), when a warrant is signed and issue</w:t>
      </w:r>
      <w:r w:rsidR="007B01BF">
        <w:rPr>
          <w:rFonts w:ascii="Times New Roman" w:hAnsi="Times New Roman" w:cs="Times New Roman"/>
        </w:rPr>
        <w:t>d by the President.</w:t>
      </w:r>
    </w:p>
    <w:p w14:paraId="134A5516" w14:textId="77777777" w:rsidR="001B52E9" w:rsidRPr="00110602" w:rsidRDefault="001B52E9" w:rsidP="00264CEC">
      <w:pPr>
        <w:pStyle w:val="ListParagraph"/>
        <w:ind w:left="360"/>
        <w:jc w:val="both"/>
        <w:rPr>
          <w:rFonts w:ascii="Times New Roman" w:hAnsi="Times New Roman" w:cs="Times New Roman"/>
        </w:rPr>
      </w:pPr>
    </w:p>
    <w:p w14:paraId="5C1F6E46" w14:textId="1FD87EBE" w:rsidR="001B52E9" w:rsidRPr="007B01BF" w:rsidRDefault="001B52E9" w:rsidP="007B01BF">
      <w:pPr>
        <w:ind w:left="360"/>
        <w:jc w:val="both"/>
        <w:rPr>
          <w:rFonts w:ascii="Times New Roman" w:hAnsi="Times New Roman" w:cs="Times New Roman"/>
        </w:rPr>
      </w:pPr>
      <w:r w:rsidRPr="007B01BF">
        <w:rPr>
          <w:rFonts w:ascii="Times New Roman" w:hAnsi="Times New Roman" w:cs="Times New Roman"/>
        </w:rPr>
        <w:t>The 2011 Children’s Law guarantees the right to life to all children, and declares invalid any law</w:t>
      </w:r>
      <w:r w:rsidR="00C84D44" w:rsidRPr="007B01BF">
        <w:rPr>
          <w:rFonts w:ascii="Times New Roman" w:hAnsi="Times New Roman" w:cs="Times New Roman"/>
        </w:rPr>
        <w:t>,</w:t>
      </w:r>
      <w:r w:rsidRPr="007B01BF">
        <w:rPr>
          <w:rFonts w:ascii="Times New Roman" w:hAnsi="Times New Roman" w:cs="Times New Roman"/>
        </w:rPr>
        <w:t xml:space="preserve"> which requires the execution or any other form of killing of a minor.</w:t>
      </w:r>
      <w:r w:rsidR="00475E08" w:rsidRPr="007B01BF">
        <w:rPr>
          <w:rFonts w:ascii="Times New Roman" w:hAnsi="Times New Roman" w:cs="Times New Roman"/>
        </w:rPr>
        <w:t xml:space="preserve"> This also applies to pregnant women</w:t>
      </w:r>
      <w:r w:rsidR="00462D6F">
        <w:rPr>
          <w:rFonts w:ascii="Times New Roman" w:hAnsi="Times New Roman" w:cs="Times New Roman"/>
        </w:rPr>
        <w:t>.</w:t>
      </w:r>
      <w:r w:rsidR="00475E08" w:rsidRPr="007B01BF">
        <w:rPr>
          <w:rFonts w:ascii="Times New Roman" w:hAnsi="Times New Roman" w:cs="Times New Roman"/>
        </w:rPr>
        <w:t xml:space="preserve"> </w:t>
      </w:r>
    </w:p>
    <w:p w14:paraId="4C12FD36" w14:textId="7F744D21" w:rsidR="0016240F" w:rsidRPr="00110602" w:rsidRDefault="0016240F" w:rsidP="00264CEC">
      <w:pPr>
        <w:pStyle w:val="ListParagraph"/>
        <w:ind w:left="360"/>
        <w:jc w:val="both"/>
        <w:rPr>
          <w:rFonts w:ascii="Times New Roman" w:hAnsi="Times New Roman" w:cs="Times New Roman"/>
        </w:rPr>
      </w:pPr>
    </w:p>
    <w:p w14:paraId="33F37607" w14:textId="24580A30" w:rsidR="001C4783" w:rsidRDefault="00BE4468" w:rsidP="001C4783">
      <w:pPr>
        <w:pStyle w:val="ListParagraph"/>
        <w:numPr>
          <w:ilvl w:val="0"/>
          <w:numId w:val="2"/>
        </w:numPr>
        <w:jc w:val="both"/>
        <w:rPr>
          <w:rFonts w:ascii="Times New Roman" w:hAnsi="Times New Roman" w:cs="Times New Roman"/>
        </w:rPr>
      </w:pPr>
      <w:r w:rsidRPr="00CA730C">
        <w:rPr>
          <w:rFonts w:ascii="Times New Roman" w:hAnsi="Times New Roman" w:cs="Times New Roman"/>
        </w:rPr>
        <w:t xml:space="preserve">The excessive use of force </w:t>
      </w:r>
      <w:r w:rsidR="00897D1F">
        <w:rPr>
          <w:rFonts w:ascii="Times New Roman" w:hAnsi="Times New Roman" w:cs="Times New Roman"/>
        </w:rPr>
        <w:t>and corruption by</w:t>
      </w:r>
      <w:r w:rsidR="00CA730C" w:rsidRPr="00CA730C">
        <w:rPr>
          <w:rFonts w:ascii="Times New Roman" w:hAnsi="Times New Roman" w:cs="Times New Roman"/>
        </w:rPr>
        <w:t xml:space="preserve"> </w:t>
      </w:r>
      <w:r w:rsidRPr="00CA730C">
        <w:rPr>
          <w:rFonts w:ascii="Times New Roman" w:hAnsi="Times New Roman" w:cs="Times New Roman"/>
        </w:rPr>
        <w:t xml:space="preserve">Police Officers have been brought to the attention of Government and officers involved have been investigated by the Professional Standards and Crimes Services Divisions of the Liberian National Police (LNP), charged and forwarded to court for </w:t>
      </w:r>
      <w:r w:rsidR="00CA730C" w:rsidRPr="00CA730C">
        <w:rPr>
          <w:rFonts w:ascii="Times New Roman" w:hAnsi="Times New Roman" w:cs="Times New Roman"/>
        </w:rPr>
        <w:t xml:space="preserve">prosecution, </w:t>
      </w:r>
      <w:r w:rsidR="00CA730C">
        <w:rPr>
          <w:rFonts w:ascii="Times New Roman" w:hAnsi="Times New Roman" w:cs="Times New Roman"/>
        </w:rPr>
        <w:t>t</w:t>
      </w:r>
      <w:r w:rsidR="00485AB2" w:rsidRPr="00CA730C">
        <w:rPr>
          <w:rFonts w:ascii="Times New Roman" w:hAnsi="Times New Roman" w:cs="Times New Roman"/>
        </w:rPr>
        <w:t>he community policing forum,</w:t>
      </w:r>
      <w:r w:rsidR="00AF4DEE" w:rsidRPr="00CA730C">
        <w:rPr>
          <w:rFonts w:ascii="Times New Roman" w:hAnsi="Times New Roman" w:cs="Times New Roman"/>
        </w:rPr>
        <w:t xml:space="preserve"> comprising police and civil</w:t>
      </w:r>
      <w:r w:rsidR="00485AB2" w:rsidRPr="00CA730C">
        <w:rPr>
          <w:rFonts w:ascii="Times New Roman" w:hAnsi="Times New Roman" w:cs="Times New Roman"/>
        </w:rPr>
        <w:t>ians, has been instrumental in addressing complaints of lack of trust in the pol</w:t>
      </w:r>
      <w:r w:rsidR="00AF4DEE" w:rsidRPr="00CA730C">
        <w:rPr>
          <w:rFonts w:ascii="Times New Roman" w:hAnsi="Times New Roman" w:cs="Times New Roman"/>
        </w:rPr>
        <w:t>ice by civil</w:t>
      </w:r>
      <w:r w:rsidR="00485AB2" w:rsidRPr="00CA730C">
        <w:rPr>
          <w:rFonts w:ascii="Times New Roman" w:hAnsi="Times New Roman" w:cs="Times New Roman"/>
        </w:rPr>
        <w:t xml:space="preserve">ians. </w:t>
      </w:r>
    </w:p>
    <w:p w14:paraId="399963CE" w14:textId="77777777" w:rsidR="00AB305E" w:rsidRDefault="00AB305E" w:rsidP="00AB305E">
      <w:pPr>
        <w:pStyle w:val="ListParagraph"/>
        <w:ind w:left="360"/>
        <w:jc w:val="both"/>
        <w:rPr>
          <w:rFonts w:ascii="Times New Roman" w:hAnsi="Times New Roman" w:cs="Times New Roman"/>
        </w:rPr>
      </w:pPr>
    </w:p>
    <w:p w14:paraId="72E2DB02" w14:textId="340FD5B3" w:rsidR="004A2429" w:rsidRPr="00CA730C" w:rsidRDefault="004A2429" w:rsidP="00AB305E">
      <w:pPr>
        <w:pStyle w:val="ListParagraph"/>
        <w:ind w:left="360"/>
        <w:jc w:val="both"/>
        <w:rPr>
          <w:rFonts w:ascii="Times New Roman" w:hAnsi="Times New Roman" w:cs="Times New Roman"/>
        </w:rPr>
      </w:pPr>
      <w:r>
        <w:rPr>
          <w:rFonts w:ascii="Times New Roman" w:hAnsi="Times New Roman" w:cs="Times New Roman"/>
        </w:rPr>
        <w:t>Education and trainings are been conducted with officers of the LNP to distinguish the fine line between actions which are civil, or criminal in nature.</w:t>
      </w:r>
    </w:p>
    <w:p w14:paraId="37616A0E" w14:textId="77777777" w:rsidR="00485AB2" w:rsidRDefault="00485AB2" w:rsidP="001C4783">
      <w:pPr>
        <w:pStyle w:val="ListParagraph"/>
        <w:ind w:left="360"/>
        <w:jc w:val="both"/>
        <w:rPr>
          <w:rFonts w:ascii="Times New Roman" w:hAnsi="Times New Roman" w:cs="Times New Roman"/>
        </w:rPr>
      </w:pPr>
    </w:p>
    <w:p w14:paraId="21095D62" w14:textId="6E472FBD" w:rsidR="0081244B" w:rsidRDefault="00B46896" w:rsidP="001C4783">
      <w:pPr>
        <w:pStyle w:val="ListParagraph"/>
        <w:ind w:left="360"/>
        <w:jc w:val="both"/>
        <w:rPr>
          <w:rFonts w:ascii="Times New Roman" w:hAnsi="Times New Roman" w:cs="Times New Roman"/>
        </w:rPr>
      </w:pPr>
      <w:r w:rsidRPr="00110602">
        <w:rPr>
          <w:rFonts w:ascii="Times New Roman" w:hAnsi="Times New Roman" w:cs="Times New Roman"/>
        </w:rPr>
        <w:t>On the use of force, t</w:t>
      </w:r>
      <w:r w:rsidR="008C78F0" w:rsidRPr="00110602">
        <w:rPr>
          <w:rFonts w:ascii="Times New Roman" w:hAnsi="Times New Roman" w:cs="Times New Roman"/>
        </w:rPr>
        <w:t>hough section 5.6 of the Penal Code states that the use of force toward the person of another is justifiable when the actor is making or assisting in making an arrest and the actor believes that such force is immediately necessary to effect a lawful arrest, there are steps taken in making sure that the “actor believes” is not arbitrary but must conform to acceptable standard. The Liberia National Police Revised Duty Manual of 2010, 4.1: IMPROPER USE OF FIREARMS: states, “It shall be a serious violation for a member of the Liberia National Police (LNP) to discharge his or her firearms, or possess said firearm in a manner that is not consistent w</w:t>
      </w:r>
      <w:r w:rsidR="00FB1B87">
        <w:rPr>
          <w:rFonts w:ascii="Times New Roman" w:hAnsi="Times New Roman" w:cs="Times New Roman"/>
        </w:rPr>
        <w:t>ith the LNP use of force policy.</w:t>
      </w:r>
      <w:r w:rsidR="008C78F0" w:rsidRPr="00110602">
        <w:rPr>
          <w:rFonts w:ascii="Times New Roman" w:hAnsi="Times New Roman" w:cs="Times New Roman"/>
        </w:rPr>
        <w:t xml:space="preserve">  </w:t>
      </w:r>
    </w:p>
    <w:p w14:paraId="7F10DD0B" w14:textId="77777777" w:rsidR="00890471" w:rsidRDefault="00890471" w:rsidP="00B360E1">
      <w:pPr>
        <w:pStyle w:val="ListParagraph"/>
        <w:ind w:left="360"/>
        <w:jc w:val="both"/>
        <w:rPr>
          <w:rFonts w:ascii="Times New Roman" w:hAnsi="Times New Roman" w:cs="Times New Roman"/>
        </w:rPr>
      </w:pPr>
    </w:p>
    <w:p w14:paraId="6BE7C809" w14:textId="77777777" w:rsidR="00CF1C1D" w:rsidRDefault="00CF1C1D" w:rsidP="00B360E1">
      <w:pPr>
        <w:jc w:val="both"/>
        <w:rPr>
          <w:rFonts w:ascii="Times New Roman" w:hAnsi="Times New Roman" w:cs="Times New Roman"/>
          <w:b/>
        </w:rPr>
      </w:pPr>
      <w:r w:rsidRPr="00110602">
        <w:rPr>
          <w:rFonts w:ascii="Times New Roman" w:hAnsi="Times New Roman" w:cs="Times New Roman"/>
          <w:b/>
        </w:rPr>
        <w:t>Trafficking in persons, forced, and child labour (arts. 7, 8 and 24)</w:t>
      </w:r>
    </w:p>
    <w:p w14:paraId="4660B744" w14:textId="77777777" w:rsidR="0081244B" w:rsidRPr="00110602" w:rsidRDefault="0081244B" w:rsidP="00B360E1">
      <w:pPr>
        <w:jc w:val="both"/>
        <w:rPr>
          <w:rFonts w:ascii="Times New Roman" w:hAnsi="Times New Roman" w:cs="Times New Roman"/>
          <w:b/>
        </w:rPr>
      </w:pPr>
    </w:p>
    <w:p w14:paraId="635700D8" w14:textId="2F2866C8" w:rsidR="00F1417D" w:rsidRPr="00110602" w:rsidRDefault="004A4D94" w:rsidP="00AB305E">
      <w:pPr>
        <w:pStyle w:val="ListParagraph"/>
        <w:numPr>
          <w:ilvl w:val="0"/>
          <w:numId w:val="2"/>
        </w:numPr>
        <w:jc w:val="both"/>
        <w:rPr>
          <w:rFonts w:ascii="Times New Roman" w:eastAsia="Calibri" w:hAnsi="Times New Roman" w:cs="Times New Roman"/>
        </w:rPr>
      </w:pPr>
      <w:r w:rsidRPr="00110602">
        <w:rPr>
          <w:rFonts w:ascii="Times New Roman" w:eastAsia="Calibri" w:hAnsi="Times New Roman" w:cs="Times New Roman"/>
        </w:rPr>
        <w:t>The legal and administrative frameworks of the fight against human trafficking</w:t>
      </w:r>
      <w:r w:rsidR="00BE4468">
        <w:rPr>
          <w:rFonts w:ascii="Times New Roman" w:eastAsia="Calibri" w:hAnsi="Times New Roman" w:cs="Times New Roman"/>
        </w:rPr>
        <w:t xml:space="preserve"> in Liberia are all in place.  I</w:t>
      </w:r>
      <w:r w:rsidRPr="00110602">
        <w:rPr>
          <w:rFonts w:ascii="Times New Roman" w:eastAsia="Calibri" w:hAnsi="Times New Roman" w:cs="Times New Roman"/>
        </w:rPr>
        <w:t xml:space="preserve">n 2005 an act criminalizing trafficking in person was passed into law; </w:t>
      </w:r>
      <w:r w:rsidRPr="00110602">
        <w:rPr>
          <w:rFonts w:ascii="Times New Roman" w:eastAsia="Calibri" w:hAnsi="Times New Roman" w:cs="Times New Roman"/>
        </w:rPr>
        <w:lastRenderedPageBreak/>
        <w:t>that law provided for the creation of a National Human Trafficking Taskforce, led by the Ministry of Labor and co-chaired by the Ministry of Justice.  This inter-agency and inter-ministerial body is also comprised of the Ministrie</w:t>
      </w:r>
      <w:r w:rsidR="00B4000C">
        <w:rPr>
          <w:rFonts w:ascii="Times New Roman" w:eastAsia="Calibri" w:hAnsi="Times New Roman" w:cs="Times New Roman"/>
        </w:rPr>
        <w:t>s of Health, Ministry of Gender, Children and Social P</w:t>
      </w:r>
      <w:r w:rsidRPr="00110602">
        <w:rPr>
          <w:rFonts w:ascii="Times New Roman" w:eastAsia="Calibri" w:hAnsi="Times New Roman" w:cs="Times New Roman"/>
        </w:rPr>
        <w:t xml:space="preserve">rotection, Liberia National Police, </w:t>
      </w:r>
      <w:r w:rsidR="00B4000C">
        <w:rPr>
          <w:rFonts w:ascii="Times New Roman" w:eastAsia="Calibri" w:hAnsi="Times New Roman" w:cs="Times New Roman"/>
        </w:rPr>
        <w:t xml:space="preserve">Liberia </w:t>
      </w:r>
      <w:r w:rsidRPr="00110602">
        <w:rPr>
          <w:rFonts w:ascii="Times New Roman" w:eastAsia="Calibri" w:hAnsi="Times New Roman" w:cs="Times New Roman"/>
        </w:rPr>
        <w:t xml:space="preserve">Immigration </w:t>
      </w:r>
      <w:r w:rsidR="00B4000C">
        <w:rPr>
          <w:rFonts w:ascii="Times New Roman" w:eastAsia="Calibri" w:hAnsi="Times New Roman" w:cs="Times New Roman"/>
        </w:rPr>
        <w:t>Services</w:t>
      </w:r>
      <w:r w:rsidRPr="00110602">
        <w:rPr>
          <w:rFonts w:ascii="Times New Roman" w:eastAsia="Calibri" w:hAnsi="Times New Roman" w:cs="Times New Roman"/>
        </w:rPr>
        <w:t>, and other l</w:t>
      </w:r>
      <w:r w:rsidR="00B4000C">
        <w:rPr>
          <w:rFonts w:ascii="Times New Roman" w:eastAsia="Calibri" w:hAnsi="Times New Roman" w:cs="Times New Roman"/>
        </w:rPr>
        <w:t>ocal and international partners.</w:t>
      </w:r>
      <w:r w:rsidRPr="00110602">
        <w:rPr>
          <w:rFonts w:ascii="Times New Roman" w:eastAsia="Calibri" w:hAnsi="Times New Roman" w:cs="Times New Roman"/>
        </w:rPr>
        <w:t>The National Taskforce has a National Secretariat that runs the day-to-day activities of the Taskforce.  The Secretariat leads a regular monthly</w:t>
      </w:r>
      <w:r w:rsidR="00F1417D" w:rsidRPr="00110602">
        <w:rPr>
          <w:rFonts w:ascii="Times New Roman" w:eastAsia="Calibri" w:hAnsi="Times New Roman" w:cs="Times New Roman"/>
        </w:rPr>
        <w:t xml:space="preserve"> meeting of the Taskforce. </w:t>
      </w:r>
      <w:r w:rsidRPr="00110602">
        <w:rPr>
          <w:rFonts w:ascii="Times New Roman" w:eastAsia="Calibri" w:hAnsi="Times New Roman" w:cs="Times New Roman"/>
        </w:rPr>
        <w:t>Between March and May 2018, the TIP Taskforce has had three monthly meetings, and has had a major retreat of the Taskforce members in Buchan, Grand Bassa (in May 2018) to review the National Anti-Traffi</w:t>
      </w:r>
      <w:r w:rsidR="00027A92">
        <w:rPr>
          <w:rFonts w:ascii="Times New Roman" w:eastAsia="Calibri" w:hAnsi="Times New Roman" w:cs="Times New Roman"/>
        </w:rPr>
        <w:t>cking Action Plan of Liberia.  Despite</w:t>
      </w:r>
      <w:r w:rsidRPr="00110602">
        <w:rPr>
          <w:rFonts w:ascii="Times New Roman" w:eastAsia="Calibri" w:hAnsi="Times New Roman" w:cs="Times New Roman"/>
        </w:rPr>
        <w:t xml:space="preserve"> constraints of Government, between 2013 – 2017, the Government of Liberia undertook demonstrative actions in the</w:t>
      </w:r>
      <w:r w:rsidR="00F1417D" w:rsidRPr="00110602">
        <w:rPr>
          <w:rFonts w:ascii="Times New Roman" w:eastAsia="Calibri" w:hAnsi="Times New Roman" w:cs="Times New Roman"/>
        </w:rPr>
        <w:t xml:space="preserve"> fight against TIP in Liberia.</w:t>
      </w:r>
    </w:p>
    <w:p w14:paraId="6C7B10FB" w14:textId="77777777" w:rsidR="00F1417D" w:rsidRPr="00110602" w:rsidRDefault="00F1417D" w:rsidP="00264CEC">
      <w:pPr>
        <w:pStyle w:val="ListParagraph"/>
        <w:rPr>
          <w:rFonts w:ascii="Times New Roman" w:eastAsia="Calibri" w:hAnsi="Times New Roman" w:cs="Times New Roman"/>
        </w:rPr>
      </w:pPr>
    </w:p>
    <w:p w14:paraId="329DBB1A" w14:textId="08D87A9E" w:rsidR="00F1417D" w:rsidRPr="00110602" w:rsidRDefault="004A4D94" w:rsidP="00027A92">
      <w:pPr>
        <w:pStyle w:val="ListParagraph"/>
        <w:ind w:left="360"/>
        <w:jc w:val="both"/>
        <w:rPr>
          <w:rFonts w:ascii="Times New Roman" w:eastAsia="Calibri" w:hAnsi="Times New Roman" w:cs="Times New Roman"/>
        </w:rPr>
      </w:pPr>
      <w:r w:rsidRPr="00110602">
        <w:rPr>
          <w:rFonts w:ascii="Times New Roman" w:eastAsia="Calibri" w:hAnsi="Times New Roman" w:cs="Times New Roman"/>
        </w:rPr>
        <w:t xml:space="preserve">Besides putting in place the legal, policy and programmatic frameworks to direct the fight against trafficking in Liberia, the </w:t>
      </w:r>
      <w:r w:rsidR="004F3DD0">
        <w:rPr>
          <w:rFonts w:ascii="Times New Roman" w:eastAsia="Calibri" w:hAnsi="Times New Roman" w:cs="Times New Roman"/>
        </w:rPr>
        <w:t>Government prosecuted</w:t>
      </w:r>
      <w:r w:rsidRPr="00110602">
        <w:rPr>
          <w:rFonts w:ascii="Times New Roman" w:eastAsia="Calibri" w:hAnsi="Times New Roman" w:cs="Times New Roman"/>
        </w:rPr>
        <w:t xml:space="preserve"> cases involving Lebanese perpetrators and Moroccan</w:t>
      </w:r>
      <w:r w:rsidR="004F3DD0">
        <w:rPr>
          <w:rFonts w:ascii="Times New Roman" w:eastAsia="Calibri" w:hAnsi="Times New Roman" w:cs="Times New Roman"/>
        </w:rPr>
        <w:t>, Tunisian and Liberian victims</w:t>
      </w:r>
      <w:r w:rsidRPr="00110602">
        <w:rPr>
          <w:rFonts w:ascii="Times New Roman" w:eastAsia="Calibri" w:hAnsi="Times New Roman" w:cs="Times New Roman"/>
        </w:rPr>
        <w:t xml:space="preserve"> in which the victims were reasonably cared for both as witnesses of the State as well as in </w:t>
      </w:r>
      <w:r w:rsidR="004F3DD0">
        <w:rPr>
          <w:rFonts w:ascii="Times New Roman" w:eastAsia="Calibri" w:hAnsi="Times New Roman" w:cs="Times New Roman"/>
        </w:rPr>
        <w:t>their capacity as victims.  The Moroccan and Tunisian victims and witnesses</w:t>
      </w:r>
      <w:r w:rsidRPr="00110602">
        <w:rPr>
          <w:rFonts w:ascii="Times New Roman" w:eastAsia="Calibri" w:hAnsi="Times New Roman" w:cs="Times New Roman"/>
        </w:rPr>
        <w:t xml:space="preserve"> were all resettled by </w:t>
      </w:r>
      <w:r w:rsidR="004F3DD0">
        <w:rPr>
          <w:rFonts w:ascii="Times New Roman" w:eastAsia="Calibri" w:hAnsi="Times New Roman" w:cs="Times New Roman"/>
        </w:rPr>
        <w:t xml:space="preserve">the </w:t>
      </w:r>
      <w:r w:rsidRPr="00110602">
        <w:rPr>
          <w:rFonts w:ascii="Times New Roman" w:eastAsia="Calibri" w:hAnsi="Times New Roman" w:cs="Times New Roman"/>
        </w:rPr>
        <w:t xml:space="preserve">Government </w:t>
      </w:r>
      <w:r w:rsidR="004F3DD0">
        <w:rPr>
          <w:rFonts w:ascii="Times New Roman" w:eastAsia="Calibri" w:hAnsi="Times New Roman" w:cs="Times New Roman"/>
        </w:rPr>
        <w:t xml:space="preserve">of Liberia </w:t>
      </w:r>
      <w:r w:rsidRPr="00110602">
        <w:rPr>
          <w:rFonts w:ascii="Times New Roman" w:eastAsia="Calibri" w:hAnsi="Times New Roman" w:cs="Times New Roman"/>
        </w:rPr>
        <w:t xml:space="preserve">with assistance from IOM.  While Government may not have won all the cases, the trials in court of prominent Lebanese by the State </w:t>
      </w:r>
      <w:r w:rsidR="00C63E84">
        <w:rPr>
          <w:rFonts w:ascii="Times New Roman" w:eastAsia="Calibri" w:hAnsi="Times New Roman" w:cs="Times New Roman"/>
        </w:rPr>
        <w:t xml:space="preserve">demonstrates Liberia commitment </w:t>
      </w:r>
      <w:r w:rsidR="006C35FF">
        <w:rPr>
          <w:rFonts w:ascii="Times New Roman" w:eastAsia="Calibri" w:hAnsi="Times New Roman" w:cs="Times New Roman"/>
        </w:rPr>
        <w:t xml:space="preserve">to its obligation </w:t>
      </w:r>
      <w:r w:rsidR="00C63E84">
        <w:rPr>
          <w:rFonts w:ascii="Times New Roman" w:eastAsia="Calibri" w:hAnsi="Times New Roman" w:cs="Times New Roman"/>
        </w:rPr>
        <w:t>under the covenant</w:t>
      </w:r>
      <w:r w:rsidRPr="00110602">
        <w:rPr>
          <w:rFonts w:ascii="Times New Roman" w:eastAsia="Calibri" w:hAnsi="Times New Roman" w:cs="Times New Roman"/>
        </w:rPr>
        <w:t xml:space="preserve">.  </w:t>
      </w:r>
    </w:p>
    <w:p w14:paraId="1DEA6C2F" w14:textId="77777777" w:rsidR="00F1417D" w:rsidRPr="00110602" w:rsidRDefault="00F1417D" w:rsidP="00264CEC">
      <w:pPr>
        <w:pStyle w:val="ListParagraph"/>
        <w:ind w:left="360"/>
        <w:jc w:val="both"/>
        <w:rPr>
          <w:rFonts w:ascii="Times New Roman" w:eastAsia="Calibri" w:hAnsi="Times New Roman" w:cs="Times New Roman"/>
        </w:rPr>
      </w:pPr>
    </w:p>
    <w:p w14:paraId="5D24AC44" w14:textId="7B7711D9" w:rsidR="00F1417D" w:rsidRPr="00110602" w:rsidRDefault="00F0752E" w:rsidP="00027A92">
      <w:pPr>
        <w:pStyle w:val="ListParagraph"/>
        <w:ind w:left="360"/>
        <w:jc w:val="both"/>
        <w:rPr>
          <w:rFonts w:ascii="Times New Roman" w:eastAsia="Calibri" w:hAnsi="Times New Roman" w:cs="Times New Roman"/>
        </w:rPr>
      </w:pPr>
      <w:r w:rsidRPr="00110602">
        <w:rPr>
          <w:rFonts w:ascii="Times New Roman" w:eastAsia="Calibri" w:hAnsi="Times New Roman" w:cs="Times New Roman"/>
        </w:rPr>
        <w:t>Challenges remain, in terms of budget</w:t>
      </w:r>
      <w:r w:rsidR="0052607D">
        <w:rPr>
          <w:rFonts w:ascii="Times New Roman" w:eastAsia="Calibri" w:hAnsi="Times New Roman" w:cs="Times New Roman"/>
        </w:rPr>
        <w:t>ary</w:t>
      </w:r>
      <w:r w:rsidRPr="00110602">
        <w:rPr>
          <w:rFonts w:ascii="Times New Roman" w:eastAsia="Calibri" w:hAnsi="Times New Roman" w:cs="Times New Roman"/>
        </w:rPr>
        <w:t xml:space="preserve"> support for training and</w:t>
      </w:r>
      <w:r w:rsidR="0052607D">
        <w:rPr>
          <w:rFonts w:ascii="Times New Roman" w:eastAsia="Calibri" w:hAnsi="Times New Roman" w:cs="Times New Roman"/>
        </w:rPr>
        <w:t xml:space="preserve"> prosecution.  Notwithstanding, </w:t>
      </w:r>
      <w:r w:rsidRPr="00110602">
        <w:rPr>
          <w:rFonts w:ascii="Times New Roman" w:eastAsia="Calibri" w:hAnsi="Times New Roman" w:cs="Times New Roman"/>
        </w:rPr>
        <w:t>the Prosecutio</w:t>
      </w:r>
      <w:r w:rsidR="0052607D">
        <w:rPr>
          <w:rFonts w:ascii="Times New Roman" w:eastAsia="Calibri" w:hAnsi="Times New Roman" w:cs="Times New Roman"/>
        </w:rPr>
        <w:t>n Department of the MoJ conducts</w:t>
      </w:r>
      <w:r w:rsidRPr="00110602">
        <w:rPr>
          <w:rFonts w:ascii="Times New Roman" w:eastAsia="Calibri" w:hAnsi="Times New Roman" w:cs="Times New Roman"/>
        </w:rPr>
        <w:t xml:space="preserve"> four quarterly training for prosecutors, judges and other judicial actors annually. The prosecution training curriculum includes aspects of TIP, and this has helped a lot.</w:t>
      </w:r>
      <w:r w:rsidR="00F1417D" w:rsidRPr="00110602">
        <w:rPr>
          <w:rFonts w:ascii="Times New Roman" w:eastAsia="Calibri" w:hAnsi="Times New Roman" w:cs="Times New Roman"/>
        </w:rPr>
        <w:t xml:space="preserve"> </w:t>
      </w:r>
      <w:r w:rsidRPr="00110602">
        <w:rPr>
          <w:rFonts w:ascii="Times New Roman" w:eastAsia="Calibri" w:hAnsi="Times New Roman" w:cs="Times New Roman"/>
        </w:rPr>
        <w:t>The Taskforce has also validated a TIP National Referral Pathway, which is to be submitted to the Cabinet for approval.  The Pathway is a programmatic guide to trace, document and provide assistance to victims.  There is a TIP hotline based at the Secretariat of the Taskforce to alert TIP early warning.</w:t>
      </w:r>
      <w:r w:rsidR="00F1417D" w:rsidRPr="00110602">
        <w:rPr>
          <w:rFonts w:ascii="Times New Roman" w:eastAsia="Calibri" w:hAnsi="Times New Roman" w:cs="Times New Roman"/>
        </w:rPr>
        <w:t xml:space="preserve"> </w:t>
      </w:r>
    </w:p>
    <w:p w14:paraId="6744AE59" w14:textId="77777777" w:rsidR="00F1417D" w:rsidRPr="00110602" w:rsidRDefault="00F1417D" w:rsidP="00264CEC">
      <w:pPr>
        <w:pStyle w:val="ListParagraph"/>
        <w:rPr>
          <w:rFonts w:ascii="Times New Roman" w:eastAsia="Calibri" w:hAnsi="Times New Roman" w:cs="Times New Roman"/>
        </w:rPr>
      </w:pPr>
    </w:p>
    <w:p w14:paraId="51D5C914" w14:textId="363648ED" w:rsidR="0007720A" w:rsidRPr="00110602" w:rsidRDefault="00305203" w:rsidP="00AB305E">
      <w:pPr>
        <w:pStyle w:val="ListParagraph"/>
        <w:numPr>
          <w:ilvl w:val="0"/>
          <w:numId w:val="2"/>
        </w:numPr>
        <w:jc w:val="both"/>
        <w:rPr>
          <w:rFonts w:ascii="Times New Roman" w:eastAsia="Calibri" w:hAnsi="Times New Roman" w:cs="Times New Roman"/>
        </w:rPr>
      </w:pPr>
      <w:r>
        <w:rPr>
          <w:rFonts w:ascii="Times New Roman" w:eastAsia="Calibri" w:hAnsi="Times New Roman" w:cs="Times New Roman"/>
        </w:rPr>
        <w:t>T</w:t>
      </w:r>
      <w:r w:rsidR="00867642">
        <w:rPr>
          <w:rFonts w:ascii="Times New Roman" w:eastAsia="Calibri" w:hAnsi="Times New Roman" w:cs="Times New Roman"/>
        </w:rPr>
        <w:t>he Decent Work Act</w:t>
      </w:r>
      <w:r w:rsidR="0007720A" w:rsidRPr="00110602">
        <w:rPr>
          <w:rFonts w:ascii="Times New Roman" w:eastAsia="Calibri" w:hAnsi="Times New Roman" w:cs="Times New Roman"/>
        </w:rPr>
        <w:t xml:space="preserve"> prohibits full-time employment for children under the age of 15.  Children above age 13 but under age 15 may be employed to perform “light work” for a maximum of two hours per day and not more than 14 hours per week.  “Light work” is defined as work that does not prejudice the child’s attendance at school and is not likely to be harmful to a child’s health or safety and moral or material welfare or development as defined by law; however, there is an exception to the law for artistic performances, where the law leaves the determination of work hours to the minister of labor.  Under the act, children age 15 and over are not allowed to work more than seven hours a day or more than 42 hours in a week.  There are mandatory rest periods of one hour, and the child may not work more than four hours consecutively.  The law also prohibits the employment of children under age 16 during school hours, unless the employer keeps a registry of the child’s school certificate to illustrate the child attended school regularly and can demonstrate the child was able to read and write simple sentences.  The law prohibits the employment of apprentices under age 16.  The compulsory education requirement extends through grade nine or until age 15. The Ministry of Justice Human Rights Protection Division partners with a local based NGO, National Concern Youths of Liberia, which work vigorously to remove </w:t>
      </w:r>
      <w:r w:rsidR="00967AFA" w:rsidRPr="00110602">
        <w:rPr>
          <w:rFonts w:ascii="Times New Roman" w:eastAsia="Calibri" w:hAnsi="Times New Roman" w:cs="Times New Roman"/>
        </w:rPr>
        <w:t xml:space="preserve">victims of child labor from the streets of </w:t>
      </w:r>
      <w:r w:rsidR="00967AFA" w:rsidRPr="00110602">
        <w:rPr>
          <w:rFonts w:ascii="Times New Roman" w:eastAsia="Calibri" w:hAnsi="Times New Roman" w:cs="Times New Roman"/>
        </w:rPr>
        <w:lastRenderedPageBreak/>
        <w:t>Monrovia. They reported handling of twenty (20) cases of internal trafficking</w:t>
      </w:r>
      <w:r w:rsidR="00967AFA" w:rsidRPr="00110602">
        <w:rPr>
          <w:rStyle w:val="FootnoteReference"/>
          <w:rFonts w:ascii="Times New Roman" w:eastAsia="Calibri" w:hAnsi="Times New Roman" w:cs="Times New Roman"/>
        </w:rPr>
        <w:footnoteReference w:id="13"/>
      </w:r>
      <w:r w:rsidR="00967AFA" w:rsidRPr="00110602">
        <w:rPr>
          <w:rFonts w:ascii="Times New Roman" w:eastAsia="Calibri" w:hAnsi="Times New Roman" w:cs="Times New Roman"/>
        </w:rPr>
        <w:t xml:space="preserve"> and two (2) cases of external trafficking</w:t>
      </w:r>
      <w:r w:rsidR="001A56E7" w:rsidRPr="00110602">
        <w:rPr>
          <w:rFonts w:ascii="Times New Roman" w:eastAsia="Calibri" w:hAnsi="Times New Roman" w:cs="Times New Roman"/>
        </w:rPr>
        <w:t xml:space="preserve"> in 2018</w:t>
      </w:r>
      <w:r w:rsidR="00967AFA" w:rsidRPr="00110602">
        <w:rPr>
          <w:rFonts w:ascii="Times New Roman" w:eastAsia="Calibri" w:hAnsi="Times New Roman" w:cs="Times New Roman"/>
        </w:rPr>
        <w:t xml:space="preserve">. </w:t>
      </w:r>
      <w:r w:rsidR="0007720A" w:rsidRPr="00110602">
        <w:rPr>
          <w:rFonts w:ascii="Times New Roman" w:eastAsia="Calibri" w:hAnsi="Times New Roman" w:cs="Times New Roman"/>
        </w:rPr>
        <w:t xml:space="preserve"> </w:t>
      </w:r>
    </w:p>
    <w:p w14:paraId="118FD258" w14:textId="77777777" w:rsidR="0007720A" w:rsidRPr="00110602" w:rsidRDefault="0007720A" w:rsidP="00264CEC">
      <w:pPr>
        <w:pStyle w:val="ListParagraph"/>
        <w:rPr>
          <w:rFonts w:ascii="Times New Roman" w:eastAsia="Calibri" w:hAnsi="Times New Roman" w:cs="Times New Roman"/>
        </w:rPr>
      </w:pPr>
    </w:p>
    <w:p w14:paraId="34F450E1" w14:textId="31A89298" w:rsidR="00F0752E" w:rsidRPr="00110602" w:rsidRDefault="00F0752E" w:rsidP="00027A92">
      <w:pPr>
        <w:pStyle w:val="ListParagraph"/>
        <w:ind w:left="360"/>
        <w:jc w:val="both"/>
        <w:rPr>
          <w:rFonts w:ascii="Times New Roman" w:eastAsia="Calibri" w:hAnsi="Times New Roman" w:cs="Times New Roman"/>
        </w:rPr>
      </w:pPr>
      <w:r w:rsidRPr="00110602">
        <w:rPr>
          <w:rFonts w:ascii="Times New Roman" w:eastAsia="Calibri" w:hAnsi="Times New Roman" w:cs="Times New Roman"/>
        </w:rPr>
        <w:t xml:space="preserve">Other programs under the Ministry of Justice to protect women and children against abuses include the Child Justice Section </w:t>
      </w:r>
      <w:r w:rsidR="004F1159" w:rsidRPr="00110602">
        <w:rPr>
          <w:rFonts w:ascii="Times New Roman" w:eastAsia="Calibri" w:hAnsi="Times New Roman" w:cs="Times New Roman"/>
        </w:rPr>
        <w:t>exit clear</w:t>
      </w:r>
      <w:r w:rsidR="00867642">
        <w:rPr>
          <w:rFonts w:ascii="Times New Roman" w:eastAsia="Calibri" w:hAnsi="Times New Roman" w:cs="Times New Roman"/>
        </w:rPr>
        <w:t>ance scheme in which permits have</w:t>
      </w:r>
      <w:r w:rsidR="004F1159" w:rsidRPr="00110602">
        <w:rPr>
          <w:rFonts w:ascii="Times New Roman" w:eastAsia="Calibri" w:hAnsi="Times New Roman" w:cs="Times New Roman"/>
        </w:rPr>
        <w:t xml:space="preserve"> to be acquired by either parents or guardians before any child leaves Liberia through the airport. Discussion on the need to extend this procedure at local border crossings is now being considered. T</w:t>
      </w:r>
      <w:r w:rsidRPr="00110602">
        <w:rPr>
          <w:rFonts w:ascii="Times New Roman" w:eastAsia="Calibri" w:hAnsi="Times New Roman" w:cs="Times New Roman"/>
        </w:rPr>
        <w:t>he Sexual Gender Based Violence Crimes Unit (SGBVCU)</w:t>
      </w:r>
      <w:r w:rsidR="004F1159" w:rsidRPr="00110602">
        <w:rPr>
          <w:rFonts w:ascii="Times New Roman" w:eastAsia="Calibri" w:hAnsi="Times New Roman" w:cs="Times New Roman"/>
        </w:rPr>
        <w:t xml:space="preserve"> is also a very useful mechanism for preventing and prosecuting perpetrators of abuse.</w:t>
      </w:r>
      <w:r w:rsidRPr="00110602">
        <w:rPr>
          <w:rFonts w:ascii="Times New Roman" w:eastAsia="Calibri" w:hAnsi="Times New Roman" w:cs="Times New Roman"/>
        </w:rPr>
        <w:t xml:space="preserve"> For example, the 2016 Midterm Report of the A</w:t>
      </w:r>
      <w:r w:rsidR="00867642">
        <w:rPr>
          <w:rFonts w:ascii="Times New Roman" w:eastAsia="Calibri" w:hAnsi="Times New Roman" w:cs="Times New Roman"/>
        </w:rPr>
        <w:t xml:space="preserve">genda </w:t>
      </w:r>
      <w:r w:rsidRPr="00110602">
        <w:rPr>
          <w:rFonts w:ascii="Times New Roman" w:eastAsia="Calibri" w:hAnsi="Times New Roman" w:cs="Times New Roman"/>
        </w:rPr>
        <w:t>f</w:t>
      </w:r>
      <w:r w:rsidR="00867642">
        <w:rPr>
          <w:rFonts w:ascii="Times New Roman" w:eastAsia="Calibri" w:hAnsi="Times New Roman" w:cs="Times New Roman"/>
        </w:rPr>
        <w:t xml:space="preserve">or </w:t>
      </w:r>
      <w:r w:rsidRPr="00110602">
        <w:rPr>
          <w:rFonts w:ascii="Times New Roman" w:eastAsia="Calibri" w:hAnsi="Times New Roman" w:cs="Times New Roman"/>
        </w:rPr>
        <w:t>T</w:t>
      </w:r>
      <w:r w:rsidR="00867642">
        <w:rPr>
          <w:rFonts w:ascii="Times New Roman" w:eastAsia="Calibri" w:hAnsi="Times New Roman" w:cs="Times New Roman"/>
        </w:rPr>
        <w:t>ransformation</w:t>
      </w:r>
      <w:r w:rsidRPr="00110602">
        <w:rPr>
          <w:rFonts w:ascii="Times New Roman" w:eastAsia="Calibri" w:hAnsi="Times New Roman" w:cs="Times New Roman"/>
        </w:rPr>
        <w:t xml:space="preserve"> on Juvenile and SGBV of Pillar I, on Security, Justice, Peace and the Rule of Law, reported that a total of </w:t>
      </w:r>
      <w:r w:rsidRPr="00110602">
        <w:rPr>
          <w:rFonts w:ascii="Times New Roman" w:hAnsi="Times New Roman" w:cs="Times New Roman"/>
          <w:color w:val="000000"/>
        </w:rPr>
        <w:t>196 staff were trained on fundamentals of child protection, in which all public defenders were trained on principles of Juvenile Justice; 30 peer educators were recruited; also, a set of services were provided to 1,613 SGBV victims; 6 workshops were conducted for victim support officers, social workers, prosecutors, LNP investigators during the period under review.</w:t>
      </w:r>
    </w:p>
    <w:p w14:paraId="6248C18E" w14:textId="53FAA0AD" w:rsidR="004A4D94" w:rsidRPr="00110602" w:rsidRDefault="004A4D94" w:rsidP="00264CEC">
      <w:pPr>
        <w:pStyle w:val="ListParagraph"/>
        <w:ind w:left="360"/>
        <w:jc w:val="both"/>
        <w:rPr>
          <w:rFonts w:ascii="Times New Roman" w:eastAsia="Calibri" w:hAnsi="Times New Roman" w:cs="Times New Roman"/>
        </w:rPr>
      </w:pPr>
    </w:p>
    <w:p w14:paraId="35F20212" w14:textId="77777777"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Treatment of persons deprived of their liberty (arts. 6, 7, 10 and 24)</w:t>
      </w:r>
    </w:p>
    <w:p w14:paraId="03A4B27C" w14:textId="77777777" w:rsidR="002C307D" w:rsidRPr="00110602" w:rsidRDefault="002C307D" w:rsidP="00B360E1">
      <w:pPr>
        <w:jc w:val="both"/>
        <w:rPr>
          <w:rFonts w:ascii="Times New Roman" w:hAnsi="Times New Roman" w:cs="Times New Roman"/>
          <w:b/>
        </w:rPr>
      </w:pPr>
    </w:p>
    <w:p w14:paraId="7C34FCE7" w14:textId="4D46F89B" w:rsidR="00EB65C9" w:rsidRPr="00110602" w:rsidRDefault="00EB65C9" w:rsidP="00762C99">
      <w:pPr>
        <w:pStyle w:val="ListParagraph"/>
        <w:numPr>
          <w:ilvl w:val="0"/>
          <w:numId w:val="2"/>
        </w:numPr>
        <w:jc w:val="both"/>
        <w:rPr>
          <w:rFonts w:ascii="Times New Roman" w:hAnsi="Times New Roman" w:cs="Times New Roman"/>
        </w:rPr>
      </w:pPr>
      <w:r w:rsidRPr="00110602">
        <w:rPr>
          <w:rFonts w:ascii="Times New Roman" w:hAnsi="Times New Roman" w:cs="Times New Roman"/>
        </w:rPr>
        <w:t xml:space="preserve">Human Rights Protection Division, Ministry of Justice in line with its mandate, conducted prison monitoring exercises from 2-11 April 2017 to provide the new Administration </w:t>
      </w:r>
      <w:r w:rsidR="00867642">
        <w:rPr>
          <w:rFonts w:ascii="Times New Roman" w:hAnsi="Times New Roman" w:cs="Times New Roman"/>
        </w:rPr>
        <w:t>with</w:t>
      </w:r>
      <w:r w:rsidRPr="00110602">
        <w:rPr>
          <w:rFonts w:ascii="Times New Roman" w:hAnsi="Times New Roman" w:cs="Times New Roman"/>
        </w:rPr>
        <w:t xml:space="preserve"> information on the situation of prisons in Liberia, with the aim to make recommendation for administrative action by the Ministry of Justice. The exercise took into consideration human rights-based approach to ensure that other fundamental rights of persons deprived of their liberty are maintained. The report considered condition of prisons and prisoners, leadership of the Bureau of Correction and Rehabilitation-BCR personnel, gender parity of the BCR staff, categories of prisoners, their health condit</w:t>
      </w:r>
      <w:r w:rsidR="00867642">
        <w:rPr>
          <w:rFonts w:ascii="Times New Roman" w:hAnsi="Times New Roman" w:cs="Times New Roman"/>
        </w:rPr>
        <w:t xml:space="preserve">ions and risk facing inmates, </w:t>
      </w:r>
      <w:r w:rsidRPr="00110602">
        <w:rPr>
          <w:rFonts w:ascii="Times New Roman" w:hAnsi="Times New Roman" w:cs="Times New Roman"/>
        </w:rPr>
        <w:t>Correction officers</w:t>
      </w:r>
      <w:r w:rsidR="00867642">
        <w:rPr>
          <w:rFonts w:ascii="Times New Roman" w:hAnsi="Times New Roman" w:cs="Times New Roman"/>
        </w:rPr>
        <w:t>,</w:t>
      </w:r>
      <w:r w:rsidRPr="00110602">
        <w:rPr>
          <w:rFonts w:ascii="Times New Roman" w:hAnsi="Times New Roman" w:cs="Times New Roman"/>
        </w:rPr>
        <w:t xml:space="preserve"> rehabilitation programs and activities, water, sanitation, medical facilities, beds and beddings, exercises, food and nutrition etc.</w:t>
      </w:r>
    </w:p>
    <w:p w14:paraId="664DF289" w14:textId="77777777" w:rsidR="00D008B6" w:rsidRPr="00110602" w:rsidRDefault="00D008B6" w:rsidP="00264CEC">
      <w:pPr>
        <w:pStyle w:val="ListParagraph"/>
        <w:ind w:left="360"/>
        <w:rPr>
          <w:rFonts w:ascii="Times New Roman" w:hAnsi="Times New Roman" w:cs="Times New Roman"/>
        </w:rPr>
      </w:pPr>
    </w:p>
    <w:p w14:paraId="204E758A" w14:textId="3B842C31" w:rsidR="00D458DE" w:rsidRDefault="00D458DE" w:rsidP="00532009">
      <w:pPr>
        <w:pStyle w:val="ListParagraph"/>
        <w:ind w:left="360"/>
        <w:jc w:val="both"/>
        <w:rPr>
          <w:rFonts w:ascii="Times New Roman" w:hAnsi="Times New Roman" w:cs="Times New Roman"/>
        </w:rPr>
      </w:pPr>
      <w:r w:rsidRPr="00110602">
        <w:rPr>
          <w:rFonts w:ascii="Times New Roman" w:hAnsi="Times New Roman" w:cs="Times New Roman"/>
        </w:rPr>
        <w:t>Prison</w:t>
      </w:r>
      <w:r w:rsidR="00D80BC1" w:rsidRPr="00110602">
        <w:rPr>
          <w:rFonts w:ascii="Times New Roman" w:hAnsi="Times New Roman" w:cs="Times New Roman"/>
        </w:rPr>
        <w:t>s</w:t>
      </w:r>
      <w:r w:rsidRPr="00110602">
        <w:rPr>
          <w:rFonts w:ascii="Times New Roman" w:hAnsi="Times New Roman" w:cs="Times New Roman"/>
        </w:rPr>
        <w:t xml:space="preserve"> </w:t>
      </w:r>
      <w:r w:rsidR="00B033E6" w:rsidRPr="00110602">
        <w:rPr>
          <w:rFonts w:ascii="Times New Roman" w:hAnsi="Times New Roman" w:cs="Times New Roman"/>
        </w:rPr>
        <w:t>populations are</w:t>
      </w:r>
      <w:r w:rsidRPr="00110602">
        <w:rPr>
          <w:rFonts w:ascii="Times New Roman" w:hAnsi="Times New Roman" w:cs="Times New Roman"/>
        </w:rPr>
        <w:t xml:space="preserve"> not fixed; rather, they fluctuate as individuals and or groups enter</w:t>
      </w:r>
      <w:r w:rsidR="00264CEC" w:rsidRPr="00110602">
        <w:rPr>
          <w:rFonts w:ascii="Times New Roman" w:hAnsi="Times New Roman" w:cs="Times New Roman"/>
        </w:rPr>
        <w:t xml:space="preserve"> </w:t>
      </w:r>
      <w:r w:rsidRPr="00110602">
        <w:rPr>
          <w:rFonts w:ascii="Times New Roman" w:hAnsi="Times New Roman" w:cs="Times New Roman"/>
        </w:rPr>
        <w:t xml:space="preserve">the formal criminal justice system or leave on a daily basis. </w:t>
      </w:r>
      <w:r w:rsidR="003E29E1" w:rsidRPr="00110602">
        <w:rPr>
          <w:rFonts w:ascii="Times New Roman" w:hAnsi="Times New Roman" w:cs="Times New Roman"/>
        </w:rPr>
        <w:t>Notwithstanding, as of the time of the report</w:t>
      </w:r>
      <w:r w:rsidR="00384B76">
        <w:rPr>
          <w:rFonts w:ascii="Times New Roman" w:hAnsi="Times New Roman" w:cs="Times New Roman"/>
        </w:rPr>
        <w:t>,</w:t>
      </w:r>
      <w:r w:rsidR="003E29E1" w:rsidRPr="00110602">
        <w:rPr>
          <w:rFonts w:ascii="Times New Roman" w:hAnsi="Times New Roman" w:cs="Times New Roman"/>
        </w:rPr>
        <w:t xml:space="preserve"> the total number of inmates in our Correction system </w:t>
      </w:r>
      <w:r w:rsidR="00D80BC1" w:rsidRPr="00110602">
        <w:rPr>
          <w:rFonts w:ascii="Times New Roman" w:hAnsi="Times New Roman" w:cs="Times New Roman"/>
        </w:rPr>
        <w:t>wa</w:t>
      </w:r>
      <w:r w:rsidR="003E29E1" w:rsidRPr="00110602">
        <w:rPr>
          <w:rFonts w:ascii="Times New Roman" w:hAnsi="Times New Roman" w:cs="Times New Roman"/>
        </w:rPr>
        <w:t>s 2,194. Out of that number</w:t>
      </w:r>
      <w:r w:rsidRPr="00110602">
        <w:rPr>
          <w:rFonts w:ascii="Times New Roman" w:hAnsi="Times New Roman" w:cs="Times New Roman"/>
        </w:rPr>
        <w:t xml:space="preserve"> </w:t>
      </w:r>
      <w:r w:rsidR="00384B76">
        <w:rPr>
          <w:rFonts w:ascii="Times New Roman" w:hAnsi="Times New Roman" w:cs="Times New Roman"/>
        </w:rPr>
        <w:t>838 are</w:t>
      </w:r>
      <w:r w:rsidR="00D80BC1" w:rsidRPr="00110602">
        <w:rPr>
          <w:rFonts w:ascii="Times New Roman" w:hAnsi="Times New Roman" w:cs="Times New Roman"/>
        </w:rPr>
        <w:t xml:space="preserve"> </w:t>
      </w:r>
      <w:r w:rsidR="00384B76">
        <w:rPr>
          <w:rFonts w:ascii="Times New Roman" w:hAnsi="Times New Roman" w:cs="Times New Roman"/>
        </w:rPr>
        <w:t xml:space="preserve">convicts </w:t>
      </w:r>
      <w:r w:rsidR="00532009">
        <w:rPr>
          <w:rFonts w:ascii="Times New Roman" w:hAnsi="Times New Roman" w:cs="Times New Roman"/>
        </w:rPr>
        <w:t>comprising 818 males</w:t>
      </w:r>
      <w:r w:rsidR="00D80BC1" w:rsidRPr="00110602">
        <w:rPr>
          <w:rFonts w:ascii="Times New Roman" w:hAnsi="Times New Roman" w:cs="Times New Roman"/>
        </w:rPr>
        <w:t>, while 20 are females. Pre</w:t>
      </w:r>
      <w:r w:rsidR="00384B76">
        <w:rPr>
          <w:rFonts w:ascii="Times New Roman" w:hAnsi="Times New Roman" w:cs="Times New Roman"/>
        </w:rPr>
        <w:t xml:space="preserve">-trial detainees stand at 1,356. </w:t>
      </w:r>
      <w:r w:rsidR="00C122C1" w:rsidRPr="00110602">
        <w:rPr>
          <w:rFonts w:ascii="Times New Roman" w:hAnsi="Times New Roman" w:cs="Times New Roman"/>
        </w:rPr>
        <w:t xml:space="preserve"> </w:t>
      </w:r>
      <w:r w:rsidR="00B87A25" w:rsidRPr="00110602">
        <w:rPr>
          <w:rFonts w:ascii="Times New Roman" w:hAnsi="Times New Roman" w:cs="Times New Roman"/>
        </w:rPr>
        <w:t>Of the 1,356 in pre-trial det</w:t>
      </w:r>
      <w:r w:rsidR="00532009">
        <w:rPr>
          <w:rFonts w:ascii="Times New Roman" w:hAnsi="Times New Roman" w:cs="Times New Roman"/>
        </w:rPr>
        <w:t>ention, 1,317 are males, while 3</w:t>
      </w:r>
      <w:r w:rsidR="00B87A25" w:rsidRPr="00110602">
        <w:rPr>
          <w:rFonts w:ascii="Times New Roman" w:hAnsi="Times New Roman" w:cs="Times New Roman"/>
        </w:rPr>
        <w:t>9 are females.</w:t>
      </w:r>
    </w:p>
    <w:p w14:paraId="3106CA0D" w14:textId="77777777" w:rsidR="00676F41" w:rsidRDefault="00676F41" w:rsidP="00676F41">
      <w:pPr>
        <w:jc w:val="both"/>
      </w:pPr>
    </w:p>
    <w:p w14:paraId="772E1016" w14:textId="609BACB4" w:rsidR="00B74EEB" w:rsidRDefault="00FA03CE" w:rsidP="00676F41">
      <w:pPr>
        <w:jc w:val="both"/>
      </w:pPr>
      <w:r>
        <w:t xml:space="preserve">Statistics/Data on overcrowding in prisons in Liberia: </w:t>
      </w:r>
    </w:p>
    <w:p w14:paraId="10618A74" w14:textId="77777777" w:rsidR="00676F41" w:rsidRDefault="00676F41" w:rsidP="00676F41">
      <w:pPr>
        <w:rPr>
          <w:rFonts w:ascii="Times New Roman" w:hAnsi="Times New Roman" w:cs="Times New Roman"/>
        </w:rPr>
      </w:pPr>
    </w:p>
    <w:p w14:paraId="235A2027" w14:textId="77777777" w:rsidR="00FA03CE" w:rsidRPr="00676F41" w:rsidRDefault="00FA03CE" w:rsidP="00676F41">
      <w:pPr>
        <w:rPr>
          <w:rFonts w:ascii="Times New Roman" w:hAnsi="Times New Roman" w:cs="Times New Roman"/>
        </w:rPr>
      </w:pPr>
      <w:r w:rsidRPr="00676F41">
        <w:rPr>
          <w:rFonts w:ascii="Times New Roman" w:hAnsi="Times New Roman" w:cs="Times New Roman"/>
        </w:rPr>
        <w:t>Condition of prisons infrastructures</w:t>
      </w:r>
      <w:r w:rsidRPr="00110602">
        <w:rPr>
          <w:rStyle w:val="FootnoteReference"/>
          <w:rFonts w:ascii="Times New Roman" w:hAnsi="Times New Roman" w:cs="Times New Roman"/>
        </w:rPr>
        <w:footnoteReference w:id="14"/>
      </w:r>
    </w:p>
    <w:tbl>
      <w:tblPr>
        <w:tblStyle w:val="TableGrid"/>
        <w:tblW w:w="0" w:type="auto"/>
        <w:tblInd w:w="-162" w:type="dxa"/>
        <w:tblLayout w:type="fixed"/>
        <w:tblLook w:val="04A0" w:firstRow="1" w:lastRow="0" w:firstColumn="1" w:lastColumn="0" w:noHBand="0" w:noVBand="1"/>
      </w:tblPr>
      <w:tblGrid>
        <w:gridCol w:w="810"/>
        <w:gridCol w:w="1530"/>
        <w:gridCol w:w="1890"/>
        <w:gridCol w:w="1080"/>
        <w:gridCol w:w="3240"/>
      </w:tblGrid>
      <w:tr w:rsidR="00FA03CE" w:rsidRPr="00110602" w14:paraId="2E53569A" w14:textId="77777777" w:rsidTr="00330FAA">
        <w:tc>
          <w:tcPr>
            <w:tcW w:w="810" w:type="dxa"/>
          </w:tcPr>
          <w:p w14:paraId="53904B44"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No</w:t>
            </w:r>
          </w:p>
        </w:tc>
        <w:tc>
          <w:tcPr>
            <w:tcW w:w="1530" w:type="dxa"/>
          </w:tcPr>
          <w:p w14:paraId="61A441AC" w14:textId="77777777" w:rsidR="00FA03CE" w:rsidRPr="00110602" w:rsidRDefault="00FA03CE" w:rsidP="00330FAA">
            <w:pPr>
              <w:pStyle w:val="ListParagraph"/>
              <w:ind w:left="0"/>
              <w:rPr>
                <w:rFonts w:ascii="Times New Roman" w:hAnsi="Times New Roman" w:cs="Times New Roman"/>
              </w:rPr>
            </w:pPr>
          </w:p>
          <w:p w14:paraId="757858BF"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Prison</w:t>
            </w:r>
          </w:p>
        </w:tc>
        <w:tc>
          <w:tcPr>
            <w:tcW w:w="1890" w:type="dxa"/>
          </w:tcPr>
          <w:p w14:paraId="24F17B7E"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 imension of the cells</w:t>
            </w:r>
          </w:p>
        </w:tc>
        <w:tc>
          <w:tcPr>
            <w:tcW w:w="1080" w:type="dxa"/>
          </w:tcPr>
          <w:p w14:paraId="5F1B5E06"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 Average. # of prisoner /cell</w:t>
            </w:r>
          </w:p>
        </w:tc>
        <w:tc>
          <w:tcPr>
            <w:tcW w:w="3240" w:type="dxa"/>
          </w:tcPr>
          <w:p w14:paraId="37F2F06F" w14:textId="77777777" w:rsidR="00FA03CE" w:rsidRPr="00110602" w:rsidRDefault="00FA03CE" w:rsidP="00330FAA">
            <w:pPr>
              <w:pStyle w:val="ListParagraph"/>
              <w:ind w:left="0"/>
              <w:rPr>
                <w:rFonts w:ascii="Times New Roman" w:hAnsi="Times New Roman" w:cs="Times New Roman"/>
              </w:rPr>
            </w:pPr>
          </w:p>
          <w:p w14:paraId="7DFEAD82"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Status in term of overcrowding</w:t>
            </w:r>
          </w:p>
        </w:tc>
      </w:tr>
      <w:tr w:rsidR="00FA03CE" w:rsidRPr="00110602" w14:paraId="5D0F6B77" w14:textId="77777777" w:rsidTr="00330FAA">
        <w:tc>
          <w:tcPr>
            <w:tcW w:w="810" w:type="dxa"/>
          </w:tcPr>
          <w:p w14:paraId="4E2E2DE2"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w:t>
            </w:r>
          </w:p>
        </w:tc>
        <w:tc>
          <w:tcPr>
            <w:tcW w:w="1530" w:type="dxa"/>
          </w:tcPr>
          <w:p w14:paraId="5CA30C12"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Barclayville </w:t>
            </w:r>
            <w:r w:rsidRPr="00110602">
              <w:rPr>
                <w:rFonts w:ascii="Times New Roman" w:hAnsi="Times New Roman" w:cs="Times New Roman"/>
              </w:rPr>
              <w:lastRenderedPageBreak/>
              <w:t>Central  Prison</w:t>
            </w:r>
          </w:p>
        </w:tc>
        <w:tc>
          <w:tcPr>
            <w:tcW w:w="1890" w:type="dxa"/>
          </w:tcPr>
          <w:p w14:paraId="7612E7A0"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lastRenderedPageBreak/>
              <w:t>6ft by 4ft</w:t>
            </w:r>
          </w:p>
        </w:tc>
        <w:tc>
          <w:tcPr>
            <w:tcW w:w="1080" w:type="dxa"/>
          </w:tcPr>
          <w:p w14:paraId="4E4CE434"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8</w:t>
            </w:r>
          </w:p>
        </w:tc>
        <w:tc>
          <w:tcPr>
            <w:tcW w:w="3240" w:type="dxa"/>
          </w:tcPr>
          <w:p w14:paraId="76DB7B20"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No overcrowding </w:t>
            </w:r>
          </w:p>
        </w:tc>
      </w:tr>
      <w:tr w:rsidR="00FA03CE" w:rsidRPr="00110602" w14:paraId="1774ED1A" w14:textId="77777777" w:rsidTr="00330FAA">
        <w:tc>
          <w:tcPr>
            <w:tcW w:w="810" w:type="dxa"/>
          </w:tcPr>
          <w:p w14:paraId="339AA35A"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lastRenderedPageBreak/>
              <w:t>2</w:t>
            </w:r>
          </w:p>
        </w:tc>
        <w:tc>
          <w:tcPr>
            <w:tcW w:w="1530" w:type="dxa"/>
          </w:tcPr>
          <w:p w14:paraId="4E79757B"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Bopolu Central prison</w:t>
            </w:r>
          </w:p>
        </w:tc>
        <w:tc>
          <w:tcPr>
            <w:tcW w:w="1890" w:type="dxa"/>
          </w:tcPr>
          <w:p w14:paraId="249CDBF5"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10ft by 10ft</w:t>
            </w:r>
          </w:p>
        </w:tc>
        <w:tc>
          <w:tcPr>
            <w:tcW w:w="1080" w:type="dxa"/>
          </w:tcPr>
          <w:p w14:paraId="30AF0B8A"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8</w:t>
            </w:r>
          </w:p>
        </w:tc>
        <w:tc>
          <w:tcPr>
            <w:tcW w:w="3240" w:type="dxa"/>
          </w:tcPr>
          <w:p w14:paraId="465A7630"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Overcrowding</w:t>
            </w:r>
          </w:p>
        </w:tc>
      </w:tr>
      <w:tr w:rsidR="00FA03CE" w:rsidRPr="00110602" w14:paraId="2D1331F3" w14:textId="77777777" w:rsidTr="00330FAA">
        <w:trPr>
          <w:trHeight w:val="620"/>
        </w:trPr>
        <w:tc>
          <w:tcPr>
            <w:tcW w:w="810" w:type="dxa"/>
          </w:tcPr>
          <w:p w14:paraId="7BB8B3DE"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3</w:t>
            </w:r>
          </w:p>
        </w:tc>
        <w:tc>
          <w:tcPr>
            <w:tcW w:w="1530" w:type="dxa"/>
          </w:tcPr>
          <w:p w14:paraId="77D9390A"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Buchanan  Central  Prison</w:t>
            </w:r>
          </w:p>
        </w:tc>
        <w:tc>
          <w:tcPr>
            <w:tcW w:w="1890" w:type="dxa"/>
          </w:tcPr>
          <w:p w14:paraId="636E3C53"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10ft by 16ft</w:t>
            </w:r>
          </w:p>
        </w:tc>
        <w:tc>
          <w:tcPr>
            <w:tcW w:w="1080" w:type="dxa"/>
          </w:tcPr>
          <w:p w14:paraId="170D3A8F"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10</w:t>
            </w:r>
          </w:p>
        </w:tc>
        <w:tc>
          <w:tcPr>
            <w:tcW w:w="3240" w:type="dxa"/>
          </w:tcPr>
          <w:p w14:paraId="718C43D5"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Overcrowding </w:t>
            </w:r>
          </w:p>
        </w:tc>
      </w:tr>
      <w:tr w:rsidR="00FA03CE" w:rsidRPr="00110602" w14:paraId="189E396B" w14:textId="77777777" w:rsidTr="00330FAA">
        <w:tc>
          <w:tcPr>
            <w:tcW w:w="810" w:type="dxa"/>
          </w:tcPr>
          <w:p w14:paraId="546FFC96"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4</w:t>
            </w:r>
          </w:p>
        </w:tc>
        <w:tc>
          <w:tcPr>
            <w:tcW w:w="1530" w:type="dxa"/>
          </w:tcPr>
          <w:p w14:paraId="6739E101"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Cestos  Central  Prison</w:t>
            </w:r>
          </w:p>
        </w:tc>
        <w:tc>
          <w:tcPr>
            <w:tcW w:w="1890" w:type="dxa"/>
          </w:tcPr>
          <w:p w14:paraId="3279CD63"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10ft by 16ft </w:t>
            </w:r>
          </w:p>
        </w:tc>
        <w:tc>
          <w:tcPr>
            <w:tcW w:w="1080" w:type="dxa"/>
          </w:tcPr>
          <w:p w14:paraId="05C929A2"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7</w:t>
            </w:r>
          </w:p>
        </w:tc>
        <w:tc>
          <w:tcPr>
            <w:tcW w:w="3240" w:type="dxa"/>
          </w:tcPr>
          <w:p w14:paraId="114ED717"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No overcrowding</w:t>
            </w:r>
          </w:p>
        </w:tc>
      </w:tr>
      <w:tr w:rsidR="00FA03CE" w:rsidRPr="00110602" w14:paraId="79971DC0" w14:textId="77777777" w:rsidTr="00330FAA">
        <w:tc>
          <w:tcPr>
            <w:tcW w:w="810" w:type="dxa"/>
          </w:tcPr>
          <w:p w14:paraId="090D69DC"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5</w:t>
            </w:r>
          </w:p>
        </w:tc>
        <w:tc>
          <w:tcPr>
            <w:tcW w:w="1530" w:type="dxa"/>
          </w:tcPr>
          <w:p w14:paraId="62A2C1EF"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Fish Town Central  Prison</w:t>
            </w:r>
          </w:p>
        </w:tc>
        <w:tc>
          <w:tcPr>
            <w:tcW w:w="1890" w:type="dxa"/>
          </w:tcPr>
          <w:p w14:paraId="18F6E3B0"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6ft by 10ft</w:t>
            </w:r>
          </w:p>
        </w:tc>
        <w:tc>
          <w:tcPr>
            <w:tcW w:w="1080" w:type="dxa"/>
          </w:tcPr>
          <w:p w14:paraId="5289A610"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7</w:t>
            </w:r>
          </w:p>
        </w:tc>
        <w:tc>
          <w:tcPr>
            <w:tcW w:w="3240" w:type="dxa"/>
          </w:tcPr>
          <w:p w14:paraId="05B48676"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Overcrowding</w:t>
            </w:r>
          </w:p>
        </w:tc>
      </w:tr>
      <w:tr w:rsidR="00FA03CE" w:rsidRPr="00110602" w14:paraId="7CB653DA" w14:textId="77777777" w:rsidTr="00330FAA">
        <w:tc>
          <w:tcPr>
            <w:tcW w:w="810" w:type="dxa"/>
          </w:tcPr>
          <w:p w14:paraId="355D5A7E"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6</w:t>
            </w:r>
          </w:p>
        </w:tc>
        <w:tc>
          <w:tcPr>
            <w:tcW w:w="1530" w:type="dxa"/>
          </w:tcPr>
          <w:p w14:paraId="59656478"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Gbarnga  Central  Prison</w:t>
            </w:r>
          </w:p>
        </w:tc>
        <w:tc>
          <w:tcPr>
            <w:tcW w:w="1890" w:type="dxa"/>
          </w:tcPr>
          <w:p w14:paraId="21CC417D"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12ft by 8 ft</w:t>
            </w:r>
          </w:p>
        </w:tc>
        <w:tc>
          <w:tcPr>
            <w:tcW w:w="1080" w:type="dxa"/>
          </w:tcPr>
          <w:p w14:paraId="33F90F7C"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10</w:t>
            </w:r>
          </w:p>
        </w:tc>
        <w:tc>
          <w:tcPr>
            <w:tcW w:w="3240" w:type="dxa"/>
          </w:tcPr>
          <w:p w14:paraId="74D3CEED"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Overcrowding </w:t>
            </w:r>
          </w:p>
        </w:tc>
      </w:tr>
      <w:tr w:rsidR="00FA03CE" w:rsidRPr="00110602" w14:paraId="425C46F6" w14:textId="77777777" w:rsidTr="00330FAA">
        <w:tc>
          <w:tcPr>
            <w:tcW w:w="810" w:type="dxa"/>
          </w:tcPr>
          <w:p w14:paraId="79BBD8D7"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7</w:t>
            </w:r>
          </w:p>
        </w:tc>
        <w:tc>
          <w:tcPr>
            <w:tcW w:w="1530" w:type="dxa"/>
          </w:tcPr>
          <w:p w14:paraId="367A99AE"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Greenriville Central Prison</w:t>
            </w:r>
          </w:p>
        </w:tc>
        <w:tc>
          <w:tcPr>
            <w:tcW w:w="1890" w:type="dxa"/>
          </w:tcPr>
          <w:p w14:paraId="18667F81"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12ft by 12ft </w:t>
            </w:r>
          </w:p>
        </w:tc>
        <w:tc>
          <w:tcPr>
            <w:tcW w:w="1080" w:type="dxa"/>
          </w:tcPr>
          <w:p w14:paraId="2F3642CB"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8</w:t>
            </w:r>
          </w:p>
        </w:tc>
        <w:tc>
          <w:tcPr>
            <w:tcW w:w="3240" w:type="dxa"/>
          </w:tcPr>
          <w:p w14:paraId="4FAD31CC"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Overcrowding</w:t>
            </w:r>
          </w:p>
        </w:tc>
      </w:tr>
      <w:tr w:rsidR="00FA03CE" w:rsidRPr="00110602" w14:paraId="3787249A" w14:textId="77777777" w:rsidTr="00330FAA">
        <w:tc>
          <w:tcPr>
            <w:tcW w:w="810" w:type="dxa"/>
          </w:tcPr>
          <w:p w14:paraId="691B1BC3"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8</w:t>
            </w:r>
          </w:p>
        </w:tc>
        <w:tc>
          <w:tcPr>
            <w:tcW w:w="1530" w:type="dxa"/>
          </w:tcPr>
          <w:p w14:paraId="50050438"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Harper  Central Prison</w:t>
            </w:r>
          </w:p>
        </w:tc>
        <w:tc>
          <w:tcPr>
            <w:tcW w:w="1890" w:type="dxa"/>
          </w:tcPr>
          <w:p w14:paraId="6B7FC643"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8ft by 12ft</w:t>
            </w:r>
          </w:p>
        </w:tc>
        <w:tc>
          <w:tcPr>
            <w:tcW w:w="1080" w:type="dxa"/>
          </w:tcPr>
          <w:p w14:paraId="1FE5E417"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8</w:t>
            </w:r>
          </w:p>
        </w:tc>
        <w:tc>
          <w:tcPr>
            <w:tcW w:w="3240" w:type="dxa"/>
          </w:tcPr>
          <w:p w14:paraId="516C019F"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Overcrowding </w:t>
            </w:r>
          </w:p>
        </w:tc>
      </w:tr>
      <w:tr w:rsidR="00FA03CE" w:rsidRPr="00110602" w14:paraId="5FC2A6E1" w14:textId="77777777" w:rsidTr="00330FAA">
        <w:tc>
          <w:tcPr>
            <w:tcW w:w="810" w:type="dxa"/>
          </w:tcPr>
          <w:p w14:paraId="5693FABD"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9</w:t>
            </w:r>
          </w:p>
        </w:tc>
        <w:tc>
          <w:tcPr>
            <w:tcW w:w="1530" w:type="dxa"/>
          </w:tcPr>
          <w:p w14:paraId="060719DA"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Kakata Central Prison</w:t>
            </w:r>
          </w:p>
        </w:tc>
        <w:tc>
          <w:tcPr>
            <w:tcW w:w="1890" w:type="dxa"/>
          </w:tcPr>
          <w:p w14:paraId="597776F7"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14ft by 20ft </w:t>
            </w:r>
          </w:p>
        </w:tc>
        <w:tc>
          <w:tcPr>
            <w:tcW w:w="1080" w:type="dxa"/>
          </w:tcPr>
          <w:p w14:paraId="571BD977"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42</w:t>
            </w:r>
          </w:p>
        </w:tc>
        <w:tc>
          <w:tcPr>
            <w:tcW w:w="3240" w:type="dxa"/>
          </w:tcPr>
          <w:p w14:paraId="62728E1C"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Overcrowding </w:t>
            </w:r>
          </w:p>
        </w:tc>
      </w:tr>
      <w:tr w:rsidR="00FA03CE" w:rsidRPr="00110602" w14:paraId="794B1493" w14:textId="77777777" w:rsidTr="00330FAA">
        <w:tc>
          <w:tcPr>
            <w:tcW w:w="810" w:type="dxa"/>
          </w:tcPr>
          <w:p w14:paraId="4988F65B"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10</w:t>
            </w:r>
          </w:p>
        </w:tc>
        <w:tc>
          <w:tcPr>
            <w:tcW w:w="1530" w:type="dxa"/>
          </w:tcPr>
          <w:p w14:paraId="265FDB20"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Monrovia Central Prison</w:t>
            </w:r>
          </w:p>
        </w:tc>
        <w:tc>
          <w:tcPr>
            <w:tcW w:w="1890" w:type="dxa"/>
          </w:tcPr>
          <w:p w14:paraId="46661AD7"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17ft by 20ft</w:t>
            </w:r>
          </w:p>
        </w:tc>
        <w:tc>
          <w:tcPr>
            <w:tcW w:w="1080" w:type="dxa"/>
          </w:tcPr>
          <w:p w14:paraId="56207721"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20</w:t>
            </w:r>
          </w:p>
        </w:tc>
        <w:tc>
          <w:tcPr>
            <w:tcW w:w="3240" w:type="dxa"/>
          </w:tcPr>
          <w:p w14:paraId="368722B4"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Overcrowding </w:t>
            </w:r>
          </w:p>
        </w:tc>
      </w:tr>
      <w:tr w:rsidR="00FA03CE" w:rsidRPr="00110602" w14:paraId="7587478F" w14:textId="77777777" w:rsidTr="00330FAA">
        <w:tc>
          <w:tcPr>
            <w:tcW w:w="810" w:type="dxa"/>
          </w:tcPr>
          <w:p w14:paraId="50614CA7"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11</w:t>
            </w:r>
          </w:p>
        </w:tc>
        <w:tc>
          <w:tcPr>
            <w:tcW w:w="1530" w:type="dxa"/>
          </w:tcPr>
          <w:p w14:paraId="3FC6893F"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Robertsport  Central Prison</w:t>
            </w:r>
          </w:p>
        </w:tc>
        <w:tc>
          <w:tcPr>
            <w:tcW w:w="1890" w:type="dxa"/>
          </w:tcPr>
          <w:p w14:paraId="3E8C02EA"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18ft by 20ft </w:t>
            </w:r>
          </w:p>
        </w:tc>
        <w:tc>
          <w:tcPr>
            <w:tcW w:w="1080" w:type="dxa"/>
          </w:tcPr>
          <w:p w14:paraId="1C589A5C"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28</w:t>
            </w:r>
          </w:p>
        </w:tc>
        <w:tc>
          <w:tcPr>
            <w:tcW w:w="3240" w:type="dxa"/>
          </w:tcPr>
          <w:p w14:paraId="0E267C9D"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Overcrowding </w:t>
            </w:r>
          </w:p>
        </w:tc>
      </w:tr>
      <w:tr w:rsidR="00FA03CE" w:rsidRPr="00110602" w14:paraId="5084DD33" w14:textId="77777777" w:rsidTr="00330FAA">
        <w:tc>
          <w:tcPr>
            <w:tcW w:w="810" w:type="dxa"/>
          </w:tcPr>
          <w:p w14:paraId="61D11F73"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12</w:t>
            </w:r>
          </w:p>
        </w:tc>
        <w:tc>
          <w:tcPr>
            <w:tcW w:w="1530" w:type="dxa"/>
          </w:tcPr>
          <w:p w14:paraId="2EB06B33"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Saniquelle  Central Prison</w:t>
            </w:r>
          </w:p>
        </w:tc>
        <w:tc>
          <w:tcPr>
            <w:tcW w:w="1890" w:type="dxa"/>
          </w:tcPr>
          <w:p w14:paraId="410D56FF"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9ft by 12ft</w:t>
            </w:r>
          </w:p>
        </w:tc>
        <w:tc>
          <w:tcPr>
            <w:tcW w:w="1080" w:type="dxa"/>
          </w:tcPr>
          <w:p w14:paraId="37CF5BD0"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14</w:t>
            </w:r>
          </w:p>
        </w:tc>
        <w:tc>
          <w:tcPr>
            <w:tcW w:w="3240" w:type="dxa"/>
          </w:tcPr>
          <w:p w14:paraId="290218F9"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 xml:space="preserve">Overcrowding </w:t>
            </w:r>
          </w:p>
        </w:tc>
      </w:tr>
      <w:tr w:rsidR="00FA03CE" w:rsidRPr="00110602" w14:paraId="70A6B708" w14:textId="77777777" w:rsidTr="00330FAA">
        <w:tc>
          <w:tcPr>
            <w:tcW w:w="810" w:type="dxa"/>
          </w:tcPr>
          <w:p w14:paraId="1426D814"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13</w:t>
            </w:r>
          </w:p>
        </w:tc>
        <w:tc>
          <w:tcPr>
            <w:tcW w:w="1530" w:type="dxa"/>
          </w:tcPr>
          <w:p w14:paraId="313C35FB"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Voijama  Central Prison</w:t>
            </w:r>
          </w:p>
        </w:tc>
        <w:tc>
          <w:tcPr>
            <w:tcW w:w="1890" w:type="dxa"/>
          </w:tcPr>
          <w:p w14:paraId="6DEFB94B"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9ft by 10ft</w:t>
            </w:r>
          </w:p>
        </w:tc>
        <w:tc>
          <w:tcPr>
            <w:tcW w:w="1080" w:type="dxa"/>
          </w:tcPr>
          <w:p w14:paraId="20A46DA8"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12</w:t>
            </w:r>
          </w:p>
        </w:tc>
        <w:tc>
          <w:tcPr>
            <w:tcW w:w="3240" w:type="dxa"/>
          </w:tcPr>
          <w:p w14:paraId="5F0F7FCD"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Overcrowding</w:t>
            </w:r>
          </w:p>
        </w:tc>
      </w:tr>
      <w:tr w:rsidR="00FA03CE" w:rsidRPr="00110602" w14:paraId="2779D7FB" w14:textId="77777777" w:rsidTr="00330FAA">
        <w:tc>
          <w:tcPr>
            <w:tcW w:w="810" w:type="dxa"/>
          </w:tcPr>
          <w:p w14:paraId="46C8ACC2"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14</w:t>
            </w:r>
          </w:p>
        </w:tc>
        <w:tc>
          <w:tcPr>
            <w:tcW w:w="1530" w:type="dxa"/>
          </w:tcPr>
          <w:p w14:paraId="1B987C40"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Tubmanburg  Central Prison</w:t>
            </w:r>
          </w:p>
        </w:tc>
        <w:tc>
          <w:tcPr>
            <w:tcW w:w="1890" w:type="dxa"/>
          </w:tcPr>
          <w:p w14:paraId="43E35AB2"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16ft by 16ft</w:t>
            </w:r>
          </w:p>
        </w:tc>
        <w:tc>
          <w:tcPr>
            <w:tcW w:w="1080" w:type="dxa"/>
          </w:tcPr>
          <w:p w14:paraId="041B4864"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5</w:t>
            </w:r>
          </w:p>
        </w:tc>
        <w:tc>
          <w:tcPr>
            <w:tcW w:w="3240" w:type="dxa"/>
          </w:tcPr>
          <w:p w14:paraId="25B4E31F"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Not overcrowding</w:t>
            </w:r>
          </w:p>
        </w:tc>
      </w:tr>
      <w:tr w:rsidR="00FA03CE" w:rsidRPr="00110602" w14:paraId="6B9D72B1" w14:textId="77777777" w:rsidTr="00330FAA">
        <w:tc>
          <w:tcPr>
            <w:tcW w:w="810" w:type="dxa"/>
          </w:tcPr>
          <w:p w14:paraId="085F891C"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15</w:t>
            </w:r>
          </w:p>
        </w:tc>
        <w:tc>
          <w:tcPr>
            <w:tcW w:w="1530" w:type="dxa"/>
          </w:tcPr>
          <w:p w14:paraId="541BB13E"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Palace  of     Correction  Zwedru</w:t>
            </w:r>
          </w:p>
        </w:tc>
        <w:tc>
          <w:tcPr>
            <w:tcW w:w="1890" w:type="dxa"/>
          </w:tcPr>
          <w:p w14:paraId="456B6899"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10ft by 13ft</w:t>
            </w:r>
          </w:p>
        </w:tc>
        <w:tc>
          <w:tcPr>
            <w:tcW w:w="1080" w:type="dxa"/>
          </w:tcPr>
          <w:p w14:paraId="44987D97"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11</w:t>
            </w:r>
          </w:p>
        </w:tc>
        <w:tc>
          <w:tcPr>
            <w:tcW w:w="3240" w:type="dxa"/>
          </w:tcPr>
          <w:p w14:paraId="2916D2B0" w14:textId="77777777" w:rsidR="00FA03CE" w:rsidRPr="00110602" w:rsidRDefault="00FA03CE" w:rsidP="00330FAA">
            <w:pPr>
              <w:pStyle w:val="ListParagraph"/>
              <w:ind w:left="0"/>
              <w:rPr>
                <w:rFonts w:ascii="Times New Roman" w:hAnsi="Times New Roman" w:cs="Times New Roman"/>
              </w:rPr>
            </w:pPr>
            <w:r w:rsidRPr="00110602">
              <w:rPr>
                <w:rFonts w:ascii="Times New Roman" w:hAnsi="Times New Roman" w:cs="Times New Roman"/>
              </w:rPr>
              <w:t>Not overcrowding</w:t>
            </w:r>
          </w:p>
        </w:tc>
      </w:tr>
    </w:tbl>
    <w:p w14:paraId="4F3D6E66" w14:textId="77777777" w:rsidR="00FA03CE" w:rsidRPr="00B74EEB" w:rsidRDefault="00FA03CE" w:rsidP="00B74EEB">
      <w:pPr>
        <w:ind w:firstLine="360"/>
        <w:jc w:val="both"/>
      </w:pPr>
    </w:p>
    <w:p w14:paraId="7099425F" w14:textId="5A7221A7" w:rsidR="00D458DE" w:rsidRPr="00110602" w:rsidRDefault="00D458DE" w:rsidP="00532009">
      <w:pPr>
        <w:pStyle w:val="ListParagraph"/>
        <w:ind w:left="360"/>
        <w:jc w:val="both"/>
        <w:rPr>
          <w:rFonts w:ascii="Times New Roman" w:hAnsi="Times New Roman" w:cs="Times New Roman"/>
        </w:rPr>
      </w:pPr>
      <w:r w:rsidRPr="00110602">
        <w:rPr>
          <w:rFonts w:ascii="Times New Roman" w:hAnsi="Times New Roman" w:cs="Times New Roman"/>
        </w:rPr>
        <w:t>Over the years, the government has taken several measures to deal with the issue of overcrowding. One effective measure has been the establishment of the magistrate sitting program, which</w:t>
      </w:r>
      <w:r w:rsidR="00C02C84" w:rsidRPr="00110602">
        <w:rPr>
          <w:rFonts w:ascii="Times New Roman" w:hAnsi="Times New Roman" w:cs="Times New Roman"/>
        </w:rPr>
        <w:t xml:space="preserve"> conduct</w:t>
      </w:r>
      <w:r w:rsidR="00384B76">
        <w:rPr>
          <w:rFonts w:ascii="Times New Roman" w:hAnsi="Times New Roman" w:cs="Times New Roman"/>
        </w:rPr>
        <w:t>s</w:t>
      </w:r>
      <w:r w:rsidR="00C02C84" w:rsidRPr="00110602">
        <w:rPr>
          <w:rFonts w:ascii="Times New Roman" w:hAnsi="Times New Roman" w:cs="Times New Roman"/>
        </w:rPr>
        <w:t xml:space="preserve"> hearings at the Monrovia Central Prison to </w:t>
      </w:r>
      <w:r w:rsidR="00384B76">
        <w:rPr>
          <w:rFonts w:ascii="Times New Roman" w:hAnsi="Times New Roman" w:cs="Times New Roman"/>
        </w:rPr>
        <w:t xml:space="preserve">fast track cases of misdemeanor. </w:t>
      </w:r>
    </w:p>
    <w:p w14:paraId="48381C81" w14:textId="77777777" w:rsidR="00D458DE" w:rsidRPr="00110602" w:rsidRDefault="00D458DE" w:rsidP="00532009">
      <w:pPr>
        <w:pStyle w:val="ListParagraph"/>
        <w:ind w:left="360"/>
        <w:jc w:val="both"/>
        <w:rPr>
          <w:rFonts w:ascii="Times New Roman" w:hAnsi="Times New Roman" w:cs="Times New Roman"/>
        </w:rPr>
      </w:pPr>
    </w:p>
    <w:p w14:paraId="4415A552" w14:textId="4566EB92" w:rsidR="00F85E60" w:rsidRDefault="00AA79D3" w:rsidP="00B360E1">
      <w:pPr>
        <w:pStyle w:val="ListParagraph"/>
        <w:ind w:left="360"/>
        <w:jc w:val="both"/>
        <w:rPr>
          <w:rFonts w:ascii="Times New Roman" w:hAnsi="Times New Roman" w:cs="Times New Roman"/>
        </w:rPr>
      </w:pPr>
      <w:r w:rsidRPr="00110602">
        <w:rPr>
          <w:rFonts w:ascii="Times New Roman" w:hAnsi="Times New Roman" w:cs="Times New Roman"/>
        </w:rPr>
        <w:t>Compassionate leave is provided for in the criminal procedure laws</w:t>
      </w:r>
      <w:r w:rsidRPr="00110602">
        <w:rPr>
          <w:rStyle w:val="FootnoteReference"/>
          <w:rFonts w:ascii="Times New Roman" w:hAnsi="Times New Roman" w:cs="Times New Roman"/>
        </w:rPr>
        <w:footnoteReference w:id="15"/>
      </w:r>
      <w:r w:rsidRPr="00110602">
        <w:rPr>
          <w:rFonts w:ascii="Times New Roman" w:hAnsi="Times New Roman" w:cs="Times New Roman"/>
        </w:rPr>
        <w:t xml:space="preserve"> of Liberia, but </w:t>
      </w:r>
      <w:r w:rsidR="00BB5217" w:rsidRPr="00110602">
        <w:rPr>
          <w:rFonts w:ascii="Times New Roman" w:hAnsi="Times New Roman" w:cs="Times New Roman"/>
        </w:rPr>
        <w:t xml:space="preserve"> as of yet, no policy has been developed to implement the law. </w:t>
      </w:r>
      <w:r w:rsidR="00D458DE" w:rsidRPr="00110602">
        <w:rPr>
          <w:rFonts w:ascii="Times New Roman" w:hAnsi="Times New Roman" w:cs="Times New Roman"/>
        </w:rPr>
        <w:t>Recently, the Minister of Justice and Attorney General, Republic of Liberia committed to taking steps to reducing overcrowding of prison by twenty five percent (25%)</w:t>
      </w:r>
      <w:r w:rsidR="00532009">
        <w:rPr>
          <w:rFonts w:ascii="Times New Roman" w:hAnsi="Times New Roman" w:cs="Times New Roman"/>
        </w:rPr>
        <w:t xml:space="preserve"> and in this vein many inmates who had been in prison without trial have come to be released after review of their cases by the special taskforce set up by both the Judiciary and the Ministry of Justice</w:t>
      </w:r>
      <w:r w:rsidR="00DE083A" w:rsidRPr="00110602">
        <w:rPr>
          <w:rFonts w:ascii="Times New Roman" w:hAnsi="Times New Roman" w:cs="Times New Roman"/>
        </w:rPr>
        <w:t xml:space="preserve">. </w:t>
      </w:r>
      <w:r w:rsidR="00BB5217" w:rsidRPr="00110602">
        <w:rPr>
          <w:rFonts w:ascii="Times New Roman" w:hAnsi="Times New Roman" w:cs="Times New Roman"/>
        </w:rPr>
        <w:t>The Minister</w:t>
      </w:r>
      <w:r w:rsidR="00532009">
        <w:rPr>
          <w:rFonts w:ascii="Times New Roman" w:hAnsi="Times New Roman" w:cs="Times New Roman"/>
        </w:rPr>
        <w:t xml:space="preserve"> of Justice</w:t>
      </w:r>
      <w:r w:rsidR="00BB5217" w:rsidRPr="00110602">
        <w:rPr>
          <w:rFonts w:ascii="Times New Roman" w:hAnsi="Times New Roman" w:cs="Times New Roman"/>
        </w:rPr>
        <w:t xml:space="preserve"> has also instructed</w:t>
      </w:r>
      <w:r w:rsidR="00532009">
        <w:rPr>
          <w:rFonts w:ascii="Times New Roman" w:hAnsi="Times New Roman" w:cs="Times New Roman"/>
        </w:rPr>
        <w:t xml:space="preserve"> that policy be drafted for </w:t>
      </w:r>
      <w:r w:rsidR="00BB5217" w:rsidRPr="00110602">
        <w:rPr>
          <w:rFonts w:ascii="Times New Roman" w:hAnsi="Times New Roman" w:cs="Times New Roman"/>
        </w:rPr>
        <w:t xml:space="preserve">compassionate </w:t>
      </w:r>
      <w:r w:rsidR="00C85D15">
        <w:rPr>
          <w:rFonts w:ascii="Times New Roman" w:hAnsi="Times New Roman" w:cs="Times New Roman"/>
        </w:rPr>
        <w:t>leave</w:t>
      </w:r>
      <w:r w:rsidR="008F6225">
        <w:rPr>
          <w:rFonts w:ascii="Times New Roman" w:hAnsi="Times New Roman" w:cs="Times New Roman"/>
        </w:rPr>
        <w:t xml:space="preserve"> in</w:t>
      </w:r>
      <w:r w:rsidR="00220273">
        <w:rPr>
          <w:rFonts w:ascii="Times New Roman" w:hAnsi="Times New Roman" w:cs="Times New Roman"/>
        </w:rPr>
        <w:t xml:space="preserve"> </w:t>
      </w:r>
      <w:r w:rsidR="008F6225">
        <w:rPr>
          <w:rFonts w:ascii="Times New Roman" w:hAnsi="Times New Roman" w:cs="Times New Roman"/>
        </w:rPr>
        <w:t>line with Chapter 34.20 of the Criminal Procedural Law.</w:t>
      </w:r>
      <w:r w:rsidR="005E1CE1" w:rsidRPr="00110602">
        <w:rPr>
          <w:rFonts w:ascii="Times New Roman" w:hAnsi="Times New Roman" w:cs="Times New Roman"/>
        </w:rPr>
        <w:t xml:space="preserve"> </w:t>
      </w:r>
    </w:p>
    <w:p w14:paraId="10B58CA0" w14:textId="77777777" w:rsidR="009509F3" w:rsidRPr="00110602" w:rsidRDefault="009509F3" w:rsidP="00B360E1">
      <w:pPr>
        <w:pStyle w:val="ListParagraph"/>
        <w:ind w:left="360"/>
        <w:jc w:val="both"/>
        <w:rPr>
          <w:rFonts w:ascii="Times New Roman" w:hAnsi="Times New Roman" w:cs="Times New Roman"/>
        </w:rPr>
      </w:pPr>
    </w:p>
    <w:p w14:paraId="6E9CCEC7" w14:textId="14F621FE" w:rsidR="009509F3" w:rsidRDefault="00615256" w:rsidP="00B360E1">
      <w:pPr>
        <w:pStyle w:val="ListParagraph"/>
        <w:ind w:left="360"/>
        <w:jc w:val="both"/>
        <w:rPr>
          <w:rFonts w:ascii="Times New Roman" w:hAnsi="Times New Roman" w:cs="Times New Roman"/>
        </w:rPr>
      </w:pPr>
      <w:r>
        <w:rPr>
          <w:rFonts w:ascii="Times New Roman" w:hAnsi="Times New Roman" w:cs="Times New Roman"/>
        </w:rPr>
        <w:t>The</w:t>
      </w:r>
      <w:r w:rsidR="009509F3">
        <w:rPr>
          <w:rFonts w:ascii="Times New Roman" w:hAnsi="Times New Roman" w:cs="Times New Roman"/>
        </w:rPr>
        <w:t xml:space="preserve"> budget</w:t>
      </w:r>
      <w:r>
        <w:rPr>
          <w:rFonts w:ascii="Times New Roman" w:hAnsi="Times New Roman" w:cs="Times New Roman"/>
        </w:rPr>
        <w:t>s</w:t>
      </w:r>
      <w:r w:rsidR="009509F3">
        <w:rPr>
          <w:rFonts w:ascii="Times New Roman" w:hAnsi="Times New Roman" w:cs="Times New Roman"/>
        </w:rPr>
        <w:t xml:space="preserve"> </w:t>
      </w:r>
      <w:r w:rsidR="00B321A4">
        <w:rPr>
          <w:rFonts w:ascii="Times New Roman" w:hAnsi="Times New Roman" w:cs="Times New Roman"/>
        </w:rPr>
        <w:t>for prisons under the B</w:t>
      </w:r>
      <w:r>
        <w:rPr>
          <w:rFonts w:ascii="Times New Roman" w:hAnsi="Times New Roman" w:cs="Times New Roman"/>
        </w:rPr>
        <w:t xml:space="preserve">ureau of Rehabilitations and Corrections, Ministry of Justice </w:t>
      </w:r>
      <w:r w:rsidR="009509F3">
        <w:rPr>
          <w:rFonts w:ascii="Times New Roman" w:hAnsi="Times New Roman" w:cs="Times New Roman"/>
        </w:rPr>
        <w:t xml:space="preserve">in the last five </w:t>
      </w:r>
      <w:r w:rsidR="000F21A9">
        <w:rPr>
          <w:rFonts w:ascii="Times New Roman" w:hAnsi="Times New Roman" w:cs="Times New Roman"/>
        </w:rPr>
        <w:t xml:space="preserve">years </w:t>
      </w:r>
      <w:r w:rsidR="009509F3">
        <w:rPr>
          <w:rFonts w:ascii="Times New Roman" w:hAnsi="Times New Roman" w:cs="Times New Roman"/>
        </w:rPr>
        <w:t>have been forthcoming, but due to the enormous challenges and the economic constraints, coupled with natio</w:t>
      </w:r>
      <w:r>
        <w:rPr>
          <w:rFonts w:ascii="Times New Roman" w:hAnsi="Times New Roman" w:cs="Times New Roman"/>
        </w:rPr>
        <w:t>nal budget shortfall, the amount</w:t>
      </w:r>
      <w:r w:rsidR="009509F3">
        <w:rPr>
          <w:rFonts w:ascii="Times New Roman" w:hAnsi="Times New Roman" w:cs="Times New Roman"/>
        </w:rPr>
        <w:t xml:space="preserve"> </w:t>
      </w:r>
      <w:r>
        <w:rPr>
          <w:rFonts w:ascii="Times New Roman" w:hAnsi="Times New Roman" w:cs="Times New Roman"/>
        </w:rPr>
        <w:t xml:space="preserve">allocated to the BCR budget has </w:t>
      </w:r>
      <w:r w:rsidR="009509F3">
        <w:rPr>
          <w:rFonts w:ascii="Times New Roman" w:hAnsi="Times New Roman" w:cs="Times New Roman"/>
        </w:rPr>
        <w:t xml:space="preserve">been </w:t>
      </w:r>
      <w:r>
        <w:rPr>
          <w:rFonts w:ascii="Times New Roman" w:hAnsi="Times New Roman" w:cs="Times New Roman"/>
        </w:rPr>
        <w:t>in</w:t>
      </w:r>
      <w:r w:rsidR="009509F3">
        <w:rPr>
          <w:rFonts w:ascii="Times New Roman" w:hAnsi="Times New Roman" w:cs="Times New Roman"/>
        </w:rPr>
        <w:t>adequate to deal with these problems.</w:t>
      </w:r>
    </w:p>
    <w:p w14:paraId="2B44D8E2" w14:textId="77777777" w:rsidR="00933E06" w:rsidRDefault="00933E06" w:rsidP="00B360E1">
      <w:pPr>
        <w:pStyle w:val="ListParagraph"/>
        <w:ind w:left="360"/>
        <w:jc w:val="both"/>
        <w:rPr>
          <w:rFonts w:ascii="Times New Roman" w:hAnsi="Times New Roman" w:cs="Times New Roman"/>
        </w:rPr>
      </w:pPr>
    </w:p>
    <w:p w14:paraId="0B41180B" w14:textId="4182BE34" w:rsidR="00933E06" w:rsidRDefault="00933E06" w:rsidP="00B360E1">
      <w:pPr>
        <w:pStyle w:val="ListParagraph"/>
        <w:ind w:left="360"/>
        <w:jc w:val="both"/>
        <w:rPr>
          <w:rFonts w:ascii="Times New Roman" w:hAnsi="Times New Roman" w:cs="Times New Roman"/>
        </w:rPr>
      </w:pPr>
      <w:r>
        <w:rPr>
          <w:rFonts w:ascii="Times New Roman" w:hAnsi="Times New Roman" w:cs="Times New Roman"/>
        </w:rPr>
        <w:t xml:space="preserve">Over the last five years, the </w:t>
      </w:r>
      <w:r w:rsidR="00AD2889">
        <w:rPr>
          <w:rFonts w:ascii="Times New Roman" w:hAnsi="Times New Roman" w:cs="Times New Roman"/>
        </w:rPr>
        <w:t xml:space="preserve">average </w:t>
      </w:r>
      <w:r>
        <w:rPr>
          <w:rFonts w:ascii="Times New Roman" w:hAnsi="Times New Roman" w:cs="Times New Roman"/>
        </w:rPr>
        <w:t xml:space="preserve">number of deaths in Liberia’s penitentiary facilities </w:t>
      </w:r>
      <w:r w:rsidR="00AD2889">
        <w:rPr>
          <w:rFonts w:ascii="Times New Roman" w:hAnsi="Times New Roman" w:cs="Times New Roman"/>
        </w:rPr>
        <w:t>has been</w:t>
      </w:r>
      <w:r>
        <w:rPr>
          <w:rFonts w:ascii="Times New Roman" w:hAnsi="Times New Roman" w:cs="Times New Roman"/>
        </w:rPr>
        <w:t xml:space="preserve"> </w:t>
      </w:r>
      <w:r w:rsidR="000F21A9">
        <w:rPr>
          <w:rFonts w:ascii="Times New Roman" w:hAnsi="Times New Roman" w:cs="Times New Roman"/>
        </w:rPr>
        <w:t xml:space="preserve">about </w:t>
      </w:r>
      <w:r>
        <w:rPr>
          <w:rFonts w:ascii="Times New Roman" w:hAnsi="Times New Roman" w:cs="Times New Roman"/>
        </w:rPr>
        <w:t>5 per year.</w:t>
      </w:r>
    </w:p>
    <w:p w14:paraId="22E60E0A" w14:textId="0D7411C9" w:rsidR="006C46B4" w:rsidRPr="00110602" w:rsidRDefault="00B62C47" w:rsidP="00B360E1">
      <w:pPr>
        <w:pStyle w:val="ListParagraph"/>
        <w:ind w:left="360"/>
        <w:jc w:val="both"/>
        <w:rPr>
          <w:rFonts w:ascii="Times New Roman" w:hAnsi="Times New Roman" w:cs="Times New Roman"/>
        </w:rPr>
      </w:pPr>
      <w:r w:rsidRPr="00110602">
        <w:rPr>
          <w:rFonts w:ascii="Times New Roman" w:hAnsi="Times New Roman" w:cs="Times New Roman"/>
        </w:rPr>
        <w:t xml:space="preserve">  </w:t>
      </w:r>
    </w:p>
    <w:p w14:paraId="20464FAC" w14:textId="77777777"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Right to due process and a fair trial (arts. 2, 9, 14 and 15)</w:t>
      </w:r>
    </w:p>
    <w:p w14:paraId="605FFA17" w14:textId="77777777" w:rsidR="002C307D" w:rsidRPr="00110602" w:rsidRDefault="002C307D" w:rsidP="00B360E1">
      <w:pPr>
        <w:jc w:val="both"/>
        <w:rPr>
          <w:rFonts w:ascii="Times New Roman" w:hAnsi="Times New Roman" w:cs="Times New Roman"/>
          <w:b/>
        </w:rPr>
      </w:pPr>
    </w:p>
    <w:p w14:paraId="17AFF029" w14:textId="5568C760" w:rsidR="006036D8" w:rsidRPr="00AB305E" w:rsidRDefault="006036D8" w:rsidP="00AB305E">
      <w:pPr>
        <w:pStyle w:val="ListParagraph"/>
        <w:numPr>
          <w:ilvl w:val="0"/>
          <w:numId w:val="2"/>
        </w:numPr>
        <w:jc w:val="both"/>
        <w:rPr>
          <w:rFonts w:ascii="Times New Roman" w:hAnsi="Times New Roman" w:cs="Times New Roman"/>
        </w:rPr>
      </w:pPr>
      <w:r w:rsidRPr="00AB305E">
        <w:rPr>
          <w:rFonts w:ascii="Times New Roman" w:hAnsi="Times New Roman" w:cs="Times New Roman"/>
        </w:rPr>
        <w:t>With the establishment of the Public</w:t>
      </w:r>
      <w:r w:rsidR="00AB305E">
        <w:rPr>
          <w:rFonts w:ascii="Times New Roman" w:hAnsi="Times New Roman" w:cs="Times New Roman"/>
        </w:rPr>
        <w:t xml:space="preserve"> Defense Office, </w:t>
      </w:r>
      <w:r w:rsidR="00EE7360" w:rsidRPr="00AB305E">
        <w:rPr>
          <w:rFonts w:ascii="Times New Roman" w:hAnsi="Times New Roman" w:cs="Times New Roman"/>
        </w:rPr>
        <w:t>accessibility to legal defense counsels to indigents</w:t>
      </w:r>
      <w:r w:rsidR="00EE7360">
        <w:rPr>
          <w:rFonts w:ascii="Times New Roman" w:hAnsi="Times New Roman" w:cs="Times New Roman"/>
        </w:rPr>
        <w:t xml:space="preserve"> around the country</w:t>
      </w:r>
      <w:r w:rsidR="00EE7360" w:rsidRPr="00AB305E">
        <w:rPr>
          <w:rFonts w:ascii="Times New Roman" w:hAnsi="Times New Roman" w:cs="Times New Roman"/>
        </w:rPr>
        <w:t xml:space="preserve"> </w:t>
      </w:r>
      <w:r w:rsidR="00EE7360">
        <w:rPr>
          <w:rFonts w:ascii="Times New Roman" w:hAnsi="Times New Roman" w:cs="Times New Roman"/>
        </w:rPr>
        <w:t xml:space="preserve">has </w:t>
      </w:r>
      <w:r w:rsidRPr="00AB305E">
        <w:rPr>
          <w:rFonts w:ascii="Times New Roman" w:hAnsi="Times New Roman" w:cs="Times New Roman"/>
        </w:rPr>
        <w:t>increased in our justice system. The Government recognizes the existing manpower gap cause by the limited number of Public Defenders spread across the country; however, disadvantaged defendants brought before the courts across the country have had the opportunity to be represented by these Public Defense Officers.</w:t>
      </w:r>
    </w:p>
    <w:p w14:paraId="0B2789C1" w14:textId="77777777" w:rsidR="008F6225" w:rsidRPr="008F6225" w:rsidRDefault="008F6225" w:rsidP="008F6225">
      <w:pPr>
        <w:pStyle w:val="ListParagraph"/>
        <w:ind w:left="360"/>
        <w:jc w:val="both"/>
        <w:rPr>
          <w:rFonts w:ascii="Times New Roman" w:hAnsi="Times New Roman" w:cs="Times New Roman"/>
        </w:rPr>
      </w:pPr>
    </w:p>
    <w:p w14:paraId="539D04B3" w14:textId="77777777" w:rsidR="006036D8" w:rsidRPr="00110602" w:rsidRDefault="006036D8" w:rsidP="008F6225">
      <w:pPr>
        <w:pStyle w:val="ListParagraph"/>
        <w:spacing w:after="160" w:line="259" w:lineRule="auto"/>
        <w:ind w:left="360"/>
        <w:jc w:val="both"/>
        <w:rPr>
          <w:rFonts w:ascii="Times New Roman" w:hAnsi="Times New Roman" w:cs="Times New Roman"/>
        </w:rPr>
      </w:pPr>
      <w:r w:rsidRPr="00110602">
        <w:rPr>
          <w:rFonts w:ascii="Times New Roman" w:hAnsi="Times New Roman" w:cs="Times New Roman"/>
        </w:rPr>
        <w:t>The Judicial Institute conducts quarterly and annual training for Public Defense Officers. These training are sponsored jointly by the Judiciary and donor partners, which provides the man-power for training and ensures that Public Defenders are present and participating fully.</w:t>
      </w:r>
    </w:p>
    <w:p w14:paraId="59F400AF" w14:textId="77777777" w:rsidR="00C122C1" w:rsidRPr="00110602" w:rsidRDefault="00C122C1" w:rsidP="007F3428">
      <w:pPr>
        <w:pStyle w:val="ListParagraph"/>
        <w:ind w:left="360"/>
        <w:jc w:val="both"/>
        <w:rPr>
          <w:rFonts w:ascii="Times New Roman" w:hAnsi="Times New Roman" w:cs="Times New Roman"/>
        </w:rPr>
      </w:pPr>
    </w:p>
    <w:p w14:paraId="2D83AB31" w14:textId="381B9CDC" w:rsidR="00C122C1" w:rsidRPr="00110602" w:rsidRDefault="006036D8" w:rsidP="008F6225">
      <w:pPr>
        <w:pStyle w:val="ListParagraph"/>
        <w:ind w:left="360"/>
        <w:jc w:val="both"/>
        <w:rPr>
          <w:rFonts w:ascii="Times New Roman" w:hAnsi="Times New Roman" w:cs="Times New Roman"/>
        </w:rPr>
      </w:pPr>
      <w:r w:rsidRPr="00110602">
        <w:rPr>
          <w:rFonts w:ascii="Times New Roman" w:hAnsi="Times New Roman" w:cs="Times New Roman"/>
        </w:rPr>
        <w:t xml:space="preserve">Additionally, the Judiciary, through the Public Defense Office along with the Ministry of Justice, through the office of the Solicitor General, has established a Magisterial Sitting Program at the Major Prison </w:t>
      </w:r>
      <w:r w:rsidRPr="007F3428">
        <w:rPr>
          <w:rFonts w:ascii="Times New Roman" w:hAnsi="Times New Roman" w:cs="Times New Roman"/>
        </w:rPr>
        <w:t xml:space="preserve">(the Monrovia Central prison where </w:t>
      </w:r>
      <w:r w:rsidR="007F3428" w:rsidRPr="007F3428">
        <w:rPr>
          <w:rFonts w:ascii="Times New Roman" w:hAnsi="Times New Roman" w:cs="Times New Roman"/>
        </w:rPr>
        <w:t>5</w:t>
      </w:r>
      <w:r w:rsidRPr="007F3428">
        <w:rPr>
          <w:rFonts w:ascii="Times New Roman" w:hAnsi="Times New Roman" w:cs="Times New Roman"/>
        </w:rPr>
        <w:t>0% of the total prison population</w:t>
      </w:r>
      <w:r w:rsidR="00EE7360">
        <w:rPr>
          <w:rFonts w:ascii="Times New Roman" w:hAnsi="Times New Roman" w:cs="Times New Roman"/>
        </w:rPr>
        <w:t xml:space="preserve"> of the country</w:t>
      </w:r>
      <w:r w:rsidRPr="007F3428">
        <w:rPr>
          <w:rFonts w:ascii="Times New Roman" w:hAnsi="Times New Roman" w:cs="Times New Roman"/>
        </w:rPr>
        <w:t xml:space="preserve"> is held)</w:t>
      </w:r>
      <w:r w:rsidRPr="00110602">
        <w:rPr>
          <w:rFonts w:ascii="Times New Roman" w:hAnsi="Times New Roman" w:cs="Times New Roman"/>
        </w:rPr>
        <w:t xml:space="preserve"> to afford Pre-trial detainees their right to be heard.</w:t>
      </w:r>
    </w:p>
    <w:p w14:paraId="49CA1C85" w14:textId="003D9BDB" w:rsidR="006036D8" w:rsidRPr="00110602" w:rsidRDefault="006036D8" w:rsidP="007F3428">
      <w:pPr>
        <w:pStyle w:val="ListParagraph"/>
        <w:ind w:left="360"/>
        <w:jc w:val="both"/>
        <w:rPr>
          <w:rFonts w:ascii="Times New Roman" w:hAnsi="Times New Roman" w:cs="Times New Roman"/>
        </w:rPr>
      </w:pPr>
    </w:p>
    <w:p w14:paraId="69B4FDD2" w14:textId="5169F4F3" w:rsidR="006036D8" w:rsidRPr="00110602" w:rsidRDefault="006036D8" w:rsidP="008F6225">
      <w:pPr>
        <w:pStyle w:val="ListParagraph"/>
        <w:ind w:left="360"/>
        <w:jc w:val="both"/>
        <w:rPr>
          <w:rFonts w:ascii="Times New Roman" w:hAnsi="Times New Roman" w:cs="Times New Roman"/>
        </w:rPr>
      </w:pPr>
      <w:r w:rsidRPr="00110602">
        <w:rPr>
          <w:rFonts w:ascii="Times New Roman" w:hAnsi="Times New Roman" w:cs="Times New Roman"/>
        </w:rPr>
        <w:t>Other joint efforts on the part of the Judiciary, through the Public Defense Office and the Ministry of Justice, through the Solicitor General office has been the establishment of a joint taskforce to review the case files along with judges in three of the sixteen Circuits to enable the parties to de-congest the docket</w:t>
      </w:r>
      <w:r w:rsidR="00EE7360">
        <w:rPr>
          <w:rFonts w:ascii="Times New Roman" w:hAnsi="Times New Roman" w:cs="Times New Roman"/>
        </w:rPr>
        <w:t>s</w:t>
      </w:r>
      <w:r w:rsidRPr="00110602">
        <w:rPr>
          <w:rFonts w:ascii="Times New Roman" w:hAnsi="Times New Roman" w:cs="Times New Roman"/>
        </w:rPr>
        <w:t>. All of these measure</w:t>
      </w:r>
      <w:r w:rsidR="00EE7360">
        <w:rPr>
          <w:rFonts w:ascii="Times New Roman" w:hAnsi="Times New Roman" w:cs="Times New Roman"/>
        </w:rPr>
        <w:t xml:space="preserve">s are not without enormous challenges, but our government </w:t>
      </w:r>
      <w:r w:rsidRPr="00110602">
        <w:rPr>
          <w:rFonts w:ascii="Times New Roman" w:hAnsi="Times New Roman" w:cs="Times New Roman"/>
        </w:rPr>
        <w:t>remain</w:t>
      </w:r>
      <w:r w:rsidR="00EE7360">
        <w:rPr>
          <w:rFonts w:ascii="Times New Roman" w:hAnsi="Times New Roman" w:cs="Times New Roman"/>
        </w:rPr>
        <w:t>s</w:t>
      </w:r>
      <w:r w:rsidRPr="00110602">
        <w:rPr>
          <w:rFonts w:ascii="Times New Roman" w:hAnsi="Times New Roman" w:cs="Times New Roman"/>
        </w:rPr>
        <w:t xml:space="preserve"> committed to protecting the rights of all, including those deprived of their liberty.</w:t>
      </w:r>
    </w:p>
    <w:p w14:paraId="305DC088" w14:textId="77777777" w:rsidR="006036D8" w:rsidRPr="007F3428" w:rsidRDefault="006036D8" w:rsidP="007F3428">
      <w:pPr>
        <w:jc w:val="both"/>
        <w:rPr>
          <w:rFonts w:ascii="Times New Roman" w:hAnsi="Times New Roman" w:cs="Times New Roman"/>
        </w:rPr>
      </w:pPr>
    </w:p>
    <w:p w14:paraId="74D6DC65" w14:textId="77777777" w:rsidR="00C34F43" w:rsidRPr="00110602" w:rsidRDefault="00C34F43" w:rsidP="007141F1">
      <w:pPr>
        <w:pStyle w:val="ListParagraph"/>
        <w:numPr>
          <w:ilvl w:val="0"/>
          <w:numId w:val="2"/>
        </w:numPr>
        <w:jc w:val="both"/>
        <w:rPr>
          <w:rFonts w:ascii="Times New Roman" w:hAnsi="Times New Roman" w:cs="Times New Roman"/>
        </w:rPr>
      </w:pPr>
      <w:r w:rsidRPr="00110602">
        <w:rPr>
          <w:rFonts w:ascii="Times New Roman" w:hAnsi="Times New Roman" w:cs="Times New Roman"/>
        </w:rPr>
        <w:t>The Constitution of Liberia provides for the coordination of three (3) separate and equal branches of Government as a means of ensuring the separation of powers, thereby establishing the independence of the judiciary, which is the third branch of Government.</w:t>
      </w:r>
    </w:p>
    <w:p w14:paraId="499AFD4B" w14:textId="77777777" w:rsidR="00C122C1" w:rsidRPr="00110602" w:rsidRDefault="00C122C1" w:rsidP="00A268BE">
      <w:pPr>
        <w:pStyle w:val="ListParagraph"/>
        <w:ind w:left="360"/>
        <w:jc w:val="both"/>
        <w:rPr>
          <w:rFonts w:ascii="Times New Roman" w:hAnsi="Times New Roman" w:cs="Times New Roman"/>
        </w:rPr>
      </w:pPr>
    </w:p>
    <w:p w14:paraId="7E15BC1E" w14:textId="6C34C7E5" w:rsidR="00A65076" w:rsidRDefault="00C34F43" w:rsidP="008F6225">
      <w:pPr>
        <w:pStyle w:val="ListParagraph"/>
        <w:ind w:left="360"/>
        <w:jc w:val="both"/>
        <w:rPr>
          <w:rFonts w:ascii="Times New Roman" w:hAnsi="Times New Roman" w:cs="Times New Roman"/>
        </w:rPr>
      </w:pPr>
      <w:r w:rsidRPr="00110602">
        <w:rPr>
          <w:rFonts w:ascii="Times New Roman" w:hAnsi="Times New Roman" w:cs="Times New Roman"/>
        </w:rPr>
        <w:lastRenderedPageBreak/>
        <w:t xml:space="preserve">Further, the </w:t>
      </w:r>
      <w:r w:rsidR="001B3D48" w:rsidRPr="00110602">
        <w:rPr>
          <w:rFonts w:ascii="Times New Roman" w:hAnsi="Times New Roman" w:cs="Times New Roman"/>
        </w:rPr>
        <w:t>Chief Justice along with</w:t>
      </w:r>
      <w:r w:rsidRPr="00110602">
        <w:rPr>
          <w:rFonts w:ascii="Times New Roman" w:hAnsi="Times New Roman" w:cs="Times New Roman"/>
        </w:rPr>
        <w:t xml:space="preserve"> four Associate Justices of the Supreme Court, are nominated by the President and appointed with the consent of the Senate. They may be removed through impeachment or mandatory retirement (age 70), and are entitled to civil and criminal immunity for opinions and statements made in the course of their work as justices. This means that the Justices are protected from fear of reprisal emanating from any member of the other two branches of government, thereby confirming the level of independence the Judiciary enjoys. Members of the Judiciary can only be removed for cause</w:t>
      </w:r>
      <w:r w:rsidR="00AA59BD" w:rsidRPr="00110602">
        <w:rPr>
          <w:rFonts w:ascii="Times New Roman" w:hAnsi="Times New Roman" w:cs="Times New Roman"/>
        </w:rPr>
        <w:t>.</w:t>
      </w:r>
      <w:r w:rsidR="00AA59BD" w:rsidRPr="00110602">
        <w:rPr>
          <w:rStyle w:val="FootnoteReference"/>
          <w:rFonts w:ascii="Times New Roman" w:hAnsi="Times New Roman" w:cs="Times New Roman"/>
        </w:rPr>
        <w:footnoteReference w:id="16"/>
      </w:r>
      <w:r w:rsidR="000F21A9">
        <w:rPr>
          <w:rFonts w:ascii="Times New Roman" w:hAnsi="Times New Roman" w:cs="Times New Roman"/>
        </w:rPr>
        <w:t xml:space="preserve"> Moreover, the Judiciary</w:t>
      </w:r>
      <w:r w:rsidR="00EE7360">
        <w:rPr>
          <w:rFonts w:ascii="Times New Roman" w:hAnsi="Times New Roman" w:cs="Times New Roman"/>
        </w:rPr>
        <w:t xml:space="preserve"> financial autonom</w:t>
      </w:r>
      <w:r w:rsidR="000F21A9">
        <w:rPr>
          <w:rFonts w:ascii="Times New Roman" w:hAnsi="Times New Roman" w:cs="Times New Roman"/>
        </w:rPr>
        <w:t>y</w:t>
      </w:r>
      <w:r w:rsidR="00EE7360">
        <w:rPr>
          <w:rFonts w:ascii="Times New Roman" w:hAnsi="Times New Roman" w:cs="Times New Roman"/>
        </w:rPr>
        <w:t xml:space="preserve"> </w:t>
      </w:r>
      <w:r w:rsidR="004127D3">
        <w:rPr>
          <w:rFonts w:ascii="Times New Roman" w:hAnsi="Times New Roman" w:cs="Times New Roman"/>
        </w:rPr>
        <w:t xml:space="preserve">also enhances </w:t>
      </w:r>
      <w:r w:rsidR="000F21A9">
        <w:rPr>
          <w:rFonts w:ascii="Times New Roman" w:hAnsi="Times New Roman" w:cs="Times New Roman"/>
        </w:rPr>
        <w:t xml:space="preserve">its </w:t>
      </w:r>
      <w:r w:rsidR="004127D3">
        <w:rPr>
          <w:rFonts w:ascii="Times New Roman" w:hAnsi="Times New Roman" w:cs="Times New Roman"/>
        </w:rPr>
        <w:t>independence.</w:t>
      </w:r>
      <w:r w:rsidR="000F21A9">
        <w:rPr>
          <w:rFonts w:ascii="Times New Roman" w:hAnsi="Times New Roman" w:cs="Times New Roman"/>
        </w:rPr>
        <w:t xml:space="preserve"> Measures taken to minimize</w:t>
      </w:r>
      <w:r w:rsidR="00A65076">
        <w:rPr>
          <w:rFonts w:ascii="Times New Roman" w:hAnsi="Times New Roman" w:cs="Times New Roman"/>
        </w:rPr>
        <w:t xml:space="preserve"> corruption in the judiciary include the reasonable increment in the salary and incentives of Justices, Judges and Magistrates, while similar steps have also been taken </w:t>
      </w:r>
      <w:r w:rsidR="000F21A9">
        <w:rPr>
          <w:rFonts w:ascii="Times New Roman" w:hAnsi="Times New Roman" w:cs="Times New Roman"/>
        </w:rPr>
        <w:t>for prosecutors. In fact, salaries</w:t>
      </w:r>
      <w:r w:rsidR="00A65076">
        <w:rPr>
          <w:rFonts w:ascii="Times New Roman" w:hAnsi="Times New Roman" w:cs="Times New Roman"/>
        </w:rPr>
        <w:t xml:space="preserve"> for prosecutors in various categor</w:t>
      </w:r>
      <w:r w:rsidR="000F21A9">
        <w:rPr>
          <w:rFonts w:ascii="Times New Roman" w:hAnsi="Times New Roman" w:cs="Times New Roman"/>
        </w:rPr>
        <w:t>ies</w:t>
      </w:r>
      <w:r w:rsidR="00A65076">
        <w:rPr>
          <w:rFonts w:ascii="Times New Roman" w:hAnsi="Times New Roman" w:cs="Times New Roman"/>
        </w:rPr>
        <w:t xml:space="preserve"> were increased.</w:t>
      </w:r>
      <w:r w:rsidR="006345BD">
        <w:rPr>
          <w:rFonts w:ascii="Times New Roman" w:hAnsi="Times New Roman" w:cs="Times New Roman"/>
        </w:rPr>
        <w:t xml:space="preserve"> For the jurors, the government of Liberia amended the Judiciary law putting in place the office of Jury management for the purpose of having jurors to be randomly recruited from the </w:t>
      </w:r>
      <w:r w:rsidR="000F21A9">
        <w:rPr>
          <w:rFonts w:ascii="Times New Roman" w:hAnsi="Times New Roman" w:cs="Times New Roman"/>
        </w:rPr>
        <w:t xml:space="preserve">Civil Service Agency, </w:t>
      </w:r>
      <w:r w:rsidR="006345BD">
        <w:rPr>
          <w:rFonts w:ascii="Times New Roman" w:hAnsi="Times New Roman" w:cs="Times New Roman"/>
        </w:rPr>
        <w:t>National Social Security and National Elections Commission data base</w:t>
      </w:r>
      <w:r w:rsidR="00E46A0E">
        <w:rPr>
          <w:rFonts w:ascii="Times New Roman" w:hAnsi="Times New Roman" w:cs="Times New Roman"/>
        </w:rPr>
        <w:t xml:space="preserve"> as compared to the past method of individual selecting their jury</w:t>
      </w:r>
      <w:r w:rsidR="006345BD">
        <w:rPr>
          <w:rFonts w:ascii="Times New Roman" w:hAnsi="Times New Roman" w:cs="Times New Roman"/>
        </w:rPr>
        <w:t>.</w:t>
      </w:r>
      <w:r w:rsidR="00331B56">
        <w:rPr>
          <w:rFonts w:ascii="Times New Roman" w:hAnsi="Times New Roman" w:cs="Times New Roman"/>
        </w:rPr>
        <w:t xml:space="preserve"> This measure is not free of challenges as compensation given to jurors are still inadequate. </w:t>
      </w:r>
    </w:p>
    <w:p w14:paraId="06AA74A8" w14:textId="77777777" w:rsidR="001746F6" w:rsidRDefault="001746F6" w:rsidP="008F6225">
      <w:pPr>
        <w:pStyle w:val="ListParagraph"/>
        <w:ind w:left="360"/>
        <w:jc w:val="both"/>
        <w:rPr>
          <w:rFonts w:ascii="Times New Roman" w:hAnsi="Times New Roman" w:cs="Times New Roman"/>
        </w:rPr>
      </w:pPr>
    </w:p>
    <w:p w14:paraId="5449FC30" w14:textId="5F4CE360" w:rsidR="001746F6" w:rsidRDefault="006F387D" w:rsidP="008F6225">
      <w:pPr>
        <w:pStyle w:val="ListParagraph"/>
        <w:ind w:left="360"/>
        <w:jc w:val="both"/>
        <w:rPr>
          <w:rFonts w:ascii="Times New Roman" w:hAnsi="Times New Roman" w:cs="Times New Roman"/>
        </w:rPr>
      </w:pPr>
      <w:r>
        <w:rPr>
          <w:rFonts w:ascii="Times New Roman" w:hAnsi="Times New Roman" w:cs="Times New Roman"/>
        </w:rPr>
        <w:t>The</w:t>
      </w:r>
      <w:r w:rsidR="000F21A9">
        <w:rPr>
          <w:rFonts w:ascii="Times New Roman" w:hAnsi="Times New Roman" w:cs="Times New Roman"/>
        </w:rPr>
        <w:t xml:space="preserve"> L</w:t>
      </w:r>
      <w:r>
        <w:rPr>
          <w:rFonts w:ascii="Times New Roman" w:hAnsi="Times New Roman" w:cs="Times New Roman"/>
        </w:rPr>
        <w:t xml:space="preserve">aw Reform Commission is reviewing various provisions of the Constitution, including Article 97, for the purpose of harmonizing the constitution through national referendum. </w:t>
      </w:r>
    </w:p>
    <w:p w14:paraId="5989C5F3" w14:textId="77777777" w:rsidR="00A65076" w:rsidRDefault="00A65076" w:rsidP="008F6225">
      <w:pPr>
        <w:pStyle w:val="ListParagraph"/>
        <w:ind w:left="360"/>
        <w:jc w:val="both"/>
        <w:rPr>
          <w:rFonts w:ascii="Times New Roman" w:hAnsi="Times New Roman" w:cs="Times New Roman"/>
        </w:rPr>
      </w:pPr>
    </w:p>
    <w:p w14:paraId="446B38E0" w14:textId="210851EE" w:rsidR="00CF1C1D" w:rsidRPr="00F930F0" w:rsidRDefault="00CF1C1D" w:rsidP="00F930F0">
      <w:pPr>
        <w:jc w:val="both"/>
        <w:rPr>
          <w:rFonts w:ascii="Times New Roman" w:hAnsi="Times New Roman" w:cs="Times New Roman"/>
          <w:b/>
        </w:rPr>
      </w:pPr>
      <w:r w:rsidRPr="00F930F0">
        <w:rPr>
          <w:rFonts w:ascii="Times New Roman" w:hAnsi="Times New Roman" w:cs="Times New Roman"/>
          <w:b/>
        </w:rPr>
        <w:t>Rights of refugees and asylum seekers (arts. 6, 7, 10 and 13)</w:t>
      </w:r>
    </w:p>
    <w:p w14:paraId="5D0A234A" w14:textId="77777777" w:rsidR="002C307D" w:rsidRPr="00110602" w:rsidRDefault="002C307D" w:rsidP="00B360E1">
      <w:pPr>
        <w:jc w:val="both"/>
        <w:rPr>
          <w:rFonts w:ascii="Times New Roman" w:hAnsi="Times New Roman" w:cs="Times New Roman"/>
          <w:b/>
        </w:rPr>
      </w:pPr>
    </w:p>
    <w:p w14:paraId="61E60E83" w14:textId="35F0A9BC" w:rsidR="007F5E51" w:rsidRPr="008F6225" w:rsidRDefault="007F5E51" w:rsidP="008F6225">
      <w:pPr>
        <w:pStyle w:val="ListParagraph"/>
        <w:numPr>
          <w:ilvl w:val="0"/>
          <w:numId w:val="2"/>
        </w:numPr>
        <w:jc w:val="both"/>
        <w:rPr>
          <w:rFonts w:ascii="Times New Roman" w:hAnsi="Times New Roman" w:cs="Times New Roman"/>
        </w:rPr>
      </w:pPr>
      <w:r w:rsidRPr="008F6225">
        <w:rPr>
          <w:rFonts w:ascii="Times New Roman" w:hAnsi="Times New Roman" w:cs="Times New Roman"/>
        </w:rPr>
        <w:t xml:space="preserve">The government of Liberia is a signatory to </w:t>
      </w:r>
      <w:r w:rsidR="00120E4B">
        <w:rPr>
          <w:rFonts w:ascii="Times New Roman" w:hAnsi="Times New Roman" w:cs="Times New Roman"/>
        </w:rPr>
        <w:t>international</w:t>
      </w:r>
      <w:r w:rsidRPr="008F6225">
        <w:rPr>
          <w:rFonts w:ascii="Times New Roman" w:hAnsi="Times New Roman" w:cs="Times New Roman"/>
        </w:rPr>
        <w:t xml:space="preserve"> convention</w:t>
      </w:r>
      <w:r w:rsidR="00120E4B">
        <w:rPr>
          <w:rFonts w:ascii="Times New Roman" w:hAnsi="Times New Roman" w:cs="Times New Roman"/>
        </w:rPr>
        <w:t>s</w:t>
      </w:r>
      <w:r w:rsidRPr="008F6225">
        <w:rPr>
          <w:rFonts w:ascii="Times New Roman" w:hAnsi="Times New Roman" w:cs="Times New Roman"/>
        </w:rPr>
        <w:t xml:space="preserve"> and other Human Rights Instruments, and as such, must comply with provisions in these international instruments with the aim to protect and promote human rights. Since the signing of these instruments, the Government has over the years been in the vanguard of protecting the rights of persons coming to Liberia in need of international protection.</w:t>
      </w:r>
    </w:p>
    <w:p w14:paraId="6BFA73BE" w14:textId="77777777" w:rsidR="00017BE6" w:rsidRPr="00110602" w:rsidRDefault="00017BE6" w:rsidP="00F11566">
      <w:pPr>
        <w:pStyle w:val="ListParagraph"/>
        <w:ind w:left="360"/>
        <w:jc w:val="both"/>
        <w:rPr>
          <w:rFonts w:ascii="Times New Roman" w:hAnsi="Times New Roman" w:cs="Times New Roman"/>
        </w:rPr>
      </w:pPr>
    </w:p>
    <w:p w14:paraId="51C79147" w14:textId="4CF8A725" w:rsidR="007F5E51" w:rsidRPr="00110602" w:rsidRDefault="007F5E51" w:rsidP="00120E4B">
      <w:pPr>
        <w:pStyle w:val="ListParagraph"/>
        <w:ind w:left="360"/>
        <w:jc w:val="both"/>
        <w:rPr>
          <w:rFonts w:ascii="Times New Roman" w:hAnsi="Times New Roman" w:cs="Times New Roman"/>
        </w:rPr>
      </w:pPr>
      <w:r w:rsidRPr="00110602">
        <w:rPr>
          <w:rFonts w:ascii="Times New Roman" w:hAnsi="Times New Roman" w:cs="Times New Roman"/>
        </w:rPr>
        <w:t>The Liberia Refugee Repatriation and Resettlement Commission (LRRRC), is a government of Liberia agency responsible to provide protection to those seeking asylum due to threats to their lives; thereby bringing relief to them</w:t>
      </w:r>
      <w:r w:rsidR="00D874FA">
        <w:rPr>
          <w:rFonts w:ascii="Times New Roman" w:hAnsi="Times New Roman" w:cs="Times New Roman"/>
        </w:rPr>
        <w:t>. The LRRRC</w:t>
      </w:r>
      <w:r w:rsidRPr="00110602">
        <w:rPr>
          <w:rFonts w:ascii="Times New Roman" w:hAnsi="Times New Roman" w:cs="Times New Roman"/>
        </w:rPr>
        <w:t xml:space="preserve"> came into being through an act of the In</w:t>
      </w:r>
      <w:r w:rsidR="00017BE6" w:rsidRPr="00110602">
        <w:rPr>
          <w:rFonts w:ascii="Times New Roman" w:hAnsi="Times New Roman" w:cs="Times New Roman"/>
        </w:rPr>
        <w:t xml:space="preserve">terim Legislative Assembly, the </w:t>
      </w:r>
      <w:r w:rsidR="006F387D">
        <w:rPr>
          <w:rFonts w:ascii="Times New Roman" w:hAnsi="Times New Roman" w:cs="Times New Roman"/>
        </w:rPr>
        <w:t>(</w:t>
      </w:r>
      <w:r w:rsidRPr="00110602">
        <w:rPr>
          <w:rFonts w:ascii="Times New Roman" w:hAnsi="Times New Roman" w:cs="Times New Roman"/>
        </w:rPr>
        <w:t>ILA) in 1993. The 1993 Liberia Refugee Act (LRA) gave the LRRRC the legal authority to conduct Refugee Status Determination (RSD).</w:t>
      </w:r>
    </w:p>
    <w:p w14:paraId="4D15211A" w14:textId="77777777" w:rsidR="00017BE6" w:rsidRPr="00110602" w:rsidRDefault="00017BE6" w:rsidP="00F11566">
      <w:pPr>
        <w:pStyle w:val="ListParagraph"/>
        <w:rPr>
          <w:rFonts w:ascii="Times New Roman" w:hAnsi="Times New Roman" w:cs="Times New Roman"/>
        </w:rPr>
      </w:pPr>
    </w:p>
    <w:p w14:paraId="31A86124" w14:textId="3916128A" w:rsidR="006142B9" w:rsidRPr="00120E4B" w:rsidRDefault="007F5E51" w:rsidP="00120E4B">
      <w:pPr>
        <w:pStyle w:val="ListParagraph"/>
        <w:ind w:left="360"/>
        <w:jc w:val="both"/>
        <w:rPr>
          <w:rFonts w:ascii="Times New Roman" w:hAnsi="Times New Roman" w:cs="Times New Roman"/>
        </w:rPr>
      </w:pPr>
      <w:r w:rsidRPr="00110602">
        <w:rPr>
          <w:rFonts w:ascii="Times New Roman" w:hAnsi="Times New Roman" w:cs="Times New Roman"/>
        </w:rPr>
        <w:t xml:space="preserve">The Protection Programming Department of the LRRRC has staffs that are trained as Case workers, </w:t>
      </w:r>
      <w:r w:rsidR="00017BE6" w:rsidRPr="00110602">
        <w:rPr>
          <w:rFonts w:ascii="Times New Roman" w:hAnsi="Times New Roman" w:cs="Times New Roman"/>
        </w:rPr>
        <w:t>Counselors</w:t>
      </w:r>
      <w:r w:rsidRPr="00110602">
        <w:rPr>
          <w:rFonts w:ascii="Times New Roman" w:hAnsi="Times New Roman" w:cs="Times New Roman"/>
        </w:rPr>
        <w:t xml:space="preserve"> and Protection Monitors;</w:t>
      </w:r>
      <w:r w:rsidR="000F21A9">
        <w:rPr>
          <w:rFonts w:ascii="Times New Roman" w:hAnsi="Times New Roman" w:cs="Times New Roman"/>
        </w:rPr>
        <w:t xml:space="preserve"> these staffs receive applications</w:t>
      </w:r>
      <w:r w:rsidRPr="00110602">
        <w:rPr>
          <w:rFonts w:ascii="Times New Roman" w:hAnsi="Times New Roman" w:cs="Times New Roman"/>
        </w:rPr>
        <w:t>, conduct interviews, summarize and assess claims of applicants for subsequent submission to the 1</w:t>
      </w:r>
      <w:r w:rsidRPr="00110602">
        <w:rPr>
          <w:rFonts w:ascii="Times New Roman" w:hAnsi="Times New Roman" w:cs="Times New Roman"/>
          <w:vertAlign w:val="superscript"/>
        </w:rPr>
        <w:t>st</w:t>
      </w:r>
      <w:r w:rsidRPr="00110602">
        <w:rPr>
          <w:rFonts w:ascii="Times New Roman" w:hAnsi="Times New Roman" w:cs="Times New Roman"/>
        </w:rPr>
        <w:t xml:space="preserve"> Instance Asylum Committee for decisions which could be denied.</w:t>
      </w:r>
    </w:p>
    <w:p w14:paraId="0B162B47" w14:textId="77777777" w:rsidR="00C122C1" w:rsidRPr="00110602" w:rsidRDefault="00C122C1" w:rsidP="00F11566">
      <w:pPr>
        <w:pStyle w:val="ListParagraph"/>
        <w:ind w:left="360"/>
        <w:jc w:val="both"/>
        <w:rPr>
          <w:rFonts w:ascii="Times New Roman" w:hAnsi="Times New Roman" w:cs="Times New Roman"/>
        </w:rPr>
      </w:pPr>
    </w:p>
    <w:p w14:paraId="3296E543" w14:textId="4417C9B2" w:rsidR="007F5E51" w:rsidRPr="00110602" w:rsidRDefault="006142B9" w:rsidP="00F11566">
      <w:pPr>
        <w:pStyle w:val="ListParagraph"/>
        <w:ind w:left="360"/>
        <w:jc w:val="both"/>
        <w:rPr>
          <w:rFonts w:ascii="Times New Roman" w:hAnsi="Times New Roman" w:cs="Times New Roman"/>
        </w:rPr>
      </w:pPr>
      <w:r w:rsidRPr="00110602">
        <w:rPr>
          <w:rFonts w:ascii="Times New Roman" w:hAnsi="Times New Roman" w:cs="Times New Roman"/>
        </w:rPr>
        <w:t xml:space="preserve">The LRRRC is cognizant of the Principles of Non-refoulement; Art.33 of the 1951 Geneva Convention, its 1967 Protocol and Art. IV, section 2(A) of the </w:t>
      </w:r>
      <w:r w:rsidR="00D57545" w:rsidRPr="00110602">
        <w:rPr>
          <w:rFonts w:ascii="Times New Roman" w:hAnsi="Times New Roman" w:cs="Times New Roman"/>
        </w:rPr>
        <w:t>Liberia Refugees Act (</w:t>
      </w:r>
      <w:r w:rsidRPr="00110602">
        <w:rPr>
          <w:rFonts w:ascii="Times New Roman" w:hAnsi="Times New Roman" w:cs="Times New Roman"/>
        </w:rPr>
        <w:t>LRA</w:t>
      </w:r>
      <w:r w:rsidR="007751CA">
        <w:rPr>
          <w:rFonts w:ascii="Times New Roman" w:hAnsi="Times New Roman" w:cs="Times New Roman"/>
        </w:rPr>
        <w:t>),</w:t>
      </w:r>
      <w:r w:rsidRPr="00110602">
        <w:rPr>
          <w:rFonts w:ascii="Times New Roman" w:hAnsi="Times New Roman" w:cs="Times New Roman"/>
        </w:rPr>
        <w:t xml:space="preserve"> is under obligation to ensuring that this princip</w:t>
      </w:r>
      <w:r w:rsidR="007751CA">
        <w:rPr>
          <w:rFonts w:ascii="Times New Roman" w:hAnsi="Times New Roman" w:cs="Times New Roman"/>
        </w:rPr>
        <w:t>le is observed and not violated.</w:t>
      </w:r>
      <w:r w:rsidR="000F21A9">
        <w:rPr>
          <w:rFonts w:ascii="Times New Roman" w:hAnsi="Times New Roman" w:cs="Times New Roman"/>
        </w:rPr>
        <w:t xml:space="preserve"> N</w:t>
      </w:r>
      <w:r w:rsidRPr="00110602">
        <w:rPr>
          <w:rFonts w:ascii="Times New Roman" w:hAnsi="Times New Roman" w:cs="Times New Roman"/>
        </w:rPr>
        <w:t xml:space="preserve">otwithstanding, </w:t>
      </w:r>
      <w:r w:rsidR="007751CA">
        <w:rPr>
          <w:rFonts w:ascii="Times New Roman" w:hAnsi="Times New Roman" w:cs="Times New Roman"/>
        </w:rPr>
        <w:t>r</w:t>
      </w:r>
      <w:r w:rsidR="00CC5CD3" w:rsidRPr="00110602">
        <w:rPr>
          <w:rFonts w:ascii="Times New Roman" w:hAnsi="Times New Roman" w:cs="Times New Roman"/>
        </w:rPr>
        <w:t>ela</w:t>
      </w:r>
      <w:r w:rsidR="00736DB5" w:rsidRPr="00110602">
        <w:rPr>
          <w:rFonts w:ascii="Times New Roman" w:hAnsi="Times New Roman" w:cs="Times New Roman"/>
        </w:rPr>
        <w:t>t</w:t>
      </w:r>
      <w:r w:rsidR="00D874FA">
        <w:rPr>
          <w:rFonts w:ascii="Times New Roman" w:hAnsi="Times New Roman" w:cs="Times New Roman"/>
        </w:rPr>
        <w:t>ive to the refoulement of the 14</w:t>
      </w:r>
      <w:r w:rsidR="00736DB5" w:rsidRPr="00110602">
        <w:rPr>
          <w:rFonts w:ascii="Times New Roman" w:hAnsi="Times New Roman" w:cs="Times New Roman"/>
        </w:rPr>
        <w:t xml:space="preserve"> Refugees, </w:t>
      </w:r>
      <w:r w:rsidRPr="00110602">
        <w:rPr>
          <w:rFonts w:ascii="Times New Roman" w:hAnsi="Times New Roman" w:cs="Times New Roman"/>
        </w:rPr>
        <w:t xml:space="preserve">the government of Liberia received an extradition request from the Government of Ivory Coast; </w:t>
      </w:r>
      <w:r w:rsidR="007751CA">
        <w:rPr>
          <w:rFonts w:ascii="Times New Roman" w:hAnsi="Times New Roman" w:cs="Times New Roman"/>
        </w:rPr>
        <w:t xml:space="preserve">and in keeping with its treaty obligation, a petition was filed before the court and </w:t>
      </w:r>
      <w:r w:rsidRPr="00110602">
        <w:rPr>
          <w:rFonts w:ascii="Times New Roman" w:hAnsi="Times New Roman" w:cs="Times New Roman"/>
        </w:rPr>
        <w:t xml:space="preserve">a hearing was </w:t>
      </w:r>
      <w:r w:rsidRPr="00110602">
        <w:rPr>
          <w:rFonts w:ascii="Times New Roman" w:hAnsi="Times New Roman" w:cs="Times New Roman"/>
        </w:rPr>
        <w:lastRenderedPageBreak/>
        <w:t>conducted by the 7</w:t>
      </w:r>
      <w:r w:rsidRPr="00110602">
        <w:rPr>
          <w:rFonts w:ascii="Times New Roman" w:hAnsi="Times New Roman" w:cs="Times New Roman"/>
          <w:vertAlign w:val="superscript"/>
        </w:rPr>
        <w:t>th</w:t>
      </w:r>
      <w:r w:rsidRPr="00110602">
        <w:rPr>
          <w:rFonts w:ascii="Times New Roman" w:hAnsi="Times New Roman" w:cs="Times New Roman"/>
        </w:rPr>
        <w:t xml:space="preserve"> Judicial Circuit </w:t>
      </w:r>
      <w:r w:rsidR="00CC5CD3" w:rsidRPr="00110602">
        <w:rPr>
          <w:rFonts w:ascii="Times New Roman" w:hAnsi="Times New Roman" w:cs="Times New Roman"/>
        </w:rPr>
        <w:t>C</w:t>
      </w:r>
      <w:r w:rsidRPr="00110602">
        <w:rPr>
          <w:rFonts w:ascii="Times New Roman" w:hAnsi="Times New Roman" w:cs="Times New Roman"/>
        </w:rPr>
        <w:t>ourt.</w:t>
      </w:r>
      <w:r w:rsidR="00D874FA">
        <w:rPr>
          <w:rFonts w:ascii="Times New Roman" w:hAnsi="Times New Roman" w:cs="Times New Roman"/>
        </w:rPr>
        <w:t xml:space="preserve"> </w:t>
      </w:r>
      <w:r w:rsidRPr="00110602">
        <w:rPr>
          <w:rFonts w:ascii="Times New Roman" w:hAnsi="Times New Roman" w:cs="Times New Roman"/>
        </w:rPr>
        <w:t>Thereafter,</w:t>
      </w:r>
      <w:r w:rsidR="00D874FA">
        <w:rPr>
          <w:rFonts w:ascii="Times New Roman" w:hAnsi="Times New Roman" w:cs="Times New Roman"/>
        </w:rPr>
        <w:t xml:space="preserve"> t</w:t>
      </w:r>
      <w:r w:rsidRPr="00110602">
        <w:rPr>
          <w:rFonts w:ascii="Times New Roman" w:hAnsi="Times New Roman" w:cs="Times New Roman"/>
        </w:rPr>
        <w:t>he court granted the extradition request</w:t>
      </w:r>
      <w:r w:rsidR="007751CA">
        <w:rPr>
          <w:rFonts w:ascii="Times New Roman" w:hAnsi="Times New Roman" w:cs="Times New Roman"/>
        </w:rPr>
        <w:t xml:space="preserve"> and in a</w:t>
      </w:r>
      <w:r w:rsidR="000F21A9">
        <w:rPr>
          <w:rFonts w:ascii="Times New Roman" w:hAnsi="Times New Roman" w:cs="Times New Roman"/>
        </w:rPr>
        <w:t>ccordance with the law, those fu</w:t>
      </w:r>
      <w:r w:rsidR="007751CA">
        <w:rPr>
          <w:rFonts w:ascii="Times New Roman" w:hAnsi="Times New Roman" w:cs="Times New Roman"/>
        </w:rPr>
        <w:t>gitives were extradited to their country of origin</w:t>
      </w:r>
      <w:r w:rsidRPr="00110602">
        <w:rPr>
          <w:rFonts w:ascii="Times New Roman" w:hAnsi="Times New Roman" w:cs="Times New Roman"/>
        </w:rPr>
        <w:t>.</w:t>
      </w:r>
      <w:r w:rsidR="004B4F7A">
        <w:rPr>
          <w:rFonts w:ascii="Times New Roman" w:hAnsi="Times New Roman" w:cs="Times New Roman"/>
        </w:rPr>
        <w:t xml:space="preserve"> As a matter of fact, </w:t>
      </w:r>
      <w:r w:rsidR="00622827">
        <w:rPr>
          <w:rFonts w:ascii="Times New Roman" w:hAnsi="Times New Roman" w:cs="Times New Roman"/>
        </w:rPr>
        <w:t xml:space="preserve">to demonstrate Liberia’s commitment to adhering to the principle of non-refoulement, </w:t>
      </w:r>
      <w:r w:rsidR="004B4F7A">
        <w:rPr>
          <w:rFonts w:ascii="Times New Roman" w:hAnsi="Times New Roman" w:cs="Times New Roman"/>
        </w:rPr>
        <w:t xml:space="preserve">eight (8) Ivorians who were </w:t>
      </w:r>
      <w:r w:rsidR="00622827">
        <w:rPr>
          <w:rFonts w:ascii="Times New Roman" w:hAnsi="Times New Roman" w:cs="Times New Roman"/>
        </w:rPr>
        <w:t xml:space="preserve">arrested in August 2012, </w:t>
      </w:r>
      <w:r w:rsidR="004B4F7A">
        <w:rPr>
          <w:rFonts w:ascii="Times New Roman" w:hAnsi="Times New Roman" w:cs="Times New Roman"/>
        </w:rPr>
        <w:t xml:space="preserve">charged along with other Liberians for the Commission of the crime of mercenarism, were being severed from the Liberians </w:t>
      </w:r>
      <w:r w:rsidR="00AB210A">
        <w:rPr>
          <w:rFonts w:ascii="Times New Roman" w:hAnsi="Times New Roman" w:cs="Times New Roman"/>
        </w:rPr>
        <w:t xml:space="preserve">defendants </w:t>
      </w:r>
      <w:r w:rsidR="000F21A9">
        <w:rPr>
          <w:rFonts w:ascii="Times New Roman" w:hAnsi="Times New Roman" w:cs="Times New Roman"/>
        </w:rPr>
        <w:t>upon the r</w:t>
      </w:r>
      <w:r w:rsidR="004B4F7A">
        <w:rPr>
          <w:rFonts w:ascii="Times New Roman" w:hAnsi="Times New Roman" w:cs="Times New Roman"/>
        </w:rPr>
        <w:t xml:space="preserve">eceipt of an extradition request form the </w:t>
      </w:r>
      <w:r w:rsidR="00AB210A">
        <w:rPr>
          <w:rFonts w:ascii="Times New Roman" w:hAnsi="Times New Roman" w:cs="Times New Roman"/>
        </w:rPr>
        <w:t>Ivory Coast.</w:t>
      </w:r>
      <w:r w:rsidR="00622827">
        <w:rPr>
          <w:rFonts w:ascii="Times New Roman" w:hAnsi="Times New Roman" w:cs="Times New Roman"/>
        </w:rPr>
        <w:t xml:space="preserve"> The office of the UNHCR and the LRRRC closely monitored the court proceeding on the extradition proceeding, which lasted up to July 4, 2018 when the petition was finally granted by the court.</w:t>
      </w:r>
      <w:r w:rsidR="00F81793">
        <w:rPr>
          <w:rFonts w:ascii="Times New Roman" w:hAnsi="Times New Roman" w:cs="Times New Roman"/>
        </w:rPr>
        <w:t xml:space="preserve"> This means that the Court process ran for a period of five (5) years and the defendants were being represented by renowned Liberian lawyers. </w:t>
      </w:r>
      <w:r w:rsidR="00736DB5" w:rsidRPr="00110602">
        <w:rPr>
          <w:rFonts w:ascii="Times New Roman" w:hAnsi="Times New Roman" w:cs="Times New Roman"/>
        </w:rPr>
        <w:t xml:space="preserve"> </w:t>
      </w:r>
    </w:p>
    <w:p w14:paraId="007BD423" w14:textId="77777777" w:rsidR="006C46B4" w:rsidRPr="00110602" w:rsidRDefault="006C46B4" w:rsidP="00B360E1">
      <w:pPr>
        <w:pStyle w:val="ListParagraph"/>
        <w:ind w:left="360"/>
        <w:jc w:val="both"/>
        <w:rPr>
          <w:rFonts w:ascii="Times New Roman" w:hAnsi="Times New Roman" w:cs="Times New Roman"/>
        </w:rPr>
      </w:pPr>
    </w:p>
    <w:p w14:paraId="6071B679" w14:textId="77777777"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Freedom of expression and association (arts. 19, 21 and 22)</w:t>
      </w:r>
    </w:p>
    <w:p w14:paraId="68F8AD0A" w14:textId="77777777" w:rsidR="002C307D" w:rsidRPr="00110602" w:rsidRDefault="002C307D" w:rsidP="00B360E1">
      <w:pPr>
        <w:jc w:val="both"/>
        <w:rPr>
          <w:rFonts w:ascii="Times New Roman" w:hAnsi="Times New Roman" w:cs="Times New Roman"/>
          <w:b/>
        </w:rPr>
      </w:pPr>
    </w:p>
    <w:p w14:paraId="1C85BFEE" w14:textId="13D06719" w:rsidR="00422568" w:rsidRDefault="00422568" w:rsidP="00120E4B">
      <w:pPr>
        <w:pStyle w:val="ListParagraph"/>
        <w:numPr>
          <w:ilvl w:val="0"/>
          <w:numId w:val="2"/>
        </w:numPr>
        <w:jc w:val="both"/>
        <w:rPr>
          <w:rFonts w:ascii="Times New Roman" w:hAnsi="Times New Roman" w:cs="Times New Roman"/>
        </w:rPr>
      </w:pPr>
      <w:r w:rsidRPr="00110602">
        <w:rPr>
          <w:rFonts w:ascii="Times New Roman" w:hAnsi="Times New Roman" w:cs="Times New Roman"/>
        </w:rPr>
        <w:t xml:space="preserve">The Government of Liberia took note of </w:t>
      </w:r>
      <w:r w:rsidR="00A46EAC" w:rsidRPr="00110602">
        <w:rPr>
          <w:rFonts w:ascii="Times New Roman" w:hAnsi="Times New Roman" w:cs="Times New Roman"/>
        </w:rPr>
        <w:t>concern</w:t>
      </w:r>
      <w:r w:rsidRPr="00110602">
        <w:rPr>
          <w:rFonts w:ascii="Times New Roman" w:hAnsi="Times New Roman" w:cs="Times New Roman"/>
        </w:rPr>
        <w:t xml:space="preserve"> </w:t>
      </w:r>
      <w:r w:rsidR="00A46EAC" w:rsidRPr="00110602">
        <w:rPr>
          <w:rFonts w:ascii="Times New Roman" w:hAnsi="Times New Roman" w:cs="Times New Roman"/>
        </w:rPr>
        <w:t xml:space="preserve">from </w:t>
      </w:r>
      <w:r w:rsidRPr="00110602">
        <w:rPr>
          <w:rFonts w:ascii="Times New Roman" w:hAnsi="Times New Roman" w:cs="Times New Roman"/>
        </w:rPr>
        <w:t>media houses, that libel, slander, and defamation laws constrained the work of journalists and media outlets reporting on high-profile government or other public figures.</w:t>
      </w:r>
      <w:r w:rsidR="00A46EAC" w:rsidRPr="00110602">
        <w:rPr>
          <w:rFonts w:ascii="Times New Roman" w:hAnsi="Times New Roman" w:cs="Times New Roman"/>
        </w:rPr>
        <w:t xml:space="preserve"> In light of these concern</w:t>
      </w:r>
      <w:r w:rsidR="00EE2579">
        <w:rPr>
          <w:rFonts w:ascii="Times New Roman" w:hAnsi="Times New Roman" w:cs="Times New Roman"/>
        </w:rPr>
        <w:t>s</w:t>
      </w:r>
      <w:r w:rsidR="00A46EAC" w:rsidRPr="00110602">
        <w:rPr>
          <w:rFonts w:ascii="Times New Roman" w:hAnsi="Times New Roman" w:cs="Times New Roman"/>
        </w:rPr>
        <w:t xml:space="preserve">, the </w:t>
      </w:r>
      <w:r w:rsidRPr="00110602">
        <w:rPr>
          <w:rFonts w:ascii="Times New Roman" w:hAnsi="Times New Roman" w:cs="Times New Roman"/>
        </w:rPr>
        <w:t>Press Union of Liberia (PUL) advocated for the decriminalizing of libel and slander laws since journalist expressed fear that the Government was stifling free speech under the guise of thes</w:t>
      </w:r>
      <w:r w:rsidR="00EE2579">
        <w:rPr>
          <w:rFonts w:ascii="Times New Roman" w:hAnsi="Times New Roman" w:cs="Times New Roman"/>
        </w:rPr>
        <w:t>e laws which came with media practitioners</w:t>
      </w:r>
      <w:r w:rsidRPr="00110602">
        <w:rPr>
          <w:rFonts w:ascii="Times New Roman" w:hAnsi="Times New Roman" w:cs="Times New Roman"/>
        </w:rPr>
        <w:t xml:space="preserve"> being stifle with threat of huge prison terms and fines.</w:t>
      </w:r>
    </w:p>
    <w:p w14:paraId="64051F00" w14:textId="77777777" w:rsidR="00120E4B" w:rsidRPr="00110602" w:rsidRDefault="00120E4B" w:rsidP="00120E4B">
      <w:pPr>
        <w:pStyle w:val="ListParagraph"/>
        <w:ind w:left="360"/>
        <w:jc w:val="both"/>
        <w:rPr>
          <w:rFonts w:ascii="Times New Roman" w:hAnsi="Times New Roman" w:cs="Times New Roman"/>
        </w:rPr>
      </w:pPr>
    </w:p>
    <w:p w14:paraId="2C802BF9" w14:textId="3D0FE98C" w:rsidR="00D811C4" w:rsidRPr="00110602" w:rsidRDefault="00120E4B" w:rsidP="00120E4B">
      <w:pPr>
        <w:pStyle w:val="ListParagraph"/>
        <w:ind w:left="360"/>
        <w:jc w:val="both"/>
        <w:rPr>
          <w:rFonts w:ascii="Times New Roman" w:hAnsi="Times New Roman" w:cs="Times New Roman"/>
        </w:rPr>
      </w:pPr>
      <w:r>
        <w:rPr>
          <w:rFonts w:ascii="Times New Roman" w:hAnsi="Times New Roman" w:cs="Times New Roman"/>
        </w:rPr>
        <w:t>I</w:t>
      </w:r>
      <w:r w:rsidR="00D811C4" w:rsidRPr="00110602">
        <w:rPr>
          <w:rFonts w:ascii="Times New Roman" w:hAnsi="Times New Roman" w:cs="Times New Roman"/>
        </w:rPr>
        <w:t>n response to these fears and as a means of removing obstacles in the way of freedom of the press, the President of Liberia, H.E. George Manneh Weah submitted a bill to the House of Representatives on May 31, 2018</w:t>
      </w:r>
      <w:r w:rsidR="00CE1455" w:rsidRPr="00110602">
        <w:rPr>
          <w:rFonts w:ascii="Times New Roman" w:hAnsi="Times New Roman" w:cs="Times New Roman"/>
        </w:rPr>
        <w:t xml:space="preserve">, seeking to amend Chapter 11 of the Penal law of 1978, repealing section 11.11 on criminal </w:t>
      </w:r>
      <w:r w:rsidR="00EE2579">
        <w:rPr>
          <w:rFonts w:ascii="Times New Roman" w:hAnsi="Times New Roman" w:cs="Times New Roman"/>
        </w:rPr>
        <w:t xml:space="preserve">libel </w:t>
      </w:r>
      <w:r w:rsidR="00CE1455" w:rsidRPr="00110602">
        <w:rPr>
          <w:rFonts w:ascii="Times New Roman" w:hAnsi="Times New Roman" w:cs="Times New Roman"/>
        </w:rPr>
        <w:t xml:space="preserve">against the President, 11.12 on </w:t>
      </w:r>
      <w:r w:rsidR="002B7DE4" w:rsidRPr="00110602">
        <w:rPr>
          <w:rFonts w:ascii="Times New Roman" w:hAnsi="Times New Roman" w:cs="Times New Roman"/>
        </w:rPr>
        <w:t>sedition decriminalizing</w:t>
      </w:r>
      <w:r w:rsidR="00CE1455" w:rsidRPr="00110602">
        <w:rPr>
          <w:rFonts w:ascii="Times New Roman" w:hAnsi="Times New Roman" w:cs="Times New Roman"/>
        </w:rPr>
        <w:t xml:space="preserve"> criminal libel.</w:t>
      </w:r>
      <w:r w:rsidR="00AF4E52" w:rsidRPr="00110602">
        <w:rPr>
          <w:rFonts w:ascii="Times New Roman" w:hAnsi="Times New Roman" w:cs="Times New Roman"/>
        </w:rPr>
        <w:t xml:space="preserve"> </w:t>
      </w:r>
    </w:p>
    <w:p w14:paraId="22E7AA62" w14:textId="77777777" w:rsidR="00D811C4" w:rsidRPr="00110602" w:rsidRDefault="00D811C4" w:rsidP="00A268BE">
      <w:pPr>
        <w:pStyle w:val="ListParagraph"/>
        <w:ind w:left="360"/>
        <w:jc w:val="both"/>
        <w:rPr>
          <w:rFonts w:ascii="Times New Roman" w:hAnsi="Times New Roman" w:cs="Times New Roman"/>
        </w:rPr>
      </w:pPr>
    </w:p>
    <w:p w14:paraId="36CC704F" w14:textId="21A094B7" w:rsidR="00D811C4" w:rsidRPr="00110602" w:rsidRDefault="002B7DE4" w:rsidP="00120E4B">
      <w:pPr>
        <w:pStyle w:val="ListParagraph"/>
        <w:ind w:left="360"/>
        <w:jc w:val="both"/>
        <w:rPr>
          <w:rFonts w:ascii="Times New Roman" w:hAnsi="Times New Roman" w:cs="Times New Roman"/>
        </w:rPr>
      </w:pPr>
      <w:r w:rsidRPr="00110602">
        <w:rPr>
          <w:rFonts w:ascii="Times New Roman" w:hAnsi="Times New Roman" w:cs="Times New Roman"/>
        </w:rPr>
        <w:t>As to claims of denial of registration</w:t>
      </w:r>
      <w:r w:rsidR="00D811C4" w:rsidRPr="00110602">
        <w:rPr>
          <w:rFonts w:ascii="Times New Roman" w:hAnsi="Times New Roman" w:cs="Times New Roman"/>
        </w:rPr>
        <w:t xml:space="preserve"> Liberia business registry was established with the statutory mandate to review all applications for registration by cooperate and non- cooperate entities, and failure to obtain registration  is not necessarily a denial, but a failure on the part of applicants to meet the lawful requirements for registration. Meanwhile, a Bill has been proposed for the establishment of an Independent Broadcasting Regulator to regulate the activities of media institutions.</w:t>
      </w:r>
    </w:p>
    <w:p w14:paraId="5CB56ABB" w14:textId="77777777" w:rsidR="00D811C4" w:rsidRPr="00110602" w:rsidRDefault="00D811C4" w:rsidP="00120E4B">
      <w:pPr>
        <w:pStyle w:val="ListParagraph"/>
        <w:ind w:left="360"/>
        <w:jc w:val="both"/>
        <w:rPr>
          <w:rFonts w:ascii="Times New Roman" w:hAnsi="Times New Roman" w:cs="Times New Roman"/>
        </w:rPr>
      </w:pPr>
    </w:p>
    <w:p w14:paraId="69683C39" w14:textId="77777777" w:rsidR="002C307D" w:rsidRPr="00110602" w:rsidRDefault="002C307D" w:rsidP="00B360E1">
      <w:pPr>
        <w:pStyle w:val="ListParagraph"/>
        <w:ind w:left="360"/>
        <w:jc w:val="both"/>
        <w:rPr>
          <w:rFonts w:ascii="Times New Roman" w:hAnsi="Times New Roman" w:cs="Times New Roman"/>
        </w:rPr>
      </w:pPr>
    </w:p>
    <w:p w14:paraId="05723CA4" w14:textId="77777777"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Rights of the child (arts. 7 and 24)</w:t>
      </w:r>
    </w:p>
    <w:p w14:paraId="488BD080" w14:textId="77777777" w:rsidR="009C7512" w:rsidRDefault="009C7512" w:rsidP="009C7512">
      <w:pPr>
        <w:pStyle w:val="ListParagraph"/>
        <w:ind w:left="360"/>
        <w:jc w:val="both"/>
      </w:pPr>
    </w:p>
    <w:p w14:paraId="0CAABFE0" w14:textId="2C1ED243" w:rsidR="008A6705" w:rsidRDefault="008A6705" w:rsidP="009C7512">
      <w:pPr>
        <w:pStyle w:val="ListParagraph"/>
        <w:numPr>
          <w:ilvl w:val="0"/>
          <w:numId w:val="2"/>
        </w:numPr>
        <w:jc w:val="both"/>
      </w:pPr>
      <w:r>
        <w:t>The Bureau of Vital Statistics has the responsibility to produce and issue birth certificates to persons born in Liberia regardless of their economic and social status. Liberia experienced low birth registration as a result of the over two decades of highly centralized birth registration system, and limited resources (Human, logistics, and financial) for birth registration. To achieve universal birth registration coverage, several measures have been instituted that include, routine registration of children at various public health facilities, regular birth registration campaigns, collaboration with other institutions, robust resources mobilization and awareness creation. The Cost of Birth Registration for adults is Five Hundred Liberian Dollars ($500l</w:t>
      </w:r>
      <w:r w:rsidR="00F66321">
        <w:t>d or US $3.50) and free for babies</w:t>
      </w:r>
      <w:r>
        <w:t>.</w:t>
      </w:r>
    </w:p>
    <w:p w14:paraId="66F1431B" w14:textId="5DC8E190" w:rsidR="008A6705" w:rsidRDefault="008A6705" w:rsidP="00720C45">
      <w:pPr>
        <w:pStyle w:val="NormalWeb"/>
        <w:ind w:left="360"/>
        <w:jc w:val="both"/>
      </w:pPr>
      <w:r>
        <w:lastRenderedPageBreak/>
        <w:t xml:space="preserve">In 2011, </w:t>
      </w:r>
      <w:r w:rsidRPr="00EE7C94">
        <w:t>Plan International, in collaboration with the government of Liberia, UNICEF, the United Nations High</w:t>
      </w:r>
      <w:r>
        <w:t xml:space="preserve"> </w:t>
      </w:r>
      <w:r w:rsidRPr="00EE7C94">
        <w:t>Commissioner for Refugees (UNHCR) and C</w:t>
      </w:r>
      <w:r>
        <w:t>risis Management Initiative,</w:t>
      </w:r>
      <w:r w:rsidRPr="00EE7C94">
        <w:t xml:space="preserve"> launched a</w:t>
      </w:r>
      <w:r>
        <w:t xml:space="preserve"> </w:t>
      </w:r>
      <w:r w:rsidRPr="00EE7C94">
        <w:rPr>
          <w:bCs/>
        </w:rPr>
        <w:t>decentralized, computerized birth registration and certification system – the first ever to</w:t>
      </w:r>
      <w:r>
        <w:rPr>
          <w:bCs/>
        </w:rPr>
        <w:t xml:space="preserve"> </w:t>
      </w:r>
      <w:r w:rsidRPr="00EE7C94">
        <w:rPr>
          <w:bCs/>
        </w:rPr>
        <w:t>be used in Liberia</w:t>
      </w:r>
      <w:r w:rsidRPr="00EE7C94">
        <w:t>. The program is an important step toward achieving the fundamental right</w:t>
      </w:r>
      <w:r>
        <w:t xml:space="preserve"> </w:t>
      </w:r>
      <w:r w:rsidRPr="00EE7C94">
        <w:t>of every child to a name and nationality at birth.</w:t>
      </w:r>
      <w:r>
        <w:t xml:space="preserve"> All of these measure</w:t>
      </w:r>
      <w:r w:rsidR="000F21A9">
        <w:t>s were put in place before the E</w:t>
      </w:r>
      <w:r>
        <w:t>bola outbreak. The principal issue around</w:t>
      </w:r>
      <w:r w:rsidR="000F21A9">
        <w:t xml:space="preserve"> birth registration during the E</w:t>
      </w:r>
      <w:r>
        <w:t xml:space="preserve">bola, was the inability of hospitals to focus on safe delivery </w:t>
      </w:r>
      <w:r w:rsidR="00B8230B">
        <w:t xml:space="preserve">and registration </w:t>
      </w:r>
      <w:r>
        <w:t>out of fear of contracting the virus. Eventually, with the increase in understanding of the viru</w:t>
      </w:r>
      <w:r w:rsidR="00B8230B">
        <w:t xml:space="preserve">s, </w:t>
      </w:r>
      <w:r w:rsidR="00DA6C44">
        <w:t>and the subsequent eradication of the epidemic, the exercise was resumed and continued to present.</w:t>
      </w:r>
    </w:p>
    <w:p w14:paraId="685D55E3" w14:textId="77500DDE" w:rsidR="004C102D" w:rsidRPr="00AE3BCE" w:rsidRDefault="004C102D" w:rsidP="00720C45">
      <w:pPr>
        <w:ind w:left="360"/>
        <w:jc w:val="both"/>
        <w:rPr>
          <w:rFonts w:ascii="Times New Roman" w:eastAsia="Times New Roman" w:hAnsi="Times New Roman" w:cs="Times New Roman"/>
        </w:rPr>
      </w:pPr>
      <w:r w:rsidRPr="004C102D">
        <w:rPr>
          <w:rFonts w:ascii="Times New Roman" w:eastAsia="Times New Roman" w:hAnsi="Times New Roman" w:cs="Times New Roman"/>
        </w:rPr>
        <w:t>The Government acknowledges the application of corporal punishment</w:t>
      </w:r>
      <w:r>
        <w:rPr>
          <w:rFonts w:ascii="Times New Roman" w:eastAsia="Times New Roman" w:hAnsi="Times New Roman" w:cs="Times New Roman"/>
        </w:rPr>
        <w:t xml:space="preserve"> by parents, guardians and teachers</w:t>
      </w:r>
      <w:r w:rsidRPr="00AE3BCE">
        <w:rPr>
          <w:rFonts w:ascii="Times New Roman" w:eastAsia="Times New Roman" w:hAnsi="Times New Roman" w:cs="Times New Roman"/>
        </w:rPr>
        <w:t>,</w:t>
      </w:r>
      <w:r w:rsidR="003B4233">
        <w:rPr>
          <w:rFonts w:ascii="Times New Roman" w:eastAsia="Times New Roman" w:hAnsi="Times New Roman" w:cs="Times New Roman"/>
        </w:rPr>
        <w:t xml:space="preserve"> under the guise of </w:t>
      </w:r>
      <w:r w:rsidR="000F21A9">
        <w:rPr>
          <w:rFonts w:ascii="Times New Roman" w:eastAsia="Times New Roman" w:hAnsi="Times New Roman" w:cs="Times New Roman"/>
        </w:rPr>
        <w:t>“safeguarding</w:t>
      </w:r>
      <w:r w:rsidR="003B4233">
        <w:rPr>
          <w:rFonts w:ascii="Times New Roman" w:eastAsia="Times New Roman" w:hAnsi="Times New Roman" w:cs="Times New Roman"/>
        </w:rPr>
        <w:t xml:space="preserve"> or promoting the welfare and punishment of minors</w:t>
      </w:r>
      <w:r w:rsidR="00D81D7D">
        <w:rPr>
          <w:rFonts w:ascii="Times New Roman" w:eastAsia="Times New Roman" w:hAnsi="Times New Roman" w:cs="Times New Roman"/>
        </w:rPr>
        <w:t>,</w:t>
      </w:r>
      <w:r w:rsidR="003B4233">
        <w:rPr>
          <w:rFonts w:ascii="Times New Roman" w:eastAsia="Times New Roman" w:hAnsi="Times New Roman" w:cs="Times New Roman"/>
        </w:rPr>
        <w:t xml:space="preserve"> the </w:t>
      </w:r>
      <w:r w:rsidR="000F21A9">
        <w:rPr>
          <w:rFonts w:ascii="Times New Roman" w:eastAsia="Times New Roman" w:hAnsi="Times New Roman" w:cs="Times New Roman"/>
        </w:rPr>
        <w:t>minors’</w:t>
      </w:r>
      <w:r w:rsidR="003B4233">
        <w:rPr>
          <w:rFonts w:ascii="Times New Roman" w:eastAsia="Times New Roman" w:hAnsi="Times New Roman" w:cs="Times New Roman"/>
        </w:rPr>
        <w:t xml:space="preserve"> misconduct and the maintenance of proper discipline”</w:t>
      </w:r>
      <w:r w:rsidR="00E461D5">
        <w:rPr>
          <w:rFonts w:ascii="Times New Roman" w:eastAsia="Times New Roman" w:hAnsi="Times New Roman" w:cs="Times New Roman"/>
        </w:rPr>
        <w:t>. Government realize</w:t>
      </w:r>
      <w:r w:rsidR="00D81D7D">
        <w:rPr>
          <w:rFonts w:ascii="Times New Roman" w:eastAsia="Times New Roman" w:hAnsi="Times New Roman" w:cs="Times New Roman"/>
        </w:rPr>
        <w:t>s</w:t>
      </w:r>
      <w:r w:rsidR="003B4233">
        <w:rPr>
          <w:rFonts w:ascii="Times New Roman" w:eastAsia="Times New Roman" w:hAnsi="Times New Roman" w:cs="Times New Roman"/>
        </w:rPr>
        <w:t xml:space="preserve"> that there have been instances, </w:t>
      </w:r>
      <w:r w:rsidR="00E461D5">
        <w:rPr>
          <w:rFonts w:ascii="Times New Roman" w:eastAsia="Times New Roman" w:hAnsi="Times New Roman" w:cs="Times New Roman"/>
        </w:rPr>
        <w:t xml:space="preserve">wherein </w:t>
      </w:r>
      <w:r w:rsidR="003B4233">
        <w:rPr>
          <w:rFonts w:ascii="Times New Roman" w:eastAsia="Times New Roman" w:hAnsi="Times New Roman" w:cs="Times New Roman"/>
        </w:rPr>
        <w:t xml:space="preserve">the use of these measures </w:t>
      </w:r>
      <w:r w:rsidR="00D81D7D">
        <w:rPr>
          <w:rFonts w:ascii="Times New Roman" w:eastAsia="Times New Roman" w:hAnsi="Times New Roman" w:cs="Times New Roman"/>
        </w:rPr>
        <w:t xml:space="preserve">by parents or guardians, </w:t>
      </w:r>
      <w:r w:rsidR="003B4233">
        <w:rPr>
          <w:rFonts w:ascii="Times New Roman" w:eastAsia="Times New Roman" w:hAnsi="Times New Roman" w:cs="Times New Roman"/>
        </w:rPr>
        <w:t xml:space="preserve">have been </w:t>
      </w:r>
      <w:r w:rsidR="00E461D5">
        <w:rPr>
          <w:rFonts w:ascii="Times New Roman" w:eastAsia="Times New Roman" w:hAnsi="Times New Roman" w:cs="Times New Roman"/>
        </w:rPr>
        <w:t>at the detriment of children</w:t>
      </w:r>
      <w:r w:rsidR="00D81D7D">
        <w:rPr>
          <w:rFonts w:ascii="Times New Roman" w:eastAsia="Times New Roman" w:hAnsi="Times New Roman" w:cs="Times New Roman"/>
        </w:rPr>
        <w:t xml:space="preserve">. Such persons have been </w:t>
      </w:r>
      <w:r w:rsidR="00E461D5">
        <w:rPr>
          <w:rFonts w:ascii="Times New Roman" w:eastAsia="Times New Roman" w:hAnsi="Times New Roman" w:cs="Times New Roman"/>
        </w:rPr>
        <w:t>ch</w:t>
      </w:r>
      <w:r w:rsidR="00D81D7D">
        <w:rPr>
          <w:rFonts w:ascii="Times New Roman" w:eastAsia="Times New Roman" w:hAnsi="Times New Roman" w:cs="Times New Roman"/>
        </w:rPr>
        <w:t xml:space="preserve">arged with criminal offenses and </w:t>
      </w:r>
      <w:r w:rsidR="00E461D5">
        <w:rPr>
          <w:rFonts w:ascii="Times New Roman" w:eastAsia="Times New Roman" w:hAnsi="Times New Roman" w:cs="Times New Roman"/>
        </w:rPr>
        <w:t>forwarded to court for prosecution in keeping with law.</w:t>
      </w:r>
      <w:r>
        <w:rPr>
          <w:rFonts w:ascii="Times New Roman" w:eastAsia="Times New Roman" w:hAnsi="Times New Roman" w:cs="Times New Roman"/>
        </w:rPr>
        <w:t xml:space="preserve"> Meanwhile,</w:t>
      </w:r>
      <w:r w:rsidR="00E461D5">
        <w:rPr>
          <w:rFonts w:ascii="Times New Roman" w:eastAsia="Times New Roman" w:hAnsi="Times New Roman" w:cs="Times New Roman"/>
        </w:rPr>
        <w:t xml:space="preserve"> there have</w:t>
      </w:r>
      <w:r w:rsidR="003B4233">
        <w:rPr>
          <w:rFonts w:ascii="Times New Roman" w:eastAsia="Times New Roman" w:hAnsi="Times New Roman" w:cs="Times New Roman"/>
        </w:rPr>
        <w:t xml:space="preserve"> been </w:t>
      </w:r>
      <w:r w:rsidR="00A91293">
        <w:rPr>
          <w:rFonts w:ascii="Times New Roman" w:eastAsia="Times New Roman" w:hAnsi="Times New Roman" w:cs="Times New Roman"/>
        </w:rPr>
        <w:t xml:space="preserve">discussions with all stakeholders including civil society organizations and debates at the level of the communities on the need to </w:t>
      </w:r>
      <w:r w:rsidR="00E461D5">
        <w:rPr>
          <w:rFonts w:ascii="Times New Roman" w:eastAsia="Times New Roman" w:hAnsi="Times New Roman" w:cs="Times New Roman"/>
        </w:rPr>
        <w:t xml:space="preserve">abolish </w:t>
      </w:r>
      <w:r w:rsidR="00F83C1C">
        <w:rPr>
          <w:rFonts w:ascii="Times New Roman" w:eastAsia="Times New Roman" w:hAnsi="Times New Roman" w:cs="Times New Roman"/>
        </w:rPr>
        <w:t xml:space="preserve">corporal punishment </w:t>
      </w:r>
      <w:r w:rsidR="009F7D09">
        <w:rPr>
          <w:rFonts w:ascii="Times New Roman" w:eastAsia="Times New Roman" w:hAnsi="Times New Roman" w:cs="Times New Roman"/>
        </w:rPr>
        <w:t>in both the criminal justice system and traditional justice</w:t>
      </w:r>
      <w:r w:rsidR="00F83C1C">
        <w:rPr>
          <w:rFonts w:ascii="Times New Roman" w:eastAsia="Times New Roman" w:hAnsi="Times New Roman" w:cs="Times New Roman"/>
        </w:rPr>
        <w:t>.</w:t>
      </w:r>
      <w:r w:rsidR="00A91293">
        <w:rPr>
          <w:rFonts w:ascii="Times New Roman" w:eastAsia="Times New Roman" w:hAnsi="Times New Roman" w:cs="Times New Roman"/>
        </w:rPr>
        <w:t xml:space="preserve"> </w:t>
      </w:r>
    </w:p>
    <w:p w14:paraId="1279E477" w14:textId="0E8E9623" w:rsidR="002C307D" w:rsidRPr="00110602" w:rsidRDefault="002C307D" w:rsidP="00664170">
      <w:pPr>
        <w:pStyle w:val="ListParagraph"/>
        <w:ind w:left="360"/>
        <w:jc w:val="both"/>
        <w:rPr>
          <w:rFonts w:ascii="Times New Roman" w:hAnsi="Times New Roman" w:cs="Times New Roman"/>
        </w:rPr>
      </w:pPr>
    </w:p>
    <w:p w14:paraId="605095C5" w14:textId="77777777" w:rsidR="002C307D" w:rsidRPr="00F83C1C" w:rsidRDefault="002C307D" w:rsidP="00F83C1C">
      <w:pPr>
        <w:jc w:val="both"/>
        <w:rPr>
          <w:rFonts w:ascii="Times New Roman" w:hAnsi="Times New Roman" w:cs="Times New Roman"/>
        </w:rPr>
      </w:pPr>
    </w:p>
    <w:p w14:paraId="0A8D1CA6" w14:textId="77777777" w:rsidR="00CF1C1D" w:rsidRPr="00110602" w:rsidRDefault="00CF1C1D" w:rsidP="00B360E1">
      <w:pPr>
        <w:jc w:val="both"/>
        <w:rPr>
          <w:rFonts w:ascii="Times New Roman" w:hAnsi="Times New Roman" w:cs="Times New Roman"/>
          <w:b/>
        </w:rPr>
      </w:pPr>
      <w:r w:rsidRPr="00110602">
        <w:rPr>
          <w:rFonts w:ascii="Times New Roman" w:hAnsi="Times New Roman" w:cs="Times New Roman"/>
          <w:b/>
        </w:rPr>
        <w:t>Participation in public affairs and freedom of assembly (arts. 2, 21, 25, 26 and 27)</w:t>
      </w:r>
    </w:p>
    <w:p w14:paraId="27134CB3" w14:textId="77777777" w:rsidR="002C307D" w:rsidRPr="00110602" w:rsidRDefault="002C307D" w:rsidP="00B360E1">
      <w:pPr>
        <w:jc w:val="both"/>
        <w:rPr>
          <w:rFonts w:ascii="Times New Roman" w:hAnsi="Times New Roman" w:cs="Times New Roman"/>
          <w:b/>
        </w:rPr>
      </w:pPr>
    </w:p>
    <w:p w14:paraId="47154788" w14:textId="769BF653" w:rsidR="009C7512" w:rsidRDefault="009C7512" w:rsidP="009C7512">
      <w:pPr>
        <w:pStyle w:val="ListParagraph"/>
        <w:numPr>
          <w:ilvl w:val="0"/>
          <w:numId w:val="2"/>
        </w:numPr>
        <w:jc w:val="both"/>
        <w:rPr>
          <w:rFonts w:ascii="Times New Roman" w:hAnsi="Times New Roman" w:cs="Times New Roman"/>
        </w:rPr>
      </w:pPr>
      <w:r>
        <w:rPr>
          <w:rFonts w:ascii="Times New Roman" w:hAnsi="Times New Roman" w:cs="Times New Roman"/>
        </w:rPr>
        <w:t>The National Elections Commission (NEC)</w:t>
      </w:r>
      <w:r w:rsidR="00AB19BF">
        <w:rPr>
          <w:rFonts w:ascii="Times New Roman" w:hAnsi="Times New Roman" w:cs="Times New Roman"/>
        </w:rPr>
        <w:t xml:space="preserve">, the </w:t>
      </w:r>
      <w:r w:rsidR="00072A17">
        <w:rPr>
          <w:rFonts w:ascii="Times New Roman" w:hAnsi="Times New Roman" w:cs="Times New Roman"/>
        </w:rPr>
        <w:t>electoral</w:t>
      </w:r>
      <w:r w:rsidR="00AB19BF">
        <w:rPr>
          <w:rFonts w:ascii="Times New Roman" w:hAnsi="Times New Roman" w:cs="Times New Roman"/>
        </w:rPr>
        <w:t xml:space="preserve"> body responsible</w:t>
      </w:r>
      <w:r w:rsidR="00072A17">
        <w:rPr>
          <w:rFonts w:ascii="Times New Roman" w:hAnsi="Times New Roman" w:cs="Times New Roman"/>
        </w:rPr>
        <w:t xml:space="preserve"> for the conduct of election conducted nationwide educational awareness on the elections and its processes long before the conduct of the election.  The election guidelines were put up in public places.  All persons who did not me</w:t>
      </w:r>
      <w:r w:rsidR="000F21A9">
        <w:rPr>
          <w:rFonts w:ascii="Times New Roman" w:hAnsi="Times New Roman" w:cs="Times New Roman"/>
        </w:rPr>
        <w:t>e</w:t>
      </w:r>
      <w:r w:rsidR="00072A17">
        <w:rPr>
          <w:rFonts w:ascii="Times New Roman" w:hAnsi="Times New Roman" w:cs="Times New Roman"/>
        </w:rPr>
        <w:t xml:space="preserve">t up with eligibility requirements were not allowed to vote.  No </w:t>
      </w:r>
      <w:r w:rsidR="000F21A9">
        <w:rPr>
          <w:rFonts w:ascii="Times New Roman" w:hAnsi="Times New Roman" w:cs="Times New Roman"/>
        </w:rPr>
        <w:t>eligibility</w:t>
      </w:r>
      <w:r w:rsidR="00072A17">
        <w:rPr>
          <w:rFonts w:ascii="Times New Roman" w:hAnsi="Times New Roman" w:cs="Times New Roman"/>
        </w:rPr>
        <w:t xml:space="preserve"> requirement was re</w:t>
      </w:r>
      <w:r w:rsidR="00072A17">
        <w:rPr>
          <w:rFonts w:ascii="Times New Roman" w:hAnsi="Times New Roman" w:cs="Times New Roman"/>
        </w:rPr>
        <w:t>ported to be against any particular eth</w:t>
      </w:r>
      <w:r w:rsidR="00072A17">
        <w:rPr>
          <w:rFonts w:ascii="Times New Roman" w:hAnsi="Times New Roman" w:cs="Times New Roman"/>
        </w:rPr>
        <w:t xml:space="preserve">nic and/or tribal group including Muslim, women, and Mandingo communities.    </w:t>
      </w:r>
      <w:r>
        <w:rPr>
          <w:rFonts w:ascii="Times New Roman" w:hAnsi="Times New Roman" w:cs="Times New Roman"/>
        </w:rPr>
        <w:t xml:space="preserve"> </w:t>
      </w:r>
      <w:r w:rsidR="00072A17">
        <w:rPr>
          <w:rFonts w:ascii="Times New Roman" w:hAnsi="Times New Roman" w:cs="Times New Roman"/>
        </w:rPr>
        <w:t xml:space="preserve">NEC </w:t>
      </w:r>
      <w:r w:rsidR="00883BD4">
        <w:rPr>
          <w:rFonts w:ascii="Times New Roman" w:hAnsi="Times New Roman" w:cs="Times New Roman"/>
        </w:rPr>
        <w:t xml:space="preserve">carried on voter education, published registration guidelines etc. prior to the holding of elections. The NEC also recruited, trained and deployed queue controllers at polling centers around the country during the elections. </w:t>
      </w:r>
      <w:r>
        <w:rPr>
          <w:rFonts w:ascii="Times New Roman" w:hAnsi="Times New Roman" w:cs="Times New Roman"/>
        </w:rPr>
        <w:t xml:space="preserve">There was also a strong coordination between various institutions of government, led by the NEC. These institutions included the Liberian National Police, the Judiciary, </w:t>
      </w:r>
      <w:r w:rsidR="000F21A9">
        <w:rPr>
          <w:rFonts w:ascii="Times New Roman" w:hAnsi="Times New Roman" w:cs="Times New Roman"/>
        </w:rPr>
        <w:t>and Political</w:t>
      </w:r>
      <w:r>
        <w:rPr>
          <w:rFonts w:ascii="Times New Roman" w:hAnsi="Times New Roman" w:cs="Times New Roman"/>
        </w:rPr>
        <w:t xml:space="preserve"> Parties, the media,</w:t>
      </w:r>
      <w:r w:rsidR="00072A17">
        <w:rPr>
          <w:rFonts w:ascii="Times New Roman" w:hAnsi="Times New Roman" w:cs="Times New Roman"/>
        </w:rPr>
        <w:t xml:space="preserve"> c</w:t>
      </w:r>
      <w:r>
        <w:rPr>
          <w:rFonts w:ascii="Times New Roman" w:hAnsi="Times New Roman" w:cs="Times New Roman"/>
        </w:rPr>
        <w:t>ivil society organizations and voters themselves.</w:t>
      </w:r>
    </w:p>
    <w:p w14:paraId="16660978" w14:textId="77777777" w:rsidR="009C7512" w:rsidRDefault="009C7512" w:rsidP="00F83C1C">
      <w:pPr>
        <w:pStyle w:val="ListParagraph"/>
        <w:ind w:left="360"/>
        <w:jc w:val="both"/>
        <w:rPr>
          <w:rFonts w:ascii="Times New Roman" w:hAnsi="Times New Roman" w:cs="Times New Roman"/>
        </w:rPr>
      </w:pPr>
    </w:p>
    <w:p w14:paraId="63860AFF" w14:textId="0842F47D" w:rsidR="009C7512" w:rsidRDefault="009C7512" w:rsidP="00883BD4">
      <w:pPr>
        <w:pStyle w:val="ListParagraph"/>
        <w:ind w:left="360"/>
        <w:jc w:val="both"/>
        <w:rPr>
          <w:rFonts w:ascii="Times New Roman" w:hAnsi="Times New Roman" w:cs="Times New Roman"/>
        </w:rPr>
      </w:pPr>
    </w:p>
    <w:p w14:paraId="2860C0A4" w14:textId="77777777" w:rsidR="009C7512" w:rsidRDefault="009C7512" w:rsidP="009C7512">
      <w:pPr>
        <w:pStyle w:val="ListParagraph"/>
        <w:ind w:left="360"/>
        <w:jc w:val="both"/>
        <w:rPr>
          <w:rFonts w:ascii="Times New Roman" w:hAnsi="Times New Roman" w:cs="Times New Roman"/>
        </w:rPr>
      </w:pPr>
      <w:r>
        <w:rPr>
          <w:rFonts w:ascii="Times New Roman" w:hAnsi="Times New Roman" w:cs="Times New Roman"/>
        </w:rPr>
        <w:t xml:space="preserve"> </w:t>
      </w:r>
    </w:p>
    <w:p w14:paraId="145E43EB" w14:textId="73EE8739" w:rsidR="00B460E9" w:rsidRDefault="009C7512" w:rsidP="009C7512">
      <w:pPr>
        <w:pStyle w:val="ListParagraph"/>
        <w:ind w:left="360"/>
        <w:jc w:val="both"/>
        <w:rPr>
          <w:rFonts w:ascii="Times New Roman" w:hAnsi="Times New Roman" w:cs="Times New Roman"/>
        </w:rPr>
      </w:pPr>
      <w:r>
        <w:rPr>
          <w:rFonts w:ascii="Times New Roman" w:hAnsi="Times New Roman" w:cs="Times New Roman"/>
        </w:rPr>
        <w:t xml:space="preserve">The legal framework for elections establishes that every citizen of </w:t>
      </w:r>
      <w:r w:rsidR="00694BAF">
        <w:rPr>
          <w:rFonts w:ascii="Times New Roman" w:hAnsi="Times New Roman" w:cs="Times New Roman"/>
        </w:rPr>
        <w:t>Liberia,</w:t>
      </w:r>
      <w:r>
        <w:rPr>
          <w:rFonts w:ascii="Times New Roman" w:hAnsi="Times New Roman" w:cs="Times New Roman"/>
        </w:rPr>
        <w:t xml:space="preserve"> who is 18, or older, may vote, except those convicted of “infamous crimes” or those declared to </w:t>
      </w:r>
      <w:r w:rsidR="000F21A9">
        <w:rPr>
          <w:rFonts w:ascii="Times New Roman" w:hAnsi="Times New Roman" w:cs="Times New Roman"/>
        </w:rPr>
        <w:t>be incompetent</w:t>
      </w:r>
      <w:r>
        <w:rPr>
          <w:rFonts w:ascii="Times New Roman" w:hAnsi="Times New Roman" w:cs="Times New Roman"/>
        </w:rPr>
        <w:t xml:space="preserve">, or of unsound mind.  </w:t>
      </w:r>
      <w:r w:rsidR="00B460E9">
        <w:rPr>
          <w:rFonts w:ascii="Times New Roman" w:hAnsi="Times New Roman" w:cs="Times New Roman"/>
        </w:rPr>
        <w:t xml:space="preserve">During the elections, tactile ballots were produced by the NEC and distributed to the various polling centers.  Additionally, NEC conducted training for the use of tactile ballot by polling workers.  Disabled </w:t>
      </w:r>
      <w:r w:rsidR="000F21A9">
        <w:rPr>
          <w:rFonts w:ascii="Times New Roman" w:hAnsi="Times New Roman" w:cs="Times New Roman"/>
        </w:rPr>
        <w:t>and elderly</w:t>
      </w:r>
      <w:r w:rsidR="00B460E9">
        <w:rPr>
          <w:rFonts w:ascii="Times New Roman" w:hAnsi="Times New Roman" w:cs="Times New Roman"/>
        </w:rPr>
        <w:t xml:space="preserve"> voters were also given special consideration during the elections.  </w:t>
      </w:r>
    </w:p>
    <w:p w14:paraId="2C26C3DB" w14:textId="77777777" w:rsidR="00B460E9" w:rsidRDefault="00B460E9" w:rsidP="009C7512">
      <w:pPr>
        <w:pStyle w:val="ListParagraph"/>
        <w:ind w:left="360"/>
        <w:jc w:val="both"/>
        <w:rPr>
          <w:rFonts w:ascii="Times New Roman" w:hAnsi="Times New Roman" w:cs="Times New Roman"/>
        </w:rPr>
      </w:pPr>
    </w:p>
    <w:p w14:paraId="22CB0B8D" w14:textId="6B91A396" w:rsidR="009C7512" w:rsidRDefault="00B460E9" w:rsidP="009C7512">
      <w:pPr>
        <w:pStyle w:val="ListParagraph"/>
        <w:ind w:left="360"/>
        <w:jc w:val="both"/>
        <w:rPr>
          <w:rFonts w:ascii="Times New Roman" w:hAnsi="Times New Roman" w:cs="Times New Roman"/>
        </w:rPr>
      </w:pPr>
      <w:r>
        <w:rPr>
          <w:rFonts w:ascii="Times New Roman" w:hAnsi="Times New Roman" w:cs="Times New Roman"/>
        </w:rPr>
        <w:t xml:space="preserve">Regarding the misuse of state resources, in line with the Code of Conduct, Former President Sirleaf pronounced that all appointed officials of government with desire to run for elected offices should resign three months prior to holding of election and also </w:t>
      </w:r>
      <w:r>
        <w:rPr>
          <w:rFonts w:ascii="Times New Roman" w:hAnsi="Times New Roman" w:cs="Times New Roman"/>
        </w:rPr>
        <w:lastRenderedPageBreak/>
        <w:t>prohibited the use of government property for campaigning.  These were measures put into place to curtail misuse of state resources.</w:t>
      </w:r>
      <w:r w:rsidR="009C7512">
        <w:rPr>
          <w:rFonts w:ascii="Times New Roman" w:hAnsi="Times New Roman" w:cs="Times New Roman"/>
        </w:rPr>
        <w:t xml:space="preserve"> </w:t>
      </w:r>
    </w:p>
    <w:p w14:paraId="27C71BC2" w14:textId="77777777" w:rsidR="00EE00AA" w:rsidRPr="00720C45" w:rsidRDefault="00EE00AA" w:rsidP="00720C45">
      <w:pPr>
        <w:jc w:val="both"/>
        <w:rPr>
          <w:rFonts w:ascii="Times New Roman" w:hAnsi="Times New Roman" w:cs="Times New Roman"/>
        </w:rPr>
      </w:pPr>
    </w:p>
    <w:p w14:paraId="6286EDFF" w14:textId="3AAB0190" w:rsidR="009C7512" w:rsidRDefault="009C7512" w:rsidP="00720C45">
      <w:pPr>
        <w:jc w:val="both"/>
        <w:rPr>
          <w:rFonts w:ascii="Times New Roman" w:hAnsi="Times New Roman" w:cs="Times New Roman"/>
        </w:rPr>
      </w:pPr>
    </w:p>
    <w:p w14:paraId="59CE10A8" w14:textId="77777777" w:rsidR="00EE00AA" w:rsidRDefault="00EE00AA" w:rsidP="00720C45">
      <w:pPr>
        <w:jc w:val="both"/>
        <w:rPr>
          <w:rFonts w:ascii="Times New Roman" w:hAnsi="Times New Roman" w:cs="Times New Roman"/>
        </w:rPr>
      </w:pPr>
    </w:p>
    <w:p w14:paraId="5161F524" w14:textId="7AF3BA19" w:rsidR="00EE00AA" w:rsidRDefault="00644A79" w:rsidP="00720C45">
      <w:pPr>
        <w:pStyle w:val="ListParagraph"/>
        <w:numPr>
          <w:ilvl w:val="0"/>
          <w:numId w:val="2"/>
        </w:numPr>
        <w:jc w:val="both"/>
        <w:rPr>
          <w:rFonts w:ascii="Times New Roman" w:hAnsi="Times New Roman" w:cs="Times New Roman"/>
        </w:rPr>
      </w:pPr>
      <w:r>
        <w:rPr>
          <w:rFonts w:ascii="Times New Roman" w:hAnsi="Times New Roman" w:cs="Times New Roman"/>
        </w:rPr>
        <w:t xml:space="preserve">The Government will continue </w:t>
      </w:r>
      <w:r w:rsidR="00694BAF">
        <w:rPr>
          <w:rFonts w:ascii="Times New Roman" w:hAnsi="Times New Roman" w:cs="Times New Roman"/>
        </w:rPr>
        <w:t xml:space="preserve">to work with </w:t>
      </w:r>
      <w:r>
        <w:rPr>
          <w:rFonts w:ascii="Times New Roman" w:hAnsi="Times New Roman" w:cs="Times New Roman"/>
        </w:rPr>
        <w:t xml:space="preserve">civil society organizations as they are very instrumental in the survival of our democracy particularly ensuring the respect of human rights. Civil Society Organizations (CSOs) are important partners and are encouraged to be a part of all reforms.  As previously stated, the Human Rights Action Plan Steering Committee includes Government, COSs, and the INCHR.  The National Civil Society Council and the Government of Liberia have entered into a Memorandum of Understanding to partner in the implementation of various policies of Government.  Additionally, civil society has been represented on several committees set up by Government to investigate allegation of corruption, including the most recent Special Committee to Review the Global Witness Report on </w:t>
      </w:r>
      <w:r w:rsidR="00694BAF">
        <w:rPr>
          <w:rFonts w:ascii="Times New Roman" w:hAnsi="Times New Roman" w:cs="Times New Roman"/>
        </w:rPr>
        <w:t xml:space="preserve">the </w:t>
      </w:r>
      <w:r>
        <w:rPr>
          <w:rFonts w:ascii="Times New Roman" w:hAnsi="Times New Roman" w:cs="Times New Roman"/>
        </w:rPr>
        <w:t xml:space="preserve">National Oil Company of Liberia.  </w:t>
      </w:r>
    </w:p>
    <w:p w14:paraId="4B89824A" w14:textId="77777777" w:rsidR="00644A79" w:rsidRDefault="00644A79" w:rsidP="00720C45">
      <w:pPr>
        <w:jc w:val="both"/>
        <w:rPr>
          <w:rFonts w:ascii="Times New Roman" w:hAnsi="Times New Roman" w:cs="Times New Roman"/>
        </w:rPr>
      </w:pPr>
    </w:p>
    <w:p w14:paraId="0E7AF9C5" w14:textId="2102B6B0" w:rsidR="00644A79" w:rsidRDefault="00644A79" w:rsidP="00720C45">
      <w:pPr>
        <w:ind w:left="360"/>
        <w:jc w:val="both"/>
        <w:rPr>
          <w:rFonts w:ascii="Times New Roman" w:hAnsi="Times New Roman" w:cs="Times New Roman"/>
        </w:rPr>
      </w:pPr>
      <w:r>
        <w:rPr>
          <w:rFonts w:ascii="Times New Roman" w:hAnsi="Times New Roman" w:cs="Times New Roman"/>
        </w:rPr>
        <w:t>Liberia has established several anti-graft inst</w:t>
      </w:r>
      <w:r w:rsidR="00694BAF">
        <w:rPr>
          <w:rFonts w:ascii="Times New Roman" w:hAnsi="Times New Roman" w:cs="Times New Roman"/>
        </w:rPr>
        <w:t>it</w:t>
      </w:r>
      <w:r>
        <w:rPr>
          <w:rFonts w:ascii="Times New Roman" w:hAnsi="Times New Roman" w:cs="Times New Roman"/>
        </w:rPr>
        <w:t>utions, including the Liberia Anti</w:t>
      </w:r>
      <w:r w:rsidR="00694BAF">
        <w:rPr>
          <w:rFonts w:ascii="Times New Roman" w:hAnsi="Times New Roman" w:cs="Times New Roman"/>
        </w:rPr>
        <w:t>-</w:t>
      </w:r>
      <w:r>
        <w:rPr>
          <w:rFonts w:ascii="Times New Roman" w:hAnsi="Times New Roman" w:cs="Times New Roman"/>
        </w:rPr>
        <w:t xml:space="preserve"> Corruption Commission, Internal Audit Agency, General Auditing Commission, and the Public Procurement and Concession Commission among others, which are used by Government to prevent and address issues of corruption invo</w:t>
      </w:r>
      <w:r w:rsidR="00694BAF">
        <w:rPr>
          <w:rFonts w:ascii="Times New Roman" w:hAnsi="Times New Roman" w:cs="Times New Roman"/>
        </w:rPr>
        <w:t>l</w:t>
      </w:r>
      <w:r>
        <w:rPr>
          <w:rFonts w:ascii="Times New Roman" w:hAnsi="Times New Roman" w:cs="Times New Roman"/>
        </w:rPr>
        <w:t>ving officials of Government and government resources.</w:t>
      </w:r>
      <w:r w:rsidR="00055285">
        <w:rPr>
          <w:rFonts w:ascii="Times New Roman" w:hAnsi="Times New Roman" w:cs="Times New Roman"/>
        </w:rPr>
        <w:t xml:space="preserve">  </w:t>
      </w:r>
    </w:p>
    <w:p w14:paraId="5BA3015E" w14:textId="77777777" w:rsidR="00DD6498" w:rsidRDefault="00DD6498" w:rsidP="00720C45">
      <w:pPr>
        <w:ind w:left="360"/>
        <w:jc w:val="both"/>
        <w:rPr>
          <w:rFonts w:ascii="Times New Roman" w:hAnsi="Times New Roman" w:cs="Times New Roman"/>
        </w:rPr>
      </w:pPr>
    </w:p>
    <w:p w14:paraId="17786B7C" w14:textId="63A1CBAB" w:rsidR="00DD6498" w:rsidRPr="00720C45" w:rsidRDefault="00DD6498" w:rsidP="00720C45">
      <w:pPr>
        <w:ind w:left="360"/>
        <w:jc w:val="both"/>
        <w:rPr>
          <w:rFonts w:ascii="Times New Roman" w:hAnsi="Times New Roman" w:cs="Times New Roman"/>
        </w:rPr>
      </w:pPr>
      <w:r>
        <w:rPr>
          <w:rFonts w:ascii="Times New Roman" w:hAnsi="Times New Roman" w:cs="Times New Roman"/>
        </w:rPr>
        <w:t xml:space="preserve">Officials of government </w:t>
      </w:r>
      <w:r w:rsidR="00694BAF">
        <w:rPr>
          <w:rFonts w:ascii="Times New Roman" w:hAnsi="Times New Roman" w:cs="Times New Roman"/>
        </w:rPr>
        <w:t>who</w:t>
      </w:r>
      <w:r>
        <w:rPr>
          <w:rFonts w:ascii="Times New Roman" w:hAnsi="Times New Roman" w:cs="Times New Roman"/>
        </w:rPr>
        <w:t xml:space="preserve"> have been found culpable have been forwarded for prosecutions.   There are currently at least four (4) high profile cases going through the court system.  The Government has </w:t>
      </w:r>
      <w:r w:rsidR="00694BAF">
        <w:rPr>
          <w:rFonts w:ascii="Times New Roman" w:hAnsi="Times New Roman" w:cs="Times New Roman"/>
        </w:rPr>
        <w:t>obtained conviction</w:t>
      </w:r>
      <w:r>
        <w:rPr>
          <w:rFonts w:ascii="Times New Roman" w:hAnsi="Times New Roman" w:cs="Times New Roman"/>
        </w:rPr>
        <w:t xml:space="preserve"> in one case involving the former FDA Managing Director which </w:t>
      </w:r>
      <w:r w:rsidR="00694BAF">
        <w:rPr>
          <w:rFonts w:ascii="Times New Roman" w:hAnsi="Times New Roman" w:cs="Times New Roman"/>
        </w:rPr>
        <w:t xml:space="preserve">is </w:t>
      </w:r>
      <w:r>
        <w:rPr>
          <w:rFonts w:ascii="Times New Roman" w:hAnsi="Times New Roman" w:cs="Times New Roman"/>
        </w:rPr>
        <w:t xml:space="preserve">currently before the Supreme Court on appeal.  While those involving Alex Tyler, Varney Sherman, and others are currently in court. </w:t>
      </w:r>
    </w:p>
    <w:p w14:paraId="6902B1A3" w14:textId="77777777" w:rsidR="002C307D" w:rsidRPr="00110602" w:rsidRDefault="002C307D" w:rsidP="00B360E1">
      <w:pPr>
        <w:pStyle w:val="ListParagraph"/>
        <w:ind w:left="360"/>
        <w:jc w:val="both"/>
        <w:rPr>
          <w:rFonts w:ascii="Times New Roman" w:hAnsi="Times New Roman" w:cs="Times New Roman"/>
        </w:rPr>
      </w:pPr>
    </w:p>
    <w:p w14:paraId="6290C134" w14:textId="77777777" w:rsidR="00CF1C1D" w:rsidRDefault="00CF1C1D" w:rsidP="00B360E1">
      <w:pPr>
        <w:jc w:val="both"/>
        <w:rPr>
          <w:rFonts w:ascii="Times New Roman" w:hAnsi="Times New Roman" w:cs="Times New Roman"/>
          <w:b/>
        </w:rPr>
      </w:pPr>
      <w:r w:rsidRPr="00110602">
        <w:rPr>
          <w:rFonts w:ascii="Times New Roman" w:hAnsi="Times New Roman" w:cs="Times New Roman"/>
          <w:b/>
        </w:rPr>
        <w:t>Customary lands (2, 26 and 27)</w:t>
      </w:r>
    </w:p>
    <w:p w14:paraId="3C6C2697" w14:textId="77777777" w:rsidR="00120E4B" w:rsidRPr="00110602" w:rsidRDefault="00120E4B" w:rsidP="00B360E1">
      <w:pPr>
        <w:jc w:val="both"/>
        <w:rPr>
          <w:rFonts w:ascii="Times New Roman" w:hAnsi="Times New Roman" w:cs="Times New Roman"/>
          <w:b/>
        </w:rPr>
      </w:pPr>
    </w:p>
    <w:p w14:paraId="5A250371" w14:textId="46BFF6B0" w:rsidR="00435B9D" w:rsidRDefault="00DD6498" w:rsidP="00090269">
      <w:pPr>
        <w:pStyle w:val="ListParagraph"/>
        <w:numPr>
          <w:ilvl w:val="0"/>
          <w:numId w:val="2"/>
        </w:numPr>
        <w:jc w:val="both"/>
        <w:rPr>
          <w:rFonts w:ascii="Times New Roman" w:hAnsi="Times New Roman" w:cs="Times New Roman"/>
        </w:rPr>
      </w:pPr>
      <w:r>
        <w:rPr>
          <w:rFonts w:ascii="Times New Roman" w:hAnsi="Times New Roman" w:cs="Times New Roman"/>
        </w:rPr>
        <w:t xml:space="preserve">Under the Constitution, all land ownership must be traceable to the Republic of Liberia.  Liberia recognizes private land ownership and the rights of communities to </w:t>
      </w:r>
      <w:r w:rsidR="00694BAF">
        <w:rPr>
          <w:rFonts w:ascii="Times New Roman" w:hAnsi="Times New Roman" w:cs="Times New Roman"/>
        </w:rPr>
        <w:t>own</w:t>
      </w:r>
      <w:r>
        <w:rPr>
          <w:rFonts w:ascii="Times New Roman" w:hAnsi="Times New Roman" w:cs="Times New Roman"/>
        </w:rPr>
        <w:t xml:space="preserve"> customary land.  However, the legal status of customary land ownership has been granted through tribal certificates, which begin the process of privatizing customary land.</w:t>
      </w:r>
      <w:r w:rsidR="00435B9D">
        <w:rPr>
          <w:rFonts w:ascii="Times New Roman" w:hAnsi="Times New Roman" w:cs="Times New Roman"/>
        </w:rPr>
        <w:t xml:space="preserve">  Liberia also recognizes that there has been conflict between concessions and </w:t>
      </w:r>
      <w:r w:rsidR="00694BAF">
        <w:rPr>
          <w:rFonts w:ascii="Times New Roman" w:hAnsi="Times New Roman" w:cs="Times New Roman"/>
        </w:rPr>
        <w:t>communities</w:t>
      </w:r>
      <w:r w:rsidR="00435B9D">
        <w:rPr>
          <w:rFonts w:ascii="Times New Roman" w:hAnsi="Times New Roman" w:cs="Times New Roman"/>
        </w:rPr>
        <w:t xml:space="preserve"> related to land use.  Liberia has established commu</w:t>
      </w:r>
      <w:r w:rsidR="00694BAF">
        <w:rPr>
          <w:rFonts w:ascii="Times New Roman" w:hAnsi="Times New Roman" w:cs="Times New Roman"/>
        </w:rPr>
        <w:t>nity development committee</w:t>
      </w:r>
      <w:r w:rsidR="00435B9D">
        <w:rPr>
          <w:rFonts w:ascii="Times New Roman" w:hAnsi="Times New Roman" w:cs="Times New Roman"/>
        </w:rPr>
        <w:t xml:space="preserve">s and social development funds intended to benefit communities in which these concessions operate.  </w:t>
      </w:r>
    </w:p>
    <w:p w14:paraId="39571F9F" w14:textId="77777777" w:rsidR="00435B9D" w:rsidRDefault="00435B9D" w:rsidP="00720C45">
      <w:pPr>
        <w:pStyle w:val="ListParagraph"/>
        <w:ind w:left="360"/>
        <w:jc w:val="both"/>
        <w:rPr>
          <w:rFonts w:ascii="Times New Roman" w:hAnsi="Times New Roman" w:cs="Times New Roman"/>
        </w:rPr>
      </w:pPr>
    </w:p>
    <w:p w14:paraId="08B05AD5" w14:textId="5901E911" w:rsidR="008E465E" w:rsidRPr="00110602" w:rsidRDefault="00DD6498" w:rsidP="00720C45">
      <w:pPr>
        <w:pStyle w:val="ListParagraph"/>
        <w:ind w:left="360"/>
        <w:jc w:val="both"/>
        <w:rPr>
          <w:rFonts w:ascii="Times New Roman" w:hAnsi="Times New Roman" w:cs="Times New Roman"/>
        </w:rPr>
      </w:pPr>
      <w:r>
        <w:rPr>
          <w:rFonts w:ascii="Times New Roman" w:hAnsi="Times New Roman" w:cs="Times New Roman"/>
        </w:rPr>
        <w:t xml:space="preserve">  </w:t>
      </w:r>
      <w:r w:rsidR="008E465E" w:rsidRPr="00110602">
        <w:rPr>
          <w:rFonts w:ascii="Times New Roman" w:hAnsi="Times New Roman" w:cs="Times New Roman"/>
        </w:rPr>
        <w:t>In recognition of the complex history of land rights and tenure between</w:t>
      </w:r>
      <w:r w:rsidR="008E465E" w:rsidRPr="00110602">
        <w:rPr>
          <w:rFonts w:ascii="Times New Roman" w:hAnsi="Times New Roman" w:cs="Times New Roman"/>
          <w:b/>
        </w:rPr>
        <w:t xml:space="preserve"> </w:t>
      </w:r>
      <w:r w:rsidR="008E465E" w:rsidRPr="00110602">
        <w:rPr>
          <w:rFonts w:ascii="Times New Roman" w:hAnsi="Times New Roman" w:cs="Times New Roman"/>
        </w:rPr>
        <w:t xml:space="preserve">individuals, communities, and the government, Liberia has embarked on extensive land tenure reforms. To address these land related challenges, the Government created the Land Commission in 2009 to explore and analyze Liberia’s land </w:t>
      </w:r>
      <w:r w:rsidR="0050409B" w:rsidRPr="00110602">
        <w:rPr>
          <w:rFonts w:ascii="Times New Roman" w:hAnsi="Times New Roman" w:cs="Times New Roman"/>
        </w:rPr>
        <w:t>tenure</w:t>
      </w:r>
      <w:r w:rsidR="008E465E" w:rsidRPr="00110602">
        <w:rPr>
          <w:rFonts w:ascii="Times New Roman" w:hAnsi="Times New Roman" w:cs="Times New Roman"/>
        </w:rPr>
        <w:t xml:space="preserve"> issues, and pro</w:t>
      </w:r>
      <w:r w:rsidR="0050409B" w:rsidRPr="00110602">
        <w:rPr>
          <w:rFonts w:ascii="Times New Roman" w:hAnsi="Times New Roman" w:cs="Times New Roman"/>
        </w:rPr>
        <w:t>pose policy and legal reforms,</w:t>
      </w:r>
      <w:r w:rsidR="008E465E" w:rsidRPr="00110602">
        <w:rPr>
          <w:rFonts w:ascii="Times New Roman" w:hAnsi="Times New Roman" w:cs="Times New Roman"/>
        </w:rPr>
        <w:t xml:space="preserve"> including the development of a Land Rights Policy by the Land Commission in 2013 which recognized the rights of customary land ownership.  Pursuant to the Land Rights Policy, in 2014 two bills were submitted to the National Legislature for ratification:  the Land Authority Act and the Land Rights Act.  </w:t>
      </w:r>
    </w:p>
    <w:p w14:paraId="709950A1" w14:textId="4266DF25" w:rsidR="008E465E" w:rsidRPr="00110602" w:rsidRDefault="008E465E" w:rsidP="008E465E">
      <w:pPr>
        <w:pStyle w:val="ListParagraph"/>
        <w:ind w:left="360"/>
        <w:jc w:val="both"/>
        <w:rPr>
          <w:rFonts w:ascii="Times New Roman" w:hAnsi="Times New Roman" w:cs="Times New Roman"/>
        </w:rPr>
      </w:pPr>
    </w:p>
    <w:p w14:paraId="3E787A3A" w14:textId="77777777" w:rsidR="008E465E" w:rsidRPr="00110602" w:rsidRDefault="008E465E" w:rsidP="008E465E">
      <w:pPr>
        <w:pStyle w:val="ListParagraph"/>
        <w:ind w:left="360"/>
        <w:jc w:val="both"/>
        <w:rPr>
          <w:rFonts w:ascii="Times New Roman" w:hAnsi="Times New Roman" w:cs="Times New Roman"/>
        </w:rPr>
      </w:pPr>
    </w:p>
    <w:p w14:paraId="6CA02B3B" w14:textId="47D6079B" w:rsidR="008E465E" w:rsidRPr="00110602" w:rsidRDefault="004F2917" w:rsidP="008E465E">
      <w:pPr>
        <w:pStyle w:val="ListParagraph"/>
        <w:ind w:left="360"/>
        <w:jc w:val="both"/>
        <w:rPr>
          <w:rFonts w:ascii="Times New Roman" w:hAnsi="Times New Roman" w:cs="Times New Roman"/>
        </w:rPr>
      </w:pPr>
      <w:r w:rsidRPr="00110602">
        <w:rPr>
          <w:rFonts w:ascii="Times New Roman" w:hAnsi="Times New Roman" w:cs="Times New Roman"/>
        </w:rPr>
        <w:lastRenderedPageBreak/>
        <w:t>T</w:t>
      </w:r>
      <w:r w:rsidR="008E465E" w:rsidRPr="00110602">
        <w:rPr>
          <w:rFonts w:ascii="Times New Roman" w:hAnsi="Times New Roman" w:cs="Times New Roman"/>
        </w:rPr>
        <w:t xml:space="preserve">he Land Rights Act was developed through national consultation that included communities, civil societies, international development partners, and </w:t>
      </w:r>
      <w:r w:rsidRPr="00110602">
        <w:rPr>
          <w:rFonts w:ascii="Times New Roman" w:hAnsi="Times New Roman" w:cs="Times New Roman"/>
        </w:rPr>
        <w:t xml:space="preserve">the </w:t>
      </w:r>
      <w:r w:rsidR="008E465E" w:rsidRPr="00110602">
        <w:rPr>
          <w:rFonts w:ascii="Times New Roman" w:hAnsi="Times New Roman" w:cs="Times New Roman"/>
        </w:rPr>
        <w:t xml:space="preserve">government.  The primary objective of the Act is the administration of </w:t>
      </w:r>
      <w:r w:rsidRPr="00110602">
        <w:rPr>
          <w:rFonts w:ascii="Times New Roman" w:hAnsi="Times New Roman" w:cs="Times New Roman"/>
        </w:rPr>
        <w:t xml:space="preserve">a </w:t>
      </w:r>
      <w:r w:rsidR="008E465E" w:rsidRPr="00110602">
        <w:rPr>
          <w:rFonts w:ascii="Times New Roman" w:hAnsi="Times New Roman" w:cs="Times New Roman"/>
        </w:rPr>
        <w:t>land tenu</w:t>
      </w:r>
      <w:r w:rsidRPr="00110602">
        <w:rPr>
          <w:rFonts w:ascii="Times New Roman" w:hAnsi="Times New Roman" w:cs="Times New Roman"/>
        </w:rPr>
        <w:t>r</w:t>
      </w:r>
      <w:r w:rsidR="008E465E" w:rsidRPr="00110602">
        <w:rPr>
          <w:rFonts w:ascii="Times New Roman" w:hAnsi="Times New Roman" w:cs="Times New Roman"/>
        </w:rPr>
        <w:t xml:space="preserve">e system and the recognition of equal protection for customary land rights.  The </w:t>
      </w:r>
      <w:r w:rsidR="00435B9D">
        <w:rPr>
          <w:rFonts w:ascii="Times New Roman" w:hAnsi="Times New Roman" w:cs="Times New Roman"/>
        </w:rPr>
        <w:t xml:space="preserve">draft </w:t>
      </w:r>
      <w:r w:rsidR="008E465E" w:rsidRPr="00110602">
        <w:rPr>
          <w:rFonts w:ascii="Times New Roman" w:hAnsi="Times New Roman" w:cs="Times New Roman"/>
        </w:rPr>
        <w:t xml:space="preserve">Land Rights Act, as drafted, recognizes customary land ownership and provides for </w:t>
      </w:r>
      <w:r w:rsidRPr="00110602">
        <w:rPr>
          <w:rFonts w:ascii="Times New Roman" w:hAnsi="Times New Roman" w:cs="Times New Roman"/>
        </w:rPr>
        <w:t>self-determination</w:t>
      </w:r>
      <w:r w:rsidR="008E465E" w:rsidRPr="00110602">
        <w:rPr>
          <w:rFonts w:ascii="Times New Roman" w:hAnsi="Times New Roman" w:cs="Times New Roman"/>
        </w:rPr>
        <w:t xml:space="preserve"> of community members and land use</w:t>
      </w:r>
      <w:r w:rsidR="00435B9D">
        <w:rPr>
          <w:rFonts w:ascii="Times New Roman" w:hAnsi="Times New Roman" w:cs="Times New Roman"/>
        </w:rPr>
        <w:t xml:space="preserve"> as approved</w:t>
      </w:r>
      <w:r w:rsidR="00694BAF">
        <w:rPr>
          <w:rFonts w:ascii="Times New Roman" w:hAnsi="Times New Roman" w:cs="Times New Roman"/>
        </w:rPr>
        <w:t xml:space="preserve"> by</w:t>
      </w:r>
      <w:r w:rsidR="00435B9D">
        <w:rPr>
          <w:rFonts w:ascii="Times New Roman" w:hAnsi="Times New Roman" w:cs="Times New Roman"/>
        </w:rPr>
        <w:t xml:space="preserve"> the communities</w:t>
      </w:r>
      <w:r w:rsidR="008E465E" w:rsidRPr="00110602">
        <w:rPr>
          <w:rFonts w:ascii="Times New Roman" w:hAnsi="Times New Roman" w:cs="Times New Roman"/>
        </w:rPr>
        <w:t xml:space="preserve">.  The </w:t>
      </w:r>
      <w:r w:rsidR="00435B9D">
        <w:rPr>
          <w:rFonts w:ascii="Times New Roman" w:hAnsi="Times New Roman" w:cs="Times New Roman"/>
        </w:rPr>
        <w:t>draft Land Rights Act</w:t>
      </w:r>
      <w:r w:rsidR="00435B9D" w:rsidRPr="00110602">
        <w:rPr>
          <w:rFonts w:ascii="Times New Roman" w:hAnsi="Times New Roman" w:cs="Times New Roman"/>
        </w:rPr>
        <w:t xml:space="preserve"> </w:t>
      </w:r>
      <w:r w:rsidRPr="00110602">
        <w:rPr>
          <w:rFonts w:ascii="Times New Roman" w:hAnsi="Times New Roman" w:cs="Times New Roman"/>
        </w:rPr>
        <w:t xml:space="preserve">also </w:t>
      </w:r>
      <w:r w:rsidR="008E465E" w:rsidRPr="00110602">
        <w:rPr>
          <w:rFonts w:ascii="Times New Roman" w:hAnsi="Times New Roman" w:cs="Times New Roman"/>
        </w:rPr>
        <w:t>provides for community participation in negotiation of concession agreements where community lands are leased to private entities.</w:t>
      </w:r>
      <w:r w:rsidR="00270CF6" w:rsidRPr="00110602">
        <w:rPr>
          <w:rFonts w:ascii="Times New Roman" w:hAnsi="Times New Roman" w:cs="Times New Roman"/>
        </w:rPr>
        <w:t xml:space="preserve"> </w:t>
      </w:r>
      <w:r w:rsidR="00694BAF">
        <w:rPr>
          <w:rFonts w:ascii="Times New Roman" w:hAnsi="Times New Roman" w:cs="Times New Roman"/>
        </w:rPr>
        <w:t>Additionally, the draft Lands Rights Act</w:t>
      </w:r>
      <w:r w:rsidR="00435B9D">
        <w:rPr>
          <w:rFonts w:ascii="Times New Roman" w:hAnsi="Times New Roman" w:cs="Times New Roman"/>
        </w:rPr>
        <w:t xml:space="preserve"> protects the rights of women to inherit family property from their father, which is a right not currently recognized.  Under the Draft Land Rights Act, women are also members of community committees that make decisions regarding land use.  </w:t>
      </w:r>
      <w:r w:rsidR="008E465E" w:rsidRPr="00110602">
        <w:rPr>
          <w:rFonts w:ascii="Times New Roman" w:hAnsi="Times New Roman" w:cs="Times New Roman"/>
        </w:rPr>
        <w:t xml:space="preserve">The Land Rights Act is currently </w:t>
      </w:r>
      <w:r w:rsidR="00270CF6" w:rsidRPr="00110602">
        <w:rPr>
          <w:rFonts w:ascii="Times New Roman" w:hAnsi="Times New Roman" w:cs="Times New Roman"/>
        </w:rPr>
        <w:t xml:space="preserve">been reviewed by the </w:t>
      </w:r>
      <w:r w:rsidR="008E465E" w:rsidRPr="00110602">
        <w:rPr>
          <w:rFonts w:ascii="Times New Roman" w:hAnsi="Times New Roman" w:cs="Times New Roman"/>
        </w:rPr>
        <w:t xml:space="preserve">National Legislature </w:t>
      </w:r>
      <w:r w:rsidR="00270CF6" w:rsidRPr="00110602">
        <w:rPr>
          <w:rFonts w:ascii="Times New Roman" w:hAnsi="Times New Roman" w:cs="Times New Roman"/>
        </w:rPr>
        <w:t>with the inten</w:t>
      </w:r>
      <w:r w:rsidR="00435B9D">
        <w:rPr>
          <w:rFonts w:ascii="Times New Roman" w:hAnsi="Times New Roman" w:cs="Times New Roman"/>
        </w:rPr>
        <w:t>t</w:t>
      </w:r>
      <w:r w:rsidR="00270CF6" w:rsidRPr="00110602">
        <w:rPr>
          <w:rFonts w:ascii="Times New Roman" w:hAnsi="Times New Roman" w:cs="Times New Roman"/>
        </w:rPr>
        <w:t xml:space="preserve"> to ensure that when it is passed into law, </w:t>
      </w:r>
      <w:r w:rsidR="00694BAF">
        <w:rPr>
          <w:rFonts w:ascii="Times New Roman" w:hAnsi="Times New Roman" w:cs="Times New Roman"/>
        </w:rPr>
        <w:t xml:space="preserve">it </w:t>
      </w:r>
      <w:r w:rsidR="00270CF6" w:rsidRPr="00110602">
        <w:rPr>
          <w:rFonts w:ascii="Times New Roman" w:hAnsi="Times New Roman" w:cs="Times New Roman"/>
        </w:rPr>
        <w:t xml:space="preserve">will protect the </w:t>
      </w:r>
      <w:r w:rsidR="00694BAF">
        <w:rPr>
          <w:rFonts w:ascii="Times New Roman" w:hAnsi="Times New Roman" w:cs="Times New Roman"/>
        </w:rPr>
        <w:t xml:space="preserve">ownership rights of </w:t>
      </w:r>
      <w:r w:rsidR="00270CF6" w:rsidRPr="00110602">
        <w:rPr>
          <w:rFonts w:ascii="Times New Roman" w:hAnsi="Times New Roman" w:cs="Times New Roman"/>
        </w:rPr>
        <w:t xml:space="preserve">local communities </w:t>
      </w:r>
      <w:r w:rsidR="00694BAF">
        <w:rPr>
          <w:rFonts w:ascii="Times New Roman" w:hAnsi="Times New Roman" w:cs="Times New Roman"/>
        </w:rPr>
        <w:t xml:space="preserve">to customary land which </w:t>
      </w:r>
      <w:bookmarkStart w:id="0" w:name="_GoBack"/>
      <w:bookmarkEnd w:id="0"/>
      <w:r w:rsidR="00270CF6" w:rsidRPr="00110602">
        <w:rPr>
          <w:rFonts w:ascii="Times New Roman" w:hAnsi="Times New Roman" w:cs="Times New Roman"/>
        </w:rPr>
        <w:t>is critical to peace and stability</w:t>
      </w:r>
      <w:r w:rsidR="008E465E" w:rsidRPr="00110602">
        <w:rPr>
          <w:rFonts w:ascii="Times New Roman" w:hAnsi="Times New Roman" w:cs="Times New Roman"/>
        </w:rPr>
        <w:t>.</w:t>
      </w:r>
    </w:p>
    <w:p w14:paraId="2A72305E" w14:textId="088F9E16" w:rsidR="002C307D" w:rsidRPr="00110602" w:rsidRDefault="008E465E" w:rsidP="00B360E1">
      <w:pPr>
        <w:jc w:val="both"/>
        <w:rPr>
          <w:rFonts w:ascii="Times New Roman" w:hAnsi="Times New Roman" w:cs="Times New Roman"/>
          <w:b/>
        </w:rPr>
      </w:pPr>
      <w:r w:rsidRPr="00110602">
        <w:rPr>
          <w:rFonts w:ascii="Times New Roman" w:hAnsi="Times New Roman" w:cs="Times New Roman"/>
          <w:b/>
        </w:rPr>
        <w:t xml:space="preserve"> </w:t>
      </w:r>
    </w:p>
    <w:p w14:paraId="7B32000C" w14:textId="4B4F7936" w:rsidR="002C307D" w:rsidRPr="00110602" w:rsidRDefault="002C307D" w:rsidP="00090269">
      <w:pPr>
        <w:pStyle w:val="ListParagraph"/>
        <w:ind w:left="360"/>
        <w:jc w:val="both"/>
        <w:rPr>
          <w:rFonts w:ascii="Times New Roman" w:hAnsi="Times New Roman" w:cs="Times New Roman"/>
        </w:rPr>
      </w:pPr>
    </w:p>
    <w:sectPr w:rsidR="002C307D" w:rsidRPr="00110602" w:rsidSect="00CA5830">
      <w:footerReference w:type="even" r:id="rId10"/>
      <w:footerReference w:type="default" r:id="rId1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16A29" w14:textId="77777777" w:rsidR="00AD2DBF" w:rsidRDefault="00AD2DBF" w:rsidP="009E7F04">
      <w:r>
        <w:separator/>
      </w:r>
    </w:p>
  </w:endnote>
  <w:endnote w:type="continuationSeparator" w:id="0">
    <w:p w14:paraId="62B54C31" w14:textId="77777777" w:rsidR="00AD2DBF" w:rsidRDefault="00AD2DBF" w:rsidP="009E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C20D4" w14:textId="77777777" w:rsidR="00330FAA" w:rsidRDefault="00330FAA" w:rsidP="00A37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69842" w14:textId="77777777" w:rsidR="00330FAA" w:rsidRDefault="00330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98EF6" w14:textId="77777777" w:rsidR="00330FAA" w:rsidRDefault="00330FAA" w:rsidP="00A37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690">
      <w:rPr>
        <w:rStyle w:val="PageNumber"/>
        <w:noProof/>
      </w:rPr>
      <w:t>24</w:t>
    </w:r>
    <w:r>
      <w:rPr>
        <w:rStyle w:val="PageNumber"/>
      </w:rPr>
      <w:fldChar w:fldCharType="end"/>
    </w:r>
  </w:p>
  <w:p w14:paraId="07E72816" w14:textId="77777777" w:rsidR="00330FAA" w:rsidRDefault="00330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93FB" w14:textId="77777777" w:rsidR="00AD2DBF" w:rsidRDefault="00AD2DBF" w:rsidP="009E7F04">
      <w:r>
        <w:separator/>
      </w:r>
    </w:p>
  </w:footnote>
  <w:footnote w:type="continuationSeparator" w:id="0">
    <w:p w14:paraId="62EDC149" w14:textId="77777777" w:rsidR="00AD2DBF" w:rsidRDefault="00AD2DBF" w:rsidP="009E7F04">
      <w:r>
        <w:continuationSeparator/>
      </w:r>
    </w:p>
  </w:footnote>
  <w:footnote w:id="1">
    <w:p w14:paraId="728EAB53" w14:textId="29D08988" w:rsidR="00330FAA" w:rsidRDefault="00330FAA">
      <w:pPr>
        <w:pStyle w:val="FootnoteText"/>
      </w:pPr>
      <w:r>
        <w:rPr>
          <w:rStyle w:val="FootnoteReference"/>
        </w:rPr>
        <w:footnoteRef/>
      </w:r>
      <w:r>
        <w:t xml:space="preserve"> </w:t>
      </w:r>
      <w:r w:rsidRPr="00DF35FE">
        <w:rPr>
          <w:rStyle w:val="ilfuvd"/>
          <w:rFonts w:ascii="Times New Roman" w:hAnsi="Times New Roman" w:cs="Times New Roman"/>
        </w:rPr>
        <w:t xml:space="preserve">The </w:t>
      </w:r>
      <w:r w:rsidRPr="00DF35FE">
        <w:rPr>
          <w:rStyle w:val="ilfuvd"/>
          <w:rFonts w:ascii="Times New Roman" w:hAnsi="Times New Roman" w:cs="Times New Roman"/>
          <w:bCs/>
        </w:rPr>
        <w:t>Paris Principles</w:t>
      </w:r>
      <w:r w:rsidRPr="00DF35FE">
        <w:rPr>
          <w:rStyle w:val="ilfuvd"/>
          <w:rFonts w:ascii="Times New Roman" w:hAnsi="Times New Roman" w:cs="Times New Roman"/>
        </w:rPr>
        <w:t xml:space="preserve"> relate to the status and functioning of national institutions for the protection and promotion of human rights.</w:t>
      </w:r>
    </w:p>
  </w:footnote>
  <w:footnote w:id="2">
    <w:p w14:paraId="7E3D069B" w14:textId="2446781B" w:rsidR="00330FAA" w:rsidRDefault="00330FAA">
      <w:pPr>
        <w:pStyle w:val="FootnoteText"/>
      </w:pPr>
      <w:r>
        <w:rPr>
          <w:rStyle w:val="FootnoteReference"/>
        </w:rPr>
        <w:footnoteRef/>
      </w:r>
      <w:r>
        <w:t xml:space="preserve"> </w:t>
      </w:r>
      <w:r w:rsidRPr="00110602">
        <w:rPr>
          <w:rFonts w:ascii="Times New Roman" w:hAnsi="Times New Roman" w:cs="Times New Roman"/>
        </w:rPr>
        <w:t>AfT Mid-Term Review Repor</w:t>
      </w:r>
      <w:r>
        <w:rPr>
          <w:rFonts w:ascii="Times New Roman" w:hAnsi="Times New Roman" w:cs="Times New Roman"/>
        </w:rPr>
        <w:t>t of 2017</w:t>
      </w:r>
    </w:p>
  </w:footnote>
  <w:footnote w:id="3">
    <w:p w14:paraId="768A07F5" w14:textId="2C54AE41" w:rsidR="00330FAA" w:rsidRDefault="00330FAA">
      <w:pPr>
        <w:pStyle w:val="FootnoteText"/>
      </w:pPr>
      <w:r>
        <w:rPr>
          <w:rStyle w:val="FootnoteReference"/>
        </w:rPr>
        <w:footnoteRef/>
      </w:r>
      <w:r>
        <w:t xml:space="preserve"> Presidential Press Release. August 6, 2014.  Retrieved from: </w:t>
      </w:r>
      <w:hyperlink r:id="rId1" w:history="1">
        <w:r w:rsidRPr="00282F83">
          <w:rPr>
            <w:rStyle w:val="Hyperlink"/>
          </w:rPr>
          <w:t>http://www.emansion.gov.lr/2press.php?news_id=3053&amp;related=7&amp;pg=sp</w:t>
        </w:r>
      </w:hyperlink>
      <w:r>
        <w:t xml:space="preserve"> </w:t>
      </w:r>
    </w:p>
  </w:footnote>
  <w:footnote w:id="4">
    <w:p w14:paraId="75EC3168" w14:textId="77777777" w:rsidR="00330FAA" w:rsidRDefault="00330FAA" w:rsidP="003F1619">
      <w:pPr>
        <w:pStyle w:val="FootnoteText"/>
      </w:pPr>
      <w:r>
        <w:rPr>
          <w:rStyle w:val="FootnoteReference"/>
        </w:rPr>
        <w:footnoteRef/>
      </w:r>
      <w:r>
        <w:t xml:space="preserve"> See {legislative record); </w:t>
      </w:r>
      <w:r w:rsidRPr="007B59A0">
        <w:rPr>
          <w:i/>
        </w:rPr>
        <w:t>See also</w:t>
      </w:r>
      <w:r>
        <w:t xml:space="preserve"> </w:t>
      </w:r>
      <w:hyperlink r:id="rId2" w:history="1">
        <w:r w:rsidRPr="00282F83">
          <w:rPr>
            <w:rStyle w:val="Hyperlink"/>
          </w:rPr>
          <w:t>https://www.liberianobserver.com/news/politics/senate-deliberates-on-state-of-emergency-today/</w:t>
        </w:r>
      </w:hyperlink>
      <w:r>
        <w:t xml:space="preserve"> </w:t>
      </w:r>
    </w:p>
  </w:footnote>
  <w:footnote w:id="5">
    <w:p w14:paraId="7E9F6088" w14:textId="582D6BE5" w:rsidR="00330FAA" w:rsidRDefault="00330FAA">
      <w:pPr>
        <w:pStyle w:val="FootnoteText"/>
      </w:pPr>
      <w:r>
        <w:rPr>
          <w:rStyle w:val="FootnoteReference"/>
        </w:rPr>
        <w:footnoteRef/>
      </w:r>
      <w:r>
        <w:t xml:space="preserve"> New National Defense Act (2008).  Retrieved from: </w:t>
      </w:r>
      <w:hyperlink r:id="rId3" w:history="1">
        <w:r w:rsidRPr="00282F83">
          <w:rPr>
            <w:rStyle w:val="Hyperlink"/>
          </w:rPr>
          <w:t>http://www.liberlii.org/cgi-bin/disp.pl/lr/legis/acts/dao200891/dao200891.html?stem=0&amp;synonyms=0&amp;query=%22human%20rights%22</w:t>
        </w:r>
      </w:hyperlink>
      <w:r>
        <w:t xml:space="preserve"> </w:t>
      </w:r>
    </w:p>
  </w:footnote>
  <w:footnote w:id="6">
    <w:p w14:paraId="4A0BCC3F" w14:textId="557B475D" w:rsidR="00330FAA" w:rsidRDefault="00330FAA">
      <w:pPr>
        <w:pStyle w:val="FootnoteText"/>
      </w:pPr>
      <w:r>
        <w:rPr>
          <w:rStyle w:val="FootnoteReference"/>
        </w:rPr>
        <w:footnoteRef/>
      </w:r>
      <w:r>
        <w:t xml:space="preserve"> Id.  Section 8.5 provides that “</w:t>
      </w:r>
      <w:r w:rsidRPr="001228DA">
        <w:rPr>
          <w:i/>
        </w:rPr>
        <w:t>All members of the AFL shall respect the human rights of all persons at all times.  No members of the AFL shall engage in any form of torture, mistreatment, abuse or degrading behavior to other persons at all times</w:t>
      </w:r>
      <w:r>
        <w:t>.”</w:t>
      </w:r>
    </w:p>
  </w:footnote>
  <w:footnote w:id="7">
    <w:p w14:paraId="44E6AB21" w14:textId="6E980FA9" w:rsidR="00330FAA" w:rsidRDefault="00330FAA">
      <w:pPr>
        <w:pStyle w:val="FootnoteText"/>
      </w:pPr>
      <w:r>
        <w:rPr>
          <w:rStyle w:val="FootnoteReference"/>
        </w:rPr>
        <w:footnoteRef/>
      </w:r>
      <w:r>
        <w:t xml:space="preserve"> See West Point Quarantine Report, “Dark Moment of the West Point Quarantine”, a report from the INCHR, submitted to the Government and People of Liberia, October 28, 2014 </w:t>
      </w:r>
    </w:p>
  </w:footnote>
  <w:footnote w:id="8">
    <w:p w14:paraId="20D60D8A" w14:textId="77777777" w:rsidR="00330FAA" w:rsidRDefault="00330FAA" w:rsidP="00F711D5">
      <w:pPr>
        <w:pStyle w:val="FootnoteText"/>
      </w:pPr>
      <w:r>
        <w:rPr>
          <w:rStyle w:val="FootnoteReference"/>
        </w:rPr>
        <w:footnoteRef/>
      </w:r>
      <w:r>
        <w:t xml:space="preserve"> </w:t>
      </w:r>
      <w:r>
        <w:rPr>
          <w:rFonts w:ascii="Times New Roman" w:hAnsi="Times New Roman" w:cs="Times New Roman"/>
        </w:rPr>
        <w:t>a consortium of civil society organization for advocating for the rights of PWA, headed by Mrs. Patricia Logan</w:t>
      </w:r>
    </w:p>
  </w:footnote>
  <w:footnote w:id="9">
    <w:p w14:paraId="4ED2397A" w14:textId="77777777" w:rsidR="00330FAA" w:rsidRDefault="00330FAA" w:rsidP="00F711D5">
      <w:pPr>
        <w:pStyle w:val="FootnoteText"/>
      </w:pPr>
      <w:r>
        <w:rPr>
          <w:rStyle w:val="FootnoteReference"/>
        </w:rPr>
        <w:footnoteRef/>
      </w:r>
      <w:r>
        <w:t xml:space="preserve"> Capitol city of Montserrado County</w:t>
      </w:r>
    </w:p>
  </w:footnote>
  <w:footnote w:id="10">
    <w:p w14:paraId="317F8291" w14:textId="57110524" w:rsidR="00330FAA" w:rsidRDefault="00330FAA">
      <w:pPr>
        <w:pStyle w:val="FootnoteText"/>
      </w:pPr>
      <w:r>
        <w:rPr>
          <w:rStyle w:val="FootnoteReference"/>
        </w:rPr>
        <w:footnoteRef/>
      </w:r>
      <w:r>
        <w:t xml:space="preserve"> </w:t>
      </w:r>
      <w:r>
        <w:rPr>
          <w:rStyle w:val="Emphasis"/>
        </w:rPr>
        <w:t>Ayad v. Dennis</w:t>
      </w:r>
      <w:r>
        <w:t xml:space="preserve"> 23 LLR 165, 171 (1974).)</w:t>
      </w:r>
    </w:p>
  </w:footnote>
  <w:footnote w:id="11">
    <w:p w14:paraId="7EBEA4F3" w14:textId="7056FACA" w:rsidR="00330FAA" w:rsidRDefault="00330FAA">
      <w:pPr>
        <w:pStyle w:val="FootnoteText"/>
      </w:pPr>
      <w:r>
        <w:rPr>
          <w:rStyle w:val="FootnoteReference"/>
        </w:rPr>
        <w:footnoteRef/>
      </w:r>
      <w:r>
        <w:t xml:space="preserve"> </w:t>
      </w:r>
      <w:r>
        <w:rPr>
          <w:color w:val="000000"/>
        </w:rPr>
        <w:t>(</w:t>
      </w:r>
      <w:hyperlink r:id="rId4" w:history="1">
        <w:r>
          <w:rPr>
            <w:rStyle w:val="Hyperlink"/>
          </w:rPr>
          <w:t>Penal Law</w:t>
        </w:r>
      </w:hyperlink>
      <w:r>
        <w:rPr>
          <w:color w:val="000000"/>
        </w:rPr>
        <w:t> § 50.5, tit. 26, 4 Liberian Code of Laws Revised (1976), Liberian Legal Information Institute (LIBERLII) website.)</w:t>
      </w:r>
    </w:p>
  </w:footnote>
  <w:footnote w:id="12">
    <w:p w14:paraId="32E47104" w14:textId="1DA50199" w:rsidR="00330FAA" w:rsidRDefault="00330FAA">
      <w:pPr>
        <w:pStyle w:val="FootnoteText"/>
      </w:pPr>
      <w:r>
        <w:rPr>
          <w:rStyle w:val="FootnoteReference"/>
        </w:rPr>
        <w:footnoteRef/>
      </w:r>
      <w:r>
        <w:t xml:space="preserve"> </w:t>
      </w:r>
      <w:r>
        <w:rPr>
          <w:color w:val="000000"/>
        </w:rPr>
        <w:t>(</w:t>
      </w:r>
      <w:r>
        <w:rPr>
          <w:rStyle w:val="Emphasis"/>
          <w:color w:val="000000"/>
        </w:rPr>
        <w:t>Id.</w:t>
      </w:r>
      <w:r>
        <w:rPr>
          <w:color w:val="000000"/>
        </w:rPr>
        <w:t xml:space="preserve">; </w:t>
      </w:r>
      <w:hyperlink r:id="rId5" w:history="1">
        <w:r>
          <w:rPr>
            <w:rStyle w:val="Hyperlink"/>
          </w:rPr>
          <w:t>Criminal Procedure Law</w:t>
        </w:r>
      </w:hyperlink>
      <w:r>
        <w:rPr>
          <w:color w:val="000000"/>
        </w:rPr>
        <w:t>, §§ 31.1(3) &amp; 33.1, tit. 2, Liberian Code of Laws Revised (1972), LIBERLII website.)</w:t>
      </w:r>
    </w:p>
  </w:footnote>
  <w:footnote w:id="13">
    <w:p w14:paraId="2C7B7113" w14:textId="26931712" w:rsidR="00330FAA" w:rsidRDefault="00330FAA">
      <w:pPr>
        <w:pStyle w:val="FootnoteText"/>
      </w:pPr>
      <w:r>
        <w:rPr>
          <w:rStyle w:val="FootnoteReference"/>
        </w:rPr>
        <w:footnoteRef/>
      </w:r>
      <w:r>
        <w:t xml:space="preserve"> This occurs when relatives of victims take these children from their parents with the promise to bring them to the city for education; instead, they are used as bread winners</w:t>
      </w:r>
    </w:p>
  </w:footnote>
  <w:footnote w:id="14">
    <w:p w14:paraId="2F3C8EC4" w14:textId="77777777" w:rsidR="00330FAA" w:rsidRDefault="00330FAA" w:rsidP="00FA03CE">
      <w:pPr>
        <w:pStyle w:val="FootnoteText"/>
      </w:pPr>
      <w:r>
        <w:rPr>
          <w:rStyle w:val="FootnoteReference"/>
        </w:rPr>
        <w:footnoteRef/>
      </w:r>
      <w:r>
        <w:t xml:space="preserve"> Please see copy of the full report</w:t>
      </w:r>
    </w:p>
  </w:footnote>
  <w:footnote w:id="15">
    <w:p w14:paraId="510719EB" w14:textId="52103492" w:rsidR="00330FAA" w:rsidRDefault="00330FAA">
      <w:pPr>
        <w:pStyle w:val="FootnoteText"/>
      </w:pPr>
      <w:r>
        <w:rPr>
          <w:rStyle w:val="FootnoteReference"/>
        </w:rPr>
        <w:footnoteRef/>
      </w:r>
      <w:r>
        <w:t xml:space="preserve"> Chapter 34, Section 34.20 Criminal procedure law, 1LCLR</w:t>
      </w:r>
    </w:p>
  </w:footnote>
  <w:footnote w:id="16">
    <w:p w14:paraId="052C55E0" w14:textId="3CE85694" w:rsidR="00330FAA" w:rsidRDefault="00330FAA">
      <w:pPr>
        <w:pStyle w:val="FootnoteText"/>
      </w:pPr>
      <w:r>
        <w:rPr>
          <w:rStyle w:val="FootnoteReference"/>
        </w:rPr>
        <w:footnoteRef/>
      </w:r>
      <w:r>
        <w:t xml:space="preserve"> Cause herein refers Treason or other felonies- Art. 73 Liberian Constitution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50F"/>
    <w:multiLevelType w:val="hybridMultilevel"/>
    <w:tmpl w:val="1284C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47A08"/>
    <w:multiLevelType w:val="hybridMultilevel"/>
    <w:tmpl w:val="B28E8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008D6"/>
    <w:multiLevelType w:val="hybridMultilevel"/>
    <w:tmpl w:val="B83C7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3080"/>
    <w:multiLevelType w:val="hybridMultilevel"/>
    <w:tmpl w:val="21200DEE"/>
    <w:lvl w:ilvl="0" w:tplc="04090013">
      <w:start w:val="1"/>
      <w:numFmt w:val="upperRoman"/>
      <w:lvlText w:val="%1."/>
      <w:lvlJc w:val="right"/>
      <w:pPr>
        <w:ind w:left="1440" w:hanging="360"/>
      </w:pPr>
    </w:lvl>
    <w:lvl w:ilvl="1" w:tplc="161EDCD6">
      <w:start w:val="1"/>
      <w:numFmt w:val="decimal"/>
      <w:lvlText w:val="%2."/>
      <w:lvlJc w:val="left"/>
      <w:pPr>
        <w:tabs>
          <w:tab w:val="num" w:pos="2160"/>
        </w:tabs>
        <w:ind w:left="2160" w:hanging="360"/>
      </w:pPr>
    </w:lvl>
    <w:lvl w:ilvl="2" w:tplc="BEEE3582" w:tentative="1">
      <w:start w:val="1"/>
      <w:numFmt w:val="decimal"/>
      <w:lvlText w:val="%3."/>
      <w:lvlJc w:val="left"/>
      <w:pPr>
        <w:tabs>
          <w:tab w:val="num" w:pos="2880"/>
        </w:tabs>
        <w:ind w:left="2880" w:hanging="360"/>
      </w:pPr>
    </w:lvl>
    <w:lvl w:ilvl="3" w:tplc="31063784" w:tentative="1">
      <w:start w:val="1"/>
      <w:numFmt w:val="decimal"/>
      <w:lvlText w:val="%4."/>
      <w:lvlJc w:val="left"/>
      <w:pPr>
        <w:tabs>
          <w:tab w:val="num" w:pos="3600"/>
        </w:tabs>
        <w:ind w:left="3600" w:hanging="360"/>
      </w:pPr>
    </w:lvl>
    <w:lvl w:ilvl="4" w:tplc="15189EFE" w:tentative="1">
      <w:start w:val="1"/>
      <w:numFmt w:val="decimal"/>
      <w:lvlText w:val="%5."/>
      <w:lvlJc w:val="left"/>
      <w:pPr>
        <w:tabs>
          <w:tab w:val="num" w:pos="4320"/>
        </w:tabs>
        <w:ind w:left="4320" w:hanging="360"/>
      </w:pPr>
    </w:lvl>
    <w:lvl w:ilvl="5" w:tplc="125EEA18" w:tentative="1">
      <w:start w:val="1"/>
      <w:numFmt w:val="decimal"/>
      <w:lvlText w:val="%6."/>
      <w:lvlJc w:val="left"/>
      <w:pPr>
        <w:tabs>
          <w:tab w:val="num" w:pos="5040"/>
        </w:tabs>
        <w:ind w:left="5040" w:hanging="360"/>
      </w:pPr>
    </w:lvl>
    <w:lvl w:ilvl="6" w:tplc="3DF40CE0" w:tentative="1">
      <w:start w:val="1"/>
      <w:numFmt w:val="decimal"/>
      <w:lvlText w:val="%7."/>
      <w:lvlJc w:val="left"/>
      <w:pPr>
        <w:tabs>
          <w:tab w:val="num" w:pos="5760"/>
        </w:tabs>
        <w:ind w:left="5760" w:hanging="360"/>
      </w:pPr>
    </w:lvl>
    <w:lvl w:ilvl="7" w:tplc="42761314" w:tentative="1">
      <w:start w:val="1"/>
      <w:numFmt w:val="decimal"/>
      <w:lvlText w:val="%8."/>
      <w:lvlJc w:val="left"/>
      <w:pPr>
        <w:tabs>
          <w:tab w:val="num" w:pos="6480"/>
        </w:tabs>
        <w:ind w:left="6480" w:hanging="360"/>
      </w:pPr>
    </w:lvl>
    <w:lvl w:ilvl="8" w:tplc="574C6674" w:tentative="1">
      <w:start w:val="1"/>
      <w:numFmt w:val="decimal"/>
      <w:lvlText w:val="%9."/>
      <w:lvlJc w:val="left"/>
      <w:pPr>
        <w:tabs>
          <w:tab w:val="num" w:pos="7200"/>
        </w:tabs>
        <w:ind w:left="7200" w:hanging="360"/>
      </w:pPr>
    </w:lvl>
  </w:abstractNum>
  <w:abstractNum w:abstractNumId="4">
    <w:nsid w:val="165A1EB8"/>
    <w:multiLevelType w:val="multilevel"/>
    <w:tmpl w:val="3D34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E4B66"/>
    <w:multiLevelType w:val="hybridMultilevel"/>
    <w:tmpl w:val="6CA8C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680851"/>
    <w:multiLevelType w:val="hybridMultilevel"/>
    <w:tmpl w:val="2C3C45FC"/>
    <w:lvl w:ilvl="0" w:tplc="3B5CC51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2A62AD"/>
    <w:multiLevelType w:val="hybridMultilevel"/>
    <w:tmpl w:val="C2C0B688"/>
    <w:lvl w:ilvl="0" w:tplc="53903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D6305"/>
    <w:multiLevelType w:val="hybridMultilevel"/>
    <w:tmpl w:val="21200DEE"/>
    <w:lvl w:ilvl="0" w:tplc="04090013">
      <w:start w:val="1"/>
      <w:numFmt w:val="upperRoman"/>
      <w:lvlText w:val="%1."/>
      <w:lvlJc w:val="right"/>
      <w:pPr>
        <w:ind w:left="1440" w:hanging="360"/>
      </w:pPr>
    </w:lvl>
    <w:lvl w:ilvl="1" w:tplc="161EDCD6">
      <w:start w:val="1"/>
      <w:numFmt w:val="decimal"/>
      <w:lvlText w:val="%2."/>
      <w:lvlJc w:val="left"/>
      <w:pPr>
        <w:tabs>
          <w:tab w:val="num" w:pos="2160"/>
        </w:tabs>
        <w:ind w:left="2160" w:hanging="360"/>
      </w:pPr>
    </w:lvl>
    <w:lvl w:ilvl="2" w:tplc="BEEE3582" w:tentative="1">
      <w:start w:val="1"/>
      <w:numFmt w:val="decimal"/>
      <w:lvlText w:val="%3."/>
      <w:lvlJc w:val="left"/>
      <w:pPr>
        <w:tabs>
          <w:tab w:val="num" w:pos="2880"/>
        </w:tabs>
        <w:ind w:left="2880" w:hanging="360"/>
      </w:pPr>
    </w:lvl>
    <w:lvl w:ilvl="3" w:tplc="31063784" w:tentative="1">
      <w:start w:val="1"/>
      <w:numFmt w:val="decimal"/>
      <w:lvlText w:val="%4."/>
      <w:lvlJc w:val="left"/>
      <w:pPr>
        <w:tabs>
          <w:tab w:val="num" w:pos="3600"/>
        </w:tabs>
        <w:ind w:left="3600" w:hanging="360"/>
      </w:pPr>
    </w:lvl>
    <w:lvl w:ilvl="4" w:tplc="15189EFE" w:tentative="1">
      <w:start w:val="1"/>
      <w:numFmt w:val="decimal"/>
      <w:lvlText w:val="%5."/>
      <w:lvlJc w:val="left"/>
      <w:pPr>
        <w:tabs>
          <w:tab w:val="num" w:pos="4320"/>
        </w:tabs>
        <w:ind w:left="4320" w:hanging="360"/>
      </w:pPr>
    </w:lvl>
    <w:lvl w:ilvl="5" w:tplc="125EEA18" w:tentative="1">
      <w:start w:val="1"/>
      <w:numFmt w:val="decimal"/>
      <w:lvlText w:val="%6."/>
      <w:lvlJc w:val="left"/>
      <w:pPr>
        <w:tabs>
          <w:tab w:val="num" w:pos="5040"/>
        </w:tabs>
        <w:ind w:left="5040" w:hanging="360"/>
      </w:pPr>
    </w:lvl>
    <w:lvl w:ilvl="6" w:tplc="3DF40CE0" w:tentative="1">
      <w:start w:val="1"/>
      <w:numFmt w:val="decimal"/>
      <w:lvlText w:val="%7."/>
      <w:lvlJc w:val="left"/>
      <w:pPr>
        <w:tabs>
          <w:tab w:val="num" w:pos="5760"/>
        </w:tabs>
        <w:ind w:left="5760" w:hanging="360"/>
      </w:pPr>
    </w:lvl>
    <w:lvl w:ilvl="7" w:tplc="42761314" w:tentative="1">
      <w:start w:val="1"/>
      <w:numFmt w:val="decimal"/>
      <w:lvlText w:val="%8."/>
      <w:lvlJc w:val="left"/>
      <w:pPr>
        <w:tabs>
          <w:tab w:val="num" w:pos="6480"/>
        </w:tabs>
        <w:ind w:left="6480" w:hanging="360"/>
      </w:pPr>
    </w:lvl>
    <w:lvl w:ilvl="8" w:tplc="574C6674" w:tentative="1">
      <w:start w:val="1"/>
      <w:numFmt w:val="decimal"/>
      <w:lvlText w:val="%9."/>
      <w:lvlJc w:val="left"/>
      <w:pPr>
        <w:tabs>
          <w:tab w:val="num" w:pos="7200"/>
        </w:tabs>
        <w:ind w:left="7200" w:hanging="360"/>
      </w:pPr>
    </w:lvl>
  </w:abstractNum>
  <w:abstractNum w:abstractNumId="9">
    <w:nsid w:val="2F272A6E"/>
    <w:multiLevelType w:val="hybridMultilevel"/>
    <w:tmpl w:val="C8D4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D722C"/>
    <w:multiLevelType w:val="hybridMultilevel"/>
    <w:tmpl w:val="982079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F094B2F"/>
    <w:multiLevelType w:val="hybridMultilevel"/>
    <w:tmpl w:val="26E8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815B5"/>
    <w:multiLevelType w:val="hybridMultilevel"/>
    <w:tmpl w:val="D194D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047D0"/>
    <w:multiLevelType w:val="hybridMultilevel"/>
    <w:tmpl w:val="6952ED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073A75"/>
    <w:multiLevelType w:val="hybridMultilevel"/>
    <w:tmpl w:val="9710C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C2A9F"/>
    <w:multiLevelType w:val="multilevel"/>
    <w:tmpl w:val="BC0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7D24DF"/>
    <w:multiLevelType w:val="hybridMultilevel"/>
    <w:tmpl w:val="3B58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A7F6C"/>
    <w:multiLevelType w:val="hybridMultilevel"/>
    <w:tmpl w:val="2F60E3B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B3BD4"/>
    <w:multiLevelType w:val="multilevel"/>
    <w:tmpl w:val="0A44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8"/>
  </w:num>
  <w:num w:numId="4">
    <w:abstractNumId w:val="10"/>
  </w:num>
  <w:num w:numId="5">
    <w:abstractNumId w:val="7"/>
  </w:num>
  <w:num w:numId="6">
    <w:abstractNumId w:val="14"/>
  </w:num>
  <w:num w:numId="7">
    <w:abstractNumId w:val="0"/>
  </w:num>
  <w:num w:numId="8">
    <w:abstractNumId w:val="9"/>
  </w:num>
  <w:num w:numId="9">
    <w:abstractNumId w:val="11"/>
  </w:num>
  <w:num w:numId="10">
    <w:abstractNumId w:val="17"/>
  </w:num>
  <w:num w:numId="11">
    <w:abstractNumId w:val="16"/>
  </w:num>
  <w:num w:numId="12">
    <w:abstractNumId w:val="15"/>
  </w:num>
  <w:num w:numId="13">
    <w:abstractNumId w:val="4"/>
  </w:num>
  <w:num w:numId="14">
    <w:abstractNumId w:val="18"/>
  </w:num>
  <w:num w:numId="15">
    <w:abstractNumId w:val="5"/>
  </w:num>
  <w:num w:numId="16">
    <w:abstractNumId w:val="12"/>
  </w:num>
  <w:num w:numId="17">
    <w:abstractNumId w:val="3"/>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1D"/>
    <w:rsid w:val="000038FF"/>
    <w:rsid w:val="00003981"/>
    <w:rsid w:val="00004BBF"/>
    <w:rsid w:val="000052D4"/>
    <w:rsid w:val="00017BE6"/>
    <w:rsid w:val="0002198D"/>
    <w:rsid w:val="000261F1"/>
    <w:rsid w:val="00027447"/>
    <w:rsid w:val="00027A92"/>
    <w:rsid w:val="0004116E"/>
    <w:rsid w:val="00045376"/>
    <w:rsid w:val="00051285"/>
    <w:rsid w:val="000547FD"/>
    <w:rsid w:val="00055285"/>
    <w:rsid w:val="00065377"/>
    <w:rsid w:val="0007059E"/>
    <w:rsid w:val="00072A17"/>
    <w:rsid w:val="0007720A"/>
    <w:rsid w:val="00081273"/>
    <w:rsid w:val="000815B8"/>
    <w:rsid w:val="000827DC"/>
    <w:rsid w:val="00090269"/>
    <w:rsid w:val="0009254F"/>
    <w:rsid w:val="00093A69"/>
    <w:rsid w:val="00094340"/>
    <w:rsid w:val="000B4C8C"/>
    <w:rsid w:val="000B6A71"/>
    <w:rsid w:val="000D1C80"/>
    <w:rsid w:val="000E34FB"/>
    <w:rsid w:val="000F21A9"/>
    <w:rsid w:val="000F42F5"/>
    <w:rsid w:val="000F54F8"/>
    <w:rsid w:val="00110602"/>
    <w:rsid w:val="001179BA"/>
    <w:rsid w:val="001202CE"/>
    <w:rsid w:val="00120E4B"/>
    <w:rsid w:val="00121089"/>
    <w:rsid w:val="001224BE"/>
    <w:rsid w:val="001228DA"/>
    <w:rsid w:val="00126386"/>
    <w:rsid w:val="0014127B"/>
    <w:rsid w:val="001568F1"/>
    <w:rsid w:val="00156E87"/>
    <w:rsid w:val="0016240F"/>
    <w:rsid w:val="001746F6"/>
    <w:rsid w:val="0019297A"/>
    <w:rsid w:val="00192F99"/>
    <w:rsid w:val="001A56E7"/>
    <w:rsid w:val="001B218C"/>
    <w:rsid w:val="001B3D48"/>
    <w:rsid w:val="001B52E9"/>
    <w:rsid w:val="001C4783"/>
    <w:rsid w:val="001C578C"/>
    <w:rsid w:val="001C7211"/>
    <w:rsid w:val="001D1D98"/>
    <w:rsid w:val="001D2156"/>
    <w:rsid w:val="001D5259"/>
    <w:rsid w:val="001F2D6E"/>
    <w:rsid w:val="001F7B45"/>
    <w:rsid w:val="0021301D"/>
    <w:rsid w:val="00220273"/>
    <w:rsid w:val="00221A94"/>
    <w:rsid w:val="002251A1"/>
    <w:rsid w:val="00233F26"/>
    <w:rsid w:val="00234DEC"/>
    <w:rsid w:val="00235F1A"/>
    <w:rsid w:val="002556C7"/>
    <w:rsid w:val="00261109"/>
    <w:rsid w:val="00264CEC"/>
    <w:rsid w:val="002708E4"/>
    <w:rsid w:val="00270CF6"/>
    <w:rsid w:val="00274C02"/>
    <w:rsid w:val="00280EA6"/>
    <w:rsid w:val="0028462E"/>
    <w:rsid w:val="00295902"/>
    <w:rsid w:val="00295C1F"/>
    <w:rsid w:val="002B5B8C"/>
    <w:rsid w:val="002B7DE4"/>
    <w:rsid w:val="002C307D"/>
    <w:rsid w:val="002C578C"/>
    <w:rsid w:val="002E22A6"/>
    <w:rsid w:val="002F07AE"/>
    <w:rsid w:val="002F19C5"/>
    <w:rsid w:val="00305203"/>
    <w:rsid w:val="003136A4"/>
    <w:rsid w:val="003152A3"/>
    <w:rsid w:val="003262D2"/>
    <w:rsid w:val="00326E29"/>
    <w:rsid w:val="00330F44"/>
    <w:rsid w:val="00330FAA"/>
    <w:rsid w:val="00331B56"/>
    <w:rsid w:val="0033741C"/>
    <w:rsid w:val="00341B9C"/>
    <w:rsid w:val="003449A7"/>
    <w:rsid w:val="0035246E"/>
    <w:rsid w:val="00354897"/>
    <w:rsid w:val="00364EBE"/>
    <w:rsid w:val="00375998"/>
    <w:rsid w:val="00384B76"/>
    <w:rsid w:val="00393113"/>
    <w:rsid w:val="00394C76"/>
    <w:rsid w:val="00395290"/>
    <w:rsid w:val="003A557E"/>
    <w:rsid w:val="003B4233"/>
    <w:rsid w:val="003B5ACE"/>
    <w:rsid w:val="003C7037"/>
    <w:rsid w:val="003D1AB4"/>
    <w:rsid w:val="003D38BD"/>
    <w:rsid w:val="003D6690"/>
    <w:rsid w:val="003E1098"/>
    <w:rsid w:val="003E29E1"/>
    <w:rsid w:val="003E42BA"/>
    <w:rsid w:val="003F1619"/>
    <w:rsid w:val="003F59C4"/>
    <w:rsid w:val="003F6565"/>
    <w:rsid w:val="003F6D6E"/>
    <w:rsid w:val="00400B56"/>
    <w:rsid w:val="00404685"/>
    <w:rsid w:val="004127D3"/>
    <w:rsid w:val="00413CBD"/>
    <w:rsid w:val="00414B2B"/>
    <w:rsid w:val="00422568"/>
    <w:rsid w:val="00423F62"/>
    <w:rsid w:val="004312E4"/>
    <w:rsid w:val="004322BA"/>
    <w:rsid w:val="00435B9D"/>
    <w:rsid w:val="00462D6F"/>
    <w:rsid w:val="00474DB8"/>
    <w:rsid w:val="00475E08"/>
    <w:rsid w:val="004760C3"/>
    <w:rsid w:val="0048044B"/>
    <w:rsid w:val="00481730"/>
    <w:rsid w:val="00485AB2"/>
    <w:rsid w:val="00486CDB"/>
    <w:rsid w:val="0048758F"/>
    <w:rsid w:val="0049360B"/>
    <w:rsid w:val="004A0A7F"/>
    <w:rsid w:val="004A1214"/>
    <w:rsid w:val="004A21E8"/>
    <w:rsid w:val="004A2429"/>
    <w:rsid w:val="004A2C48"/>
    <w:rsid w:val="004A33AA"/>
    <w:rsid w:val="004A4D94"/>
    <w:rsid w:val="004A5530"/>
    <w:rsid w:val="004A639D"/>
    <w:rsid w:val="004B19B8"/>
    <w:rsid w:val="004B4606"/>
    <w:rsid w:val="004B4F7A"/>
    <w:rsid w:val="004B720B"/>
    <w:rsid w:val="004C102D"/>
    <w:rsid w:val="004C1EE4"/>
    <w:rsid w:val="004C2972"/>
    <w:rsid w:val="004D2A4E"/>
    <w:rsid w:val="004E1F4F"/>
    <w:rsid w:val="004E209A"/>
    <w:rsid w:val="004E3C9E"/>
    <w:rsid w:val="004E647A"/>
    <w:rsid w:val="004E671B"/>
    <w:rsid w:val="004F1159"/>
    <w:rsid w:val="004F2917"/>
    <w:rsid w:val="004F3DD0"/>
    <w:rsid w:val="004F49A1"/>
    <w:rsid w:val="00500BD4"/>
    <w:rsid w:val="00501C94"/>
    <w:rsid w:val="0050409B"/>
    <w:rsid w:val="00516AF3"/>
    <w:rsid w:val="00525B27"/>
    <w:rsid w:val="0052607D"/>
    <w:rsid w:val="00532009"/>
    <w:rsid w:val="00532E6A"/>
    <w:rsid w:val="00536A95"/>
    <w:rsid w:val="00540A5F"/>
    <w:rsid w:val="0055283B"/>
    <w:rsid w:val="005534EA"/>
    <w:rsid w:val="00553717"/>
    <w:rsid w:val="00557AFC"/>
    <w:rsid w:val="00557DBE"/>
    <w:rsid w:val="00574D1A"/>
    <w:rsid w:val="00577395"/>
    <w:rsid w:val="005812DE"/>
    <w:rsid w:val="005C6CDA"/>
    <w:rsid w:val="005E1CE1"/>
    <w:rsid w:val="005F671A"/>
    <w:rsid w:val="005F7330"/>
    <w:rsid w:val="00602B97"/>
    <w:rsid w:val="00602CA4"/>
    <w:rsid w:val="006036D8"/>
    <w:rsid w:val="006142B9"/>
    <w:rsid w:val="00614827"/>
    <w:rsid w:val="00615256"/>
    <w:rsid w:val="00620BE7"/>
    <w:rsid w:val="00622827"/>
    <w:rsid w:val="006305A7"/>
    <w:rsid w:val="006345BD"/>
    <w:rsid w:val="00644A79"/>
    <w:rsid w:val="006519AE"/>
    <w:rsid w:val="00654DD3"/>
    <w:rsid w:val="00656922"/>
    <w:rsid w:val="00663287"/>
    <w:rsid w:val="0066393F"/>
    <w:rsid w:val="00664170"/>
    <w:rsid w:val="00664DFB"/>
    <w:rsid w:val="00676F41"/>
    <w:rsid w:val="006826E3"/>
    <w:rsid w:val="00686299"/>
    <w:rsid w:val="00694BAF"/>
    <w:rsid w:val="006A533A"/>
    <w:rsid w:val="006B7FE3"/>
    <w:rsid w:val="006C30A2"/>
    <w:rsid w:val="006C35FF"/>
    <w:rsid w:val="006C46B4"/>
    <w:rsid w:val="006C55FD"/>
    <w:rsid w:val="006D167F"/>
    <w:rsid w:val="006D4DCD"/>
    <w:rsid w:val="006D6C10"/>
    <w:rsid w:val="006F387D"/>
    <w:rsid w:val="006F6271"/>
    <w:rsid w:val="0070384F"/>
    <w:rsid w:val="007141F1"/>
    <w:rsid w:val="00720A83"/>
    <w:rsid w:val="00720C45"/>
    <w:rsid w:val="00724684"/>
    <w:rsid w:val="00735C1A"/>
    <w:rsid w:val="00736DB5"/>
    <w:rsid w:val="00743A57"/>
    <w:rsid w:val="00746AC4"/>
    <w:rsid w:val="00750034"/>
    <w:rsid w:val="00752343"/>
    <w:rsid w:val="00762C99"/>
    <w:rsid w:val="00771629"/>
    <w:rsid w:val="007751CA"/>
    <w:rsid w:val="00794050"/>
    <w:rsid w:val="0079556F"/>
    <w:rsid w:val="007A4CFE"/>
    <w:rsid w:val="007A6AA2"/>
    <w:rsid w:val="007B01BF"/>
    <w:rsid w:val="007B0EDE"/>
    <w:rsid w:val="007B59A0"/>
    <w:rsid w:val="007C259F"/>
    <w:rsid w:val="007C2C8F"/>
    <w:rsid w:val="007C7C3B"/>
    <w:rsid w:val="007E475E"/>
    <w:rsid w:val="007F3428"/>
    <w:rsid w:val="007F5E51"/>
    <w:rsid w:val="00800D0B"/>
    <w:rsid w:val="00802DB5"/>
    <w:rsid w:val="00804787"/>
    <w:rsid w:val="00807DC7"/>
    <w:rsid w:val="00810ECD"/>
    <w:rsid w:val="0081244B"/>
    <w:rsid w:val="008358C2"/>
    <w:rsid w:val="00836E47"/>
    <w:rsid w:val="00840827"/>
    <w:rsid w:val="0084448C"/>
    <w:rsid w:val="00867642"/>
    <w:rsid w:val="008758D8"/>
    <w:rsid w:val="00883BD4"/>
    <w:rsid w:val="00890471"/>
    <w:rsid w:val="00893F34"/>
    <w:rsid w:val="0089416D"/>
    <w:rsid w:val="00897D1F"/>
    <w:rsid w:val="008A6705"/>
    <w:rsid w:val="008C78F0"/>
    <w:rsid w:val="008E0AD0"/>
    <w:rsid w:val="008E465E"/>
    <w:rsid w:val="008F0235"/>
    <w:rsid w:val="008F6225"/>
    <w:rsid w:val="00906C45"/>
    <w:rsid w:val="0091453C"/>
    <w:rsid w:val="00915B6B"/>
    <w:rsid w:val="0091644B"/>
    <w:rsid w:val="00917E03"/>
    <w:rsid w:val="0092532F"/>
    <w:rsid w:val="00925F1A"/>
    <w:rsid w:val="00933E06"/>
    <w:rsid w:val="009501BD"/>
    <w:rsid w:val="009509F3"/>
    <w:rsid w:val="00967AFA"/>
    <w:rsid w:val="009769E7"/>
    <w:rsid w:val="009827C5"/>
    <w:rsid w:val="009844AD"/>
    <w:rsid w:val="009A3020"/>
    <w:rsid w:val="009A67E1"/>
    <w:rsid w:val="009B1C6B"/>
    <w:rsid w:val="009B2F9F"/>
    <w:rsid w:val="009C7512"/>
    <w:rsid w:val="009D1316"/>
    <w:rsid w:val="009D6B9B"/>
    <w:rsid w:val="009D7B13"/>
    <w:rsid w:val="009E2093"/>
    <w:rsid w:val="009E7F04"/>
    <w:rsid w:val="009E7F26"/>
    <w:rsid w:val="009F3CAF"/>
    <w:rsid w:val="009F7D09"/>
    <w:rsid w:val="00A0177E"/>
    <w:rsid w:val="00A07262"/>
    <w:rsid w:val="00A115FA"/>
    <w:rsid w:val="00A268BE"/>
    <w:rsid w:val="00A37930"/>
    <w:rsid w:val="00A44822"/>
    <w:rsid w:val="00A46EAC"/>
    <w:rsid w:val="00A470B9"/>
    <w:rsid w:val="00A540EC"/>
    <w:rsid w:val="00A5559A"/>
    <w:rsid w:val="00A60567"/>
    <w:rsid w:val="00A62B3D"/>
    <w:rsid w:val="00A62C1F"/>
    <w:rsid w:val="00A65076"/>
    <w:rsid w:val="00A70A85"/>
    <w:rsid w:val="00A815DD"/>
    <w:rsid w:val="00A87708"/>
    <w:rsid w:val="00A907CD"/>
    <w:rsid w:val="00A91293"/>
    <w:rsid w:val="00A9226C"/>
    <w:rsid w:val="00AA59BD"/>
    <w:rsid w:val="00AA5D77"/>
    <w:rsid w:val="00AA7145"/>
    <w:rsid w:val="00AA79D3"/>
    <w:rsid w:val="00AB19BF"/>
    <w:rsid w:val="00AB210A"/>
    <w:rsid w:val="00AB305E"/>
    <w:rsid w:val="00AC017A"/>
    <w:rsid w:val="00AD005A"/>
    <w:rsid w:val="00AD2889"/>
    <w:rsid w:val="00AD28A5"/>
    <w:rsid w:val="00AD2DBF"/>
    <w:rsid w:val="00AE68F7"/>
    <w:rsid w:val="00AF0F4B"/>
    <w:rsid w:val="00AF4DEE"/>
    <w:rsid w:val="00AF4E52"/>
    <w:rsid w:val="00B033E6"/>
    <w:rsid w:val="00B31AA7"/>
    <w:rsid w:val="00B321A4"/>
    <w:rsid w:val="00B352C7"/>
    <w:rsid w:val="00B360E1"/>
    <w:rsid w:val="00B4000C"/>
    <w:rsid w:val="00B460E9"/>
    <w:rsid w:val="00B46896"/>
    <w:rsid w:val="00B46E4F"/>
    <w:rsid w:val="00B60F9A"/>
    <w:rsid w:val="00B615D0"/>
    <w:rsid w:val="00B62C47"/>
    <w:rsid w:val="00B6484A"/>
    <w:rsid w:val="00B67A77"/>
    <w:rsid w:val="00B74EEB"/>
    <w:rsid w:val="00B7651D"/>
    <w:rsid w:val="00B8230B"/>
    <w:rsid w:val="00B83B3C"/>
    <w:rsid w:val="00B8421C"/>
    <w:rsid w:val="00B87A25"/>
    <w:rsid w:val="00BB5217"/>
    <w:rsid w:val="00BC2E2B"/>
    <w:rsid w:val="00BC5EE7"/>
    <w:rsid w:val="00BC671A"/>
    <w:rsid w:val="00BE16B3"/>
    <w:rsid w:val="00BE4468"/>
    <w:rsid w:val="00BE6A52"/>
    <w:rsid w:val="00BF7302"/>
    <w:rsid w:val="00BF77EF"/>
    <w:rsid w:val="00C02C84"/>
    <w:rsid w:val="00C122C1"/>
    <w:rsid w:val="00C13CA9"/>
    <w:rsid w:val="00C21D07"/>
    <w:rsid w:val="00C231A7"/>
    <w:rsid w:val="00C24ECB"/>
    <w:rsid w:val="00C34F43"/>
    <w:rsid w:val="00C3749B"/>
    <w:rsid w:val="00C4131D"/>
    <w:rsid w:val="00C46E67"/>
    <w:rsid w:val="00C51461"/>
    <w:rsid w:val="00C57031"/>
    <w:rsid w:val="00C62687"/>
    <w:rsid w:val="00C63484"/>
    <w:rsid w:val="00C63E84"/>
    <w:rsid w:val="00C66EE9"/>
    <w:rsid w:val="00C719E4"/>
    <w:rsid w:val="00C84D44"/>
    <w:rsid w:val="00C85D15"/>
    <w:rsid w:val="00C90DFB"/>
    <w:rsid w:val="00C92E78"/>
    <w:rsid w:val="00CA2C19"/>
    <w:rsid w:val="00CA2F0A"/>
    <w:rsid w:val="00CA5830"/>
    <w:rsid w:val="00CA730C"/>
    <w:rsid w:val="00CB492D"/>
    <w:rsid w:val="00CB4D72"/>
    <w:rsid w:val="00CC0ECF"/>
    <w:rsid w:val="00CC5CD3"/>
    <w:rsid w:val="00CD14AB"/>
    <w:rsid w:val="00CE0013"/>
    <w:rsid w:val="00CE1455"/>
    <w:rsid w:val="00CE3867"/>
    <w:rsid w:val="00CE6E42"/>
    <w:rsid w:val="00CF1C1D"/>
    <w:rsid w:val="00CF7882"/>
    <w:rsid w:val="00D008B6"/>
    <w:rsid w:val="00D03AD9"/>
    <w:rsid w:val="00D053C3"/>
    <w:rsid w:val="00D10781"/>
    <w:rsid w:val="00D265C2"/>
    <w:rsid w:val="00D373B0"/>
    <w:rsid w:val="00D43151"/>
    <w:rsid w:val="00D458DE"/>
    <w:rsid w:val="00D57545"/>
    <w:rsid w:val="00D724FE"/>
    <w:rsid w:val="00D72DCD"/>
    <w:rsid w:val="00D74077"/>
    <w:rsid w:val="00D756DD"/>
    <w:rsid w:val="00D80BC1"/>
    <w:rsid w:val="00D811C4"/>
    <w:rsid w:val="00D81D6D"/>
    <w:rsid w:val="00D81D7D"/>
    <w:rsid w:val="00D874FA"/>
    <w:rsid w:val="00DA29A0"/>
    <w:rsid w:val="00DA6C44"/>
    <w:rsid w:val="00DB4362"/>
    <w:rsid w:val="00DB58DA"/>
    <w:rsid w:val="00DC2A27"/>
    <w:rsid w:val="00DC6EA3"/>
    <w:rsid w:val="00DC7165"/>
    <w:rsid w:val="00DD6498"/>
    <w:rsid w:val="00DE083A"/>
    <w:rsid w:val="00DE5055"/>
    <w:rsid w:val="00DE5F99"/>
    <w:rsid w:val="00DE66EE"/>
    <w:rsid w:val="00DF35FE"/>
    <w:rsid w:val="00E026E1"/>
    <w:rsid w:val="00E32EF0"/>
    <w:rsid w:val="00E32EF2"/>
    <w:rsid w:val="00E34B46"/>
    <w:rsid w:val="00E36D48"/>
    <w:rsid w:val="00E40077"/>
    <w:rsid w:val="00E41961"/>
    <w:rsid w:val="00E461D5"/>
    <w:rsid w:val="00E46A0E"/>
    <w:rsid w:val="00E65F12"/>
    <w:rsid w:val="00E745BF"/>
    <w:rsid w:val="00E76F92"/>
    <w:rsid w:val="00E85C1A"/>
    <w:rsid w:val="00E9774B"/>
    <w:rsid w:val="00EA79FD"/>
    <w:rsid w:val="00EB3EF4"/>
    <w:rsid w:val="00EB65C9"/>
    <w:rsid w:val="00EC02DA"/>
    <w:rsid w:val="00EC40EA"/>
    <w:rsid w:val="00ED13DD"/>
    <w:rsid w:val="00ED7012"/>
    <w:rsid w:val="00EE00AA"/>
    <w:rsid w:val="00EE2579"/>
    <w:rsid w:val="00EE2E25"/>
    <w:rsid w:val="00EE7360"/>
    <w:rsid w:val="00EF5606"/>
    <w:rsid w:val="00F0200D"/>
    <w:rsid w:val="00F071A2"/>
    <w:rsid w:val="00F0752E"/>
    <w:rsid w:val="00F11566"/>
    <w:rsid w:val="00F1417D"/>
    <w:rsid w:val="00F27130"/>
    <w:rsid w:val="00F302FF"/>
    <w:rsid w:val="00F31C6A"/>
    <w:rsid w:val="00F36A4C"/>
    <w:rsid w:val="00F4188E"/>
    <w:rsid w:val="00F47A4C"/>
    <w:rsid w:val="00F57025"/>
    <w:rsid w:val="00F6249E"/>
    <w:rsid w:val="00F66321"/>
    <w:rsid w:val="00F711D5"/>
    <w:rsid w:val="00F73AA4"/>
    <w:rsid w:val="00F814E5"/>
    <w:rsid w:val="00F81793"/>
    <w:rsid w:val="00F83C1C"/>
    <w:rsid w:val="00F85E60"/>
    <w:rsid w:val="00F930F0"/>
    <w:rsid w:val="00FA03CE"/>
    <w:rsid w:val="00FB1B63"/>
    <w:rsid w:val="00FB1B87"/>
    <w:rsid w:val="00FB69BC"/>
    <w:rsid w:val="00FD3B6F"/>
    <w:rsid w:val="00FE1E2C"/>
    <w:rsid w:val="00FF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29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20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72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1D"/>
    <w:pPr>
      <w:ind w:left="720"/>
      <w:contextualSpacing/>
    </w:pPr>
  </w:style>
  <w:style w:type="paragraph" w:styleId="FootnoteText">
    <w:name w:val="footnote text"/>
    <w:basedOn w:val="Normal"/>
    <w:link w:val="FootnoteTextChar"/>
    <w:uiPriority w:val="99"/>
    <w:unhideWhenUsed/>
    <w:rsid w:val="009E7F04"/>
  </w:style>
  <w:style w:type="character" w:customStyle="1" w:styleId="FootnoteTextChar">
    <w:name w:val="Footnote Text Char"/>
    <w:basedOn w:val="DefaultParagraphFont"/>
    <w:link w:val="FootnoteText"/>
    <w:uiPriority w:val="99"/>
    <w:rsid w:val="009E7F04"/>
  </w:style>
  <w:style w:type="character" w:styleId="FootnoteReference">
    <w:name w:val="footnote reference"/>
    <w:basedOn w:val="DefaultParagraphFont"/>
    <w:uiPriority w:val="99"/>
    <w:unhideWhenUsed/>
    <w:rsid w:val="009E7F04"/>
    <w:rPr>
      <w:vertAlign w:val="superscript"/>
    </w:rPr>
  </w:style>
  <w:style w:type="character" w:styleId="Hyperlink">
    <w:name w:val="Hyperlink"/>
    <w:basedOn w:val="DefaultParagraphFont"/>
    <w:uiPriority w:val="99"/>
    <w:unhideWhenUsed/>
    <w:rsid w:val="001D5259"/>
    <w:rPr>
      <w:color w:val="0000FF" w:themeColor="hyperlink"/>
      <w:u w:val="single"/>
    </w:rPr>
  </w:style>
  <w:style w:type="paragraph" w:styleId="Footer">
    <w:name w:val="footer"/>
    <w:basedOn w:val="Normal"/>
    <w:link w:val="FooterChar"/>
    <w:uiPriority w:val="99"/>
    <w:unhideWhenUsed/>
    <w:rsid w:val="00CA5830"/>
    <w:pPr>
      <w:tabs>
        <w:tab w:val="center" w:pos="4320"/>
        <w:tab w:val="right" w:pos="8640"/>
      </w:tabs>
    </w:pPr>
  </w:style>
  <w:style w:type="character" w:customStyle="1" w:styleId="FooterChar">
    <w:name w:val="Footer Char"/>
    <w:basedOn w:val="DefaultParagraphFont"/>
    <w:link w:val="Footer"/>
    <w:uiPriority w:val="99"/>
    <w:rsid w:val="00CA5830"/>
  </w:style>
  <w:style w:type="character" w:styleId="PageNumber">
    <w:name w:val="page number"/>
    <w:basedOn w:val="DefaultParagraphFont"/>
    <w:uiPriority w:val="99"/>
    <w:semiHidden/>
    <w:unhideWhenUsed/>
    <w:rsid w:val="00CA5830"/>
  </w:style>
  <w:style w:type="character" w:styleId="FollowedHyperlink">
    <w:name w:val="FollowedHyperlink"/>
    <w:basedOn w:val="DefaultParagraphFont"/>
    <w:uiPriority w:val="99"/>
    <w:semiHidden/>
    <w:unhideWhenUsed/>
    <w:rsid w:val="00AA7145"/>
    <w:rPr>
      <w:color w:val="800080" w:themeColor="followedHyperlink"/>
      <w:u w:val="single"/>
    </w:rPr>
  </w:style>
  <w:style w:type="table" w:styleId="LightGrid-Accent1">
    <w:name w:val="Light Grid Accent 1"/>
    <w:basedOn w:val="TableNormal"/>
    <w:uiPriority w:val="62"/>
    <w:rsid w:val="004312E4"/>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9B1C6B"/>
    <w:rPr>
      <w:sz w:val="18"/>
      <w:szCs w:val="18"/>
    </w:rPr>
  </w:style>
  <w:style w:type="paragraph" w:styleId="CommentText">
    <w:name w:val="annotation text"/>
    <w:basedOn w:val="Normal"/>
    <w:link w:val="CommentTextChar"/>
    <w:uiPriority w:val="99"/>
    <w:semiHidden/>
    <w:unhideWhenUsed/>
    <w:rsid w:val="009B1C6B"/>
  </w:style>
  <w:style w:type="character" w:customStyle="1" w:styleId="CommentTextChar">
    <w:name w:val="Comment Text Char"/>
    <w:basedOn w:val="DefaultParagraphFont"/>
    <w:link w:val="CommentText"/>
    <w:uiPriority w:val="99"/>
    <w:semiHidden/>
    <w:rsid w:val="009B1C6B"/>
  </w:style>
  <w:style w:type="paragraph" w:styleId="CommentSubject">
    <w:name w:val="annotation subject"/>
    <w:basedOn w:val="CommentText"/>
    <w:next w:val="CommentText"/>
    <w:link w:val="CommentSubjectChar"/>
    <w:uiPriority w:val="99"/>
    <w:semiHidden/>
    <w:unhideWhenUsed/>
    <w:rsid w:val="009B1C6B"/>
    <w:rPr>
      <w:b/>
      <w:bCs/>
      <w:sz w:val="20"/>
      <w:szCs w:val="20"/>
    </w:rPr>
  </w:style>
  <w:style w:type="character" w:customStyle="1" w:styleId="CommentSubjectChar">
    <w:name w:val="Comment Subject Char"/>
    <w:basedOn w:val="CommentTextChar"/>
    <w:link w:val="CommentSubject"/>
    <w:uiPriority w:val="99"/>
    <w:semiHidden/>
    <w:rsid w:val="009B1C6B"/>
    <w:rPr>
      <w:b/>
      <w:bCs/>
      <w:sz w:val="20"/>
      <w:szCs w:val="20"/>
    </w:rPr>
  </w:style>
  <w:style w:type="paragraph" w:styleId="Revision">
    <w:name w:val="Revision"/>
    <w:hidden/>
    <w:uiPriority w:val="99"/>
    <w:semiHidden/>
    <w:rsid w:val="009B1C6B"/>
  </w:style>
  <w:style w:type="paragraph" w:styleId="BalloonText">
    <w:name w:val="Balloon Text"/>
    <w:basedOn w:val="Normal"/>
    <w:link w:val="BalloonTextChar"/>
    <w:uiPriority w:val="99"/>
    <w:semiHidden/>
    <w:unhideWhenUsed/>
    <w:rsid w:val="009B1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C6B"/>
    <w:rPr>
      <w:rFonts w:ascii="Lucida Grande" w:hAnsi="Lucida Grande" w:cs="Lucida Grande"/>
      <w:sz w:val="18"/>
      <w:szCs w:val="18"/>
    </w:rPr>
  </w:style>
  <w:style w:type="paragraph" w:styleId="NoSpacing">
    <w:name w:val="No Spacing"/>
    <w:uiPriority w:val="1"/>
    <w:qFormat/>
    <w:rsid w:val="0048758F"/>
    <w:rPr>
      <w:rFonts w:eastAsiaTheme="minorHAnsi"/>
      <w:sz w:val="22"/>
      <w:szCs w:val="22"/>
    </w:rPr>
  </w:style>
  <w:style w:type="paragraph" w:styleId="NormalWeb">
    <w:name w:val="Normal (Web)"/>
    <w:basedOn w:val="Normal"/>
    <w:uiPriority w:val="99"/>
    <w:unhideWhenUsed/>
    <w:rsid w:val="00893F3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556F"/>
    <w:rPr>
      <w:i/>
      <w:iCs/>
    </w:rPr>
  </w:style>
  <w:style w:type="character" w:customStyle="1" w:styleId="Heading2Char">
    <w:name w:val="Heading 2 Char"/>
    <w:basedOn w:val="DefaultParagraphFont"/>
    <w:link w:val="Heading2"/>
    <w:uiPriority w:val="9"/>
    <w:rsid w:val="004B72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720B"/>
    <w:rPr>
      <w:rFonts w:ascii="Times New Roman" w:eastAsia="Times New Roman" w:hAnsi="Times New Roman" w:cs="Times New Roman"/>
      <w:b/>
      <w:bCs/>
      <w:sz w:val="27"/>
      <w:szCs w:val="27"/>
    </w:rPr>
  </w:style>
  <w:style w:type="paragraph" w:customStyle="1" w:styleId="Default">
    <w:name w:val="Default"/>
    <w:rsid w:val="001224BE"/>
    <w:pPr>
      <w:autoSpaceDE w:val="0"/>
      <w:autoSpaceDN w:val="0"/>
      <w:adjustRightInd w:val="0"/>
    </w:pPr>
    <w:rPr>
      <w:rFonts w:ascii="Calibri" w:eastAsiaTheme="minorHAnsi" w:hAnsi="Calibri" w:cs="Calibri"/>
      <w:color w:val="000000"/>
    </w:rPr>
  </w:style>
  <w:style w:type="character" w:customStyle="1" w:styleId="st">
    <w:name w:val="st"/>
    <w:basedOn w:val="DefaultParagraphFont"/>
    <w:rsid w:val="008C78F0"/>
  </w:style>
  <w:style w:type="paragraph" w:customStyle="1" w:styleId="SingleTxtG">
    <w:name w:val="_ Single Txt_G"/>
    <w:basedOn w:val="Normal"/>
    <w:rsid w:val="001B52E9"/>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table" w:styleId="TableGrid">
    <w:name w:val="Table Grid"/>
    <w:basedOn w:val="TableNormal"/>
    <w:uiPriority w:val="59"/>
    <w:rsid w:val="00D00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C4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20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72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1D"/>
    <w:pPr>
      <w:ind w:left="720"/>
      <w:contextualSpacing/>
    </w:pPr>
  </w:style>
  <w:style w:type="paragraph" w:styleId="FootnoteText">
    <w:name w:val="footnote text"/>
    <w:basedOn w:val="Normal"/>
    <w:link w:val="FootnoteTextChar"/>
    <w:uiPriority w:val="99"/>
    <w:unhideWhenUsed/>
    <w:rsid w:val="009E7F04"/>
  </w:style>
  <w:style w:type="character" w:customStyle="1" w:styleId="FootnoteTextChar">
    <w:name w:val="Footnote Text Char"/>
    <w:basedOn w:val="DefaultParagraphFont"/>
    <w:link w:val="FootnoteText"/>
    <w:uiPriority w:val="99"/>
    <w:rsid w:val="009E7F04"/>
  </w:style>
  <w:style w:type="character" w:styleId="FootnoteReference">
    <w:name w:val="footnote reference"/>
    <w:basedOn w:val="DefaultParagraphFont"/>
    <w:uiPriority w:val="99"/>
    <w:unhideWhenUsed/>
    <w:rsid w:val="009E7F04"/>
    <w:rPr>
      <w:vertAlign w:val="superscript"/>
    </w:rPr>
  </w:style>
  <w:style w:type="character" w:styleId="Hyperlink">
    <w:name w:val="Hyperlink"/>
    <w:basedOn w:val="DefaultParagraphFont"/>
    <w:uiPriority w:val="99"/>
    <w:unhideWhenUsed/>
    <w:rsid w:val="001D5259"/>
    <w:rPr>
      <w:color w:val="0000FF" w:themeColor="hyperlink"/>
      <w:u w:val="single"/>
    </w:rPr>
  </w:style>
  <w:style w:type="paragraph" w:styleId="Footer">
    <w:name w:val="footer"/>
    <w:basedOn w:val="Normal"/>
    <w:link w:val="FooterChar"/>
    <w:uiPriority w:val="99"/>
    <w:unhideWhenUsed/>
    <w:rsid w:val="00CA5830"/>
    <w:pPr>
      <w:tabs>
        <w:tab w:val="center" w:pos="4320"/>
        <w:tab w:val="right" w:pos="8640"/>
      </w:tabs>
    </w:pPr>
  </w:style>
  <w:style w:type="character" w:customStyle="1" w:styleId="FooterChar">
    <w:name w:val="Footer Char"/>
    <w:basedOn w:val="DefaultParagraphFont"/>
    <w:link w:val="Footer"/>
    <w:uiPriority w:val="99"/>
    <w:rsid w:val="00CA5830"/>
  </w:style>
  <w:style w:type="character" w:styleId="PageNumber">
    <w:name w:val="page number"/>
    <w:basedOn w:val="DefaultParagraphFont"/>
    <w:uiPriority w:val="99"/>
    <w:semiHidden/>
    <w:unhideWhenUsed/>
    <w:rsid w:val="00CA5830"/>
  </w:style>
  <w:style w:type="character" w:styleId="FollowedHyperlink">
    <w:name w:val="FollowedHyperlink"/>
    <w:basedOn w:val="DefaultParagraphFont"/>
    <w:uiPriority w:val="99"/>
    <w:semiHidden/>
    <w:unhideWhenUsed/>
    <w:rsid w:val="00AA7145"/>
    <w:rPr>
      <w:color w:val="800080" w:themeColor="followedHyperlink"/>
      <w:u w:val="single"/>
    </w:rPr>
  </w:style>
  <w:style w:type="table" w:styleId="LightGrid-Accent1">
    <w:name w:val="Light Grid Accent 1"/>
    <w:basedOn w:val="TableNormal"/>
    <w:uiPriority w:val="62"/>
    <w:rsid w:val="004312E4"/>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9B1C6B"/>
    <w:rPr>
      <w:sz w:val="18"/>
      <w:szCs w:val="18"/>
    </w:rPr>
  </w:style>
  <w:style w:type="paragraph" w:styleId="CommentText">
    <w:name w:val="annotation text"/>
    <w:basedOn w:val="Normal"/>
    <w:link w:val="CommentTextChar"/>
    <w:uiPriority w:val="99"/>
    <w:semiHidden/>
    <w:unhideWhenUsed/>
    <w:rsid w:val="009B1C6B"/>
  </w:style>
  <w:style w:type="character" w:customStyle="1" w:styleId="CommentTextChar">
    <w:name w:val="Comment Text Char"/>
    <w:basedOn w:val="DefaultParagraphFont"/>
    <w:link w:val="CommentText"/>
    <w:uiPriority w:val="99"/>
    <w:semiHidden/>
    <w:rsid w:val="009B1C6B"/>
  </w:style>
  <w:style w:type="paragraph" w:styleId="CommentSubject">
    <w:name w:val="annotation subject"/>
    <w:basedOn w:val="CommentText"/>
    <w:next w:val="CommentText"/>
    <w:link w:val="CommentSubjectChar"/>
    <w:uiPriority w:val="99"/>
    <w:semiHidden/>
    <w:unhideWhenUsed/>
    <w:rsid w:val="009B1C6B"/>
    <w:rPr>
      <w:b/>
      <w:bCs/>
      <w:sz w:val="20"/>
      <w:szCs w:val="20"/>
    </w:rPr>
  </w:style>
  <w:style w:type="character" w:customStyle="1" w:styleId="CommentSubjectChar">
    <w:name w:val="Comment Subject Char"/>
    <w:basedOn w:val="CommentTextChar"/>
    <w:link w:val="CommentSubject"/>
    <w:uiPriority w:val="99"/>
    <w:semiHidden/>
    <w:rsid w:val="009B1C6B"/>
    <w:rPr>
      <w:b/>
      <w:bCs/>
      <w:sz w:val="20"/>
      <w:szCs w:val="20"/>
    </w:rPr>
  </w:style>
  <w:style w:type="paragraph" w:styleId="Revision">
    <w:name w:val="Revision"/>
    <w:hidden/>
    <w:uiPriority w:val="99"/>
    <w:semiHidden/>
    <w:rsid w:val="009B1C6B"/>
  </w:style>
  <w:style w:type="paragraph" w:styleId="BalloonText">
    <w:name w:val="Balloon Text"/>
    <w:basedOn w:val="Normal"/>
    <w:link w:val="BalloonTextChar"/>
    <w:uiPriority w:val="99"/>
    <w:semiHidden/>
    <w:unhideWhenUsed/>
    <w:rsid w:val="009B1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C6B"/>
    <w:rPr>
      <w:rFonts w:ascii="Lucida Grande" w:hAnsi="Lucida Grande" w:cs="Lucida Grande"/>
      <w:sz w:val="18"/>
      <w:szCs w:val="18"/>
    </w:rPr>
  </w:style>
  <w:style w:type="paragraph" w:styleId="NoSpacing">
    <w:name w:val="No Spacing"/>
    <w:uiPriority w:val="1"/>
    <w:qFormat/>
    <w:rsid w:val="0048758F"/>
    <w:rPr>
      <w:rFonts w:eastAsiaTheme="minorHAnsi"/>
      <w:sz w:val="22"/>
      <w:szCs w:val="22"/>
    </w:rPr>
  </w:style>
  <w:style w:type="paragraph" w:styleId="NormalWeb">
    <w:name w:val="Normal (Web)"/>
    <w:basedOn w:val="Normal"/>
    <w:uiPriority w:val="99"/>
    <w:unhideWhenUsed/>
    <w:rsid w:val="00893F3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556F"/>
    <w:rPr>
      <w:i/>
      <w:iCs/>
    </w:rPr>
  </w:style>
  <w:style w:type="character" w:customStyle="1" w:styleId="Heading2Char">
    <w:name w:val="Heading 2 Char"/>
    <w:basedOn w:val="DefaultParagraphFont"/>
    <w:link w:val="Heading2"/>
    <w:uiPriority w:val="9"/>
    <w:rsid w:val="004B72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720B"/>
    <w:rPr>
      <w:rFonts w:ascii="Times New Roman" w:eastAsia="Times New Roman" w:hAnsi="Times New Roman" w:cs="Times New Roman"/>
      <w:b/>
      <w:bCs/>
      <w:sz w:val="27"/>
      <w:szCs w:val="27"/>
    </w:rPr>
  </w:style>
  <w:style w:type="paragraph" w:customStyle="1" w:styleId="Default">
    <w:name w:val="Default"/>
    <w:rsid w:val="001224BE"/>
    <w:pPr>
      <w:autoSpaceDE w:val="0"/>
      <w:autoSpaceDN w:val="0"/>
      <w:adjustRightInd w:val="0"/>
    </w:pPr>
    <w:rPr>
      <w:rFonts w:ascii="Calibri" w:eastAsiaTheme="minorHAnsi" w:hAnsi="Calibri" w:cs="Calibri"/>
      <w:color w:val="000000"/>
    </w:rPr>
  </w:style>
  <w:style w:type="character" w:customStyle="1" w:styleId="st">
    <w:name w:val="st"/>
    <w:basedOn w:val="DefaultParagraphFont"/>
    <w:rsid w:val="008C78F0"/>
  </w:style>
  <w:style w:type="paragraph" w:customStyle="1" w:styleId="SingleTxtG">
    <w:name w:val="_ Single Txt_G"/>
    <w:basedOn w:val="Normal"/>
    <w:rsid w:val="001B52E9"/>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table" w:styleId="TableGrid">
    <w:name w:val="Table Grid"/>
    <w:basedOn w:val="TableNormal"/>
    <w:uiPriority w:val="59"/>
    <w:rsid w:val="00D00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C4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0990">
      <w:bodyDiv w:val="1"/>
      <w:marLeft w:val="0"/>
      <w:marRight w:val="0"/>
      <w:marTop w:val="0"/>
      <w:marBottom w:val="0"/>
      <w:divBdr>
        <w:top w:val="none" w:sz="0" w:space="0" w:color="auto"/>
        <w:left w:val="none" w:sz="0" w:space="0" w:color="auto"/>
        <w:bottom w:val="none" w:sz="0" w:space="0" w:color="auto"/>
        <w:right w:val="none" w:sz="0" w:space="0" w:color="auto"/>
      </w:divBdr>
    </w:div>
    <w:div w:id="1131170218">
      <w:bodyDiv w:val="1"/>
      <w:marLeft w:val="0"/>
      <w:marRight w:val="0"/>
      <w:marTop w:val="0"/>
      <w:marBottom w:val="0"/>
      <w:divBdr>
        <w:top w:val="none" w:sz="0" w:space="0" w:color="auto"/>
        <w:left w:val="none" w:sz="0" w:space="0" w:color="auto"/>
        <w:bottom w:val="none" w:sz="0" w:space="0" w:color="auto"/>
        <w:right w:val="none" w:sz="0" w:space="0" w:color="auto"/>
      </w:divBdr>
      <w:divsChild>
        <w:div w:id="230121910">
          <w:marLeft w:val="0"/>
          <w:marRight w:val="0"/>
          <w:marTop w:val="0"/>
          <w:marBottom w:val="0"/>
          <w:divBdr>
            <w:top w:val="none" w:sz="0" w:space="0" w:color="auto"/>
            <w:left w:val="none" w:sz="0" w:space="0" w:color="auto"/>
            <w:bottom w:val="none" w:sz="0" w:space="0" w:color="auto"/>
            <w:right w:val="none" w:sz="0" w:space="0" w:color="auto"/>
          </w:divBdr>
          <w:divsChild>
            <w:div w:id="2068869218">
              <w:marLeft w:val="0"/>
              <w:marRight w:val="0"/>
              <w:marTop w:val="0"/>
              <w:marBottom w:val="0"/>
              <w:divBdr>
                <w:top w:val="none" w:sz="0" w:space="0" w:color="auto"/>
                <w:left w:val="none" w:sz="0" w:space="0" w:color="auto"/>
                <w:bottom w:val="none" w:sz="0" w:space="0" w:color="auto"/>
                <w:right w:val="none" w:sz="0" w:space="0" w:color="auto"/>
              </w:divBdr>
              <w:divsChild>
                <w:div w:id="878275308">
                  <w:marLeft w:val="0"/>
                  <w:marRight w:val="0"/>
                  <w:marTop w:val="0"/>
                  <w:marBottom w:val="0"/>
                  <w:divBdr>
                    <w:top w:val="none" w:sz="0" w:space="0" w:color="auto"/>
                    <w:left w:val="none" w:sz="0" w:space="0" w:color="auto"/>
                    <w:bottom w:val="none" w:sz="0" w:space="0" w:color="auto"/>
                    <w:right w:val="none" w:sz="0" w:space="0" w:color="auto"/>
                  </w:divBdr>
                  <w:divsChild>
                    <w:div w:id="472718679">
                      <w:marLeft w:val="0"/>
                      <w:marRight w:val="0"/>
                      <w:marTop w:val="0"/>
                      <w:marBottom w:val="0"/>
                      <w:divBdr>
                        <w:top w:val="none" w:sz="0" w:space="0" w:color="auto"/>
                        <w:left w:val="none" w:sz="0" w:space="0" w:color="auto"/>
                        <w:bottom w:val="none" w:sz="0" w:space="0" w:color="auto"/>
                        <w:right w:val="none" w:sz="0" w:space="0" w:color="auto"/>
                      </w:divBdr>
                      <w:divsChild>
                        <w:div w:id="1981226300">
                          <w:marLeft w:val="0"/>
                          <w:marRight w:val="0"/>
                          <w:marTop w:val="0"/>
                          <w:marBottom w:val="0"/>
                          <w:divBdr>
                            <w:top w:val="none" w:sz="0" w:space="0" w:color="auto"/>
                            <w:left w:val="none" w:sz="0" w:space="0" w:color="auto"/>
                            <w:bottom w:val="none" w:sz="0" w:space="0" w:color="auto"/>
                            <w:right w:val="none" w:sz="0" w:space="0" w:color="auto"/>
                          </w:divBdr>
                        </w:div>
                        <w:div w:id="492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3343">
          <w:marLeft w:val="0"/>
          <w:marRight w:val="0"/>
          <w:marTop w:val="0"/>
          <w:marBottom w:val="0"/>
          <w:divBdr>
            <w:top w:val="none" w:sz="0" w:space="0" w:color="auto"/>
            <w:left w:val="none" w:sz="0" w:space="0" w:color="auto"/>
            <w:bottom w:val="none" w:sz="0" w:space="0" w:color="auto"/>
            <w:right w:val="none" w:sz="0" w:space="0" w:color="auto"/>
          </w:divBdr>
          <w:divsChild>
            <w:div w:id="677386303">
              <w:marLeft w:val="0"/>
              <w:marRight w:val="0"/>
              <w:marTop w:val="0"/>
              <w:marBottom w:val="0"/>
              <w:divBdr>
                <w:top w:val="none" w:sz="0" w:space="0" w:color="auto"/>
                <w:left w:val="none" w:sz="0" w:space="0" w:color="auto"/>
                <w:bottom w:val="none" w:sz="0" w:space="0" w:color="auto"/>
                <w:right w:val="none" w:sz="0" w:space="0" w:color="auto"/>
              </w:divBdr>
              <w:divsChild>
                <w:div w:id="514619121">
                  <w:marLeft w:val="0"/>
                  <w:marRight w:val="0"/>
                  <w:marTop w:val="0"/>
                  <w:marBottom w:val="0"/>
                  <w:divBdr>
                    <w:top w:val="none" w:sz="0" w:space="0" w:color="auto"/>
                    <w:left w:val="none" w:sz="0" w:space="0" w:color="auto"/>
                    <w:bottom w:val="none" w:sz="0" w:space="0" w:color="auto"/>
                    <w:right w:val="none" w:sz="0" w:space="0" w:color="auto"/>
                  </w:divBdr>
                </w:div>
                <w:div w:id="830678368">
                  <w:marLeft w:val="0"/>
                  <w:marRight w:val="0"/>
                  <w:marTop w:val="0"/>
                  <w:marBottom w:val="0"/>
                  <w:divBdr>
                    <w:top w:val="none" w:sz="0" w:space="0" w:color="auto"/>
                    <w:left w:val="none" w:sz="0" w:space="0" w:color="auto"/>
                    <w:bottom w:val="none" w:sz="0" w:space="0" w:color="auto"/>
                    <w:right w:val="none" w:sz="0" w:space="0" w:color="auto"/>
                  </w:divBdr>
                </w:div>
                <w:div w:id="1916239401">
                  <w:marLeft w:val="0"/>
                  <w:marRight w:val="0"/>
                  <w:marTop w:val="0"/>
                  <w:marBottom w:val="0"/>
                  <w:divBdr>
                    <w:top w:val="none" w:sz="0" w:space="0" w:color="auto"/>
                    <w:left w:val="none" w:sz="0" w:space="0" w:color="auto"/>
                    <w:bottom w:val="none" w:sz="0" w:space="0" w:color="auto"/>
                    <w:right w:val="none" w:sz="0" w:space="0" w:color="auto"/>
                  </w:divBdr>
                </w:div>
                <w:div w:id="1244952484">
                  <w:marLeft w:val="0"/>
                  <w:marRight w:val="0"/>
                  <w:marTop w:val="0"/>
                  <w:marBottom w:val="0"/>
                  <w:divBdr>
                    <w:top w:val="none" w:sz="0" w:space="0" w:color="auto"/>
                    <w:left w:val="none" w:sz="0" w:space="0" w:color="auto"/>
                    <w:bottom w:val="none" w:sz="0" w:space="0" w:color="auto"/>
                    <w:right w:val="none" w:sz="0" w:space="0" w:color="auto"/>
                  </w:divBdr>
                </w:div>
                <w:div w:id="12106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liberlii.org/cgi-bin/disp.pl/lr/legis/acts/dao200891/dao200891.html?stem=0&amp;synonyms=0&amp;query=%22human%20rights%22" TargetMode="External"/><Relationship Id="rId2" Type="http://schemas.openxmlformats.org/officeDocument/2006/relationships/hyperlink" Target="https://www.liberianobserver.com/news/politics/senate-deliberates-on-state-of-emergency-today/" TargetMode="External"/><Relationship Id="rId1" Type="http://schemas.openxmlformats.org/officeDocument/2006/relationships/hyperlink" Target="http://www.emansion.gov.lr/2press.php?news_id=3053&amp;related=7&amp;pg=sp" TargetMode="External"/><Relationship Id="rId5" Type="http://schemas.openxmlformats.org/officeDocument/2006/relationships/hyperlink" Target="http://www.liberlii.org/cgi-bin/disp.pl/lr/legis/codes/cplt2lcolr491/cplt2lcolr491.html?stem=0&amp;synonyms=0&amp;query=criminal%20procedure%20law" TargetMode="External"/><Relationship Id="rId4" Type="http://schemas.openxmlformats.org/officeDocument/2006/relationships/hyperlink" Target="http://www.liberlii.org/lr/legis/codes/plt26lcolr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9449F-E277-4830-8B7D-D516618F216C}"/>
</file>

<file path=customXml/itemProps2.xml><?xml version="1.0" encoding="utf-8"?>
<ds:datastoreItem xmlns:ds="http://schemas.openxmlformats.org/officeDocument/2006/customXml" ds:itemID="{4588D82A-4602-4C65-AB9A-90530F6676ED}"/>
</file>

<file path=customXml/itemProps3.xml><?xml version="1.0" encoding="utf-8"?>
<ds:datastoreItem xmlns:ds="http://schemas.openxmlformats.org/officeDocument/2006/customXml" ds:itemID="{2B6A7E6B-7598-4142-B17B-D2F0204E3718}"/>
</file>

<file path=customXml/itemProps4.xml><?xml version="1.0" encoding="utf-8"?>
<ds:datastoreItem xmlns:ds="http://schemas.openxmlformats.org/officeDocument/2006/customXml" ds:itemID="{CBC11C5D-E5C6-4264-BA10-A16803A73965}"/>
</file>

<file path=docProps/app.xml><?xml version="1.0" encoding="utf-8"?>
<Properties xmlns="http://schemas.openxmlformats.org/officeDocument/2006/extended-properties" xmlns:vt="http://schemas.openxmlformats.org/officeDocument/2006/docPropsVTypes">
  <Template>Normal</Template>
  <TotalTime>1</TotalTime>
  <Pages>24</Pages>
  <Words>10475</Words>
  <Characters>59708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 Dorliae</dc:creator>
  <cp:lastModifiedBy>Human Right</cp:lastModifiedBy>
  <cp:revision>2</cp:revision>
  <dcterms:created xsi:type="dcterms:W3CDTF">2018-07-08T18:32:00Z</dcterms:created>
  <dcterms:modified xsi:type="dcterms:W3CDTF">2018-07-08T18:32:00Z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