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288"/>
      </w:tblGrid>
      <w:tr w:rsidR="003A439B" w:rsidRPr="004124D7" w:rsidTr="00F447CC">
        <w:trPr>
          <w:trHeight w:val="360"/>
          <w:jc w:val="center"/>
        </w:trPr>
        <w:tc>
          <w:tcPr>
            <w:tcW w:w="5000" w:type="pct"/>
            <w:vAlign w:val="center"/>
          </w:tcPr>
          <w:p w:rsidR="003A439B" w:rsidRPr="004124D7" w:rsidRDefault="003A439B" w:rsidP="009B2E9B">
            <w:pPr>
              <w:pStyle w:val="Sansinterligne"/>
              <w:spacing w:line="480" w:lineRule="auto"/>
              <w:rPr>
                <w:rFonts w:asciiTheme="majorHAnsi" w:hAnsiTheme="majorHAnsi" w:cs="Miriam Fixed"/>
                <w:b/>
                <w:bCs/>
                <w:sz w:val="24"/>
                <w:szCs w:val="24"/>
              </w:rPr>
            </w:pPr>
            <w:bookmarkStart w:id="0" w:name="_GoBack"/>
            <w:bookmarkEnd w:id="0"/>
          </w:p>
        </w:tc>
      </w:tr>
    </w:tbl>
    <w:p w:rsidR="003A439B" w:rsidRPr="004124D7" w:rsidRDefault="003A439B" w:rsidP="009B2E9B">
      <w:pPr>
        <w:spacing w:line="480" w:lineRule="auto"/>
        <w:jc w:val="center"/>
        <w:rPr>
          <w:rStyle w:val="Titre1Car"/>
          <w:rFonts w:asciiTheme="majorHAnsi" w:hAnsiTheme="majorHAnsi" w:cs="Miriam Fixed"/>
          <w:sz w:val="32"/>
          <w:szCs w:val="32"/>
        </w:rPr>
      </w:pPr>
    </w:p>
    <w:p w:rsidR="003A439B" w:rsidRPr="009C6AA4" w:rsidRDefault="003A439B" w:rsidP="00232BD9">
      <w:pPr>
        <w:spacing w:line="480" w:lineRule="auto"/>
        <w:jc w:val="center"/>
        <w:rPr>
          <w:rFonts w:asciiTheme="majorHAnsi" w:hAnsiTheme="majorHAnsi" w:cstheme="majorBidi"/>
          <w:b/>
          <w:bCs/>
          <w:sz w:val="28"/>
          <w:szCs w:val="28"/>
        </w:rPr>
      </w:pPr>
      <w:r w:rsidRPr="009C6AA4">
        <w:rPr>
          <w:rFonts w:asciiTheme="majorHAnsi" w:hAnsiTheme="majorHAnsi" w:cstheme="majorBidi"/>
          <w:b/>
          <w:bCs/>
          <w:sz w:val="28"/>
          <w:szCs w:val="28"/>
        </w:rPr>
        <w:t>RAPPORT ALTERNATIF SOUMIS PAR LA CNDH AU COMITE SUR LES DROITS DE L’HOMME LORS DE SA 126 eme SESSION TENUE A GENEVE DU 1 AU</w:t>
      </w:r>
      <w:r w:rsidR="00B72966" w:rsidRPr="009C6AA4">
        <w:rPr>
          <w:rFonts w:asciiTheme="majorHAnsi" w:hAnsiTheme="majorHAnsi" w:cstheme="majorBidi"/>
          <w:b/>
          <w:bCs/>
          <w:sz w:val="28"/>
          <w:szCs w:val="28"/>
        </w:rPr>
        <w:t xml:space="preserve"> 26 JUILLET</w:t>
      </w:r>
      <w:r w:rsidRPr="009C6AA4">
        <w:rPr>
          <w:rFonts w:asciiTheme="majorHAnsi" w:hAnsiTheme="majorHAnsi" w:cstheme="majorBidi"/>
          <w:b/>
          <w:bCs/>
          <w:sz w:val="28"/>
          <w:szCs w:val="28"/>
        </w:rPr>
        <w:t xml:space="preserve">  2019 A GENEVE</w:t>
      </w:r>
    </w:p>
    <w:p w:rsidR="003A439B" w:rsidRPr="009C6AA4" w:rsidRDefault="003A439B" w:rsidP="00232BD9">
      <w:pPr>
        <w:spacing w:line="480" w:lineRule="auto"/>
        <w:jc w:val="left"/>
        <w:rPr>
          <w:rFonts w:asciiTheme="majorHAnsi" w:hAnsiTheme="majorHAnsi" w:cstheme="majorBidi"/>
          <w:b/>
          <w:bCs/>
          <w:kern w:val="32"/>
          <w:sz w:val="28"/>
          <w:szCs w:val="28"/>
        </w:rPr>
      </w:pPr>
      <w:r w:rsidRPr="009C6AA4">
        <w:rPr>
          <w:rFonts w:asciiTheme="majorHAnsi" w:hAnsiTheme="majorHAnsi" w:cstheme="majorBidi"/>
          <w:b/>
          <w:bCs/>
          <w:sz w:val="28"/>
          <w:szCs w:val="28"/>
        </w:rPr>
        <w:t>Introduction</w:t>
      </w:r>
    </w:p>
    <w:p w:rsidR="003A439B" w:rsidRPr="009C6AA4" w:rsidRDefault="003A439B" w:rsidP="00232BD9">
      <w:pPr>
        <w:spacing w:line="480" w:lineRule="auto"/>
        <w:ind w:left="0"/>
        <w:rPr>
          <w:rFonts w:asciiTheme="majorHAnsi" w:hAnsiTheme="majorHAnsi" w:cstheme="majorBidi"/>
          <w:iCs/>
          <w:sz w:val="28"/>
          <w:szCs w:val="28"/>
        </w:rPr>
      </w:pPr>
      <w:r w:rsidRPr="009C6AA4">
        <w:rPr>
          <w:rFonts w:asciiTheme="majorHAnsi" w:hAnsiTheme="majorHAnsi" w:cstheme="majorBidi"/>
          <w:iCs/>
          <w:sz w:val="28"/>
          <w:szCs w:val="28"/>
        </w:rPr>
        <w:t>Ce rapport est une contribution de la Commission Nationale des Droits de l’Homme</w:t>
      </w:r>
      <w:r w:rsidR="00B72966" w:rsidRPr="009C6AA4">
        <w:rPr>
          <w:rFonts w:asciiTheme="majorHAnsi" w:hAnsiTheme="majorHAnsi" w:cstheme="majorBidi"/>
          <w:iCs/>
          <w:sz w:val="28"/>
          <w:szCs w:val="28"/>
        </w:rPr>
        <w:t xml:space="preserve"> de Mauritanie aux disc</w:t>
      </w:r>
      <w:r w:rsidR="00A84BD5">
        <w:rPr>
          <w:rFonts w:asciiTheme="majorHAnsi" w:hAnsiTheme="majorHAnsi" w:cstheme="majorBidi"/>
          <w:iCs/>
          <w:sz w:val="28"/>
          <w:szCs w:val="28"/>
        </w:rPr>
        <w:t>ussions sur le rapport présenté par la République I</w:t>
      </w:r>
      <w:r w:rsidR="00B72966" w:rsidRPr="009C6AA4">
        <w:rPr>
          <w:rFonts w:asciiTheme="majorHAnsi" w:hAnsiTheme="majorHAnsi" w:cstheme="majorBidi"/>
          <w:iCs/>
          <w:sz w:val="28"/>
          <w:szCs w:val="28"/>
        </w:rPr>
        <w:t>slamique de Mauritanie devant le Comité des  droits de l’Homme  lors de sa 126eme session qui aura lieu du 1</w:t>
      </w:r>
      <w:r w:rsidR="00B72966" w:rsidRPr="009C6AA4">
        <w:rPr>
          <w:rFonts w:asciiTheme="majorHAnsi" w:hAnsiTheme="majorHAnsi" w:cstheme="majorBidi"/>
          <w:iCs/>
          <w:sz w:val="28"/>
          <w:szCs w:val="28"/>
          <w:vertAlign w:val="superscript"/>
        </w:rPr>
        <w:t>er</w:t>
      </w:r>
      <w:r w:rsidR="00B72966" w:rsidRPr="009C6AA4">
        <w:rPr>
          <w:rFonts w:asciiTheme="majorHAnsi" w:hAnsiTheme="majorHAnsi" w:cstheme="majorBidi"/>
          <w:iCs/>
          <w:sz w:val="28"/>
          <w:szCs w:val="28"/>
        </w:rPr>
        <w:t xml:space="preserve"> au 26 Juillet 2019 à Genève.</w:t>
      </w:r>
    </w:p>
    <w:p w:rsidR="00232BD9" w:rsidRPr="009C6AA4" w:rsidRDefault="00232BD9" w:rsidP="00232BD9">
      <w:pPr>
        <w:spacing w:line="480" w:lineRule="auto"/>
        <w:ind w:left="0"/>
        <w:rPr>
          <w:rFonts w:asciiTheme="majorHAnsi" w:hAnsiTheme="majorHAnsi" w:cstheme="majorBidi"/>
          <w:iCs/>
          <w:sz w:val="28"/>
          <w:szCs w:val="28"/>
        </w:rPr>
      </w:pPr>
      <w:r w:rsidRPr="009C6AA4">
        <w:rPr>
          <w:rFonts w:asciiTheme="majorHAnsi" w:hAnsiTheme="majorHAnsi" w:cstheme="majorBidi"/>
          <w:iCs/>
          <w:sz w:val="28"/>
          <w:szCs w:val="28"/>
        </w:rPr>
        <w:t xml:space="preserve">Ce rapport sera divisé en  quatre </w:t>
      </w:r>
      <w:r w:rsidR="00B72966" w:rsidRPr="009C6AA4">
        <w:rPr>
          <w:rFonts w:asciiTheme="majorHAnsi" w:hAnsiTheme="majorHAnsi" w:cstheme="majorBidi"/>
          <w:iCs/>
          <w:sz w:val="28"/>
          <w:szCs w:val="28"/>
        </w:rPr>
        <w:t xml:space="preserve"> parties  à savoir</w:t>
      </w:r>
      <w:r w:rsidRPr="009C6AA4">
        <w:rPr>
          <w:rFonts w:asciiTheme="majorHAnsi" w:hAnsiTheme="majorHAnsi" w:cstheme="majorBidi"/>
          <w:iCs/>
          <w:sz w:val="28"/>
          <w:szCs w:val="28"/>
        </w:rPr>
        <w:t> :</w:t>
      </w:r>
    </w:p>
    <w:p w:rsidR="00232BD9" w:rsidRPr="009C6AA4" w:rsidRDefault="00B72966" w:rsidP="00232BD9">
      <w:pPr>
        <w:pStyle w:val="Paragraphedeliste"/>
        <w:numPr>
          <w:ilvl w:val="0"/>
          <w:numId w:val="5"/>
        </w:numPr>
        <w:spacing w:line="480" w:lineRule="auto"/>
        <w:rPr>
          <w:rFonts w:asciiTheme="majorHAnsi" w:hAnsiTheme="majorHAnsi" w:cstheme="majorBidi"/>
          <w:iCs/>
          <w:sz w:val="28"/>
          <w:szCs w:val="28"/>
        </w:rPr>
      </w:pPr>
      <w:r w:rsidRPr="009C6AA4">
        <w:rPr>
          <w:rFonts w:asciiTheme="majorHAnsi" w:hAnsiTheme="majorHAnsi" w:cstheme="majorBidi"/>
          <w:iCs/>
          <w:sz w:val="28"/>
          <w:szCs w:val="28"/>
        </w:rPr>
        <w:t xml:space="preserve">la présentation </w:t>
      </w:r>
      <w:r w:rsidR="00232BD9" w:rsidRPr="009C6AA4">
        <w:rPr>
          <w:rFonts w:asciiTheme="majorHAnsi" w:hAnsiTheme="majorHAnsi" w:cstheme="majorBidi"/>
          <w:iCs/>
          <w:sz w:val="28"/>
          <w:szCs w:val="28"/>
        </w:rPr>
        <w:t xml:space="preserve"> du contexte général</w:t>
      </w:r>
    </w:p>
    <w:p w:rsidR="00232BD9" w:rsidRPr="009C6AA4" w:rsidRDefault="00232BD9" w:rsidP="00232BD9">
      <w:pPr>
        <w:pStyle w:val="Paragraphedeliste"/>
        <w:numPr>
          <w:ilvl w:val="0"/>
          <w:numId w:val="5"/>
        </w:numPr>
        <w:spacing w:line="480" w:lineRule="auto"/>
        <w:rPr>
          <w:rFonts w:asciiTheme="majorHAnsi" w:hAnsiTheme="majorHAnsi" w:cstheme="majorBidi"/>
          <w:iCs/>
          <w:sz w:val="28"/>
          <w:szCs w:val="28"/>
        </w:rPr>
      </w:pPr>
      <w:r w:rsidRPr="009C6AA4">
        <w:rPr>
          <w:rFonts w:asciiTheme="majorHAnsi" w:hAnsiTheme="majorHAnsi" w:cstheme="majorBidi"/>
          <w:iCs/>
          <w:sz w:val="28"/>
          <w:szCs w:val="28"/>
        </w:rPr>
        <w:t xml:space="preserve">La présentation de </w:t>
      </w:r>
      <w:r w:rsidR="00B72966" w:rsidRPr="009C6AA4">
        <w:rPr>
          <w:rFonts w:asciiTheme="majorHAnsi" w:hAnsiTheme="majorHAnsi" w:cstheme="majorBidi"/>
          <w:iCs/>
          <w:sz w:val="28"/>
          <w:szCs w:val="28"/>
        </w:rPr>
        <w:t xml:space="preserve">la CNDH, </w:t>
      </w:r>
    </w:p>
    <w:p w:rsidR="00232BD9" w:rsidRPr="009C6AA4" w:rsidRDefault="00C30E4C" w:rsidP="00232BD9">
      <w:pPr>
        <w:pStyle w:val="Paragraphedeliste"/>
        <w:numPr>
          <w:ilvl w:val="0"/>
          <w:numId w:val="5"/>
        </w:numPr>
        <w:spacing w:line="480" w:lineRule="auto"/>
        <w:rPr>
          <w:rFonts w:asciiTheme="majorHAnsi" w:hAnsiTheme="majorHAnsi" w:cstheme="majorBidi"/>
          <w:iCs/>
          <w:sz w:val="28"/>
          <w:szCs w:val="28"/>
        </w:rPr>
      </w:pPr>
      <w:r w:rsidRPr="009C6AA4">
        <w:rPr>
          <w:rFonts w:asciiTheme="majorHAnsi" w:hAnsiTheme="majorHAnsi" w:cstheme="majorBidi"/>
          <w:iCs/>
          <w:sz w:val="28"/>
          <w:szCs w:val="28"/>
        </w:rPr>
        <w:t xml:space="preserve">un </w:t>
      </w:r>
      <w:r w:rsidR="00B72966" w:rsidRPr="009C6AA4">
        <w:rPr>
          <w:rFonts w:asciiTheme="majorHAnsi" w:hAnsiTheme="majorHAnsi" w:cstheme="majorBidi"/>
          <w:iCs/>
          <w:sz w:val="28"/>
          <w:szCs w:val="28"/>
        </w:rPr>
        <w:t>commentaire sur la mise en œuvre des recommandations du comité des droits de l’Homme et</w:t>
      </w:r>
      <w:r w:rsidR="00232BD9" w:rsidRPr="009C6AA4">
        <w:rPr>
          <w:rFonts w:asciiTheme="majorHAnsi" w:hAnsiTheme="majorHAnsi" w:cstheme="majorBidi"/>
          <w:iCs/>
          <w:sz w:val="28"/>
          <w:szCs w:val="28"/>
        </w:rPr>
        <w:t>,</w:t>
      </w:r>
    </w:p>
    <w:p w:rsidR="00B72966" w:rsidRDefault="00B72966" w:rsidP="00232BD9">
      <w:pPr>
        <w:pStyle w:val="Paragraphedeliste"/>
        <w:numPr>
          <w:ilvl w:val="0"/>
          <w:numId w:val="5"/>
        </w:numPr>
        <w:spacing w:line="480" w:lineRule="auto"/>
        <w:rPr>
          <w:rFonts w:asciiTheme="majorHAnsi" w:hAnsiTheme="majorHAnsi" w:cstheme="majorBidi"/>
          <w:iCs/>
          <w:sz w:val="28"/>
          <w:szCs w:val="28"/>
        </w:rPr>
      </w:pPr>
      <w:r w:rsidRPr="009C6AA4">
        <w:rPr>
          <w:rFonts w:asciiTheme="majorHAnsi" w:hAnsiTheme="majorHAnsi" w:cstheme="majorBidi"/>
          <w:iCs/>
          <w:sz w:val="28"/>
          <w:szCs w:val="28"/>
        </w:rPr>
        <w:t xml:space="preserve"> des recommandations.</w:t>
      </w:r>
    </w:p>
    <w:p w:rsidR="009C6AA4" w:rsidRPr="009C6AA4" w:rsidRDefault="009C6AA4" w:rsidP="009C6AA4">
      <w:pPr>
        <w:pStyle w:val="Paragraphedeliste"/>
        <w:spacing w:line="480" w:lineRule="auto"/>
        <w:ind w:left="765"/>
        <w:rPr>
          <w:rFonts w:asciiTheme="majorHAnsi" w:hAnsiTheme="majorHAnsi" w:cstheme="majorBidi"/>
          <w:iCs/>
          <w:sz w:val="28"/>
          <w:szCs w:val="28"/>
        </w:rPr>
      </w:pPr>
    </w:p>
    <w:p w:rsidR="009C6AA4" w:rsidRDefault="009C6AA4" w:rsidP="00232BD9">
      <w:pPr>
        <w:spacing w:line="480" w:lineRule="auto"/>
        <w:rPr>
          <w:rFonts w:asciiTheme="majorHAnsi" w:hAnsiTheme="majorHAnsi" w:cstheme="majorBidi"/>
          <w:sz w:val="28"/>
          <w:szCs w:val="28"/>
        </w:rPr>
      </w:pPr>
    </w:p>
    <w:p w:rsidR="009C6AA4" w:rsidRPr="009C6AA4" w:rsidRDefault="00600D1D" w:rsidP="00232BD9">
      <w:pPr>
        <w:spacing w:line="480" w:lineRule="auto"/>
        <w:rPr>
          <w:rFonts w:asciiTheme="majorHAnsi" w:hAnsiTheme="majorHAnsi" w:cstheme="majorBidi"/>
          <w:b/>
          <w:bCs/>
          <w:sz w:val="28"/>
          <w:szCs w:val="28"/>
        </w:rPr>
      </w:pPr>
      <w:r>
        <w:rPr>
          <w:rFonts w:asciiTheme="majorHAnsi" w:hAnsiTheme="majorHAnsi" w:cstheme="majorBidi"/>
          <w:b/>
          <w:bCs/>
          <w:sz w:val="28"/>
          <w:szCs w:val="28"/>
        </w:rPr>
        <w:lastRenderedPageBreak/>
        <w:t>I-</w:t>
      </w:r>
      <w:r w:rsidR="00232BD9" w:rsidRPr="009C6AA4">
        <w:rPr>
          <w:rFonts w:asciiTheme="majorHAnsi" w:hAnsiTheme="majorHAnsi" w:cstheme="majorBidi"/>
          <w:b/>
          <w:bCs/>
          <w:sz w:val="28"/>
          <w:szCs w:val="28"/>
        </w:rPr>
        <w:t xml:space="preserve">CONTEXTE </w:t>
      </w:r>
      <w:r w:rsidR="009C6AA4" w:rsidRPr="009C6AA4">
        <w:rPr>
          <w:rFonts w:asciiTheme="majorHAnsi" w:hAnsiTheme="majorHAnsi" w:cstheme="majorBidi"/>
          <w:b/>
          <w:bCs/>
          <w:sz w:val="28"/>
          <w:szCs w:val="28"/>
        </w:rPr>
        <w:t xml:space="preserve"> GENERAL</w:t>
      </w:r>
    </w:p>
    <w:p w:rsidR="000149FD" w:rsidRDefault="00232BD9" w:rsidP="00AA573A">
      <w:pPr>
        <w:spacing w:line="480" w:lineRule="auto"/>
        <w:rPr>
          <w:rFonts w:asciiTheme="majorHAnsi" w:hAnsiTheme="majorHAnsi" w:cstheme="majorBidi"/>
          <w:sz w:val="28"/>
          <w:szCs w:val="28"/>
        </w:rPr>
      </w:pPr>
      <w:r w:rsidRPr="009C6AA4">
        <w:rPr>
          <w:rFonts w:asciiTheme="majorHAnsi" w:hAnsiTheme="majorHAnsi" w:cstheme="majorBidi"/>
          <w:sz w:val="28"/>
          <w:szCs w:val="28"/>
        </w:rPr>
        <w:t xml:space="preserve">Avec une population de près de 3 millions et ½ d’habitants sur une superficie de 1 030 000 km², la Mauritanie est à cheval entre le Maghreb Arabe et l’Afrique noire : au Nord elle est bordée par le Sahara occidental, le Maroc et l’Algérie ; au Sud-est le Mali, au sud le Sénégal et à l’Ouest l’océan atlantique sur une façade maritime de plus de 700 km de côte. Son autonomie interne a été acquise depuis le 28 novembre 1960 dans le cadre de la vague des indépendances des pays qui étaient sous le joug de la colonisation française. </w:t>
      </w:r>
    </w:p>
    <w:p w:rsidR="00983DD5" w:rsidRDefault="00232BD9" w:rsidP="00FA0922">
      <w:pPr>
        <w:spacing w:line="480" w:lineRule="auto"/>
        <w:rPr>
          <w:rFonts w:asciiTheme="majorHAnsi" w:hAnsiTheme="majorHAnsi" w:cstheme="majorBidi"/>
          <w:sz w:val="28"/>
          <w:szCs w:val="28"/>
        </w:rPr>
      </w:pPr>
      <w:r w:rsidRPr="009C6AA4">
        <w:rPr>
          <w:rFonts w:asciiTheme="majorHAnsi" w:hAnsiTheme="majorHAnsi" w:cstheme="majorBidi"/>
          <w:sz w:val="28"/>
          <w:szCs w:val="28"/>
        </w:rPr>
        <w:t>L’arabe étant la langue officielle, les autres langues so</w:t>
      </w:r>
      <w:r w:rsidR="000149FD">
        <w:rPr>
          <w:rFonts w:asciiTheme="majorHAnsi" w:hAnsiTheme="majorHAnsi" w:cstheme="majorBidi"/>
          <w:sz w:val="28"/>
          <w:szCs w:val="28"/>
        </w:rPr>
        <w:t xml:space="preserve">nt dites nationales (Poular, </w:t>
      </w:r>
      <w:r w:rsidRPr="009C6AA4">
        <w:rPr>
          <w:rFonts w:asciiTheme="majorHAnsi" w:hAnsiTheme="majorHAnsi" w:cstheme="majorBidi"/>
          <w:sz w:val="28"/>
          <w:szCs w:val="28"/>
        </w:rPr>
        <w:t xml:space="preserve"> Ouolof et le Soninké). Cette position géographique et les données ethnolinguistiq</w:t>
      </w:r>
      <w:r w:rsidR="00983DD5">
        <w:rPr>
          <w:rFonts w:asciiTheme="majorHAnsi" w:hAnsiTheme="majorHAnsi" w:cstheme="majorBidi"/>
          <w:sz w:val="28"/>
          <w:szCs w:val="28"/>
        </w:rPr>
        <w:t xml:space="preserve">ues considérées comme </w:t>
      </w:r>
      <w:r w:rsidRPr="009C6AA4">
        <w:rPr>
          <w:rFonts w:asciiTheme="majorHAnsi" w:hAnsiTheme="majorHAnsi" w:cstheme="majorBidi"/>
          <w:sz w:val="28"/>
          <w:szCs w:val="28"/>
        </w:rPr>
        <w:t>une certaine riches</w:t>
      </w:r>
      <w:r w:rsidR="00983DD5">
        <w:rPr>
          <w:rFonts w:asciiTheme="majorHAnsi" w:hAnsiTheme="majorHAnsi" w:cstheme="majorBidi"/>
          <w:sz w:val="28"/>
          <w:szCs w:val="28"/>
        </w:rPr>
        <w:t xml:space="preserve">se nationale, se sont </w:t>
      </w:r>
      <w:r w:rsidRPr="009C6AA4">
        <w:rPr>
          <w:rFonts w:asciiTheme="majorHAnsi" w:hAnsiTheme="majorHAnsi" w:cstheme="majorBidi"/>
          <w:sz w:val="28"/>
          <w:szCs w:val="28"/>
        </w:rPr>
        <w:t xml:space="preserve"> érigés en facteur</w:t>
      </w:r>
      <w:r w:rsidR="00983DD5">
        <w:rPr>
          <w:rFonts w:asciiTheme="majorHAnsi" w:hAnsiTheme="majorHAnsi" w:cstheme="majorBidi"/>
          <w:sz w:val="28"/>
          <w:szCs w:val="28"/>
        </w:rPr>
        <w:t xml:space="preserve"> de division et d’atteinte aux </w:t>
      </w:r>
      <w:r w:rsidRPr="009C6AA4">
        <w:rPr>
          <w:rFonts w:asciiTheme="majorHAnsi" w:hAnsiTheme="majorHAnsi" w:cstheme="majorBidi"/>
          <w:sz w:val="28"/>
          <w:szCs w:val="28"/>
        </w:rPr>
        <w:t xml:space="preserve"> droits humains.</w:t>
      </w:r>
    </w:p>
    <w:p w:rsidR="00600D1D" w:rsidRDefault="00232BD9" w:rsidP="00FA0922">
      <w:pPr>
        <w:spacing w:line="480" w:lineRule="auto"/>
        <w:rPr>
          <w:rFonts w:asciiTheme="majorHAnsi" w:hAnsiTheme="majorHAnsi" w:cstheme="majorBidi"/>
          <w:sz w:val="28"/>
          <w:szCs w:val="28"/>
        </w:rPr>
      </w:pPr>
      <w:r w:rsidRPr="009C6AA4">
        <w:rPr>
          <w:rFonts w:asciiTheme="majorHAnsi" w:hAnsiTheme="majorHAnsi" w:cstheme="majorBidi"/>
          <w:sz w:val="28"/>
          <w:szCs w:val="28"/>
        </w:rPr>
        <w:t xml:space="preserve"> De 1978 à août 2008, la Mauritanie a connu une instabilité politico-institutionnelle qui s’est soldée par six coups d’État militaires avec des promesses de changements sociopo</w:t>
      </w:r>
      <w:r w:rsidR="00983DD5">
        <w:rPr>
          <w:rFonts w:asciiTheme="majorHAnsi" w:hAnsiTheme="majorHAnsi" w:cstheme="majorBidi"/>
          <w:sz w:val="28"/>
          <w:szCs w:val="28"/>
        </w:rPr>
        <w:t>litiques, économiques</w:t>
      </w:r>
      <w:r w:rsidRPr="009C6AA4">
        <w:rPr>
          <w:rFonts w:asciiTheme="majorHAnsi" w:hAnsiTheme="majorHAnsi" w:cstheme="majorBidi"/>
          <w:sz w:val="28"/>
          <w:szCs w:val="28"/>
        </w:rPr>
        <w:t>. La création d’institutions nationales censées apporter des sol</w:t>
      </w:r>
      <w:r w:rsidR="00343F37">
        <w:rPr>
          <w:rFonts w:asciiTheme="majorHAnsi" w:hAnsiTheme="majorHAnsi" w:cstheme="majorBidi"/>
          <w:sz w:val="28"/>
          <w:szCs w:val="28"/>
        </w:rPr>
        <w:t>utions durables en matière des droits humains</w:t>
      </w:r>
      <w:r w:rsidRPr="009C6AA4">
        <w:rPr>
          <w:rFonts w:asciiTheme="majorHAnsi" w:hAnsiTheme="majorHAnsi" w:cstheme="majorBidi"/>
          <w:sz w:val="28"/>
          <w:szCs w:val="28"/>
        </w:rPr>
        <w:t xml:space="preserve"> et de justice sociale (Commissariat aux droits de l’Homme, Commission Nationale des Droits de l’Homme, Agence Tadamoun, etc.)</w:t>
      </w:r>
      <w:r w:rsidR="00983DD5">
        <w:rPr>
          <w:rFonts w:asciiTheme="majorHAnsi" w:hAnsiTheme="majorHAnsi" w:cstheme="majorBidi"/>
          <w:sz w:val="28"/>
          <w:szCs w:val="28"/>
        </w:rPr>
        <w:t xml:space="preserve"> constituent une avancée certaine  sans pour autant que tous soient atteints. </w:t>
      </w:r>
    </w:p>
    <w:p w:rsidR="00600D1D" w:rsidRDefault="00232BD9" w:rsidP="00232BD9">
      <w:pPr>
        <w:spacing w:line="480" w:lineRule="auto"/>
        <w:rPr>
          <w:rFonts w:asciiTheme="majorHAnsi" w:hAnsiTheme="majorHAnsi" w:cstheme="majorBidi"/>
          <w:sz w:val="28"/>
          <w:szCs w:val="28"/>
        </w:rPr>
      </w:pPr>
      <w:r w:rsidRPr="009C6AA4">
        <w:rPr>
          <w:rFonts w:asciiTheme="majorHAnsi" w:hAnsiTheme="majorHAnsi" w:cstheme="majorBidi"/>
          <w:sz w:val="28"/>
          <w:szCs w:val="28"/>
        </w:rPr>
        <w:lastRenderedPageBreak/>
        <w:t xml:space="preserve"> La constitution mauritanienne du 20 juillet 1991 et les instruments juridiques régionaux et internationaux</w:t>
      </w:r>
      <w:r w:rsidR="002554F3">
        <w:rPr>
          <w:rFonts w:asciiTheme="majorHAnsi" w:hAnsiTheme="majorHAnsi" w:cstheme="majorBidi"/>
          <w:sz w:val="28"/>
          <w:szCs w:val="28"/>
        </w:rPr>
        <w:t xml:space="preserve"> ne sont pas suffisamment </w:t>
      </w:r>
      <w:r w:rsidRPr="009C6AA4">
        <w:rPr>
          <w:rFonts w:asciiTheme="majorHAnsi" w:hAnsiTheme="majorHAnsi" w:cstheme="majorBidi"/>
          <w:sz w:val="28"/>
          <w:szCs w:val="28"/>
        </w:rPr>
        <w:t xml:space="preserve"> appliqués dans toute leur effectivité malgré les engagements formulé</w:t>
      </w:r>
      <w:r w:rsidR="00600D1D">
        <w:rPr>
          <w:rFonts w:asciiTheme="majorHAnsi" w:hAnsiTheme="majorHAnsi" w:cstheme="majorBidi"/>
          <w:sz w:val="28"/>
          <w:szCs w:val="28"/>
        </w:rPr>
        <w:t xml:space="preserve">s par l’État. </w:t>
      </w:r>
    </w:p>
    <w:p w:rsidR="00343F37" w:rsidRDefault="00232BD9" w:rsidP="00600D1D">
      <w:pPr>
        <w:spacing w:line="480" w:lineRule="auto"/>
        <w:rPr>
          <w:rFonts w:asciiTheme="majorHAnsi" w:hAnsiTheme="majorHAnsi" w:cstheme="majorBidi"/>
          <w:sz w:val="28"/>
          <w:szCs w:val="28"/>
        </w:rPr>
      </w:pPr>
      <w:r w:rsidRPr="009C6AA4">
        <w:rPr>
          <w:rFonts w:asciiTheme="majorHAnsi" w:hAnsiTheme="majorHAnsi" w:cstheme="majorBidi"/>
          <w:sz w:val="28"/>
          <w:szCs w:val="28"/>
        </w:rPr>
        <w:t xml:space="preserve"> </w:t>
      </w:r>
      <w:r w:rsidR="00343F37">
        <w:rPr>
          <w:rFonts w:asciiTheme="majorHAnsi" w:hAnsiTheme="majorHAnsi" w:cstheme="majorBidi"/>
          <w:sz w:val="28"/>
          <w:szCs w:val="28"/>
        </w:rPr>
        <w:t>Si sur la forme quelques</w:t>
      </w:r>
      <w:r w:rsidRPr="009C6AA4">
        <w:rPr>
          <w:rFonts w:asciiTheme="majorHAnsi" w:hAnsiTheme="majorHAnsi" w:cstheme="majorBidi"/>
          <w:sz w:val="28"/>
          <w:szCs w:val="28"/>
        </w:rPr>
        <w:t xml:space="preserve"> avancées ont été notées, </w:t>
      </w:r>
      <w:r w:rsidR="002554F3">
        <w:rPr>
          <w:rFonts w:asciiTheme="majorHAnsi" w:hAnsiTheme="majorHAnsi" w:cstheme="majorBidi"/>
          <w:sz w:val="28"/>
          <w:szCs w:val="28"/>
        </w:rPr>
        <w:t xml:space="preserve"> in </w:t>
      </w:r>
      <w:r w:rsidR="00C130F4">
        <w:rPr>
          <w:rFonts w:asciiTheme="majorHAnsi" w:hAnsiTheme="majorHAnsi" w:cstheme="majorBidi"/>
          <w:sz w:val="28"/>
          <w:szCs w:val="28"/>
        </w:rPr>
        <w:t>n’</w:t>
      </w:r>
      <w:r w:rsidR="002554F3">
        <w:rPr>
          <w:rFonts w:asciiTheme="majorHAnsi" w:hAnsiTheme="majorHAnsi" w:cstheme="majorBidi"/>
          <w:sz w:val="28"/>
          <w:szCs w:val="28"/>
        </w:rPr>
        <w:t>en demeure pas moins   que</w:t>
      </w:r>
      <w:r w:rsidRPr="009C6AA4">
        <w:rPr>
          <w:rFonts w:asciiTheme="majorHAnsi" w:hAnsiTheme="majorHAnsi" w:cstheme="majorBidi"/>
          <w:sz w:val="28"/>
          <w:szCs w:val="28"/>
        </w:rPr>
        <w:t xml:space="preserve"> certains problèmes qui</w:t>
      </w:r>
      <w:r w:rsidR="00343F37">
        <w:rPr>
          <w:rFonts w:asciiTheme="majorHAnsi" w:hAnsiTheme="majorHAnsi" w:cstheme="majorBidi"/>
          <w:sz w:val="28"/>
          <w:szCs w:val="28"/>
        </w:rPr>
        <w:t xml:space="preserve"> font écran à l’évolution des droits humains</w:t>
      </w:r>
      <w:r w:rsidRPr="009C6AA4">
        <w:rPr>
          <w:rFonts w:asciiTheme="majorHAnsi" w:hAnsiTheme="majorHAnsi" w:cstheme="majorBidi"/>
          <w:sz w:val="28"/>
          <w:szCs w:val="28"/>
        </w:rPr>
        <w:t xml:space="preserve"> en Mauritanie comme l’esclavage, les libertés publiques</w:t>
      </w:r>
      <w:r w:rsidR="00600D1D">
        <w:rPr>
          <w:rFonts w:asciiTheme="majorHAnsi" w:hAnsiTheme="majorHAnsi" w:cstheme="majorBidi"/>
          <w:sz w:val="28"/>
          <w:szCs w:val="28"/>
        </w:rPr>
        <w:t>,</w:t>
      </w:r>
      <w:r w:rsidRPr="009C6AA4">
        <w:rPr>
          <w:rFonts w:asciiTheme="majorHAnsi" w:hAnsiTheme="majorHAnsi" w:cstheme="majorBidi"/>
          <w:sz w:val="28"/>
          <w:szCs w:val="28"/>
        </w:rPr>
        <w:t xml:space="preserve"> le foncier,</w:t>
      </w:r>
      <w:r w:rsidR="002554F3">
        <w:rPr>
          <w:rFonts w:asciiTheme="majorHAnsi" w:hAnsiTheme="majorHAnsi" w:cstheme="majorBidi"/>
          <w:sz w:val="28"/>
          <w:szCs w:val="28"/>
        </w:rPr>
        <w:t xml:space="preserve"> l’accès à la justice  continuent à interpeller les défenseurs des droits de l’homme</w:t>
      </w:r>
      <w:r w:rsidRPr="009C6AA4">
        <w:rPr>
          <w:rFonts w:asciiTheme="majorHAnsi" w:hAnsiTheme="majorHAnsi" w:cstheme="majorBidi"/>
          <w:sz w:val="28"/>
          <w:szCs w:val="28"/>
        </w:rPr>
        <w:t>, etc..</w:t>
      </w:r>
    </w:p>
    <w:p w:rsidR="00600D1D" w:rsidRPr="00860E4B" w:rsidRDefault="00232BD9" w:rsidP="00860E4B">
      <w:pPr>
        <w:spacing w:line="480" w:lineRule="auto"/>
        <w:rPr>
          <w:rFonts w:asciiTheme="majorHAnsi" w:hAnsiTheme="majorHAnsi" w:cstheme="majorBidi"/>
          <w:sz w:val="28"/>
          <w:szCs w:val="28"/>
        </w:rPr>
      </w:pPr>
      <w:r w:rsidRPr="009C6AA4">
        <w:rPr>
          <w:rFonts w:asciiTheme="majorHAnsi" w:hAnsiTheme="majorHAnsi" w:cstheme="majorBidi"/>
          <w:sz w:val="28"/>
          <w:szCs w:val="28"/>
        </w:rPr>
        <w:t xml:space="preserve"> La solution devant déboucher sur le règl</w:t>
      </w:r>
      <w:r w:rsidR="00343F37">
        <w:rPr>
          <w:rFonts w:asciiTheme="majorHAnsi" w:hAnsiTheme="majorHAnsi" w:cstheme="majorBidi"/>
          <w:sz w:val="28"/>
          <w:szCs w:val="28"/>
        </w:rPr>
        <w:t>ement de la problématique des droits de l’Homme</w:t>
      </w:r>
      <w:r w:rsidRPr="009C6AA4">
        <w:rPr>
          <w:rFonts w:asciiTheme="majorHAnsi" w:hAnsiTheme="majorHAnsi" w:cstheme="majorBidi"/>
          <w:sz w:val="28"/>
          <w:szCs w:val="28"/>
        </w:rPr>
        <w:t xml:space="preserve"> en Mauritanie doit être globale et s’intéresser effectivement à toutes les générations des droits. </w:t>
      </w:r>
    </w:p>
    <w:p w:rsidR="00B72966" w:rsidRPr="009C6AA4" w:rsidRDefault="00600D1D" w:rsidP="00232BD9">
      <w:pPr>
        <w:spacing w:line="480" w:lineRule="auto"/>
        <w:ind w:left="0"/>
        <w:rPr>
          <w:rFonts w:asciiTheme="majorHAnsi" w:hAnsiTheme="majorHAnsi" w:cstheme="majorBidi"/>
          <w:b/>
          <w:bCs/>
          <w:iCs/>
          <w:sz w:val="28"/>
          <w:szCs w:val="28"/>
        </w:rPr>
      </w:pPr>
      <w:r>
        <w:rPr>
          <w:rFonts w:asciiTheme="majorHAnsi" w:hAnsiTheme="majorHAnsi" w:cstheme="majorBidi"/>
          <w:b/>
          <w:bCs/>
          <w:iCs/>
          <w:sz w:val="28"/>
          <w:szCs w:val="28"/>
        </w:rPr>
        <w:t>I</w:t>
      </w:r>
      <w:r w:rsidR="00B72966" w:rsidRPr="009C6AA4">
        <w:rPr>
          <w:rFonts w:asciiTheme="majorHAnsi" w:hAnsiTheme="majorHAnsi" w:cstheme="majorBidi"/>
          <w:b/>
          <w:bCs/>
          <w:iCs/>
          <w:sz w:val="28"/>
          <w:szCs w:val="28"/>
        </w:rPr>
        <w:t>I-Présentation de la CNDH</w:t>
      </w:r>
    </w:p>
    <w:p w:rsidR="003A439B" w:rsidRPr="009C6AA4" w:rsidRDefault="003A439B" w:rsidP="00232BD9">
      <w:pPr>
        <w:spacing w:line="480" w:lineRule="auto"/>
        <w:ind w:left="0"/>
        <w:rPr>
          <w:rFonts w:asciiTheme="majorHAnsi" w:hAnsiTheme="majorHAnsi" w:cstheme="majorBidi"/>
          <w:iCs/>
          <w:sz w:val="28"/>
          <w:szCs w:val="28"/>
        </w:rPr>
      </w:pPr>
      <w:r w:rsidRPr="009C6AA4">
        <w:rPr>
          <w:rFonts w:asciiTheme="majorHAnsi" w:hAnsiTheme="majorHAnsi" w:cstheme="majorBidi"/>
          <w:iCs/>
          <w:sz w:val="28"/>
          <w:szCs w:val="28"/>
        </w:rPr>
        <w:t>La CNDH est une institution Consultative indépendante et autonome à composition  plurielle  chargée du conseil, d’observation, d’alerte, de médiation et d’évaluation en matière de respect des droits de l’homme.</w:t>
      </w:r>
    </w:p>
    <w:p w:rsidR="00B72966" w:rsidRPr="009C6AA4" w:rsidRDefault="00B72966" w:rsidP="00232BD9">
      <w:pPr>
        <w:spacing w:line="480" w:lineRule="auto"/>
        <w:ind w:left="0"/>
        <w:rPr>
          <w:rFonts w:asciiTheme="majorHAnsi" w:hAnsiTheme="majorHAnsi" w:cstheme="majorBidi"/>
          <w:sz w:val="28"/>
          <w:szCs w:val="28"/>
        </w:rPr>
      </w:pPr>
      <w:r w:rsidRPr="009C6AA4">
        <w:rPr>
          <w:rFonts w:asciiTheme="majorHAnsi" w:hAnsiTheme="majorHAnsi" w:cstheme="majorBidi"/>
          <w:sz w:val="28"/>
          <w:szCs w:val="28"/>
        </w:rPr>
        <w:t>La CNDH est régie par la loi organique No 2017- 016 du 05 Juillet 2017 fixant la composition, l’organisation  et le fonctionnement de la Commission nationale des Droits de l’Homme (CNDH)</w:t>
      </w:r>
    </w:p>
    <w:p w:rsidR="009F008E" w:rsidRPr="009C6AA4" w:rsidRDefault="00B72966" w:rsidP="00232BD9">
      <w:pPr>
        <w:spacing w:line="480" w:lineRule="auto"/>
        <w:ind w:left="0"/>
        <w:rPr>
          <w:rFonts w:asciiTheme="majorHAnsi" w:hAnsiTheme="majorHAnsi" w:cstheme="majorBidi"/>
          <w:bCs/>
          <w:iCs/>
          <w:sz w:val="28"/>
          <w:szCs w:val="28"/>
        </w:rPr>
      </w:pPr>
      <w:r w:rsidRPr="009C6AA4">
        <w:rPr>
          <w:rFonts w:asciiTheme="majorHAnsi" w:hAnsiTheme="majorHAnsi" w:cstheme="majorBidi"/>
          <w:iCs/>
          <w:sz w:val="28"/>
          <w:szCs w:val="28"/>
        </w:rPr>
        <w:t>Le</w:t>
      </w:r>
      <w:r w:rsidR="003A439B" w:rsidRPr="009C6AA4">
        <w:rPr>
          <w:rFonts w:asciiTheme="majorHAnsi" w:hAnsiTheme="majorHAnsi" w:cstheme="majorBidi"/>
          <w:iCs/>
          <w:sz w:val="28"/>
          <w:szCs w:val="28"/>
        </w:rPr>
        <w:t xml:space="preserve"> statut de la Commission lui confère une plus grande indépendance et un champ d’investigation plus étendu ;</w:t>
      </w:r>
      <w:r w:rsidR="003A439B" w:rsidRPr="009C6AA4">
        <w:rPr>
          <w:rFonts w:asciiTheme="majorHAnsi" w:hAnsiTheme="majorHAnsi" w:cstheme="majorBidi"/>
          <w:bCs/>
          <w:iCs/>
          <w:sz w:val="28"/>
          <w:szCs w:val="28"/>
        </w:rPr>
        <w:t xml:space="preserve"> la CNDH devient auprès des </w:t>
      </w:r>
      <w:r w:rsidR="003A439B" w:rsidRPr="009C6AA4">
        <w:rPr>
          <w:rFonts w:asciiTheme="majorHAnsi" w:hAnsiTheme="majorHAnsi" w:cstheme="majorBidi"/>
          <w:bCs/>
          <w:iCs/>
          <w:sz w:val="28"/>
          <w:szCs w:val="28"/>
        </w:rPr>
        <w:lastRenderedPageBreak/>
        <w:t xml:space="preserve">mécanismes internationaux des droits de l’homme un relais national et un élément central des systèmes de protection des droits de l’homme en Mauritanie. </w:t>
      </w:r>
      <w:bookmarkStart w:id="1" w:name="_Toc348651866"/>
    </w:p>
    <w:p w:rsidR="003A439B" w:rsidRPr="009C6AA4" w:rsidRDefault="003A439B" w:rsidP="00232BD9">
      <w:pPr>
        <w:pStyle w:val="Paragraphedeliste"/>
        <w:spacing w:line="480" w:lineRule="auto"/>
        <w:rPr>
          <w:rFonts w:asciiTheme="majorHAnsi" w:hAnsiTheme="majorHAnsi" w:cstheme="majorBidi"/>
          <w:sz w:val="28"/>
          <w:szCs w:val="28"/>
        </w:rPr>
      </w:pPr>
      <w:r w:rsidRPr="009C6AA4">
        <w:rPr>
          <w:rFonts w:asciiTheme="majorHAnsi" w:hAnsiTheme="majorHAnsi" w:cstheme="majorBidi"/>
          <w:b/>
          <w:bCs/>
          <w:sz w:val="28"/>
          <w:szCs w:val="28"/>
        </w:rPr>
        <w:t xml:space="preserve">              Missions et mandats de la CNDH</w:t>
      </w:r>
      <w:bookmarkEnd w:id="1"/>
    </w:p>
    <w:p w:rsidR="00563E9E" w:rsidRPr="009C6AA4" w:rsidRDefault="003A439B" w:rsidP="00232BD9">
      <w:pPr>
        <w:spacing w:line="480" w:lineRule="auto"/>
        <w:ind w:left="0"/>
        <w:rPr>
          <w:rFonts w:asciiTheme="majorHAnsi" w:hAnsiTheme="majorHAnsi" w:cstheme="majorBidi"/>
          <w:iCs/>
          <w:sz w:val="28"/>
          <w:szCs w:val="28"/>
        </w:rPr>
      </w:pPr>
      <w:r w:rsidRPr="009C6AA4">
        <w:rPr>
          <w:rFonts w:asciiTheme="majorHAnsi" w:hAnsiTheme="majorHAnsi" w:cstheme="majorBidi"/>
          <w:iCs/>
          <w:sz w:val="28"/>
          <w:szCs w:val="28"/>
        </w:rPr>
        <w:t>La CNDH a pour  mission principale, de donner un avis sur les questions  de Droits de l’Homme au Gouvernement, au Parlement et à tout autre organe compétent, de contribuer à la diffusion et à l’enracinement de la culture des droits de l’homme, de promouvoir et de veiller à l’harmonisation de la législation nationale avec les instruments juridiques des droits de l’Homme, de contribuer à la préparation des rapports que le gouvernement doit présenter aux organes et aux comités des Nations Unies, de coopérer avec les organes des Nations unies dans le domaine des droits de l’Homme, de visiter de manière inopinée les prisons et lieux de détention, d’examiner toutes les situations d’atteinte aux droits de l’homme et d’adresser un rapport annuel sur la situation des droits de l’homme au Président de la République et au Parlement.</w:t>
      </w:r>
    </w:p>
    <w:p w:rsidR="00C30E4C" w:rsidRPr="009C6AA4" w:rsidRDefault="009F008E" w:rsidP="00232BD9">
      <w:pPr>
        <w:spacing w:line="480" w:lineRule="auto"/>
        <w:rPr>
          <w:rFonts w:asciiTheme="majorHAnsi" w:hAnsiTheme="majorHAnsi" w:cstheme="majorBidi"/>
          <w:b/>
          <w:bCs/>
          <w:sz w:val="28"/>
          <w:szCs w:val="28"/>
        </w:rPr>
      </w:pPr>
      <w:r w:rsidRPr="009C6AA4">
        <w:rPr>
          <w:rFonts w:asciiTheme="majorHAnsi" w:hAnsiTheme="majorHAnsi" w:cstheme="majorBidi"/>
          <w:b/>
          <w:bCs/>
          <w:sz w:val="28"/>
          <w:szCs w:val="28"/>
        </w:rPr>
        <w:t>II-MISE EN ŒUVRE DES RECOMMANDATIONS  DU COMITE</w:t>
      </w:r>
    </w:p>
    <w:p w:rsidR="002C10D8" w:rsidRPr="009C6AA4" w:rsidRDefault="00563E9E" w:rsidP="00232BD9">
      <w:pPr>
        <w:spacing w:line="480" w:lineRule="auto"/>
        <w:rPr>
          <w:rFonts w:asciiTheme="majorHAnsi" w:hAnsiTheme="majorHAnsi" w:cstheme="majorBidi"/>
          <w:sz w:val="28"/>
          <w:szCs w:val="28"/>
        </w:rPr>
      </w:pPr>
      <w:r w:rsidRPr="009C6AA4">
        <w:rPr>
          <w:rFonts w:asciiTheme="majorHAnsi" w:hAnsiTheme="majorHAnsi" w:cstheme="majorBidi"/>
          <w:sz w:val="28"/>
          <w:szCs w:val="28"/>
        </w:rPr>
        <w:t>Lors de sa précédente session, le comité des droits de l’Homme  a fait une vin</w:t>
      </w:r>
      <w:r w:rsidR="00A84BD5">
        <w:rPr>
          <w:rFonts w:asciiTheme="majorHAnsi" w:hAnsiTheme="majorHAnsi" w:cstheme="majorBidi"/>
          <w:sz w:val="28"/>
          <w:szCs w:val="28"/>
        </w:rPr>
        <w:t>gtaine de recommandations à la République I</w:t>
      </w:r>
      <w:r w:rsidRPr="009C6AA4">
        <w:rPr>
          <w:rFonts w:asciiTheme="majorHAnsi" w:hAnsiTheme="majorHAnsi" w:cstheme="majorBidi"/>
          <w:sz w:val="28"/>
          <w:szCs w:val="28"/>
        </w:rPr>
        <w:t xml:space="preserve">slamique de Mauritanie dont certaines se rapportant à la mise en œuvre du Pacte international relatif aux droits civils et politiques, la discrimination raciale, la liberté </w:t>
      </w:r>
      <w:r w:rsidRPr="009C6AA4">
        <w:rPr>
          <w:rFonts w:asciiTheme="majorHAnsi" w:hAnsiTheme="majorHAnsi" w:cstheme="majorBidi"/>
          <w:sz w:val="28"/>
          <w:szCs w:val="28"/>
        </w:rPr>
        <w:lastRenderedPageBreak/>
        <w:t>d’opinion, la violence à l’égard des femmes, la peine de mort, l’impunité, la torture , le châtiment</w:t>
      </w:r>
      <w:r w:rsidR="002C10D8" w:rsidRPr="009C6AA4">
        <w:rPr>
          <w:rFonts w:asciiTheme="majorHAnsi" w:hAnsiTheme="majorHAnsi" w:cstheme="majorBidi"/>
          <w:sz w:val="28"/>
          <w:szCs w:val="28"/>
        </w:rPr>
        <w:t xml:space="preserve"> corporel et</w:t>
      </w:r>
      <w:r w:rsidRPr="009C6AA4">
        <w:rPr>
          <w:rFonts w:asciiTheme="majorHAnsi" w:hAnsiTheme="majorHAnsi" w:cstheme="majorBidi"/>
          <w:sz w:val="28"/>
          <w:szCs w:val="28"/>
        </w:rPr>
        <w:t xml:space="preserve"> l’esclavage</w:t>
      </w:r>
      <w:r w:rsidR="002C10D8" w:rsidRPr="009C6AA4">
        <w:rPr>
          <w:rFonts w:asciiTheme="majorHAnsi" w:hAnsiTheme="majorHAnsi" w:cstheme="majorBidi"/>
          <w:sz w:val="28"/>
          <w:szCs w:val="28"/>
        </w:rPr>
        <w:t>.</w:t>
      </w:r>
    </w:p>
    <w:p w:rsidR="009F008E" w:rsidRPr="009C6AA4" w:rsidRDefault="00C15FCE" w:rsidP="00A84BD5">
      <w:pPr>
        <w:spacing w:line="480" w:lineRule="auto"/>
        <w:rPr>
          <w:rFonts w:asciiTheme="majorHAnsi" w:hAnsiTheme="majorHAnsi" w:cstheme="majorBidi"/>
          <w:sz w:val="28"/>
          <w:szCs w:val="28"/>
        </w:rPr>
      </w:pPr>
      <w:r w:rsidRPr="009C6AA4">
        <w:rPr>
          <w:rFonts w:asciiTheme="majorHAnsi" w:hAnsiTheme="majorHAnsi" w:cstheme="majorBidi"/>
          <w:sz w:val="28"/>
          <w:szCs w:val="28"/>
        </w:rPr>
        <w:t xml:space="preserve">Le rapport soumis par le </w:t>
      </w:r>
      <w:r w:rsidR="009360CE" w:rsidRPr="009C6AA4">
        <w:rPr>
          <w:rFonts w:asciiTheme="majorHAnsi" w:hAnsiTheme="majorHAnsi" w:cstheme="majorBidi"/>
          <w:sz w:val="28"/>
          <w:szCs w:val="28"/>
        </w:rPr>
        <w:t xml:space="preserve"> </w:t>
      </w:r>
      <w:r w:rsidRPr="009C6AA4">
        <w:rPr>
          <w:rFonts w:asciiTheme="majorHAnsi" w:hAnsiTheme="majorHAnsi" w:cstheme="majorBidi"/>
          <w:sz w:val="28"/>
          <w:szCs w:val="28"/>
        </w:rPr>
        <w:t>gouvernement</w:t>
      </w:r>
      <w:r w:rsidR="009360CE" w:rsidRPr="009C6AA4">
        <w:rPr>
          <w:rFonts w:asciiTheme="majorHAnsi" w:hAnsiTheme="majorHAnsi" w:cstheme="majorBidi"/>
          <w:sz w:val="28"/>
          <w:szCs w:val="28"/>
        </w:rPr>
        <w:t xml:space="preserve"> de la </w:t>
      </w:r>
      <w:r w:rsidRPr="009C6AA4">
        <w:rPr>
          <w:rFonts w:asciiTheme="majorHAnsi" w:hAnsiTheme="majorHAnsi" w:cstheme="majorBidi"/>
          <w:sz w:val="28"/>
          <w:szCs w:val="28"/>
        </w:rPr>
        <w:t>république islamique de Mauritanie</w:t>
      </w:r>
      <w:r w:rsidR="00563E9E" w:rsidRPr="009C6AA4">
        <w:rPr>
          <w:rFonts w:asciiTheme="majorHAnsi" w:hAnsiTheme="majorHAnsi" w:cstheme="majorBidi"/>
          <w:sz w:val="28"/>
          <w:szCs w:val="28"/>
        </w:rPr>
        <w:t xml:space="preserve"> </w:t>
      </w:r>
      <w:r w:rsidRPr="009C6AA4">
        <w:rPr>
          <w:rFonts w:asciiTheme="majorHAnsi" w:hAnsiTheme="majorHAnsi" w:cstheme="majorBidi"/>
          <w:sz w:val="28"/>
          <w:szCs w:val="28"/>
        </w:rPr>
        <w:t>fait l’état  de la mise en œuvre  des recommandations du</w:t>
      </w:r>
      <w:r w:rsidR="00744C06" w:rsidRPr="009C6AA4">
        <w:rPr>
          <w:rFonts w:asciiTheme="majorHAnsi" w:hAnsiTheme="majorHAnsi" w:cstheme="majorBidi"/>
          <w:sz w:val="28"/>
          <w:szCs w:val="28"/>
        </w:rPr>
        <w:t xml:space="preserve"> comité des droits de l’Homme. </w:t>
      </w:r>
      <w:r w:rsidRPr="009C6AA4">
        <w:rPr>
          <w:rFonts w:asciiTheme="majorHAnsi" w:hAnsiTheme="majorHAnsi" w:cstheme="majorBidi"/>
          <w:sz w:val="28"/>
          <w:szCs w:val="28"/>
        </w:rPr>
        <w:t>Ainsi,  ce rapport fait état de plusieurs efforts entrepris par le gouvernement afin de f</w:t>
      </w:r>
      <w:r w:rsidR="00A84BD5">
        <w:rPr>
          <w:rFonts w:asciiTheme="majorHAnsi" w:hAnsiTheme="majorHAnsi" w:cstheme="majorBidi"/>
          <w:sz w:val="28"/>
          <w:szCs w:val="28"/>
        </w:rPr>
        <w:t xml:space="preserve">aire connaitre les dispositions de </w:t>
      </w:r>
      <w:r w:rsidRPr="009C6AA4">
        <w:rPr>
          <w:rFonts w:asciiTheme="majorHAnsi" w:hAnsiTheme="majorHAnsi" w:cstheme="majorBidi"/>
          <w:sz w:val="28"/>
          <w:szCs w:val="28"/>
        </w:rPr>
        <w:t xml:space="preserve">ce </w:t>
      </w:r>
      <w:r w:rsidR="008121B3">
        <w:rPr>
          <w:rFonts w:asciiTheme="majorHAnsi" w:hAnsiTheme="majorHAnsi" w:cstheme="majorBidi"/>
          <w:sz w:val="28"/>
          <w:szCs w:val="28"/>
        </w:rPr>
        <w:t>pacte. Il faut  toute</w:t>
      </w:r>
      <w:r w:rsidRPr="009C6AA4">
        <w:rPr>
          <w:rFonts w:asciiTheme="majorHAnsi" w:hAnsiTheme="majorHAnsi" w:cstheme="majorBidi"/>
          <w:sz w:val="28"/>
          <w:szCs w:val="28"/>
        </w:rPr>
        <w:t>fois noter que les efforts d’harmonisation de la législation nationale avec les dispositions du pacte  n’ont pas permis l</w:t>
      </w:r>
      <w:r w:rsidR="00A84BD5">
        <w:rPr>
          <w:rFonts w:asciiTheme="majorHAnsi" w:hAnsiTheme="majorHAnsi" w:cstheme="majorBidi"/>
          <w:sz w:val="28"/>
          <w:szCs w:val="28"/>
        </w:rPr>
        <w:t>a prise en compte des dispositions</w:t>
      </w:r>
      <w:r w:rsidRPr="009C6AA4">
        <w:rPr>
          <w:rFonts w:asciiTheme="majorHAnsi" w:hAnsiTheme="majorHAnsi" w:cstheme="majorBidi"/>
          <w:sz w:val="28"/>
          <w:szCs w:val="28"/>
        </w:rPr>
        <w:t xml:space="preserve"> de ce pacte par les tribunaux mauritaniens. </w:t>
      </w:r>
    </w:p>
    <w:p w:rsidR="00C15FCE" w:rsidRPr="009C6AA4" w:rsidRDefault="00C15FCE" w:rsidP="00232BD9">
      <w:pPr>
        <w:spacing w:line="480" w:lineRule="auto"/>
        <w:rPr>
          <w:rFonts w:asciiTheme="majorHAnsi" w:hAnsiTheme="majorHAnsi" w:cstheme="majorBidi"/>
          <w:sz w:val="28"/>
          <w:szCs w:val="28"/>
        </w:rPr>
      </w:pPr>
      <w:r w:rsidRPr="009C6AA4">
        <w:rPr>
          <w:rFonts w:asciiTheme="majorHAnsi" w:hAnsiTheme="majorHAnsi" w:cstheme="majorBidi"/>
          <w:sz w:val="28"/>
          <w:szCs w:val="28"/>
        </w:rPr>
        <w:t>S’agissant de la discrimination raciale</w:t>
      </w:r>
      <w:r w:rsidR="00716559" w:rsidRPr="009C6AA4">
        <w:rPr>
          <w:rFonts w:asciiTheme="majorHAnsi" w:hAnsiTheme="majorHAnsi" w:cstheme="majorBidi"/>
          <w:sz w:val="28"/>
          <w:szCs w:val="28"/>
        </w:rPr>
        <w:t xml:space="preserve"> et l’esclavage,</w:t>
      </w:r>
      <w:r w:rsidRPr="009C6AA4">
        <w:rPr>
          <w:rFonts w:asciiTheme="majorHAnsi" w:hAnsiTheme="majorHAnsi" w:cstheme="majorBidi"/>
          <w:sz w:val="28"/>
          <w:szCs w:val="28"/>
        </w:rPr>
        <w:t xml:space="preserve"> </w:t>
      </w:r>
      <w:r w:rsidR="00716559" w:rsidRPr="009C6AA4">
        <w:rPr>
          <w:rFonts w:asciiTheme="majorHAnsi" w:hAnsiTheme="majorHAnsi" w:cstheme="majorBidi"/>
          <w:sz w:val="28"/>
          <w:szCs w:val="28"/>
        </w:rPr>
        <w:t>la loi No 2015-031 incriminant l’esclavage et réprimant les pratiques esclavagistes  en son article 2, interdit la discrimination raciale sous toutes ses formes.</w:t>
      </w:r>
    </w:p>
    <w:p w:rsidR="00716559" w:rsidRPr="009C6AA4" w:rsidRDefault="00716559" w:rsidP="00232BD9">
      <w:pPr>
        <w:spacing w:line="480" w:lineRule="auto"/>
        <w:rPr>
          <w:rFonts w:asciiTheme="majorHAnsi" w:hAnsiTheme="majorHAnsi" w:cstheme="majorBidi"/>
          <w:sz w:val="28"/>
          <w:szCs w:val="28"/>
        </w:rPr>
      </w:pPr>
      <w:r w:rsidRPr="009C6AA4">
        <w:rPr>
          <w:rFonts w:asciiTheme="majorHAnsi" w:hAnsiTheme="majorHAnsi" w:cstheme="majorBidi"/>
          <w:sz w:val="28"/>
          <w:szCs w:val="28"/>
        </w:rPr>
        <w:t>La CNDH note cependant que les cas ou c</w:t>
      </w:r>
      <w:r w:rsidR="006551D7">
        <w:rPr>
          <w:rFonts w:asciiTheme="majorHAnsi" w:hAnsiTheme="majorHAnsi" w:cstheme="majorBidi"/>
          <w:sz w:val="28"/>
          <w:szCs w:val="28"/>
        </w:rPr>
        <w:t>ette loi est appliquée sont limités</w:t>
      </w:r>
      <w:r w:rsidRPr="009C6AA4">
        <w:rPr>
          <w:rFonts w:asciiTheme="majorHAnsi" w:hAnsiTheme="majorHAnsi" w:cstheme="majorBidi"/>
          <w:sz w:val="28"/>
          <w:szCs w:val="28"/>
        </w:rPr>
        <w:t xml:space="preserve">, d’où la </w:t>
      </w:r>
      <w:r w:rsidR="00743E5A" w:rsidRPr="009C6AA4">
        <w:rPr>
          <w:rFonts w:asciiTheme="majorHAnsi" w:hAnsiTheme="majorHAnsi" w:cstheme="majorBidi"/>
          <w:sz w:val="28"/>
          <w:szCs w:val="28"/>
        </w:rPr>
        <w:t>nécessité</w:t>
      </w:r>
      <w:r w:rsidRPr="009C6AA4">
        <w:rPr>
          <w:rFonts w:asciiTheme="majorHAnsi" w:hAnsiTheme="majorHAnsi" w:cstheme="majorBidi"/>
          <w:sz w:val="28"/>
          <w:szCs w:val="28"/>
        </w:rPr>
        <w:t xml:space="preserve"> de faire connaitre cette loi et la faire appliquer par les tribunaux </w:t>
      </w:r>
      <w:r w:rsidR="00743E5A" w:rsidRPr="009C6AA4">
        <w:rPr>
          <w:rFonts w:asciiTheme="majorHAnsi" w:hAnsiTheme="majorHAnsi" w:cstheme="majorBidi"/>
          <w:sz w:val="28"/>
          <w:szCs w:val="28"/>
        </w:rPr>
        <w:t>spécialisés</w:t>
      </w:r>
      <w:r w:rsidRPr="009C6AA4">
        <w:rPr>
          <w:rFonts w:asciiTheme="majorHAnsi" w:hAnsiTheme="majorHAnsi" w:cstheme="majorBidi"/>
          <w:sz w:val="28"/>
          <w:szCs w:val="28"/>
        </w:rPr>
        <w:t>.</w:t>
      </w:r>
    </w:p>
    <w:p w:rsidR="006345C9" w:rsidRPr="009C6AA4" w:rsidRDefault="006345C9" w:rsidP="00232BD9">
      <w:pPr>
        <w:spacing w:line="480" w:lineRule="auto"/>
        <w:rPr>
          <w:rFonts w:asciiTheme="majorHAnsi" w:hAnsiTheme="majorHAnsi" w:cstheme="majorBidi"/>
          <w:sz w:val="28"/>
          <w:szCs w:val="28"/>
        </w:rPr>
      </w:pPr>
      <w:r w:rsidRPr="009C6AA4">
        <w:rPr>
          <w:rFonts w:asciiTheme="majorHAnsi" w:hAnsiTheme="majorHAnsi" w:cstheme="majorBidi"/>
          <w:sz w:val="28"/>
          <w:szCs w:val="28"/>
        </w:rPr>
        <w:t xml:space="preserve">Le combat pour l’émancipation des femmes en Mauritanie </w:t>
      </w:r>
      <w:r w:rsidR="00F447CC" w:rsidRPr="009C6AA4">
        <w:rPr>
          <w:rFonts w:asciiTheme="majorHAnsi" w:hAnsiTheme="majorHAnsi" w:cstheme="majorBidi"/>
          <w:sz w:val="28"/>
          <w:szCs w:val="28"/>
        </w:rPr>
        <w:t xml:space="preserve">a connu plusieurs succès dont la ratification de la </w:t>
      </w:r>
      <w:r w:rsidR="00081451" w:rsidRPr="009C6AA4">
        <w:rPr>
          <w:rFonts w:asciiTheme="majorHAnsi" w:hAnsiTheme="majorHAnsi" w:cstheme="majorBidi"/>
          <w:sz w:val="28"/>
          <w:szCs w:val="28"/>
        </w:rPr>
        <w:t>CEDEF,</w:t>
      </w:r>
      <w:r w:rsidR="00F447CC" w:rsidRPr="009C6AA4">
        <w:rPr>
          <w:rFonts w:asciiTheme="majorHAnsi" w:hAnsiTheme="majorHAnsi" w:cstheme="majorBidi"/>
          <w:sz w:val="28"/>
          <w:szCs w:val="28"/>
        </w:rPr>
        <w:t xml:space="preserve"> malgré certaines réserves sur cette convention.</w:t>
      </w:r>
    </w:p>
    <w:p w:rsidR="00F447CC" w:rsidRPr="009C6AA4" w:rsidRDefault="00F447CC" w:rsidP="00232BD9">
      <w:pPr>
        <w:spacing w:line="480" w:lineRule="auto"/>
        <w:rPr>
          <w:rFonts w:asciiTheme="majorHAnsi" w:hAnsiTheme="majorHAnsi" w:cstheme="majorBidi"/>
          <w:sz w:val="28"/>
          <w:szCs w:val="28"/>
        </w:rPr>
      </w:pPr>
      <w:r w:rsidRPr="009C6AA4">
        <w:rPr>
          <w:rFonts w:asciiTheme="majorHAnsi" w:hAnsiTheme="majorHAnsi" w:cstheme="majorBidi"/>
          <w:sz w:val="28"/>
          <w:szCs w:val="28"/>
        </w:rPr>
        <w:lastRenderedPageBreak/>
        <w:t>La CNDH note cependant que le pays n’a pas encore de</w:t>
      </w:r>
      <w:r w:rsidR="006551D7">
        <w:rPr>
          <w:rFonts w:asciiTheme="majorHAnsi" w:hAnsiTheme="majorHAnsi" w:cstheme="majorBidi"/>
          <w:sz w:val="28"/>
          <w:szCs w:val="28"/>
        </w:rPr>
        <w:t xml:space="preserve"> loi sur le genre</w:t>
      </w:r>
      <w:r w:rsidR="00C97F93" w:rsidRPr="009C6AA4">
        <w:rPr>
          <w:rFonts w:asciiTheme="majorHAnsi" w:hAnsiTheme="majorHAnsi" w:cstheme="majorBidi"/>
          <w:sz w:val="28"/>
          <w:szCs w:val="28"/>
        </w:rPr>
        <w:t xml:space="preserve">. Le projet de loi de lutte contre les  violences basées sur le </w:t>
      </w:r>
      <w:r w:rsidR="00081451" w:rsidRPr="009C6AA4">
        <w:rPr>
          <w:rFonts w:asciiTheme="majorHAnsi" w:hAnsiTheme="majorHAnsi" w:cstheme="majorBidi"/>
          <w:sz w:val="28"/>
          <w:szCs w:val="28"/>
        </w:rPr>
        <w:t>genre,</w:t>
      </w:r>
      <w:r w:rsidR="00081451">
        <w:rPr>
          <w:rFonts w:asciiTheme="majorHAnsi" w:hAnsiTheme="majorHAnsi" w:cstheme="majorBidi"/>
          <w:sz w:val="28"/>
          <w:szCs w:val="28"/>
        </w:rPr>
        <w:t xml:space="preserve"> présenté au Parlement pour adoption fut</w:t>
      </w:r>
      <w:r w:rsidR="006551D7">
        <w:rPr>
          <w:rFonts w:asciiTheme="majorHAnsi" w:hAnsiTheme="majorHAnsi" w:cstheme="majorBidi"/>
          <w:sz w:val="28"/>
          <w:szCs w:val="28"/>
        </w:rPr>
        <w:t xml:space="preserve"> retiré  suite à certaines pressions</w:t>
      </w:r>
      <w:r w:rsidR="00081451">
        <w:rPr>
          <w:rFonts w:asciiTheme="majorHAnsi" w:hAnsiTheme="majorHAnsi" w:cstheme="majorBidi"/>
          <w:sz w:val="28"/>
          <w:szCs w:val="28"/>
        </w:rPr>
        <w:t>.</w:t>
      </w:r>
      <w:r w:rsidR="00744C06" w:rsidRPr="009C6AA4">
        <w:rPr>
          <w:rFonts w:asciiTheme="majorHAnsi" w:hAnsiTheme="majorHAnsi" w:cstheme="majorBidi"/>
          <w:sz w:val="28"/>
          <w:szCs w:val="28"/>
        </w:rPr>
        <w:t xml:space="preserve"> </w:t>
      </w:r>
      <w:r w:rsidR="00C97F93" w:rsidRPr="009C6AA4">
        <w:rPr>
          <w:rFonts w:asciiTheme="majorHAnsi" w:hAnsiTheme="majorHAnsi" w:cstheme="majorBidi"/>
          <w:sz w:val="28"/>
          <w:szCs w:val="28"/>
        </w:rPr>
        <w:t xml:space="preserve">La CNDH considère </w:t>
      </w:r>
      <w:r w:rsidR="006551D7">
        <w:rPr>
          <w:rFonts w:asciiTheme="majorHAnsi" w:hAnsiTheme="majorHAnsi" w:cstheme="majorBidi"/>
          <w:sz w:val="28"/>
          <w:szCs w:val="28"/>
        </w:rPr>
        <w:t>que la promulgation de code</w:t>
      </w:r>
      <w:r w:rsidR="00C97F93" w:rsidRPr="009C6AA4">
        <w:rPr>
          <w:rFonts w:asciiTheme="majorHAnsi" w:hAnsiTheme="majorHAnsi" w:cstheme="majorBidi"/>
          <w:sz w:val="28"/>
          <w:szCs w:val="28"/>
        </w:rPr>
        <w:t xml:space="preserve"> est vitale pour la reconnaissance des droits de la femme et la prise en charge  des femmes victimes de mauvais traitements.</w:t>
      </w:r>
    </w:p>
    <w:p w:rsidR="00C97F93" w:rsidRPr="009C6AA4" w:rsidRDefault="00C97F93" w:rsidP="00232BD9">
      <w:pPr>
        <w:spacing w:line="480" w:lineRule="auto"/>
        <w:rPr>
          <w:rFonts w:asciiTheme="majorHAnsi" w:hAnsiTheme="majorHAnsi" w:cstheme="majorBidi"/>
          <w:sz w:val="28"/>
          <w:szCs w:val="28"/>
        </w:rPr>
      </w:pPr>
      <w:r w:rsidRPr="009C6AA4">
        <w:rPr>
          <w:rFonts w:asciiTheme="majorHAnsi" w:hAnsiTheme="majorHAnsi" w:cstheme="majorBidi"/>
          <w:sz w:val="28"/>
          <w:szCs w:val="28"/>
        </w:rPr>
        <w:t>Pour une meilleure prise en compte des problèmes liés aux droits des femmes, la CNDH a organisé plusieurs espaces de dialogues avec les associations de la société civile  travaillant dans ce domaine, et a aussi tenu plusieurs rencontres avec les départements ministériels concernés.</w:t>
      </w:r>
    </w:p>
    <w:p w:rsidR="00744C06" w:rsidRPr="009C6AA4" w:rsidRDefault="00744C06" w:rsidP="00232BD9">
      <w:pPr>
        <w:spacing w:line="480" w:lineRule="auto"/>
        <w:rPr>
          <w:rFonts w:asciiTheme="majorHAnsi" w:hAnsiTheme="majorHAnsi" w:cstheme="majorBidi"/>
          <w:sz w:val="28"/>
          <w:szCs w:val="28"/>
        </w:rPr>
      </w:pPr>
      <w:r w:rsidRPr="009C6AA4">
        <w:rPr>
          <w:rFonts w:asciiTheme="majorHAnsi" w:hAnsiTheme="majorHAnsi" w:cstheme="majorBidi"/>
          <w:sz w:val="28"/>
          <w:szCs w:val="28"/>
        </w:rPr>
        <w:t>L a CNDH a aussi organisé plusieurs plaidoyers au niveau du Parlement sur le projet de loi relatif aux violences basées sur le genre.</w:t>
      </w:r>
      <w:r w:rsidR="008E73ED" w:rsidRPr="009C6AA4">
        <w:rPr>
          <w:rFonts w:asciiTheme="majorHAnsi" w:hAnsiTheme="majorHAnsi" w:cstheme="majorBidi"/>
          <w:sz w:val="28"/>
          <w:szCs w:val="28"/>
        </w:rPr>
        <w:t xml:space="preserve"> </w:t>
      </w:r>
    </w:p>
    <w:p w:rsidR="009B2E9B" w:rsidRPr="009C6AA4" w:rsidRDefault="009B2E9B" w:rsidP="00232BD9">
      <w:pPr>
        <w:spacing w:after="148" w:line="480" w:lineRule="auto"/>
        <w:jc w:val="left"/>
        <w:rPr>
          <w:rFonts w:asciiTheme="majorHAnsi" w:hAnsiTheme="majorHAnsi" w:cstheme="majorBidi"/>
          <w:sz w:val="28"/>
          <w:szCs w:val="28"/>
        </w:rPr>
      </w:pPr>
      <w:r w:rsidRPr="009C6AA4">
        <w:rPr>
          <w:rFonts w:asciiTheme="majorHAnsi" w:hAnsiTheme="majorHAnsi" w:cstheme="majorBidi"/>
          <w:sz w:val="28"/>
          <w:szCs w:val="28"/>
        </w:rPr>
        <w:t xml:space="preserve">S’agissant de la recommandation relative à la prévention de la torture, la CNDH remarque  que  la Mauritanie a adhéré le 17 novembre 2004 à la Convention des Nations Unies contre la torture et autres peines ou traitements cruels, inhumains ou dégradants et à son protocole facultatif (OPCAT). L’application de ces deux instruments a été traduite par l’adoption en 2015 de la loi incriminant la torture et la loi portant création d’un Mécanisme National de Prévention de la Torture (MNP).  </w:t>
      </w:r>
    </w:p>
    <w:p w:rsidR="009B2E9B" w:rsidRPr="009C6AA4" w:rsidRDefault="009B2E9B" w:rsidP="00232BD9">
      <w:pPr>
        <w:spacing w:line="480" w:lineRule="auto"/>
        <w:jc w:val="left"/>
        <w:rPr>
          <w:rFonts w:asciiTheme="majorHAnsi" w:hAnsiTheme="majorHAnsi" w:cstheme="majorBidi"/>
          <w:sz w:val="28"/>
          <w:szCs w:val="28"/>
        </w:rPr>
      </w:pPr>
      <w:r w:rsidRPr="009C6AA4">
        <w:rPr>
          <w:rFonts w:asciiTheme="majorHAnsi" w:hAnsiTheme="majorHAnsi" w:cstheme="majorBidi"/>
          <w:sz w:val="28"/>
          <w:szCs w:val="28"/>
        </w:rPr>
        <w:t xml:space="preserve">La loi incriminant la torture la réprime en tant que crime contre l’humanité conformément aux dispositions constitutionnelles. Elle la définit tout en la </w:t>
      </w:r>
      <w:r w:rsidRPr="009C6AA4">
        <w:rPr>
          <w:rFonts w:asciiTheme="majorHAnsi" w:hAnsiTheme="majorHAnsi" w:cstheme="majorBidi"/>
          <w:sz w:val="28"/>
          <w:szCs w:val="28"/>
        </w:rPr>
        <w:lastRenderedPageBreak/>
        <w:t xml:space="preserve">qualifiant de crime imprescriptible contre l’humanité afin de prévoir la sanction adéquate. Elle intègre les dispositions de la Convention des Nations Unies sur la prévention de la torture et la réparation de ses victimes. </w:t>
      </w:r>
    </w:p>
    <w:p w:rsidR="009B2E9B" w:rsidRPr="009C6AA4" w:rsidRDefault="009B2E9B" w:rsidP="00232BD9">
      <w:pPr>
        <w:spacing w:line="480" w:lineRule="auto"/>
        <w:jc w:val="left"/>
        <w:rPr>
          <w:rFonts w:asciiTheme="majorHAnsi" w:hAnsiTheme="majorHAnsi" w:cstheme="majorBidi"/>
          <w:sz w:val="28"/>
          <w:szCs w:val="28"/>
        </w:rPr>
      </w:pPr>
      <w:r w:rsidRPr="009C6AA4">
        <w:rPr>
          <w:rFonts w:asciiTheme="majorHAnsi" w:hAnsiTheme="majorHAnsi" w:cstheme="majorBidi"/>
          <w:sz w:val="28"/>
          <w:szCs w:val="28"/>
        </w:rPr>
        <w:t>La CNDH a contribué à la vulgarisation de cette loi par une série de conférences portant sur la thématique de la torture , ainsi que par plusieurs activités de sensibilisation  et de vulgarisation au profit des autorités  judiciaires , administratives, auxiliaires de justice , membres des forces de sécurité et organisations de la société civile.</w:t>
      </w:r>
    </w:p>
    <w:p w:rsidR="009B2E9B" w:rsidRPr="009C6AA4" w:rsidRDefault="009B2E9B" w:rsidP="00232BD9">
      <w:pPr>
        <w:spacing w:line="480" w:lineRule="auto"/>
        <w:jc w:val="left"/>
        <w:rPr>
          <w:rFonts w:asciiTheme="majorHAnsi" w:hAnsiTheme="majorHAnsi" w:cstheme="majorBidi"/>
          <w:sz w:val="28"/>
          <w:szCs w:val="28"/>
        </w:rPr>
      </w:pPr>
      <w:r w:rsidRPr="009C6AA4">
        <w:rPr>
          <w:rFonts w:asciiTheme="majorHAnsi" w:hAnsiTheme="majorHAnsi" w:cstheme="majorBidi"/>
          <w:sz w:val="28"/>
          <w:szCs w:val="28"/>
        </w:rPr>
        <w:t>Cependant, la CNDH reste préoccupée par le fait que le code pénal n’a pas été harmonisé avec les dispositions de la convention contre la torture. Dans ce cadre, la CNDH recommande à l’Etat  d’harmoniser son code pénal avec les dispositions  de la Convention des Na</w:t>
      </w:r>
      <w:r w:rsidR="00E20EF8">
        <w:rPr>
          <w:rFonts w:asciiTheme="majorHAnsi" w:hAnsiTheme="majorHAnsi" w:cstheme="majorBidi"/>
          <w:sz w:val="28"/>
          <w:szCs w:val="28"/>
        </w:rPr>
        <w:t xml:space="preserve">tions Unies sur </w:t>
      </w:r>
      <w:r w:rsidRPr="009C6AA4">
        <w:rPr>
          <w:rFonts w:asciiTheme="majorHAnsi" w:hAnsiTheme="majorHAnsi" w:cstheme="majorBidi"/>
          <w:sz w:val="28"/>
          <w:szCs w:val="28"/>
        </w:rPr>
        <w:t xml:space="preserve"> la torture.</w:t>
      </w:r>
    </w:p>
    <w:p w:rsidR="009B2E9B" w:rsidRPr="009C6AA4" w:rsidRDefault="009B2E9B" w:rsidP="00232BD9">
      <w:pPr>
        <w:spacing w:after="108" w:line="480" w:lineRule="auto"/>
        <w:ind w:right="16"/>
        <w:jc w:val="left"/>
        <w:rPr>
          <w:rFonts w:asciiTheme="majorHAnsi" w:hAnsiTheme="majorHAnsi" w:cstheme="majorBidi"/>
          <w:bCs/>
          <w:sz w:val="28"/>
          <w:szCs w:val="28"/>
        </w:rPr>
      </w:pPr>
      <w:r w:rsidRPr="009C6AA4">
        <w:rPr>
          <w:rFonts w:asciiTheme="majorHAnsi" w:hAnsiTheme="majorHAnsi" w:cstheme="majorBidi"/>
          <w:bCs/>
          <w:sz w:val="28"/>
          <w:szCs w:val="28"/>
        </w:rPr>
        <w:t xml:space="preserve">La CNDH note  aussi  que les allégations de torture et mauvais traitements perdurent dans les lieux de privation de liberté, notamment dans les commissariats de police, au cours de la garde à </w:t>
      </w:r>
      <w:r w:rsidR="00CB717E" w:rsidRPr="009C6AA4">
        <w:rPr>
          <w:rFonts w:asciiTheme="majorHAnsi" w:hAnsiTheme="majorHAnsi" w:cstheme="majorBidi"/>
          <w:bCs/>
          <w:sz w:val="28"/>
          <w:szCs w:val="28"/>
        </w:rPr>
        <w:t>vue.</w:t>
      </w:r>
    </w:p>
    <w:p w:rsidR="009B2E9B" w:rsidRPr="009C6AA4" w:rsidRDefault="009B2E9B" w:rsidP="00232BD9">
      <w:pPr>
        <w:spacing w:after="108" w:line="480" w:lineRule="auto"/>
        <w:ind w:right="16"/>
        <w:jc w:val="left"/>
        <w:rPr>
          <w:rFonts w:asciiTheme="majorHAnsi" w:hAnsiTheme="majorHAnsi" w:cstheme="majorBidi"/>
          <w:bCs/>
          <w:sz w:val="28"/>
          <w:szCs w:val="28"/>
        </w:rPr>
      </w:pPr>
      <w:r w:rsidRPr="009C6AA4">
        <w:rPr>
          <w:rFonts w:asciiTheme="majorHAnsi" w:hAnsiTheme="majorHAnsi" w:cstheme="majorBidi"/>
          <w:bCs/>
          <w:sz w:val="28"/>
          <w:szCs w:val="28"/>
        </w:rPr>
        <w:t>C’est ainsi que des plaintes ont été enregistrées au niveau de la CNDH et aux allégations de mauvais traitements subis par des gardés à vue dans plusieurs commissariats de police notamment à Nouakchott.</w:t>
      </w:r>
    </w:p>
    <w:p w:rsidR="009B2E9B" w:rsidRPr="009C6AA4" w:rsidRDefault="009B2E9B" w:rsidP="00232BD9">
      <w:pPr>
        <w:spacing w:after="108" w:line="480" w:lineRule="auto"/>
        <w:ind w:right="16"/>
        <w:jc w:val="left"/>
        <w:rPr>
          <w:rFonts w:asciiTheme="majorHAnsi" w:hAnsiTheme="majorHAnsi" w:cstheme="majorBidi"/>
          <w:bCs/>
          <w:sz w:val="28"/>
          <w:szCs w:val="28"/>
        </w:rPr>
      </w:pPr>
      <w:r w:rsidRPr="009C6AA4">
        <w:rPr>
          <w:rFonts w:asciiTheme="majorHAnsi" w:hAnsiTheme="majorHAnsi" w:cstheme="majorBidi"/>
          <w:bCs/>
          <w:sz w:val="28"/>
          <w:szCs w:val="28"/>
        </w:rPr>
        <w:lastRenderedPageBreak/>
        <w:t xml:space="preserve">Suite à ces allégations, la CNDH a procédé à des enquêtes et apporté une assistance juridique aux </w:t>
      </w:r>
      <w:r w:rsidR="00E20EF8" w:rsidRPr="009C6AA4">
        <w:rPr>
          <w:rFonts w:asciiTheme="majorHAnsi" w:hAnsiTheme="majorHAnsi" w:cstheme="majorBidi"/>
          <w:bCs/>
          <w:sz w:val="28"/>
          <w:szCs w:val="28"/>
        </w:rPr>
        <w:t>plaignants.</w:t>
      </w:r>
      <w:r w:rsidR="00E20EF8">
        <w:rPr>
          <w:rFonts w:asciiTheme="majorHAnsi" w:hAnsiTheme="majorHAnsi" w:cstheme="majorBidi"/>
          <w:bCs/>
          <w:sz w:val="28"/>
          <w:szCs w:val="28"/>
        </w:rPr>
        <w:t xml:space="preserve"> Cependant, il est constaté  et déploré que les autorités procèdent rarement  à l’ouverture d’enquêtes à l’issue  des plaintes  et encore moins  des mesures et sanctions  appropriées.</w:t>
      </w:r>
    </w:p>
    <w:p w:rsidR="00752C00" w:rsidRPr="009C6AA4" w:rsidRDefault="008121B3" w:rsidP="00232BD9">
      <w:pPr>
        <w:spacing w:after="108" w:line="480" w:lineRule="auto"/>
        <w:ind w:right="16"/>
        <w:jc w:val="left"/>
        <w:rPr>
          <w:rFonts w:asciiTheme="majorHAnsi" w:hAnsiTheme="majorHAnsi" w:cstheme="majorBidi"/>
          <w:bCs/>
          <w:sz w:val="28"/>
          <w:szCs w:val="28"/>
        </w:rPr>
      </w:pPr>
      <w:r>
        <w:rPr>
          <w:rFonts w:asciiTheme="majorHAnsi" w:hAnsiTheme="majorHAnsi" w:cstheme="majorBidi"/>
          <w:bCs/>
          <w:sz w:val="28"/>
          <w:szCs w:val="28"/>
        </w:rPr>
        <w:t>Quant</w:t>
      </w:r>
      <w:r w:rsidR="00752C00" w:rsidRPr="009C6AA4">
        <w:rPr>
          <w:rFonts w:asciiTheme="majorHAnsi" w:hAnsiTheme="majorHAnsi" w:cstheme="majorBidi"/>
          <w:bCs/>
          <w:sz w:val="28"/>
          <w:szCs w:val="28"/>
        </w:rPr>
        <w:t xml:space="preserve"> à la lutte contre l’esclavage, la CNDH note avec satisfaction </w:t>
      </w:r>
      <w:r w:rsidR="00C2363B" w:rsidRPr="009C6AA4">
        <w:rPr>
          <w:rFonts w:asciiTheme="majorHAnsi" w:hAnsiTheme="majorHAnsi" w:cstheme="majorBidi"/>
          <w:bCs/>
          <w:sz w:val="28"/>
          <w:szCs w:val="28"/>
        </w:rPr>
        <w:t xml:space="preserve"> l’adoption d’une feuille de route  pour l’éradication  des formes contemporaines de l’esclavage  et la mise sur pied d’un comité interministériel  présidé par le Premier Ministre. Ce comité est chargé de la mise en œuvre  des 29 recommandations  de la dite feuille de route  sur les formes contemporaines de l’esclavage.</w:t>
      </w:r>
    </w:p>
    <w:p w:rsidR="00260965" w:rsidRPr="009C6AA4" w:rsidRDefault="0086558F" w:rsidP="00657D49">
      <w:pPr>
        <w:spacing w:after="108" w:line="480" w:lineRule="auto"/>
        <w:ind w:right="16"/>
        <w:jc w:val="left"/>
        <w:rPr>
          <w:rFonts w:asciiTheme="majorHAnsi" w:hAnsiTheme="majorHAnsi" w:cstheme="majorBidi"/>
          <w:bCs/>
          <w:sz w:val="28"/>
          <w:szCs w:val="28"/>
        </w:rPr>
      </w:pPr>
      <w:r w:rsidRPr="009C6AA4">
        <w:rPr>
          <w:rFonts w:asciiTheme="majorHAnsi" w:hAnsiTheme="majorHAnsi" w:cstheme="majorBidi"/>
          <w:bCs/>
          <w:sz w:val="28"/>
          <w:szCs w:val="28"/>
        </w:rPr>
        <w:t xml:space="preserve">La CNDH a organisé plusieurs activités liées à cette thématique dont notamment des campagnes  de sensibilisation  et des ateliers au profit des organisations  de la société </w:t>
      </w:r>
      <w:r w:rsidR="00085277" w:rsidRPr="009C6AA4">
        <w:rPr>
          <w:rFonts w:asciiTheme="majorHAnsi" w:hAnsiTheme="majorHAnsi" w:cstheme="majorBidi"/>
          <w:bCs/>
          <w:sz w:val="28"/>
          <w:szCs w:val="28"/>
        </w:rPr>
        <w:t xml:space="preserve">civile. </w:t>
      </w:r>
      <w:r w:rsidRPr="009C6AA4">
        <w:rPr>
          <w:rFonts w:asciiTheme="majorHAnsi" w:hAnsiTheme="majorHAnsi" w:cstheme="majorBidi"/>
          <w:bCs/>
          <w:sz w:val="28"/>
          <w:szCs w:val="28"/>
        </w:rPr>
        <w:t>Des caravanes de sensibilisation ont aussi été conduites à l’intérieur du pays.</w:t>
      </w:r>
    </w:p>
    <w:p w:rsidR="007F6FFB" w:rsidRDefault="00657D49" w:rsidP="00232BD9">
      <w:pPr>
        <w:spacing w:after="108" w:line="480" w:lineRule="auto"/>
        <w:ind w:right="16"/>
        <w:jc w:val="left"/>
        <w:rPr>
          <w:rFonts w:asciiTheme="majorHAnsi" w:hAnsiTheme="majorHAnsi" w:cstheme="majorBidi"/>
          <w:sz w:val="28"/>
          <w:szCs w:val="28"/>
        </w:rPr>
      </w:pPr>
      <w:r>
        <w:rPr>
          <w:rFonts w:asciiTheme="majorHAnsi" w:hAnsiTheme="majorHAnsi" w:cstheme="majorBidi"/>
          <w:sz w:val="28"/>
          <w:szCs w:val="28"/>
        </w:rPr>
        <w:t xml:space="preserve">S’agissant du droit d’association, </w:t>
      </w:r>
      <w:r w:rsidRPr="009C6AA4">
        <w:rPr>
          <w:rFonts w:asciiTheme="majorHAnsi" w:hAnsiTheme="majorHAnsi" w:cstheme="majorBidi"/>
          <w:sz w:val="28"/>
          <w:szCs w:val="28"/>
        </w:rPr>
        <w:t>la</w:t>
      </w:r>
      <w:r w:rsidR="00260965" w:rsidRPr="009C6AA4">
        <w:rPr>
          <w:rFonts w:asciiTheme="majorHAnsi" w:hAnsiTheme="majorHAnsi" w:cstheme="majorBidi"/>
          <w:sz w:val="28"/>
          <w:szCs w:val="28"/>
        </w:rPr>
        <w:t xml:space="preserve"> Constitution mauritanienne garantit la liberté d’association,</w:t>
      </w:r>
      <w:r w:rsidR="007F6FFB">
        <w:rPr>
          <w:rFonts w:asciiTheme="majorHAnsi" w:hAnsiTheme="majorHAnsi" w:cstheme="majorBidi"/>
          <w:sz w:val="28"/>
          <w:szCs w:val="28"/>
        </w:rPr>
        <w:t xml:space="preserve"> cependant , en pratique l’exercice de ce droit est soumis à</w:t>
      </w:r>
      <w:r w:rsidR="00260965" w:rsidRPr="009C6AA4">
        <w:rPr>
          <w:rFonts w:asciiTheme="majorHAnsi" w:hAnsiTheme="majorHAnsi" w:cstheme="majorBidi"/>
          <w:sz w:val="28"/>
          <w:szCs w:val="28"/>
        </w:rPr>
        <w:t xml:space="preserve"> </w:t>
      </w:r>
      <w:r w:rsidR="007F6FFB">
        <w:rPr>
          <w:rFonts w:asciiTheme="majorHAnsi" w:hAnsiTheme="majorHAnsi" w:cstheme="majorBidi"/>
          <w:sz w:val="28"/>
          <w:szCs w:val="28"/>
        </w:rPr>
        <w:t>l’autorisation qui n’est pas facile obtenir</w:t>
      </w:r>
      <w:r w:rsidR="00260965" w:rsidRPr="009C6AA4">
        <w:rPr>
          <w:rFonts w:asciiTheme="majorHAnsi" w:hAnsiTheme="majorHAnsi" w:cstheme="majorBidi"/>
          <w:sz w:val="28"/>
          <w:szCs w:val="28"/>
        </w:rPr>
        <w:t xml:space="preserve">. </w:t>
      </w:r>
    </w:p>
    <w:p w:rsidR="00657D49" w:rsidRDefault="00260965" w:rsidP="00232BD9">
      <w:pPr>
        <w:spacing w:after="108" w:line="480" w:lineRule="auto"/>
        <w:ind w:right="16"/>
        <w:jc w:val="left"/>
        <w:rPr>
          <w:rFonts w:asciiTheme="majorHAnsi" w:hAnsiTheme="majorHAnsi" w:cstheme="majorBidi"/>
          <w:sz w:val="28"/>
          <w:szCs w:val="28"/>
        </w:rPr>
      </w:pPr>
      <w:r w:rsidRPr="009C6AA4">
        <w:rPr>
          <w:rFonts w:asciiTheme="majorHAnsi" w:hAnsiTheme="majorHAnsi" w:cstheme="majorBidi"/>
          <w:sz w:val="28"/>
          <w:szCs w:val="28"/>
        </w:rPr>
        <w:t>L’environnement pour la société civile et les ONG s’est amélioré pendant les dernières années, avec une réduction des limitations de leu</w:t>
      </w:r>
      <w:r w:rsidR="00657D49">
        <w:rPr>
          <w:rFonts w:asciiTheme="majorHAnsi" w:hAnsiTheme="majorHAnsi" w:cstheme="majorBidi"/>
          <w:sz w:val="28"/>
          <w:szCs w:val="28"/>
        </w:rPr>
        <w:t xml:space="preserve">rs activités. </w:t>
      </w:r>
    </w:p>
    <w:p w:rsidR="00260965" w:rsidRPr="009C6AA4" w:rsidRDefault="00657D49" w:rsidP="00232BD9">
      <w:pPr>
        <w:spacing w:after="108" w:line="480" w:lineRule="auto"/>
        <w:ind w:right="16"/>
        <w:jc w:val="left"/>
        <w:rPr>
          <w:rFonts w:asciiTheme="majorHAnsi" w:hAnsiTheme="majorHAnsi" w:cstheme="majorBidi"/>
          <w:bCs/>
          <w:sz w:val="28"/>
          <w:szCs w:val="28"/>
        </w:rPr>
      </w:pPr>
      <w:r>
        <w:rPr>
          <w:rFonts w:asciiTheme="majorHAnsi" w:hAnsiTheme="majorHAnsi" w:cstheme="majorBidi"/>
          <w:sz w:val="28"/>
          <w:szCs w:val="28"/>
        </w:rPr>
        <w:t>Notre institution recommande cependant l’adoption d’</w:t>
      </w:r>
      <w:r w:rsidRPr="009C6AA4">
        <w:rPr>
          <w:rFonts w:asciiTheme="majorHAnsi" w:hAnsiTheme="majorHAnsi" w:cstheme="majorBidi"/>
          <w:sz w:val="28"/>
          <w:szCs w:val="28"/>
        </w:rPr>
        <w:t>une</w:t>
      </w:r>
      <w:r w:rsidR="00260965" w:rsidRPr="009C6AA4">
        <w:rPr>
          <w:rFonts w:asciiTheme="majorHAnsi" w:hAnsiTheme="majorHAnsi" w:cstheme="majorBidi"/>
          <w:sz w:val="28"/>
          <w:szCs w:val="28"/>
        </w:rPr>
        <w:t xml:space="preserve"> loi des associations</w:t>
      </w:r>
      <w:r w:rsidR="007F6FFB">
        <w:rPr>
          <w:rFonts w:asciiTheme="majorHAnsi" w:hAnsiTheme="majorHAnsi" w:cstheme="majorBidi"/>
          <w:sz w:val="28"/>
          <w:szCs w:val="28"/>
        </w:rPr>
        <w:t xml:space="preserve"> qui prévoit</w:t>
      </w:r>
      <w:r w:rsidR="00260965" w:rsidRPr="009C6AA4">
        <w:rPr>
          <w:rFonts w:asciiTheme="majorHAnsi" w:hAnsiTheme="majorHAnsi" w:cstheme="majorBidi"/>
          <w:sz w:val="28"/>
          <w:szCs w:val="28"/>
        </w:rPr>
        <w:t xml:space="preserve"> des procédures simples pour leur création et </w:t>
      </w:r>
      <w:r w:rsidR="007F6FFB">
        <w:rPr>
          <w:rFonts w:asciiTheme="majorHAnsi" w:hAnsiTheme="majorHAnsi" w:cstheme="majorBidi"/>
          <w:sz w:val="28"/>
          <w:szCs w:val="28"/>
        </w:rPr>
        <w:t xml:space="preserve"> la </w:t>
      </w:r>
      <w:r w:rsidR="007F6FFB">
        <w:rPr>
          <w:rFonts w:asciiTheme="majorHAnsi" w:hAnsiTheme="majorHAnsi" w:cstheme="majorBidi"/>
          <w:sz w:val="28"/>
          <w:szCs w:val="28"/>
        </w:rPr>
        <w:lastRenderedPageBreak/>
        <w:t xml:space="preserve">soumission au système déclaratif </w:t>
      </w:r>
      <w:r w:rsidR="00260965" w:rsidRPr="009C6AA4">
        <w:rPr>
          <w:rFonts w:asciiTheme="majorHAnsi" w:hAnsiTheme="majorHAnsi" w:cstheme="majorBidi"/>
          <w:sz w:val="28"/>
          <w:szCs w:val="28"/>
        </w:rPr>
        <w:t xml:space="preserve"> pour accorder automatiquement la personnalité juridique aux associations, de sorte qu’elles puissent opérer.</w:t>
      </w:r>
    </w:p>
    <w:p w:rsidR="008E449A" w:rsidRPr="009C6AA4" w:rsidRDefault="0054510D" w:rsidP="00232BD9">
      <w:pPr>
        <w:tabs>
          <w:tab w:val="center" w:pos="126"/>
          <w:tab w:val="center" w:pos="985"/>
        </w:tabs>
        <w:spacing w:after="275" w:line="480" w:lineRule="auto"/>
        <w:jc w:val="left"/>
        <w:rPr>
          <w:rFonts w:asciiTheme="majorHAnsi" w:hAnsiTheme="majorHAnsi" w:cstheme="majorBidi"/>
          <w:sz w:val="28"/>
          <w:szCs w:val="28"/>
        </w:rPr>
      </w:pPr>
      <w:r>
        <w:rPr>
          <w:rFonts w:asciiTheme="majorHAnsi" w:hAnsiTheme="majorHAnsi" w:cstheme="majorBidi"/>
          <w:bCs/>
          <w:sz w:val="28"/>
          <w:szCs w:val="28"/>
        </w:rPr>
        <w:t>Quant</w:t>
      </w:r>
      <w:r w:rsidR="008E449A" w:rsidRPr="009C6AA4">
        <w:rPr>
          <w:rFonts w:asciiTheme="majorHAnsi" w:hAnsiTheme="majorHAnsi" w:cstheme="majorBidi"/>
          <w:bCs/>
          <w:sz w:val="28"/>
          <w:szCs w:val="28"/>
        </w:rPr>
        <w:t xml:space="preserve"> à la peine de mort,</w:t>
      </w:r>
      <w:r w:rsidR="008E449A" w:rsidRPr="009C6AA4">
        <w:rPr>
          <w:rFonts w:asciiTheme="majorHAnsi" w:hAnsiTheme="majorHAnsi" w:cstheme="majorBidi"/>
          <w:sz w:val="28"/>
          <w:szCs w:val="28"/>
        </w:rPr>
        <w:t xml:space="preserve"> la CNDH en tant que institution de défense des droits humains, </w:t>
      </w:r>
      <w:r w:rsidR="007F6FFB">
        <w:rPr>
          <w:rFonts w:asciiTheme="majorHAnsi" w:hAnsiTheme="majorHAnsi" w:cstheme="majorBidi"/>
          <w:sz w:val="28"/>
          <w:szCs w:val="28"/>
        </w:rPr>
        <w:t xml:space="preserve"> constate qu’a défaut d’une abolition  de la peine de mort ,</w:t>
      </w:r>
      <w:r w:rsidR="008E449A" w:rsidRPr="009C6AA4">
        <w:rPr>
          <w:rFonts w:asciiTheme="majorHAnsi" w:hAnsiTheme="majorHAnsi" w:cstheme="majorBidi"/>
          <w:sz w:val="28"/>
          <w:szCs w:val="28"/>
        </w:rPr>
        <w:t xml:space="preserve">la communion des peines </w:t>
      </w:r>
      <w:r w:rsidR="00085277" w:rsidRPr="009C6AA4">
        <w:rPr>
          <w:rFonts w:asciiTheme="majorHAnsi" w:hAnsiTheme="majorHAnsi" w:cstheme="majorBidi"/>
          <w:sz w:val="28"/>
          <w:szCs w:val="28"/>
        </w:rPr>
        <w:t>infamantes (lapidation,</w:t>
      </w:r>
      <w:r w:rsidR="008E449A" w:rsidRPr="009C6AA4">
        <w:rPr>
          <w:rFonts w:asciiTheme="majorHAnsi" w:hAnsiTheme="majorHAnsi" w:cstheme="majorBidi"/>
          <w:sz w:val="28"/>
          <w:szCs w:val="28"/>
        </w:rPr>
        <w:t xml:space="preserve"> </w:t>
      </w:r>
      <w:r w:rsidR="00085277" w:rsidRPr="009C6AA4">
        <w:rPr>
          <w:rFonts w:asciiTheme="majorHAnsi" w:hAnsiTheme="majorHAnsi" w:cstheme="majorBidi"/>
          <w:sz w:val="28"/>
          <w:szCs w:val="28"/>
        </w:rPr>
        <w:t>flagellation,</w:t>
      </w:r>
      <w:r w:rsidR="008E449A" w:rsidRPr="009C6AA4">
        <w:rPr>
          <w:rFonts w:asciiTheme="majorHAnsi" w:hAnsiTheme="majorHAnsi" w:cstheme="majorBidi"/>
          <w:sz w:val="28"/>
          <w:szCs w:val="28"/>
        </w:rPr>
        <w:t xml:space="preserve"> amputation des membres…).</w:t>
      </w:r>
    </w:p>
    <w:p w:rsidR="008E449A" w:rsidRPr="009C6AA4" w:rsidRDefault="008E449A" w:rsidP="00232BD9">
      <w:pPr>
        <w:tabs>
          <w:tab w:val="center" w:pos="126"/>
          <w:tab w:val="center" w:pos="985"/>
        </w:tabs>
        <w:spacing w:after="275" w:line="480" w:lineRule="auto"/>
        <w:jc w:val="left"/>
        <w:rPr>
          <w:rFonts w:asciiTheme="majorHAnsi" w:hAnsiTheme="majorHAnsi" w:cstheme="majorBidi"/>
          <w:sz w:val="28"/>
          <w:szCs w:val="28"/>
        </w:rPr>
      </w:pPr>
      <w:r w:rsidRPr="009C6AA4">
        <w:rPr>
          <w:rFonts w:asciiTheme="majorHAnsi" w:hAnsiTheme="majorHAnsi" w:cstheme="majorBidi"/>
          <w:sz w:val="28"/>
          <w:szCs w:val="28"/>
        </w:rPr>
        <w:t>La CNDH constate la persistance des décisions judiciaires relatives à la peine de mort et aux peines infamantes dont la lapidation et la flagellation.</w:t>
      </w:r>
    </w:p>
    <w:p w:rsidR="008E449A" w:rsidRPr="009C6AA4" w:rsidRDefault="008E449A" w:rsidP="00232BD9">
      <w:pPr>
        <w:tabs>
          <w:tab w:val="center" w:pos="126"/>
          <w:tab w:val="center" w:pos="985"/>
        </w:tabs>
        <w:spacing w:after="275" w:line="480" w:lineRule="auto"/>
        <w:jc w:val="left"/>
        <w:rPr>
          <w:rFonts w:asciiTheme="majorHAnsi" w:hAnsiTheme="majorHAnsi" w:cstheme="majorBidi"/>
          <w:sz w:val="28"/>
          <w:szCs w:val="28"/>
        </w:rPr>
      </w:pPr>
      <w:r w:rsidRPr="009C6AA4">
        <w:rPr>
          <w:rFonts w:asciiTheme="majorHAnsi" w:hAnsiTheme="majorHAnsi" w:cstheme="majorBidi"/>
          <w:sz w:val="28"/>
          <w:szCs w:val="28"/>
        </w:rPr>
        <w:t>Compte tenu du moratoire observé par la Mauritanie sur la peine de mort depuis une trentaine d’années et du fait que les peines infamantes ne sont pas appliquées, la CNDH est préoccupée par le sort des détenus qui restent en prison</w:t>
      </w:r>
      <w:r w:rsidR="007F6FFB">
        <w:rPr>
          <w:rFonts w:asciiTheme="majorHAnsi" w:hAnsiTheme="majorHAnsi" w:cstheme="majorBidi"/>
          <w:sz w:val="28"/>
          <w:szCs w:val="28"/>
        </w:rPr>
        <w:t xml:space="preserve"> bien qu’ayant purgé leurs peines. Ces individus purgent en effet des peines auxquelles elles ne sont pas condamnées  et des lors leur détention  est dépourvue de fondement.</w:t>
      </w:r>
    </w:p>
    <w:p w:rsidR="005049EE" w:rsidRPr="00081451" w:rsidRDefault="005049EE" w:rsidP="00440B5A">
      <w:pPr>
        <w:tabs>
          <w:tab w:val="center" w:pos="126"/>
          <w:tab w:val="center" w:pos="985"/>
        </w:tabs>
        <w:spacing w:after="275" w:line="480" w:lineRule="auto"/>
        <w:jc w:val="left"/>
        <w:rPr>
          <w:rFonts w:asciiTheme="majorHAnsi" w:hAnsiTheme="majorHAnsi" w:cstheme="majorBidi"/>
          <w:color w:val="FF0000"/>
          <w:sz w:val="28"/>
          <w:szCs w:val="28"/>
        </w:rPr>
      </w:pPr>
      <w:r w:rsidRPr="00081451">
        <w:rPr>
          <w:rFonts w:asciiTheme="majorHAnsi" w:hAnsiTheme="majorHAnsi" w:cstheme="majorBidi"/>
          <w:color w:val="auto"/>
          <w:sz w:val="28"/>
          <w:szCs w:val="28"/>
        </w:rPr>
        <w:t>S’agissant de l’ind</w:t>
      </w:r>
      <w:r w:rsidR="00440B5A" w:rsidRPr="00081451">
        <w:rPr>
          <w:rFonts w:asciiTheme="majorHAnsi" w:hAnsiTheme="majorHAnsi" w:cstheme="majorBidi"/>
          <w:color w:val="auto"/>
          <w:sz w:val="28"/>
          <w:szCs w:val="28"/>
        </w:rPr>
        <w:t>épendance du système judiciaire, l</w:t>
      </w:r>
      <w:r w:rsidR="00B272BB" w:rsidRPr="00081451">
        <w:rPr>
          <w:rFonts w:asciiTheme="majorHAnsi" w:hAnsiTheme="majorHAnsi" w:cstheme="majorBidi"/>
          <w:color w:val="auto"/>
          <w:sz w:val="28"/>
          <w:szCs w:val="28"/>
          <w:shd w:val="clear" w:color="auto" w:fill="FFFFFF"/>
        </w:rPr>
        <w:t xml:space="preserve"> e Conseil supérieur de</w:t>
      </w:r>
      <w:r w:rsidR="00440B5A" w:rsidRPr="00081451">
        <w:rPr>
          <w:rFonts w:asciiTheme="majorHAnsi" w:hAnsiTheme="majorHAnsi" w:cstheme="majorBidi"/>
          <w:color w:val="4D4D4D"/>
          <w:sz w:val="28"/>
          <w:szCs w:val="28"/>
          <w:shd w:val="clear" w:color="auto" w:fill="FFFFFF"/>
        </w:rPr>
        <w:t xml:space="preserve"> la magistrature est</w:t>
      </w:r>
      <w:r w:rsidR="00B272BB" w:rsidRPr="00081451">
        <w:rPr>
          <w:rFonts w:asciiTheme="majorHAnsi" w:hAnsiTheme="majorHAnsi" w:cstheme="majorBidi"/>
          <w:color w:val="4D4D4D"/>
          <w:sz w:val="28"/>
          <w:szCs w:val="28"/>
          <w:shd w:val="clear" w:color="auto" w:fill="FFFFFF"/>
        </w:rPr>
        <w:t> </w:t>
      </w:r>
      <w:r w:rsidR="00B272BB" w:rsidRPr="00081451">
        <w:rPr>
          <w:rStyle w:val="lev"/>
          <w:rFonts w:asciiTheme="majorHAnsi" w:hAnsiTheme="majorHAnsi" w:cstheme="majorBidi"/>
          <w:color w:val="4D4D4D"/>
          <w:sz w:val="28"/>
          <w:szCs w:val="28"/>
          <w:shd w:val="clear" w:color="auto" w:fill="FFFFFF"/>
        </w:rPr>
        <w:t>l’organe chargé par la Constitution d’assister le chef de l’État dans sa fonction de garant de l’indépendance de l’autorité judiciaire</w:t>
      </w:r>
      <w:r w:rsidR="00B272BB" w:rsidRPr="00081451">
        <w:rPr>
          <w:rFonts w:asciiTheme="majorHAnsi" w:hAnsiTheme="majorHAnsi" w:cstheme="majorBidi"/>
          <w:color w:val="4D4D4D"/>
          <w:sz w:val="28"/>
          <w:szCs w:val="28"/>
          <w:shd w:val="clear" w:color="auto" w:fill="FFFFFF"/>
        </w:rPr>
        <w:t xml:space="preserve">. À ce titre, il est principalement chargé de la gestion de la carrière des </w:t>
      </w:r>
      <w:r w:rsidR="00A14853" w:rsidRPr="00081451">
        <w:rPr>
          <w:rFonts w:asciiTheme="majorHAnsi" w:hAnsiTheme="majorHAnsi" w:cstheme="majorBidi"/>
          <w:color w:val="4D4D4D"/>
          <w:sz w:val="28"/>
          <w:szCs w:val="28"/>
          <w:shd w:val="clear" w:color="auto" w:fill="FFFFFF"/>
        </w:rPr>
        <w:t xml:space="preserve">magistrats. La CNDH note </w:t>
      </w:r>
      <w:r w:rsidR="00440B5A" w:rsidRPr="00081451">
        <w:rPr>
          <w:rFonts w:asciiTheme="majorHAnsi" w:hAnsiTheme="majorHAnsi" w:cstheme="majorBidi"/>
          <w:color w:val="4D4D4D"/>
          <w:sz w:val="28"/>
          <w:szCs w:val="28"/>
          <w:shd w:val="clear" w:color="auto" w:fill="FFFFFF"/>
        </w:rPr>
        <w:t xml:space="preserve"> </w:t>
      </w:r>
      <w:r w:rsidR="00A14853" w:rsidRPr="00081451">
        <w:rPr>
          <w:rFonts w:asciiTheme="majorHAnsi" w:hAnsiTheme="majorHAnsi" w:cstheme="majorBidi"/>
          <w:color w:val="4D4D4D"/>
          <w:sz w:val="28"/>
          <w:szCs w:val="28"/>
          <w:shd w:val="clear" w:color="auto" w:fill="FFFFFF"/>
        </w:rPr>
        <w:t xml:space="preserve">que malgré l’existence de cette institution, la carrière des magistrats reste gérée par le pouvoir </w:t>
      </w:r>
      <w:r w:rsidR="00F70E7A" w:rsidRPr="00081451">
        <w:rPr>
          <w:rFonts w:asciiTheme="majorHAnsi" w:hAnsiTheme="majorHAnsi" w:cstheme="majorBidi"/>
          <w:color w:val="4D4D4D"/>
          <w:sz w:val="28"/>
          <w:szCs w:val="28"/>
          <w:shd w:val="clear" w:color="auto" w:fill="FFFFFF"/>
        </w:rPr>
        <w:t>exécutif,</w:t>
      </w:r>
      <w:r w:rsidR="00A14853" w:rsidRPr="00081451">
        <w:rPr>
          <w:rFonts w:asciiTheme="majorHAnsi" w:hAnsiTheme="majorHAnsi" w:cstheme="majorBidi"/>
          <w:color w:val="4D4D4D"/>
          <w:sz w:val="28"/>
          <w:szCs w:val="28"/>
          <w:shd w:val="clear" w:color="auto" w:fill="FFFFFF"/>
        </w:rPr>
        <w:t xml:space="preserve"> qui  </w:t>
      </w:r>
      <w:r w:rsidR="00A14853" w:rsidRPr="00081451">
        <w:rPr>
          <w:rFonts w:asciiTheme="majorHAnsi" w:hAnsiTheme="majorHAnsi" w:cstheme="majorBidi"/>
          <w:color w:val="4D4D4D"/>
          <w:sz w:val="28"/>
          <w:szCs w:val="28"/>
          <w:shd w:val="clear" w:color="auto" w:fill="FFFFFF"/>
        </w:rPr>
        <w:lastRenderedPageBreak/>
        <w:t xml:space="preserve">procède à sa guise  à la mutation </w:t>
      </w:r>
      <w:r w:rsidR="00A01E86" w:rsidRPr="00081451">
        <w:rPr>
          <w:rFonts w:asciiTheme="majorHAnsi" w:hAnsiTheme="majorHAnsi" w:cstheme="majorBidi"/>
          <w:color w:val="4D4D4D"/>
          <w:sz w:val="28"/>
          <w:szCs w:val="28"/>
          <w:shd w:val="clear" w:color="auto" w:fill="FFFFFF"/>
        </w:rPr>
        <w:t>des juges</w:t>
      </w:r>
      <w:r w:rsidR="00A01E86">
        <w:rPr>
          <w:rFonts w:asciiTheme="majorHAnsi" w:hAnsiTheme="majorHAnsi" w:cstheme="majorBidi"/>
          <w:color w:val="4D4D4D"/>
          <w:sz w:val="28"/>
          <w:szCs w:val="28"/>
          <w:shd w:val="clear" w:color="auto" w:fill="FFFFFF"/>
        </w:rPr>
        <w:t xml:space="preserve"> vidant  ainsi  le principe de l’inamovibilité des juges de son sens.</w:t>
      </w:r>
    </w:p>
    <w:p w:rsidR="00B77E49" w:rsidRDefault="00B272BB" w:rsidP="00667D98">
      <w:pPr>
        <w:tabs>
          <w:tab w:val="center" w:pos="126"/>
          <w:tab w:val="center" w:pos="985"/>
        </w:tabs>
        <w:spacing w:after="275" w:line="480" w:lineRule="auto"/>
        <w:jc w:val="left"/>
        <w:rPr>
          <w:rFonts w:asciiTheme="majorHAnsi" w:hAnsiTheme="majorHAnsi" w:cstheme="majorBidi"/>
          <w:sz w:val="28"/>
          <w:szCs w:val="28"/>
        </w:rPr>
      </w:pPr>
      <w:r w:rsidRPr="009C6AA4">
        <w:rPr>
          <w:rFonts w:asciiTheme="majorHAnsi" w:hAnsiTheme="majorHAnsi" w:cstheme="majorBidi"/>
          <w:sz w:val="28"/>
          <w:szCs w:val="28"/>
        </w:rPr>
        <w:t>Pour ce qui est de l’accès à la justice des femmes,</w:t>
      </w:r>
      <w:r w:rsidR="00A01E86">
        <w:rPr>
          <w:rFonts w:asciiTheme="majorHAnsi" w:hAnsiTheme="majorHAnsi" w:cstheme="majorBidi"/>
          <w:sz w:val="28"/>
          <w:szCs w:val="28"/>
        </w:rPr>
        <w:t xml:space="preserve"> il reste encore beaucoup à </w:t>
      </w:r>
      <w:r w:rsidR="00155A63">
        <w:rPr>
          <w:rFonts w:asciiTheme="majorHAnsi" w:hAnsiTheme="majorHAnsi" w:cstheme="majorBidi"/>
          <w:sz w:val="28"/>
          <w:szCs w:val="28"/>
        </w:rPr>
        <w:t xml:space="preserve">faire. </w:t>
      </w:r>
      <w:r w:rsidR="00081451">
        <w:rPr>
          <w:rFonts w:asciiTheme="majorHAnsi" w:hAnsiTheme="majorHAnsi" w:cstheme="majorBidi"/>
          <w:sz w:val="28"/>
          <w:szCs w:val="28"/>
        </w:rPr>
        <w:t>L</w:t>
      </w:r>
      <w:r w:rsidRPr="009C6AA4">
        <w:rPr>
          <w:rFonts w:asciiTheme="majorHAnsi" w:hAnsiTheme="majorHAnsi" w:cstheme="majorBidi"/>
          <w:sz w:val="28"/>
          <w:szCs w:val="28"/>
        </w:rPr>
        <w:t xml:space="preserve">es litiges sont assez souvent réglés à l’amiable. En plus des actions des ONGs </w:t>
      </w:r>
      <w:r w:rsidR="000A5445">
        <w:rPr>
          <w:rFonts w:asciiTheme="majorHAnsi" w:hAnsiTheme="majorHAnsi" w:cstheme="majorBidi"/>
          <w:sz w:val="28"/>
          <w:szCs w:val="28"/>
        </w:rPr>
        <w:t>,</w:t>
      </w:r>
      <w:r w:rsidRPr="009C6AA4">
        <w:rPr>
          <w:rFonts w:asciiTheme="majorHAnsi" w:hAnsiTheme="majorHAnsi" w:cstheme="majorBidi"/>
          <w:sz w:val="28"/>
          <w:szCs w:val="28"/>
        </w:rPr>
        <w:t xml:space="preserve"> il fau</w:t>
      </w:r>
      <w:r w:rsidR="00A01E86">
        <w:rPr>
          <w:rFonts w:asciiTheme="majorHAnsi" w:hAnsiTheme="majorHAnsi" w:cstheme="majorBidi"/>
          <w:sz w:val="28"/>
          <w:szCs w:val="28"/>
        </w:rPr>
        <w:t>t souligner que le MASEF ont repris en ce sens des efforts</w:t>
      </w:r>
      <w:r w:rsidRPr="009C6AA4">
        <w:rPr>
          <w:rFonts w:asciiTheme="majorHAnsi" w:hAnsiTheme="majorHAnsi" w:cstheme="majorBidi"/>
          <w:sz w:val="28"/>
          <w:szCs w:val="28"/>
        </w:rPr>
        <w:t xml:space="preserve"> mais qui doivent encore êtr</w:t>
      </w:r>
      <w:r w:rsidR="000A5445">
        <w:rPr>
          <w:rFonts w:asciiTheme="majorHAnsi" w:hAnsiTheme="majorHAnsi" w:cstheme="majorBidi"/>
          <w:sz w:val="28"/>
          <w:szCs w:val="28"/>
        </w:rPr>
        <w:t xml:space="preserve">e améliorés. Durant l’année </w:t>
      </w:r>
      <w:r w:rsidR="00B77E49">
        <w:rPr>
          <w:rFonts w:asciiTheme="majorHAnsi" w:hAnsiTheme="majorHAnsi" w:cstheme="majorBidi"/>
          <w:sz w:val="28"/>
          <w:szCs w:val="28"/>
        </w:rPr>
        <w:t>précédente</w:t>
      </w:r>
      <w:r w:rsidRPr="009C6AA4">
        <w:rPr>
          <w:rFonts w:asciiTheme="majorHAnsi" w:hAnsiTheme="majorHAnsi" w:cstheme="majorBidi"/>
          <w:sz w:val="28"/>
          <w:szCs w:val="28"/>
        </w:rPr>
        <w:t>, les services chargés des litiges familiaux au MASEF ont réussi à résoudre 43% des litiges familiaux par arrangement social ( réconciliation) sur 891 cas de plainte portée par l’un des partenaires (conjoints), 27% des dossiers ont été transmis aux chambres des tribunaux spécialisé</w:t>
      </w:r>
      <w:r w:rsidR="00892CE3">
        <w:rPr>
          <w:rFonts w:asciiTheme="majorHAnsi" w:hAnsiTheme="majorHAnsi" w:cstheme="majorBidi"/>
          <w:sz w:val="28"/>
          <w:szCs w:val="28"/>
        </w:rPr>
        <w:t xml:space="preserve">s, </w:t>
      </w:r>
      <w:r w:rsidR="00B77E49">
        <w:rPr>
          <w:rFonts w:asciiTheme="majorHAnsi" w:hAnsiTheme="majorHAnsi" w:cstheme="majorBidi"/>
          <w:sz w:val="28"/>
          <w:szCs w:val="28"/>
        </w:rPr>
        <w:t>alors que</w:t>
      </w:r>
      <w:r w:rsidRPr="009C6AA4">
        <w:rPr>
          <w:rFonts w:asciiTheme="majorHAnsi" w:hAnsiTheme="majorHAnsi" w:cstheme="majorBidi"/>
          <w:sz w:val="28"/>
          <w:szCs w:val="28"/>
        </w:rPr>
        <w:t xml:space="preserve"> 23% des litiges sont en instance.</w:t>
      </w:r>
    </w:p>
    <w:p w:rsidR="00892CE3" w:rsidRDefault="00B272BB" w:rsidP="00232BD9">
      <w:pPr>
        <w:tabs>
          <w:tab w:val="center" w:pos="126"/>
          <w:tab w:val="center" w:pos="985"/>
        </w:tabs>
        <w:spacing w:after="275" w:line="480" w:lineRule="auto"/>
        <w:jc w:val="left"/>
        <w:rPr>
          <w:rFonts w:asciiTheme="majorHAnsi" w:hAnsiTheme="majorHAnsi" w:cstheme="majorBidi"/>
          <w:sz w:val="28"/>
          <w:szCs w:val="28"/>
        </w:rPr>
      </w:pPr>
      <w:r w:rsidRPr="009C6AA4">
        <w:rPr>
          <w:rFonts w:asciiTheme="majorHAnsi" w:hAnsiTheme="majorHAnsi" w:cstheme="majorBidi"/>
          <w:sz w:val="28"/>
          <w:szCs w:val="28"/>
        </w:rPr>
        <w:t xml:space="preserve"> Un autre problème se pose avec acuité en Mauritanie et qui compromet l’accès d</w:t>
      </w:r>
      <w:r w:rsidR="00892CE3">
        <w:rPr>
          <w:rFonts w:asciiTheme="majorHAnsi" w:hAnsiTheme="majorHAnsi" w:cstheme="majorBidi"/>
          <w:sz w:val="28"/>
          <w:szCs w:val="28"/>
        </w:rPr>
        <w:t xml:space="preserve">e la </w:t>
      </w:r>
      <w:r w:rsidR="00667D98">
        <w:rPr>
          <w:rFonts w:asciiTheme="majorHAnsi" w:hAnsiTheme="majorHAnsi" w:cstheme="majorBidi"/>
          <w:sz w:val="28"/>
          <w:szCs w:val="28"/>
        </w:rPr>
        <w:t>femme à la justice , ils ‘agit des cas des femmes ayant porté plainte  pour viol.</w:t>
      </w:r>
    </w:p>
    <w:p w:rsidR="00B272BB" w:rsidRDefault="00B272BB" w:rsidP="00667D98">
      <w:pPr>
        <w:tabs>
          <w:tab w:val="center" w:pos="126"/>
          <w:tab w:val="center" w:pos="985"/>
        </w:tabs>
        <w:spacing w:after="275" w:line="480" w:lineRule="auto"/>
        <w:jc w:val="left"/>
        <w:rPr>
          <w:rFonts w:asciiTheme="majorHAnsi" w:hAnsiTheme="majorHAnsi" w:cstheme="majorBidi"/>
          <w:sz w:val="28"/>
          <w:szCs w:val="28"/>
        </w:rPr>
      </w:pPr>
      <w:r w:rsidRPr="009C6AA4">
        <w:rPr>
          <w:rFonts w:asciiTheme="majorHAnsi" w:hAnsiTheme="majorHAnsi" w:cstheme="majorBidi"/>
          <w:sz w:val="28"/>
          <w:szCs w:val="28"/>
        </w:rPr>
        <w:t xml:space="preserve"> </w:t>
      </w:r>
      <w:r w:rsidR="00AA573A">
        <w:rPr>
          <w:rFonts w:asciiTheme="majorHAnsi" w:hAnsiTheme="majorHAnsi" w:cstheme="majorBidi"/>
          <w:sz w:val="28"/>
          <w:szCs w:val="28"/>
        </w:rPr>
        <w:t xml:space="preserve"> La</w:t>
      </w:r>
      <w:r w:rsidR="00B81A72">
        <w:rPr>
          <w:rFonts w:asciiTheme="majorHAnsi" w:hAnsiTheme="majorHAnsi" w:cstheme="majorBidi"/>
          <w:sz w:val="28"/>
          <w:szCs w:val="28"/>
        </w:rPr>
        <w:t xml:space="preserve">  CNDH recommande de  m</w:t>
      </w:r>
      <w:r w:rsidRPr="009C6AA4">
        <w:rPr>
          <w:rFonts w:asciiTheme="majorHAnsi" w:hAnsiTheme="majorHAnsi" w:cstheme="majorBidi"/>
          <w:sz w:val="28"/>
          <w:szCs w:val="28"/>
        </w:rPr>
        <w:t>ettre fin à la pratique d’emprisonnement des femmes ay</w:t>
      </w:r>
      <w:r w:rsidR="00B81A72">
        <w:rPr>
          <w:rFonts w:asciiTheme="majorHAnsi" w:hAnsiTheme="majorHAnsi" w:cstheme="majorBidi"/>
          <w:sz w:val="28"/>
          <w:szCs w:val="28"/>
        </w:rPr>
        <w:t>ant porté plainte pour viol et de p</w:t>
      </w:r>
      <w:r w:rsidRPr="009C6AA4">
        <w:rPr>
          <w:rFonts w:asciiTheme="majorHAnsi" w:hAnsiTheme="majorHAnsi" w:cstheme="majorBidi"/>
          <w:sz w:val="28"/>
          <w:szCs w:val="28"/>
        </w:rPr>
        <w:t xml:space="preserve">rendre des mesures pour prévenir les </w:t>
      </w:r>
      <w:r w:rsidR="00AA573A" w:rsidRPr="009C6AA4">
        <w:rPr>
          <w:rFonts w:asciiTheme="majorHAnsi" w:hAnsiTheme="majorHAnsi" w:cstheme="majorBidi"/>
          <w:sz w:val="28"/>
          <w:szCs w:val="28"/>
        </w:rPr>
        <w:t>viol</w:t>
      </w:r>
      <w:r w:rsidR="00AA573A">
        <w:rPr>
          <w:rFonts w:asciiTheme="majorHAnsi" w:hAnsiTheme="majorHAnsi" w:cstheme="majorBidi"/>
          <w:sz w:val="28"/>
          <w:szCs w:val="28"/>
        </w:rPr>
        <w:t>s.</w:t>
      </w:r>
    </w:p>
    <w:p w:rsidR="00F96D11" w:rsidRDefault="00F96D11" w:rsidP="00667D98">
      <w:pPr>
        <w:tabs>
          <w:tab w:val="center" w:pos="126"/>
          <w:tab w:val="center" w:pos="985"/>
        </w:tabs>
        <w:spacing w:after="275" w:line="480" w:lineRule="auto"/>
        <w:jc w:val="left"/>
        <w:rPr>
          <w:rFonts w:asciiTheme="majorHAnsi" w:hAnsiTheme="majorHAnsi" w:cstheme="majorBidi"/>
          <w:sz w:val="28"/>
          <w:szCs w:val="28"/>
        </w:rPr>
      </w:pPr>
    </w:p>
    <w:p w:rsidR="00F96D11" w:rsidRPr="009C6AA4" w:rsidRDefault="00F96D11" w:rsidP="00667D98">
      <w:pPr>
        <w:tabs>
          <w:tab w:val="center" w:pos="126"/>
          <w:tab w:val="center" w:pos="985"/>
        </w:tabs>
        <w:spacing w:after="275" w:line="480" w:lineRule="auto"/>
        <w:jc w:val="left"/>
        <w:rPr>
          <w:rFonts w:asciiTheme="majorHAnsi" w:hAnsiTheme="majorHAnsi" w:cstheme="majorBidi"/>
          <w:color w:val="FF0000"/>
          <w:sz w:val="28"/>
          <w:szCs w:val="28"/>
        </w:rPr>
      </w:pPr>
    </w:p>
    <w:p w:rsidR="00180A3F" w:rsidRPr="009C6AA4" w:rsidRDefault="00180A3F" w:rsidP="00232BD9">
      <w:pPr>
        <w:tabs>
          <w:tab w:val="center" w:pos="126"/>
          <w:tab w:val="center" w:pos="985"/>
        </w:tabs>
        <w:spacing w:after="275" w:line="480" w:lineRule="auto"/>
        <w:jc w:val="left"/>
        <w:rPr>
          <w:rFonts w:asciiTheme="majorHAnsi" w:hAnsiTheme="majorHAnsi" w:cstheme="majorBidi"/>
          <w:b/>
          <w:bCs/>
          <w:sz w:val="28"/>
          <w:szCs w:val="28"/>
        </w:rPr>
      </w:pPr>
      <w:r w:rsidRPr="009C6AA4">
        <w:rPr>
          <w:rFonts w:asciiTheme="majorHAnsi" w:hAnsiTheme="majorHAnsi" w:cstheme="majorBidi"/>
          <w:b/>
          <w:bCs/>
          <w:sz w:val="28"/>
          <w:szCs w:val="28"/>
        </w:rPr>
        <w:lastRenderedPageBreak/>
        <w:t>Conclusion</w:t>
      </w:r>
    </w:p>
    <w:p w:rsidR="00180A3F" w:rsidRDefault="004D1A00" w:rsidP="00232BD9">
      <w:pPr>
        <w:tabs>
          <w:tab w:val="center" w:pos="126"/>
          <w:tab w:val="center" w:pos="985"/>
        </w:tabs>
        <w:spacing w:after="275" w:line="480" w:lineRule="auto"/>
        <w:jc w:val="left"/>
        <w:rPr>
          <w:rFonts w:asciiTheme="majorHAnsi" w:hAnsiTheme="majorHAnsi" w:cstheme="majorBidi"/>
          <w:sz w:val="28"/>
          <w:szCs w:val="28"/>
        </w:rPr>
      </w:pPr>
      <w:r w:rsidRPr="009C6AA4">
        <w:rPr>
          <w:rFonts w:asciiTheme="majorHAnsi" w:hAnsiTheme="majorHAnsi" w:cstheme="majorBidi"/>
          <w:sz w:val="28"/>
          <w:szCs w:val="28"/>
        </w:rPr>
        <w:t xml:space="preserve">Ce rapport alternatif rentre dans le cadre  des contributions de la CNDH au travail des organes de </w:t>
      </w:r>
      <w:r w:rsidR="00D65BA9" w:rsidRPr="009C6AA4">
        <w:rPr>
          <w:rFonts w:asciiTheme="majorHAnsi" w:hAnsiTheme="majorHAnsi" w:cstheme="majorBidi"/>
          <w:sz w:val="28"/>
          <w:szCs w:val="28"/>
        </w:rPr>
        <w:t>traité. La</w:t>
      </w:r>
      <w:r w:rsidR="00180A3F" w:rsidRPr="009C6AA4">
        <w:rPr>
          <w:rFonts w:asciiTheme="majorHAnsi" w:hAnsiTheme="majorHAnsi" w:cstheme="majorBidi"/>
          <w:sz w:val="28"/>
          <w:szCs w:val="28"/>
        </w:rPr>
        <w:t xml:space="preserve"> </w:t>
      </w:r>
      <w:r w:rsidRPr="009C6AA4">
        <w:rPr>
          <w:rFonts w:asciiTheme="majorHAnsi" w:hAnsiTheme="majorHAnsi" w:cstheme="majorBidi"/>
          <w:sz w:val="28"/>
          <w:szCs w:val="28"/>
        </w:rPr>
        <w:t xml:space="preserve">CNDH </w:t>
      </w:r>
      <w:r w:rsidR="00180A3F" w:rsidRPr="009C6AA4">
        <w:rPr>
          <w:rFonts w:asciiTheme="majorHAnsi" w:hAnsiTheme="majorHAnsi" w:cstheme="majorBidi"/>
          <w:sz w:val="28"/>
          <w:szCs w:val="28"/>
        </w:rPr>
        <w:t xml:space="preserve"> exprime par la même occasion, sa disponibilité à continuer le dialogue constructif entamé avec le comité et l’Etat partie en vue de la mise en œuvre des dispositions du </w:t>
      </w:r>
      <w:r w:rsidRPr="009C6AA4">
        <w:rPr>
          <w:rFonts w:asciiTheme="majorHAnsi" w:hAnsiTheme="majorHAnsi" w:cstheme="majorBidi"/>
          <w:sz w:val="28"/>
          <w:szCs w:val="28"/>
        </w:rPr>
        <w:t>Pacte</w:t>
      </w:r>
      <w:r w:rsidR="00D65BA9" w:rsidRPr="009C6AA4">
        <w:rPr>
          <w:rFonts w:asciiTheme="majorHAnsi" w:hAnsiTheme="majorHAnsi" w:cstheme="majorBidi"/>
          <w:sz w:val="28"/>
          <w:szCs w:val="28"/>
        </w:rPr>
        <w:t xml:space="preserve"> international sur les droits civils et politiques.</w:t>
      </w:r>
    </w:p>
    <w:p w:rsidR="00CB465F" w:rsidRDefault="00CB465F" w:rsidP="00232BD9">
      <w:pPr>
        <w:tabs>
          <w:tab w:val="center" w:pos="126"/>
          <w:tab w:val="center" w:pos="985"/>
        </w:tabs>
        <w:spacing w:after="275" w:line="480" w:lineRule="auto"/>
        <w:jc w:val="left"/>
        <w:rPr>
          <w:rFonts w:asciiTheme="majorHAnsi" w:hAnsiTheme="majorHAnsi" w:cstheme="majorBidi"/>
          <w:sz w:val="28"/>
          <w:szCs w:val="28"/>
        </w:rPr>
      </w:pPr>
    </w:p>
    <w:p w:rsidR="00CB465F" w:rsidRPr="00CB465F" w:rsidRDefault="00CB465F" w:rsidP="00CB465F">
      <w:pPr>
        <w:tabs>
          <w:tab w:val="center" w:pos="126"/>
          <w:tab w:val="center" w:pos="985"/>
        </w:tabs>
        <w:spacing w:after="275" w:line="480" w:lineRule="auto"/>
        <w:jc w:val="right"/>
        <w:rPr>
          <w:rFonts w:asciiTheme="majorHAnsi" w:hAnsiTheme="majorHAnsi" w:cstheme="majorBidi"/>
          <w:b/>
          <w:bCs/>
          <w:sz w:val="28"/>
          <w:szCs w:val="28"/>
        </w:rPr>
      </w:pPr>
      <w:r w:rsidRPr="00CB465F">
        <w:rPr>
          <w:rFonts w:asciiTheme="majorHAnsi" w:hAnsiTheme="majorHAnsi" w:cstheme="majorBidi"/>
          <w:b/>
          <w:bCs/>
          <w:sz w:val="28"/>
          <w:szCs w:val="28"/>
        </w:rPr>
        <w:t>La CNDH</w:t>
      </w:r>
    </w:p>
    <w:p w:rsidR="00180A3F" w:rsidRPr="009C6AA4" w:rsidRDefault="00180A3F" w:rsidP="00232BD9">
      <w:pPr>
        <w:tabs>
          <w:tab w:val="center" w:pos="126"/>
          <w:tab w:val="center" w:pos="985"/>
        </w:tabs>
        <w:spacing w:after="275" w:line="480" w:lineRule="auto"/>
        <w:jc w:val="left"/>
        <w:rPr>
          <w:rFonts w:asciiTheme="majorHAnsi" w:hAnsiTheme="majorHAnsi" w:cstheme="majorBidi"/>
          <w:sz w:val="28"/>
          <w:szCs w:val="28"/>
        </w:rPr>
      </w:pPr>
    </w:p>
    <w:p w:rsidR="00180A3F" w:rsidRPr="009C6AA4" w:rsidRDefault="00180A3F" w:rsidP="00232BD9">
      <w:pPr>
        <w:tabs>
          <w:tab w:val="center" w:pos="126"/>
          <w:tab w:val="center" w:pos="985"/>
        </w:tabs>
        <w:spacing w:after="275" w:line="480" w:lineRule="auto"/>
        <w:jc w:val="left"/>
        <w:rPr>
          <w:rFonts w:asciiTheme="majorHAnsi" w:hAnsiTheme="majorHAnsi" w:cstheme="majorBidi"/>
          <w:sz w:val="28"/>
          <w:szCs w:val="28"/>
        </w:rPr>
      </w:pPr>
    </w:p>
    <w:p w:rsidR="008E449A" w:rsidRPr="009C6AA4" w:rsidRDefault="008E449A" w:rsidP="00232BD9">
      <w:pPr>
        <w:spacing w:after="108" w:line="480" w:lineRule="auto"/>
        <w:ind w:right="16"/>
        <w:jc w:val="left"/>
        <w:rPr>
          <w:rFonts w:asciiTheme="majorHAnsi" w:hAnsiTheme="majorHAnsi" w:cstheme="majorBidi"/>
          <w:bCs/>
          <w:sz w:val="28"/>
          <w:szCs w:val="28"/>
        </w:rPr>
      </w:pPr>
    </w:p>
    <w:p w:rsidR="009B2E9B" w:rsidRPr="009C6AA4" w:rsidRDefault="009B2E9B" w:rsidP="00232BD9">
      <w:pPr>
        <w:spacing w:line="480" w:lineRule="auto"/>
        <w:jc w:val="left"/>
        <w:rPr>
          <w:rFonts w:asciiTheme="majorHAnsi" w:hAnsiTheme="majorHAnsi" w:cstheme="majorBidi"/>
          <w:sz w:val="28"/>
          <w:szCs w:val="28"/>
        </w:rPr>
      </w:pPr>
    </w:p>
    <w:p w:rsidR="008C51BA" w:rsidRPr="009C6AA4" w:rsidRDefault="008C51BA" w:rsidP="00232BD9">
      <w:pPr>
        <w:spacing w:line="480" w:lineRule="auto"/>
        <w:rPr>
          <w:rFonts w:asciiTheme="majorHAnsi" w:hAnsiTheme="majorHAnsi" w:cstheme="majorBidi"/>
          <w:sz w:val="28"/>
          <w:szCs w:val="28"/>
        </w:rPr>
      </w:pPr>
    </w:p>
    <w:sectPr w:rsidR="008C51BA" w:rsidRPr="009C6AA4" w:rsidSect="0064769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55E" w:rsidRDefault="0009255E" w:rsidP="002C10D8">
      <w:pPr>
        <w:spacing w:after="0" w:line="240" w:lineRule="auto"/>
      </w:pPr>
      <w:r>
        <w:separator/>
      </w:r>
    </w:p>
  </w:endnote>
  <w:endnote w:type="continuationSeparator" w:id="1">
    <w:p w:rsidR="0009255E" w:rsidRDefault="0009255E" w:rsidP="002C1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901"/>
      <w:docPartObj>
        <w:docPartGallery w:val="Page Numbers (Bottom of Page)"/>
        <w:docPartUnique/>
      </w:docPartObj>
    </w:sdtPr>
    <w:sdtContent>
      <w:p w:rsidR="00F447CC" w:rsidRDefault="00BD35AA">
        <w:pPr>
          <w:pStyle w:val="Pieddepage"/>
          <w:jc w:val="center"/>
        </w:pPr>
        <w:fldSimple w:instr=" PAGE   \* MERGEFORMAT ">
          <w:r w:rsidR="00CB465F">
            <w:rPr>
              <w:noProof/>
            </w:rPr>
            <w:t>11</w:t>
          </w:r>
        </w:fldSimple>
      </w:p>
    </w:sdtContent>
  </w:sdt>
  <w:p w:rsidR="00F447CC" w:rsidRDefault="00F447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55E" w:rsidRDefault="0009255E" w:rsidP="002C10D8">
      <w:pPr>
        <w:spacing w:after="0" w:line="240" w:lineRule="auto"/>
      </w:pPr>
      <w:r>
        <w:separator/>
      </w:r>
    </w:p>
  </w:footnote>
  <w:footnote w:type="continuationSeparator" w:id="1">
    <w:p w:rsidR="0009255E" w:rsidRDefault="0009255E" w:rsidP="002C1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A5D"/>
    <w:multiLevelType w:val="hybridMultilevel"/>
    <w:tmpl w:val="71C88E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5331A0"/>
    <w:multiLevelType w:val="hybridMultilevel"/>
    <w:tmpl w:val="221CCFD8"/>
    <w:lvl w:ilvl="0" w:tplc="4ECC590C">
      <w:start w:val="1"/>
      <w:numFmt w:val="lowerLetter"/>
      <w:lvlText w:val="%1)"/>
      <w:lvlJc w:val="left"/>
      <w:pPr>
        <w:ind w:left="7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D5ECDA6">
      <w:start w:val="2"/>
      <w:numFmt w:val="decimal"/>
      <w:lvlRestart w:val="0"/>
      <w:lvlText w:val="%2."/>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EA728C">
      <w:start w:val="1"/>
      <w:numFmt w:val="bullet"/>
      <w:lvlText w:val="•"/>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C48BE">
      <w:start w:val="1"/>
      <w:numFmt w:val="bullet"/>
      <w:lvlText w:val="•"/>
      <w:lvlJc w:val="left"/>
      <w:pPr>
        <w:ind w:left="2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9C8666">
      <w:start w:val="1"/>
      <w:numFmt w:val="bullet"/>
      <w:lvlText w:val="o"/>
      <w:lvlJc w:val="left"/>
      <w:pPr>
        <w:ind w:left="3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5E80E6">
      <w:start w:val="1"/>
      <w:numFmt w:val="bullet"/>
      <w:lvlText w:val="▪"/>
      <w:lvlJc w:val="left"/>
      <w:pPr>
        <w:ind w:left="4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90D3F0">
      <w:start w:val="1"/>
      <w:numFmt w:val="bullet"/>
      <w:lvlText w:val="•"/>
      <w:lvlJc w:val="left"/>
      <w:pPr>
        <w:ind w:left="4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9CD640">
      <w:start w:val="1"/>
      <w:numFmt w:val="bullet"/>
      <w:lvlText w:val="o"/>
      <w:lvlJc w:val="left"/>
      <w:pPr>
        <w:ind w:left="5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AEED18">
      <w:start w:val="1"/>
      <w:numFmt w:val="bullet"/>
      <w:lvlText w:val="▪"/>
      <w:lvlJc w:val="left"/>
      <w:pPr>
        <w:ind w:left="6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8673140"/>
    <w:multiLevelType w:val="hybridMultilevel"/>
    <w:tmpl w:val="372AAC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D80CE9"/>
    <w:multiLevelType w:val="hybridMultilevel"/>
    <w:tmpl w:val="11CE5350"/>
    <w:lvl w:ilvl="0" w:tplc="9626BE1C">
      <w:start w:val="1"/>
      <w:numFmt w:val="lowerLetter"/>
      <w:lvlText w:val="%1)"/>
      <w:lvlJc w:val="left"/>
      <w:pPr>
        <w:ind w:left="4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610AADE">
      <w:start w:val="12"/>
      <w:numFmt w:val="decimal"/>
      <w:lvlRestart w:val="0"/>
      <w:lvlText w:val="%2."/>
      <w:lvlJc w:val="left"/>
      <w:pPr>
        <w:ind w:left="1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DAFA20">
      <w:start w:val="1"/>
      <w:numFmt w:val="lowerLetter"/>
      <w:lvlText w:val="%3)"/>
      <w:lvlJc w:val="left"/>
      <w:pPr>
        <w:ind w:left="1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66CB26">
      <w:start w:val="1"/>
      <w:numFmt w:val="decimal"/>
      <w:lvlText w:val="%4"/>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22AD46">
      <w:start w:val="1"/>
      <w:numFmt w:val="lowerLetter"/>
      <w:lvlText w:val="%5"/>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180540">
      <w:start w:val="1"/>
      <w:numFmt w:val="lowerRoman"/>
      <w:lvlText w:val="%6"/>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C048FC">
      <w:start w:val="1"/>
      <w:numFmt w:val="decimal"/>
      <w:lvlText w:val="%7"/>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E2C734">
      <w:start w:val="1"/>
      <w:numFmt w:val="lowerLetter"/>
      <w:lvlText w:val="%8"/>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E6BA40">
      <w:start w:val="1"/>
      <w:numFmt w:val="lowerRoman"/>
      <w:lvlText w:val="%9"/>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56C20D45"/>
    <w:multiLevelType w:val="hybridMultilevel"/>
    <w:tmpl w:val="95C29708"/>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A439B"/>
    <w:rsid w:val="000149FD"/>
    <w:rsid w:val="00081451"/>
    <w:rsid w:val="00085277"/>
    <w:rsid w:val="0009255E"/>
    <w:rsid w:val="00095D7A"/>
    <w:rsid w:val="000A5445"/>
    <w:rsid w:val="00155A63"/>
    <w:rsid w:val="00180A3F"/>
    <w:rsid w:val="00192C93"/>
    <w:rsid w:val="00232BD9"/>
    <w:rsid w:val="002554F3"/>
    <w:rsid w:val="00260965"/>
    <w:rsid w:val="002C10D8"/>
    <w:rsid w:val="002D4BB8"/>
    <w:rsid w:val="00311530"/>
    <w:rsid w:val="00343F37"/>
    <w:rsid w:val="003757CE"/>
    <w:rsid w:val="00396C1A"/>
    <w:rsid w:val="003A053C"/>
    <w:rsid w:val="003A37A6"/>
    <w:rsid w:val="003A439B"/>
    <w:rsid w:val="004124D7"/>
    <w:rsid w:val="00440B5A"/>
    <w:rsid w:val="004D1A00"/>
    <w:rsid w:val="004F1321"/>
    <w:rsid w:val="005049EE"/>
    <w:rsid w:val="0054510D"/>
    <w:rsid w:val="00563E9E"/>
    <w:rsid w:val="005A77B7"/>
    <w:rsid w:val="00600D1D"/>
    <w:rsid w:val="006345C9"/>
    <w:rsid w:val="0064769D"/>
    <w:rsid w:val="006551D7"/>
    <w:rsid w:val="00657D49"/>
    <w:rsid w:val="00667D98"/>
    <w:rsid w:val="0068538E"/>
    <w:rsid w:val="006C6223"/>
    <w:rsid w:val="00716559"/>
    <w:rsid w:val="00743E5A"/>
    <w:rsid w:val="00744C06"/>
    <w:rsid w:val="00752C00"/>
    <w:rsid w:val="007F6FFB"/>
    <w:rsid w:val="008121B3"/>
    <w:rsid w:val="00830754"/>
    <w:rsid w:val="00860E4B"/>
    <w:rsid w:val="0086558F"/>
    <w:rsid w:val="00892CE3"/>
    <w:rsid w:val="008C51BA"/>
    <w:rsid w:val="008E449A"/>
    <w:rsid w:val="008E73ED"/>
    <w:rsid w:val="009218D2"/>
    <w:rsid w:val="009360CE"/>
    <w:rsid w:val="00953122"/>
    <w:rsid w:val="00983DD5"/>
    <w:rsid w:val="009B2E9B"/>
    <w:rsid w:val="009C6AA4"/>
    <w:rsid w:val="009D6912"/>
    <w:rsid w:val="009E0C3B"/>
    <w:rsid w:val="009F008E"/>
    <w:rsid w:val="00A01E86"/>
    <w:rsid w:val="00A14853"/>
    <w:rsid w:val="00A76110"/>
    <w:rsid w:val="00A84BD5"/>
    <w:rsid w:val="00AA573A"/>
    <w:rsid w:val="00B272BB"/>
    <w:rsid w:val="00B546D3"/>
    <w:rsid w:val="00B72966"/>
    <w:rsid w:val="00B77E49"/>
    <w:rsid w:val="00B81A72"/>
    <w:rsid w:val="00B83E0C"/>
    <w:rsid w:val="00BD35AA"/>
    <w:rsid w:val="00C130F4"/>
    <w:rsid w:val="00C15FCE"/>
    <w:rsid w:val="00C2363B"/>
    <w:rsid w:val="00C30E4C"/>
    <w:rsid w:val="00C97F93"/>
    <w:rsid w:val="00CB465F"/>
    <w:rsid w:val="00CB717E"/>
    <w:rsid w:val="00D45DDB"/>
    <w:rsid w:val="00D65BA9"/>
    <w:rsid w:val="00E01103"/>
    <w:rsid w:val="00E20EF8"/>
    <w:rsid w:val="00ED1134"/>
    <w:rsid w:val="00F127DB"/>
    <w:rsid w:val="00F447CC"/>
    <w:rsid w:val="00F70E7A"/>
    <w:rsid w:val="00F96D11"/>
    <w:rsid w:val="00FA0922"/>
    <w:rsid w:val="00FE16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9B"/>
    <w:pPr>
      <w:spacing w:after="111" w:line="260" w:lineRule="auto"/>
      <w:ind w:left="10" w:hanging="10"/>
      <w:jc w:val="both"/>
    </w:pPr>
    <w:rPr>
      <w:rFonts w:ascii="Times New Roman" w:eastAsia="Times New Roman" w:hAnsi="Times New Roman" w:cs="Times New Roman"/>
      <w:color w:val="000000"/>
      <w:sz w:val="20"/>
      <w:lang w:eastAsia="fr-FR"/>
    </w:rPr>
  </w:style>
  <w:style w:type="paragraph" w:styleId="Titre1">
    <w:name w:val="heading 1"/>
    <w:next w:val="Normal"/>
    <w:link w:val="Titre1Car"/>
    <w:uiPriority w:val="99"/>
    <w:unhideWhenUsed/>
    <w:qFormat/>
    <w:rsid w:val="003A439B"/>
    <w:pPr>
      <w:keepNext/>
      <w:keepLines/>
      <w:spacing w:after="191" w:line="259" w:lineRule="auto"/>
      <w:ind w:left="10" w:hanging="10"/>
      <w:outlineLvl w:val="0"/>
    </w:pPr>
    <w:rPr>
      <w:rFonts w:ascii="Times New Roman" w:eastAsia="Times New Roman" w:hAnsi="Times New Roman" w:cs="Times New Roman"/>
      <w:b/>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A439B"/>
    <w:rPr>
      <w:rFonts w:ascii="Times New Roman" w:eastAsia="Times New Roman" w:hAnsi="Times New Roman" w:cs="Times New Roman"/>
      <w:b/>
      <w:color w:val="000000"/>
      <w:sz w:val="24"/>
      <w:lang w:eastAsia="fr-FR"/>
    </w:rPr>
  </w:style>
  <w:style w:type="paragraph" w:styleId="Paragraphedeliste">
    <w:name w:val="List Paragraph"/>
    <w:basedOn w:val="Normal"/>
    <w:uiPriority w:val="99"/>
    <w:qFormat/>
    <w:rsid w:val="003A439B"/>
    <w:pPr>
      <w:spacing w:after="200" w:line="276" w:lineRule="auto"/>
      <w:ind w:left="720" w:firstLine="0"/>
      <w:jc w:val="left"/>
    </w:pPr>
    <w:rPr>
      <w:rFonts w:ascii="Calibri" w:hAnsi="Calibri" w:cs="Arial"/>
      <w:color w:val="auto"/>
      <w:sz w:val="22"/>
      <w:lang w:eastAsia="en-US"/>
    </w:rPr>
  </w:style>
  <w:style w:type="paragraph" w:styleId="Sansinterligne">
    <w:name w:val="No Spacing"/>
    <w:link w:val="SansinterligneCar"/>
    <w:uiPriority w:val="1"/>
    <w:qFormat/>
    <w:rsid w:val="003A439B"/>
    <w:pPr>
      <w:spacing w:after="0" w:line="240" w:lineRule="auto"/>
    </w:pPr>
    <w:rPr>
      <w:rFonts w:ascii="Calibri" w:eastAsia="Times New Roman" w:hAnsi="Calibri" w:cs="Arial"/>
      <w:lang w:eastAsia="fr-FR"/>
    </w:rPr>
  </w:style>
  <w:style w:type="character" w:customStyle="1" w:styleId="SansinterligneCar">
    <w:name w:val="Sans interligne Car"/>
    <w:basedOn w:val="Policepardfaut"/>
    <w:link w:val="Sansinterligne"/>
    <w:uiPriority w:val="1"/>
    <w:rsid w:val="003A439B"/>
    <w:rPr>
      <w:rFonts w:ascii="Calibri" w:eastAsia="Times New Roman" w:hAnsi="Calibri" w:cs="Arial"/>
      <w:lang w:eastAsia="fr-FR"/>
    </w:rPr>
  </w:style>
  <w:style w:type="paragraph" w:styleId="En-tte">
    <w:name w:val="header"/>
    <w:basedOn w:val="Normal"/>
    <w:link w:val="En-tteCar"/>
    <w:uiPriority w:val="99"/>
    <w:semiHidden/>
    <w:unhideWhenUsed/>
    <w:rsid w:val="002C10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10D8"/>
    <w:rPr>
      <w:rFonts w:ascii="Times New Roman" w:eastAsia="Times New Roman" w:hAnsi="Times New Roman" w:cs="Times New Roman"/>
      <w:color w:val="000000"/>
      <w:sz w:val="20"/>
      <w:lang w:eastAsia="fr-FR"/>
    </w:rPr>
  </w:style>
  <w:style w:type="paragraph" w:styleId="Pieddepage">
    <w:name w:val="footer"/>
    <w:basedOn w:val="Normal"/>
    <w:link w:val="PieddepageCar"/>
    <w:uiPriority w:val="99"/>
    <w:unhideWhenUsed/>
    <w:rsid w:val="002C1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0D8"/>
    <w:rPr>
      <w:rFonts w:ascii="Times New Roman" w:eastAsia="Times New Roman" w:hAnsi="Times New Roman" w:cs="Times New Roman"/>
      <w:color w:val="000000"/>
      <w:sz w:val="20"/>
      <w:lang w:eastAsia="fr-FR"/>
    </w:rPr>
  </w:style>
  <w:style w:type="character" w:styleId="lev">
    <w:name w:val="Strong"/>
    <w:basedOn w:val="Policepardfaut"/>
    <w:uiPriority w:val="22"/>
    <w:qFormat/>
    <w:rsid w:val="00B272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B20EE-EDE5-432D-9936-B986712A0DB7}"/>
</file>

<file path=customXml/itemProps2.xml><?xml version="1.0" encoding="utf-8"?>
<ds:datastoreItem xmlns:ds="http://schemas.openxmlformats.org/officeDocument/2006/customXml" ds:itemID="{22A9E27D-D931-48FA-97DB-7B9151F7E301}"/>
</file>

<file path=customXml/itemProps3.xml><?xml version="1.0" encoding="utf-8"?>
<ds:datastoreItem xmlns:ds="http://schemas.openxmlformats.org/officeDocument/2006/customXml" ds:itemID="{E69E893B-4744-4F49-9C0D-DE6D56C990CF}"/>
</file>

<file path=docProps/app.xml><?xml version="1.0" encoding="utf-8"?>
<Properties xmlns="http://schemas.openxmlformats.org/officeDocument/2006/extended-properties" xmlns:vt="http://schemas.openxmlformats.org/officeDocument/2006/docPropsVTypes">
  <Template>Normal</Template>
  <TotalTime>295</TotalTime>
  <Pages>11</Pages>
  <Words>1981</Words>
  <Characters>10901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Hacene</dc:creator>
  <cp:lastModifiedBy>El Hacene</cp:lastModifiedBy>
  <cp:revision>50</cp:revision>
  <dcterms:created xsi:type="dcterms:W3CDTF">2019-05-09T13:47:00Z</dcterms:created>
  <dcterms:modified xsi:type="dcterms:W3CDTF">2019-05-20T11:57:00Z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