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5E" w:rsidRPr="0079266B" w:rsidRDefault="001879B3" w:rsidP="0079266B">
      <w:pPr>
        <w:numPr>
          <w:ilvl w:val="0"/>
          <w:numId w:val="0"/>
        </w:numPr>
        <w:jc w:val="center"/>
        <w:rPr>
          <w:rFonts w:ascii="Calibri" w:hAnsi="Calibri"/>
          <w:sz w:val="32"/>
          <w:szCs w:val="32"/>
        </w:rPr>
      </w:pPr>
      <w:r w:rsidRPr="0079266B">
        <w:rPr>
          <w:rFonts w:ascii="Calibri" w:hAnsi="Calibri"/>
          <w:noProof/>
          <w:sz w:val="32"/>
          <w:szCs w:val="32"/>
          <w:lang w:eastAsia="en-GB"/>
        </w:rPr>
        <w:drawing>
          <wp:inline distT="0" distB="0" distL="0" distR="0">
            <wp:extent cx="2985135" cy="3571122"/>
            <wp:effectExtent l="0" t="0" r="1206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911" t="14266" r="7244" b="13998"/>
                    <a:stretch/>
                  </pic:blipFill>
                  <pic:spPr bwMode="auto">
                    <a:xfrm>
                      <a:off x="0" y="0"/>
                      <a:ext cx="3015845" cy="3607860"/>
                    </a:xfrm>
                    <a:prstGeom prst="rect">
                      <a:avLst/>
                    </a:prstGeom>
                    <a:noFill/>
                    <a:ln>
                      <a:noFill/>
                    </a:ln>
                    <a:extLst>
                      <a:ext uri="{53640926-AAD7-44D8-BBD7-CCE9431645EC}">
                        <a14:shadowObscured xmlns:a14="http://schemas.microsoft.com/office/drawing/2010/main"/>
                      </a:ext>
                    </a:extLst>
                  </pic:spPr>
                </pic:pic>
              </a:graphicData>
            </a:graphic>
          </wp:inline>
        </w:drawing>
      </w:r>
    </w:p>
    <w:p w:rsidR="0079266B" w:rsidRPr="00BD249E" w:rsidRDefault="00E51AAB" w:rsidP="00E51AAB">
      <w:pPr>
        <w:numPr>
          <w:ilvl w:val="0"/>
          <w:numId w:val="0"/>
        </w:numPr>
        <w:spacing w:before="960" w:after="0" w:line="240" w:lineRule="auto"/>
        <w:jc w:val="center"/>
        <w:rPr>
          <w:rFonts w:ascii="Calibri" w:hAnsi="Calibri"/>
          <w:b/>
          <w:sz w:val="32"/>
        </w:rPr>
      </w:pPr>
      <w:r w:rsidRPr="00BD249E">
        <w:rPr>
          <w:rFonts w:ascii="Calibri" w:hAnsi="Calibri"/>
          <w:b/>
          <w:sz w:val="32"/>
        </w:rPr>
        <w:t>SUBMISSION BY AL-HAQ TO THE</w:t>
      </w:r>
      <w:r w:rsidRPr="00BD249E">
        <w:rPr>
          <w:rFonts w:ascii="Calibri" w:hAnsi="Calibri"/>
          <w:b/>
          <w:sz w:val="32"/>
        </w:rPr>
        <w:br/>
        <w:t xml:space="preserve">UNITED NATIONS </w:t>
      </w:r>
      <w:r w:rsidR="0079266B" w:rsidRPr="00BD249E">
        <w:rPr>
          <w:rFonts w:ascii="Calibri" w:hAnsi="Calibri"/>
          <w:b/>
          <w:sz w:val="32"/>
        </w:rPr>
        <w:t>HUMAN RIGHTS COMMITTEE</w:t>
      </w:r>
      <w:r w:rsidR="0079266B" w:rsidRPr="00BD249E">
        <w:rPr>
          <w:rFonts w:ascii="Calibri" w:hAnsi="Calibri"/>
          <w:b/>
          <w:sz w:val="32"/>
        </w:rPr>
        <w:br/>
        <w:t>ON THE OCCASION OF THE FOLLOW-UP PROCEDURE</w:t>
      </w:r>
      <w:r w:rsidR="00A05327">
        <w:rPr>
          <w:rFonts w:ascii="Calibri" w:hAnsi="Calibri"/>
          <w:b/>
          <w:sz w:val="32"/>
        </w:rPr>
        <w:t xml:space="preserve"> </w:t>
      </w:r>
      <w:r w:rsidR="0079266B" w:rsidRPr="00BD249E">
        <w:rPr>
          <w:rFonts w:ascii="Calibri" w:hAnsi="Calibri"/>
          <w:b/>
          <w:sz w:val="32"/>
        </w:rPr>
        <w:t>ON</w:t>
      </w:r>
      <w:r w:rsidR="0079266B" w:rsidRPr="00BD249E">
        <w:rPr>
          <w:rFonts w:ascii="Calibri" w:hAnsi="Calibri"/>
          <w:b/>
          <w:sz w:val="32"/>
        </w:rPr>
        <w:br/>
        <w:t>ISRAEL’S FOURTH PERIODIC REVIEW</w:t>
      </w:r>
    </w:p>
    <w:p w:rsidR="0071175E" w:rsidRPr="00BD249E" w:rsidRDefault="001879B3" w:rsidP="00E51AAB">
      <w:pPr>
        <w:numPr>
          <w:ilvl w:val="0"/>
          <w:numId w:val="0"/>
        </w:numPr>
        <w:spacing w:after="960" w:line="240" w:lineRule="auto"/>
        <w:jc w:val="center"/>
        <w:rPr>
          <w:rFonts w:ascii="Calibri" w:hAnsi="Calibri"/>
          <w:i/>
          <w:szCs w:val="28"/>
        </w:rPr>
      </w:pPr>
      <w:r w:rsidRPr="00BD249E">
        <w:rPr>
          <w:rFonts w:ascii="Calibri" w:hAnsi="Calibri"/>
          <w:i/>
          <w:szCs w:val="28"/>
        </w:rPr>
        <w:t>Al-Haq has speci</w:t>
      </w:r>
      <w:r w:rsidR="00543E9D" w:rsidRPr="00BD249E">
        <w:rPr>
          <w:rFonts w:ascii="Calibri" w:hAnsi="Calibri"/>
          <w:i/>
          <w:szCs w:val="28"/>
        </w:rPr>
        <w:t>al consultative status with the</w:t>
      </w:r>
      <w:r w:rsidR="00543E9D" w:rsidRPr="00BD249E">
        <w:rPr>
          <w:rFonts w:ascii="Calibri" w:hAnsi="Calibri"/>
          <w:i/>
          <w:szCs w:val="28"/>
        </w:rPr>
        <w:br/>
      </w:r>
      <w:r w:rsidRPr="00BD249E">
        <w:rPr>
          <w:rFonts w:ascii="Calibri" w:hAnsi="Calibri"/>
          <w:i/>
          <w:szCs w:val="28"/>
        </w:rPr>
        <w:t>United Nations Economic and Social Council</w:t>
      </w:r>
    </w:p>
    <w:p w:rsidR="0013330B" w:rsidRPr="00BD249E" w:rsidRDefault="0079266B" w:rsidP="00E51AAB">
      <w:pPr>
        <w:numPr>
          <w:ilvl w:val="0"/>
          <w:numId w:val="0"/>
        </w:numPr>
        <w:spacing w:before="960" w:after="960" w:line="240" w:lineRule="auto"/>
        <w:jc w:val="center"/>
        <w:rPr>
          <w:rFonts w:ascii="Calibri" w:hAnsi="Calibri"/>
          <w:b/>
          <w:sz w:val="28"/>
        </w:rPr>
      </w:pPr>
      <w:r w:rsidRPr="00BD249E">
        <w:rPr>
          <w:rFonts w:ascii="Calibri" w:hAnsi="Calibri"/>
          <w:b/>
          <w:sz w:val="28"/>
        </w:rPr>
        <w:t>FOLLOW-UP PROCEDURE OF THE HUMAN RIGHTS COMMITTEE</w:t>
      </w:r>
      <w:r w:rsidRPr="00BD249E">
        <w:rPr>
          <w:rFonts w:ascii="Calibri" w:hAnsi="Calibri"/>
          <w:b/>
          <w:sz w:val="28"/>
        </w:rPr>
        <w:br/>
        <w:t>REGARDING ISRAEL'S VIOLATION AND FAILED IMPLEMENTATION OFARTICLES 1, 2, 4, 6, 7, 9,</w:t>
      </w:r>
      <w:r w:rsidR="00E51AAB" w:rsidRPr="00BD249E">
        <w:rPr>
          <w:rFonts w:ascii="Calibri" w:hAnsi="Calibri"/>
          <w:b/>
          <w:sz w:val="28"/>
        </w:rPr>
        <w:t xml:space="preserve"> 10, 12, 14, 17, 24, 26, AND 27 </w:t>
      </w:r>
      <w:r w:rsidRPr="00BD249E">
        <w:rPr>
          <w:rFonts w:ascii="Calibri" w:hAnsi="Calibri"/>
          <w:b/>
          <w:sz w:val="28"/>
        </w:rPr>
        <w:t>OF THE INTERNATIONAL COVENANT ON CIVIL AND POLITICAL RIGHTS</w:t>
      </w:r>
    </w:p>
    <w:p w:rsidR="001879B3" w:rsidRPr="0079266B" w:rsidRDefault="00422C61" w:rsidP="00E51AAB">
      <w:pPr>
        <w:numPr>
          <w:ilvl w:val="0"/>
          <w:numId w:val="0"/>
        </w:numPr>
        <w:spacing w:before="960" w:after="960" w:line="240" w:lineRule="auto"/>
        <w:jc w:val="center"/>
        <w:rPr>
          <w:rFonts w:ascii="Calibri" w:hAnsi="Calibri"/>
          <w:sz w:val="32"/>
          <w:szCs w:val="32"/>
        </w:rPr>
      </w:pPr>
      <w:r w:rsidRPr="00BD249E">
        <w:rPr>
          <w:rFonts w:ascii="Calibri" w:hAnsi="Calibri"/>
        </w:rPr>
        <w:t xml:space="preserve">Submitted </w:t>
      </w:r>
      <w:r w:rsidR="00C90E01">
        <w:rPr>
          <w:rFonts w:ascii="Calibri" w:hAnsi="Calibri"/>
        </w:rPr>
        <w:t>10</w:t>
      </w:r>
      <w:r w:rsidR="00D4055D">
        <w:rPr>
          <w:rFonts w:ascii="Calibri" w:hAnsi="Calibri"/>
        </w:rPr>
        <w:t xml:space="preserve"> </w:t>
      </w:r>
      <w:bookmarkStart w:id="0" w:name="_GoBack"/>
      <w:bookmarkEnd w:id="0"/>
      <w:r w:rsidR="001879B3" w:rsidRPr="00BD249E">
        <w:rPr>
          <w:rFonts w:ascii="Calibri" w:hAnsi="Calibri"/>
        </w:rPr>
        <w:t>May 2017</w:t>
      </w:r>
      <w:r w:rsidR="001879B3" w:rsidRPr="0079266B">
        <w:rPr>
          <w:rFonts w:ascii="Calibri" w:hAnsi="Calibri"/>
          <w:sz w:val="32"/>
          <w:szCs w:val="32"/>
        </w:rPr>
        <w:br w:type="page"/>
      </w:r>
    </w:p>
    <w:p w:rsidR="00422C61" w:rsidRPr="0079266B" w:rsidRDefault="00422C61" w:rsidP="00012B7F">
      <w:pPr>
        <w:pStyle w:val="Heading1"/>
      </w:pPr>
      <w:r w:rsidRPr="0079266B">
        <w:lastRenderedPageBreak/>
        <w:t>Introduction</w:t>
      </w:r>
    </w:p>
    <w:p w:rsidR="004E267E" w:rsidRDefault="00B55B6B" w:rsidP="00FD5130">
      <w:pPr>
        <w:rPr>
          <w:rFonts w:ascii="Calibri" w:hAnsi="Calibri"/>
        </w:rPr>
      </w:pPr>
      <w:r>
        <w:rPr>
          <w:rFonts w:ascii="Calibri" w:hAnsi="Calibri"/>
        </w:rPr>
        <w:t>On 21 November 2014, the Human Rights Committee (‘the Committee’</w:t>
      </w:r>
      <w:proofErr w:type="gramStart"/>
      <w:r>
        <w:rPr>
          <w:rFonts w:ascii="Calibri" w:hAnsi="Calibri"/>
        </w:rPr>
        <w:t>),</w:t>
      </w:r>
      <w:proofErr w:type="gramEnd"/>
      <w:r>
        <w:rPr>
          <w:rFonts w:ascii="Calibri" w:hAnsi="Calibri"/>
        </w:rPr>
        <w:t xml:space="preserve"> issued its Concluding Observations on the fourth periodic report of Israel on the International Covenant on Civil and Political Rights (ICCPR or ‘the Covenant’). </w:t>
      </w:r>
      <w:r w:rsidR="00DB1216" w:rsidRPr="00B55B6B">
        <w:rPr>
          <w:rFonts w:ascii="Calibri" w:hAnsi="Calibri"/>
        </w:rPr>
        <w:t xml:space="preserve">In line with the </w:t>
      </w:r>
      <w:r>
        <w:rPr>
          <w:rFonts w:ascii="Calibri" w:hAnsi="Calibri"/>
        </w:rPr>
        <w:t xml:space="preserve">follow-up procedure of </w:t>
      </w:r>
      <w:r w:rsidR="00DB1216" w:rsidRPr="00B55B6B">
        <w:rPr>
          <w:rFonts w:ascii="Calibri" w:hAnsi="Calibri"/>
        </w:rPr>
        <w:t xml:space="preserve">the Committee, </w:t>
      </w:r>
      <w:r w:rsidR="001636A9" w:rsidRPr="00B55B6B">
        <w:rPr>
          <w:rFonts w:ascii="Calibri" w:hAnsi="Calibri"/>
        </w:rPr>
        <w:t xml:space="preserve">Al-Haq </w:t>
      </w:r>
      <w:r w:rsidRPr="00B55B6B">
        <w:rPr>
          <w:rFonts w:ascii="Calibri" w:hAnsi="Calibri"/>
        </w:rPr>
        <w:t>herewith</w:t>
      </w:r>
      <w:r w:rsidR="001636A9" w:rsidRPr="00B55B6B">
        <w:rPr>
          <w:rFonts w:ascii="Calibri" w:hAnsi="Calibri"/>
        </w:rPr>
        <w:t xml:space="preserve"> submit</w:t>
      </w:r>
      <w:r w:rsidRPr="00B55B6B">
        <w:rPr>
          <w:rFonts w:ascii="Calibri" w:hAnsi="Calibri"/>
        </w:rPr>
        <w:t>s</w:t>
      </w:r>
      <w:r w:rsidR="00A05327">
        <w:rPr>
          <w:rFonts w:ascii="Calibri" w:hAnsi="Calibri"/>
        </w:rPr>
        <w:t xml:space="preserve"> </w:t>
      </w:r>
      <w:r w:rsidRPr="00B55B6B">
        <w:rPr>
          <w:rFonts w:ascii="Calibri" w:hAnsi="Calibri"/>
        </w:rPr>
        <w:t>its</w:t>
      </w:r>
      <w:r w:rsidR="001636A9" w:rsidRPr="00B55B6B">
        <w:rPr>
          <w:rFonts w:ascii="Calibri" w:hAnsi="Calibri"/>
        </w:rPr>
        <w:t xml:space="preserve"> report </w:t>
      </w:r>
      <w:r w:rsidRPr="00B55B6B">
        <w:rPr>
          <w:rFonts w:ascii="Calibri" w:hAnsi="Calibri"/>
        </w:rPr>
        <w:t xml:space="preserve">on </w:t>
      </w:r>
      <w:r w:rsidR="00DB1216" w:rsidRPr="00B55B6B">
        <w:rPr>
          <w:rFonts w:ascii="Calibri" w:hAnsi="Calibri"/>
        </w:rPr>
        <w:t xml:space="preserve">Israel’s implementation of </w:t>
      </w:r>
      <w:r>
        <w:rPr>
          <w:rFonts w:ascii="Calibri" w:hAnsi="Calibri"/>
        </w:rPr>
        <w:t>the four</w:t>
      </w:r>
      <w:r w:rsidR="00A05327">
        <w:rPr>
          <w:rFonts w:ascii="Calibri" w:hAnsi="Calibri"/>
        </w:rPr>
        <w:t xml:space="preserve"> </w:t>
      </w:r>
      <w:r w:rsidR="001636A9" w:rsidRPr="00B55B6B">
        <w:rPr>
          <w:rFonts w:ascii="Calibri" w:hAnsi="Calibri"/>
        </w:rPr>
        <w:t>recommendations</w:t>
      </w:r>
      <w:r>
        <w:rPr>
          <w:rFonts w:ascii="Calibri" w:hAnsi="Calibri"/>
        </w:rPr>
        <w:t xml:space="preserve"> selected for review</w:t>
      </w:r>
      <w:r w:rsidR="00CC4CDA">
        <w:rPr>
          <w:rFonts w:ascii="Calibri" w:hAnsi="Calibri"/>
        </w:rPr>
        <w:t xml:space="preserve">, which </w:t>
      </w:r>
      <w:r w:rsidR="00A5791A">
        <w:rPr>
          <w:rFonts w:ascii="Calibri" w:hAnsi="Calibri"/>
        </w:rPr>
        <w:t>cover</w:t>
      </w:r>
      <w:r w:rsidR="00CC4CDA">
        <w:rPr>
          <w:rFonts w:ascii="Calibri" w:hAnsi="Calibri"/>
        </w:rPr>
        <w:t xml:space="preserve">: </w:t>
      </w:r>
      <w:r w:rsidR="001636A9" w:rsidRPr="00B55B6B">
        <w:rPr>
          <w:rFonts w:ascii="Calibri" w:hAnsi="Calibri"/>
        </w:rPr>
        <w:t xml:space="preserve">punitive demolitions, </w:t>
      </w:r>
      <w:r w:rsidR="00CC4CDA">
        <w:rPr>
          <w:rFonts w:ascii="Calibri" w:hAnsi="Calibri"/>
        </w:rPr>
        <w:t xml:space="preserve">the </w:t>
      </w:r>
      <w:r w:rsidR="001636A9" w:rsidRPr="00B55B6B">
        <w:rPr>
          <w:rFonts w:ascii="Calibri" w:hAnsi="Calibri"/>
        </w:rPr>
        <w:t xml:space="preserve">planning and zoning regime in the West Bank, and </w:t>
      </w:r>
      <w:r w:rsidR="00CC4CDA">
        <w:rPr>
          <w:rFonts w:ascii="Calibri" w:hAnsi="Calibri"/>
        </w:rPr>
        <w:t xml:space="preserve">the </w:t>
      </w:r>
      <w:r w:rsidR="001636A9" w:rsidRPr="00B55B6B">
        <w:rPr>
          <w:rFonts w:ascii="Calibri" w:hAnsi="Calibri"/>
        </w:rPr>
        <w:t xml:space="preserve">displacement of Bedouins </w:t>
      </w:r>
      <w:r w:rsidR="00DB1216" w:rsidRPr="00B55B6B">
        <w:rPr>
          <w:rFonts w:ascii="Calibri" w:hAnsi="Calibri"/>
        </w:rPr>
        <w:t>(</w:t>
      </w:r>
      <w:r w:rsidR="001636A9" w:rsidRPr="00B55B6B">
        <w:rPr>
          <w:rFonts w:ascii="Calibri" w:hAnsi="Calibri"/>
        </w:rPr>
        <w:t xml:space="preserve">CCPR/C/ISR/CO/4, para. 9); the ongoing blockade of the Gaza Strip (CCPR/C/ISR/CO/4, para. 12); torture and ill-treatment (CCPR/C/ISR/CO/4, para. 14); and the </w:t>
      </w:r>
      <w:r w:rsidR="00CC4CDA">
        <w:rPr>
          <w:rFonts w:ascii="Calibri" w:hAnsi="Calibri"/>
        </w:rPr>
        <w:t xml:space="preserve">Israeli </w:t>
      </w:r>
      <w:r w:rsidR="001636A9" w:rsidRPr="00B55B6B">
        <w:rPr>
          <w:rFonts w:ascii="Calibri" w:hAnsi="Calibri"/>
        </w:rPr>
        <w:t>juvenile criminal justice system (CCPR/C/ISR/CO/4, para. 19).</w:t>
      </w:r>
      <w:r w:rsidR="00A05327">
        <w:rPr>
          <w:rFonts w:ascii="Calibri" w:hAnsi="Calibri"/>
        </w:rPr>
        <w:t xml:space="preserve"> </w:t>
      </w:r>
      <w:r w:rsidR="00CC4CDA" w:rsidRPr="000107D8">
        <w:rPr>
          <w:rFonts w:ascii="Calibri" w:hAnsi="Calibri"/>
        </w:rPr>
        <w:t xml:space="preserve">Since </w:t>
      </w:r>
      <w:r w:rsidR="00CC4CDA" w:rsidRPr="005731E0">
        <w:rPr>
          <w:rFonts w:ascii="Calibri" w:hAnsi="Calibri"/>
        </w:rPr>
        <w:t>November 2014</w:t>
      </w:r>
      <w:r w:rsidR="00CC4CDA" w:rsidRPr="000107D8">
        <w:rPr>
          <w:rFonts w:ascii="Calibri" w:hAnsi="Calibri"/>
        </w:rPr>
        <w:t xml:space="preserve">, Al-Haq has documented a </w:t>
      </w:r>
      <w:r w:rsidR="005731E0" w:rsidRPr="000107D8">
        <w:rPr>
          <w:rFonts w:ascii="Calibri" w:hAnsi="Calibri"/>
        </w:rPr>
        <w:t>continu</w:t>
      </w:r>
      <w:r w:rsidR="005731E0">
        <w:rPr>
          <w:rFonts w:ascii="Calibri" w:hAnsi="Calibri"/>
        </w:rPr>
        <w:t>ed</w:t>
      </w:r>
      <w:r w:rsidR="00A05327">
        <w:rPr>
          <w:rFonts w:ascii="Calibri" w:hAnsi="Calibri"/>
        </w:rPr>
        <w:t xml:space="preserve"> </w:t>
      </w:r>
      <w:r w:rsidR="00CC4CDA" w:rsidRPr="000107D8">
        <w:rPr>
          <w:rFonts w:ascii="Calibri" w:hAnsi="Calibri"/>
        </w:rPr>
        <w:t xml:space="preserve">deterioration </w:t>
      </w:r>
      <w:r w:rsidR="00A5791A">
        <w:rPr>
          <w:rFonts w:ascii="Calibri" w:hAnsi="Calibri"/>
        </w:rPr>
        <w:t>in</w:t>
      </w:r>
      <w:r w:rsidR="00A05327">
        <w:rPr>
          <w:rFonts w:ascii="Calibri" w:hAnsi="Calibri"/>
        </w:rPr>
        <w:t xml:space="preserve"> </w:t>
      </w:r>
      <w:r w:rsidR="00CC4CDA" w:rsidRPr="000107D8">
        <w:rPr>
          <w:rFonts w:ascii="Calibri" w:hAnsi="Calibri"/>
        </w:rPr>
        <w:t xml:space="preserve">the human rights situation in the </w:t>
      </w:r>
      <w:r w:rsidR="009B2156">
        <w:rPr>
          <w:rFonts w:ascii="Calibri" w:hAnsi="Calibri"/>
        </w:rPr>
        <w:t>O</w:t>
      </w:r>
      <w:r w:rsidR="00CC4CDA" w:rsidRPr="000107D8">
        <w:rPr>
          <w:rFonts w:ascii="Calibri" w:hAnsi="Calibri"/>
        </w:rPr>
        <w:t xml:space="preserve">ccupied Palestinian </w:t>
      </w:r>
      <w:r w:rsidR="009B2156">
        <w:rPr>
          <w:rFonts w:ascii="Calibri" w:hAnsi="Calibri"/>
        </w:rPr>
        <w:t>T</w:t>
      </w:r>
      <w:r w:rsidR="00CC4CDA" w:rsidRPr="000107D8">
        <w:rPr>
          <w:rFonts w:ascii="Calibri" w:hAnsi="Calibri"/>
        </w:rPr>
        <w:t>erritory (</w:t>
      </w:r>
      <w:r w:rsidR="00ED197D">
        <w:rPr>
          <w:rFonts w:ascii="Calibri" w:hAnsi="Calibri"/>
        </w:rPr>
        <w:t>OPT</w:t>
      </w:r>
      <w:r w:rsidR="00CC4CDA" w:rsidRPr="000107D8">
        <w:rPr>
          <w:rFonts w:ascii="Calibri" w:hAnsi="Calibri"/>
        </w:rPr>
        <w:t xml:space="preserve">). </w:t>
      </w:r>
      <w:r w:rsidR="005731E0">
        <w:rPr>
          <w:rFonts w:ascii="Calibri" w:hAnsi="Calibri"/>
        </w:rPr>
        <w:t>Under international law, and i</w:t>
      </w:r>
      <w:r w:rsidR="00CC4CDA" w:rsidRPr="000107D8">
        <w:rPr>
          <w:rFonts w:ascii="Calibri" w:hAnsi="Calibri"/>
        </w:rPr>
        <w:t xml:space="preserve">n line with the Committee’s </w:t>
      </w:r>
      <w:r w:rsidR="00563C01" w:rsidRPr="000107D8">
        <w:rPr>
          <w:rFonts w:ascii="Calibri" w:hAnsi="Calibri"/>
        </w:rPr>
        <w:t>long-standing</w:t>
      </w:r>
      <w:r w:rsidR="00A05327">
        <w:rPr>
          <w:rFonts w:ascii="Calibri" w:hAnsi="Calibri"/>
        </w:rPr>
        <w:t xml:space="preserve"> </w:t>
      </w:r>
      <w:r w:rsidR="00563C01" w:rsidRPr="000107D8">
        <w:rPr>
          <w:rFonts w:ascii="Calibri" w:hAnsi="Calibri"/>
        </w:rPr>
        <w:t>practice</w:t>
      </w:r>
      <w:r w:rsidR="00CC4CDA" w:rsidRPr="000107D8">
        <w:rPr>
          <w:rFonts w:ascii="Calibri" w:hAnsi="Calibri"/>
        </w:rPr>
        <w:t xml:space="preserve">, Israel’s obligations under the ICCPR extend to Palestinians in the </w:t>
      </w:r>
      <w:r w:rsidR="00300E31">
        <w:rPr>
          <w:rFonts w:ascii="Calibri" w:hAnsi="Calibri"/>
        </w:rPr>
        <w:t>OPT</w:t>
      </w:r>
      <w:r w:rsidR="00CC4CDA" w:rsidRPr="000107D8">
        <w:rPr>
          <w:rFonts w:ascii="Calibri" w:hAnsi="Calibri"/>
        </w:rPr>
        <w:t xml:space="preserve"> by virtue of Israel’s </w:t>
      </w:r>
      <w:r w:rsidR="009B2156">
        <w:rPr>
          <w:rFonts w:ascii="Calibri" w:hAnsi="Calibri"/>
        </w:rPr>
        <w:t xml:space="preserve">prolonged </w:t>
      </w:r>
      <w:r w:rsidR="00CC4CDA" w:rsidRPr="000107D8">
        <w:rPr>
          <w:rFonts w:ascii="Calibri" w:hAnsi="Calibri"/>
        </w:rPr>
        <w:t xml:space="preserve">occupation </w:t>
      </w:r>
      <w:r w:rsidR="009B2156">
        <w:rPr>
          <w:rFonts w:ascii="Calibri" w:hAnsi="Calibri"/>
        </w:rPr>
        <w:t xml:space="preserve">of the territory </w:t>
      </w:r>
      <w:r w:rsidR="00563C01" w:rsidRPr="000107D8">
        <w:rPr>
          <w:rFonts w:ascii="Calibri" w:hAnsi="Calibri"/>
        </w:rPr>
        <w:t>(CCPR/C/ISR/CO/3, para. 5).</w:t>
      </w:r>
      <w:r w:rsidR="004E267E">
        <w:rPr>
          <w:rFonts w:ascii="Calibri" w:hAnsi="Calibri"/>
        </w:rPr>
        <w:t xml:space="preserve"> Israeli policies and practices in the </w:t>
      </w:r>
      <w:r w:rsidR="00300E31">
        <w:rPr>
          <w:rFonts w:ascii="Calibri" w:hAnsi="Calibri"/>
        </w:rPr>
        <w:t xml:space="preserve">OPT are </w:t>
      </w:r>
      <w:r w:rsidR="004E267E">
        <w:rPr>
          <w:rFonts w:ascii="Calibri" w:hAnsi="Calibri"/>
        </w:rPr>
        <w:t>in violation of</w:t>
      </w:r>
      <w:r w:rsidR="00A05327">
        <w:rPr>
          <w:rFonts w:ascii="Calibri" w:hAnsi="Calibri"/>
        </w:rPr>
        <w:t xml:space="preserve"> </w:t>
      </w:r>
      <w:r w:rsidR="00EE68E8">
        <w:rPr>
          <w:rFonts w:ascii="Calibri" w:hAnsi="Calibri"/>
        </w:rPr>
        <w:t>Israel’s</w:t>
      </w:r>
      <w:r w:rsidR="00A05327">
        <w:rPr>
          <w:rFonts w:ascii="Calibri" w:hAnsi="Calibri"/>
        </w:rPr>
        <w:t xml:space="preserve"> </w:t>
      </w:r>
      <w:r w:rsidR="005731E0">
        <w:rPr>
          <w:rFonts w:ascii="Calibri" w:hAnsi="Calibri"/>
        </w:rPr>
        <w:t>duties as Occupying Power under</w:t>
      </w:r>
      <w:r w:rsidR="004E267E">
        <w:rPr>
          <w:rFonts w:ascii="Calibri" w:hAnsi="Calibri"/>
        </w:rPr>
        <w:t xml:space="preserve"> international human rights and humanitarian law, </w:t>
      </w:r>
      <w:r w:rsidR="005731E0">
        <w:rPr>
          <w:rFonts w:ascii="Calibri" w:hAnsi="Calibri"/>
        </w:rPr>
        <w:t>and rise to the level of international crimes</w:t>
      </w:r>
      <w:r w:rsidR="004E267E">
        <w:rPr>
          <w:rFonts w:ascii="Calibri" w:hAnsi="Calibri"/>
        </w:rPr>
        <w:t>.</w:t>
      </w:r>
      <w:r w:rsidR="004E267E">
        <w:rPr>
          <w:rStyle w:val="FootnoteReference"/>
          <w:rFonts w:ascii="Calibri" w:hAnsi="Calibri"/>
        </w:rPr>
        <w:footnoteReference w:id="1"/>
      </w:r>
    </w:p>
    <w:p w:rsidR="00422C61" w:rsidRPr="0079266B" w:rsidRDefault="00422C61" w:rsidP="00012B7F">
      <w:pPr>
        <w:pStyle w:val="Heading1"/>
      </w:pPr>
      <w:r w:rsidRPr="0079266B">
        <w:t>Punitive demolitions, planning and zoning regime in the West Bank and displacement of Bedouins (Articles 2, 7, 12, 14, 17, 26</w:t>
      </w:r>
      <w:r w:rsidR="00012B7F">
        <w:t>,</w:t>
      </w:r>
      <w:r w:rsidRPr="0079266B">
        <w:t xml:space="preserve"> and 27)</w:t>
      </w:r>
    </w:p>
    <w:p w:rsidR="006F6B10" w:rsidRDefault="00D069EA" w:rsidP="00AD2BDD">
      <w:pPr>
        <w:rPr>
          <w:rFonts w:ascii="Calibri" w:hAnsi="Calibri"/>
        </w:rPr>
      </w:pPr>
      <w:r w:rsidRPr="0079266B">
        <w:rPr>
          <w:rFonts w:ascii="Calibri" w:hAnsi="Calibri"/>
        </w:rPr>
        <w:t xml:space="preserve">In </w:t>
      </w:r>
      <w:r w:rsidR="00A16DBE">
        <w:rPr>
          <w:rFonts w:ascii="Calibri" w:hAnsi="Calibri"/>
        </w:rPr>
        <w:t>2014</w:t>
      </w:r>
      <w:r w:rsidRPr="0079266B">
        <w:rPr>
          <w:rFonts w:ascii="Calibri" w:hAnsi="Calibri"/>
        </w:rPr>
        <w:t xml:space="preserve">, the Committee </w:t>
      </w:r>
      <w:r w:rsidR="00F64B57" w:rsidRPr="0079266B">
        <w:rPr>
          <w:rFonts w:ascii="Calibri" w:hAnsi="Calibri"/>
        </w:rPr>
        <w:t xml:space="preserve">called on Israel to immediately put an end to </w:t>
      </w:r>
      <w:r w:rsidR="009B2156">
        <w:rPr>
          <w:rFonts w:ascii="Calibri" w:hAnsi="Calibri"/>
        </w:rPr>
        <w:t xml:space="preserve">all </w:t>
      </w:r>
      <w:r w:rsidR="00F64B57" w:rsidRPr="0079266B">
        <w:rPr>
          <w:rFonts w:ascii="Calibri" w:hAnsi="Calibri"/>
        </w:rPr>
        <w:t xml:space="preserve">punitive demolitions (CCPR/C/ISR/CO/4, para. 9(a)). </w:t>
      </w:r>
      <w:r w:rsidR="00A16DBE">
        <w:rPr>
          <w:rFonts w:ascii="Calibri" w:hAnsi="Calibri"/>
        </w:rPr>
        <w:t xml:space="preserve">Rather than comply with the recommendation, </w:t>
      </w:r>
      <w:r w:rsidR="00F64B57" w:rsidRPr="0079266B">
        <w:rPr>
          <w:rFonts w:ascii="Calibri" w:hAnsi="Calibri"/>
        </w:rPr>
        <w:t xml:space="preserve">Israel </w:t>
      </w:r>
      <w:r w:rsidR="005731E0">
        <w:rPr>
          <w:rFonts w:ascii="Calibri" w:hAnsi="Calibri"/>
        </w:rPr>
        <w:t xml:space="preserve">has instead escalated its policy </w:t>
      </w:r>
      <w:r w:rsidR="00E91EC9">
        <w:rPr>
          <w:rFonts w:ascii="Calibri" w:hAnsi="Calibri"/>
        </w:rPr>
        <w:t>since 2014</w:t>
      </w:r>
      <w:r w:rsidR="008120A5" w:rsidRPr="0079266B">
        <w:rPr>
          <w:rFonts w:ascii="Calibri" w:hAnsi="Calibri"/>
        </w:rPr>
        <w:t>. Al-Haq documented 16 punitive demolitions</w:t>
      </w:r>
      <w:r w:rsidR="009B2156">
        <w:rPr>
          <w:rFonts w:ascii="Calibri" w:hAnsi="Calibri"/>
        </w:rPr>
        <w:t xml:space="preserve"> conducted </w:t>
      </w:r>
      <w:r w:rsidR="00A16DBE">
        <w:rPr>
          <w:rFonts w:ascii="Calibri" w:hAnsi="Calibri"/>
        </w:rPr>
        <w:t xml:space="preserve">by Israel </w:t>
      </w:r>
      <w:r w:rsidR="008120A5" w:rsidRPr="0079266B">
        <w:rPr>
          <w:rFonts w:ascii="Calibri" w:hAnsi="Calibri"/>
        </w:rPr>
        <w:t xml:space="preserve">in 2015, 27 in 2016, and one </w:t>
      </w:r>
      <w:r w:rsidR="007A3C85" w:rsidRPr="0079266B">
        <w:rPr>
          <w:rFonts w:ascii="Calibri" w:hAnsi="Calibri"/>
        </w:rPr>
        <w:t>as of 30 April</w:t>
      </w:r>
      <w:r w:rsidR="00A05327">
        <w:rPr>
          <w:rFonts w:ascii="Calibri" w:hAnsi="Calibri"/>
        </w:rPr>
        <w:t xml:space="preserve"> </w:t>
      </w:r>
      <w:r w:rsidR="009B2156">
        <w:rPr>
          <w:rFonts w:ascii="Calibri" w:hAnsi="Calibri"/>
        </w:rPr>
        <w:t xml:space="preserve">2017 </w:t>
      </w:r>
      <w:r w:rsidR="005731E0" w:rsidRPr="0079266B">
        <w:rPr>
          <w:rFonts w:ascii="Calibri" w:hAnsi="Calibri"/>
        </w:rPr>
        <w:t xml:space="preserve">in the </w:t>
      </w:r>
      <w:r w:rsidR="005731E0">
        <w:rPr>
          <w:rFonts w:ascii="Calibri" w:hAnsi="Calibri"/>
        </w:rPr>
        <w:t>OPT, including East Jerusalem</w:t>
      </w:r>
      <w:r w:rsidR="008120A5" w:rsidRPr="0079266B">
        <w:rPr>
          <w:rFonts w:ascii="Calibri" w:hAnsi="Calibri"/>
        </w:rPr>
        <w:t xml:space="preserve">. </w:t>
      </w:r>
      <w:r w:rsidR="00AD2BDD">
        <w:rPr>
          <w:rFonts w:ascii="Calibri" w:hAnsi="Calibri"/>
        </w:rPr>
        <w:t>I</w:t>
      </w:r>
      <w:r w:rsidR="00834E35">
        <w:rPr>
          <w:rFonts w:ascii="Calibri" w:hAnsi="Calibri"/>
        </w:rPr>
        <w:t xml:space="preserve">n October 2015, the Israeli Security Cabinet passed measures </w:t>
      </w:r>
      <w:r w:rsidR="00AD2BDD">
        <w:rPr>
          <w:rFonts w:ascii="Calibri" w:hAnsi="Calibri"/>
        </w:rPr>
        <w:t>further facilitating</w:t>
      </w:r>
      <w:r w:rsidR="00834E35">
        <w:rPr>
          <w:rFonts w:ascii="Calibri" w:hAnsi="Calibri"/>
        </w:rPr>
        <w:t xml:space="preserve"> the practice</w:t>
      </w:r>
      <w:r w:rsidR="00AD2BDD">
        <w:rPr>
          <w:rFonts w:ascii="Calibri" w:hAnsi="Calibri"/>
        </w:rPr>
        <w:t>, and allowing</w:t>
      </w:r>
      <w:r w:rsidR="00834E35">
        <w:rPr>
          <w:rFonts w:ascii="Calibri" w:hAnsi="Calibri"/>
        </w:rPr>
        <w:t xml:space="preserve"> for the effective confiscation of an accused’s home.</w:t>
      </w:r>
      <w:r w:rsidR="00834E35">
        <w:rPr>
          <w:rStyle w:val="FootnoteReference"/>
          <w:rFonts w:ascii="Calibri" w:hAnsi="Calibri"/>
        </w:rPr>
        <w:footnoteReference w:id="2"/>
      </w:r>
      <w:r w:rsidR="00A05327">
        <w:rPr>
          <w:rFonts w:ascii="Calibri" w:hAnsi="Calibri"/>
        </w:rPr>
        <w:t xml:space="preserve"> </w:t>
      </w:r>
      <w:r w:rsidR="00AD2BDD">
        <w:rPr>
          <w:rFonts w:ascii="Calibri" w:hAnsi="Calibri"/>
        </w:rPr>
        <w:t>T</w:t>
      </w:r>
      <w:r w:rsidR="00AD2BDD" w:rsidRPr="0079266B">
        <w:rPr>
          <w:rFonts w:ascii="Calibri" w:hAnsi="Calibri"/>
        </w:rPr>
        <w:t>h</w:t>
      </w:r>
      <w:r w:rsidR="00AD2BDD">
        <w:rPr>
          <w:rFonts w:ascii="Calibri" w:hAnsi="Calibri"/>
        </w:rPr>
        <w:t xml:space="preserve">e Israeli High Court of Justice </w:t>
      </w:r>
      <w:r w:rsidR="00AD2BDD" w:rsidRPr="0079266B">
        <w:rPr>
          <w:rFonts w:ascii="Calibri" w:hAnsi="Calibri"/>
        </w:rPr>
        <w:t xml:space="preserve">has continued to uphold </w:t>
      </w:r>
      <w:r w:rsidR="00AD2BDD">
        <w:rPr>
          <w:rFonts w:ascii="Calibri" w:hAnsi="Calibri"/>
        </w:rPr>
        <w:t xml:space="preserve">the practice of </w:t>
      </w:r>
      <w:r w:rsidR="00AD2BDD" w:rsidRPr="0079266B">
        <w:rPr>
          <w:rFonts w:ascii="Calibri" w:hAnsi="Calibri"/>
        </w:rPr>
        <w:t>punitive demolitions over the past two years</w:t>
      </w:r>
      <w:r w:rsidR="00AD2BDD">
        <w:rPr>
          <w:rFonts w:ascii="Calibri" w:hAnsi="Calibri"/>
        </w:rPr>
        <w:t xml:space="preserve"> in contravention </w:t>
      </w:r>
      <w:r w:rsidR="009B2156">
        <w:rPr>
          <w:rFonts w:ascii="Calibri" w:hAnsi="Calibri"/>
        </w:rPr>
        <w:t>of</w:t>
      </w:r>
      <w:r w:rsidR="00AD2BDD">
        <w:rPr>
          <w:rFonts w:ascii="Calibri" w:hAnsi="Calibri"/>
        </w:rPr>
        <w:t xml:space="preserve"> international law, even in cases where the circumstances of an incident </w:t>
      </w:r>
      <w:r w:rsidR="009B2156">
        <w:rPr>
          <w:rFonts w:ascii="Calibri" w:hAnsi="Calibri"/>
        </w:rPr>
        <w:t xml:space="preserve">were </w:t>
      </w:r>
      <w:r w:rsidR="00AD2BDD">
        <w:rPr>
          <w:rFonts w:ascii="Calibri" w:hAnsi="Calibri"/>
        </w:rPr>
        <w:t>unclear</w:t>
      </w:r>
      <w:r w:rsidR="00AD2BDD" w:rsidRPr="0079266B">
        <w:rPr>
          <w:rFonts w:ascii="Calibri" w:hAnsi="Calibri"/>
        </w:rPr>
        <w:t>.</w:t>
      </w:r>
      <w:r w:rsidR="00AD2BDD">
        <w:rPr>
          <w:rStyle w:val="FootnoteReference"/>
          <w:rFonts w:ascii="Calibri" w:hAnsi="Calibri"/>
        </w:rPr>
        <w:footnoteReference w:id="3"/>
      </w:r>
    </w:p>
    <w:p w:rsidR="006F511B" w:rsidRDefault="00A5791A" w:rsidP="008348DF">
      <w:pPr>
        <w:rPr>
          <w:rFonts w:ascii="Calibri" w:hAnsi="Calibri"/>
        </w:rPr>
      </w:pPr>
      <w:r w:rsidRPr="006F6B10">
        <w:rPr>
          <w:rFonts w:ascii="Calibri" w:hAnsi="Calibri"/>
        </w:rPr>
        <w:lastRenderedPageBreak/>
        <w:t xml:space="preserve">As documented by Al-Haq in 2016, </w:t>
      </w:r>
      <w:r w:rsidR="00CC6743" w:rsidRPr="006F6B10">
        <w:rPr>
          <w:rFonts w:ascii="Calibri" w:hAnsi="Calibri"/>
        </w:rPr>
        <w:t>Israel</w:t>
      </w:r>
      <w:r w:rsidR="00B06046" w:rsidRPr="006F6B10">
        <w:rPr>
          <w:rFonts w:ascii="Calibri" w:hAnsi="Calibri"/>
        </w:rPr>
        <w:t xml:space="preserve"> conducted</w:t>
      </w:r>
      <w:r w:rsidR="00A05327">
        <w:rPr>
          <w:rFonts w:ascii="Calibri" w:hAnsi="Calibri"/>
        </w:rPr>
        <w:t xml:space="preserve"> </w:t>
      </w:r>
      <w:r w:rsidR="00E91EC9" w:rsidRPr="006F6B10">
        <w:rPr>
          <w:rFonts w:ascii="Calibri" w:hAnsi="Calibri"/>
        </w:rPr>
        <w:t xml:space="preserve">three </w:t>
      </w:r>
      <w:r w:rsidR="00371DD2" w:rsidRPr="006F6B10">
        <w:rPr>
          <w:rFonts w:ascii="Calibri" w:hAnsi="Calibri"/>
        </w:rPr>
        <w:t xml:space="preserve">punitive demolitions of </w:t>
      </w:r>
      <w:r w:rsidR="00B06046" w:rsidRPr="006F6B10">
        <w:rPr>
          <w:rFonts w:ascii="Calibri" w:hAnsi="Calibri"/>
        </w:rPr>
        <w:t>the</w:t>
      </w:r>
      <w:r w:rsidR="00A05327">
        <w:rPr>
          <w:rFonts w:ascii="Calibri" w:hAnsi="Calibri"/>
        </w:rPr>
        <w:t xml:space="preserve"> </w:t>
      </w:r>
      <w:r w:rsidR="00B06046" w:rsidRPr="006F6B10">
        <w:rPr>
          <w:rFonts w:ascii="Calibri" w:hAnsi="Calibri"/>
        </w:rPr>
        <w:t xml:space="preserve">family </w:t>
      </w:r>
      <w:r w:rsidR="006D1627" w:rsidRPr="006F6B10">
        <w:rPr>
          <w:rFonts w:ascii="Calibri" w:hAnsi="Calibri"/>
        </w:rPr>
        <w:t xml:space="preserve">homes of </w:t>
      </w:r>
      <w:r w:rsidR="00B06046" w:rsidRPr="006F6B10">
        <w:rPr>
          <w:rFonts w:ascii="Calibri" w:hAnsi="Calibri"/>
        </w:rPr>
        <w:t xml:space="preserve">Ahmad </w:t>
      </w:r>
      <w:proofErr w:type="spellStart"/>
      <w:r w:rsidR="00B06046" w:rsidRPr="006F6B10">
        <w:rPr>
          <w:rFonts w:ascii="Calibri" w:hAnsi="Calibri"/>
        </w:rPr>
        <w:t>Nassar</w:t>
      </w:r>
      <w:proofErr w:type="spellEnd"/>
      <w:r w:rsidR="00B06046" w:rsidRPr="006F6B10">
        <w:rPr>
          <w:rFonts w:ascii="Calibri" w:hAnsi="Calibri"/>
        </w:rPr>
        <w:t xml:space="preserve">, 20, Ahmad Abu a-Rob, 19, and Mohammad </w:t>
      </w:r>
      <w:proofErr w:type="spellStart"/>
      <w:r w:rsidR="00B06046" w:rsidRPr="006F6B10">
        <w:rPr>
          <w:rFonts w:ascii="Calibri" w:hAnsi="Calibri"/>
        </w:rPr>
        <w:t>Kmeil</w:t>
      </w:r>
      <w:proofErr w:type="spellEnd"/>
      <w:r w:rsidR="00B06046" w:rsidRPr="006F6B10">
        <w:rPr>
          <w:rFonts w:ascii="Calibri" w:hAnsi="Calibri"/>
        </w:rPr>
        <w:t xml:space="preserve">, 21, for their </w:t>
      </w:r>
      <w:r w:rsidR="004A1CDA" w:rsidRPr="006F6B10">
        <w:rPr>
          <w:rFonts w:ascii="Calibri" w:hAnsi="Calibri"/>
        </w:rPr>
        <w:t xml:space="preserve">alleged </w:t>
      </w:r>
      <w:r w:rsidR="00B06046" w:rsidRPr="006F6B10">
        <w:rPr>
          <w:rFonts w:ascii="Calibri" w:hAnsi="Calibri"/>
        </w:rPr>
        <w:t xml:space="preserve">involvement </w:t>
      </w:r>
      <w:r w:rsidR="006D1627" w:rsidRPr="006F6B10">
        <w:rPr>
          <w:rFonts w:ascii="Calibri" w:hAnsi="Calibri"/>
        </w:rPr>
        <w:t xml:space="preserve">in an attack in Jerusalem on 03 February 2016, during the course of which </w:t>
      </w:r>
      <w:r w:rsidR="00B06046" w:rsidRPr="006F6B10">
        <w:rPr>
          <w:rFonts w:ascii="Calibri" w:hAnsi="Calibri"/>
        </w:rPr>
        <w:t xml:space="preserve">the three Palestinian youth </w:t>
      </w:r>
      <w:r w:rsidR="00371DD2" w:rsidRPr="006F6B10">
        <w:rPr>
          <w:rFonts w:ascii="Calibri" w:hAnsi="Calibri"/>
        </w:rPr>
        <w:t xml:space="preserve">were shot and killed by Israeli police forces. On 24 February 2016, </w:t>
      </w:r>
      <w:r w:rsidR="006D1627" w:rsidRPr="006F6B10">
        <w:rPr>
          <w:rFonts w:ascii="Calibri" w:hAnsi="Calibri"/>
        </w:rPr>
        <w:t xml:space="preserve">a demolition was ordered against </w:t>
      </w:r>
      <w:r w:rsidR="00371DD2" w:rsidRPr="006F6B10">
        <w:rPr>
          <w:rFonts w:ascii="Calibri" w:hAnsi="Calibri"/>
        </w:rPr>
        <w:t xml:space="preserve">Ahmad </w:t>
      </w:r>
      <w:proofErr w:type="spellStart"/>
      <w:r w:rsidR="00371DD2" w:rsidRPr="006F6B10">
        <w:rPr>
          <w:rFonts w:ascii="Calibri" w:hAnsi="Calibri"/>
        </w:rPr>
        <w:t>Nassar’s</w:t>
      </w:r>
      <w:proofErr w:type="spellEnd"/>
      <w:r w:rsidR="00371DD2" w:rsidRPr="006F6B10">
        <w:rPr>
          <w:rFonts w:ascii="Calibri" w:hAnsi="Calibri"/>
        </w:rPr>
        <w:t xml:space="preserve"> family </w:t>
      </w:r>
      <w:r w:rsidR="006D1627" w:rsidRPr="006F6B10">
        <w:rPr>
          <w:rFonts w:ascii="Calibri" w:hAnsi="Calibri"/>
        </w:rPr>
        <w:t>home</w:t>
      </w:r>
      <w:r w:rsidR="00125C2A" w:rsidRPr="006F6B10">
        <w:rPr>
          <w:rFonts w:ascii="Calibri" w:hAnsi="Calibri"/>
        </w:rPr>
        <w:t>. Ahmad</w:t>
      </w:r>
      <w:r w:rsidR="00204DBD" w:rsidRPr="006F6B10">
        <w:rPr>
          <w:rFonts w:ascii="Calibri" w:hAnsi="Calibri"/>
        </w:rPr>
        <w:t xml:space="preserve"> </w:t>
      </w:r>
      <w:proofErr w:type="spellStart"/>
      <w:r w:rsidR="00204DBD" w:rsidRPr="006F6B10">
        <w:rPr>
          <w:rFonts w:ascii="Calibri" w:hAnsi="Calibri"/>
        </w:rPr>
        <w:t>Nassar</w:t>
      </w:r>
      <w:r w:rsidR="00125C2A" w:rsidRPr="006F6B10">
        <w:rPr>
          <w:rFonts w:ascii="Calibri" w:hAnsi="Calibri"/>
        </w:rPr>
        <w:t>’s</w:t>
      </w:r>
      <w:proofErr w:type="spellEnd"/>
      <w:r w:rsidR="00125C2A" w:rsidRPr="006F6B10">
        <w:rPr>
          <w:rFonts w:ascii="Calibri" w:hAnsi="Calibri"/>
        </w:rPr>
        <w:t xml:space="preserve"> </w:t>
      </w:r>
      <w:r w:rsidR="00204DBD" w:rsidRPr="006F6B10">
        <w:rPr>
          <w:rFonts w:ascii="Calibri" w:hAnsi="Calibri"/>
        </w:rPr>
        <w:t>younger</w:t>
      </w:r>
      <w:r w:rsidR="00B35CBD">
        <w:rPr>
          <w:rFonts w:ascii="Calibri" w:hAnsi="Calibri"/>
        </w:rPr>
        <w:t xml:space="preserve"> </w:t>
      </w:r>
      <w:r w:rsidR="00204DBD" w:rsidRPr="006F6B10">
        <w:rPr>
          <w:rFonts w:ascii="Calibri" w:hAnsi="Calibri"/>
        </w:rPr>
        <w:t>brother told</w:t>
      </w:r>
      <w:r w:rsidR="00B35CBD">
        <w:rPr>
          <w:rFonts w:ascii="Calibri" w:hAnsi="Calibri"/>
        </w:rPr>
        <w:t xml:space="preserve"> </w:t>
      </w:r>
      <w:r w:rsidR="00204DBD" w:rsidRPr="006F6B10">
        <w:rPr>
          <w:rFonts w:ascii="Calibri" w:hAnsi="Calibri"/>
        </w:rPr>
        <w:t xml:space="preserve">Al-Haq </w:t>
      </w:r>
      <w:r w:rsidR="00534E37" w:rsidRPr="006F6B10">
        <w:rPr>
          <w:rFonts w:ascii="Calibri" w:hAnsi="Calibri"/>
        </w:rPr>
        <w:t>that</w:t>
      </w:r>
      <w:r w:rsidR="00B35CBD">
        <w:rPr>
          <w:rFonts w:ascii="Calibri" w:hAnsi="Calibri"/>
        </w:rPr>
        <w:t xml:space="preserve"> </w:t>
      </w:r>
      <w:r w:rsidR="00E91EC9" w:rsidRPr="006F6B10">
        <w:rPr>
          <w:rFonts w:ascii="Calibri" w:hAnsi="Calibri"/>
        </w:rPr>
        <w:t xml:space="preserve">the </w:t>
      </w:r>
      <w:r w:rsidR="004A1CDA" w:rsidRPr="006F6B10">
        <w:rPr>
          <w:rFonts w:ascii="Calibri" w:hAnsi="Calibri"/>
        </w:rPr>
        <w:t>Israeli Occupying Forces (</w:t>
      </w:r>
      <w:r w:rsidR="00E91EC9" w:rsidRPr="006F6B10">
        <w:rPr>
          <w:rFonts w:ascii="Calibri" w:hAnsi="Calibri"/>
        </w:rPr>
        <w:t>IOF</w:t>
      </w:r>
      <w:r w:rsidR="004A1CDA" w:rsidRPr="006F6B10">
        <w:rPr>
          <w:rFonts w:ascii="Calibri" w:hAnsi="Calibri"/>
        </w:rPr>
        <w:t xml:space="preserve">) </w:t>
      </w:r>
      <w:r w:rsidR="006D1627" w:rsidRPr="006F6B10">
        <w:rPr>
          <w:rFonts w:ascii="Calibri" w:hAnsi="Calibri"/>
        </w:rPr>
        <w:t xml:space="preserve">had </w:t>
      </w:r>
      <w:r w:rsidR="00125C2A" w:rsidRPr="006F6B10">
        <w:rPr>
          <w:rFonts w:ascii="Calibri" w:hAnsi="Calibri"/>
        </w:rPr>
        <w:t xml:space="preserve">arrived </w:t>
      </w:r>
      <w:r w:rsidR="006D1627" w:rsidRPr="006F6B10">
        <w:rPr>
          <w:rFonts w:ascii="Calibri" w:hAnsi="Calibri"/>
        </w:rPr>
        <w:t xml:space="preserve">at </w:t>
      </w:r>
      <w:r w:rsidR="008348DF">
        <w:rPr>
          <w:rFonts w:ascii="Calibri" w:hAnsi="Calibri"/>
        </w:rPr>
        <w:t>the</w:t>
      </w:r>
      <w:r w:rsidR="008348DF" w:rsidRPr="006F6B10">
        <w:rPr>
          <w:rFonts w:ascii="Calibri" w:hAnsi="Calibri"/>
        </w:rPr>
        <w:t xml:space="preserve"> </w:t>
      </w:r>
      <w:r w:rsidR="006D1627" w:rsidRPr="006F6B10">
        <w:rPr>
          <w:rFonts w:ascii="Calibri" w:hAnsi="Calibri"/>
        </w:rPr>
        <w:t xml:space="preserve">family home in </w:t>
      </w:r>
      <w:proofErr w:type="spellStart"/>
      <w:r w:rsidR="006D1627" w:rsidRPr="006F6B10">
        <w:rPr>
          <w:rFonts w:ascii="Calibri" w:hAnsi="Calibri"/>
        </w:rPr>
        <w:t>Qabatia</w:t>
      </w:r>
      <w:proofErr w:type="spellEnd"/>
      <w:r w:rsidR="006D1627" w:rsidRPr="006F6B10">
        <w:rPr>
          <w:rFonts w:ascii="Calibri" w:hAnsi="Calibri"/>
        </w:rPr>
        <w:t xml:space="preserve"> </w:t>
      </w:r>
      <w:r w:rsidR="00B35CBD">
        <w:rPr>
          <w:rFonts w:ascii="Calibri" w:hAnsi="Calibri"/>
        </w:rPr>
        <w:t xml:space="preserve">on 4 April 2016 </w:t>
      </w:r>
      <w:r w:rsidR="006D1627" w:rsidRPr="006F6B10">
        <w:rPr>
          <w:rFonts w:ascii="Calibri" w:hAnsi="Calibri"/>
        </w:rPr>
        <w:t>at 1:30 am</w:t>
      </w:r>
      <w:r w:rsidR="008348DF">
        <w:rPr>
          <w:rFonts w:ascii="Calibri" w:hAnsi="Calibri"/>
        </w:rPr>
        <w:t>, where Ahmad lived with his parents and siblings.</w:t>
      </w:r>
      <w:r w:rsidR="00B35CBD">
        <w:rPr>
          <w:rFonts w:ascii="Calibri" w:hAnsi="Calibri"/>
        </w:rPr>
        <w:t xml:space="preserve"> </w:t>
      </w:r>
      <w:r w:rsidR="006D1627" w:rsidRPr="006F6B10">
        <w:rPr>
          <w:rFonts w:ascii="Calibri" w:hAnsi="Calibri"/>
        </w:rPr>
        <w:t>Within half an hour, t</w:t>
      </w:r>
      <w:r w:rsidR="003C1AEC" w:rsidRPr="006F6B10">
        <w:rPr>
          <w:rFonts w:ascii="Calibri" w:hAnsi="Calibri"/>
        </w:rPr>
        <w:t xml:space="preserve">he Israeli military bulldozer </w:t>
      </w:r>
      <w:r w:rsidR="006D1627" w:rsidRPr="006F6B10">
        <w:rPr>
          <w:rFonts w:ascii="Calibri" w:hAnsi="Calibri"/>
        </w:rPr>
        <w:t xml:space="preserve">had </w:t>
      </w:r>
      <w:r w:rsidR="00204DBD" w:rsidRPr="006F6B10">
        <w:rPr>
          <w:rFonts w:ascii="Calibri" w:hAnsi="Calibri"/>
        </w:rPr>
        <w:t>completely</w:t>
      </w:r>
      <w:r w:rsidR="003C1AEC" w:rsidRPr="006F6B10">
        <w:rPr>
          <w:rFonts w:ascii="Calibri" w:hAnsi="Calibri"/>
        </w:rPr>
        <w:t xml:space="preserve"> demolished the </w:t>
      </w:r>
      <w:r w:rsidR="008348DF">
        <w:rPr>
          <w:rFonts w:ascii="Calibri" w:hAnsi="Calibri"/>
        </w:rPr>
        <w:t xml:space="preserve">family home, located on the </w:t>
      </w:r>
      <w:r w:rsidR="003C1AEC" w:rsidRPr="006F6B10">
        <w:rPr>
          <w:rFonts w:ascii="Calibri" w:hAnsi="Calibri"/>
        </w:rPr>
        <w:t xml:space="preserve">second floor of </w:t>
      </w:r>
      <w:r w:rsidR="008348DF">
        <w:rPr>
          <w:rFonts w:ascii="Calibri" w:hAnsi="Calibri"/>
        </w:rPr>
        <w:t>a</w:t>
      </w:r>
      <w:r w:rsidR="008348DF" w:rsidRPr="006F6B10">
        <w:rPr>
          <w:rFonts w:ascii="Calibri" w:hAnsi="Calibri"/>
        </w:rPr>
        <w:t xml:space="preserve"> </w:t>
      </w:r>
      <w:r w:rsidR="003C1AEC" w:rsidRPr="006F6B10">
        <w:rPr>
          <w:rFonts w:ascii="Calibri" w:hAnsi="Calibri"/>
        </w:rPr>
        <w:t>building</w:t>
      </w:r>
      <w:r w:rsidR="008348DF">
        <w:rPr>
          <w:rFonts w:ascii="Calibri" w:hAnsi="Calibri"/>
        </w:rPr>
        <w:t>,</w:t>
      </w:r>
      <w:r w:rsidR="00534E37" w:rsidRPr="006F6B10">
        <w:rPr>
          <w:rFonts w:ascii="Calibri" w:hAnsi="Calibri"/>
        </w:rPr>
        <w:t xml:space="preserve"> in addition to some of the building’s main columns</w:t>
      </w:r>
      <w:r w:rsidR="003C1AEC" w:rsidRPr="006F6B10">
        <w:rPr>
          <w:rFonts w:ascii="Calibri" w:hAnsi="Calibri"/>
        </w:rPr>
        <w:t xml:space="preserve">. </w:t>
      </w:r>
      <w:r w:rsidR="00534E37" w:rsidRPr="006F6B10">
        <w:rPr>
          <w:rFonts w:ascii="Calibri" w:hAnsi="Calibri"/>
        </w:rPr>
        <w:t>This resulted</w:t>
      </w:r>
      <w:r w:rsidR="00B35CBD">
        <w:rPr>
          <w:rFonts w:ascii="Calibri" w:hAnsi="Calibri"/>
        </w:rPr>
        <w:t xml:space="preserve"> </w:t>
      </w:r>
      <w:r w:rsidR="00204DBD" w:rsidRPr="006F6B10">
        <w:rPr>
          <w:rFonts w:ascii="Calibri" w:hAnsi="Calibri"/>
        </w:rPr>
        <w:t>in additional damage to the first floor, which includ</w:t>
      </w:r>
      <w:r w:rsidR="006D1627" w:rsidRPr="006F6B10">
        <w:rPr>
          <w:rFonts w:ascii="Calibri" w:hAnsi="Calibri"/>
        </w:rPr>
        <w:t>ed a store owned by the family.</w:t>
      </w:r>
      <w:r w:rsidR="00B35CBD">
        <w:rPr>
          <w:rFonts w:ascii="Calibri" w:hAnsi="Calibri"/>
        </w:rPr>
        <w:t xml:space="preserve"> </w:t>
      </w:r>
      <w:r w:rsidR="00954C1E" w:rsidRPr="006F6B10">
        <w:rPr>
          <w:rFonts w:ascii="Calibri" w:hAnsi="Calibri"/>
        </w:rPr>
        <w:t xml:space="preserve"> </w:t>
      </w:r>
      <w:r w:rsidR="00B35CBD">
        <w:rPr>
          <w:rFonts w:ascii="Calibri" w:hAnsi="Calibri"/>
        </w:rPr>
        <w:t>T</w:t>
      </w:r>
      <w:r w:rsidR="00B35CBD" w:rsidRPr="006F6B10">
        <w:rPr>
          <w:rFonts w:ascii="Calibri" w:hAnsi="Calibri"/>
        </w:rPr>
        <w:t>he</w:t>
      </w:r>
      <w:r w:rsidR="00B35CBD">
        <w:rPr>
          <w:rFonts w:ascii="Calibri" w:hAnsi="Calibri"/>
        </w:rPr>
        <w:t xml:space="preserve"> </w:t>
      </w:r>
      <w:r w:rsidR="00954C1E" w:rsidRPr="006F6B10">
        <w:rPr>
          <w:rFonts w:ascii="Calibri" w:hAnsi="Calibri"/>
        </w:rPr>
        <w:t xml:space="preserve">family </w:t>
      </w:r>
      <w:r w:rsidR="00534E37" w:rsidRPr="006F6B10">
        <w:rPr>
          <w:rFonts w:ascii="Calibri" w:hAnsi="Calibri"/>
        </w:rPr>
        <w:t xml:space="preserve">homes of Ahmad Abu a-Rob and Mohammad </w:t>
      </w:r>
      <w:proofErr w:type="spellStart"/>
      <w:r w:rsidR="00534E37" w:rsidRPr="006F6B10">
        <w:rPr>
          <w:rFonts w:ascii="Calibri" w:hAnsi="Calibri"/>
        </w:rPr>
        <w:t>Kmeil</w:t>
      </w:r>
      <w:proofErr w:type="spellEnd"/>
      <w:r w:rsidR="00534E37" w:rsidRPr="006F6B10">
        <w:rPr>
          <w:rFonts w:ascii="Calibri" w:hAnsi="Calibri"/>
        </w:rPr>
        <w:t xml:space="preserve"> were also punitively demolished as collective </w:t>
      </w:r>
      <w:r w:rsidR="00954C1E" w:rsidRPr="006F6B10">
        <w:rPr>
          <w:rFonts w:ascii="Calibri" w:hAnsi="Calibri"/>
        </w:rPr>
        <w:t xml:space="preserve">punishment. </w:t>
      </w:r>
      <w:r w:rsidR="00834E35" w:rsidRPr="006F6B10">
        <w:rPr>
          <w:rFonts w:ascii="Calibri" w:hAnsi="Calibri"/>
        </w:rPr>
        <w:t xml:space="preserve">With the three young men killed at the scene of the alleged incident, the demolitions only targeted their family members. </w:t>
      </w:r>
      <w:r w:rsidR="009B2156">
        <w:rPr>
          <w:rFonts w:ascii="Calibri" w:hAnsi="Calibri"/>
        </w:rPr>
        <w:t xml:space="preserve">As a result of these three punitive </w:t>
      </w:r>
      <w:r w:rsidR="008348DF">
        <w:rPr>
          <w:rFonts w:ascii="Calibri" w:hAnsi="Calibri"/>
        </w:rPr>
        <w:t>demolition</w:t>
      </w:r>
      <w:r w:rsidR="009B2156">
        <w:rPr>
          <w:rFonts w:ascii="Calibri" w:hAnsi="Calibri"/>
        </w:rPr>
        <w:t xml:space="preserve">s, </w:t>
      </w:r>
      <w:r w:rsidR="005140D2" w:rsidRPr="005140D2">
        <w:rPr>
          <w:rFonts w:ascii="Calibri" w:hAnsi="Calibri"/>
        </w:rPr>
        <w:t xml:space="preserve">27 </w:t>
      </w:r>
      <w:r w:rsidR="008348DF">
        <w:rPr>
          <w:rFonts w:ascii="Calibri" w:hAnsi="Calibri"/>
        </w:rPr>
        <w:t>individuals, including 7 children,</w:t>
      </w:r>
      <w:r w:rsidR="009B2156">
        <w:rPr>
          <w:rFonts w:ascii="Calibri" w:hAnsi="Calibri"/>
        </w:rPr>
        <w:t xml:space="preserve"> </w:t>
      </w:r>
      <w:r w:rsidR="005140D2" w:rsidRPr="005140D2">
        <w:rPr>
          <w:rFonts w:ascii="Calibri" w:hAnsi="Calibri"/>
        </w:rPr>
        <w:t>were displaced</w:t>
      </w:r>
      <w:r w:rsidR="00834E35" w:rsidRPr="00C27889">
        <w:rPr>
          <w:rFonts w:ascii="Calibri" w:hAnsi="Calibri"/>
        </w:rPr>
        <w:t>.</w:t>
      </w:r>
      <w:r w:rsidR="008348DF">
        <w:rPr>
          <w:rFonts w:ascii="Calibri" w:hAnsi="Calibri"/>
        </w:rPr>
        <w:t xml:space="preserve"> </w:t>
      </w:r>
      <w:r w:rsidR="00954C1E" w:rsidRPr="006F6B10">
        <w:rPr>
          <w:rFonts w:ascii="Calibri" w:hAnsi="Calibri"/>
        </w:rPr>
        <w:t>(Al-Haq Affidavit No. 229/2016)</w:t>
      </w:r>
    </w:p>
    <w:p w:rsidR="006F6B10" w:rsidRPr="006F6B10" w:rsidRDefault="000566D9" w:rsidP="00FD5130">
      <w:pPr>
        <w:rPr>
          <w:rFonts w:ascii="Calibri" w:hAnsi="Calibri"/>
        </w:rPr>
      </w:pPr>
      <w:r w:rsidRPr="0079266B">
        <w:rPr>
          <w:rFonts w:ascii="Calibri" w:hAnsi="Calibri"/>
        </w:rPr>
        <w:t xml:space="preserve">Although the Committee </w:t>
      </w:r>
      <w:r w:rsidR="00EE68E8">
        <w:rPr>
          <w:rFonts w:ascii="Calibri" w:hAnsi="Calibri"/>
        </w:rPr>
        <w:t xml:space="preserve">has </w:t>
      </w:r>
      <w:r w:rsidR="00EB3608" w:rsidRPr="0079266B">
        <w:rPr>
          <w:rFonts w:ascii="Calibri" w:hAnsi="Calibri"/>
        </w:rPr>
        <w:t>recommended that</w:t>
      </w:r>
      <w:r w:rsidRPr="0079266B">
        <w:rPr>
          <w:rFonts w:ascii="Calibri" w:hAnsi="Calibri"/>
        </w:rPr>
        <w:t xml:space="preserve"> Israel </w:t>
      </w:r>
      <w:r w:rsidR="00F236B5">
        <w:rPr>
          <w:rFonts w:ascii="Calibri" w:hAnsi="Calibri"/>
        </w:rPr>
        <w:t>“</w:t>
      </w:r>
      <w:r w:rsidRPr="0079266B">
        <w:rPr>
          <w:rFonts w:ascii="Calibri" w:hAnsi="Calibri"/>
        </w:rPr>
        <w:t xml:space="preserve">refrain from implementing evictions and demolition orders based on discriminatory planning policies, laws, and practices affecting </w:t>
      </w:r>
      <w:r w:rsidR="00EB3608" w:rsidRPr="0079266B">
        <w:rPr>
          <w:rFonts w:ascii="Calibri" w:hAnsi="Calibri"/>
        </w:rPr>
        <w:t>the Palestinian people</w:t>
      </w:r>
      <w:r w:rsidR="00F236B5">
        <w:rPr>
          <w:rFonts w:ascii="Calibri" w:hAnsi="Calibri"/>
        </w:rPr>
        <w:t>”</w:t>
      </w:r>
      <w:r w:rsidRPr="0079266B">
        <w:rPr>
          <w:rFonts w:ascii="Calibri" w:hAnsi="Calibri"/>
        </w:rPr>
        <w:t>(CCPR/C/ISR/CO/4, para. 9(b)), a</w:t>
      </w:r>
      <w:r w:rsidR="00D02CD3" w:rsidRPr="0079266B">
        <w:rPr>
          <w:rFonts w:ascii="Calibri" w:hAnsi="Calibri"/>
        </w:rPr>
        <w:t xml:space="preserve">dministrative demolitions of Palestinian homes have </w:t>
      </w:r>
      <w:r w:rsidR="00A5791A">
        <w:rPr>
          <w:rFonts w:ascii="Calibri" w:hAnsi="Calibri"/>
        </w:rPr>
        <w:t xml:space="preserve">also </w:t>
      </w:r>
      <w:r w:rsidR="00D02CD3" w:rsidRPr="0079266B">
        <w:rPr>
          <w:rFonts w:ascii="Calibri" w:hAnsi="Calibri"/>
        </w:rPr>
        <w:t>continued</w:t>
      </w:r>
      <w:r w:rsidR="009142BC" w:rsidRPr="0079266B">
        <w:rPr>
          <w:rFonts w:ascii="Calibri" w:hAnsi="Calibri"/>
        </w:rPr>
        <w:t xml:space="preserve"> during the follow-up period</w:t>
      </w:r>
      <w:r w:rsidRPr="0079266B">
        <w:rPr>
          <w:rFonts w:ascii="Calibri" w:hAnsi="Calibri"/>
        </w:rPr>
        <w:t xml:space="preserve">. Al-Haq documented </w:t>
      </w:r>
      <w:r w:rsidR="00D02CD3" w:rsidRPr="0079266B">
        <w:rPr>
          <w:rFonts w:ascii="Calibri" w:hAnsi="Calibri"/>
        </w:rPr>
        <w:t xml:space="preserve">321 </w:t>
      </w:r>
      <w:r w:rsidR="009142BC" w:rsidRPr="0079266B">
        <w:rPr>
          <w:rFonts w:ascii="Calibri" w:hAnsi="Calibri"/>
        </w:rPr>
        <w:t xml:space="preserve">administrative demolitions </w:t>
      </w:r>
      <w:r w:rsidR="009D4329" w:rsidRPr="0079266B">
        <w:rPr>
          <w:rFonts w:ascii="Calibri" w:hAnsi="Calibri"/>
        </w:rPr>
        <w:t>i</w:t>
      </w:r>
      <w:r w:rsidR="00D02CD3" w:rsidRPr="0079266B">
        <w:rPr>
          <w:rFonts w:ascii="Calibri" w:hAnsi="Calibri"/>
        </w:rPr>
        <w:t xml:space="preserve">n </w:t>
      </w:r>
      <w:r w:rsidR="009B2156">
        <w:rPr>
          <w:rFonts w:ascii="Calibri" w:hAnsi="Calibri"/>
        </w:rPr>
        <w:t xml:space="preserve">the OPT in </w:t>
      </w:r>
      <w:r w:rsidR="00D02CD3" w:rsidRPr="0079266B">
        <w:rPr>
          <w:rFonts w:ascii="Calibri" w:hAnsi="Calibri"/>
        </w:rPr>
        <w:t>2015, 588 in 2016, and 120 as of 30 April 2017.</w:t>
      </w:r>
      <w:r w:rsidR="00D416C7">
        <w:rPr>
          <w:rFonts w:ascii="Calibri" w:hAnsi="Calibri"/>
        </w:rPr>
        <w:t xml:space="preserve"> </w:t>
      </w:r>
      <w:r w:rsidR="00FB7ECD">
        <w:rPr>
          <w:rFonts w:ascii="Calibri" w:hAnsi="Calibri"/>
        </w:rPr>
        <w:t>2016 marked the highest number on record with demolitions in 2017 already keeping pace with the previous year.</w:t>
      </w:r>
      <w:r w:rsidR="00FB7ECD">
        <w:rPr>
          <w:rStyle w:val="FootnoteReference"/>
          <w:rFonts w:ascii="Calibri" w:hAnsi="Calibri"/>
        </w:rPr>
        <w:footnoteReference w:id="4"/>
      </w:r>
      <w:r w:rsidR="006F6B10">
        <w:rPr>
          <w:rFonts w:ascii="Calibri" w:hAnsi="Calibri"/>
        </w:rPr>
        <w:t xml:space="preserve"> Al-Haq emphasizes that punitive home demolitions and </w:t>
      </w:r>
      <w:r w:rsidR="00E469C4">
        <w:rPr>
          <w:rFonts w:ascii="Calibri" w:hAnsi="Calibri"/>
        </w:rPr>
        <w:t>‘</w:t>
      </w:r>
      <w:r w:rsidR="006F6B10">
        <w:rPr>
          <w:rFonts w:ascii="Calibri" w:hAnsi="Calibri"/>
        </w:rPr>
        <w:t>administrative</w:t>
      </w:r>
      <w:r w:rsidR="00E469C4">
        <w:rPr>
          <w:rFonts w:ascii="Calibri" w:hAnsi="Calibri"/>
        </w:rPr>
        <w:t>’</w:t>
      </w:r>
      <w:r w:rsidR="006F6B10">
        <w:rPr>
          <w:rFonts w:ascii="Calibri" w:hAnsi="Calibri"/>
        </w:rPr>
        <w:t xml:space="preserve"> demolitions have operated together since 2014 in a blur of Israeli collective punishment. </w:t>
      </w:r>
      <w:r w:rsidR="00FD5130">
        <w:rPr>
          <w:rFonts w:ascii="Calibri" w:hAnsi="Calibri"/>
        </w:rPr>
        <w:t>For example, i</w:t>
      </w:r>
      <w:r w:rsidR="006F6B10">
        <w:rPr>
          <w:rFonts w:ascii="Calibri" w:hAnsi="Calibri"/>
        </w:rPr>
        <w:t xml:space="preserve">n January of this year, a resident of </w:t>
      </w:r>
      <w:proofErr w:type="spellStart"/>
      <w:r w:rsidR="006F6B10">
        <w:rPr>
          <w:rFonts w:ascii="Calibri" w:hAnsi="Calibri"/>
        </w:rPr>
        <w:t>Jabal</w:t>
      </w:r>
      <w:proofErr w:type="spellEnd"/>
      <w:r w:rsidR="006F6B10">
        <w:rPr>
          <w:rFonts w:ascii="Calibri" w:hAnsi="Calibri"/>
        </w:rPr>
        <w:t xml:space="preserve"> Al-</w:t>
      </w:r>
      <w:proofErr w:type="spellStart"/>
      <w:r w:rsidR="006F6B10">
        <w:rPr>
          <w:rFonts w:ascii="Calibri" w:hAnsi="Calibri"/>
        </w:rPr>
        <w:t>Mukabir</w:t>
      </w:r>
      <w:proofErr w:type="spellEnd"/>
      <w:r w:rsidR="006F6B10">
        <w:rPr>
          <w:rFonts w:ascii="Calibri" w:hAnsi="Calibri"/>
        </w:rPr>
        <w:t xml:space="preserve"> carried out a car-ramming against soldiers in an illegal settlement. Within days of the incident, </w:t>
      </w:r>
      <w:r w:rsidR="00D416C7">
        <w:rPr>
          <w:rFonts w:ascii="Calibri" w:hAnsi="Calibri"/>
        </w:rPr>
        <w:t xml:space="preserve">Israel carried out numerous demolitions, including of a horse stable, a barn, and business facilities, and delivered </w:t>
      </w:r>
      <w:r w:rsidR="006F6B10">
        <w:rPr>
          <w:rFonts w:ascii="Calibri" w:hAnsi="Calibri"/>
        </w:rPr>
        <w:t>at least 10 notices for</w:t>
      </w:r>
      <w:r w:rsidR="00D416C7">
        <w:rPr>
          <w:rFonts w:ascii="Calibri" w:hAnsi="Calibri"/>
        </w:rPr>
        <w:t xml:space="preserve"> </w:t>
      </w:r>
      <w:proofErr w:type="gramStart"/>
      <w:r w:rsidR="00D416C7">
        <w:rPr>
          <w:rFonts w:ascii="Calibri" w:hAnsi="Calibri"/>
        </w:rPr>
        <w:t xml:space="preserve">other </w:t>
      </w:r>
      <w:r w:rsidR="006F6B10">
        <w:rPr>
          <w:rFonts w:ascii="Calibri" w:hAnsi="Calibri"/>
        </w:rPr>
        <w:t xml:space="preserve"> </w:t>
      </w:r>
      <w:r w:rsidR="009B2156">
        <w:rPr>
          <w:rFonts w:ascii="Calibri" w:hAnsi="Calibri"/>
        </w:rPr>
        <w:t>‘</w:t>
      </w:r>
      <w:r w:rsidR="006F6B10">
        <w:rPr>
          <w:rFonts w:ascii="Calibri" w:hAnsi="Calibri"/>
        </w:rPr>
        <w:t>administrative</w:t>
      </w:r>
      <w:r w:rsidR="009B2156">
        <w:rPr>
          <w:rFonts w:ascii="Calibri" w:hAnsi="Calibri"/>
        </w:rPr>
        <w:t>’</w:t>
      </w:r>
      <w:proofErr w:type="gramEnd"/>
      <w:r w:rsidR="006F6B10">
        <w:rPr>
          <w:rFonts w:ascii="Calibri" w:hAnsi="Calibri"/>
        </w:rPr>
        <w:t xml:space="preserve"> demolitions in </w:t>
      </w:r>
      <w:proofErr w:type="spellStart"/>
      <w:r w:rsidR="006F6B10">
        <w:rPr>
          <w:rFonts w:ascii="Calibri" w:hAnsi="Calibri"/>
        </w:rPr>
        <w:t>Jabal</w:t>
      </w:r>
      <w:proofErr w:type="spellEnd"/>
      <w:r w:rsidR="006F6B10">
        <w:rPr>
          <w:rFonts w:ascii="Calibri" w:hAnsi="Calibri"/>
        </w:rPr>
        <w:t xml:space="preserve"> Al-</w:t>
      </w:r>
      <w:proofErr w:type="spellStart"/>
      <w:r w:rsidR="006F6B10">
        <w:rPr>
          <w:rFonts w:ascii="Calibri" w:hAnsi="Calibri"/>
        </w:rPr>
        <w:t>Mukabir</w:t>
      </w:r>
      <w:proofErr w:type="spellEnd"/>
      <w:r w:rsidR="006F6B10">
        <w:rPr>
          <w:rFonts w:ascii="Calibri" w:hAnsi="Calibri"/>
        </w:rPr>
        <w:t xml:space="preserve">. </w:t>
      </w:r>
      <w:r w:rsidR="006F6B10">
        <w:rPr>
          <w:rStyle w:val="FootnoteReference"/>
          <w:rFonts w:ascii="Calibri" w:hAnsi="Calibri"/>
        </w:rPr>
        <w:footnoteReference w:id="5"/>
      </w:r>
    </w:p>
    <w:p w:rsidR="009C65BE" w:rsidRPr="0079266B" w:rsidRDefault="000566D9" w:rsidP="00FD5130">
      <w:pPr>
        <w:rPr>
          <w:rFonts w:ascii="Calibri" w:hAnsi="Calibri"/>
        </w:rPr>
      </w:pPr>
      <w:r w:rsidRPr="0079266B">
        <w:rPr>
          <w:rFonts w:ascii="Calibri" w:hAnsi="Calibri"/>
        </w:rPr>
        <w:t>Discriminatory Israeli planning</w:t>
      </w:r>
      <w:r w:rsidR="00D416C7">
        <w:rPr>
          <w:rFonts w:ascii="Calibri" w:hAnsi="Calibri"/>
        </w:rPr>
        <w:t xml:space="preserve"> </w:t>
      </w:r>
      <w:r w:rsidRPr="0079266B">
        <w:rPr>
          <w:rFonts w:ascii="Calibri" w:hAnsi="Calibri"/>
        </w:rPr>
        <w:t xml:space="preserve">also </w:t>
      </w:r>
      <w:r w:rsidR="00AB5AB6" w:rsidRPr="0079266B">
        <w:rPr>
          <w:rFonts w:ascii="Calibri" w:hAnsi="Calibri"/>
        </w:rPr>
        <w:t>continue</w:t>
      </w:r>
      <w:r w:rsidR="00341C63">
        <w:rPr>
          <w:rFonts w:ascii="Calibri" w:hAnsi="Calibri"/>
        </w:rPr>
        <w:t>s</w:t>
      </w:r>
      <w:r w:rsidR="00AB5AB6" w:rsidRPr="0079266B">
        <w:rPr>
          <w:rFonts w:ascii="Calibri" w:hAnsi="Calibri"/>
        </w:rPr>
        <w:t xml:space="preserve"> to</w:t>
      </w:r>
      <w:r w:rsidR="00D15AB2">
        <w:rPr>
          <w:rFonts w:ascii="Calibri" w:hAnsi="Calibri"/>
        </w:rPr>
        <w:t xml:space="preserve"> </w:t>
      </w:r>
      <w:r w:rsidR="004D3DEF" w:rsidRPr="0079266B">
        <w:rPr>
          <w:rFonts w:ascii="Calibri" w:hAnsi="Calibri"/>
        </w:rPr>
        <w:t>put</w:t>
      </w:r>
      <w:r w:rsidR="00D15AB2">
        <w:rPr>
          <w:rFonts w:ascii="Calibri" w:hAnsi="Calibri"/>
        </w:rPr>
        <w:t xml:space="preserve"> </w:t>
      </w:r>
      <w:r w:rsidR="00294F70" w:rsidRPr="0079266B">
        <w:rPr>
          <w:rFonts w:ascii="Calibri" w:hAnsi="Calibri"/>
        </w:rPr>
        <w:t xml:space="preserve">indigenous </w:t>
      </w:r>
      <w:r w:rsidR="008E658C" w:rsidRPr="0079266B">
        <w:rPr>
          <w:rFonts w:ascii="Calibri" w:hAnsi="Calibri"/>
        </w:rPr>
        <w:t xml:space="preserve">Palestinian Bedouin </w:t>
      </w:r>
      <w:r w:rsidR="00D15AB2">
        <w:rPr>
          <w:rFonts w:ascii="Calibri" w:hAnsi="Calibri"/>
        </w:rPr>
        <w:t>communities</w:t>
      </w:r>
      <w:r w:rsidR="00D15AB2" w:rsidRPr="0079266B">
        <w:rPr>
          <w:rFonts w:ascii="Calibri" w:hAnsi="Calibri"/>
        </w:rPr>
        <w:t xml:space="preserve"> </w:t>
      </w:r>
      <w:r w:rsidR="008E658C" w:rsidRPr="0079266B">
        <w:rPr>
          <w:rFonts w:ascii="Calibri" w:hAnsi="Calibri"/>
        </w:rPr>
        <w:t>in Area C of the West Bank, notably</w:t>
      </w:r>
      <w:r w:rsidR="004D3DEF" w:rsidRPr="0079266B">
        <w:rPr>
          <w:rFonts w:ascii="Calibri" w:hAnsi="Calibri"/>
        </w:rPr>
        <w:t xml:space="preserve"> within the Jerusalem periphery, at risk of forcible transfer.</w:t>
      </w:r>
      <w:r w:rsidR="00D15AB2">
        <w:rPr>
          <w:rFonts w:ascii="Calibri" w:hAnsi="Calibri"/>
        </w:rPr>
        <w:t xml:space="preserve"> </w:t>
      </w:r>
      <w:r w:rsidR="004D3DEF" w:rsidRPr="0079266B">
        <w:rPr>
          <w:rFonts w:ascii="Calibri" w:hAnsi="Calibri"/>
        </w:rPr>
        <w:t xml:space="preserve">Among </w:t>
      </w:r>
      <w:r w:rsidR="004222C8" w:rsidRPr="0079266B">
        <w:rPr>
          <w:rFonts w:ascii="Calibri" w:hAnsi="Calibri"/>
        </w:rPr>
        <w:t xml:space="preserve">these </w:t>
      </w:r>
      <w:r w:rsidR="00AB5AB6" w:rsidRPr="0079266B">
        <w:rPr>
          <w:rFonts w:ascii="Calibri" w:hAnsi="Calibri"/>
        </w:rPr>
        <w:t xml:space="preserve">is </w:t>
      </w:r>
      <w:r w:rsidR="004222C8" w:rsidRPr="0079266B">
        <w:rPr>
          <w:rFonts w:ascii="Calibri" w:hAnsi="Calibri"/>
        </w:rPr>
        <w:t xml:space="preserve">Abu </w:t>
      </w:r>
      <w:proofErr w:type="spellStart"/>
      <w:r w:rsidR="004222C8" w:rsidRPr="0079266B">
        <w:rPr>
          <w:rFonts w:ascii="Calibri" w:hAnsi="Calibri"/>
        </w:rPr>
        <w:t>Nuwar</w:t>
      </w:r>
      <w:proofErr w:type="spellEnd"/>
      <w:r w:rsidR="004222C8" w:rsidRPr="0079266B">
        <w:rPr>
          <w:rFonts w:ascii="Calibri" w:hAnsi="Calibri"/>
        </w:rPr>
        <w:t>, a</w:t>
      </w:r>
      <w:r w:rsidR="005A14BF" w:rsidRPr="0079266B">
        <w:rPr>
          <w:rFonts w:ascii="Calibri" w:hAnsi="Calibri"/>
        </w:rPr>
        <w:t xml:space="preserve"> community of </w:t>
      </w:r>
      <w:r w:rsidR="004222C8" w:rsidRPr="0079266B">
        <w:rPr>
          <w:rFonts w:ascii="Calibri" w:hAnsi="Calibri"/>
        </w:rPr>
        <w:t>110 families of the</w:t>
      </w:r>
      <w:r w:rsidR="005A14BF" w:rsidRPr="0079266B">
        <w:rPr>
          <w:rFonts w:ascii="Calibri" w:hAnsi="Calibri"/>
        </w:rPr>
        <w:t xml:space="preserve"> Arab </w:t>
      </w:r>
      <w:r w:rsidR="001F1547">
        <w:rPr>
          <w:rFonts w:ascii="Calibri" w:hAnsi="Calibri"/>
        </w:rPr>
        <w:t>A</w:t>
      </w:r>
      <w:r w:rsidR="001F1547" w:rsidRPr="0079266B">
        <w:rPr>
          <w:rFonts w:ascii="Calibri" w:hAnsi="Calibri"/>
        </w:rPr>
        <w:t>l</w:t>
      </w:r>
      <w:r w:rsidR="005A14BF" w:rsidRPr="0079266B">
        <w:rPr>
          <w:rFonts w:ascii="Calibri" w:hAnsi="Calibri"/>
        </w:rPr>
        <w:t>-</w:t>
      </w:r>
      <w:proofErr w:type="spellStart"/>
      <w:r w:rsidR="005A14BF" w:rsidRPr="0079266B">
        <w:rPr>
          <w:rFonts w:ascii="Calibri" w:hAnsi="Calibri"/>
        </w:rPr>
        <w:t>Jahalin</w:t>
      </w:r>
      <w:proofErr w:type="spellEnd"/>
      <w:r w:rsidR="005A14BF" w:rsidRPr="0079266B">
        <w:rPr>
          <w:rFonts w:ascii="Calibri" w:hAnsi="Calibri"/>
        </w:rPr>
        <w:t xml:space="preserve"> Bedouin tribe</w:t>
      </w:r>
      <w:r w:rsidR="004222C8" w:rsidRPr="0079266B">
        <w:rPr>
          <w:rFonts w:ascii="Calibri" w:hAnsi="Calibri"/>
        </w:rPr>
        <w:t xml:space="preserve">. Abu </w:t>
      </w:r>
      <w:proofErr w:type="spellStart"/>
      <w:r w:rsidR="004222C8" w:rsidRPr="0079266B">
        <w:rPr>
          <w:rFonts w:ascii="Calibri" w:hAnsi="Calibri"/>
        </w:rPr>
        <w:t>Nuwar</w:t>
      </w:r>
      <w:proofErr w:type="spellEnd"/>
      <w:r w:rsidR="004222C8" w:rsidRPr="0079266B">
        <w:rPr>
          <w:rFonts w:ascii="Calibri" w:hAnsi="Calibri"/>
        </w:rPr>
        <w:t xml:space="preserve"> is located within </w:t>
      </w:r>
      <w:r w:rsidR="00294F70" w:rsidRPr="0079266B">
        <w:rPr>
          <w:rFonts w:ascii="Calibri" w:hAnsi="Calibri"/>
        </w:rPr>
        <w:t xml:space="preserve">the Jerusalem periphery in an area referred to by Israel as E1, which holds strategic significance for the expansion of illegal </w:t>
      </w:r>
      <w:r w:rsidR="00294F70" w:rsidRPr="0079266B">
        <w:rPr>
          <w:rFonts w:ascii="Calibri" w:hAnsi="Calibri"/>
        </w:rPr>
        <w:lastRenderedPageBreak/>
        <w:t>Israeli settlements</w:t>
      </w:r>
      <w:r w:rsidR="004222C8" w:rsidRPr="0079266B">
        <w:rPr>
          <w:rFonts w:ascii="Calibri" w:hAnsi="Calibri"/>
        </w:rPr>
        <w:t>.</w:t>
      </w:r>
      <w:r w:rsidR="004222C8" w:rsidRPr="0079266B">
        <w:rPr>
          <w:rStyle w:val="FootnoteReference"/>
          <w:rFonts w:ascii="Calibri" w:hAnsi="Calibri"/>
        </w:rPr>
        <w:footnoteReference w:id="6"/>
      </w:r>
      <w:r w:rsidR="00294F70" w:rsidRPr="0079266B">
        <w:rPr>
          <w:rFonts w:ascii="Calibri" w:hAnsi="Calibri"/>
        </w:rPr>
        <w:t xml:space="preserve"> Although the </w:t>
      </w:r>
      <w:r w:rsidRPr="0079266B">
        <w:rPr>
          <w:rFonts w:ascii="Calibri" w:hAnsi="Calibri"/>
        </w:rPr>
        <w:t xml:space="preserve">Abu </w:t>
      </w:r>
      <w:proofErr w:type="spellStart"/>
      <w:r w:rsidRPr="0079266B">
        <w:rPr>
          <w:rFonts w:ascii="Calibri" w:hAnsi="Calibri"/>
        </w:rPr>
        <w:t>Nuwar</w:t>
      </w:r>
      <w:proofErr w:type="spellEnd"/>
      <w:r w:rsidRPr="0079266B">
        <w:rPr>
          <w:rFonts w:ascii="Calibri" w:hAnsi="Calibri"/>
        </w:rPr>
        <w:t xml:space="preserve"> </w:t>
      </w:r>
      <w:r w:rsidR="00294F70" w:rsidRPr="0079266B">
        <w:rPr>
          <w:rFonts w:ascii="Calibri" w:hAnsi="Calibri"/>
        </w:rPr>
        <w:t xml:space="preserve">community has resided on lands </w:t>
      </w:r>
      <w:r w:rsidRPr="0079266B">
        <w:rPr>
          <w:rFonts w:ascii="Calibri" w:hAnsi="Calibri"/>
        </w:rPr>
        <w:t xml:space="preserve">east of Abu Dis </w:t>
      </w:r>
      <w:r w:rsidR="00294F70" w:rsidRPr="0079266B">
        <w:rPr>
          <w:rFonts w:ascii="Calibri" w:hAnsi="Calibri"/>
        </w:rPr>
        <w:t xml:space="preserve">since 1964, before the Israeli occupation of the territory, </w:t>
      </w:r>
      <w:r w:rsidR="00593366" w:rsidRPr="0079266B">
        <w:rPr>
          <w:rFonts w:ascii="Calibri" w:hAnsi="Calibri"/>
        </w:rPr>
        <w:t xml:space="preserve">Israel has </w:t>
      </w:r>
      <w:r w:rsidRPr="0079266B">
        <w:rPr>
          <w:rFonts w:ascii="Calibri" w:hAnsi="Calibri"/>
        </w:rPr>
        <w:t xml:space="preserve">repeatedly </w:t>
      </w:r>
      <w:r w:rsidR="00593366" w:rsidRPr="0079266B">
        <w:rPr>
          <w:rFonts w:ascii="Calibri" w:hAnsi="Calibri"/>
        </w:rPr>
        <w:t xml:space="preserve">issued </w:t>
      </w:r>
      <w:r w:rsidR="00A000A2">
        <w:rPr>
          <w:rFonts w:ascii="Calibri" w:hAnsi="Calibri"/>
        </w:rPr>
        <w:t>‘</w:t>
      </w:r>
      <w:r w:rsidR="00294F70" w:rsidRPr="0079266B">
        <w:rPr>
          <w:rFonts w:ascii="Calibri" w:hAnsi="Calibri"/>
        </w:rPr>
        <w:t>administrative</w:t>
      </w:r>
      <w:r w:rsidR="00A000A2">
        <w:rPr>
          <w:rFonts w:ascii="Calibri" w:hAnsi="Calibri"/>
        </w:rPr>
        <w:t>’</w:t>
      </w:r>
      <w:r w:rsidR="00D15AB2">
        <w:rPr>
          <w:rFonts w:ascii="Calibri" w:hAnsi="Calibri"/>
        </w:rPr>
        <w:t xml:space="preserve"> </w:t>
      </w:r>
      <w:r w:rsidRPr="0079266B">
        <w:rPr>
          <w:rFonts w:ascii="Calibri" w:hAnsi="Calibri"/>
        </w:rPr>
        <w:t>demolition orders against</w:t>
      </w:r>
      <w:r w:rsidR="00593366" w:rsidRPr="0079266B">
        <w:rPr>
          <w:rFonts w:ascii="Calibri" w:hAnsi="Calibri"/>
        </w:rPr>
        <w:t xml:space="preserve"> structure</w:t>
      </w:r>
      <w:r w:rsidRPr="0079266B">
        <w:rPr>
          <w:rFonts w:ascii="Calibri" w:hAnsi="Calibri"/>
        </w:rPr>
        <w:t>s</w:t>
      </w:r>
      <w:r w:rsidR="00D15AB2">
        <w:rPr>
          <w:rFonts w:ascii="Calibri" w:hAnsi="Calibri"/>
        </w:rPr>
        <w:t xml:space="preserve"> </w:t>
      </w:r>
      <w:r w:rsidRPr="0079266B">
        <w:rPr>
          <w:rFonts w:ascii="Calibri" w:hAnsi="Calibri"/>
        </w:rPr>
        <w:t>built by the</w:t>
      </w:r>
      <w:r w:rsidR="00593366" w:rsidRPr="0079266B">
        <w:rPr>
          <w:rFonts w:ascii="Calibri" w:hAnsi="Calibri"/>
        </w:rPr>
        <w:t xml:space="preserve"> community without a permit</w:t>
      </w:r>
      <w:r w:rsidR="00D15AB2">
        <w:rPr>
          <w:rFonts w:ascii="Calibri" w:hAnsi="Calibri"/>
        </w:rPr>
        <w:t xml:space="preserve">. </w:t>
      </w:r>
      <w:r w:rsidR="004D3DEF" w:rsidRPr="0079266B">
        <w:rPr>
          <w:rFonts w:ascii="Calibri" w:hAnsi="Calibri"/>
        </w:rPr>
        <w:t xml:space="preserve">Yet, </w:t>
      </w:r>
      <w:r w:rsidR="00FB7ECD" w:rsidRPr="007620D3">
        <w:rPr>
          <w:rFonts w:ascii="Calibri" w:hAnsi="Calibri"/>
        </w:rPr>
        <w:t>due to</w:t>
      </w:r>
      <w:r w:rsidR="00900A61" w:rsidRPr="007620D3">
        <w:rPr>
          <w:rFonts w:ascii="Calibri" w:hAnsi="Calibri"/>
        </w:rPr>
        <w:t xml:space="preserve"> Israel</w:t>
      </w:r>
      <w:r w:rsidR="00FB7ECD" w:rsidRPr="007620D3">
        <w:rPr>
          <w:rFonts w:ascii="Calibri" w:hAnsi="Calibri"/>
        </w:rPr>
        <w:t xml:space="preserve">’s </w:t>
      </w:r>
      <w:r w:rsidR="00FB7ECD" w:rsidRPr="00A000A2">
        <w:rPr>
          <w:rFonts w:ascii="Calibri" w:hAnsi="Calibri"/>
        </w:rPr>
        <w:t>discriminatory</w:t>
      </w:r>
      <w:r w:rsidR="00FB7ECD" w:rsidRPr="007620D3">
        <w:rPr>
          <w:rFonts w:ascii="Calibri" w:hAnsi="Calibri"/>
        </w:rPr>
        <w:t xml:space="preserve"> planning procedures</w:t>
      </w:r>
      <w:r w:rsidR="004D3DEF" w:rsidRPr="0079266B">
        <w:rPr>
          <w:rFonts w:ascii="Calibri" w:hAnsi="Calibri"/>
        </w:rPr>
        <w:t>,</w:t>
      </w:r>
      <w:r w:rsidR="00FB7ECD">
        <w:rPr>
          <w:rStyle w:val="FootnoteReference"/>
          <w:rFonts w:ascii="Calibri" w:hAnsi="Calibri"/>
        </w:rPr>
        <w:footnoteReference w:id="7"/>
      </w:r>
      <w:r w:rsidR="00D15AB2">
        <w:rPr>
          <w:rFonts w:ascii="Calibri" w:hAnsi="Calibri"/>
        </w:rPr>
        <w:t xml:space="preserve"> </w:t>
      </w:r>
      <w:r w:rsidR="004D3DEF" w:rsidRPr="0079266B">
        <w:rPr>
          <w:rFonts w:ascii="Calibri" w:hAnsi="Calibri"/>
        </w:rPr>
        <w:t xml:space="preserve">it is impossible for Abu </w:t>
      </w:r>
      <w:proofErr w:type="spellStart"/>
      <w:r w:rsidR="00294F70" w:rsidRPr="0079266B">
        <w:rPr>
          <w:rFonts w:ascii="Calibri" w:hAnsi="Calibri"/>
        </w:rPr>
        <w:t>Nuwar</w:t>
      </w:r>
      <w:proofErr w:type="spellEnd"/>
      <w:r w:rsidR="00294F70" w:rsidRPr="0079266B">
        <w:rPr>
          <w:rFonts w:ascii="Calibri" w:hAnsi="Calibri"/>
        </w:rPr>
        <w:t xml:space="preserve"> </w:t>
      </w:r>
      <w:r w:rsidR="004D3DEF" w:rsidRPr="0079266B">
        <w:rPr>
          <w:rFonts w:ascii="Calibri" w:hAnsi="Calibri"/>
        </w:rPr>
        <w:t xml:space="preserve">and other Bedouin communities in Area C – falling exclusively under Israeli </w:t>
      </w:r>
      <w:r w:rsidR="00A5791A">
        <w:rPr>
          <w:rFonts w:ascii="Calibri" w:hAnsi="Calibri"/>
        </w:rPr>
        <w:t>control</w:t>
      </w:r>
      <w:r w:rsidR="00567B78">
        <w:rPr>
          <w:rFonts w:ascii="Calibri" w:hAnsi="Calibri"/>
        </w:rPr>
        <w:t xml:space="preserve"> </w:t>
      </w:r>
      <w:r w:rsidR="00294F70" w:rsidRPr="0079266B">
        <w:rPr>
          <w:rFonts w:ascii="Calibri" w:hAnsi="Calibri"/>
        </w:rPr>
        <w:t>as the Occupying Power</w:t>
      </w:r>
      <w:r w:rsidR="004D3DEF" w:rsidRPr="0079266B">
        <w:rPr>
          <w:rStyle w:val="FootnoteReference"/>
          <w:rFonts w:ascii="Calibri" w:hAnsi="Calibri"/>
        </w:rPr>
        <w:footnoteReference w:id="8"/>
      </w:r>
      <w:r w:rsidR="004D3DEF" w:rsidRPr="0079266B">
        <w:rPr>
          <w:rFonts w:ascii="Calibri" w:hAnsi="Calibri"/>
        </w:rPr>
        <w:t xml:space="preserve"> – to obtain building permits.</w:t>
      </w:r>
      <w:r w:rsidR="00900A61" w:rsidRPr="0028361E">
        <w:rPr>
          <w:rStyle w:val="FootnoteReference"/>
          <w:rFonts w:ascii="Calibri" w:hAnsi="Calibri"/>
        </w:rPr>
        <w:footnoteReference w:id="9"/>
      </w:r>
      <w:r w:rsidR="004D3DEF" w:rsidRPr="0079266B">
        <w:rPr>
          <w:rFonts w:ascii="Calibri" w:hAnsi="Calibri"/>
        </w:rPr>
        <w:t xml:space="preserve"> As a result, the Israeli authorities have left </w:t>
      </w:r>
      <w:r w:rsidR="00294F70" w:rsidRPr="0079266B">
        <w:rPr>
          <w:rFonts w:ascii="Calibri" w:hAnsi="Calibri"/>
        </w:rPr>
        <w:t xml:space="preserve">indigenous </w:t>
      </w:r>
      <w:r w:rsidR="00A000A2">
        <w:rPr>
          <w:rFonts w:ascii="Calibri" w:hAnsi="Calibri"/>
        </w:rPr>
        <w:t xml:space="preserve">Palestinian </w:t>
      </w:r>
      <w:r w:rsidR="004D3DEF" w:rsidRPr="0079266B">
        <w:rPr>
          <w:rFonts w:ascii="Calibri" w:hAnsi="Calibri"/>
        </w:rPr>
        <w:t xml:space="preserve">Bedouin communities </w:t>
      </w:r>
      <w:r w:rsidR="00294F70" w:rsidRPr="0079266B">
        <w:rPr>
          <w:rFonts w:ascii="Calibri" w:hAnsi="Calibri"/>
        </w:rPr>
        <w:t xml:space="preserve">in the Jerusalem periphery </w:t>
      </w:r>
      <w:r w:rsidR="004D3DEF" w:rsidRPr="0079266B">
        <w:rPr>
          <w:rFonts w:ascii="Calibri" w:hAnsi="Calibri"/>
        </w:rPr>
        <w:t xml:space="preserve">such as Abu </w:t>
      </w:r>
      <w:proofErr w:type="spellStart"/>
      <w:r w:rsidR="00294F70" w:rsidRPr="0079266B">
        <w:rPr>
          <w:rFonts w:ascii="Calibri" w:hAnsi="Calibri"/>
        </w:rPr>
        <w:t>Nuwar</w:t>
      </w:r>
      <w:proofErr w:type="spellEnd"/>
      <w:r w:rsidR="00294F70" w:rsidRPr="0079266B">
        <w:rPr>
          <w:rFonts w:ascii="Calibri" w:hAnsi="Calibri"/>
        </w:rPr>
        <w:t xml:space="preserve"> </w:t>
      </w:r>
      <w:r w:rsidR="00FD5130">
        <w:rPr>
          <w:rFonts w:ascii="Calibri" w:hAnsi="Calibri"/>
        </w:rPr>
        <w:t>unable to</w:t>
      </w:r>
      <w:r w:rsidR="004D3DEF" w:rsidRPr="0079266B">
        <w:rPr>
          <w:rFonts w:ascii="Calibri" w:hAnsi="Calibri"/>
        </w:rPr>
        <w:t xml:space="preserve"> build </w:t>
      </w:r>
      <w:r w:rsidR="00FD5130">
        <w:rPr>
          <w:rFonts w:ascii="Calibri" w:hAnsi="Calibri"/>
        </w:rPr>
        <w:t xml:space="preserve">“legally” </w:t>
      </w:r>
      <w:r w:rsidR="004D3DEF" w:rsidRPr="0079266B">
        <w:rPr>
          <w:rFonts w:ascii="Calibri" w:hAnsi="Calibri"/>
        </w:rPr>
        <w:t>on land they have inhabited for over half a century.</w:t>
      </w:r>
      <w:r w:rsidR="009C65BE" w:rsidRPr="0079266B">
        <w:rPr>
          <w:rFonts w:ascii="Calibri" w:hAnsi="Calibri"/>
        </w:rPr>
        <w:t xml:space="preserve"> </w:t>
      </w:r>
    </w:p>
    <w:p w:rsidR="00C7293F" w:rsidRDefault="00294F70" w:rsidP="00B80520">
      <w:pPr>
        <w:rPr>
          <w:rFonts w:ascii="Calibri" w:hAnsi="Calibri"/>
        </w:rPr>
      </w:pPr>
      <w:r w:rsidRPr="0079266B">
        <w:rPr>
          <w:rFonts w:ascii="Calibri" w:hAnsi="Calibri"/>
        </w:rPr>
        <w:t xml:space="preserve">On 11 February 2016, the representative of Abu </w:t>
      </w:r>
      <w:proofErr w:type="spellStart"/>
      <w:r w:rsidRPr="0079266B">
        <w:rPr>
          <w:rFonts w:ascii="Calibri" w:hAnsi="Calibri"/>
        </w:rPr>
        <w:t>Nuwar</w:t>
      </w:r>
      <w:proofErr w:type="spellEnd"/>
      <w:r w:rsidRPr="0079266B">
        <w:rPr>
          <w:rFonts w:ascii="Calibri" w:hAnsi="Calibri"/>
        </w:rPr>
        <w:t xml:space="preserve"> told Al-Haq</w:t>
      </w:r>
      <w:r w:rsidR="00BD77B6" w:rsidRPr="0079266B">
        <w:rPr>
          <w:rFonts w:ascii="Calibri" w:hAnsi="Calibri"/>
        </w:rPr>
        <w:t xml:space="preserve"> that </w:t>
      </w:r>
      <w:r w:rsidR="009C65BE" w:rsidRPr="0079266B">
        <w:rPr>
          <w:rFonts w:ascii="Calibri" w:hAnsi="Calibri"/>
        </w:rPr>
        <w:t xml:space="preserve">his community </w:t>
      </w:r>
      <w:r w:rsidR="00BD77B6" w:rsidRPr="0079266B">
        <w:rPr>
          <w:rFonts w:ascii="Calibri" w:hAnsi="Calibri"/>
        </w:rPr>
        <w:t xml:space="preserve">had been </w:t>
      </w:r>
      <w:r w:rsidR="006B2A30">
        <w:rPr>
          <w:rFonts w:ascii="Calibri" w:hAnsi="Calibri"/>
        </w:rPr>
        <w:t>subjected to repeated pressure</w:t>
      </w:r>
      <w:r w:rsidR="00BD77B6" w:rsidRPr="0079266B">
        <w:rPr>
          <w:rFonts w:ascii="Calibri" w:hAnsi="Calibri"/>
        </w:rPr>
        <w:t xml:space="preserve"> by the </w:t>
      </w:r>
      <w:r w:rsidR="00893818" w:rsidRPr="0079266B">
        <w:rPr>
          <w:rFonts w:ascii="Calibri" w:hAnsi="Calibri"/>
        </w:rPr>
        <w:t xml:space="preserve">Israeli Civil Administration </w:t>
      </w:r>
      <w:r w:rsidR="0046167D" w:rsidRPr="0079266B">
        <w:rPr>
          <w:rFonts w:ascii="Calibri" w:hAnsi="Calibri"/>
        </w:rPr>
        <w:t xml:space="preserve">(ICA) </w:t>
      </w:r>
      <w:r w:rsidR="00BD77B6" w:rsidRPr="0079266B">
        <w:rPr>
          <w:rFonts w:ascii="Calibri" w:hAnsi="Calibri"/>
        </w:rPr>
        <w:t xml:space="preserve">to relocate to an area </w:t>
      </w:r>
      <w:r w:rsidR="006B2A30">
        <w:rPr>
          <w:rFonts w:ascii="Calibri" w:hAnsi="Calibri"/>
        </w:rPr>
        <w:t xml:space="preserve">of Abu Dis known as </w:t>
      </w:r>
      <w:proofErr w:type="spellStart"/>
      <w:r w:rsidR="006B2A30">
        <w:rPr>
          <w:rFonts w:ascii="Calibri" w:hAnsi="Calibri"/>
        </w:rPr>
        <w:t>Khalat</w:t>
      </w:r>
      <w:proofErr w:type="spellEnd"/>
      <w:r w:rsidR="00567B78">
        <w:rPr>
          <w:rFonts w:ascii="Calibri" w:hAnsi="Calibri"/>
        </w:rPr>
        <w:t xml:space="preserve"> </w:t>
      </w:r>
      <w:r w:rsidR="0028361E">
        <w:rPr>
          <w:rFonts w:ascii="Calibri" w:hAnsi="Calibri"/>
        </w:rPr>
        <w:t>Al</w:t>
      </w:r>
      <w:r w:rsidR="006B2A30">
        <w:rPr>
          <w:rFonts w:ascii="Calibri" w:hAnsi="Calibri"/>
        </w:rPr>
        <w:t xml:space="preserve">-Raheb or </w:t>
      </w:r>
      <w:proofErr w:type="spellStart"/>
      <w:r w:rsidR="006B2A30">
        <w:rPr>
          <w:rFonts w:ascii="Calibri" w:hAnsi="Calibri"/>
        </w:rPr>
        <w:t>Bawabat</w:t>
      </w:r>
      <w:proofErr w:type="spellEnd"/>
      <w:r w:rsidR="00567B78">
        <w:rPr>
          <w:rFonts w:ascii="Calibri" w:hAnsi="Calibri"/>
        </w:rPr>
        <w:t xml:space="preserve"> </w:t>
      </w:r>
      <w:r w:rsidR="0028361E">
        <w:rPr>
          <w:rFonts w:ascii="Calibri" w:hAnsi="Calibri"/>
        </w:rPr>
        <w:t>A</w:t>
      </w:r>
      <w:r w:rsidR="0028361E" w:rsidRPr="0079266B">
        <w:rPr>
          <w:rFonts w:ascii="Calibri" w:hAnsi="Calibri"/>
        </w:rPr>
        <w:t>l</w:t>
      </w:r>
      <w:r w:rsidR="00BD77B6" w:rsidRPr="0079266B">
        <w:rPr>
          <w:rFonts w:ascii="Calibri" w:hAnsi="Calibri"/>
        </w:rPr>
        <w:t>-Quds</w:t>
      </w:r>
      <w:r w:rsidR="00A000A2">
        <w:rPr>
          <w:rFonts w:ascii="Calibri" w:hAnsi="Calibri"/>
        </w:rPr>
        <w:t>. This is</w:t>
      </w:r>
      <w:r w:rsidR="00BD77B6" w:rsidRPr="0079266B">
        <w:rPr>
          <w:rFonts w:ascii="Calibri" w:hAnsi="Calibri"/>
        </w:rPr>
        <w:t xml:space="preserve"> despite their </w:t>
      </w:r>
      <w:r w:rsidR="00055F81">
        <w:rPr>
          <w:rFonts w:ascii="Calibri" w:hAnsi="Calibri"/>
        </w:rPr>
        <w:t xml:space="preserve">historic </w:t>
      </w:r>
      <w:r w:rsidR="00BD77B6" w:rsidRPr="0079266B">
        <w:rPr>
          <w:rFonts w:ascii="Calibri" w:hAnsi="Calibri"/>
        </w:rPr>
        <w:t xml:space="preserve">refusal to move anywhere but back to their tribal lands in </w:t>
      </w:r>
      <w:proofErr w:type="spellStart"/>
      <w:r w:rsidR="00BD77B6" w:rsidRPr="0079266B">
        <w:rPr>
          <w:rFonts w:ascii="Calibri" w:hAnsi="Calibri"/>
        </w:rPr>
        <w:t>Bir</w:t>
      </w:r>
      <w:proofErr w:type="spellEnd"/>
      <w:r w:rsidR="00BD77B6" w:rsidRPr="0079266B">
        <w:rPr>
          <w:rFonts w:ascii="Calibri" w:hAnsi="Calibri"/>
        </w:rPr>
        <w:t xml:space="preserve"> Al-</w:t>
      </w:r>
      <w:proofErr w:type="spellStart"/>
      <w:r w:rsidR="00BD77B6" w:rsidRPr="0079266B">
        <w:rPr>
          <w:rFonts w:ascii="Calibri" w:hAnsi="Calibri"/>
        </w:rPr>
        <w:t>Sab</w:t>
      </w:r>
      <w:r w:rsidR="00A000A2">
        <w:rPr>
          <w:rFonts w:ascii="Calibri" w:hAnsi="Calibri"/>
        </w:rPr>
        <w:t>a</w:t>
      </w:r>
      <w:proofErr w:type="spellEnd"/>
      <w:r w:rsidR="00BD77B6" w:rsidRPr="0079266B">
        <w:rPr>
          <w:rFonts w:ascii="Calibri" w:hAnsi="Calibri"/>
        </w:rPr>
        <w:t>’</w:t>
      </w:r>
      <w:r w:rsidR="001F1547">
        <w:rPr>
          <w:rFonts w:ascii="Calibri" w:hAnsi="Calibri"/>
        </w:rPr>
        <w:t xml:space="preserve"> in the </w:t>
      </w:r>
      <w:proofErr w:type="spellStart"/>
      <w:r w:rsidR="001F1547">
        <w:rPr>
          <w:rFonts w:ascii="Calibri" w:hAnsi="Calibri"/>
        </w:rPr>
        <w:t>Naqab</w:t>
      </w:r>
      <w:proofErr w:type="spellEnd"/>
      <w:r w:rsidR="001F1547">
        <w:rPr>
          <w:rFonts w:ascii="Calibri" w:hAnsi="Calibri"/>
        </w:rPr>
        <w:t xml:space="preserve"> Desert</w:t>
      </w:r>
      <w:r w:rsidR="00BD77B6" w:rsidRPr="0079266B">
        <w:rPr>
          <w:rFonts w:ascii="Calibri" w:hAnsi="Calibri"/>
        </w:rPr>
        <w:t xml:space="preserve">, from which they were originally displaced </w:t>
      </w:r>
      <w:r w:rsidR="006B2A30">
        <w:rPr>
          <w:rFonts w:ascii="Calibri" w:hAnsi="Calibri"/>
        </w:rPr>
        <w:t xml:space="preserve">and dispossessed </w:t>
      </w:r>
      <w:r w:rsidR="00BD77B6" w:rsidRPr="0079266B">
        <w:rPr>
          <w:rFonts w:ascii="Calibri" w:hAnsi="Calibri"/>
        </w:rPr>
        <w:t xml:space="preserve">by Israel in the aftermath of the </w:t>
      </w:r>
      <w:proofErr w:type="gramStart"/>
      <w:r w:rsidR="00BD77B6" w:rsidRPr="0079266B">
        <w:rPr>
          <w:rFonts w:ascii="Calibri" w:hAnsi="Calibri"/>
        </w:rPr>
        <w:t>1948</w:t>
      </w:r>
      <w:proofErr w:type="gramEnd"/>
      <w:r w:rsidR="00BD77B6" w:rsidRPr="0079266B">
        <w:rPr>
          <w:rFonts w:ascii="Calibri" w:hAnsi="Calibri"/>
        </w:rPr>
        <w:t xml:space="preserve"> War. </w:t>
      </w:r>
      <w:r w:rsidR="009C65BE" w:rsidRPr="0079266B">
        <w:rPr>
          <w:rFonts w:ascii="Calibri" w:hAnsi="Calibri"/>
        </w:rPr>
        <w:t>The</w:t>
      </w:r>
      <w:r w:rsidR="0046167D" w:rsidRPr="0079266B">
        <w:rPr>
          <w:rFonts w:ascii="Calibri" w:hAnsi="Calibri"/>
        </w:rPr>
        <w:t xml:space="preserve"> ICA visit</w:t>
      </w:r>
      <w:r w:rsidR="009C65BE" w:rsidRPr="0079266B">
        <w:rPr>
          <w:rFonts w:ascii="Calibri" w:hAnsi="Calibri"/>
        </w:rPr>
        <w:t>ed</w:t>
      </w:r>
      <w:r w:rsidR="00567B78">
        <w:rPr>
          <w:rFonts w:ascii="Calibri" w:hAnsi="Calibri"/>
        </w:rPr>
        <w:t xml:space="preserve"> </w:t>
      </w:r>
      <w:r w:rsidR="009C65BE" w:rsidRPr="0079266B">
        <w:rPr>
          <w:rFonts w:ascii="Calibri" w:hAnsi="Calibri"/>
        </w:rPr>
        <w:t xml:space="preserve">Abu </w:t>
      </w:r>
      <w:proofErr w:type="spellStart"/>
      <w:r w:rsidR="009C65BE" w:rsidRPr="0079266B">
        <w:rPr>
          <w:rFonts w:ascii="Calibri" w:hAnsi="Calibri"/>
        </w:rPr>
        <w:t>Nuwar</w:t>
      </w:r>
      <w:proofErr w:type="spellEnd"/>
      <w:r w:rsidR="009C65BE" w:rsidRPr="0079266B">
        <w:rPr>
          <w:rFonts w:ascii="Calibri" w:hAnsi="Calibri"/>
        </w:rPr>
        <w:t xml:space="preserve"> on several occasions between April 2015 and January 2016, </w:t>
      </w:r>
      <w:r w:rsidR="000A3FBA" w:rsidRPr="0079266B">
        <w:rPr>
          <w:rFonts w:ascii="Calibri" w:hAnsi="Calibri"/>
        </w:rPr>
        <w:t>m</w:t>
      </w:r>
      <w:r w:rsidR="0046167D" w:rsidRPr="0079266B">
        <w:rPr>
          <w:rFonts w:ascii="Calibri" w:hAnsi="Calibri"/>
        </w:rPr>
        <w:t>eetin</w:t>
      </w:r>
      <w:r w:rsidR="006B2A30">
        <w:rPr>
          <w:rFonts w:ascii="Calibri" w:hAnsi="Calibri"/>
        </w:rPr>
        <w:t>g with each family individually</w:t>
      </w:r>
      <w:r w:rsidR="00567B78">
        <w:rPr>
          <w:rFonts w:ascii="Calibri" w:hAnsi="Calibri"/>
        </w:rPr>
        <w:t>,</w:t>
      </w:r>
      <w:r w:rsidR="006B2A30">
        <w:rPr>
          <w:rFonts w:ascii="Calibri" w:hAnsi="Calibri"/>
        </w:rPr>
        <w:t xml:space="preserve"> and</w:t>
      </w:r>
      <w:r w:rsidR="00567B78">
        <w:rPr>
          <w:rFonts w:ascii="Calibri" w:hAnsi="Calibri"/>
        </w:rPr>
        <w:t xml:space="preserve"> </w:t>
      </w:r>
      <w:r w:rsidR="000A3FBA" w:rsidRPr="0079266B">
        <w:rPr>
          <w:rFonts w:ascii="Calibri" w:hAnsi="Calibri"/>
        </w:rPr>
        <w:t>offering the</w:t>
      </w:r>
      <w:r w:rsidR="006B2A30">
        <w:rPr>
          <w:rFonts w:ascii="Calibri" w:hAnsi="Calibri"/>
        </w:rPr>
        <w:t>m</w:t>
      </w:r>
      <w:r w:rsidR="00567B78">
        <w:rPr>
          <w:rFonts w:ascii="Calibri" w:hAnsi="Calibri"/>
        </w:rPr>
        <w:t xml:space="preserve"> </w:t>
      </w:r>
      <w:r w:rsidR="0046167D" w:rsidRPr="0079266B">
        <w:rPr>
          <w:rFonts w:ascii="Calibri" w:hAnsi="Calibri"/>
        </w:rPr>
        <w:t xml:space="preserve">financial </w:t>
      </w:r>
      <w:r w:rsidR="00A000A2">
        <w:rPr>
          <w:rFonts w:ascii="Calibri" w:hAnsi="Calibri"/>
        </w:rPr>
        <w:t>incentives</w:t>
      </w:r>
      <w:r w:rsidR="00567B78">
        <w:rPr>
          <w:rFonts w:ascii="Calibri" w:hAnsi="Calibri"/>
        </w:rPr>
        <w:t xml:space="preserve"> </w:t>
      </w:r>
      <w:r w:rsidR="0046167D" w:rsidRPr="0079266B">
        <w:rPr>
          <w:rFonts w:ascii="Calibri" w:hAnsi="Calibri"/>
        </w:rPr>
        <w:t xml:space="preserve">to relocate and build on the </w:t>
      </w:r>
      <w:r w:rsidR="00B80520">
        <w:rPr>
          <w:rFonts w:ascii="Calibri" w:hAnsi="Calibri"/>
        </w:rPr>
        <w:t xml:space="preserve">ICA- designated </w:t>
      </w:r>
      <w:proofErr w:type="gramStart"/>
      <w:r w:rsidR="0046167D" w:rsidRPr="0079266B">
        <w:rPr>
          <w:rFonts w:ascii="Calibri" w:hAnsi="Calibri"/>
        </w:rPr>
        <w:t>si</w:t>
      </w:r>
      <w:r w:rsidR="00BD77B6" w:rsidRPr="0079266B">
        <w:rPr>
          <w:rFonts w:ascii="Calibri" w:hAnsi="Calibri"/>
        </w:rPr>
        <w:t xml:space="preserve">te </w:t>
      </w:r>
      <w:r w:rsidR="000A3FBA" w:rsidRPr="0079266B">
        <w:rPr>
          <w:rFonts w:ascii="Calibri" w:hAnsi="Calibri"/>
        </w:rPr>
        <w:t>.</w:t>
      </w:r>
      <w:proofErr w:type="gramEnd"/>
      <w:r w:rsidR="000A3FBA" w:rsidRPr="0079266B">
        <w:rPr>
          <w:rFonts w:ascii="Calibri" w:hAnsi="Calibri"/>
        </w:rPr>
        <w:t xml:space="preserve"> The representative of Abu </w:t>
      </w:r>
      <w:proofErr w:type="spellStart"/>
      <w:r w:rsidR="000A3FBA" w:rsidRPr="0079266B">
        <w:rPr>
          <w:rFonts w:ascii="Calibri" w:hAnsi="Calibri"/>
        </w:rPr>
        <w:t>Nuwar</w:t>
      </w:r>
      <w:proofErr w:type="spellEnd"/>
      <w:r w:rsidR="000A3FBA" w:rsidRPr="0079266B">
        <w:rPr>
          <w:rFonts w:ascii="Calibri" w:hAnsi="Calibri"/>
        </w:rPr>
        <w:t xml:space="preserve"> told Al-Haq that the ICA </w:t>
      </w:r>
      <w:r w:rsidR="00EB3608" w:rsidRPr="0079266B">
        <w:rPr>
          <w:rFonts w:ascii="Calibri" w:hAnsi="Calibri"/>
        </w:rPr>
        <w:t>attempted to lure</w:t>
      </w:r>
      <w:r w:rsidR="000A3FBA" w:rsidRPr="0079266B">
        <w:rPr>
          <w:rFonts w:ascii="Calibri" w:hAnsi="Calibri"/>
        </w:rPr>
        <w:t xml:space="preserve"> the community </w:t>
      </w:r>
      <w:r w:rsidR="00BD77B6" w:rsidRPr="0079266B">
        <w:rPr>
          <w:rFonts w:ascii="Calibri" w:hAnsi="Calibri"/>
        </w:rPr>
        <w:t>with services such as water, electricity, and healthcare to which they would have access should the</w:t>
      </w:r>
      <w:r w:rsidR="001F1547">
        <w:rPr>
          <w:rFonts w:ascii="Calibri" w:hAnsi="Calibri"/>
        </w:rPr>
        <w:t>y</w:t>
      </w:r>
      <w:r w:rsidR="00BD77B6" w:rsidRPr="0079266B">
        <w:rPr>
          <w:rFonts w:ascii="Calibri" w:hAnsi="Calibri"/>
        </w:rPr>
        <w:t xml:space="preserve"> choose to relocate</w:t>
      </w:r>
      <w:r w:rsidR="0046167D" w:rsidRPr="0079266B">
        <w:rPr>
          <w:rFonts w:ascii="Calibri" w:hAnsi="Calibri"/>
        </w:rPr>
        <w:t>.</w:t>
      </w:r>
      <w:r w:rsidR="00567B78">
        <w:rPr>
          <w:rFonts w:ascii="Calibri" w:hAnsi="Calibri"/>
        </w:rPr>
        <w:t xml:space="preserve"> </w:t>
      </w:r>
      <w:r w:rsidR="008E1BF6" w:rsidRPr="0079266B">
        <w:rPr>
          <w:rFonts w:ascii="Calibri" w:hAnsi="Calibri"/>
        </w:rPr>
        <w:t xml:space="preserve">In a visit to the </w:t>
      </w:r>
      <w:r w:rsidR="000A3FBA" w:rsidRPr="0079266B">
        <w:rPr>
          <w:rFonts w:ascii="Calibri" w:hAnsi="Calibri"/>
        </w:rPr>
        <w:t>community</w:t>
      </w:r>
      <w:r w:rsidR="008E1BF6" w:rsidRPr="0079266B">
        <w:rPr>
          <w:rFonts w:ascii="Calibri" w:hAnsi="Calibri"/>
        </w:rPr>
        <w:t xml:space="preserve"> around 10 January 2016</w:t>
      </w:r>
      <w:r w:rsidR="005A14BF" w:rsidRPr="0079266B">
        <w:rPr>
          <w:rFonts w:ascii="Calibri" w:hAnsi="Calibri"/>
        </w:rPr>
        <w:t xml:space="preserve">, </w:t>
      </w:r>
      <w:r w:rsidR="004D3DEF" w:rsidRPr="0079266B">
        <w:rPr>
          <w:rFonts w:ascii="Calibri" w:hAnsi="Calibri"/>
        </w:rPr>
        <w:t xml:space="preserve">the ICA </w:t>
      </w:r>
      <w:r w:rsidR="006B2A30">
        <w:rPr>
          <w:rFonts w:ascii="Calibri" w:hAnsi="Calibri"/>
        </w:rPr>
        <w:t xml:space="preserve">warned </w:t>
      </w:r>
      <w:r w:rsidR="00796820" w:rsidRPr="0079266B">
        <w:rPr>
          <w:rFonts w:ascii="Calibri" w:hAnsi="Calibri"/>
        </w:rPr>
        <w:t xml:space="preserve">that if </w:t>
      </w:r>
      <w:r w:rsidR="00EB3608" w:rsidRPr="0079266B">
        <w:rPr>
          <w:rFonts w:ascii="Calibri" w:hAnsi="Calibri"/>
        </w:rPr>
        <w:t xml:space="preserve">they </w:t>
      </w:r>
      <w:r w:rsidR="00796820" w:rsidRPr="0079266B">
        <w:rPr>
          <w:rFonts w:ascii="Calibri" w:hAnsi="Calibri"/>
        </w:rPr>
        <w:t>did not choose 30 families</w:t>
      </w:r>
      <w:r w:rsidR="00055F81">
        <w:rPr>
          <w:rFonts w:ascii="Calibri" w:hAnsi="Calibri"/>
        </w:rPr>
        <w:t xml:space="preserve">, </w:t>
      </w:r>
      <w:r w:rsidR="00216A82">
        <w:rPr>
          <w:rFonts w:ascii="Calibri" w:hAnsi="Calibri"/>
        </w:rPr>
        <w:t>out of the 110 families of the tribe</w:t>
      </w:r>
      <w:r w:rsidR="00055F81">
        <w:rPr>
          <w:rFonts w:ascii="Calibri" w:hAnsi="Calibri"/>
        </w:rPr>
        <w:t>,</w:t>
      </w:r>
      <w:r w:rsidR="00567B78">
        <w:rPr>
          <w:rFonts w:ascii="Calibri" w:hAnsi="Calibri"/>
        </w:rPr>
        <w:t xml:space="preserve"> </w:t>
      </w:r>
      <w:r w:rsidR="00796820" w:rsidRPr="0079266B">
        <w:rPr>
          <w:rFonts w:ascii="Calibri" w:hAnsi="Calibri"/>
        </w:rPr>
        <w:t xml:space="preserve">to relocate </w:t>
      </w:r>
      <w:r w:rsidR="000A3FBA" w:rsidRPr="0079266B">
        <w:rPr>
          <w:rFonts w:ascii="Calibri" w:hAnsi="Calibri"/>
        </w:rPr>
        <w:t xml:space="preserve">to </w:t>
      </w:r>
      <w:r w:rsidR="00EB3608" w:rsidRPr="0079266B">
        <w:rPr>
          <w:rFonts w:ascii="Calibri" w:hAnsi="Calibri"/>
        </w:rPr>
        <w:t xml:space="preserve">the </w:t>
      </w:r>
      <w:r w:rsidR="00055F81">
        <w:rPr>
          <w:rFonts w:ascii="Calibri" w:hAnsi="Calibri"/>
        </w:rPr>
        <w:t>ICA-mandated</w:t>
      </w:r>
      <w:r w:rsidR="00EB3608" w:rsidRPr="0079266B">
        <w:rPr>
          <w:rFonts w:ascii="Calibri" w:hAnsi="Calibri"/>
        </w:rPr>
        <w:t xml:space="preserve"> site</w:t>
      </w:r>
      <w:r w:rsidR="00567B78">
        <w:rPr>
          <w:rFonts w:ascii="Calibri" w:hAnsi="Calibri"/>
        </w:rPr>
        <w:t xml:space="preserve"> </w:t>
      </w:r>
      <w:r w:rsidR="00796820" w:rsidRPr="0079266B">
        <w:rPr>
          <w:rFonts w:ascii="Calibri" w:hAnsi="Calibri"/>
        </w:rPr>
        <w:t xml:space="preserve">within 30 days, the ICA would </w:t>
      </w:r>
      <w:r w:rsidR="000A3FBA" w:rsidRPr="0079266B">
        <w:rPr>
          <w:rFonts w:ascii="Calibri" w:hAnsi="Calibri"/>
        </w:rPr>
        <w:t>remove them by</w:t>
      </w:r>
      <w:r w:rsidR="00796820" w:rsidRPr="0079266B">
        <w:rPr>
          <w:rFonts w:ascii="Calibri" w:hAnsi="Calibri"/>
        </w:rPr>
        <w:t xml:space="preserve"> force. </w:t>
      </w:r>
      <w:r w:rsidR="0028361E">
        <w:rPr>
          <w:rFonts w:ascii="Calibri" w:hAnsi="Calibri"/>
        </w:rPr>
        <w:t>B</w:t>
      </w:r>
      <w:r w:rsidR="008E1BF6" w:rsidRPr="0079266B">
        <w:rPr>
          <w:rFonts w:ascii="Calibri" w:hAnsi="Calibri"/>
        </w:rPr>
        <w:t xml:space="preserve">y early February </w:t>
      </w:r>
      <w:r w:rsidR="00EB3608" w:rsidRPr="0079266B">
        <w:rPr>
          <w:rFonts w:ascii="Calibri" w:hAnsi="Calibri"/>
        </w:rPr>
        <w:t>2016</w:t>
      </w:r>
      <w:r w:rsidR="00567B78">
        <w:rPr>
          <w:rFonts w:ascii="Calibri" w:hAnsi="Calibri"/>
        </w:rPr>
        <w:t xml:space="preserve"> </w:t>
      </w:r>
      <w:r w:rsidR="00216A82">
        <w:rPr>
          <w:rFonts w:ascii="Calibri" w:hAnsi="Calibri"/>
        </w:rPr>
        <w:t>none</w:t>
      </w:r>
      <w:r w:rsidR="00567B78">
        <w:rPr>
          <w:rFonts w:ascii="Calibri" w:hAnsi="Calibri"/>
        </w:rPr>
        <w:t xml:space="preserve"> </w:t>
      </w:r>
      <w:r w:rsidR="008E1BF6" w:rsidRPr="0079266B">
        <w:rPr>
          <w:rFonts w:ascii="Calibri" w:hAnsi="Calibri"/>
        </w:rPr>
        <w:t xml:space="preserve">of the families had </w:t>
      </w:r>
      <w:r w:rsidR="00BD77B6" w:rsidRPr="0079266B">
        <w:rPr>
          <w:rFonts w:ascii="Calibri" w:hAnsi="Calibri"/>
        </w:rPr>
        <w:t>consented to relocating,</w:t>
      </w:r>
      <w:r w:rsidR="0028361E">
        <w:rPr>
          <w:rFonts w:ascii="Calibri" w:hAnsi="Calibri"/>
        </w:rPr>
        <w:t xml:space="preserve"> and</w:t>
      </w:r>
      <w:r w:rsidR="008E1BF6" w:rsidRPr="0079266B">
        <w:rPr>
          <w:rFonts w:ascii="Calibri" w:hAnsi="Calibri"/>
        </w:rPr>
        <w:t xml:space="preserve"> the ICA </w:t>
      </w:r>
      <w:r w:rsidR="0028361E">
        <w:rPr>
          <w:rFonts w:ascii="Calibri" w:hAnsi="Calibri"/>
        </w:rPr>
        <w:t>has</w:t>
      </w:r>
      <w:r w:rsidR="00567B78">
        <w:rPr>
          <w:rFonts w:ascii="Calibri" w:hAnsi="Calibri"/>
        </w:rPr>
        <w:t xml:space="preserve"> </w:t>
      </w:r>
      <w:r w:rsidR="008E1BF6" w:rsidRPr="0079266B">
        <w:rPr>
          <w:rFonts w:ascii="Calibri" w:hAnsi="Calibri"/>
        </w:rPr>
        <w:t>not</w:t>
      </w:r>
      <w:r w:rsidR="0028361E">
        <w:rPr>
          <w:rFonts w:ascii="Calibri" w:hAnsi="Calibri"/>
        </w:rPr>
        <w:t xml:space="preserve"> yet</w:t>
      </w:r>
      <w:r w:rsidR="00567B78">
        <w:rPr>
          <w:rFonts w:ascii="Calibri" w:hAnsi="Calibri"/>
        </w:rPr>
        <w:t xml:space="preserve"> </w:t>
      </w:r>
      <w:r w:rsidR="00BD77B6" w:rsidRPr="0079266B">
        <w:rPr>
          <w:rFonts w:ascii="Calibri" w:hAnsi="Calibri"/>
        </w:rPr>
        <w:t>forcibly remove</w:t>
      </w:r>
      <w:r w:rsidR="00A000A2">
        <w:rPr>
          <w:rFonts w:ascii="Calibri" w:hAnsi="Calibri"/>
        </w:rPr>
        <w:t>d</w:t>
      </w:r>
      <w:r w:rsidR="00BD77B6" w:rsidRPr="0079266B">
        <w:rPr>
          <w:rFonts w:ascii="Calibri" w:hAnsi="Calibri"/>
        </w:rPr>
        <w:t xml:space="preserve"> them</w:t>
      </w:r>
      <w:r w:rsidR="008E1BF6" w:rsidRPr="0079266B">
        <w:rPr>
          <w:rFonts w:ascii="Calibri" w:hAnsi="Calibri"/>
        </w:rPr>
        <w:t xml:space="preserve">. </w:t>
      </w:r>
      <w:r w:rsidR="000A3FBA" w:rsidRPr="0079266B">
        <w:rPr>
          <w:rFonts w:ascii="Calibri" w:hAnsi="Calibri"/>
        </w:rPr>
        <w:t>As such, t</w:t>
      </w:r>
      <w:r w:rsidR="002D7921" w:rsidRPr="0079266B">
        <w:rPr>
          <w:rFonts w:ascii="Calibri" w:hAnsi="Calibri"/>
        </w:rPr>
        <w:t>h</w:t>
      </w:r>
      <w:r w:rsidR="008E1BF6" w:rsidRPr="0079266B">
        <w:rPr>
          <w:rFonts w:ascii="Calibri" w:hAnsi="Calibri"/>
        </w:rPr>
        <w:t xml:space="preserve">e representative of Abu </w:t>
      </w:r>
      <w:proofErr w:type="spellStart"/>
      <w:r w:rsidRPr="0079266B">
        <w:rPr>
          <w:rFonts w:ascii="Calibri" w:hAnsi="Calibri"/>
        </w:rPr>
        <w:t>Nuwar</w:t>
      </w:r>
      <w:proofErr w:type="spellEnd"/>
      <w:r w:rsidR="008E1BF6" w:rsidRPr="0079266B">
        <w:rPr>
          <w:rFonts w:ascii="Calibri" w:hAnsi="Calibri"/>
        </w:rPr>
        <w:t xml:space="preserve"> told Al-Haq that he believes the offer was meant to </w:t>
      </w:r>
      <w:r w:rsidR="00567B78">
        <w:rPr>
          <w:rFonts w:ascii="Calibri" w:hAnsi="Calibri"/>
        </w:rPr>
        <w:t>coerce</w:t>
      </w:r>
      <w:r w:rsidR="00567B78" w:rsidRPr="0079266B">
        <w:rPr>
          <w:rFonts w:ascii="Calibri" w:hAnsi="Calibri"/>
        </w:rPr>
        <w:t xml:space="preserve"> </w:t>
      </w:r>
      <w:r w:rsidR="008E1BF6" w:rsidRPr="0079266B">
        <w:rPr>
          <w:rFonts w:ascii="Calibri" w:hAnsi="Calibri"/>
        </w:rPr>
        <w:t xml:space="preserve">the families </w:t>
      </w:r>
      <w:r w:rsidR="00EB3608" w:rsidRPr="0079266B">
        <w:rPr>
          <w:rFonts w:ascii="Calibri" w:hAnsi="Calibri"/>
        </w:rPr>
        <w:t>into relocating</w:t>
      </w:r>
      <w:r w:rsidR="008E1BF6" w:rsidRPr="0079266B">
        <w:rPr>
          <w:rFonts w:ascii="Calibri" w:hAnsi="Calibri"/>
        </w:rPr>
        <w:t>.</w:t>
      </w:r>
      <w:r w:rsidR="00567B78">
        <w:rPr>
          <w:rFonts w:ascii="Calibri" w:hAnsi="Calibri"/>
        </w:rPr>
        <w:t xml:space="preserve"> </w:t>
      </w:r>
      <w:r w:rsidR="00C7293F" w:rsidRPr="0079266B">
        <w:rPr>
          <w:rFonts w:ascii="Calibri" w:hAnsi="Calibri"/>
        </w:rPr>
        <w:t>(Al-Haq Affidavit No. 93/2016)</w:t>
      </w:r>
    </w:p>
    <w:p w:rsidR="0046167D" w:rsidRDefault="002D7921" w:rsidP="00B80520">
      <w:pPr>
        <w:rPr>
          <w:rFonts w:ascii="Calibri" w:hAnsi="Calibri"/>
        </w:rPr>
      </w:pPr>
      <w:r w:rsidRPr="0079266B">
        <w:rPr>
          <w:rFonts w:ascii="Calibri" w:hAnsi="Calibri"/>
        </w:rPr>
        <w:t>Israel’s discriminator</w:t>
      </w:r>
      <w:r w:rsidR="007A3C85" w:rsidRPr="0079266B">
        <w:rPr>
          <w:rFonts w:ascii="Calibri" w:hAnsi="Calibri"/>
        </w:rPr>
        <w:t xml:space="preserve">y planning and zoning policies, </w:t>
      </w:r>
      <w:r w:rsidRPr="0079266B">
        <w:rPr>
          <w:rFonts w:ascii="Calibri" w:hAnsi="Calibri"/>
        </w:rPr>
        <w:t xml:space="preserve">coupled with direct pressure exerted by the ICA </w:t>
      </w:r>
      <w:r w:rsidR="00EB3608" w:rsidRPr="0079266B">
        <w:rPr>
          <w:rFonts w:ascii="Calibri" w:hAnsi="Calibri"/>
        </w:rPr>
        <w:t>on the Bedouin communities</w:t>
      </w:r>
      <w:r w:rsidRPr="0079266B">
        <w:rPr>
          <w:rFonts w:ascii="Calibri" w:hAnsi="Calibri"/>
        </w:rPr>
        <w:t xml:space="preserve"> to relocate, stands in stark contrast with illegal Israeli settlement activity</w:t>
      </w:r>
      <w:r w:rsidR="00B80520">
        <w:rPr>
          <w:rFonts w:ascii="Calibri" w:hAnsi="Calibri"/>
        </w:rPr>
        <w:t xml:space="preserve">, which flourishes next to </w:t>
      </w:r>
      <w:proofErr w:type="gramStart"/>
      <w:r w:rsidR="00B80520">
        <w:rPr>
          <w:rFonts w:ascii="Calibri" w:hAnsi="Calibri"/>
        </w:rPr>
        <w:t xml:space="preserve">and </w:t>
      </w:r>
      <w:r w:rsidRPr="0079266B">
        <w:rPr>
          <w:rFonts w:ascii="Calibri" w:hAnsi="Calibri"/>
        </w:rPr>
        <w:t xml:space="preserve"> at</w:t>
      </w:r>
      <w:proofErr w:type="gramEnd"/>
      <w:r w:rsidRPr="0079266B">
        <w:rPr>
          <w:rFonts w:ascii="Calibri" w:hAnsi="Calibri"/>
        </w:rPr>
        <w:t xml:space="preserve"> the expense of the area’s </w:t>
      </w:r>
      <w:r w:rsidRPr="0079266B">
        <w:rPr>
          <w:rFonts w:ascii="Calibri" w:hAnsi="Calibri"/>
        </w:rPr>
        <w:lastRenderedPageBreak/>
        <w:t xml:space="preserve">indigenous Palestinian population. </w:t>
      </w:r>
      <w:r w:rsidR="006B2A30">
        <w:rPr>
          <w:rFonts w:ascii="Calibri" w:hAnsi="Calibri"/>
        </w:rPr>
        <w:t>As such</w:t>
      </w:r>
      <w:r w:rsidR="000A3FBA" w:rsidRPr="0079266B">
        <w:rPr>
          <w:rFonts w:ascii="Calibri" w:hAnsi="Calibri"/>
        </w:rPr>
        <w:t>, a</w:t>
      </w:r>
      <w:r w:rsidR="00580AD0" w:rsidRPr="0079266B">
        <w:rPr>
          <w:rFonts w:ascii="Calibri" w:hAnsi="Calibri"/>
        </w:rPr>
        <w:t>lthough the</w:t>
      </w:r>
      <w:r w:rsidR="008464E3" w:rsidRPr="0079266B">
        <w:rPr>
          <w:rFonts w:ascii="Calibri" w:hAnsi="Calibri"/>
        </w:rPr>
        <w:t xml:space="preserve"> Committee</w:t>
      </w:r>
      <w:r w:rsidR="00580AD0" w:rsidRPr="0079266B">
        <w:rPr>
          <w:rFonts w:ascii="Calibri" w:hAnsi="Calibri"/>
        </w:rPr>
        <w:t xml:space="preserve"> has</w:t>
      </w:r>
      <w:r w:rsidR="00FD5007">
        <w:rPr>
          <w:rFonts w:ascii="Calibri" w:hAnsi="Calibri"/>
        </w:rPr>
        <w:t xml:space="preserve"> </w:t>
      </w:r>
      <w:r w:rsidR="00580AD0" w:rsidRPr="0079266B">
        <w:rPr>
          <w:rFonts w:ascii="Calibri" w:hAnsi="Calibri"/>
        </w:rPr>
        <w:t>recommended that Israel desist</w:t>
      </w:r>
      <w:r w:rsidR="00FD5007">
        <w:rPr>
          <w:rFonts w:ascii="Calibri" w:hAnsi="Calibri"/>
        </w:rPr>
        <w:t xml:space="preserve"> </w:t>
      </w:r>
      <w:r w:rsidR="00580AD0" w:rsidRPr="0079266B">
        <w:rPr>
          <w:rFonts w:ascii="Calibri" w:hAnsi="Calibri"/>
        </w:rPr>
        <w:t xml:space="preserve">from any actions that may facilitate or result in forcible transfer and forced evictions, particularly of the Bedouin communities in the central West Bank and </w:t>
      </w:r>
      <w:r w:rsidR="00A000A2">
        <w:rPr>
          <w:rFonts w:ascii="Calibri" w:hAnsi="Calibri"/>
        </w:rPr>
        <w:t xml:space="preserve">the </w:t>
      </w:r>
      <w:r w:rsidR="00580AD0" w:rsidRPr="0079266B">
        <w:rPr>
          <w:rFonts w:ascii="Calibri" w:hAnsi="Calibri"/>
        </w:rPr>
        <w:t>eastern Jerusalem periphery</w:t>
      </w:r>
      <w:r w:rsidR="00B63F66" w:rsidRPr="0079266B">
        <w:rPr>
          <w:rFonts w:ascii="Calibri" w:hAnsi="Calibri"/>
        </w:rPr>
        <w:t xml:space="preserve"> (CCPR/C/ISR/CO/4, para. 9(c))</w:t>
      </w:r>
      <w:r w:rsidR="00580AD0" w:rsidRPr="0079266B">
        <w:rPr>
          <w:rFonts w:ascii="Calibri" w:hAnsi="Calibri"/>
        </w:rPr>
        <w:t xml:space="preserve">, Israel has </w:t>
      </w:r>
      <w:r w:rsidR="000A3FBA" w:rsidRPr="0079266B">
        <w:rPr>
          <w:rFonts w:ascii="Calibri" w:hAnsi="Calibri"/>
        </w:rPr>
        <w:t>instead</w:t>
      </w:r>
      <w:r w:rsidR="00580AD0" w:rsidRPr="0079266B">
        <w:rPr>
          <w:rFonts w:ascii="Calibri" w:hAnsi="Calibri"/>
        </w:rPr>
        <w:t xml:space="preserve"> created a coercive environment functioning as a “push factor” for Bedouin communities such as Abu </w:t>
      </w:r>
      <w:proofErr w:type="spellStart"/>
      <w:r w:rsidR="00580AD0" w:rsidRPr="0079266B">
        <w:rPr>
          <w:rFonts w:ascii="Calibri" w:hAnsi="Calibri"/>
        </w:rPr>
        <w:t>Nuwar</w:t>
      </w:r>
      <w:proofErr w:type="spellEnd"/>
      <w:r w:rsidR="00580AD0" w:rsidRPr="0079266B">
        <w:rPr>
          <w:rFonts w:ascii="Calibri" w:hAnsi="Calibri"/>
        </w:rPr>
        <w:t xml:space="preserve"> to </w:t>
      </w:r>
      <w:r w:rsidR="006B2A30">
        <w:rPr>
          <w:rFonts w:ascii="Calibri" w:hAnsi="Calibri"/>
        </w:rPr>
        <w:t>leave</w:t>
      </w:r>
      <w:r w:rsidR="00580AD0" w:rsidRPr="0079266B">
        <w:rPr>
          <w:rFonts w:ascii="Calibri" w:hAnsi="Calibri"/>
        </w:rPr>
        <w:t>.</w:t>
      </w:r>
      <w:r w:rsidR="00580AD0" w:rsidRPr="0079266B">
        <w:rPr>
          <w:rStyle w:val="FootnoteReference"/>
          <w:rFonts w:ascii="Calibri" w:hAnsi="Calibri"/>
        </w:rPr>
        <w:footnoteReference w:id="10"/>
      </w:r>
    </w:p>
    <w:p w:rsidR="00422C61" w:rsidRPr="0079266B" w:rsidRDefault="00422C61" w:rsidP="00E2200E">
      <w:pPr>
        <w:pStyle w:val="Heading1"/>
      </w:pPr>
      <w:r w:rsidRPr="0079266B">
        <w:t>Ongoing blockade of the Gaza Strip (Articles 1, 6, 7, and 12)</w:t>
      </w:r>
    </w:p>
    <w:p w:rsidR="006A4AE6" w:rsidRDefault="00374B0A" w:rsidP="00E2200E">
      <w:pPr>
        <w:rPr>
          <w:rFonts w:ascii="Calibri" w:hAnsi="Calibri"/>
        </w:rPr>
      </w:pPr>
      <w:r w:rsidRPr="0079266B">
        <w:rPr>
          <w:rFonts w:ascii="Calibri" w:hAnsi="Calibri"/>
        </w:rPr>
        <w:t xml:space="preserve">In its </w:t>
      </w:r>
      <w:r w:rsidR="00CE7576">
        <w:rPr>
          <w:rFonts w:ascii="Calibri" w:hAnsi="Calibri"/>
        </w:rPr>
        <w:t xml:space="preserve">2014 </w:t>
      </w:r>
      <w:r w:rsidRPr="0079266B">
        <w:rPr>
          <w:rFonts w:ascii="Calibri" w:hAnsi="Calibri"/>
        </w:rPr>
        <w:t xml:space="preserve">Concluding Observations, the Committee </w:t>
      </w:r>
      <w:r w:rsidR="00C375D1" w:rsidRPr="0079266B">
        <w:rPr>
          <w:rFonts w:ascii="Calibri" w:hAnsi="Calibri"/>
        </w:rPr>
        <w:t xml:space="preserve">expressed its concern as to the long-standing Israeli blockade of the Gaza Strip hampering the freedom of movement </w:t>
      </w:r>
      <w:r w:rsidR="00CE7576">
        <w:rPr>
          <w:rFonts w:ascii="Calibri" w:hAnsi="Calibri"/>
        </w:rPr>
        <w:t xml:space="preserve">of </w:t>
      </w:r>
      <w:r w:rsidR="00C375D1" w:rsidRPr="0079266B">
        <w:rPr>
          <w:rFonts w:ascii="Calibri" w:hAnsi="Calibri"/>
        </w:rPr>
        <w:t>all but a limited category of perso</w:t>
      </w:r>
      <w:r w:rsidR="007318CC" w:rsidRPr="0079266B">
        <w:rPr>
          <w:rFonts w:ascii="Calibri" w:hAnsi="Calibri"/>
        </w:rPr>
        <w:t>ns able to leave</w:t>
      </w:r>
      <w:r w:rsidR="003522F2" w:rsidRPr="0079266B">
        <w:rPr>
          <w:rFonts w:ascii="Calibri" w:hAnsi="Calibri"/>
        </w:rPr>
        <w:t xml:space="preserve">, such as medical referrals (CCPR/C/ISR/CO/4, para. 12). </w:t>
      </w:r>
      <w:r w:rsidR="00C76683" w:rsidRPr="0079266B">
        <w:rPr>
          <w:rFonts w:ascii="Calibri" w:hAnsi="Calibri"/>
        </w:rPr>
        <w:t xml:space="preserve">Throughout the follow-up period, </w:t>
      </w:r>
      <w:r w:rsidR="000A1B0D" w:rsidRPr="0079266B">
        <w:rPr>
          <w:rFonts w:ascii="Calibri" w:hAnsi="Calibri"/>
        </w:rPr>
        <w:t xml:space="preserve">the Israeli </w:t>
      </w:r>
      <w:r w:rsidR="00E2200E">
        <w:rPr>
          <w:rFonts w:ascii="Calibri" w:hAnsi="Calibri"/>
        </w:rPr>
        <w:t>closure</w:t>
      </w:r>
      <w:r w:rsidR="00FD5007">
        <w:rPr>
          <w:rFonts w:ascii="Calibri" w:hAnsi="Calibri"/>
        </w:rPr>
        <w:t xml:space="preserve"> </w:t>
      </w:r>
      <w:r w:rsidR="000A1B0D" w:rsidRPr="0079266B">
        <w:rPr>
          <w:rFonts w:ascii="Calibri" w:hAnsi="Calibri"/>
        </w:rPr>
        <w:t>on the Gaza Strip</w:t>
      </w:r>
      <w:r w:rsidR="00FD5007">
        <w:rPr>
          <w:rFonts w:ascii="Calibri" w:hAnsi="Calibri"/>
        </w:rPr>
        <w:t xml:space="preserve"> </w:t>
      </w:r>
      <w:r w:rsidR="00CE7576">
        <w:rPr>
          <w:rFonts w:ascii="Calibri" w:hAnsi="Calibri"/>
        </w:rPr>
        <w:t>continued to</w:t>
      </w:r>
      <w:r w:rsidR="00FD5007">
        <w:rPr>
          <w:rFonts w:ascii="Calibri" w:hAnsi="Calibri"/>
        </w:rPr>
        <w:t xml:space="preserve"> </w:t>
      </w:r>
      <w:r w:rsidR="00A000A2">
        <w:rPr>
          <w:rFonts w:ascii="Calibri" w:hAnsi="Calibri"/>
        </w:rPr>
        <w:t xml:space="preserve">severely </w:t>
      </w:r>
      <w:r w:rsidR="000A1B0D" w:rsidRPr="0079266B">
        <w:rPr>
          <w:rFonts w:ascii="Calibri" w:hAnsi="Calibri"/>
        </w:rPr>
        <w:t>restrict the ability of Palestinians</w:t>
      </w:r>
      <w:r w:rsidR="00FD5007">
        <w:rPr>
          <w:rFonts w:ascii="Calibri" w:hAnsi="Calibri"/>
        </w:rPr>
        <w:t xml:space="preserve"> </w:t>
      </w:r>
      <w:r w:rsidR="000A1B0D" w:rsidRPr="0079266B">
        <w:rPr>
          <w:rFonts w:ascii="Calibri" w:hAnsi="Calibri"/>
        </w:rPr>
        <w:t>to exit</w:t>
      </w:r>
      <w:r w:rsidR="00C76683" w:rsidRPr="0079266B">
        <w:rPr>
          <w:rFonts w:ascii="Calibri" w:hAnsi="Calibri"/>
        </w:rPr>
        <w:t xml:space="preserve"> Gaza</w:t>
      </w:r>
      <w:r w:rsidR="000A1B0D" w:rsidRPr="0079266B">
        <w:rPr>
          <w:rFonts w:ascii="Calibri" w:hAnsi="Calibri"/>
        </w:rPr>
        <w:t>,</w:t>
      </w:r>
      <w:r w:rsidR="00C76683" w:rsidRPr="0079266B">
        <w:rPr>
          <w:rFonts w:ascii="Calibri" w:hAnsi="Calibri"/>
        </w:rPr>
        <w:t xml:space="preserve"> even in medical referral cases. </w:t>
      </w:r>
      <w:r w:rsidR="006A4AE6">
        <w:rPr>
          <w:rFonts w:ascii="Calibri" w:hAnsi="Calibri"/>
        </w:rPr>
        <w:t xml:space="preserve">It is estimated that only about a third of medical referrals from Gaza </w:t>
      </w:r>
      <w:r w:rsidR="008E2BFE">
        <w:rPr>
          <w:rFonts w:ascii="Calibri" w:hAnsi="Calibri"/>
        </w:rPr>
        <w:t>in 2016 were</w:t>
      </w:r>
      <w:r w:rsidR="006A4AE6">
        <w:rPr>
          <w:rFonts w:ascii="Calibri" w:hAnsi="Calibri"/>
        </w:rPr>
        <w:t xml:space="preserve"> granted the right to exit the Gaza Strip</w:t>
      </w:r>
      <w:r w:rsidR="00B80520">
        <w:rPr>
          <w:rFonts w:ascii="Calibri" w:hAnsi="Calibri"/>
        </w:rPr>
        <w:t>,</w:t>
      </w:r>
      <w:r w:rsidR="006A4AE6">
        <w:rPr>
          <w:rFonts w:ascii="Calibri" w:hAnsi="Calibri"/>
        </w:rPr>
        <w:t xml:space="preserve"> and that </w:t>
      </w:r>
      <w:r w:rsidR="008E2BFE">
        <w:rPr>
          <w:rFonts w:ascii="Calibri" w:hAnsi="Calibri"/>
        </w:rPr>
        <w:t>by</w:t>
      </w:r>
      <w:r w:rsidR="006A4AE6">
        <w:rPr>
          <w:rFonts w:ascii="Calibri" w:hAnsi="Calibri"/>
        </w:rPr>
        <w:t xml:space="preserve"> January 2017 around 53 per cent of medical referrals were denied the right to leave the Gaza Strip </w:t>
      </w:r>
      <w:r w:rsidR="00A000A2">
        <w:rPr>
          <w:rFonts w:ascii="Calibri" w:hAnsi="Calibri"/>
        </w:rPr>
        <w:t xml:space="preserve">to </w:t>
      </w:r>
      <w:r w:rsidR="006A4AE6">
        <w:rPr>
          <w:rFonts w:ascii="Calibri" w:hAnsi="Calibri"/>
        </w:rPr>
        <w:t>receive life-saving treatment.</w:t>
      </w:r>
      <w:r w:rsidR="006A4AE6">
        <w:rPr>
          <w:rStyle w:val="FootnoteReference"/>
          <w:rFonts w:ascii="Calibri" w:hAnsi="Calibri"/>
        </w:rPr>
        <w:footnoteReference w:id="11"/>
      </w:r>
    </w:p>
    <w:p w:rsidR="00374B0A" w:rsidRPr="0079266B" w:rsidRDefault="00C76683" w:rsidP="00FD5007">
      <w:pPr>
        <w:rPr>
          <w:rFonts w:ascii="Calibri" w:hAnsi="Calibri"/>
        </w:rPr>
      </w:pPr>
      <w:r w:rsidRPr="0079266B">
        <w:rPr>
          <w:rFonts w:ascii="Calibri" w:hAnsi="Calibri"/>
        </w:rPr>
        <w:t xml:space="preserve">In </w:t>
      </w:r>
      <w:r w:rsidR="00CE7576">
        <w:rPr>
          <w:rFonts w:ascii="Calibri" w:hAnsi="Calibri"/>
        </w:rPr>
        <w:t xml:space="preserve">early </w:t>
      </w:r>
      <w:r w:rsidRPr="0079266B">
        <w:rPr>
          <w:rFonts w:ascii="Calibri" w:hAnsi="Calibri"/>
        </w:rPr>
        <w:t>2017, Al-Haq documented the ca</w:t>
      </w:r>
      <w:r w:rsidR="00CE7576">
        <w:rPr>
          <w:rFonts w:ascii="Calibri" w:hAnsi="Calibri"/>
        </w:rPr>
        <w:t>se</w:t>
      </w:r>
      <w:r w:rsidR="000A1B0D" w:rsidRPr="0079266B">
        <w:rPr>
          <w:rFonts w:ascii="Calibri" w:hAnsi="Calibri"/>
        </w:rPr>
        <w:t xml:space="preserve"> of </w:t>
      </w:r>
      <w:r w:rsidR="000C7472" w:rsidRPr="0079266B">
        <w:rPr>
          <w:rFonts w:ascii="Calibri" w:hAnsi="Calibri"/>
        </w:rPr>
        <w:t xml:space="preserve">Ahmed </w:t>
      </w:r>
      <w:proofErr w:type="spellStart"/>
      <w:r w:rsidR="000C7472" w:rsidRPr="0079266B">
        <w:rPr>
          <w:rFonts w:ascii="Calibri" w:hAnsi="Calibri"/>
        </w:rPr>
        <w:t>Shubeir</w:t>
      </w:r>
      <w:proofErr w:type="spellEnd"/>
      <w:r w:rsidR="000C7472" w:rsidRPr="0079266B">
        <w:rPr>
          <w:rFonts w:ascii="Calibri" w:hAnsi="Calibri"/>
        </w:rPr>
        <w:t>, a young boy</w:t>
      </w:r>
      <w:r w:rsidR="00FD5007">
        <w:rPr>
          <w:rFonts w:ascii="Calibri" w:hAnsi="Calibri"/>
        </w:rPr>
        <w:t xml:space="preserve"> </w:t>
      </w:r>
      <w:r w:rsidRPr="0079266B">
        <w:rPr>
          <w:rFonts w:ascii="Calibri" w:hAnsi="Calibri"/>
        </w:rPr>
        <w:t xml:space="preserve">who passed away as a result of Israel’s closure </w:t>
      </w:r>
      <w:r w:rsidR="000A1B0D" w:rsidRPr="0079266B">
        <w:rPr>
          <w:rFonts w:ascii="Calibri" w:hAnsi="Calibri"/>
        </w:rPr>
        <w:t xml:space="preserve">on Gaza </w:t>
      </w:r>
      <w:r w:rsidRPr="0079266B">
        <w:rPr>
          <w:rFonts w:ascii="Calibri" w:hAnsi="Calibri"/>
        </w:rPr>
        <w:t xml:space="preserve">and </w:t>
      </w:r>
      <w:r w:rsidR="000C7472" w:rsidRPr="0079266B">
        <w:rPr>
          <w:rFonts w:ascii="Calibri" w:hAnsi="Calibri"/>
        </w:rPr>
        <w:t>his</w:t>
      </w:r>
      <w:r w:rsidR="000A1B0D" w:rsidRPr="0079266B">
        <w:rPr>
          <w:rFonts w:ascii="Calibri" w:hAnsi="Calibri"/>
        </w:rPr>
        <w:t xml:space="preserve"> inability to access health</w:t>
      </w:r>
      <w:r w:rsidRPr="0079266B">
        <w:rPr>
          <w:rFonts w:ascii="Calibri" w:hAnsi="Calibri"/>
        </w:rPr>
        <w:t>care.</w:t>
      </w:r>
      <w:r w:rsidR="000A1B0D" w:rsidRPr="0079266B">
        <w:rPr>
          <w:rStyle w:val="FootnoteReference"/>
          <w:rFonts w:ascii="Calibri" w:hAnsi="Calibri"/>
        </w:rPr>
        <w:footnoteReference w:id="12"/>
      </w:r>
      <w:r w:rsidR="000A1B0D" w:rsidRPr="0079266B">
        <w:rPr>
          <w:rFonts w:ascii="Calibri" w:hAnsi="Calibri"/>
        </w:rPr>
        <w:t xml:space="preserve"> Ahmed, 17, was bor</w:t>
      </w:r>
      <w:r w:rsidR="00563526" w:rsidRPr="0079266B">
        <w:rPr>
          <w:rFonts w:ascii="Calibri" w:hAnsi="Calibri"/>
        </w:rPr>
        <w:t>n with congenital heart disease</w:t>
      </w:r>
      <w:r w:rsidR="000A1B0D" w:rsidRPr="0079266B">
        <w:rPr>
          <w:rFonts w:ascii="Calibri" w:hAnsi="Calibri"/>
        </w:rPr>
        <w:t xml:space="preserve"> for which he had </w:t>
      </w:r>
      <w:r w:rsidR="00CE7576">
        <w:rPr>
          <w:rFonts w:ascii="Calibri" w:hAnsi="Calibri"/>
        </w:rPr>
        <w:t>been receiving</w:t>
      </w:r>
      <w:r w:rsidR="000A1B0D" w:rsidRPr="0079266B">
        <w:rPr>
          <w:rFonts w:ascii="Calibri" w:hAnsi="Calibri"/>
        </w:rPr>
        <w:t xml:space="preserve"> treatment in Israeli and Palestinian hospitals outside of Gaza since he was a child. In late 2015, it was determined that he would require surgery in Jerusalem. After several delays by the IOF, his surgery date was set fo</w:t>
      </w:r>
      <w:r w:rsidR="00563526" w:rsidRPr="0079266B">
        <w:rPr>
          <w:rFonts w:ascii="Calibri" w:hAnsi="Calibri"/>
        </w:rPr>
        <w:t xml:space="preserve">r </w:t>
      </w:r>
      <w:r w:rsidR="000A1B0D" w:rsidRPr="0079266B">
        <w:rPr>
          <w:rFonts w:ascii="Calibri" w:hAnsi="Calibri"/>
        </w:rPr>
        <w:t xml:space="preserve">10 September 2016. Despite his deteriorating health condition, the </w:t>
      </w:r>
      <w:r w:rsidR="00CE7576">
        <w:rPr>
          <w:rFonts w:ascii="Calibri" w:hAnsi="Calibri"/>
        </w:rPr>
        <w:t>IOF</w:t>
      </w:r>
      <w:r w:rsidR="000A1B0D" w:rsidRPr="0079266B">
        <w:rPr>
          <w:rFonts w:ascii="Calibri" w:hAnsi="Calibri"/>
        </w:rPr>
        <w:t xml:space="preserve"> banned him from travel</w:t>
      </w:r>
      <w:r w:rsidR="00563526" w:rsidRPr="0079266B">
        <w:rPr>
          <w:rFonts w:ascii="Calibri" w:hAnsi="Calibri"/>
        </w:rPr>
        <w:t>ling</w:t>
      </w:r>
      <w:r w:rsidR="000A1B0D" w:rsidRPr="0079266B">
        <w:rPr>
          <w:rFonts w:ascii="Calibri" w:hAnsi="Calibri"/>
        </w:rPr>
        <w:t xml:space="preserve"> under the guise of “security.” In October 2016, Ahmed was summoned by the Israeli intelligence services. During a nearly seven-hour-long i</w:t>
      </w:r>
      <w:r w:rsidR="00563526" w:rsidRPr="0079266B">
        <w:rPr>
          <w:rFonts w:ascii="Calibri" w:hAnsi="Calibri"/>
        </w:rPr>
        <w:t xml:space="preserve">nterrogation, </w:t>
      </w:r>
      <w:r w:rsidR="00CE7576">
        <w:rPr>
          <w:rFonts w:ascii="Calibri" w:hAnsi="Calibri"/>
        </w:rPr>
        <w:t>he</w:t>
      </w:r>
      <w:r w:rsidR="00563526" w:rsidRPr="0079266B">
        <w:rPr>
          <w:rFonts w:ascii="Calibri" w:hAnsi="Calibri"/>
        </w:rPr>
        <w:t xml:space="preserve"> was strip-</w:t>
      </w:r>
      <w:r w:rsidR="000A1B0D" w:rsidRPr="0079266B">
        <w:rPr>
          <w:rFonts w:ascii="Calibri" w:hAnsi="Calibri"/>
        </w:rPr>
        <w:t xml:space="preserve">searched and had all of his medicines taken away from him. An </w:t>
      </w:r>
      <w:r w:rsidR="00E76B56">
        <w:rPr>
          <w:rFonts w:ascii="Calibri" w:hAnsi="Calibri"/>
        </w:rPr>
        <w:t xml:space="preserve">Israeli </w:t>
      </w:r>
      <w:r w:rsidR="000A1B0D" w:rsidRPr="0079266B">
        <w:rPr>
          <w:rFonts w:ascii="Calibri" w:hAnsi="Calibri"/>
        </w:rPr>
        <w:t xml:space="preserve">intelligence officer said to him: “we know that your health condition is very difficult and we are ready to [...] give you the best doctors in exchange for your cooperation with us.” Ahmed refused to provide the officer with information about his neighbours, acquaintances, and family members, telling </w:t>
      </w:r>
      <w:r w:rsidR="008E2BFE">
        <w:rPr>
          <w:rFonts w:ascii="Calibri" w:hAnsi="Calibri"/>
        </w:rPr>
        <w:t>him</w:t>
      </w:r>
      <w:r w:rsidR="000A1B0D" w:rsidRPr="0079266B">
        <w:rPr>
          <w:rFonts w:ascii="Calibri" w:hAnsi="Calibri"/>
        </w:rPr>
        <w:t xml:space="preserve"> that he preferred to die rather than to become a collaborator. As Ahmed’s con</w:t>
      </w:r>
      <w:r w:rsidR="00563526" w:rsidRPr="0079266B">
        <w:rPr>
          <w:rFonts w:ascii="Calibri" w:hAnsi="Calibri"/>
        </w:rPr>
        <w:t xml:space="preserve">dition continued to deteriorate, </w:t>
      </w:r>
      <w:r w:rsidR="000A1B0D" w:rsidRPr="0079266B">
        <w:rPr>
          <w:rFonts w:ascii="Calibri" w:hAnsi="Calibri"/>
        </w:rPr>
        <w:t>surgery dates were rescheduled by the hospital in the hopes that he would receive permission to travel. Instead, Ahmed’s mother was summone</w:t>
      </w:r>
      <w:r w:rsidR="00563526" w:rsidRPr="0079266B">
        <w:rPr>
          <w:rFonts w:ascii="Calibri" w:hAnsi="Calibri"/>
        </w:rPr>
        <w:t>d by the IOF. After being strip-</w:t>
      </w:r>
      <w:r w:rsidR="000A1B0D" w:rsidRPr="0079266B">
        <w:rPr>
          <w:rFonts w:ascii="Calibri" w:hAnsi="Calibri"/>
        </w:rPr>
        <w:t>searched</w:t>
      </w:r>
      <w:r w:rsidR="00563526" w:rsidRPr="0079266B">
        <w:rPr>
          <w:rFonts w:ascii="Calibri" w:hAnsi="Calibri"/>
        </w:rPr>
        <w:t xml:space="preserve"> herself</w:t>
      </w:r>
      <w:r w:rsidR="000A1B0D" w:rsidRPr="0079266B">
        <w:rPr>
          <w:rFonts w:ascii="Calibri" w:hAnsi="Calibri"/>
        </w:rPr>
        <w:t xml:space="preserve">, the IOF offered </w:t>
      </w:r>
      <w:r w:rsidR="00FD5007">
        <w:rPr>
          <w:rFonts w:ascii="Calibri" w:hAnsi="Calibri"/>
        </w:rPr>
        <w:t xml:space="preserve">for </w:t>
      </w:r>
      <w:r w:rsidR="000A1B0D" w:rsidRPr="0079266B">
        <w:rPr>
          <w:rFonts w:ascii="Calibri" w:hAnsi="Calibri"/>
        </w:rPr>
        <w:t>her to become a collaborator in e</w:t>
      </w:r>
      <w:r w:rsidR="00563526" w:rsidRPr="0079266B">
        <w:rPr>
          <w:rFonts w:ascii="Calibri" w:hAnsi="Calibri"/>
        </w:rPr>
        <w:t xml:space="preserve">xchange for her son’s treatment, which she </w:t>
      </w:r>
      <w:r w:rsidR="00563526" w:rsidRPr="0079266B">
        <w:rPr>
          <w:rFonts w:ascii="Calibri" w:hAnsi="Calibri"/>
        </w:rPr>
        <w:lastRenderedPageBreak/>
        <w:t>also</w:t>
      </w:r>
      <w:r w:rsidR="000A1B0D" w:rsidRPr="0079266B">
        <w:rPr>
          <w:rFonts w:ascii="Calibri" w:hAnsi="Calibri"/>
        </w:rPr>
        <w:t xml:space="preserve"> refused. Although human rights organizations and the World Health Organization intervened in Ahmed’s case and urged Israel to allow Ahmed to travel, the travel ban was not lifted</w:t>
      </w:r>
      <w:r w:rsidR="00563526" w:rsidRPr="0079266B">
        <w:rPr>
          <w:rFonts w:ascii="Calibri" w:hAnsi="Calibri"/>
        </w:rPr>
        <w:t xml:space="preserve"> and </w:t>
      </w:r>
      <w:r w:rsidR="000A1B0D" w:rsidRPr="0079266B">
        <w:rPr>
          <w:rFonts w:ascii="Calibri" w:hAnsi="Calibri"/>
        </w:rPr>
        <w:t>Ahmed passed away on 14 January 2017.</w:t>
      </w:r>
      <w:r w:rsidR="00563526" w:rsidRPr="0079266B">
        <w:rPr>
          <w:rFonts w:ascii="Calibri" w:hAnsi="Calibri"/>
        </w:rPr>
        <w:t xml:space="preserve"> (Al-Haq Affidavit No. 30/2017)</w:t>
      </w:r>
    </w:p>
    <w:p w:rsidR="00863792" w:rsidRPr="00DC2478" w:rsidRDefault="00240515" w:rsidP="00487CA4">
      <w:pPr>
        <w:rPr>
          <w:rFonts w:ascii="Calibri" w:hAnsi="Calibri"/>
        </w:rPr>
      </w:pPr>
      <w:r w:rsidRPr="0079266B">
        <w:rPr>
          <w:rFonts w:ascii="Calibri" w:hAnsi="Calibri"/>
        </w:rPr>
        <w:t xml:space="preserve">Al-Haq </w:t>
      </w:r>
      <w:r w:rsidR="00CE7576">
        <w:rPr>
          <w:rFonts w:ascii="Calibri" w:hAnsi="Calibri"/>
        </w:rPr>
        <w:t xml:space="preserve">has </w:t>
      </w:r>
      <w:r w:rsidR="00C02A07" w:rsidRPr="0079266B">
        <w:rPr>
          <w:rFonts w:ascii="Calibri" w:hAnsi="Calibri"/>
        </w:rPr>
        <w:t xml:space="preserve">also </w:t>
      </w:r>
      <w:r w:rsidR="008E2BFE">
        <w:rPr>
          <w:rFonts w:ascii="Calibri" w:hAnsi="Calibri"/>
        </w:rPr>
        <w:t>documented</w:t>
      </w:r>
      <w:r w:rsidR="00FD5007">
        <w:rPr>
          <w:rFonts w:ascii="Calibri" w:hAnsi="Calibri"/>
        </w:rPr>
        <w:t xml:space="preserve"> </w:t>
      </w:r>
      <w:r w:rsidRPr="0079266B">
        <w:rPr>
          <w:rFonts w:ascii="Calibri" w:hAnsi="Calibri"/>
        </w:rPr>
        <w:t xml:space="preserve">cases in which </w:t>
      </w:r>
      <w:r w:rsidR="00337660" w:rsidRPr="0079266B">
        <w:rPr>
          <w:rFonts w:ascii="Calibri" w:hAnsi="Calibri"/>
        </w:rPr>
        <w:t xml:space="preserve">Israel not only denied </w:t>
      </w:r>
      <w:r w:rsidRPr="0079266B">
        <w:rPr>
          <w:rFonts w:ascii="Calibri" w:hAnsi="Calibri"/>
        </w:rPr>
        <w:t>patients</w:t>
      </w:r>
      <w:r w:rsidR="00337660" w:rsidRPr="0079266B">
        <w:rPr>
          <w:rFonts w:ascii="Calibri" w:hAnsi="Calibri"/>
        </w:rPr>
        <w:t xml:space="preserve"> from</w:t>
      </w:r>
      <w:r w:rsidR="00FD5007">
        <w:rPr>
          <w:rFonts w:ascii="Calibri" w:hAnsi="Calibri"/>
        </w:rPr>
        <w:t xml:space="preserve"> </w:t>
      </w:r>
      <w:r w:rsidR="00337660" w:rsidRPr="0079266B">
        <w:rPr>
          <w:rFonts w:ascii="Calibri" w:hAnsi="Calibri"/>
        </w:rPr>
        <w:t>leaving</w:t>
      </w:r>
      <w:r w:rsidRPr="0079266B">
        <w:rPr>
          <w:rFonts w:ascii="Calibri" w:hAnsi="Calibri"/>
        </w:rPr>
        <w:t xml:space="preserve"> Gaza </w:t>
      </w:r>
      <w:r w:rsidR="00337660" w:rsidRPr="0079266B">
        <w:rPr>
          <w:rFonts w:ascii="Calibri" w:hAnsi="Calibri"/>
        </w:rPr>
        <w:t>to receive treatment</w:t>
      </w:r>
      <w:r w:rsidR="00487CA4">
        <w:rPr>
          <w:rFonts w:ascii="Calibri" w:hAnsi="Calibri"/>
        </w:rPr>
        <w:t>,</w:t>
      </w:r>
      <w:r w:rsidR="00337660" w:rsidRPr="0079266B">
        <w:rPr>
          <w:rFonts w:ascii="Calibri" w:hAnsi="Calibri"/>
        </w:rPr>
        <w:t xml:space="preserve"> </w:t>
      </w:r>
      <w:r w:rsidRPr="0079266B">
        <w:rPr>
          <w:rFonts w:ascii="Calibri" w:hAnsi="Calibri"/>
        </w:rPr>
        <w:t xml:space="preserve">but also arrested and detained </w:t>
      </w:r>
      <w:r w:rsidR="00337660" w:rsidRPr="0079266B">
        <w:rPr>
          <w:rFonts w:ascii="Calibri" w:hAnsi="Calibri"/>
        </w:rPr>
        <w:t xml:space="preserve">them </w:t>
      </w:r>
      <w:r w:rsidR="00487CA4">
        <w:rPr>
          <w:rFonts w:ascii="Calibri" w:hAnsi="Calibri"/>
        </w:rPr>
        <w:t xml:space="preserve">when attempting to exit, and </w:t>
      </w:r>
      <w:r w:rsidRPr="0079266B">
        <w:rPr>
          <w:rFonts w:ascii="Calibri" w:hAnsi="Calibri"/>
        </w:rPr>
        <w:t xml:space="preserve">without </w:t>
      </w:r>
      <w:r w:rsidR="00487CA4">
        <w:rPr>
          <w:rFonts w:ascii="Calibri" w:hAnsi="Calibri"/>
        </w:rPr>
        <w:t xml:space="preserve">immediately informing </w:t>
      </w:r>
      <w:r w:rsidRPr="0079266B">
        <w:rPr>
          <w:rFonts w:ascii="Calibri" w:hAnsi="Calibri"/>
        </w:rPr>
        <w:t>their family me</w:t>
      </w:r>
      <w:r w:rsidR="00C02A07" w:rsidRPr="0079266B">
        <w:rPr>
          <w:rFonts w:ascii="Calibri" w:hAnsi="Calibri"/>
        </w:rPr>
        <w:t xml:space="preserve">mbers </w:t>
      </w:r>
      <w:r w:rsidR="00487CA4">
        <w:rPr>
          <w:rFonts w:ascii="Calibri" w:hAnsi="Calibri"/>
        </w:rPr>
        <w:t>of their whereabouts</w:t>
      </w:r>
      <w:r w:rsidR="00C02A07" w:rsidRPr="0079266B">
        <w:rPr>
          <w:rFonts w:ascii="Calibri" w:hAnsi="Calibri"/>
        </w:rPr>
        <w:t>.</w:t>
      </w:r>
      <w:r w:rsidR="00E5725B">
        <w:rPr>
          <w:rFonts w:ascii="Calibri" w:hAnsi="Calibri"/>
        </w:rPr>
        <w:t xml:space="preserve"> For</w:t>
      </w:r>
      <w:r w:rsidR="00CE7576">
        <w:rPr>
          <w:rFonts w:ascii="Calibri" w:hAnsi="Calibri"/>
        </w:rPr>
        <w:t xml:space="preserve"> example</w:t>
      </w:r>
      <w:r w:rsidR="00337660" w:rsidRPr="0079266B">
        <w:rPr>
          <w:rFonts w:ascii="Calibri" w:hAnsi="Calibri"/>
        </w:rPr>
        <w:t xml:space="preserve">, </w:t>
      </w:r>
      <w:r w:rsidR="003C27C1" w:rsidRPr="0079266B">
        <w:rPr>
          <w:rFonts w:ascii="Calibri" w:hAnsi="Calibri"/>
        </w:rPr>
        <w:t xml:space="preserve">Mohammad Abu </w:t>
      </w:r>
      <w:proofErr w:type="spellStart"/>
      <w:r w:rsidR="003C27C1" w:rsidRPr="0079266B">
        <w:rPr>
          <w:rFonts w:ascii="Calibri" w:hAnsi="Calibri"/>
        </w:rPr>
        <w:t>Odeh</w:t>
      </w:r>
      <w:proofErr w:type="spellEnd"/>
      <w:r w:rsidR="003C27C1" w:rsidRPr="0079266B">
        <w:rPr>
          <w:rFonts w:ascii="Calibri" w:hAnsi="Calibri"/>
        </w:rPr>
        <w:t xml:space="preserve">, 33, </w:t>
      </w:r>
      <w:r w:rsidR="00732792" w:rsidRPr="0079266B">
        <w:rPr>
          <w:rFonts w:ascii="Calibri" w:hAnsi="Calibri"/>
        </w:rPr>
        <w:t xml:space="preserve">a Gaza fisherman and father of three, </w:t>
      </w:r>
      <w:r w:rsidR="00CE7576">
        <w:rPr>
          <w:rFonts w:ascii="Calibri" w:hAnsi="Calibri"/>
        </w:rPr>
        <w:t>had</w:t>
      </w:r>
      <w:r w:rsidR="003C27C1" w:rsidRPr="0079266B">
        <w:rPr>
          <w:rFonts w:ascii="Calibri" w:hAnsi="Calibri"/>
        </w:rPr>
        <w:t xml:space="preserve"> been suffering </w:t>
      </w:r>
      <w:r w:rsidR="00561B75" w:rsidRPr="0079266B">
        <w:rPr>
          <w:rFonts w:ascii="Calibri" w:hAnsi="Calibri"/>
        </w:rPr>
        <w:t xml:space="preserve">from cartilage in the fourth and fifth vertebrae and </w:t>
      </w:r>
      <w:r w:rsidR="00637127" w:rsidRPr="0079266B">
        <w:rPr>
          <w:rFonts w:ascii="Calibri" w:hAnsi="Calibri"/>
        </w:rPr>
        <w:t xml:space="preserve">from </w:t>
      </w:r>
      <w:r w:rsidR="00561B75" w:rsidRPr="0079266B">
        <w:rPr>
          <w:rFonts w:ascii="Calibri" w:hAnsi="Calibri"/>
        </w:rPr>
        <w:t>narrowing of the spinal canal</w:t>
      </w:r>
      <w:r w:rsidR="00FD5007">
        <w:rPr>
          <w:rFonts w:ascii="Calibri" w:hAnsi="Calibri"/>
        </w:rPr>
        <w:t xml:space="preserve"> </w:t>
      </w:r>
      <w:r w:rsidR="00CE7576" w:rsidRPr="0079266B">
        <w:rPr>
          <w:rFonts w:ascii="Calibri" w:hAnsi="Calibri"/>
        </w:rPr>
        <w:t>for five years</w:t>
      </w:r>
      <w:r w:rsidR="00561B75" w:rsidRPr="0079266B">
        <w:rPr>
          <w:rFonts w:ascii="Calibri" w:hAnsi="Calibri"/>
        </w:rPr>
        <w:t>.</w:t>
      </w:r>
      <w:r w:rsidR="00FD5007">
        <w:rPr>
          <w:rFonts w:ascii="Calibri" w:hAnsi="Calibri"/>
        </w:rPr>
        <w:t xml:space="preserve"> </w:t>
      </w:r>
      <w:r w:rsidR="00337660" w:rsidRPr="0079266B">
        <w:rPr>
          <w:rFonts w:ascii="Calibri" w:hAnsi="Calibri"/>
        </w:rPr>
        <w:t xml:space="preserve">In early 2016, </w:t>
      </w:r>
      <w:r w:rsidR="00EF2163" w:rsidRPr="0079266B">
        <w:rPr>
          <w:rFonts w:ascii="Calibri" w:hAnsi="Calibri"/>
        </w:rPr>
        <w:t>Mohammad’s</w:t>
      </w:r>
      <w:r w:rsidR="00C8151E" w:rsidRPr="0079266B">
        <w:rPr>
          <w:rFonts w:ascii="Calibri" w:hAnsi="Calibri"/>
        </w:rPr>
        <w:t xml:space="preserve"> doctors </w:t>
      </w:r>
      <w:r w:rsidR="00732792" w:rsidRPr="0079266B">
        <w:rPr>
          <w:rFonts w:ascii="Calibri" w:hAnsi="Calibri"/>
        </w:rPr>
        <w:t>in Gaza determined that he would need</w:t>
      </w:r>
      <w:r w:rsidR="00C8151E" w:rsidRPr="0079266B">
        <w:rPr>
          <w:rFonts w:ascii="Calibri" w:hAnsi="Calibri"/>
        </w:rPr>
        <w:t xml:space="preserve"> surgery for which they recommended a medical refe</w:t>
      </w:r>
      <w:r w:rsidR="00E55F50" w:rsidRPr="0079266B">
        <w:rPr>
          <w:rFonts w:ascii="Calibri" w:hAnsi="Calibri"/>
        </w:rPr>
        <w:t xml:space="preserve">rral </w:t>
      </w:r>
      <w:r w:rsidR="00732792" w:rsidRPr="0079266B">
        <w:rPr>
          <w:rFonts w:ascii="Calibri" w:hAnsi="Calibri"/>
        </w:rPr>
        <w:t xml:space="preserve">for treatment </w:t>
      </w:r>
      <w:r w:rsidR="00E55F50" w:rsidRPr="0079266B">
        <w:rPr>
          <w:rFonts w:ascii="Calibri" w:hAnsi="Calibri"/>
        </w:rPr>
        <w:t>outside of the Gaza Strip</w:t>
      </w:r>
      <w:r w:rsidR="00732792" w:rsidRPr="0079266B">
        <w:rPr>
          <w:rFonts w:ascii="Calibri" w:hAnsi="Calibri"/>
        </w:rPr>
        <w:t xml:space="preserve">. </w:t>
      </w:r>
      <w:r w:rsidR="00FF6864">
        <w:rPr>
          <w:rFonts w:ascii="Calibri" w:hAnsi="Calibri"/>
        </w:rPr>
        <w:t>His</w:t>
      </w:r>
      <w:r w:rsidR="00FD5007">
        <w:rPr>
          <w:rFonts w:ascii="Calibri" w:hAnsi="Calibri"/>
        </w:rPr>
        <w:t xml:space="preserve"> </w:t>
      </w:r>
      <w:r w:rsidR="00732792" w:rsidRPr="0079266B">
        <w:rPr>
          <w:rFonts w:ascii="Calibri" w:hAnsi="Calibri"/>
        </w:rPr>
        <w:t xml:space="preserve">medical </w:t>
      </w:r>
      <w:r w:rsidR="00E55F50" w:rsidRPr="0079266B">
        <w:rPr>
          <w:rFonts w:ascii="Calibri" w:hAnsi="Calibri"/>
        </w:rPr>
        <w:t>referral</w:t>
      </w:r>
      <w:r w:rsidR="00FF6864">
        <w:rPr>
          <w:rFonts w:ascii="Calibri" w:hAnsi="Calibri"/>
        </w:rPr>
        <w:t xml:space="preserve"> was approved and</w:t>
      </w:r>
      <w:r w:rsidR="00FD5007">
        <w:rPr>
          <w:rFonts w:ascii="Calibri" w:hAnsi="Calibri"/>
        </w:rPr>
        <w:t xml:space="preserve"> </w:t>
      </w:r>
      <w:r w:rsidR="00C8151E" w:rsidRPr="0079266B">
        <w:rPr>
          <w:rFonts w:ascii="Calibri" w:hAnsi="Calibri"/>
        </w:rPr>
        <w:t xml:space="preserve">Mohammad presented himself at Beit </w:t>
      </w:r>
      <w:proofErr w:type="spellStart"/>
      <w:r w:rsidR="00C8151E" w:rsidRPr="0079266B">
        <w:rPr>
          <w:rFonts w:ascii="Calibri" w:hAnsi="Calibri"/>
        </w:rPr>
        <w:t>Hanoun</w:t>
      </w:r>
      <w:proofErr w:type="spellEnd"/>
      <w:r w:rsidR="00C8151E" w:rsidRPr="0079266B">
        <w:rPr>
          <w:rFonts w:ascii="Calibri" w:hAnsi="Calibri"/>
        </w:rPr>
        <w:t xml:space="preserve"> “</w:t>
      </w:r>
      <w:proofErr w:type="spellStart"/>
      <w:r w:rsidR="00C8151E" w:rsidRPr="0079266B">
        <w:rPr>
          <w:rFonts w:ascii="Calibri" w:hAnsi="Calibri"/>
        </w:rPr>
        <w:t>Erez</w:t>
      </w:r>
      <w:proofErr w:type="spellEnd"/>
      <w:r w:rsidR="00C8151E" w:rsidRPr="0079266B">
        <w:rPr>
          <w:rFonts w:ascii="Calibri" w:hAnsi="Calibri"/>
        </w:rPr>
        <w:t xml:space="preserve">” Border Crossing </w:t>
      </w:r>
      <w:r w:rsidR="00E55F50" w:rsidRPr="0079266B">
        <w:rPr>
          <w:rFonts w:ascii="Calibri" w:hAnsi="Calibri"/>
        </w:rPr>
        <w:t xml:space="preserve">on 28 March 2016 </w:t>
      </w:r>
      <w:r w:rsidR="00C8151E" w:rsidRPr="0079266B">
        <w:rPr>
          <w:rFonts w:ascii="Calibri" w:hAnsi="Calibri"/>
        </w:rPr>
        <w:t xml:space="preserve">in the company of his father, </w:t>
      </w:r>
      <w:proofErr w:type="spellStart"/>
      <w:r w:rsidR="00C8151E" w:rsidRPr="0079266B">
        <w:rPr>
          <w:rFonts w:ascii="Calibri" w:hAnsi="Calibri"/>
        </w:rPr>
        <w:t>Kamel</w:t>
      </w:r>
      <w:proofErr w:type="spellEnd"/>
      <w:r w:rsidR="00C8151E" w:rsidRPr="0079266B">
        <w:rPr>
          <w:rFonts w:ascii="Calibri" w:hAnsi="Calibri"/>
        </w:rPr>
        <w:t xml:space="preserve"> Abu </w:t>
      </w:r>
      <w:proofErr w:type="spellStart"/>
      <w:r w:rsidR="00C8151E" w:rsidRPr="0079266B">
        <w:rPr>
          <w:rFonts w:ascii="Calibri" w:hAnsi="Calibri"/>
        </w:rPr>
        <w:t>Odeh</w:t>
      </w:r>
      <w:proofErr w:type="spellEnd"/>
      <w:r w:rsidR="00C8151E" w:rsidRPr="0079266B">
        <w:rPr>
          <w:rFonts w:ascii="Calibri" w:hAnsi="Calibri"/>
        </w:rPr>
        <w:t xml:space="preserve">. </w:t>
      </w:r>
      <w:r w:rsidR="00FF6864">
        <w:rPr>
          <w:rFonts w:ascii="Calibri" w:hAnsi="Calibri"/>
        </w:rPr>
        <w:t>After undergoing</w:t>
      </w:r>
      <w:r w:rsidR="00732792" w:rsidRPr="0079266B">
        <w:rPr>
          <w:rFonts w:ascii="Calibri" w:hAnsi="Calibri"/>
        </w:rPr>
        <w:t xml:space="preserve"> Israeli search procedures</w:t>
      </w:r>
      <w:r w:rsidR="00FF6864">
        <w:rPr>
          <w:rFonts w:ascii="Calibri" w:hAnsi="Calibri"/>
        </w:rPr>
        <w:t>,</w:t>
      </w:r>
      <w:r w:rsidR="00B80520">
        <w:rPr>
          <w:rFonts w:ascii="Calibri" w:hAnsi="Calibri"/>
        </w:rPr>
        <w:t xml:space="preserve"> </w:t>
      </w:r>
      <w:r w:rsidR="00FF6864">
        <w:rPr>
          <w:rFonts w:ascii="Calibri" w:hAnsi="Calibri"/>
        </w:rPr>
        <w:t>an Israeli</w:t>
      </w:r>
      <w:r w:rsidR="00B80520">
        <w:rPr>
          <w:rFonts w:ascii="Calibri" w:hAnsi="Calibri"/>
        </w:rPr>
        <w:t xml:space="preserve"> </w:t>
      </w:r>
      <w:r w:rsidR="00732792" w:rsidRPr="0079266B">
        <w:rPr>
          <w:rFonts w:ascii="Calibri" w:hAnsi="Calibri"/>
        </w:rPr>
        <w:t>officer made them wait for an hour and a half</w:t>
      </w:r>
      <w:r w:rsidR="00FF6864">
        <w:rPr>
          <w:rFonts w:ascii="Calibri" w:hAnsi="Calibri"/>
        </w:rPr>
        <w:t>.</w:t>
      </w:r>
      <w:r w:rsidR="00FD5007">
        <w:rPr>
          <w:rFonts w:ascii="Calibri" w:hAnsi="Calibri"/>
        </w:rPr>
        <w:t xml:space="preserve"> </w:t>
      </w:r>
      <w:r w:rsidR="00FF6864">
        <w:rPr>
          <w:rFonts w:ascii="Calibri" w:hAnsi="Calibri"/>
        </w:rPr>
        <w:t xml:space="preserve">Then, </w:t>
      </w:r>
      <w:r w:rsidR="00673336" w:rsidRPr="0079266B">
        <w:rPr>
          <w:rFonts w:ascii="Calibri" w:hAnsi="Calibri"/>
        </w:rPr>
        <w:t>two members of the Israeli security approached them in civilian clothing</w:t>
      </w:r>
      <w:r w:rsidR="00A16DBE">
        <w:rPr>
          <w:rFonts w:ascii="Calibri" w:hAnsi="Calibri"/>
        </w:rPr>
        <w:t xml:space="preserve"> and </w:t>
      </w:r>
      <w:r w:rsidR="00673336" w:rsidRPr="0079266B">
        <w:rPr>
          <w:rFonts w:ascii="Calibri" w:hAnsi="Calibri"/>
        </w:rPr>
        <w:t xml:space="preserve">asked Mohammad to accompany them with his suitcase to another part of the </w:t>
      </w:r>
      <w:r w:rsidR="008E2BFE">
        <w:rPr>
          <w:rFonts w:ascii="Calibri" w:hAnsi="Calibri"/>
        </w:rPr>
        <w:t>C</w:t>
      </w:r>
      <w:r w:rsidR="00673336" w:rsidRPr="0079266B">
        <w:rPr>
          <w:rFonts w:ascii="Calibri" w:hAnsi="Calibri"/>
        </w:rPr>
        <w:t xml:space="preserve">rossing. </w:t>
      </w:r>
      <w:r w:rsidR="00A16DBE">
        <w:rPr>
          <w:rFonts w:ascii="Calibri" w:hAnsi="Calibri"/>
        </w:rPr>
        <w:t>After a seven-hour-long wait</w:t>
      </w:r>
      <w:r w:rsidR="00673336" w:rsidRPr="0079266B">
        <w:rPr>
          <w:rFonts w:ascii="Calibri" w:hAnsi="Calibri"/>
        </w:rPr>
        <w:t xml:space="preserve">, </w:t>
      </w:r>
      <w:r w:rsidR="00732792" w:rsidRPr="0079266B">
        <w:rPr>
          <w:rFonts w:ascii="Calibri" w:hAnsi="Calibri"/>
        </w:rPr>
        <w:t>an Israeli security officer</w:t>
      </w:r>
      <w:r w:rsidR="00FD5007">
        <w:rPr>
          <w:rFonts w:ascii="Calibri" w:hAnsi="Calibri"/>
        </w:rPr>
        <w:t xml:space="preserve"> </w:t>
      </w:r>
      <w:r w:rsidR="00673336" w:rsidRPr="0079266B">
        <w:rPr>
          <w:rFonts w:ascii="Calibri" w:hAnsi="Calibri"/>
        </w:rPr>
        <w:t xml:space="preserve">approached </w:t>
      </w:r>
      <w:proofErr w:type="spellStart"/>
      <w:r w:rsidR="00A16DBE">
        <w:rPr>
          <w:rFonts w:ascii="Calibri" w:hAnsi="Calibri"/>
        </w:rPr>
        <w:t>Kamel</w:t>
      </w:r>
      <w:proofErr w:type="spellEnd"/>
      <w:r w:rsidR="00FD5007">
        <w:rPr>
          <w:rFonts w:ascii="Calibri" w:hAnsi="Calibri"/>
        </w:rPr>
        <w:t xml:space="preserve"> </w:t>
      </w:r>
      <w:r w:rsidR="00673336" w:rsidRPr="0079266B">
        <w:rPr>
          <w:rFonts w:ascii="Calibri" w:hAnsi="Calibri"/>
        </w:rPr>
        <w:t>again</w:t>
      </w:r>
      <w:r w:rsidR="00C56BC6">
        <w:rPr>
          <w:rFonts w:ascii="Calibri" w:hAnsi="Calibri"/>
        </w:rPr>
        <w:t>,</w:t>
      </w:r>
      <w:r w:rsidR="00673336" w:rsidRPr="0079266B">
        <w:rPr>
          <w:rFonts w:ascii="Calibri" w:hAnsi="Calibri"/>
        </w:rPr>
        <w:t xml:space="preserve"> gave </w:t>
      </w:r>
      <w:r w:rsidR="00C56BC6">
        <w:rPr>
          <w:rFonts w:ascii="Calibri" w:hAnsi="Calibri"/>
        </w:rPr>
        <w:t xml:space="preserve">him </w:t>
      </w:r>
      <w:r w:rsidR="00673336" w:rsidRPr="0079266B">
        <w:rPr>
          <w:rFonts w:ascii="Calibri" w:hAnsi="Calibri"/>
        </w:rPr>
        <w:t xml:space="preserve">back </w:t>
      </w:r>
      <w:r w:rsidR="00C56BC6">
        <w:rPr>
          <w:rFonts w:ascii="Calibri" w:hAnsi="Calibri"/>
        </w:rPr>
        <w:t>hi</w:t>
      </w:r>
      <w:r w:rsidR="00C56BC6" w:rsidRPr="0079266B">
        <w:rPr>
          <w:rFonts w:ascii="Calibri" w:hAnsi="Calibri"/>
        </w:rPr>
        <w:t xml:space="preserve">s </w:t>
      </w:r>
      <w:r w:rsidR="00673336" w:rsidRPr="0079266B">
        <w:rPr>
          <w:rFonts w:ascii="Calibri" w:hAnsi="Calibri"/>
        </w:rPr>
        <w:t>identity document without his travel permit</w:t>
      </w:r>
      <w:r w:rsidR="00C56BC6">
        <w:rPr>
          <w:rFonts w:ascii="Calibri" w:hAnsi="Calibri"/>
        </w:rPr>
        <w:t>,</w:t>
      </w:r>
      <w:r w:rsidR="00673336" w:rsidRPr="0079266B">
        <w:rPr>
          <w:rFonts w:ascii="Calibri" w:hAnsi="Calibri"/>
        </w:rPr>
        <w:t xml:space="preserve"> and ordered him to </w:t>
      </w:r>
      <w:r w:rsidR="00732792" w:rsidRPr="0079266B">
        <w:rPr>
          <w:rFonts w:ascii="Calibri" w:hAnsi="Calibri"/>
        </w:rPr>
        <w:t>return</w:t>
      </w:r>
      <w:r w:rsidR="00673336" w:rsidRPr="0079266B">
        <w:rPr>
          <w:rFonts w:ascii="Calibri" w:hAnsi="Calibri"/>
        </w:rPr>
        <w:t xml:space="preserve"> to Gaza</w:t>
      </w:r>
      <w:r w:rsidR="00863792">
        <w:rPr>
          <w:rFonts w:ascii="Calibri" w:hAnsi="Calibri"/>
        </w:rPr>
        <w:t xml:space="preserve"> without his son</w:t>
      </w:r>
      <w:r w:rsidR="00673336" w:rsidRPr="0079266B">
        <w:rPr>
          <w:rFonts w:ascii="Calibri" w:hAnsi="Calibri"/>
        </w:rPr>
        <w:t xml:space="preserve">. He told </w:t>
      </w:r>
      <w:proofErr w:type="spellStart"/>
      <w:r w:rsidR="00673336" w:rsidRPr="0079266B">
        <w:rPr>
          <w:rFonts w:ascii="Calibri" w:hAnsi="Calibri"/>
        </w:rPr>
        <w:t>Kamel</w:t>
      </w:r>
      <w:proofErr w:type="spellEnd"/>
      <w:r w:rsidR="00673336" w:rsidRPr="0079266B">
        <w:rPr>
          <w:rFonts w:ascii="Calibri" w:hAnsi="Calibri"/>
        </w:rPr>
        <w:t xml:space="preserve"> that his son was still undergoing a number of procedures</w:t>
      </w:r>
      <w:r w:rsidR="00C56BC6">
        <w:rPr>
          <w:rFonts w:ascii="Calibri" w:hAnsi="Calibri"/>
        </w:rPr>
        <w:t>,</w:t>
      </w:r>
      <w:r w:rsidR="00673336" w:rsidRPr="0079266B">
        <w:rPr>
          <w:rFonts w:ascii="Calibri" w:hAnsi="Calibri"/>
        </w:rPr>
        <w:t xml:space="preserve"> but </w:t>
      </w:r>
      <w:r w:rsidR="00863792">
        <w:rPr>
          <w:rFonts w:ascii="Calibri" w:hAnsi="Calibri"/>
        </w:rPr>
        <w:t xml:space="preserve">reassured him </w:t>
      </w:r>
      <w:r w:rsidR="00673336" w:rsidRPr="0079266B">
        <w:rPr>
          <w:rFonts w:ascii="Calibri" w:hAnsi="Calibri"/>
        </w:rPr>
        <w:t xml:space="preserve">that </w:t>
      </w:r>
      <w:r w:rsidR="00863792">
        <w:rPr>
          <w:rFonts w:ascii="Calibri" w:hAnsi="Calibri"/>
        </w:rPr>
        <w:t>the authorities</w:t>
      </w:r>
      <w:r w:rsidR="00673336" w:rsidRPr="0079266B">
        <w:rPr>
          <w:rFonts w:ascii="Calibri" w:hAnsi="Calibri"/>
        </w:rPr>
        <w:t xml:space="preserve"> would allow him to return to Gaza within half an hour. </w:t>
      </w:r>
      <w:proofErr w:type="spellStart"/>
      <w:r w:rsidR="00673336" w:rsidRPr="0079266B">
        <w:rPr>
          <w:rFonts w:ascii="Calibri" w:hAnsi="Calibri"/>
        </w:rPr>
        <w:t>Kamel</w:t>
      </w:r>
      <w:proofErr w:type="spellEnd"/>
      <w:r w:rsidR="00673336" w:rsidRPr="0079266B">
        <w:rPr>
          <w:rFonts w:ascii="Calibri" w:hAnsi="Calibri"/>
        </w:rPr>
        <w:t xml:space="preserve"> </w:t>
      </w:r>
      <w:r w:rsidR="00E029C7" w:rsidRPr="0079266B">
        <w:rPr>
          <w:rFonts w:ascii="Calibri" w:hAnsi="Calibri"/>
        </w:rPr>
        <w:t>returned to his home in Rafah</w:t>
      </w:r>
      <w:r w:rsidR="00C56BC6">
        <w:rPr>
          <w:rFonts w:ascii="Calibri" w:hAnsi="Calibri"/>
        </w:rPr>
        <w:t>,</w:t>
      </w:r>
      <w:r w:rsidR="00732792" w:rsidRPr="0079266B">
        <w:rPr>
          <w:rFonts w:ascii="Calibri" w:hAnsi="Calibri"/>
        </w:rPr>
        <w:t xml:space="preserve"> </w:t>
      </w:r>
      <w:r w:rsidR="00E029C7" w:rsidRPr="0079266B">
        <w:rPr>
          <w:rFonts w:ascii="Calibri" w:hAnsi="Calibri"/>
        </w:rPr>
        <w:t xml:space="preserve">but </w:t>
      </w:r>
      <w:r w:rsidR="00C56BC6">
        <w:rPr>
          <w:rFonts w:ascii="Calibri" w:hAnsi="Calibri"/>
        </w:rPr>
        <w:t>did not hear from his son</w:t>
      </w:r>
      <w:r w:rsidR="00732792" w:rsidRPr="0079266B">
        <w:rPr>
          <w:rFonts w:ascii="Calibri" w:hAnsi="Calibri"/>
        </w:rPr>
        <w:t xml:space="preserve"> </w:t>
      </w:r>
      <w:r w:rsidR="00E029C7" w:rsidRPr="0079266B">
        <w:rPr>
          <w:rFonts w:ascii="Calibri" w:hAnsi="Calibri"/>
        </w:rPr>
        <w:t xml:space="preserve">all evening. The following day, the Gaza District Coordination Office informed </w:t>
      </w:r>
      <w:proofErr w:type="spellStart"/>
      <w:r w:rsidR="00E029C7" w:rsidRPr="0079266B">
        <w:rPr>
          <w:rFonts w:ascii="Calibri" w:hAnsi="Calibri"/>
        </w:rPr>
        <w:t>Kamel</w:t>
      </w:r>
      <w:proofErr w:type="spellEnd"/>
      <w:r w:rsidR="00E029C7" w:rsidRPr="0079266B">
        <w:rPr>
          <w:rFonts w:ascii="Calibri" w:hAnsi="Calibri"/>
        </w:rPr>
        <w:t xml:space="preserve"> that his son </w:t>
      </w:r>
      <w:r w:rsidR="00732792" w:rsidRPr="0079266B">
        <w:rPr>
          <w:rFonts w:ascii="Calibri" w:hAnsi="Calibri"/>
        </w:rPr>
        <w:t>had</w:t>
      </w:r>
      <w:r w:rsidR="00E029C7" w:rsidRPr="0079266B">
        <w:rPr>
          <w:rFonts w:ascii="Calibri" w:hAnsi="Calibri"/>
        </w:rPr>
        <w:t xml:space="preserve"> been arrested</w:t>
      </w:r>
      <w:r w:rsidR="005A57F3">
        <w:rPr>
          <w:rFonts w:ascii="Calibri" w:hAnsi="Calibri"/>
        </w:rPr>
        <w:t xml:space="preserve">. Mohammad Abu </w:t>
      </w:r>
      <w:proofErr w:type="spellStart"/>
      <w:r w:rsidR="005A57F3">
        <w:rPr>
          <w:rFonts w:ascii="Calibri" w:hAnsi="Calibri"/>
        </w:rPr>
        <w:t>Odeh</w:t>
      </w:r>
      <w:proofErr w:type="spellEnd"/>
      <w:r w:rsidR="005A57F3">
        <w:rPr>
          <w:rFonts w:ascii="Calibri" w:hAnsi="Calibri"/>
        </w:rPr>
        <w:t xml:space="preserve"> was </w:t>
      </w:r>
      <w:r w:rsidR="00E76B56">
        <w:rPr>
          <w:rFonts w:ascii="Calibri" w:hAnsi="Calibri"/>
        </w:rPr>
        <w:t xml:space="preserve">subsequently </w:t>
      </w:r>
      <w:r w:rsidR="005A57F3">
        <w:rPr>
          <w:rFonts w:ascii="Calibri" w:hAnsi="Calibri"/>
        </w:rPr>
        <w:t xml:space="preserve">detained for 18 days </w:t>
      </w:r>
      <w:r w:rsidR="005A57F3" w:rsidRPr="0079266B">
        <w:rPr>
          <w:rFonts w:ascii="Calibri" w:hAnsi="Calibri"/>
        </w:rPr>
        <w:t>in Ashkelon pris</w:t>
      </w:r>
      <w:r w:rsidR="005A57F3">
        <w:rPr>
          <w:rFonts w:ascii="Calibri" w:hAnsi="Calibri"/>
        </w:rPr>
        <w:t xml:space="preserve">on </w:t>
      </w:r>
      <w:r w:rsidR="00C56BC6">
        <w:rPr>
          <w:rFonts w:ascii="Calibri" w:hAnsi="Calibri"/>
        </w:rPr>
        <w:t xml:space="preserve">under the pretext of </w:t>
      </w:r>
      <w:r w:rsidR="005A57F3">
        <w:rPr>
          <w:rFonts w:ascii="Calibri" w:hAnsi="Calibri"/>
        </w:rPr>
        <w:t>security-related charges.</w:t>
      </w:r>
      <w:r w:rsidR="00B80520">
        <w:rPr>
          <w:rFonts w:ascii="Calibri" w:hAnsi="Calibri"/>
        </w:rPr>
        <w:t xml:space="preserve"> </w:t>
      </w:r>
      <w:r w:rsidR="00AD0C14" w:rsidRPr="00DC2478">
        <w:rPr>
          <w:rFonts w:ascii="Calibri" w:hAnsi="Calibri"/>
        </w:rPr>
        <w:t>(Al-Haq Affidavit No. 238/2016)</w:t>
      </w:r>
    </w:p>
    <w:p w:rsidR="002A0164" w:rsidRDefault="00377474" w:rsidP="00B80520">
      <w:pPr>
        <w:rPr>
          <w:rFonts w:ascii="Calibri" w:hAnsi="Calibri"/>
        </w:rPr>
      </w:pPr>
      <w:r w:rsidRPr="0079266B">
        <w:rPr>
          <w:rFonts w:ascii="Calibri" w:hAnsi="Calibri"/>
        </w:rPr>
        <w:t xml:space="preserve">The cases of Ahmed </w:t>
      </w:r>
      <w:proofErr w:type="spellStart"/>
      <w:r w:rsidRPr="0079266B">
        <w:rPr>
          <w:rFonts w:ascii="Calibri" w:hAnsi="Calibri"/>
        </w:rPr>
        <w:t>Shubeir</w:t>
      </w:r>
      <w:proofErr w:type="spellEnd"/>
      <w:r w:rsidRPr="0079266B">
        <w:rPr>
          <w:rFonts w:ascii="Calibri" w:hAnsi="Calibri"/>
        </w:rPr>
        <w:t xml:space="preserve"> and Mohammad Abu </w:t>
      </w:r>
      <w:proofErr w:type="spellStart"/>
      <w:r w:rsidRPr="0079266B">
        <w:rPr>
          <w:rFonts w:ascii="Calibri" w:hAnsi="Calibri"/>
        </w:rPr>
        <w:t>Odeh</w:t>
      </w:r>
      <w:proofErr w:type="spellEnd"/>
      <w:r w:rsidRPr="0079266B">
        <w:rPr>
          <w:rFonts w:ascii="Calibri" w:hAnsi="Calibri"/>
        </w:rPr>
        <w:t xml:space="preserve"> are not isolated</w:t>
      </w:r>
      <w:r w:rsidR="00863792">
        <w:rPr>
          <w:rFonts w:ascii="Calibri" w:hAnsi="Calibri"/>
        </w:rPr>
        <w:t xml:space="preserve">. </w:t>
      </w:r>
      <w:r w:rsidR="00AC7580" w:rsidRPr="0079266B">
        <w:rPr>
          <w:rFonts w:ascii="Calibri" w:hAnsi="Calibri"/>
        </w:rPr>
        <w:t xml:space="preserve">Overall, the Israeli authorities’ denial of travel in </w:t>
      </w:r>
      <w:r w:rsidR="00863792">
        <w:rPr>
          <w:rFonts w:ascii="Calibri" w:hAnsi="Calibri"/>
        </w:rPr>
        <w:t xml:space="preserve">certain </w:t>
      </w:r>
      <w:r w:rsidR="00AC7580" w:rsidRPr="0079266B">
        <w:rPr>
          <w:rFonts w:ascii="Calibri" w:hAnsi="Calibri"/>
        </w:rPr>
        <w:t xml:space="preserve">medical referral cases, recurrent pressure exerted on patients and their family members </w:t>
      </w:r>
      <w:r w:rsidR="00863792">
        <w:rPr>
          <w:rFonts w:ascii="Calibri" w:hAnsi="Calibri"/>
        </w:rPr>
        <w:t xml:space="preserve">to collaborate </w:t>
      </w:r>
      <w:r w:rsidR="00AC7580" w:rsidRPr="0079266B">
        <w:rPr>
          <w:rFonts w:ascii="Calibri" w:hAnsi="Calibri"/>
        </w:rPr>
        <w:t xml:space="preserve">in exchange for medical treatment, and arbitrary arrests of patients seeking treatment outside of the Gaza Strip amount to a violation of </w:t>
      </w:r>
      <w:r w:rsidR="000069E5" w:rsidRPr="0079266B">
        <w:rPr>
          <w:rFonts w:ascii="Calibri" w:hAnsi="Calibri"/>
        </w:rPr>
        <w:t xml:space="preserve">Article 7 of the ICCPR in respect of the patients and their families. Such practices may even amount to a violation of Article 6 insofar as they lead to the death of the patient, such as in the case of Ahmed </w:t>
      </w:r>
      <w:proofErr w:type="spellStart"/>
      <w:r w:rsidR="000069E5" w:rsidRPr="0079266B">
        <w:rPr>
          <w:rFonts w:ascii="Calibri" w:hAnsi="Calibri"/>
        </w:rPr>
        <w:t>Shubeir</w:t>
      </w:r>
      <w:proofErr w:type="spellEnd"/>
      <w:r w:rsidR="000069E5" w:rsidRPr="0079266B">
        <w:rPr>
          <w:rFonts w:ascii="Calibri" w:hAnsi="Calibri"/>
        </w:rPr>
        <w:t xml:space="preserve">. </w:t>
      </w:r>
      <w:r w:rsidR="00496AEE">
        <w:rPr>
          <w:rFonts w:ascii="Calibri" w:hAnsi="Calibri"/>
        </w:rPr>
        <w:t xml:space="preserve">Last, Israel </w:t>
      </w:r>
      <w:proofErr w:type="spellStart"/>
      <w:r w:rsidR="00496AEE">
        <w:rPr>
          <w:rFonts w:ascii="Calibri" w:hAnsi="Calibri"/>
        </w:rPr>
        <w:t>blanketly</w:t>
      </w:r>
      <w:proofErr w:type="spellEnd"/>
      <w:r w:rsidR="00496AEE">
        <w:rPr>
          <w:rFonts w:ascii="Calibri" w:hAnsi="Calibri"/>
        </w:rPr>
        <w:t xml:space="preserve"> violated Article 12 of the ICCPR through its closure of Gaza. </w:t>
      </w:r>
      <w:r w:rsidR="000069E5" w:rsidRPr="0079266B">
        <w:rPr>
          <w:rFonts w:ascii="Calibri" w:hAnsi="Calibri"/>
        </w:rPr>
        <w:t xml:space="preserve">As </w:t>
      </w:r>
      <w:r w:rsidR="00863792">
        <w:rPr>
          <w:rFonts w:ascii="Calibri" w:hAnsi="Calibri"/>
        </w:rPr>
        <w:t>such</w:t>
      </w:r>
      <w:r w:rsidR="000069E5" w:rsidRPr="0079266B">
        <w:rPr>
          <w:rFonts w:ascii="Calibri" w:hAnsi="Calibri"/>
        </w:rPr>
        <w:t>, Israel</w:t>
      </w:r>
      <w:r w:rsidR="00C56BC6">
        <w:rPr>
          <w:rFonts w:ascii="Calibri" w:hAnsi="Calibri"/>
        </w:rPr>
        <w:t xml:space="preserve"> </w:t>
      </w:r>
      <w:r w:rsidR="00A55414" w:rsidRPr="0079266B">
        <w:rPr>
          <w:rFonts w:ascii="Calibri" w:hAnsi="Calibri"/>
        </w:rPr>
        <w:t xml:space="preserve">has </w:t>
      </w:r>
      <w:r w:rsidR="00C56BC6">
        <w:rPr>
          <w:rFonts w:ascii="Calibri" w:hAnsi="Calibri"/>
        </w:rPr>
        <w:t xml:space="preserve">not complied </w:t>
      </w:r>
      <w:r w:rsidR="00A55414" w:rsidRPr="0079266B">
        <w:rPr>
          <w:rFonts w:ascii="Calibri" w:hAnsi="Calibri"/>
        </w:rPr>
        <w:t>with</w:t>
      </w:r>
      <w:r w:rsidR="00C56BC6">
        <w:rPr>
          <w:rFonts w:ascii="Calibri" w:hAnsi="Calibri"/>
        </w:rPr>
        <w:t xml:space="preserve"> </w:t>
      </w:r>
      <w:r w:rsidR="00A55414" w:rsidRPr="0079266B">
        <w:rPr>
          <w:rFonts w:ascii="Calibri" w:hAnsi="Calibri"/>
        </w:rPr>
        <w:t xml:space="preserve">the Committee’s recommendation </w:t>
      </w:r>
      <w:r w:rsidR="00763F83">
        <w:rPr>
          <w:rFonts w:ascii="Calibri" w:hAnsi="Calibri"/>
        </w:rPr>
        <w:t>to</w:t>
      </w:r>
      <w:r w:rsidR="00C56BC6">
        <w:rPr>
          <w:rFonts w:ascii="Calibri" w:hAnsi="Calibri"/>
        </w:rPr>
        <w:t xml:space="preserve"> </w:t>
      </w:r>
      <w:r w:rsidR="005140D2" w:rsidRPr="005140D2">
        <w:rPr>
          <w:rFonts w:ascii="Calibri" w:hAnsi="Calibri"/>
        </w:rPr>
        <w:t xml:space="preserve">ensure </w:t>
      </w:r>
      <w:r w:rsidR="00487CA4">
        <w:rPr>
          <w:rFonts w:ascii="Calibri" w:hAnsi="Calibri"/>
        </w:rPr>
        <w:t xml:space="preserve">that any </w:t>
      </w:r>
      <w:r w:rsidR="005140D2" w:rsidRPr="005140D2">
        <w:rPr>
          <w:rFonts w:ascii="Calibri" w:hAnsi="Calibri"/>
        </w:rPr>
        <w:t>restrictions</w:t>
      </w:r>
      <w:r w:rsidR="00A55414" w:rsidRPr="0079266B">
        <w:rPr>
          <w:rFonts w:ascii="Calibri" w:hAnsi="Calibri"/>
        </w:rPr>
        <w:t xml:space="preserve"> on </w:t>
      </w:r>
      <w:r w:rsidR="00763F83">
        <w:rPr>
          <w:rFonts w:ascii="Calibri" w:hAnsi="Calibri"/>
        </w:rPr>
        <w:t xml:space="preserve">the movement of </w:t>
      </w:r>
      <w:r w:rsidR="00AC7580" w:rsidRPr="0079266B">
        <w:rPr>
          <w:rFonts w:ascii="Calibri" w:hAnsi="Calibri"/>
        </w:rPr>
        <w:t>civilian</w:t>
      </w:r>
      <w:r w:rsidR="00763F83">
        <w:rPr>
          <w:rFonts w:ascii="Calibri" w:hAnsi="Calibri"/>
        </w:rPr>
        <w:t xml:space="preserve">s and goods </w:t>
      </w:r>
      <w:r w:rsidR="00AC7580" w:rsidRPr="0079266B">
        <w:rPr>
          <w:rFonts w:ascii="Calibri" w:hAnsi="Calibri"/>
        </w:rPr>
        <w:t>from, within,</w:t>
      </w:r>
      <w:r w:rsidR="008322E1" w:rsidRPr="0079266B">
        <w:rPr>
          <w:rFonts w:ascii="Calibri" w:hAnsi="Calibri"/>
        </w:rPr>
        <w:t xml:space="preserve"> and into the Gaza</w:t>
      </w:r>
      <w:r w:rsidR="00496AEE">
        <w:rPr>
          <w:rFonts w:ascii="Calibri" w:hAnsi="Calibri"/>
        </w:rPr>
        <w:t xml:space="preserve"> </w:t>
      </w:r>
      <w:r w:rsidR="008322E1" w:rsidRPr="0079266B">
        <w:rPr>
          <w:rFonts w:ascii="Calibri" w:hAnsi="Calibri"/>
        </w:rPr>
        <w:t xml:space="preserve">Strip </w:t>
      </w:r>
      <w:r w:rsidR="00A55414" w:rsidRPr="0079266B">
        <w:rPr>
          <w:rFonts w:ascii="Calibri" w:hAnsi="Calibri"/>
        </w:rPr>
        <w:t>are consistent with the</w:t>
      </w:r>
      <w:r w:rsidR="00C56BC6">
        <w:rPr>
          <w:rFonts w:ascii="Calibri" w:hAnsi="Calibri"/>
        </w:rPr>
        <w:t xml:space="preserve"> </w:t>
      </w:r>
      <w:r w:rsidR="006D3089">
        <w:rPr>
          <w:rFonts w:ascii="Calibri" w:hAnsi="Calibri"/>
        </w:rPr>
        <w:t>Covenant</w:t>
      </w:r>
      <w:r w:rsidR="00C56BC6">
        <w:rPr>
          <w:rFonts w:ascii="Calibri" w:hAnsi="Calibri"/>
        </w:rPr>
        <w:t xml:space="preserve"> </w:t>
      </w:r>
      <w:r w:rsidR="0031284C">
        <w:rPr>
          <w:rFonts w:ascii="Calibri" w:hAnsi="Calibri"/>
        </w:rPr>
        <w:t>(CCPR/C/ISR/CO/4, para. 12(b)).</w:t>
      </w:r>
    </w:p>
    <w:p w:rsidR="0031284C" w:rsidRPr="0079266B" w:rsidRDefault="0031284C" w:rsidP="0031284C">
      <w:pPr>
        <w:pStyle w:val="Heading1"/>
      </w:pPr>
      <w:r w:rsidRPr="0079266B">
        <w:t>Torture and ill-treatment (Articles 4 and 7)</w:t>
      </w:r>
    </w:p>
    <w:p w:rsidR="006D3089" w:rsidRDefault="00487CA4" w:rsidP="003A2974">
      <w:pPr>
        <w:rPr>
          <w:rFonts w:ascii="Calibri" w:hAnsi="Calibri"/>
        </w:rPr>
      </w:pPr>
      <w:r>
        <w:rPr>
          <w:rFonts w:ascii="Calibri" w:hAnsi="Calibri"/>
        </w:rPr>
        <w:t>T</w:t>
      </w:r>
      <w:r w:rsidR="0031284C">
        <w:rPr>
          <w:rFonts w:ascii="Calibri" w:hAnsi="Calibri"/>
        </w:rPr>
        <w:t xml:space="preserve">orture is yet to be criminalized and penalized in the Israeli legal </w:t>
      </w:r>
      <w:r w:rsidR="00C072EE">
        <w:rPr>
          <w:rFonts w:ascii="Calibri" w:hAnsi="Calibri"/>
        </w:rPr>
        <w:t>system</w:t>
      </w:r>
      <w:r>
        <w:rPr>
          <w:rFonts w:ascii="Calibri" w:hAnsi="Calibri"/>
        </w:rPr>
        <w:t xml:space="preserve">, facilitating </w:t>
      </w:r>
      <w:r w:rsidR="0031284C">
        <w:rPr>
          <w:rFonts w:ascii="Calibri" w:hAnsi="Calibri"/>
        </w:rPr>
        <w:t>institutionalized torture</w:t>
      </w:r>
      <w:r>
        <w:rPr>
          <w:rFonts w:ascii="Calibri" w:hAnsi="Calibri"/>
        </w:rPr>
        <w:t xml:space="preserve">. </w:t>
      </w:r>
      <w:r w:rsidR="0014655B">
        <w:rPr>
          <w:rFonts w:ascii="Calibri" w:hAnsi="Calibri"/>
        </w:rPr>
        <w:t xml:space="preserve">The prohibition of torture and ill-treatment under </w:t>
      </w:r>
      <w:r>
        <w:rPr>
          <w:rFonts w:ascii="Calibri" w:hAnsi="Calibri"/>
        </w:rPr>
        <w:t xml:space="preserve">Article </w:t>
      </w:r>
      <w:r w:rsidR="0014655B">
        <w:rPr>
          <w:rFonts w:ascii="Calibri" w:hAnsi="Calibri"/>
        </w:rPr>
        <w:t xml:space="preserve">7 of the ICCPR is absolute and cannot be subject to derogation under </w:t>
      </w:r>
      <w:r w:rsidR="00E76B56">
        <w:rPr>
          <w:rFonts w:ascii="Calibri" w:hAnsi="Calibri"/>
        </w:rPr>
        <w:t xml:space="preserve">Article </w:t>
      </w:r>
      <w:r w:rsidR="0014655B">
        <w:rPr>
          <w:rFonts w:ascii="Calibri" w:hAnsi="Calibri"/>
        </w:rPr>
        <w:t>4. Since 1947</w:t>
      </w:r>
      <w:r w:rsidR="00E76B56">
        <w:rPr>
          <w:rFonts w:ascii="Calibri" w:hAnsi="Calibri"/>
        </w:rPr>
        <w:t>,</w:t>
      </w:r>
      <w:r w:rsidR="0014655B">
        <w:rPr>
          <w:rFonts w:ascii="Calibri" w:hAnsi="Calibri"/>
        </w:rPr>
        <w:t xml:space="preserve"> Israel has </w:t>
      </w:r>
      <w:r w:rsidR="00E76B56">
        <w:rPr>
          <w:rFonts w:ascii="Calibri" w:hAnsi="Calibri"/>
        </w:rPr>
        <w:lastRenderedPageBreak/>
        <w:t xml:space="preserve">declared </w:t>
      </w:r>
      <w:r w:rsidR="0014655B">
        <w:rPr>
          <w:rFonts w:ascii="Calibri" w:hAnsi="Calibri"/>
        </w:rPr>
        <w:t xml:space="preserve">a prolonged </w:t>
      </w:r>
      <w:r w:rsidR="00E76B56">
        <w:rPr>
          <w:rFonts w:ascii="Calibri" w:hAnsi="Calibri"/>
        </w:rPr>
        <w:t>S</w:t>
      </w:r>
      <w:r w:rsidR="0014655B">
        <w:rPr>
          <w:rFonts w:ascii="Calibri" w:hAnsi="Calibri"/>
        </w:rPr>
        <w:t xml:space="preserve">tate of emergency extending the powers and </w:t>
      </w:r>
      <w:r w:rsidR="00E76B56">
        <w:rPr>
          <w:rFonts w:ascii="Calibri" w:hAnsi="Calibri"/>
        </w:rPr>
        <w:t xml:space="preserve">functions </w:t>
      </w:r>
      <w:r w:rsidR="0014655B">
        <w:rPr>
          <w:rFonts w:ascii="Calibri" w:hAnsi="Calibri"/>
        </w:rPr>
        <w:t xml:space="preserve">of </w:t>
      </w:r>
      <w:r w:rsidR="00E76B56">
        <w:rPr>
          <w:rFonts w:ascii="Calibri" w:hAnsi="Calibri"/>
        </w:rPr>
        <w:t xml:space="preserve">its </w:t>
      </w:r>
      <w:r w:rsidR="0014655B">
        <w:rPr>
          <w:rFonts w:ascii="Calibri" w:hAnsi="Calibri"/>
        </w:rPr>
        <w:t>security forces</w:t>
      </w:r>
      <w:r>
        <w:rPr>
          <w:rFonts w:ascii="Calibri" w:hAnsi="Calibri"/>
        </w:rPr>
        <w:t xml:space="preserve"> </w:t>
      </w:r>
      <w:r w:rsidR="00E76B56">
        <w:rPr>
          <w:rFonts w:ascii="Calibri" w:hAnsi="Calibri"/>
        </w:rPr>
        <w:t xml:space="preserve">in a </w:t>
      </w:r>
      <w:r>
        <w:rPr>
          <w:rFonts w:ascii="Calibri" w:hAnsi="Calibri"/>
        </w:rPr>
        <w:t>manner</w:t>
      </w:r>
      <w:r w:rsidR="00E76B56">
        <w:rPr>
          <w:rFonts w:ascii="Calibri" w:hAnsi="Calibri"/>
        </w:rPr>
        <w:t xml:space="preserve"> that </w:t>
      </w:r>
      <w:r w:rsidR="0014655B">
        <w:rPr>
          <w:rFonts w:ascii="Calibri" w:hAnsi="Calibri"/>
        </w:rPr>
        <w:t>allow</w:t>
      </w:r>
      <w:r w:rsidR="00E76B56">
        <w:rPr>
          <w:rFonts w:ascii="Calibri" w:hAnsi="Calibri"/>
        </w:rPr>
        <w:t>s</w:t>
      </w:r>
      <w:r w:rsidR="0014655B">
        <w:rPr>
          <w:rFonts w:ascii="Calibri" w:hAnsi="Calibri"/>
        </w:rPr>
        <w:t xml:space="preserve"> for torture and ill-treatment of Palestinians. </w:t>
      </w:r>
      <w:r w:rsidR="003A2974">
        <w:rPr>
          <w:rFonts w:ascii="Calibri" w:hAnsi="Calibri"/>
        </w:rPr>
        <w:t>Although t</w:t>
      </w:r>
      <w:r w:rsidR="0031284C">
        <w:rPr>
          <w:rFonts w:ascii="Calibri" w:hAnsi="Calibri"/>
        </w:rPr>
        <w:t>he Israeli Knesset proposed a new law in 2016 at an attempt to “criminalise” torture</w:t>
      </w:r>
      <w:r w:rsidR="003A2974">
        <w:rPr>
          <w:rFonts w:ascii="Calibri" w:hAnsi="Calibri"/>
        </w:rPr>
        <w:t>, b</w:t>
      </w:r>
      <w:r w:rsidR="0031284C">
        <w:rPr>
          <w:rFonts w:ascii="Calibri" w:hAnsi="Calibri"/>
        </w:rPr>
        <w:t xml:space="preserve">oth Palestinian and Israeli human rights organizations believe that the law will contain loopholes in favour of the Shin Bet and other security forces. Israel has recently escalated its </w:t>
      </w:r>
      <w:r w:rsidR="00763F83">
        <w:rPr>
          <w:rFonts w:ascii="Calibri" w:hAnsi="Calibri"/>
        </w:rPr>
        <w:t xml:space="preserve">use of force </w:t>
      </w:r>
      <w:r w:rsidR="0031284C">
        <w:rPr>
          <w:rFonts w:ascii="Calibri" w:hAnsi="Calibri"/>
        </w:rPr>
        <w:t xml:space="preserve">towards Palestinians under the </w:t>
      </w:r>
      <w:r w:rsidR="003A2974">
        <w:rPr>
          <w:rFonts w:ascii="Calibri" w:hAnsi="Calibri"/>
        </w:rPr>
        <w:t xml:space="preserve">pretext of </w:t>
      </w:r>
      <w:r w:rsidR="0031284C">
        <w:rPr>
          <w:rFonts w:ascii="Calibri" w:hAnsi="Calibri"/>
        </w:rPr>
        <w:t>necessity and has also tortured several Palestinian citizens within the confines of an Israeli interrogation room and in their homes.</w:t>
      </w:r>
      <w:r w:rsidR="00FA445E">
        <w:rPr>
          <w:rStyle w:val="FootnoteReference"/>
          <w:rFonts w:ascii="Calibri" w:hAnsi="Calibri"/>
        </w:rPr>
        <w:footnoteReference w:id="13"/>
      </w:r>
    </w:p>
    <w:p w:rsidR="0031284C" w:rsidRPr="00554FB4" w:rsidRDefault="00E76B56" w:rsidP="00496AEE">
      <w:r>
        <w:rPr>
          <w:rFonts w:ascii="Calibri" w:hAnsi="Calibri"/>
        </w:rPr>
        <w:t xml:space="preserve">Israeli practices amounting to torture and ill-treatment of Palestinians in </w:t>
      </w:r>
      <w:r w:rsidR="003A2974">
        <w:rPr>
          <w:rFonts w:ascii="Calibri" w:hAnsi="Calibri"/>
        </w:rPr>
        <w:t xml:space="preserve">the </w:t>
      </w:r>
      <w:r>
        <w:rPr>
          <w:rFonts w:ascii="Calibri" w:hAnsi="Calibri"/>
        </w:rPr>
        <w:t>OPT</w:t>
      </w:r>
      <w:r w:rsidR="0031284C">
        <w:rPr>
          <w:rFonts w:ascii="Calibri" w:hAnsi="Calibri"/>
        </w:rPr>
        <w:t xml:space="preserve"> have continued during the follow</w:t>
      </w:r>
      <w:r w:rsidR="006D3089">
        <w:rPr>
          <w:rFonts w:ascii="Calibri" w:hAnsi="Calibri"/>
        </w:rPr>
        <w:t>-</w:t>
      </w:r>
      <w:r w:rsidR="0031284C">
        <w:rPr>
          <w:rFonts w:ascii="Calibri" w:hAnsi="Calibri"/>
        </w:rPr>
        <w:t xml:space="preserve">up period. </w:t>
      </w:r>
      <w:r w:rsidR="0031284C" w:rsidRPr="006D3089">
        <w:rPr>
          <w:rFonts w:ascii="Calibri" w:hAnsi="Calibri"/>
        </w:rPr>
        <w:t>Al</w:t>
      </w:r>
      <w:r w:rsidR="006D3089">
        <w:rPr>
          <w:rFonts w:ascii="Calibri" w:hAnsi="Calibri"/>
        </w:rPr>
        <w:t>-</w:t>
      </w:r>
      <w:r w:rsidR="0031284C" w:rsidRPr="006D3089">
        <w:rPr>
          <w:rFonts w:ascii="Calibri" w:hAnsi="Calibri"/>
        </w:rPr>
        <w:t xml:space="preserve">Haq </w:t>
      </w:r>
      <w:r w:rsidR="006D3089">
        <w:rPr>
          <w:rFonts w:ascii="Calibri" w:hAnsi="Calibri"/>
        </w:rPr>
        <w:t xml:space="preserve">has </w:t>
      </w:r>
      <w:r w:rsidR="0031284C" w:rsidRPr="006D3089">
        <w:rPr>
          <w:rFonts w:ascii="Calibri" w:hAnsi="Calibri"/>
        </w:rPr>
        <w:t xml:space="preserve">documented </w:t>
      </w:r>
      <w:r>
        <w:rPr>
          <w:rFonts w:ascii="Calibri" w:hAnsi="Calibri"/>
        </w:rPr>
        <w:t>a number of</w:t>
      </w:r>
      <w:r w:rsidR="003A2974">
        <w:rPr>
          <w:rFonts w:ascii="Calibri" w:hAnsi="Calibri"/>
        </w:rPr>
        <w:t xml:space="preserve"> </w:t>
      </w:r>
      <w:r w:rsidR="0031284C" w:rsidRPr="006D3089">
        <w:rPr>
          <w:rFonts w:ascii="Calibri" w:hAnsi="Calibri"/>
        </w:rPr>
        <w:t xml:space="preserve">cases of physical and psychological torture enacted by Israeli security forces against </w:t>
      </w:r>
      <w:r w:rsidR="00290B52" w:rsidRPr="006D3089">
        <w:rPr>
          <w:rFonts w:ascii="Calibri" w:hAnsi="Calibri"/>
        </w:rPr>
        <w:t>Palestinian</w:t>
      </w:r>
      <w:r w:rsidR="00290B52">
        <w:rPr>
          <w:rFonts w:ascii="Calibri" w:hAnsi="Calibri"/>
        </w:rPr>
        <w:t>s</w:t>
      </w:r>
      <w:r w:rsidR="0031284C" w:rsidRPr="006D3089">
        <w:rPr>
          <w:rFonts w:ascii="Calibri" w:hAnsi="Calibri"/>
        </w:rPr>
        <w:t xml:space="preserve">. The case of </w:t>
      </w:r>
      <w:proofErr w:type="spellStart"/>
      <w:r w:rsidR="0031284C" w:rsidRPr="006D3089">
        <w:rPr>
          <w:rFonts w:ascii="Calibri" w:hAnsi="Calibri"/>
        </w:rPr>
        <w:t>Sakhir</w:t>
      </w:r>
      <w:proofErr w:type="spellEnd"/>
      <w:r w:rsidR="0031284C" w:rsidRPr="006D3089">
        <w:rPr>
          <w:rFonts w:ascii="Calibri" w:hAnsi="Calibri"/>
        </w:rPr>
        <w:t xml:space="preserve"> Mohammad </w:t>
      </w:r>
      <w:proofErr w:type="spellStart"/>
      <w:r w:rsidR="0031284C" w:rsidRPr="006D3089">
        <w:rPr>
          <w:rFonts w:ascii="Calibri" w:hAnsi="Calibri"/>
        </w:rPr>
        <w:t>Nayif</w:t>
      </w:r>
      <w:proofErr w:type="spellEnd"/>
      <w:r w:rsidR="0031284C" w:rsidRPr="006D3089">
        <w:rPr>
          <w:rFonts w:ascii="Calibri" w:hAnsi="Calibri"/>
        </w:rPr>
        <w:t xml:space="preserve"> </w:t>
      </w:r>
      <w:proofErr w:type="spellStart"/>
      <w:r w:rsidR="0031284C" w:rsidRPr="006D3089">
        <w:rPr>
          <w:rFonts w:ascii="Calibri" w:hAnsi="Calibri"/>
        </w:rPr>
        <w:t>Shafi</w:t>
      </w:r>
      <w:proofErr w:type="spellEnd"/>
      <w:r w:rsidR="0031284C" w:rsidRPr="006D3089">
        <w:rPr>
          <w:rFonts w:ascii="Calibri" w:hAnsi="Calibri"/>
        </w:rPr>
        <w:t xml:space="preserve">’, 22, </w:t>
      </w:r>
      <w:r w:rsidR="00512AEB">
        <w:rPr>
          <w:rFonts w:ascii="Calibri" w:hAnsi="Calibri"/>
        </w:rPr>
        <w:t>is exemplary of the abuse</w:t>
      </w:r>
      <w:r w:rsidR="0031284C" w:rsidRPr="006D3089">
        <w:rPr>
          <w:rFonts w:ascii="Calibri" w:hAnsi="Calibri"/>
        </w:rPr>
        <w:t xml:space="preserve"> used by Israeli forces against Palestinian</w:t>
      </w:r>
      <w:r w:rsidR="006D3089">
        <w:rPr>
          <w:rFonts w:ascii="Calibri" w:hAnsi="Calibri"/>
        </w:rPr>
        <w:t>s</w:t>
      </w:r>
      <w:r w:rsidR="0031284C" w:rsidRPr="006D3089">
        <w:rPr>
          <w:rFonts w:ascii="Calibri" w:hAnsi="Calibri"/>
        </w:rPr>
        <w:t xml:space="preserve">. </w:t>
      </w:r>
      <w:proofErr w:type="spellStart"/>
      <w:r w:rsidR="0031284C" w:rsidRPr="006D3089">
        <w:rPr>
          <w:rFonts w:ascii="Calibri" w:hAnsi="Calibri"/>
        </w:rPr>
        <w:t>Sakhir</w:t>
      </w:r>
      <w:proofErr w:type="spellEnd"/>
      <w:r>
        <w:rPr>
          <w:rFonts w:ascii="Calibri" w:hAnsi="Calibri"/>
        </w:rPr>
        <w:t xml:space="preserve">, a </w:t>
      </w:r>
      <w:r w:rsidR="0031284C" w:rsidRPr="006D3089">
        <w:rPr>
          <w:rFonts w:ascii="Calibri" w:hAnsi="Calibri"/>
        </w:rPr>
        <w:t>reside</w:t>
      </w:r>
      <w:r>
        <w:rPr>
          <w:rFonts w:ascii="Calibri" w:hAnsi="Calibri"/>
        </w:rPr>
        <w:t>nt</w:t>
      </w:r>
      <w:r w:rsidR="003A2974">
        <w:rPr>
          <w:rFonts w:ascii="Calibri" w:hAnsi="Calibri"/>
        </w:rPr>
        <w:t xml:space="preserve"> </w:t>
      </w:r>
      <w:r>
        <w:rPr>
          <w:rFonts w:ascii="Calibri" w:hAnsi="Calibri"/>
        </w:rPr>
        <w:t>of</w:t>
      </w:r>
      <w:r w:rsidR="0031284C" w:rsidRPr="006D3089">
        <w:rPr>
          <w:rFonts w:ascii="Calibri" w:hAnsi="Calibri"/>
        </w:rPr>
        <w:t xml:space="preserve"> </w:t>
      </w:r>
      <w:proofErr w:type="spellStart"/>
      <w:r w:rsidR="0031284C" w:rsidRPr="006D3089">
        <w:rPr>
          <w:rFonts w:ascii="Calibri" w:hAnsi="Calibri"/>
        </w:rPr>
        <w:t>Alfara</w:t>
      </w:r>
      <w:proofErr w:type="spellEnd"/>
      <w:r w:rsidR="0031284C" w:rsidRPr="006D3089">
        <w:rPr>
          <w:rFonts w:ascii="Calibri" w:hAnsi="Calibri"/>
        </w:rPr>
        <w:t>’ refugee camp in the province of Tubas</w:t>
      </w:r>
      <w:r>
        <w:rPr>
          <w:rFonts w:ascii="Calibri" w:hAnsi="Calibri"/>
        </w:rPr>
        <w:t>,</w:t>
      </w:r>
      <w:r w:rsidR="003A2974">
        <w:rPr>
          <w:rFonts w:ascii="Calibri" w:hAnsi="Calibri"/>
        </w:rPr>
        <w:t xml:space="preserve"> </w:t>
      </w:r>
      <w:r w:rsidR="0031284C" w:rsidRPr="006D3089">
        <w:rPr>
          <w:rFonts w:ascii="Calibri" w:hAnsi="Calibri"/>
        </w:rPr>
        <w:t xml:space="preserve">woke up </w:t>
      </w:r>
      <w:r>
        <w:rPr>
          <w:rFonts w:ascii="Calibri" w:hAnsi="Calibri"/>
        </w:rPr>
        <w:t xml:space="preserve">on </w:t>
      </w:r>
      <w:r w:rsidRPr="006D3089">
        <w:rPr>
          <w:rFonts w:ascii="Calibri" w:hAnsi="Calibri"/>
        </w:rPr>
        <w:t xml:space="preserve">19 August 2014 </w:t>
      </w:r>
      <w:r w:rsidR="0031284C" w:rsidRPr="006D3089">
        <w:rPr>
          <w:rFonts w:ascii="Calibri" w:hAnsi="Calibri"/>
        </w:rPr>
        <w:t>to rifles hitting his body</w:t>
      </w:r>
      <w:r w:rsidR="006D3089">
        <w:rPr>
          <w:rFonts w:ascii="Calibri" w:hAnsi="Calibri"/>
        </w:rPr>
        <w:t xml:space="preserve">. </w:t>
      </w:r>
      <w:r w:rsidR="00683E40">
        <w:rPr>
          <w:rFonts w:ascii="Calibri" w:hAnsi="Calibri"/>
        </w:rPr>
        <w:t>Twenty</w:t>
      </w:r>
      <w:r w:rsidR="003A2974">
        <w:rPr>
          <w:rFonts w:ascii="Calibri" w:hAnsi="Calibri"/>
        </w:rPr>
        <w:t xml:space="preserve"> </w:t>
      </w:r>
      <w:r w:rsidR="0031284C" w:rsidRPr="006D3089">
        <w:rPr>
          <w:rFonts w:ascii="Calibri" w:hAnsi="Calibri"/>
        </w:rPr>
        <w:t xml:space="preserve">Israeli soldiers </w:t>
      </w:r>
      <w:r w:rsidR="006D3089">
        <w:rPr>
          <w:rFonts w:ascii="Calibri" w:hAnsi="Calibri"/>
        </w:rPr>
        <w:t>had</w:t>
      </w:r>
      <w:r w:rsidR="003A2974">
        <w:rPr>
          <w:rFonts w:ascii="Calibri" w:hAnsi="Calibri"/>
        </w:rPr>
        <w:t xml:space="preserve"> </w:t>
      </w:r>
      <w:r w:rsidR="0031284C" w:rsidRPr="006D3089">
        <w:rPr>
          <w:rFonts w:ascii="Calibri" w:hAnsi="Calibri"/>
        </w:rPr>
        <w:t>raided his home</w:t>
      </w:r>
      <w:r>
        <w:rPr>
          <w:rFonts w:ascii="Calibri" w:hAnsi="Calibri"/>
        </w:rPr>
        <w:t xml:space="preserve">, </w:t>
      </w:r>
      <w:proofErr w:type="gramStart"/>
      <w:r>
        <w:rPr>
          <w:rFonts w:ascii="Calibri" w:hAnsi="Calibri"/>
        </w:rPr>
        <w:t>then</w:t>
      </w:r>
      <w:proofErr w:type="gramEnd"/>
      <w:r>
        <w:rPr>
          <w:rFonts w:ascii="Calibri" w:hAnsi="Calibri"/>
        </w:rPr>
        <w:t xml:space="preserve"> </w:t>
      </w:r>
      <w:r w:rsidR="0031284C" w:rsidRPr="006D3089">
        <w:rPr>
          <w:rFonts w:ascii="Calibri" w:hAnsi="Calibri"/>
        </w:rPr>
        <w:t xml:space="preserve">dragged </w:t>
      </w:r>
      <w:r>
        <w:rPr>
          <w:rFonts w:ascii="Calibri" w:hAnsi="Calibri"/>
        </w:rPr>
        <w:t>him</w:t>
      </w:r>
      <w:r w:rsidR="003A2974">
        <w:rPr>
          <w:rFonts w:ascii="Calibri" w:hAnsi="Calibri"/>
        </w:rPr>
        <w:t xml:space="preserve"> </w:t>
      </w:r>
      <w:r w:rsidR="0031284C" w:rsidRPr="006D3089">
        <w:rPr>
          <w:rFonts w:ascii="Calibri" w:hAnsi="Calibri"/>
        </w:rPr>
        <w:t>from his bedroom into the living room</w:t>
      </w:r>
      <w:r w:rsidR="006D3089">
        <w:rPr>
          <w:rFonts w:ascii="Calibri" w:hAnsi="Calibri"/>
        </w:rPr>
        <w:t xml:space="preserve">. The </w:t>
      </w:r>
      <w:r w:rsidR="003A2974">
        <w:rPr>
          <w:rFonts w:ascii="Calibri" w:hAnsi="Calibri"/>
        </w:rPr>
        <w:t>IOF continued hitting him with their weapons, and</w:t>
      </w:r>
      <w:r w:rsidR="006D3089">
        <w:rPr>
          <w:rFonts w:ascii="Calibri" w:hAnsi="Calibri"/>
        </w:rPr>
        <w:t xml:space="preserve"> also </w:t>
      </w:r>
      <w:r w:rsidR="002D3C8B">
        <w:rPr>
          <w:rFonts w:ascii="Calibri" w:hAnsi="Calibri"/>
        </w:rPr>
        <w:t xml:space="preserve">hit and </w:t>
      </w:r>
      <w:r w:rsidR="0031284C" w:rsidRPr="006D3089">
        <w:rPr>
          <w:rFonts w:ascii="Calibri" w:hAnsi="Calibri"/>
        </w:rPr>
        <w:t xml:space="preserve">stepped on </w:t>
      </w:r>
      <w:r w:rsidR="006D3089">
        <w:rPr>
          <w:rFonts w:ascii="Calibri" w:hAnsi="Calibri"/>
        </w:rPr>
        <w:t>his face</w:t>
      </w:r>
      <w:r w:rsidR="0031284C" w:rsidRPr="006D3089">
        <w:rPr>
          <w:rFonts w:ascii="Calibri" w:hAnsi="Calibri"/>
        </w:rPr>
        <w:t xml:space="preserve">. </w:t>
      </w:r>
      <w:proofErr w:type="spellStart"/>
      <w:r w:rsidR="0031284C" w:rsidRPr="006D3089">
        <w:rPr>
          <w:rFonts w:ascii="Calibri" w:hAnsi="Calibri"/>
        </w:rPr>
        <w:t>Sakhir</w:t>
      </w:r>
      <w:proofErr w:type="spellEnd"/>
      <w:r w:rsidR="0031284C" w:rsidRPr="006D3089">
        <w:rPr>
          <w:rFonts w:ascii="Calibri" w:hAnsi="Calibri"/>
        </w:rPr>
        <w:t xml:space="preserve"> fell to the ground</w:t>
      </w:r>
      <w:r w:rsidR="006D3089">
        <w:rPr>
          <w:rFonts w:ascii="Calibri" w:hAnsi="Calibri"/>
        </w:rPr>
        <w:t xml:space="preserve">, </w:t>
      </w:r>
      <w:r w:rsidR="0031284C" w:rsidRPr="006D3089">
        <w:rPr>
          <w:rFonts w:ascii="Calibri" w:hAnsi="Calibri"/>
        </w:rPr>
        <w:t xml:space="preserve">severely bleeding. Without asking him for his name or any other questions, </w:t>
      </w:r>
      <w:r w:rsidR="006D3089">
        <w:rPr>
          <w:rFonts w:ascii="Calibri" w:hAnsi="Calibri"/>
        </w:rPr>
        <w:t>the Israeli soldiers</w:t>
      </w:r>
      <w:r w:rsidR="0031284C" w:rsidRPr="006D3089">
        <w:rPr>
          <w:rFonts w:ascii="Calibri" w:hAnsi="Calibri"/>
        </w:rPr>
        <w:t xml:space="preserve"> search</w:t>
      </w:r>
      <w:r w:rsidR="006D3089">
        <w:rPr>
          <w:rFonts w:ascii="Calibri" w:hAnsi="Calibri"/>
        </w:rPr>
        <w:t>ed</w:t>
      </w:r>
      <w:r w:rsidR="003A2974">
        <w:rPr>
          <w:rFonts w:ascii="Calibri" w:hAnsi="Calibri"/>
        </w:rPr>
        <w:t xml:space="preserve"> </w:t>
      </w:r>
      <w:r w:rsidR="006D3089">
        <w:rPr>
          <w:rFonts w:ascii="Calibri" w:hAnsi="Calibri"/>
        </w:rPr>
        <w:t>his</w:t>
      </w:r>
      <w:r w:rsidR="003A2974">
        <w:rPr>
          <w:rFonts w:ascii="Calibri" w:hAnsi="Calibri"/>
        </w:rPr>
        <w:t xml:space="preserve"> </w:t>
      </w:r>
      <w:r w:rsidR="0031284C" w:rsidRPr="006D3089">
        <w:rPr>
          <w:rFonts w:ascii="Calibri" w:hAnsi="Calibri"/>
        </w:rPr>
        <w:t>house</w:t>
      </w:r>
      <w:r w:rsidR="003A2974">
        <w:rPr>
          <w:rFonts w:ascii="Calibri" w:hAnsi="Calibri"/>
        </w:rPr>
        <w:t>,</w:t>
      </w:r>
      <w:r w:rsidR="0031284C" w:rsidRPr="006D3089">
        <w:rPr>
          <w:rFonts w:ascii="Calibri" w:hAnsi="Calibri"/>
        </w:rPr>
        <w:t xml:space="preserve"> destroy</w:t>
      </w:r>
      <w:r w:rsidR="003A2974">
        <w:rPr>
          <w:rFonts w:ascii="Calibri" w:hAnsi="Calibri"/>
        </w:rPr>
        <w:t>ed</w:t>
      </w:r>
      <w:r w:rsidR="0031284C" w:rsidRPr="006D3089">
        <w:rPr>
          <w:rFonts w:ascii="Calibri" w:hAnsi="Calibri"/>
        </w:rPr>
        <w:t xml:space="preserve"> furniture</w:t>
      </w:r>
      <w:r w:rsidR="003A2974">
        <w:rPr>
          <w:rFonts w:ascii="Calibri" w:hAnsi="Calibri"/>
        </w:rPr>
        <w:t>, hit</w:t>
      </w:r>
      <w:r w:rsidR="006D3089">
        <w:rPr>
          <w:rFonts w:ascii="Calibri" w:hAnsi="Calibri"/>
        </w:rPr>
        <w:t xml:space="preserve"> </w:t>
      </w:r>
      <w:r w:rsidR="0031284C" w:rsidRPr="006D3089">
        <w:rPr>
          <w:rFonts w:ascii="Calibri" w:hAnsi="Calibri"/>
        </w:rPr>
        <w:t xml:space="preserve">the walls with </w:t>
      </w:r>
      <w:r w:rsidR="00763F83">
        <w:rPr>
          <w:rFonts w:ascii="Calibri" w:hAnsi="Calibri"/>
        </w:rPr>
        <w:t>a large hammer</w:t>
      </w:r>
      <w:r w:rsidR="002D3C8B">
        <w:rPr>
          <w:rFonts w:ascii="Calibri" w:hAnsi="Calibri"/>
        </w:rPr>
        <w:t xml:space="preserve">, </w:t>
      </w:r>
      <w:r w:rsidR="003A2974">
        <w:rPr>
          <w:rFonts w:ascii="Calibri" w:hAnsi="Calibri"/>
        </w:rPr>
        <w:t xml:space="preserve">and </w:t>
      </w:r>
      <w:r w:rsidR="0031284C" w:rsidRPr="006D3089">
        <w:rPr>
          <w:rFonts w:ascii="Calibri" w:hAnsi="Calibri"/>
        </w:rPr>
        <w:t>direct</w:t>
      </w:r>
      <w:r w:rsidR="003A2974">
        <w:rPr>
          <w:rFonts w:ascii="Calibri" w:hAnsi="Calibri"/>
        </w:rPr>
        <w:t>ed</w:t>
      </w:r>
      <w:r w:rsidR="0031284C" w:rsidRPr="006D3089">
        <w:rPr>
          <w:rFonts w:ascii="Calibri" w:hAnsi="Calibri"/>
        </w:rPr>
        <w:t xml:space="preserve"> degrading insults </w:t>
      </w:r>
      <w:r w:rsidR="002D3C8B">
        <w:rPr>
          <w:rFonts w:ascii="Calibri" w:hAnsi="Calibri"/>
        </w:rPr>
        <w:t>at</w:t>
      </w:r>
      <w:r w:rsidR="003A2974">
        <w:rPr>
          <w:rFonts w:ascii="Calibri" w:hAnsi="Calibri"/>
        </w:rPr>
        <w:t xml:space="preserve"> </w:t>
      </w:r>
      <w:proofErr w:type="spellStart"/>
      <w:r w:rsidR="0031284C" w:rsidRPr="006D3089">
        <w:rPr>
          <w:rFonts w:ascii="Calibri" w:hAnsi="Calibri"/>
        </w:rPr>
        <w:t>Sakhir</w:t>
      </w:r>
      <w:proofErr w:type="spellEnd"/>
      <w:r w:rsidR="0031284C" w:rsidRPr="006D3089">
        <w:rPr>
          <w:rFonts w:ascii="Calibri" w:hAnsi="Calibri"/>
        </w:rPr>
        <w:t xml:space="preserve">. </w:t>
      </w:r>
      <w:proofErr w:type="spellStart"/>
      <w:r w:rsidR="0031284C" w:rsidRPr="006D3089">
        <w:rPr>
          <w:rFonts w:ascii="Calibri" w:hAnsi="Calibri"/>
        </w:rPr>
        <w:t>Sakhir</w:t>
      </w:r>
      <w:proofErr w:type="spellEnd"/>
      <w:r w:rsidR="0031284C" w:rsidRPr="006D3089">
        <w:rPr>
          <w:rFonts w:ascii="Calibri" w:hAnsi="Calibri"/>
        </w:rPr>
        <w:t xml:space="preserve"> passed out and fell to the ground </w:t>
      </w:r>
      <w:r w:rsidR="002D3C8B">
        <w:rPr>
          <w:rFonts w:ascii="Calibri" w:hAnsi="Calibri"/>
        </w:rPr>
        <w:t xml:space="preserve">as a result of </w:t>
      </w:r>
      <w:r w:rsidR="00496AEE">
        <w:rPr>
          <w:rFonts w:ascii="Calibri" w:hAnsi="Calibri"/>
        </w:rPr>
        <w:t>his injuries</w:t>
      </w:r>
      <w:r w:rsidR="0031284C" w:rsidRPr="006D3089">
        <w:rPr>
          <w:rFonts w:ascii="Calibri" w:hAnsi="Calibri"/>
        </w:rPr>
        <w:t xml:space="preserve">. He woke up to a soldier injecting him with an unknown substance. </w:t>
      </w:r>
      <w:r w:rsidR="002D3C8B">
        <w:rPr>
          <w:rFonts w:ascii="Calibri" w:hAnsi="Calibri"/>
        </w:rPr>
        <w:t xml:space="preserve">Once he regained consciousness, </w:t>
      </w:r>
      <w:proofErr w:type="spellStart"/>
      <w:r w:rsidR="002D3C8B">
        <w:rPr>
          <w:rFonts w:ascii="Calibri" w:hAnsi="Calibri"/>
        </w:rPr>
        <w:t>Sakhir</w:t>
      </w:r>
      <w:proofErr w:type="spellEnd"/>
      <w:r w:rsidR="002D3C8B">
        <w:rPr>
          <w:rFonts w:ascii="Calibri" w:hAnsi="Calibri"/>
        </w:rPr>
        <w:t xml:space="preserve"> was</w:t>
      </w:r>
      <w:r w:rsidR="003A2974">
        <w:rPr>
          <w:rFonts w:ascii="Calibri" w:hAnsi="Calibri"/>
        </w:rPr>
        <w:t xml:space="preserve"> </w:t>
      </w:r>
      <w:r w:rsidR="0031284C" w:rsidRPr="006D3089">
        <w:rPr>
          <w:rFonts w:ascii="Calibri" w:hAnsi="Calibri"/>
        </w:rPr>
        <w:t>drag</w:t>
      </w:r>
      <w:r w:rsidR="006D3089">
        <w:rPr>
          <w:rFonts w:ascii="Calibri" w:hAnsi="Calibri"/>
        </w:rPr>
        <w:t>ged</w:t>
      </w:r>
      <w:r w:rsidR="00496AEE">
        <w:rPr>
          <w:rFonts w:ascii="Calibri" w:hAnsi="Calibri"/>
        </w:rPr>
        <w:t xml:space="preserve"> </w:t>
      </w:r>
      <w:r w:rsidR="0031284C" w:rsidRPr="006D3089">
        <w:rPr>
          <w:rFonts w:ascii="Calibri" w:hAnsi="Calibri"/>
        </w:rPr>
        <w:t xml:space="preserve">to his room and forced to find his ID card. </w:t>
      </w:r>
      <w:r w:rsidR="004919AA">
        <w:rPr>
          <w:rFonts w:ascii="Calibri" w:hAnsi="Calibri"/>
        </w:rPr>
        <w:t xml:space="preserve">Around 3:30 </w:t>
      </w:r>
      <w:proofErr w:type="gramStart"/>
      <w:r w:rsidR="004919AA">
        <w:rPr>
          <w:rFonts w:ascii="Calibri" w:hAnsi="Calibri"/>
        </w:rPr>
        <w:t>am</w:t>
      </w:r>
      <w:proofErr w:type="gramEnd"/>
      <w:r w:rsidR="004919AA">
        <w:rPr>
          <w:rFonts w:ascii="Calibri" w:hAnsi="Calibri"/>
        </w:rPr>
        <w:t>, t</w:t>
      </w:r>
      <w:r w:rsidR="002D3C8B">
        <w:rPr>
          <w:rFonts w:ascii="Calibri" w:hAnsi="Calibri"/>
        </w:rPr>
        <w:t xml:space="preserve">he </w:t>
      </w:r>
      <w:r w:rsidR="003A2974">
        <w:rPr>
          <w:rFonts w:ascii="Calibri" w:hAnsi="Calibri"/>
        </w:rPr>
        <w:t>IOF blind-folded and handcuffed</w:t>
      </w:r>
      <w:r w:rsidR="004919AA">
        <w:rPr>
          <w:rFonts w:ascii="Calibri" w:hAnsi="Calibri"/>
        </w:rPr>
        <w:t xml:space="preserve"> </w:t>
      </w:r>
      <w:proofErr w:type="spellStart"/>
      <w:r w:rsidR="004919AA">
        <w:rPr>
          <w:rFonts w:ascii="Calibri" w:hAnsi="Calibri"/>
        </w:rPr>
        <w:t>Sakhir</w:t>
      </w:r>
      <w:proofErr w:type="spellEnd"/>
      <w:r w:rsidR="004919AA">
        <w:rPr>
          <w:rFonts w:ascii="Calibri" w:hAnsi="Calibri"/>
        </w:rPr>
        <w:t xml:space="preserve">, and dragged him out of his house wearing </w:t>
      </w:r>
      <w:r w:rsidR="0031284C" w:rsidRPr="006D3089">
        <w:rPr>
          <w:rFonts w:ascii="Calibri" w:hAnsi="Calibri"/>
        </w:rPr>
        <w:t>only his underwear</w:t>
      </w:r>
      <w:r w:rsidR="006D3089">
        <w:rPr>
          <w:rFonts w:ascii="Calibri" w:hAnsi="Calibri"/>
        </w:rPr>
        <w:t>.</w:t>
      </w:r>
      <w:r w:rsidR="003A2974">
        <w:rPr>
          <w:rFonts w:ascii="Calibri" w:hAnsi="Calibri"/>
        </w:rPr>
        <w:t xml:space="preserve"> </w:t>
      </w:r>
      <w:proofErr w:type="spellStart"/>
      <w:r w:rsidR="0031284C" w:rsidRPr="006D3089">
        <w:rPr>
          <w:rFonts w:ascii="Calibri" w:hAnsi="Calibri"/>
        </w:rPr>
        <w:t>Sakhir</w:t>
      </w:r>
      <w:proofErr w:type="spellEnd"/>
      <w:r w:rsidR="0031284C" w:rsidRPr="006D3089">
        <w:rPr>
          <w:rFonts w:ascii="Calibri" w:hAnsi="Calibri"/>
        </w:rPr>
        <w:t xml:space="preserve"> was then taken to another house in the </w:t>
      </w:r>
      <w:proofErr w:type="spellStart"/>
      <w:r w:rsidR="004237DF" w:rsidRPr="006D3089">
        <w:rPr>
          <w:rFonts w:ascii="Calibri" w:hAnsi="Calibri"/>
        </w:rPr>
        <w:t>Alfara</w:t>
      </w:r>
      <w:proofErr w:type="spellEnd"/>
      <w:r w:rsidR="004237DF" w:rsidRPr="006D3089">
        <w:rPr>
          <w:rFonts w:ascii="Calibri" w:hAnsi="Calibri"/>
        </w:rPr>
        <w:t xml:space="preserve">’ </w:t>
      </w:r>
      <w:r w:rsidR="0031284C" w:rsidRPr="006D3089">
        <w:rPr>
          <w:rFonts w:ascii="Calibri" w:hAnsi="Calibri"/>
        </w:rPr>
        <w:t xml:space="preserve">refugee camp </w:t>
      </w:r>
      <w:r w:rsidR="004237DF">
        <w:rPr>
          <w:rFonts w:ascii="Calibri" w:hAnsi="Calibri"/>
        </w:rPr>
        <w:t xml:space="preserve">where he </w:t>
      </w:r>
      <w:r w:rsidR="004919AA">
        <w:rPr>
          <w:rFonts w:ascii="Calibri" w:hAnsi="Calibri"/>
        </w:rPr>
        <w:t>was interrogated</w:t>
      </w:r>
      <w:r w:rsidR="00496AEE">
        <w:rPr>
          <w:rFonts w:ascii="Calibri" w:hAnsi="Calibri"/>
        </w:rPr>
        <w:t xml:space="preserve">. </w:t>
      </w:r>
      <w:proofErr w:type="spellStart"/>
      <w:r w:rsidR="002D3C8B" w:rsidRPr="006D3089">
        <w:rPr>
          <w:rFonts w:ascii="Calibri" w:hAnsi="Calibri"/>
        </w:rPr>
        <w:t>Sakhir</w:t>
      </w:r>
      <w:proofErr w:type="spellEnd"/>
      <w:r w:rsidR="002D3C8B" w:rsidRPr="006D3089">
        <w:rPr>
          <w:rFonts w:ascii="Calibri" w:hAnsi="Calibri"/>
        </w:rPr>
        <w:t xml:space="preserve"> </w:t>
      </w:r>
      <w:r w:rsidR="0031284C" w:rsidRPr="006D3089">
        <w:rPr>
          <w:rFonts w:ascii="Calibri" w:hAnsi="Calibri"/>
        </w:rPr>
        <w:t xml:space="preserve">was then transported to </w:t>
      </w:r>
      <w:r w:rsidR="002D3C8B">
        <w:rPr>
          <w:rFonts w:ascii="Calibri" w:hAnsi="Calibri"/>
        </w:rPr>
        <w:t>the</w:t>
      </w:r>
      <w:r w:rsidR="004919AA">
        <w:rPr>
          <w:rFonts w:ascii="Calibri" w:hAnsi="Calibri"/>
        </w:rPr>
        <w:t xml:space="preserve"> </w:t>
      </w:r>
      <w:r w:rsidR="0031284C" w:rsidRPr="006D3089">
        <w:rPr>
          <w:rFonts w:ascii="Calibri" w:hAnsi="Calibri"/>
        </w:rPr>
        <w:t>Israeli prison</w:t>
      </w:r>
      <w:r w:rsidR="002D3C8B">
        <w:rPr>
          <w:rFonts w:ascii="Calibri" w:hAnsi="Calibri"/>
        </w:rPr>
        <w:t xml:space="preserve"> of </w:t>
      </w:r>
      <w:proofErr w:type="spellStart"/>
      <w:r w:rsidR="002D3C8B" w:rsidRPr="006D3089">
        <w:rPr>
          <w:rFonts w:ascii="Calibri" w:hAnsi="Calibri"/>
        </w:rPr>
        <w:t>Majdo</w:t>
      </w:r>
      <w:proofErr w:type="spellEnd"/>
      <w:r w:rsidR="0031284C" w:rsidRPr="006D3089">
        <w:rPr>
          <w:rFonts w:ascii="Calibri" w:hAnsi="Calibri"/>
        </w:rPr>
        <w:t xml:space="preserve"> in the West Bank </w:t>
      </w:r>
      <w:r w:rsidR="004237DF" w:rsidRPr="006D3089">
        <w:rPr>
          <w:rFonts w:ascii="Calibri" w:hAnsi="Calibri"/>
        </w:rPr>
        <w:t>city of Jenin</w:t>
      </w:r>
      <w:r w:rsidR="0031284C" w:rsidRPr="006D3089">
        <w:rPr>
          <w:rFonts w:ascii="Calibri" w:hAnsi="Calibri"/>
        </w:rPr>
        <w:t xml:space="preserve">. </w:t>
      </w:r>
      <w:r w:rsidR="00DC2B5F">
        <w:rPr>
          <w:rFonts w:ascii="Calibri" w:hAnsi="Calibri"/>
        </w:rPr>
        <w:t>He</w:t>
      </w:r>
      <w:r w:rsidR="00496AEE">
        <w:rPr>
          <w:rFonts w:ascii="Calibri" w:hAnsi="Calibri"/>
        </w:rPr>
        <w:t xml:space="preserve"> </w:t>
      </w:r>
      <w:r w:rsidR="0031284C" w:rsidRPr="006D3089">
        <w:rPr>
          <w:rFonts w:ascii="Calibri" w:hAnsi="Calibri"/>
        </w:rPr>
        <w:t>was left without medical care or treatment for four days</w:t>
      </w:r>
      <w:r w:rsidR="00496AEE">
        <w:rPr>
          <w:rFonts w:ascii="Calibri" w:hAnsi="Calibri"/>
        </w:rPr>
        <w:t>,</w:t>
      </w:r>
      <w:r w:rsidR="0031284C" w:rsidRPr="006D3089">
        <w:rPr>
          <w:rFonts w:ascii="Calibri" w:hAnsi="Calibri"/>
        </w:rPr>
        <w:t xml:space="preserve"> </w:t>
      </w:r>
      <w:r w:rsidR="004237DF">
        <w:rPr>
          <w:rFonts w:ascii="Calibri" w:hAnsi="Calibri"/>
        </w:rPr>
        <w:t>despite</w:t>
      </w:r>
      <w:r w:rsidR="00496AEE">
        <w:rPr>
          <w:rFonts w:ascii="Calibri" w:hAnsi="Calibri"/>
        </w:rPr>
        <w:t xml:space="preserve"> </w:t>
      </w:r>
      <w:r w:rsidR="0031284C" w:rsidRPr="006D3089">
        <w:rPr>
          <w:rFonts w:ascii="Calibri" w:hAnsi="Calibri"/>
        </w:rPr>
        <w:t xml:space="preserve">his wounds </w:t>
      </w:r>
      <w:r w:rsidR="004237DF">
        <w:rPr>
          <w:rFonts w:ascii="Calibri" w:hAnsi="Calibri"/>
        </w:rPr>
        <w:t xml:space="preserve">and </w:t>
      </w:r>
      <w:r w:rsidR="00437720" w:rsidRPr="00496AEE">
        <w:rPr>
          <w:rFonts w:ascii="Calibri" w:hAnsi="Calibri"/>
        </w:rPr>
        <w:t>the illness</w:t>
      </w:r>
      <w:r w:rsidR="0031284C" w:rsidRPr="006D3089">
        <w:rPr>
          <w:rFonts w:ascii="Calibri" w:hAnsi="Calibri"/>
        </w:rPr>
        <w:t xml:space="preserve"> </w:t>
      </w:r>
      <w:r w:rsidR="00DC2B5F">
        <w:rPr>
          <w:rFonts w:ascii="Calibri" w:hAnsi="Calibri"/>
        </w:rPr>
        <w:t>he contracted as</w:t>
      </w:r>
      <w:r w:rsidR="004919AA">
        <w:rPr>
          <w:rFonts w:ascii="Calibri" w:hAnsi="Calibri"/>
        </w:rPr>
        <w:t xml:space="preserve"> </w:t>
      </w:r>
      <w:r w:rsidR="0031284C" w:rsidRPr="006D3089">
        <w:rPr>
          <w:rFonts w:ascii="Calibri" w:hAnsi="Calibri"/>
        </w:rPr>
        <w:t xml:space="preserve">a result of </w:t>
      </w:r>
      <w:r w:rsidR="00512AEB">
        <w:rPr>
          <w:rFonts w:ascii="Calibri" w:hAnsi="Calibri"/>
        </w:rPr>
        <w:t>being forced</w:t>
      </w:r>
      <w:r w:rsidR="004919AA">
        <w:rPr>
          <w:rFonts w:ascii="Calibri" w:hAnsi="Calibri"/>
        </w:rPr>
        <w:t xml:space="preserve"> </w:t>
      </w:r>
      <w:r w:rsidR="00DC2B5F">
        <w:rPr>
          <w:rFonts w:ascii="Calibri" w:hAnsi="Calibri"/>
        </w:rPr>
        <w:t xml:space="preserve">outside </w:t>
      </w:r>
      <w:r w:rsidR="0031284C" w:rsidRPr="006D3089">
        <w:rPr>
          <w:rFonts w:ascii="Calibri" w:hAnsi="Calibri"/>
        </w:rPr>
        <w:t xml:space="preserve">in the cold </w:t>
      </w:r>
      <w:r w:rsidR="004919AA">
        <w:rPr>
          <w:rFonts w:ascii="Calibri" w:hAnsi="Calibri"/>
        </w:rPr>
        <w:t>while undressed</w:t>
      </w:r>
      <w:r w:rsidR="0031284C" w:rsidRPr="006D3089">
        <w:rPr>
          <w:rFonts w:ascii="Calibri" w:hAnsi="Calibri"/>
        </w:rPr>
        <w:t xml:space="preserve">. </w:t>
      </w:r>
      <w:proofErr w:type="spellStart"/>
      <w:r w:rsidR="0031284C" w:rsidRPr="006D3089">
        <w:rPr>
          <w:rFonts w:ascii="Calibri" w:hAnsi="Calibri"/>
        </w:rPr>
        <w:t>Sakhir</w:t>
      </w:r>
      <w:proofErr w:type="spellEnd"/>
      <w:r w:rsidR="0031284C" w:rsidRPr="006D3089">
        <w:rPr>
          <w:rFonts w:ascii="Calibri" w:hAnsi="Calibri"/>
        </w:rPr>
        <w:t xml:space="preserve"> was sentenced to 6 months </w:t>
      </w:r>
      <w:r w:rsidR="00DC2B5F">
        <w:rPr>
          <w:rFonts w:ascii="Calibri" w:hAnsi="Calibri"/>
        </w:rPr>
        <w:t>in</w:t>
      </w:r>
      <w:r w:rsidR="004919AA">
        <w:rPr>
          <w:rFonts w:ascii="Calibri" w:hAnsi="Calibri"/>
        </w:rPr>
        <w:t xml:space="preserve"> </w:t>
      </w:r>
      <w:r w:rsidR="0031284C" w:rsidRPr="006D3089">
        <w:rPr>
          <w:rFonts w:ascii="Calibri" w:hAnsi="Calibri"/>
        </w:rPr>
        <w:t>prison</w:t>
      </w:r>
      <w:r w:rsidR="004919AA">
        <w:rPr>
          <w:rFonts w:ascii="Calibri" w:hAnsi="Calibri"/>
        </w:rPr>
        <w:t xml:space="preserve"> </w:t>
      </w:r>
      <w:r w:rsidR="00512AEB">
        <w:rPr>
          <w:rFonts w:ascii="Calibri" w:hAnsi="Calibri"/>
        </w:rPr>
        <w:t>for</w:t>
      </w:r>
      <w:r w:rsidR="004919AA">
        <w:rPr>
          <w:rFonts w:ascii="Calibri" w:hAnsi="Calibri"/>
        </w:rPr>
        <w:t xml:space="preserve"> </w:t>
      </w:r>
      <w:r w:rsidR="0031284C" w:rsidRPr="006D3089">
        <w:rPr>
          <w:rFonts w:ascii="Calibri" w:hAnsi="Calibri"/>
        </w:rPr>
        <w:t xml:space="preserve">throwing </w:t>
      </w:r>
      <w:r w:rsidR="00DC2B5F">
        <w:rPr>
          <w:rFonts w:ascii="Calibri" w:hAnsi="Calibri"/>
        </w:rPr>
        <w:t>stones</w:t>
      </w:r>
      <w:r w:rsidR="00683E40">
        <w:rPr>
          <w:rFonts w:ascii="Calibri" w:hAnsi="Calibri"/>
        </w:rPr>
        <w:t>.</w:t>
      </w:r>
      <w:r w:rsidR="0031284C" w:rsidRPr="006D3089">
        <w:rPr>
          <w:rFonts w:ascii="Calibri" w:hAnsi="Calibri"/>
        </w:rPr>
        <w:t xml:space="preserve"> He was </w:t>
      </w:r>
      <w:r w:rsidR="00683E40">
        <w:rPr>
          <w:rFonts w:ascii="Calibri" w:hAnsi="Calibri"/>
        </w:rPr>
        <w:t>released</w:t>
      </w:r>
      <w:r w:rsidR="0031284C" w:rsidRPr="006D3089">
        <w:rPr>
          <w:rFonts w:ascii="Calibri" w:hAnsi="Calibri"/>
        </w:rPr>
        <w:t xml:space="preserve"> on 14 January 2015.</w:t>
      </w:r>
      <w:r w:rsidR="00133D7B">
        <w:rPr>
          <w:rFonts w:ascii="Calibri" w:hAnsi="Calibri"/>
        </w:rPr>
        <w:t xml:space="preserve"> (</w:t>
      </w:r>
      <w:r w:rsidR="00133D7B" w:rsidRPr="00133D7B">
        <w:rPr>
          <w:rFonts w:ascii="Calibri" w:hAnsi="Calibri"/>
        </w:rPr>
        <w:t>Affidavit No. 10505/2015</w:t>
      </w:r>
      <w:r w:rsidR="00133D7B">
        <w:rPr>
          <w:rFonts w:ascii="Calibri" w:hAnsi="Calibri"/>
        </w:rPr>
        <w:t>)</w:t>
      </w:r>
    </w:p>
    <w:p w:rsidR="0031284C" w:rsidRPr="0079266B" w:rsidRDefault="0031284C" w:rsidP="0031284C">
      <w:pPr>
        <w:pStyle w:val="Heading1"/>
      </w:pPr>
      <w:r w:rsidRPr="0079266B">
        <w:t>Juvenile criminal justice system (Articles 2, 7, 9, 10, 14</w:t>
      </w:r>
      <w:r>
        <w:t>,</w:t>
      </w:r>
      <w:r w:rsidRPr="0079266B">
        <w:t xml:space="preserve"> and 24)</w:t>
      </w:r>
    </w:p>
    <w:p w:rsidR="00D416C7" w:rsidRDefault="0031284C" w:rsidP="00322C97">
      <w:pPr>
        <w:rPr>
          <w:rFonts w:ascii="Calibri" w:hAnsi="Calibri"/>
        </w:rPr>
      </w:pPr>
      <w:r>
        <w:rPr>
          <w:rFonts w:ascii="Calibri" w:hAnsi="Calibri"/>
        </w:rPr>
        <w:t xml:space="preserve"> Israel applies a dual</w:t>
      </w:r>
      <w:r w:rsidRPr="004739C6">
        <w:rPr>
          <w:rFonts w:ascii="Calibri" w:hAnsi="Calibri"/>
        </w:rPr>
        <w:t xml:space="preserve"> and discriminatory justice system for Palestinian youth</w:t>
      </w:r>
      <w:r>
        <w:rPr>
          <w:rFonts w:ascii="Calibri" w:hAnsi="Calibri"/>
        </w:rPr>
        <w:t xml:space="preserve"> in the West Bank. Jewish settlers living in </w:t>
      </w:r>
      <w:r w:rsidR="004237DF">
        <w:rPr>
          <w:rFonts w:ascii="Calibri" w:hAnsi="Calibri"/>
        </w:rPr>
        <w:t xml:space="preserve">illegal settlements in </w:t>
      </w:r>
      <w:r>
        <w:rPr>
          <w:rFonts w:ascii="Calibri" w:hAnsi="Calibri"/>
        </w:rPr>
        <w:t xml:space="preserve">the West Bank are </w:t>
      </w:r>
      <w:r w:rsidR="00322C97">
        <w:rPr>
          <w:rFonts w:ascii="Calibri" w:hAnsi="Calibri"/>
        </w:rPr>
        <w:t xml:space="preserve">subject to Israeli domestic law, while </w:t>
      </w:r>
      <w:r>
        <w:rPr>
          <w:rFonts w:ascii="Calibri" w:hAnsi="Calibri"/>
        </w:rPr>
        <w:t>Palestinians</w:t>
      </w:r>
      <w:r w:rsidR="001B33B6">
        <w:rPr>
          <w:rFonts w:ascii="Calibri" w:hAnsi="Calibri"/>
        </w:rPr>
        <w:t xml:space="preserve"> living in the West Bank</w:t>
      </w:r>
      <w:r w:rsidR="00322C97">
        <w:rPr>
          <w:rFonts w:ascii="Calibri" w:hAnsi="Calibri"/>
        </w:rPr>
        <w:t xml:space="preserve"> are subject to Israeli military rule</w:t>
      </w:r>
      <w:r w:rsidRPr="001B33B6">
        <w:rPr>
          <w:rFonts w:ascii="Calibri" w:hAnsi="Calibri"/>
        </w:rPr>
        <w:t>.</w:t>
      </w:r>
      <w:r w:rsidR="0002766C">
        <w:rPr>
          <w:rFonts w:ascii="Calibri" w:hAnsi="Calibri"/>
        </w:rPr>
        <w:t xml:space="preserve"> </w:t>
      </w:r>
      <w:r w:rsidR="00322C97" w:rsidRPr="00E15811">
        <w:rPr>
          <w:rFonts w:ascii="Calibri" w:hAnsi="Calibri"/>
        </w:rPr>
        <w:t>Palestinians in East Jerusalem are subject to Israeli domestic law</w:t>
      </w:r>
      <w:r w:rsidR="001B33B6">
        <w:rPr>
          <w:rFonts w:ascii="Calibri" w:hAnsi="Calibri"/>
        </w:rPr>
        <w:t>.</w:t>
      </w:r>
      <w:r w:rsidRPr="001B33B6">
        <w:rPr>
          <w:rFonts w:ascii="Calibri" w:hAnsi="Calibri"/>
        </w:rPr>
        <w:t xml:space="preserve"> This system</w:t>
      </w:r>
      <w:r w:rsidR="00322C97">
        <w:rPr>
          <w:rFonts w:ascii="Calibri" w:hAnsi="Calibri"/>
        </w:rPr>
        <w:t>, and how it is practically implemented,</w:t>
      </w:r>
      <w:r w:rsidRPr="001B33B6">
        <w:rPr>
          <w:rFonts w:ascii="Calibri" w:hAnsi="Calibri"/>
        </w:rPr>
        <w:t xml:space="preserve"> </w:t>
      </w:r>
      <w:r w:rsidR="00983713" w:rsidRPr="001B33B6">
        <w:rPr>
          <w:rFonts w:ascii="Calibri" w:hAnsi="Calibri"/>
        </w:rPr>
        <w:t xml:space="preserve">allows the ICA and the Israeli Government to </w:t>
      </w:r>
      <w:r w:rsidR="00322C97">
        <w:rPr>
          <w:rFonts w:ascii="Calibri" w:hAnsi="Calibri"/>
        </w:rPr>
        <w:t>target</w:t>
      </w:r>
      <w:r w:rsidR="00983713" w:rsidRPr="001B33B6">
        <w:rPr>
          <w:rFonts w:ascii="Calibri" w:hAnsi="Calibri"/>
        </w:rPr>
        <w:t xml:space="preserve"> Palestinian youth in the </w:t>
      </w:r>
      <w:r w:rsidR="00683E40" w:rsidRPr="001B33B6">
        <w:rPr>
          <w:rFonts w:ascii="Calibri" w:hAnsi="Calibri"/>
        </w:rPr>
        <w:t>OPT</w:t>
      </w:r>
      <w:r w:rsidR="00322C97">
        <w:rPr>
          <w:rFonts w:ascii="Calibri" w:hAnsi="Calibri"/>
        </w:rPr>
        <w:t xml:space="preserve">, in violation </w:t>
      </w:r>
      <w:proofErr w:type="spellStart"/>
      <w:r w:rsidR="00322C97">
        <w:rPr>
          <w:rFonts w:ascii="Calibri" w:hAnsi="Calibri"/>
        </w:rPr>
        <w:t>of</w:t>
      </w:r>
      <w:r w:rsidR="00983713" w:rsidRPr="001B33B6">
        <w:rPr>
          <w:rFonts w:ascii="Calibri" w:hAnsi="Calibri"/>
        </w:rPr>
        <w:t>Article</w:t>
      </w:r>
      <w:proofErr w:type="spellEnd"/>
      <w:r w:rsidR="00983713" w:rsidRPr="001B33B6">
        <w:rPr>
          <w:rFonts w:ascii="Calibri" w:hAnsi="Calibri"/>
        </w:rPr>
        <w:t xml:space="preserve"> 24 of the ICCPR.</w:t>
      </w:r>
      <w:r w:rsidR="004919AA">
        <w:rPr>
          <w:rFonts w:ascii="Calibri" w:hAnsi="Calibri"/>
        </w:rPr>
        <w:t xml:space="preserve"> </w:t>
      </w:r>
      <w:r w:rsidR="00983713" w:rsidRPr="001B33B6">
        <w:rPr>
          <w:rFonts w:ascii="Calibri" w:hAnsi="Calibri"/>
        </w:rPr>
        <w:t>D</w:t>
      </w:r>
      <w:r w:rsidRPr="001B33B6">
        <w:rPr>
          <w:rFonts w:ascii="Calibri" w:hAnsi="Calibri"/>
        </w:rPr>
        <w:t>uring the follow</w:t>
      </w:r>
      <w:r w:rsidR="00983713" w:rsidRPr="001B33B6">
        <w:rPr>
          <w:rFonts w:ascii="Calibri" w:hAnsi="Calibri"/>
        </w:rPr>
        <w:t>-</w:t>
      </w:r>
      <w:r w:rsidRPr="001B33B6">
        <w:rPr>
          <w:rFonts w:ascii="Calibri" w:hAnsi="Calibri"/>
        </w:rPr>
        <w:t>up period</w:t>
      </w:r>
      <w:r w:rsidR="00983713" w:rsidRPr="001B33B6">
        <w:rPr>
          <w:rFonts w:ascii="Calibri" w:hAnsi="Calibri"/>
        </w:rPr>
        <w:t>,</w:t>
      </w:r>
      <w:r w:rsidR="004919AA">
        <w:rPr>
          <w:rFonts w:ascii="Calibri" w:hAnsi="Calibri"/>
        </w:rPr>
        <w:t xml:space="preserve"> </w:t>
      </w:r>
      <w:r w:rsidR="00983713" w:rsidRPr="001B33B6">
        <w:rPr>
          <w:rFonts w:ascii="Calibri" w:hAnsi="Calibri"/>
        </w:rPr>
        <w:t xml:space="preserve">Israel </w:t>
      </w:r>
      <w:r w:rsidRPr="001B33B6">
        <w:rPr>
          <w:rFonts w:ascii="Calibri" w:hAnsi="Calibri"/>
        </w:rPr>
        <w:t xml:space="preserve">has </w:t>
      </w:r>
      <w:r w:rsidR="00133D7B" w:rsidRPr="001B33B6">
        <w:rPr>
          <w:rFonts w:ascii="Calibri" w:hAnsi="Calibri"/>
        </w:rPr>
        <w:t xml:space="preserve">continued to </w:t>
      </w:r>
      <w:r w:rsidRPr="001B33B6">
        <w:rPr>
          <w:rFonts w:ascii="Calibri" w:hAnsi="Calibri"/>
        </w:rPr>
        <w:t xml:space="preserve">convict </w:t>
      </w:r>
      <w:r w:rsidR="00322C97">
        <w:rPr>
          <w:rFonts w:ascii="Calibri" w:hAnsi="Calibri"/>
        </w:rPr>
        <w:t xml:space="preserve">and detain </w:t>
      </w:r>
      <w:r w:rsidRPr="001B33B6">
        <w:rPr>
          <w:rFonts w:ascii="Calibri" w:hAnsi="Calibri"/>
        </w:rPr>
        <w:t>Palestinian children in military</w:t>
      </w:r>
      <w:r w:rsidR="00E94321" w:rsidRPr="001B33B6">
        <w:rPr>
          <w:rFonts w:ascii="Calibri" w:hAnsi="Calibri"/>
        </w:rPr>
        <w:t xml:space="preserve"> and regular</w:t>
      </w:r>
      <w:r w:rsidRPr="001B33B6">
        <w:rPr>
          <w:rFonts w:ascii="Calibri" w:hAnsi="Calibri"/>
        </w:rPr>
        <w:t xml:space="preserve"> courts</w:t>
      </w:r>
      <w:r w:rsidR="00322C97">
        <w:rPr>
          <w:rFonts w:ascii="Calibri" w:hAnsi="Calibri"/>
        </w:rPr>
        <w:t xml:space="preserve"> in processes that lack basic due process and fair trial procedures</w:t>
      </w:r>
      <w:r w:rsidRPr="001B33B6">
        <w:rPr>
          <w:rFonts w:ascii="Calibri" w:hAnsi="Calibri"/>
        </w:rPr>
        <w:t xml:space="preserve">. </w:t>
      </w:r>
      <w:r w:rsidR="003A7557">
        <w:rPr>
          <w:rFonts w:ascii="Calibri" w:hAnsi="Calibri"/>
        </w:rPr>
        <w:t>As of May 2017</w:t>
      </w:r>
      <w:r w:rsidR="00133D7B" w:rsidRPr="001B33B6">
        <w:rPr>
          <w:rFonts w:ascii="Calibri" w:hAnsi="Calibri"/>
        </w:rPr>
        <w:t>,</w:t>
      </w:r>
      <w:r w:rsidR="004919AA">
        <w:rPr>
          <w:rFonts w:ascii="Calibri" w:hAnsi="Calibri"/>
        </w:rPr>
        <w:t xml:space="preserve"> </w:t>
      </w:r>
      <w:r w:rsidRPr="001B33B6">
        <w:rPr>
          <w:rFonts w:ascii="Calibri" w:hAnsi="Calibri"/>
        </w:rPr>
        <w:t xml:space="preserve">there are </w:t>
      </w:r>
      <w:r w:rsidRPr="001B33B6">
        <w:rPr>
          <w:rFonts w:ascii="Calibri" w:hAnsi="Calibri"/>
        </w:rPr>
        <w:lastRenderedPageBreak/>
        <w:t xml:space="preserve">300 </w:t>
      </w:r>
      <w:r w:rsidR="003A7557">
        <w:rPr>
          <w:rFonts w:ascii="Calibri" w:hAnsi="Calibri"/>
        </w:rPr>
        <w:t xml:space="preserve">Palestinian </w:t>
      </w:r>
      <w:r w:rsidR="00B37527">
        <w:rPr>
          <w:rFonts w:ascii="Calibri" w:hAnsi="Calibri"/>
        </w:rPr>
        <w:t>minors</w:t>
      </w:r>
      <w:r w:rsidR="004919AA">
        <w:rPr>
          <w:rFonts w:ascii="Calibri" w:hAnsi="Calibri"/>
        </w:rPr>
        <w:t xml:space="preserve"> </w:t>
      </w:r>
      <w:r>
        <w:rPr>
          <w:rStyle w:val="FootnoteReference"/>
          <w:rFonts w:ascii="Calibri" w:hAnsi="Calibri"/>
        </w:rPr>
        <w:footnoteReference w:id="14"/>
      </w:r>
      <w:r w:rsidR="00322C97">
        <w:rPr>
          <w:rFonts w:ascii="Calibri" w:hAnsi="Calibri"/>
        </w:rPr>
        <w:t xml:space="preserve"> </w:t>
      </w:r>
      <w:r w:rsidR="00B37527">
        <w:rPr>
          <w:rFonts w:ascii="Calibri" w:hAnsi="Calibri"/>
        </w:rPr>
        <w:t xml:space="preserve">detained </w:t>
      </w:r>
      <w:r w:rsidRPr="001B33B6">
        <w:rPr>
          <w:rFonts w:ascii="Calibri" w:hAnsi="Calibri"/>
        </w:rPr>
        <w:t xml:space="preserve">in </w:t>
      </w:r>
      <w:r w:rsidR="00437720" w:rsidRPr="00E15811">
        <w:rPr>
          <w:rFonts w:ascii="Calibri" w:hAnsi="Calibri"/>
        </w:rPr>
        <w:t>Israeli prisons</w:t>
      </w:r>
      <w:r w:rsidR="00B37527" w:rsidRPr="00E15811">
        <w:rPr>
          <w:rFonts w:ascii="Calibri" w:hAnsi="Calibri"/>
        </w:rPr>
        <w:t xml:space="preserve">, where they are </w:t>
      </w:r>
      <w:r w:rsidR="00C84B8C" w:rsidRPr="00E15811">
        <w:rPr>
          <w:rFonts w:ascii="Calibri" w:hAnsi="Calibri"/>
        </w:rPr>
        <w:t xml:space="preserve">often detained under conditions </w:t>
      </w:r>
      <w:proofErr w:type="gramStart"/>
      <w:r w:rsidR="00C84B8C" w:rsidRPr="00E15811">
        <w:rPr>
          <w:rFonts w:ascii="Calibri" w:hAnsi="Calibri"/>
        </w:rPr>
        <w:t>that  violate</w:t>
      </w:r>
      <w:proofErr w:type="gramEnd"/>
      <w:r w:rsidR="00322C97" w:rsidRPr="00E15811">
        <w:rPr>
          <w:rFonts w:ascii="Calibri" w:hAnsi="Calibri"/>
        </w:rPr>
        <w:t xml:space="preserve"> </w:t>
      </w:r>
      <w:r w:rsidR="00437720" w:rsidRPr="00E15811">
        <w:rPr>
          <w:rFonts w:ascii="Calibri" w:hAnsi="Calibri"/>
        </w:rPr>
        <w:t xml:space="preserve"> Article 10(2)(b) of the ICCPR</w:t>
      </w:r>
      <w:r w:rsidRPr="001B33B6">
        <w:rPr>
          <w:rFonts w:ascii="Calibri" w:hAnsi="Calibri"/>
        </w:rPr>
        <w:t>.</w:t>
      </w:r>
    </w:p>
    <w:p w:rsidR="00C84B8C" w:rsidRDefault="00C84B8C" w:rsidP="00404372">
      <w:pPr>
        <w:rPr>
          <w:rFonts w:ascii="Calibri" w:hAnsi="Calibri"/>
        </w:rPr>
      </w:pPr>
      <w:r>
        <w:rPr>
          <w:rFonts w:ascii="Calibri" w:hAnsi="Calibri"/>
        </w:rPr>
        <w:t xml:space="preserve">In general, Israel continues to use juvenile arrest and detention as a method to </w:t>
      </w:r>
      <w:proofErr w:type="spellStart"/>
      <w:r>
        <w:rPr>
          <w:rFonts w:ascii="Calibri" w:hAnsi="Calibri"/>
        </w:rPr>
        <w:t>instill</w:t>
      </w:r>
      <w:proofErr w:type="spellEnd"/>
      <w:r>
        <w:rPr>
          <w:rFonts w:ascii="Calibri" w:hAnsi="Calibri"/>
        </w:rPr>
        <w:t xml:space="preserve"> fear in and control over the protected Palestinian population.</w:t>
      </w:r>
      <w:r w:rsidR="001927BA">
        <w:rPr>
          <w:rFonts w:ascii="Calibri" w:hAnsi="Calibri"/>
        </w:rPr>
        <w:t xml:space="preserve"> </w:t>
      </w:r>
      <w:r>
        <w:rPr>
          <w:rFonts w:ascii="Calibri" w:hAnsi="Calibri"/>
        </w:rPr>
        <w:t>In September 2015, for example,</w:t>
      </w:r>
      <w:r w:rsidR="00B37527">
        <w:rPr>
          <w:rFonts w:ascii="Calibri" w:hAnsi="Calibri"/>
        </w:rPr>
        <w:t xml:space="preserve"> </w:t>
      </w:r>
      <w:r>
        <w:rPr>
          <w:rFonts w:ascii="Calibri" w:hAnsi="Calibri"/>
        </w:rPr>
        <w:t xml:space="preserve">the </w:t>
      </w:r>
      <w:r w:rsidR="00784ADC">
        <w:rPr>
          <w:rFonts w:ascii="Calibri" w:hAnsi="Calibri"/>
        </w:rPr>
        <w:t xml:space="preserve">Israeli Security Cabinet </w:t>
      </w:r>
      <w:r w:rsidR="004919AA">
        <w:rPr>
          <w:rFonts w:ascii="Calibri" w:hAnsi="Calibri"/>
        </w:rPr>
        <w:t xml:space="preserve">increased </w:t>
      </w:r>
      <w:r w:rsidR="00AB53E0" w:rsidRPr="00AB53E0">
        <w:rPr>
          <w:rFonts w:ascii="Calibri" w:hAnsi="Calibri"/>
        </w:rPr>
        <w:t>punitive measures again</w:t>
      </w:r>
      <w:r w:rsidR="00AB53E0">
        <w:rPr>
          <w:rFonts w:ascii="Calibri" w:hAnsi="Calibri"/>
        </w:rPr>
        <w:t>st stone-throwers</w:t>
      </w:r>
      <w:r>
        <w:rPr>
          <w:rFonts w:ascii="Calibri" w:hAnsi="Calibri"/>
        </w:rPr>
        <w:t xml:space="preserve">, where </w:t>
      </w:r>
      <w:r w:rsidR="00784ADC">
        <w:rPr>
          <w:rFonts w:ascii="Calibri" w:hAnsi="Calibri"/>
        </w:rPr>
        <w:t xml:space="preserve">Palestinians </w:t>
      </w:r>
      <w:r w:rsidR="00115EB5">
        <w:rPr>
          <w:rFonts w:ascii="Calibri" w:hAnsi="Calibri"/>
        </w:rPr>
        <w:t xml:space="preserve">between the ages of 14 and 18 </w:t>
      </w:r>
      <w:r w:rsidR="00784ADC">
        <w:rPr>
          <w:rFonts w:ascii="Calibri" w:hAnsi="Calibri"/>
        </w:rPr>
        <w:t>may now</w:t>
      </w:r>
      <w:r w:rsidR="004919AA">
        <w:rPr>
          <w:rFonts w:ascii="Calibri" w:hAnsi="Calibri"/>
        </w:rPr>
        <w:t xml:space="preserve"> </w:t>
      </w:r>
      <w:r w:rsidR="00AB53E0" w:rsidRPr="00AB53E0">
        <w:rPr>
          <w:rFonts w:ascii="Calibri" w:hAnsi="Calibri"/>
        </w:rPr>
        <w:t>face a</w:t>
      </w:r>
      <w:r w:rsidR="00B37527">
        <w:rPr>
          <w:rFonts w:ascii="Calibri" w:hAnsi="Calibri"/>
        </w:rPr>
        <w:t xml:space="preserve">n excessive and disproportionate </w:t>
      </w:r>
      <w:r w:rsidR="00AB53E0" w:rsidRPr="00AB53E0">
        <w:rPr>
          <w:rFonts w:ascii="Calibri" w:hAnsi="Calibri"/>
        </w:rPr>
        <w:t>minimum sentence of 3 years with a maximum punishment of</w:t>
      </w:r>
      <w:r>
        <w:rPr>
          <w:rFonts w:ascii="Calibri" w:hAnsi="Calibri"/>
        </w:rPr>
        <w:t xml:space="preserve"> </w:t>
      </w:r>
      <w:r w:rsidR="00AB53E0" w:rsidRPr="00AB53E0">
        <w:rPr>
          <w:rFonts w:ascii="Calibri" w:hAnsi="Calibri"/>
        </w:rPr>
        <w:t>up to 15 years</w:t>
      </w:r>
      <w:r w:rsidR="00784ADC">
        <w:rPr>
          <w:rFonts w:ascii="Calibri" w:hAnsi="Calibri"/>
        </w:rPr>
        <w:t xml:space="preserve"> for throwing</w:t>
      </w:r>
      <w:r w:rsidR="00B37527">
        <w:rPr>
          <w:rFonts w:ascii="Calibri" w:hAnsi="Calibri"/>
        </w:rPr>
        <w:t xml:space="preserve"> stones</w:t>
      </w:r>
      <w:r w:rsidR="00784ADC">
        <w:rPr>
          <w:rFonts w:ascii="Calibri" w:hAnsi="Calibri"/>
        </w:rPr>
        <w:t>.</w:t>
      </w:r>
      <w:r w:rsidR="00AB53E0">
        <w:rPr>
          <w:rStyle w:val="FootnoteReference"/>
          <w:rFonts w:ascii="Calibri" w:hAnsi="Calibri"/>
        </w:rPr>
        <w:footnoteReference w:id="15"/>
      </w:r>
      <w:r>
        <w:rPr>
          <w:rFonts w:ascii="Calibri" w:hAnsi="Calibri"/>
        </w:rPr>
        <w:t xml:space="preserve"> </w:t>
      </w:r>
      <w:r w:rsidR="00404372">
        <w:rPr>
          <w:rFonts w:ascii="Calibri" w:hAnsi="Calibri"/>
        </w:rPr>
        <w:t xml:space="preserve">In 2016, Israel also changed its domestic law on child sentencing to be in line with military law, thereby allowing Israel to imprison minors as young as 12 years old. The amendment seemingly was made to target Palestinian youth Ahmed </w:t>
      </w:r>
      <w:proofErr w:type="spellStart"/>
      <w:r w:rsidR="00404372">
        <w:rPr>
          <w:rFonts w:ascii="Calibri" w:hAnsi="Calibri"/>
        </w:rPr>
        <w:t>Manasara</w:t>
      </w:r>
      <w:proofErr w:type="spellEnd"/>
      <w:r w:rsidR="00404372">
        <w:rPr>
          <w:rFonts w:ascii="Calibri" w:hAnsi="Calibri"/>
        </w:rPr>
        <w:t>.</w:t>
      </w:r>
      <w:r w:rsidR="00404372">
        <w:rPr>
          <w:rStyle w:val="FootnoteReference"/>
          <w:rFonts w:ascii="Calibri" w:hAnsi="Calibri"/>
        </w:rPr>
        <w:footnoteReference w:id="16"/>
      </w:r>
      <w:r w:rsidR="00404372">
        <w:rPr>
          <w:rFonts w:ascii="Calibri" w:hAnsi="Calibri"/>
        </w:rPr>
        <w:t xml:space="preserve"> </w:t>
      </w:r>
    </w:p>
    <w:p w:rsidR="00D416C7" w:rsidRPr="00404372" w:rsidRDefault="00A44F49" w:rsidP="00E15811">
      <w:pPr>
        <w:rPr>
          <w:rFonts w:ascii="Calibri" w:hAnsi="Calibri"/>
        </w:rPr>
      </w:pPr>
      <w:r>
        <w:rPr>
          <w:rFonts w:ascii="Calibri" w:hAnsi="Calibri"/>
        </w:rPr>
        <w:t>Detained</w:t>
      </w:r>
      <w:r w:rsidR="0031284C" w:rsidRPr="00CB34EB">
        <w:rPr>
          <w:rFonts w:ascii="Calibri" w:hAnsi="Calibri"/>
        </w:rPr>
        <w:t xml:space="preserve"> Palestinian </w:t>
      </w:r>
      <w:r>
        <w:rPr>
          <w:rFonts w:ascii="Calibri" w:hAnsi="Calibri"/>
        </w:rPr>
        <w:t>youths are often denied</w:t>
      </w:r>
      <w:r w:rsidR="0031284C" w:rsidRPr="00CB34EB">
        <w:rPr>
          <w:rFonts w:ascii="Calibri" w:hAnsi="Calibri"/>
        </w:rPr>
        <w:t xml:space="preserve"> </w:t>
      </w:r>
      <w:r w:rsidR="00B37527">
        <w:rPr>
          <w:rFonts w:ascii="Calibri" w:hAnsi="Calibri"/>
        </w:rPr>
        <w:t xml:space="preserve">the right to </w:t>
      </w:r>
      <w:r w:rsidR="0031284C" w:rsidRPr="00CB34EB">
        <w:rPr>
          <w:rFonts w:ascii="Calibri" w:hAnsi="Calibri"/>
        </w:rPr>
        <w:t>communicat</w:t>
      </w:r>
      <w:r w:rsidR="00B37527">
        <w:rPr>
          <w:rFonts w:ascii="Calibri" w:hAnsi="Calibri"/>
        </w:rPr>
        <w:t>e</w:t>
      </w:r>
      <w:r>
        <w:rPr>
          <w:rFonts w:ascii="Calibri" w:hAnsi="Calibri"/>
        </w:rPr>
        <w:t xml:space="preserve"> </w:t>
      </w:r>
      <w:r w:rsidR="00CE7EF4" w:rsidRPr="00CB34EB">
        <w:rPr>
          <w:rFonts w:ascii="Calibri" w:hAnsi="Calibri"/>
        </w:rPr>
        <w:t>with</w:t>
      </w:r>
      <w:r>
        <w:rPr>
          <w:rFonts w:ascii="Calibri" w:hAnsi="Calibri"/>
        </w:rPr>
        <w:t xml:space="preserve"> </w:t>
      </w:r>
      <w:r w:rsidR="00B37527">
        <w:rPr>
          <w:rFonts w:ascii="Calibri" w:hAnsi="Calibri"/>
        </w:rPr>
        <w:t>their</w:t>
      </w:r>
      <w:r w:rsidR="0031284C" w:rsidRPr="00CB34EB">
        <w:rPr>
          <w:rFonts w:ascii="Calibri" w:hAnsi="Calibri"/>
        </w:rPr>
        <w:t xml:space="preserve"> parents, </w:t>
      </w:r>
      <w:r>
        <w:rPr>
          <w:rFonts w:ascii="Calibri" w:hAnsi="Calibri"/>
        </w:rPr>
        <w:t>are</w:t>
      </w:r>
      <w:r w:rsidR="0031284C" w:rsidRPr="00CB34EB">
        <w:rPr>
          <w:rFonts w:ascii="Calibri" w:hAnsi="Calibri"/>
        </w:rPr>
        <w:t xml:space="preserve"> </w:t>
      </w:r>
      <w:r w:rsidRPr="00CB34EB">
        <w:rPr>
          <w:rFonts w:ascii="Calibri" w:hAnsi="Calibri"/>
        </w:rPr>
        <w:t>interrogat</w:t>
      </w:r>
      <w:r>
        <w:rPr>
          <w:rFonts w:ascii="Calibri" w:hAnsi="Calibri"/>
        </w:rPr>
        <w:t>ed</w:t>
      </w:r>
      <w:r w:rsidRPr="00CB34EB">
        <w:rPr>
          <w:rFonts w:ascii="Calibri" w:hAnsi="Calibri"/>
        </w:rPr>
        <w:t xml:space="preserve"> </w:t>
      </w:r>
      <w:r w:rsidR="0031284C" w:rsidRPr="00CB34EB">
        <w:rPr>
          <w:rFonts w:ascii="Calibri" w:hAnsi="Calibri"/>
        </w:rPr>
        <w:t>without the presence of the</w:t>
      </w:r>
      <w:r w:rsidR="00B37527">
        <w:rPr>
          <w:rFonts w:ascii="Calibri" w:hAnsi="Calibri"/>
        </w:rPr>
        <w:t xml:space="preserve">ir </w:t>
      </w:r>
      <w:r w:rsidR="0031284C" w:rsidRPr="00CB34EB">
        <w:rPr>
          <w:rFonts w:ascii="Calibri" w:hAnsi="Calibri"/>
        </w:rPr>
        <w:t xml:space="preserve">parents or legal guardians, and family members </w:t>
      </w:r>
      <w:r w:rsidR="00404372">
        <w:rPr>
          <w:rFonts w:ascii="Calibri" w:hAnsi="Calibri"/>
        </w:rPr>
        <w:t xml:space="preserve">are often denied </w:t>
      </w:r>
      <w:r w:rsidR="0031284C" w:rsidRPr="00CB34EB">
        <w:rPr>
          <w:rFonts w:ascii="Calibri" w:hAnsi="Calibri"/>
        </w:rPr>
        <w:t>information regarding the whereabouts of the</w:t>
      </w:r>
      <w:r w:rsidR="00B37527">
        <w:rPr>
          <w:rFonts w:ascii="Calibri" w:hAnsi="Calibri"/>
        </w:rPr>
        <w:t>ir</w:t>
      </w:r>
      <w:r w:rsidR="0031284C" w:rsidRPr="00CB34EB">
        <w:rPr>
          <w:rFonts w:ascii="Calibri" w:hAnsi="Calibri"/>
        </w:rPr>
        <w:t xml:space="preserve"> child or the charges</w:t>
      </w:r>
      <w:r w:rsidR="00CE7EF4" w:rsidRPr="00CB34EB">
        <w:rPr>
          <w:rFonts w:ascii="Calibri" w:hAnsi="Calibri"/>
        </w:rPr>
        <w:t xml:space="preserve"> against him or her</w:t>
      </w:r>
      <w:r w:rsidR="0031284C" w:rsidRPr="00CB34EB">
        <w:rPr>
          <w:rFonts w:ascii="Calibri" w:hAnsi="Calibri"/>
        </w:rPr>
        <w:t xml:space="preserve">. </w:t>
      </w:r>
      <w:r w:rsidR="00B37527" w:rsidRPr="00404372">
        <w:rPr>
          <w:rFonts w:ascii="Calibri" w:hAnsi="Calibri"/>
        </w:rPr>
        <w:t>For example, i</w:t>
      </w:r>
      <w:r w:rsidR="009B331A" w:rsidRPr="00404372">
        <w:rPr>
          <w:rFonts w:ascii="Calibri" w:hAnsi="Calibri"/>
        </w:rPr>
        <w:t xml:space="preserve">n </w:t>
      </w:r>
      <w:r w:rsidR="002A0164" w:rsidRPr="00404372">
        <w:rPr>
          <w:rFonts w:ascii="Calibri" w:hAnsi="Calibri"/>
        </w:rPr>
        <w:t>2015</w:t>
      </w:r>
      <w:r w:rsidRPr="00404372">
        <w:rPr>
          <w:rFonts w:ascii="Calibri" w:hAnsi="Calibri"/>
        </w:rPr>
        <w:t xml:space="preserve"> </w:t>
      </w:r>
      <w:r w:rsidR="002A0164" w:rsidRPr="00404372">
        <w:rPr>
          <w:rFonts w:ascii="Calibri" w:hAnsi="Calibri"/>
        </w:rPr>
        <w:t xml:space="preserve">Al-Haq documented the case of </w:t>
      </w:r>
      <w:r w:rsidR="0031284C" w:rsidRPr="00404372">
        <w:rPr>
          <w:rFonts w:ascii="Calibri" w:hAnsi="Calibri"/>
        </w:rPr>
        <w:t>Ahmad Al</w:t>
      </w:r>
      <w:r w:rsidR="002A0164" w:rsidRPr="00404372">
        <w:rPr>
          <w:rFonts w:ascii="Calibri" w:hAnsi="Calibri"/>
        </w:rPr>
        <w:t>-</w:t>
      </w:r>
      <w:proofErr w:type="spellStart"/>
      <w:r w:rsidR="002A0164" w:rsidRPr="00404372">
        <w:rPr>
          <w:rFonts w:ascii="Calibri" w:hAnsi="Calibri"/>
        </w:rPr>
        <w:t>R</w:t>
      </w:r>
      <w:r w:rsidR="0031284C" w:rsidRPr="00404372">
        <w:rPr>
          <w:rFonts w:ascii="Calibri" w:hAnsi="Calibri"/>
        </w:rPr>
        <w:t>ishq</w:t>
      </w:r>
      <w:proofErr w:type="spellEnd"/>
      <w:r w:rsidR="0031284C" w:rsidRPr="00404372">
        <w:rPr>
          <w:rFonts w:ascii="Calibri" w:hAnsi="Calibri"/>
        </w:rPr>
        <w:t>,</w:t>
      </w:r>
      <w:r w:rsidRPr="00404372">
        <w:rPr>
          <w:rFonts w:ascii="Calibri" w:hAnsi="Calibri"/>
        </w:rPr>
        <w:t xml:space="preserve"> </w:t>
      </w:r>
      <w:r w:rsidR="0031284C" w:rsidRPr="00404372">
        <w:rPr>
          <w:rFonts w:ascii="Calibri" w:hAnsi="Calibri"/>
        </w:rPr>
        <w:t>a</w:t>
      </w:r>
      <w:r w:rsidR="002A0164" w:rsidRPr="00404372">
        <w:rPr>
          <w:rFonts w:ascii="Calibri" w:hAnsi="Calibri"/>
        </w:rPr>
        <w:t xml:space="preserve"> fifteen-year-old</w:t>
      </w:r>
      <w:r w:rsidR="0031284C" w:rsidRPr="00404372">
        <w:rPr>
          <w:rFonts w:ascii="Calibri" w:hAnsi="Calibri"/>
        </w:rPr>
        <w:t xml:space="preserve"> resident of </w:t>
      </w:r>
      <w:proofErr w:type="spellStart"/>
      <w:r w:rsidR="0031284C" w:rsidRPr="00404372">
        <w:rPr>
          <w:rFonts w:ascii="Calibri" w:hAnsi="Calibri"/>
        </w:rPr>
        <w:t>Silwan</w:t>
      </w:r>
      <w:proofErr w:type="spellEnd"/>
      <w:r w:rsidR="0031284C" w:rsidRPr="00404372">
        <w:rPr>
          <w:rFonts w:ascii="Calibri" w:hAnsi="Calibri"/>
        </w:rPr>
        <w:t xml:space="preserve"> in East Jerusalem. On </w:t>
      </w:r>
      <w:r w:rsidR="00CE7EF4" w:rsidRPr="00404372">
        <w:rPr>
          <w:rFonts w:ascii="Calibri" w:hAnsi="Calibri"/>
        </w:rPr>
        <w:t xml:space="preserve">30 </w:t>
      </w:r>
      <w:r w:rsidR="0031284C" w:rsidRPr="00404372">
        <w:rPr>
          <w:rFonts w:ascii="Calibri" w:hAnsi="Calibri"/>
        </w:rPr>
        <w:t xml:space="preserve">March 2015 at </w:t>
      </w:r>
      <w:r w:rsidR="009B331A" w:rsidRPr="00404372">
        <w:rPr>
          <w:rFonts w:ascii="Calibri" w:hAnsi="Calibri"/>
        </w:rPr>
        <w:t>4:00 p.m.</w:t>
      </w:r>
      <w:r w:rsidR="00CE7EF4" w:rsidRPr="00404372">
        <w:rPr>
          <w:rFonts w:ascii="Calibri" w:hAnsi="Calibri"/>
        </w:rPr>
        <w:t>,</w:t>
      </w:r>
      <w:r w:rsidR="0031284C" w:rsidRPr="00404372">
        <w:rPr>
          <w:rFonts w:ascii="Calibri" w:hAnsi="Calibri"/>
        </w:rPr>
        <w:t xml:space="preserve"> Ahmad was walking back home with his two brothers, </w:t>
      </w:r>
      <w:r w:rsidR="002A0164" w:rsidRPr="00404372">
        <w:rPr>
          <w:rFonts w:ascii="Calibri" w:hAnsi="Calibri"/>
        </w:rPr>
        <w:t>all</w:t>
      </w:r>
      <w:r w:rsidRPr="00404372">
        <w:rPr>
          <w:rFonts w:ascii="Calibri" w:hAnsi="Calibri"/>
        </w:rPr>
        <w:t xml:space="preserve"> </w:t>
      </w:r>
      <w:r w:rsidR="00F85E1C" w:rsidRPr="00404372">
        <w:rPr>
          <w:rFonts w:ascii="Calibri" w:hAnsi="Calibri"/>
        </w:rPr>
        <w:t>minors</w:t>
      </w:r>
      <w:r w:rsidR="0031284C" w:rsidRPr="00404372">
        <w:rPr>
          <w:rFonts w:ascii="Calibri" w:hAnsi="Calibri"/>
        </w:rPr>
        <w:t xml:space="preserve">, </w:t>
      </w:r>
      <w:r w:rsidR="00F85E1C" w:rsidRPr="00404372">
        <w:rPr>
          <w:rFonts w:ascii="Calibri" w:hAnsi="Calibri"/>
        </w:rPr>
        <w:t>when his way was obstructed by</w:t>
      </w:r>
      <w:r w:rsidRPr="00404372">
        <w:rPr>
          <w:rFonts w:ascii="Calibri" w:hAnsi="Calibri"/>
        </w:rPr>
        <w:t xml:space="preserve"> </w:t>
      </w:r>
      <w:r w:rsidR="0031284C" w:rsidRPr="00404372">
        <w:rPr>
          <w:rFonts w:ascii="Calibri" w:hAnsi="Calibri"/>
        </w:rPr>
        <w:t xml:space="preserve">masked Palestinian youth </w:t>
      </w:r>
      <w:r w:rsidR="00E220F3" w:rsidRPr="00404372">
        <w:rPr>
          <w:rFonts w:ascii="Calibri" w:hAnsi="Calibri"/>
        </w:rPr>
        <w:t>clashing with</w:t>
      </w:r>
      <w:r w:rsidR="0031284C" w:rsidRPr="00404372">
        <w:rPr>
          <w:rFonts w:ascii="Calibri" w:hAnsi="Calibri"/>
        </w:rPr>
        <w:t xml:space="preserve"> Israeli forces. </w:t>
      </w:r>
      <w:r w:rsidR="00F85E1C" w:rsidRPr="00404372">
        <w:rPr>
          <w:rFonts w:ascii="Calibri" w:hAnsi="Calibri"/>
        </w:rPr>
        <w:t xml:space="preserve">Seeing him in the vicinity of the clashes, </w:t>
      </w:r>
      <w:r w:rsidR="0031284C" w:rsidRPr="00404372">
        <w:rPr>
          <w:rFonts w:ascii="Calibri" w:hAnsi="Calibri"/>
        </w:rPr>
        <w:t xml:space="preserve">Israeli forces started </w:t>
      </w:r>
      <w:r w:rsidR="00840580" w:rsidRPr="00404372">
        <w:rPr>
          <w:rFonts w:ascii="Calibri" w:hAnsi="Calibri"/>
        </w:rPr>
        <w:t>running</w:t>
      </w:r>
      <w:r w:rsidRPr="00404372">
        <w:rPr>
          <w:rFonts w:ascii="Calibri" w:hAnsi="Calibri"/>
        </w:rPr>
        <w:t xml:space="preserve"> </w:t>
      </w:r>
      <w:r w:rsidR="00F85E1C" w:rsidRPr="00404372">
        <w:rPr>
          <w:rFonts w:ascii="Calibri" w:hAnsi="Calibri"/>
        </w:rPr>
        <w:t xml:space="preserve">after </w:t>
      </w:r>
      <w:r w:rsidR="0031284C" w:rsidRPr="00404372">
        <w:rPr>
          <w:rFonts w:ascii="Calibri" w:hAnsi="Calibri"/>
        </w:rPr>
        <w:t xml:space="preserve">Ahmad and shooting rubber bullets at him. He </w:t>
      </w:r>
      <w:r w:rsidR="00A1051C" w:rsidRPr="00404372">
        <w:rPr>
          <w:rFonts w:ascii="Calibri" w:hAnsi="Calibri"/>
        </w:rPr>
        <w:t>tried</w:t>
      </w:r>
      <w:r w:rsidR="0031284C" w:rsidRPr="00404372">
        <w:rPr>
          <w:rFonts w:ascii="Calibri" w:hAnsi="Calibri"/>
        </w:rPr>
        <w:t xml:space="preserve"> to hide in a clothing shop</w:t>
      </w:r>
      <w:r w:rsidR="00E220F3" w:rsidRPr="00404372">
        <w:rPr>
          <w:rFonts w:ascii="Calibri" w:hAnsi="Calibri"/>
        </w:rPr>
        <w:t>,</w:t>
      </w:r>
      <w:r w:rsidR="0031284C" w:rsidRPr="00404372">
        <w:rPr>
          <w:rFonts w:ascii="Calibri" w:hAnsi="Calibri"/>
        </w:rPr>
        <w:t xml:space="preserve"> but </w:t>
      </w:r>
      <w:r w:rsidR="00A1051C" w:rsidRPr="00404372">
        <w:rPr>
          <w:rFonts w:ascii="Calibri" w:hAnsi="Calibri"/>
        </w:rPr>
        <w:t>was</w:t>
      </w:r>
      <w:r w:rsidR="0031284C" w:rsidRPr="00404372">
        <w:rPr>
          <w:rFonts w:ascii="Calibri" w:hAnsi="Calibri"/>
        </w:rPr>
        <w:t xml:space="preserve"> found by </w:t>
      </w:r>
      <w:r w:rsidRPr="00404372">
        <w:rPr>
          <w:rFonts w:ascii="Calibri" w:hAnsi="Calibri"/>
        </w:rPr>
        <w:t>the IOF</w:t>
      </w:r>
      <w:r w:rsidR="00E220F3" w:rsidRPr="00404372">
        <w:rPr>
          <w:rFonts w:ascii="Calibri" w:hAnsi="Calibri"/>
        </w:rPr>
        <w:t xml:space="preserve">. </w:t>
      </w:r>
      <w:r w:rsidRPr="00404372">
        <w:rPr>
          <w:rFonts w:ascii="Calibri" w:hAnsi="Calibri"/>
        </w:rPr>
        <w:t xml:space="preserve">An </w:t>
      </w:r>
      <w:r w:rsidR="00F85E1C" w:rsidRPr="00404372">
        <w:rPr>
          <w:rFonts w:ascii="Calibri" w:hAnsi="Calibri"/>
        </w:rPr>
        <w:t xml:space="preserve">Israeli </w:t>
      </w:r>
      <w:r w:rsidR="00E220F3" w:rsidRPr="00404372">
        <w:rPr>
          <w:rFonts w:ascii="Calibri" w:hAnsi="Calibri"/>
        </w:rPr>
        <w:t xml:space="preserve">soldier </w:t>
      </w:r>
      <w:r w:rsidR="0031284C" w:rsidRPr="00404372">
        <w:rPr>
          <w:rFonts w:ascii="Calibri" w:hAnsi="Calibri"/>
        </w:rPr>
        <w:t xml:space="preserve">twisted </w:t>
      </w:r>
      <w:r w:rsidR="00F85E1C" w:rsidRPr="00404372">
        <w:rPr>
          <w:rFonts w:ascii="Calibri" w:hAnsi="Calibri"/>
        </w:rPr>
        <w:t>Ahmad’s</w:t>
      </w:r>
      <w:r w:rsidRPr="00404372">
        <w:rPr>
          <w:rFonts w:ascii="Calibri" w:hAnsi="Calibri"/>
        </w:rPr>
        <w:t xml:space="preserve"> </w:t>
      </w:r>
      <w:r w:rsidR="0031284C" w:rsidRPr="00404372">
        <w:rPr>
          <w:rFonts w:ascii="Calibri" w:hAnsi="Calibri"/>
        </w:rPr>
        <w:t xml:space="preserve">arm behind his back, </w:t>
      </w:r>
      <w:r w:rsidR="00F85E1C" w:rsidRPr="00404372">
        <w:rPr>
          <w:rFonts w:ascii="Calibri" w:hAnsi="Calibri"/>
        </w:rPr>
        <w:t>shouted</w:t>
      </w:r>
      <w:r w:rsidRPr="00404372">
        <w:rPr>
          <w:rFonts w:ascii="Calibri" w:hAnsi="Calibri"/>
        </w:rPr>
        <w:t xml:space="preserve"> </w:t>
      </w:r>
      <w:r w:rsidR="00E220F3" w:rsidRPr="00404372">
        <w:rPr>
          <w:rFonts w:ascii="Calibri" w:hAnsi="Calibri"/>
        </w:rPr>
        <w:t xml:space="preserve">at </w:t>
      </w:r>
      <w:r w:rsidR="00F85E1C" w:rsidRPr="00404372">
        <w:rPr>
          <w:rFonts w:ascii="Calibri" w:hAnsi="Calibri"/>
        </w:rPr>
        <w:t xml:space="preserve">him, </w:t>
      </w:r>
      <w:r w:rsidR="00E220F3" w:rsidRPr="00404372">
        <w:rPr>
          <w:rFonts w:ascii="Calibri" w:hAnsi="Calibri"/>
        </w:rPr>
        <w:t>and insulted</w:t>
      </w:r>
      <w:r w:rsidR="0031284C" w:rsidRPr="00404372">
        <w:rPr>
          <w:rFonts w:ascii="Calibri" w:hAnsi="Calibri"/>
        </w:rPr>
        <w:t xml:space="preserve"> him</w:t>
      </w:r>
      <w:r w:rsidR="00F85E1C" w:rsidRPr="00404372">
        <w:rPr>
          <w:rFonts w:ascii="Calibri" w:hAnsi="Calibri"/>
        </w:rPr>
        <w:t>.</w:t>
      </w:r>
      <w:r w:rsidRPr="00404372">
        <w:rPr>
          <w:rFonts w:ascii="Calibri" w:hAnsi="Calibri"/>
        </w:rPr>
        <w:t xml:space="preserve"> </w:t>
      </w:r>
      <w:r w:rsidR="00F85E1C" w:rsidRPr="00404372">
        <w:rPr>
          <w:rFonts w:ascii="Calibri" w:hAnsi="Calibri"/>
        </w:rPr>
        <w:t>A</w:t>
      </w:r>
      <w:r w:rsidR="0031284C" w:rsidRPr="00404372">
        <w:rPr>
          <w:rFonts w:ascii="Calibri" w:hAnsi="Calibri"/>
        </w:rPr>
        <w:t xml:space="preserve"> second </w:t>
      </w:r>
      <w:r w:rsidR="00F85E1C" w:rsidRPr="00404372">
        <w:rPr>
          <w:rFonts w:ascii="Calibri" w:hAnsi="Calibri"/>
        </w:rPr>
        <w:t xml:space="preserve">Israeli </w:t>
      </w:r>
      <w:r w:rsidR="0031284C" w:rsidRPr="00404372">
        <w:rPr>
          <w:rFonts w:ascii="Calibri" w:hAnsi="Calibri"/>
        </w:rPr>
        <w:t xml:space="preserve">soldier punched </w:t>
      </w:r>
      <w:r w:rsidR="00683E40" w:rsidRPr="00404372">
        <w:rPr>
          <w:rFonts w:ascii="Calibri" w:hAnsi="Calibri"/>
        </w:rPr>
        <w:t xml:space="preserve">and slapped </w:t>
      </w:r>
      <w:r w:rsidR="0031284C" w:rsidRPr="00404372">
        <w:rPr>
          <w:rFonts w:ascii="Calibri" w:hAnsi="Calibri"/>
        </w:rPr>
        <w:t xml:space="preserve">Ahmad in the face. Ahmad </w:t>
      </w:r>
      <w:r w:rsidR="00E220F3" w:rsidRPr="00404372">
        <w:rPr>
          <w:rFonts w:ascii="Calibri" w:hAnsi="Calibri"/>
        </w:rPr>
        <w:t xml:space="preserve">told them that he </w:t>
      </w:r>
      <w:r w:rsidR="00F85E1C" w:rsidRPr="00404372">
        <w:rPr>
          <w:rFonts w:ascii="Calibri" w:hAnsi="Calibri"/>
        </w:rPr>
        <w:t>had nothing to do with the clashes</w:t>
      </w:r>
      <w:r w:rsidR="0031284C" w:rsidRPr="00404372">
        <w:rPr>
          <w:rFonts w:ascii="Calibri" w:hAnsi="Calibri"/>
        </w:rPr>
        <w:t xml:space="preserve"> and that he </w:t>
      </w:r>
      <w:r w:rsidR="00F85E1C" w:rsidRPr="00404372">
        <w:rPr>
          <w:rFonts w:ascii="Calibri" w:hAnsi="Calibri"/>
        </w:rPr>
        <w:t>had</w:t>
      </w:r>
      <w:r w:rsidRPr="00404372">
        <w:rPr>
          <w:rFonts w:ascii="Calibri" w:hAnsi="Calibri"/>
        </w:rPr>
        <w:t xml:space="preserve"> </w:t>
      </w:r>
      <w:r w:rsidR="0031284C" w:rsidRPr="00404372">
        <w:rPr>
          <w:rFonts w:ascii="Calibri" w:hAnsi="Calibri"/>
        </w:rPr>
        <w:t>not throw</w:t>
      </w:r>
      <w:r w:rsidR="00F85E1C" w:rsidRPr="00404372">
        <w:rPr>
          <w:rFonts w:ascii="Calibri" w:hAnsi="Calibri"/>
        </w:rPr>
        <w:t>n any</w:t>
      </w:r>
      <w:r w:rsidR="0031284C" w:rsidRPr="00404372">
        <w:rPr>
          <w:rFonts w:ascii="Calibri" w:hAnsi="Calibri"/>
        </w:rPr>
        <w:t xml:space="preserve"> rocks at them</w:t>
      </w:r>
      <w:r w:rsidR="00E220F3" w:rsidRPr="00404372">
        <w:rPr>
          <w:rFonts w:ascii="Calibri" w:hAnsi="Calibri"/>
        </w:rPr>
        <w:t>.</w:t>
      </w:r>
      <w:r w:rsidRPr="00404372">
        <w:rPr>
          <w:rFonts w:ascii="Calibri" w:hAnsi="Calibri"/>
        </w:rPr>
        <w:t xml:space="preserve"> </w:t>
      </w:r>
      <w:r w:rsidR="00E220F3" w:rsidRPr="00404372">
        <w:rPr>
          <w:rFonts w:ascii="Calibri" w:hAnsi="Calibri"/>
        </w:rPr>
        <w:t xml:space="preserve">Ahmad was then transported </w:t>
      </w:r>
      <w:r w:rsidR="00CB34EB" w:rsidRPr="00404372">
        <w:rPr>
          <w:rFonts w:ascii="Calibri" w:hAnsi="Calibri"/>
        </w:rPr>
        <w:t xml:space="preserve">in an IOF vehicle </w:t>
      </w:r>
      <w:r w:rsidR="0031284C" w:rsidRPr="00404372">
        <w:rPr>
          <w:rFonts w:ascii="Calibri" w:hAnsi="Calibri"/>
        </w:rPr>
        <w:t xml:space="preserve">to Salah </w:t>
      </w:r>
      <w:r w:rsidR="00F85E1C" w:rsidRPr="00404372">
        <w:rPr>
          <w:rFonts w:ascii="Calibri" w:hAnsi="Calibri"/>
        </w:rPr>
        <w:t>a</w:t>
      </w:r>
      <w:r w:rsidR="0031284C" w:rsidRPr="00404372">
        <w:rPr>
          <w:rFonts w:ascii="Calibri" w:hAnsi="Calibri"/>
        </w:rPr>
        <w:t>l</w:t>
      </w:r>
      <w:r w:rsidR="00F85E1C" w:rsidRPr="00404372">
        <w:rPr>
          <w:rFonts w:ascii="Calibri" w:hAnsi="Calibri"/>
        </w:rPr>
        <w:t>-</w:t>
      </w:r>
      <w:r w:rsidR="0031284C" w:rsidRPr="00404372">
        <w:rPr>
          <w:rFonts w:ascii="Calibri" w:hAnsi="Calibri"/>
        </w:rPr>
        <w:t>D</w:t>
      </w:r>
      <w:r w:rsidR="00E220F3" w:rsidRPr="00404372">
        <w:rPr>
          <w:rFonts w:ascii="Calibri" w:hAnsi="Calibri"/>
        </w:rPr>
        <w:t>i</w:t>
      </w:r>
      <w:r w:rsidR="0031284C" w:rsidRPr="00404372">
        <w:rPr>
          <w:rFonts w:ascii="Calibri" w:hAnsi="Calibri"/>
        </w:rPr>
        <w:t xml:space="preserve">n police station. </w:t>
      </w:r>
      <w:r w:rsidR="00F85E1C" w:rsidRPr="00404372">
        <w:rPr>
          <w:rFonts w:ascii="Calibri" w:hAnsi="Calibri"/>
        </w:rPr>
        <w:t xml:space="preserve">Although </w:t>
      </w:r>
      <w:r w:rsidR="0031284C" w:rsidRPr="00404372">
        <w:rPr>
          <w:rFonts w:ascii="Calibri" w:hAnsi="Calibri"/>
        </w:rPr>
        <w:t xml:space="preserve">Ahmad asked to </w:t>
      </w:r>
      <w:r w:rsidRPr="00404372">
        <w:rPr>
          <w:rFonts w:ascii="Calibri" w:hAnsi="Calibri"/>
        </w:rPr>
        <w:t xml:space="preserve">call </w:t>
      </w:r>
      <w:r w:rsidR="0031284C" w:rsidRPr="00404372">
        <w:rPr>
          <w:rFonts w:ascii="Calibri" w:hAnsi="Calibri"/>
        </w:rPr>
        <w:t>his parents while in the car</w:t>
      </w:r>
      <w:r w:rsidR="00F85E1C" w:rsidRPr="00404372">
        <w:rPr>
          <w:rFonts w:ascii="Calibri" w:hAnsi="Calibri"/>
        </w:rPr>
        <w:t xml:space="preserve">, his request was </w:t>
      </w:r>
      <w:r w:rsidR="0031284C" w:rsidRPr="00404372">
        <w:rPr>
          <w:rFonts w:ascii="Calibri" w:hAnsi="Calibri"/>
        </w:rPr>
        <w:t xml:space="preserve">denied. </w:t>
      </w:r>
      <w:r w:rsidR="00F85E1C" w:rsidRPr="00404372">
        <w:rPr>
          <w:rFonts w:ascii="Calibri" w:hAnsi="Calibri"/>
        </w:rPr>
        <w:t xml:space="preserve">At the police station, </w:t>
      </w:r>
      <w:r w:rsidR="0031284C" w:rsidRPr="00404372">
        <w:rPr>
          <w:rFonts w:ascii="Calibri" w:hAnsi="Calibri"/>
        </w:rPr>
        <w:t xml:space="preserve">Ahmad </w:t>
      </w:r>
      <w:r w:rsidR="00CB34EB" w:rsidRPr="00404372">
        <w:rPr>
          <w:rFonts w:ascii="Calibri" w:hAnsi="Calibri"/>
        </w:rPr>
        <w:t>wait</w:t>
      </w:r>
      <w:r w:rsidRPr="00404372">
        <w:rPr>
          <w:rFonts w:ascii="Calibri" w:hAnsi="Calibri"/>
        </w:rPr>
        <w:t xml:space="preserve">ed </w:t>
      </w:r>
      <w:r w:rsidR="0031284C" w:rsidRPr="00404372">
        <w:rPr>
          <w:rFonts w:ascii="Calibri" w:hAnsi="Calibri"/>
        </w:rPr>
        <w:t>for 3 hours</w:t>
      </w:r>
      <w:r w:rsidR="00CB34EB" w:rsidRPr="00404372">
        <w:rPr>
          <w:rFonts w:ascii="Calibri" w:hAnsi="Calibri"/>
        </w:rPr>
        <w:t xml:space="preserve"> before Israeli </w:t>
      </w:r>
      <w:r w:rsidR="0031284C" w:rsidRPr="00404372">
        <w:rPr>
          <w:rFonts w:ascii="Calibri" w:hAnsi="Calibri"/>
        </w:rPr>
        <w:t xml:space="preserve">officers approached him with documents </w:t>
      </w:r>
      <w:r w:rsidR="000D4B4D" w:rsidRPr="00404372">
        <w:rPr>
          <w:rFonts w:ascii="Calibri" w:hAnsi="Calibri"/>
        </w:rPr>
        <w:t xml:space="preserve">that </w:t>
      </w:r>
      <w:r w:rsidR="0031284C" w:rsidRPr="00404372">
        <w:rPr>
          <w:rFonts w:ascii="Calibri" w:hAnsi="Calibri"/>
        </w:rPr>
        <w:t>stat</w:t>
      </w:r>
      <w:r w:rsidR="000D4B4D" w:rsidRPr="00404372">
        <w:rPr>
          <w:rFonts w:ascii="Calibri" w:hAnsi="Calibri"/>
        </w:rPr>
        <w:t>ed</w:t>
      </w:r>
      <w:r w:rsidRPr="00404372">
        <w:rPr>
          <w:rFonts w:ascii="Calibri" w:hAnsi="Calibri"/>
        </w:rPr>
        <w:t xml:space="preserve"> </w:t>
      </w:r>
      <w:r w:rsidR="00F85E1C" w:rsidRPr="00404372">
        <w:rPr>
          <w:rFonts w:ascii="Calibri" w:hAnsi="Calibri"/>
        </w:rPr>
        <w:t xml:space="preserve">the names of </w:t>
      </w:r>
      <w:r w:rsidR="0031284C" w:rsidRPr="00404372">
        <w:rPr>
          <w:rFonts w:ascii="Calibri" w:hAnsi="Calibri"/>
        </w:rPr>
        <w:t xml:space="preserve">his parents and asked him </w:t>
      </w:r>
      <w:r w:rsidR="00DC2B5F" w:rsidRPr="00404372">
        <w:rPr>
          <w:rFonts w:ascii="Calibri" w:hAnsi="Calibri"/>
        </w:rPr>
        <w:t>to list</w:t>
      </w:r>
      <w:r w:rsidR="00F85E1C" w:rsidRPr="00404372">
        <w:rPr>
          <w:rFonts w:ascii="Calibri" w:hAnsi="Calibri"/>
        </w:rPr>
        <w:t xml:space="preserve"> the</w:t>
      </w:r>
      <w:r w:rsidRPr="00404372">
        <w:rPr>
          <w:rFonts w:ascii="Calibri" w:hAnsi="Calibri"/>
        </w:rPr>
        <w:t xml:space="preserve"> </w:t>
      </w:r>
      <w:r w:rsidR="0031284C" w:rsidRPr="00404372">
        <w:rPr>
          <w:rFonts w:ascii="Calibri" w:hAnsi="Calibri"/>
        </w:rPr>
        <w:t>name</w:t>
      </w:r>
      <w:r w:rsidR="00F85E1C" w:rsidRPr="00404372">
        <w:rPr>
          <w:rFonts w:ascii="Calibri" w:hAnsi="Calibri"/>
        </w:rPr>
        <w:t>s</w:t>
      </w:r>
      <w:r w:rsidRPr="00404372">
        <w:rPr>
          <w:rFonts w:ascii="Calibri" w:hAnsi="Calibri"/>
        </w:rPr>
        <w:t xml:space="preserve"> </w:t>
      </w:r>
      <w:r w:rsidR="00F85E1C" w:rsidRPr="00404372">
        <w:rPr>
          <w:rFonts w:ascii="Calibri" w:hAnsi="Calibri"/>
        </w:rPr>
        <w:t xml:space="preserve">of </w:t>
      </w:r>
      <w:r w:rsidR="0031284C" w:rsidRPr="00404372">
        <w:rPr>
          <w:rFonts w:ascii="Calibri" w:hAnsi="Calibri"/>
        </w:rPr>
        <w:t xml:space="preserve">his </w:t>
      </w:r>
      <w:r w:rsidR="00DC2B5F" w:rsidRPr="00404372">
        <w:rPr>
          <w:rFonts w:ascii="Calibri" w:hAnsi="Calibri"/>
        </w:rPr>
        <w:t>siblings by age</w:t>
      </w:r>
      <w:r w:rsidR="0031284C" w:rsidRPr="00404372">
        <w:rPr>
          <w:rFonts w:ascii="Calibri" w:hAnsi="Calibri"/>
        </w:rPr>
        <w:t xml:space="preserve">. Ahmad </w:t>
      </w:r>
      <w:r w:rsidR="00CB34EB" w:rsidRPr="00404372">
        <w:rPr>
          <w:rFonts w:ascii="Calibri" w:hAnsi="Calibri"/>
        </w:rPr>
        <w:t>wait</w:t>
      </w:r>
      <w:r w:rsidRPr="00404372">
        <w:rPr>
          <w:rFonts w:ascii="Calibri" w:hAnsi="Calibri"/>
        </w:rPr>
        <w:t xml:space="preserve">ed </w:t>
      </w:r>
      <w:r w:rsidR="00CB34EB" w:rsidRPr="00404372">
        <w:rPr>
          <w:rFonts w:ascii="Calibri" w:hAnsi="Calibri"/>
        </w:rPr>
        <w:t>for another</w:t>
      </w:r>
      <w:r w:rsidR="0031284C" w:rsidRPr="00404372">
        <w:rPr>
          <w:rFonts w:ascii="Calibri" w:hAnsi="Calibri"/>
        </w:rPr>
        <w:t xml:space="preserve"> couple of hours </w:t>
      </w:r>
      <w:r w:rsidR="00CB34EB" w:rsidRPr="00404372">
        <w:rPr>
          <w:rFonts w:ascii="Calibri" w:hAnsi="Calibri"/>
        </w:rPr>
        <w:t>before</w:t>
      </w:r>
      <w:r w:rsidR="00404372">
        <w:rPr>
          <w:rFonts w:ascii="Calibri" w:hAnsi="Calibri"/>
        </w:rPr>
        <w:t xml:space="preserve"> </w:t>
      </w:r>
      <w:r w:rsidR="0031284C" w:rsidRPr="00404372">
        <w:rPr>
          <w:rFonts w:ascii="Calibri" w:hAnsi="Calibri"/>
        </w:rPr>
        <w:t xml:space="preserve">an </w:t>
      </w:r>
      <w:r w:rsidR="00CB34EB" w:rsidRPr="00404372">
        <w:rPr>
          <w:rFonts w:ascii="Calibri" w:hAnsi="Calibri"/>
        </w:rPr>
        <w:t xml:space="preserve">Israeli </w:t>
      </w:r>
      <w:r w:rsidR="0031284C" w:rsidRPr="00404372">
        <w:rPr>
          <w:rFonts w:ascii="Calibri" w:hAnsi="Calibri"/>
        </w:rPr>
        <w:t>officer gave him papers in Hebrew</w:t>
      </w:r>
      <w:r w:rsidR="00F85E1C" w:rsidRPr="00404372">
        <w:rPr>
          <w:rFonts w:ascii="Calibri" w:hAnsi="Calibri"/>
        </w:rPr>
        <w:t xml:space="preserve">, </w:t>
      </w:r>
      <w:r w:rsidR="0031284C" w:rsidRPr="00404372">
        <w:rPr>
          <w:rFonts w:ascii="Calibri" w:hAnsi="Calibri"/>
        </w:rPr>
        <w:t xml:space="preserve">and told him he </w:t>
      </w:r>
      <w:r w:rsidR="00F85E1C" w:rsidRPr="00404372">
        <w:rPr>
          <w:rFonts w:ascii="Calibri" w:hAnsi="Calibri"/>
        </w:rPr>
        <w:t>would</w:t>
      </w:r>
      <w:r w:rsidRPr="00404372">
        <w:rPr>
          <w:rFonts w:ascii="Calibri" w:hAnsi="Calibri"/>
        </w:rPr>
        <w:t xml:space="preserve"> </w:t>
      </w:r>
      <w:r w:rsidR="0031284C" w:rsidRPr="00404372">
        <w:rPr>
          <w:rFonts w:ascii="Calibri" w:hAnsi="Calibri"/>
        </w:rPr>
        <w:t xml:space="preserve">not be able to go home </w:t>
      </w:r>
      <w:r w:rsidR="000D4B4D" w:rsidRPr="00404372">
        <w:rPr>
          <w:rFonts w:ascii="Calibri" w:hAnsi="Calibri"/>
        </w:rPr>
        <w:t>before</w:t>
      </w:r>
      <w:r w:rsidR="00404372">
        <w:rPr>
          <w:rFonts w:ascii="Calibri" w:hAnsi="Calibri"/>
        </w:rPr>
        <w:t xml:space="preserve"> </w:t>
      </w:r>
      <w:r w:rsidR="0031284C" w:rsidRPr="00404372">
        <w:rPr>
          <w:rFonts w:ascii="Calibri" w:hAnsi="Calibri"/>
        </w:rPr>
        <w:t>he sign</w:t>
      </w:r>
      <w:r w:rsidR="000D4B4D" w:rsidRPr="00404372">
        <w:rPr>
          <w:rFonts w:ascii="Calibri" w:hAnsi="Calibri"/>
        </w:rPr>
        <w:t>ed</w:t>
      </w:r>
      <w:r w:rsidR="0031284C" w:rsidRPr="00404372">
        <w:rPr>
          <w:rFonts w:ascii="Calibri" w:hAnsi="Calibri"/>
        </w:rPr>
        <w:t xml:space="preserve"> them. Ahmad requested a translation of the document</w:t>
      </w:r>
      <w:r w:rsidR="00CB34EB" w:rsidRPr="00404372">
        <w:rPr>
          <w:rFonts w:ascii="Calibri" w:hAnsi="Calibri"/>
        </w:rPr>
        <w:t>,</w:t>
      </w:r>
      <w:r w:rsidR="00404372">
        <w:rPr>
          <w:rFonts w:ascii="Calibri" w:hAnsi="Calibri"/>
        </w:rPr>
        <w:t xml:space="preserve"> as he did not understand Hebrew, but</w:t>
      </w:r>
      <w:r w:rsidR="00CB34EB" w:rsidRPr="00404372">
        <w:rPr>
          <w:rFonts w:ascii="Calibri" w:hAnsi="Calibri"/>
        </w:rPr>
        <w:t xml:space="preserve"> was not granted</w:t>
      </w:r>
      <w:r w:rsidR="00404372">
        <w:rPr>
          <w:rFonts w:ascii="Calibri" w:hAnsi="Calibri"/>
        </w:rPr>
        <w:t xml:space="preserve"> one</w:t>
      </w:r>
      <w:r w:rsidR="00E220F3" w:rsidRPr="00404372">
        <w:rPr>
          <w:rFonts w:ascii="Calibri" w:hAnsi="Calibri"/>
        </w:rPr>
        <w:t>.</w:t>
      </w:r>
      <w:r w:rsidRPr="00404372">
        <w:rPr>
          <w:rFonts w:ascii="Calibri" w:hAnsi="Calibri"/>
        </w:rPr>
        <w:t xml:space="preserve"> </w:t>
      </w:r>
      <w:r w:rsidR="00E220F3" w:rsidRPr="00404372">
        <w:rPr>
          <w:rFonts w:ascii="Calibri" w:hAnsi="Calibri"/>
        </w:rPr>
        <w:t xml:space="preserve">He </w:t>
      </w:r>
      <w:r w:rsidR="000D4B4D" w:rsidRPr="00404372">
        <w:rPr>
          <w:rFonts w:ascii="Calibri" w:hAnsi="Calibri"/>
        </w:rPr>
        <w:t xml:space="preserve">was </w:t>
      </w:r>
      <w:r w:rsidR="00E220F3" w:rsidRPr="00404372">
        <w:rPr>
          <w:rFonts w:ascii="Calibri" w:hAnsi="Calibri"/>
        </w:rPr>
        <w:t xml:space="preserve">instead </w:t>
      </w:r>
      <w:r w:rsidR="0031284C" w:rsidRPr="00404372">
        <w:rPr>
          <w:rFonts w:ascii="Calibri" w:hAnsi="Calibri"/>
        </w:rPr>
        <w:t>insult</w:t>
      </w:r>
      <w:r w:rsidR="00E220F3" w:rsidRPr="00404372">
        <w:rPr>
          <w:rFonts w:ascii="Calibri" w:hAnsi="Calibri"/>
        </w:rPr>
        <w:t>ed</w:t>
      </w:r>
      <w:r w:rsidRPr="00404372">
        <w:rPr>
          <w:rFonts w:ascii="Calibri" w:hAnsi="Calibri"/>
        </w:rPr>
        <w:t xml:space="preserve"> </w:t>
      </w:r>
      <w:r w:rsidR="00E220F3" w:rsidRPr="00404372">
        <w:rPr>
          <w:rFonts w:ascii="Calibri" w:hAnsi="Calibri"/>
        </w:rPr>
        <w:t>and</w:t>
      </w:r>
      <w:r w:rsidR="0031284C" w:rsidRPr="00404372">
        <w:rPr>
          <w:rFonts w:ascii="Calibri" w:hAnsi="Calibri"/>
        </w:rPr>
        <w:t xml:space="preserve"> pressured into signing the</w:t>
      </w:r>
      <w:r w:rsidR="00E220F3" w:rsidRPr="00404372">
        <w:rPr>
          <w:rFonts w:ascii="Calibri" w:hAnsi="Calibri"/>
        </w:rPr>
        <w:t xml:space="preserve"> document</w:t>
      </w:r>
      <w:r w:rsidR="0031284C" w:rsidRPr="00404372">
        <w:rPr>
          <w:rFonts w:ascii="Calibri" w:hAnsi="Calibri"/>
        </w:rPr>
        <w:t xml:space="preserve">. </w:t>
      </w:r>
      <w:r w:rsidR="00CB34EB" w:rsidRPr="00404372">
        <w:rPr>
          <w:rFonts w:ascii="Calibri" w:hAnsi="Calibri"/>
        </w:rPr>
        <w:t xml:space="preserve">By the time </w:t>
      </w:r>
      <w:r w:rsidR="0031284C" w:rsidRPr="00404372">
        <w:rPr>
          <w:rFonts w:ascii="Calibri" w:hAnsi="Calibri"/>
        </w:rPr>
        <w:t xml:space="preserve">Ahmad was </w:t>
      </w:r>
      <w:r w:rsidR="00CB34EB" w:rsidRPr="00404372">
        <w:rPr>
          <w:rFonts w:ascii="Calibri" w:hAnsi="Calibri"/>
        </w:rPr>
        <w:t>released, it was too late to find any</w:t>
      </w:r>
      <w:r w:rsidRPr="00404372">
        <w:rPr>
          <w:rFonts w:ascii="Calibri" w:hAnsi="Calibri"/>
        </w:rPr>
        <w:t xml:space="preserve"> </w:t>
      </w:r>
      <w:r w:rsidR="00ED0DBE" w:rsidRPr="00404372">
        <w:rPr>
          <w:rFonts w:ascii="Calibri" w:hAnsi="Calibri"/>
        </w:rPr>
        <w:t>transportation</w:t>
      </w:r>
      <w:r w:rsidRPr="00404372">
        <w:rPr>
          <w:rFonts w:ascii="Calibri" w:hAnsi="Calibri"/>
        </w:rPr>
        <w:t xml:space="preserve"> </w:t>
      </w:r>
      <w:r w:rsidR="00CB34EB" w:rsidRPr="00404372">
        <w:rPr>
          <w:rFonts w:ascii="Calibri" w:hAnsi="Calibri"/>
        </w:rPr>
        <w:t>back home</w:t>
      </w:r>
      <w:r w:rsidR="0031284C" w:rsidRPr="00404372">
        <w:rPr>
          <w:rFonts w:ascii="Calibri" w:hAnsi="Calibri"/>
        </w:rPr>
        <w:t xml:space="preserve">. </w:t>
      </w:r>
      <w:proofErr w:type="gramStart"/>
      <w:r w:rsidR="00404372">
        <w:rPr>
          <w:rFonts w:ascii="Calibri" w:hAnsi="Calibri"/>
        </w:rPr>
        <w:t>A</w:t>
      </w:r>
      <w:r w:rsidR="0031284C" w:rsidRPr="00404372">
        <w:rPr>
          <w:rFonts w:ascii="Calibri" w:hAnsi="Calibri"/>
        </w:rPr>
        <w:t xml:space="preserve"> police car </w:t>
      </w:r>
      <w:r w:rsidR="00404372">
        <w:rPr>
          <w:rFonts w:ascii="Calibri" w:hAnsi="Calibri"/>
        </w:rPr>
        <w:t>transport</w:t>
      </w:r>
      <w:proofErr w:type="gramEnd"/>
      <w:r w:rsidR="00404372">
        <w:rPr>
          <w:rFonts w:ascii="Calibri" w:hAnsi="Calibri"/>
        </w:rPr>
        <w:t xml:space="preserve"> him </w:t>
      </w:r>
      <w:r w:rsidR="0031284C" w:rsidRPr="00404372">
        <w:rPr>
          <w:rFonts w:ascii="Calibri" w:hAnsi="Calibri"/>
        </w:rPr>
        <w:t xml:space="preserve">to a </w:t>
      </w:r>
      <w:r w:rsidR="0031284C" w:rsidRPr="00404372">
        <w:rPr>
          <w:rFonts w:ascii="Calibri" w:hAnsi="Calibri"/>
        </w:rPr>
        <w:lastRenderedPageBreak/>
        <w:t xml:space="preserve">neighbourhood near his </w:t>
      </w:r>
      <w:r w:rsidR="00CB34EB" w:rsidRPr="00404372">
        <w:rPr>
          <w:rFonts w:ascii="Calibri" w:hAnsi="Calibri"/>
        </w:rPr>
        <w:t>home</w:t>
      </w:r>
      <w:r w:rsidRPr="00404372">
        <w:rPr>
          <w:rFonts w:ascii="Calibri" w:hAnsi="Calibri"/>
        </w:rPr>
        <w:t>,</w:t>
      </w:r>
      <w:r w:rsidR="00E15811">
        <w:rPr>
          <w:rFonts w:ascii="Calibri" w:hAnsi="Calibri"/>
        </w:rPr>
        <w:t xml:space="preserve"> and</w:t>
      </w:r>
      <w:r w:rsidR="00CB34EB" w:rsidRPr="00404372">
        <w:rPr>
          <w:rFonts w:ascii="Calibri" w:hAnsi="Calibri"/>
        </w:rPr>
        <w:t xml:space="preserve"> forced </w:t>
      </w:r>
      <w:r w:rsidR="00E15811">
        <w:rPr>
          <w:rFonts w:ascii="Calibri" w:hAnsi="Calibri"/>
        </w:rPr>
        <w:t xml:space="preserve">him </w:t>
      </w:r>
      <w:r w:rsidR="00CB34EB" w:rsidRPr="00404372">
        <w:rPr>
          <w:rFonts w:ascii="Calibri" w:hAnsi="Calibri"/>
        </w:rPr>
        <w:t>to walk the rest of the way</w:t>
      </w:r>
      <w:r w:rsidR="0031284C" w:rsidRPr="00404372">
        <w:rPr>
          <w:rFonts w:ascii="Calibri" w:hAnsi="Calibri"/>
        </w:rPr>
        <w:t xml:space="preserve">. Ahmad arrived </w:t>
      </w:r>
      <w:r w:rsidR="000D4B4D" w:rsidRPr="00404372">
        <w:rPr>
          <w:rFonts w:ascii="Calibri" w:hAnsi="Calibri"/>
        </w:rPr>
        <w:t>home</w:t>
      </w:r>
      <w:r w:rsidR="00E15811">
        <w:rPr>
          <w:rFonts w:ascii="Calibri" w:hAnsi="Calibri"/>
        </w:rPr>
        <w:t xml:space="preserve"> around 12 am</w:t>
      </w:r>
      <w:r w:rsidR="0031284C" w:rsidRPr="00404372">
        <w:rPr>
          <w:rFonts w:ascii="Calibri" w:hAnsi="Calibri"/>
        </w:rPr>
        <w:t xml:space="preserve">. </w:t>
      </w:r>
      <w:r w:rsidR="00CB34EB" w:rsidRPr="00404372">
        <w:rPr>
          <w:rFonts w:ascii="Calibri" w:hAnsi="Calibri"/>
        </w:rPr>
        <w:t>As a result</w:t>
      </w:r>
      <w:r w:rsidR="000D4B4D" w:rsidRPr="00404372">
        <w:rPr>
          <w:rFonts w:ascii="Calibri" w:hAnsi="Calibri"/>
        </w:rPr>
        <w:t xml:space="preserve"> of the incident, </w:t>
      </w:r>
      <w:r w:rsidR="0031284C" w:rsidRPr="00404372">
        <w:rPr>
          <w:rFonts w:ascii="Calibri" w:hAnsi="Calibri"/>
        </w:rPr>
        <w:t>Ahmad</w:t>
      </w:r>
      <w:r w:rsidRPr="00404372">
        <w:rPr>
          <w:rFonts w:ascii="Calibri" w:hAnsi="Calibri"/>
        </w:rPr>
        <w:t xml:space="preserve"> </w:t>
      </w:r>
      <w:r w:rsidR="0031284C" w:rsidRPr="00404372">
        <w:rPr>
          <w:rFonts w:ascii="Calibri" w:hAnsi="Calibri"/>
        </w:rPr>
        <w:t>suffer</w:t>
      </w:r>
      <w:r w:rsidRPr="00404372">
        <w:rPr>
          <w:rFonts w:ascii="Calibri" w:hAnsi="Calibri"/>
        </w:rPr>
        <w:t>s</w:t>
      </w:r>
      <w:r w:rsidR="000D4B4D" w:rsidRPr="00404372">
        <w:rPr>
          <w:rFonts w:ascii="Calibri" w:hAnsi="Calibri"/>
        </w:rPr>
        <w:t xml:space="preserve"> from</w:t>
      </w:r>
      <w:r w:rsidR="0031284C" w:rsidRPr="00404372">
        <w:rPr>
          <w:rFonts w:ascii="Calibri" w:hAnsi="Calibri"/>
        </w:rPr>
        <w:t xml:space="preserve"> anxiety and pain in his neck and shoulders</w:t>
      </w:r>
      <w:r w:rsidR="000D4B4D" w:rsidRPr="00404372">
        <w:rPr>
          <w:rFonts w:ascii="Calibri" w:hAnsi="Calibri"/>
        </w:rPr>
        <w:t xml:space="preserve">. He </w:t>
      </w:r>
      <w:r w:rsidRPr="00404372">
        <w:rPr>
          <w:rFonts w:ascii="Calibri" w:hAnsi="Calibri"/>
        </w:rPr>
        <w:t xml:space="preserve">is </w:t>
      </w:r>
      <w:r w:rsidR="000D4B4D" w:rsidRPr="00404372">
        <w:rPr>
          <w:rFonts w:ascii="Calibri" w:hAnsi="Calibri"/>
        </w:rPr>
        <w:t>also afraid</w:t>
      </w:r>
      <w:r w:rsidR="0031284C" w:rsidRPr="00404372">
        <w:rPr>
          <w:rFonts w:ascii="Calibri" w:hAnsi="Calibri"/>
        </w:rPr>
        <w:t xml:space="preserve"> of leaving the house. </w:t>
      </w:r>
      <w:r w:rsidR="00780AD6" w:rsidRPr="00404372">
        <w:rPr>
          <w:rFonts w:ascii="Calibri" w:hAnsi="Calibri"/>
        </w:rPr>
        <w:t xml:space="preserve">(Affidavit </w:t>
      </w:r>
      <w:r w:rsidR="00F85E1C" w:rsidRPr="00404372">
        <w:rPr>
          <w:rFonts w:ascii="Calibri" w:hAnsi="Calibri"/>
        </w:rPr>
        <w:t xml:space="preserve">No. </w:t>
      </w:r>
      <w:r w:rsidR="00780AD6" w:rsidRPr="00404372">
        <w:rPr>
          <w:rFonts w:ascii="Calibri" w:hAnsi="Calibri"/>
        </w:rPr>
        <w:t>10596/2015)</w:t>
      </w:r>
    </w:p>
    <w:p w:rsidR="00ED0DBE" w:rsidRPr="0079266B" w:rsidRDefault="00ED0DBE" w:rsidP="00ED0DBE">
      <w:pPr>
        <w:pStyle w:val="Heading1"/>
      </w:pPr>
      <w:r>
        <w:t xml:space="preserve">Conclusions and Recommendations </w:t>
      </w:r>
    </w:p>
    <w:p w:rsidR="002177E9" w:rsidRPr="002177E9" w:rsidRDefault="002177E9" w:rsidP="00A44F49">
      <w:pPr>
        <w:rPr>
          <w:rFonts w:ascii="Calibri" w:hAnsi="Calibri"/>
        </w:rPr>
      </w:pPr>
      <w:r>
        <w:rPr>
          <w:rFonts w:ascii="Calibri" w:hAnsi="Calibri"/>
        </w:rPr>
        <w:t xml:space="preserve">Israel has </w:t>
      </w:r>
      <w:r w:rsidR="00A44F49">
        <w:rPr>
          <w:rFonts w:ascii="Calibri" w:hAnsi="Calibri"/>
        </w:rPr>
        <w:t>not</w:t>
      </w:r>
      <w:r w:rsidR="00332024">
        <w:rPr>
          <w:rFonts w:ascii="Calibri" w:hAnsi="Calibri"/>
        </w:rPr>
        <w:t xml:space="preserve"> </w:t>
      </w:r>
      <w:r>
        <w:rPr>
          <w:rFonts w:ascii="Calibri" w:hAnsi="Calibri"/>
        </w:rPr>
        <w:t>implemented any of the recommendations the Committee has selected for its follow-up procedure</w:t>
      </w:r>
      <w:r w:rsidR="00A44F49">
        <w:rPr>
          <w:rFonts w:ascii="Calibri" w:hAnsi="Calibri"/>
        </w:rPr>
        <w:t>, and instead persists in its unlawful policies and practices which target the occupied Palestinian population</w:t>
      </w:r>
      <w:r>
        <w:rPr>
          <w:rFonts w:ascii="Calibri" w:hAnsi="Calibri"/>
        </w:rPr>
        <w:t xml:space="preserve">. </w:t>
      </w:r>
      <w:r w:rsidRPr="002177E9">
        <w:rPr>
          <w:rFonts w:ascii="Calibri" w:hAnsi="Calibri"/>
        </w:rPr>
        <w:t>In view of the above</w:t>
      </w:r>
      <w:r>
        <w:rPr>
          <w:rFonts w:ascii="Calibri" w:hAnsi="Calibri"/>
        </w:rPr>
        <w:t xml:space="preserve"> finding</w:t>
      </w:r>
      <w:r w:rsidRPr="002177E9">
        <w:rPr>
          <w:rFonts w:ascii="Calibri" w:hAnsi="Calibri"/>
        </w:rPr>
        <w:t>, Al-Haq recommends</w:t>
      </w:r>
      <w:r>
        <w:rPr>
          <w:rFonts w:ascii="Calibri" w:hAnsi="Calibri"/>
        </w:rPr>
        <w:t xml:space="preserve"> that:</w:t>
      </w:r>
    </w:p>
    <w:p w:rsidR="00A16DBE" w:rsidRPr="00442716" w:rsidRDefault="00A16DBE" w:rsidP="00A16DBE">
      <w:pPr>
        <w:pStyle w:val="BibliographyList"/>
        <w:ind w:left="709"/>
        <w:rPr>
          <w:rFonts w:ascii="Calibri" w:hAnsi="Calibri"/>
        </w:rPr>
      </w:pPr>
      <w:r>
        <w:rPr>
          <w:rFonts w:ascii="Calibri" w:hAnsi="Calibri"/>
        </w:rPr>
        <w:t>Israel be held accountable for its violations of international human rights and humanitarian law in the OPT;</w:t>
      </w:r>
    </w:p>
    <w:p w:rsidR="00442716" w:rsidRDefault="00442716" w:rsidP="00BD249E">
      <w:pPr>
        <w:pStyle w:val="BibliographyList"/>
        <w:ind w:left="709"/>
        <w:rPr>
          <w:rFonts w:ascii="Calibri" w:hAnsi="Calibri"/>
        </w:rPr>
      </w:pPr>
      <w:r>
        <w:rPr>
          <w:rFonts w:ascii="Calibri" w:hAnsi="Calibri"/>
        </w:rPr>
        <w:t>Israel lift its ten-year-long closure of the Gaza Strip;</w:t>
      </w:r>
    </w:p>
    <w:p w:rsidR="00B47345" w:rsidRPr="00B47345" w:rsidRDefault="00B47345" w:rsidP="00B47345">
      <w:pPr>
        <w:pStyle w:val="BibliographyList"/>
        <w:ind w:left="709"/>
        <w:rPr>
          <w:rFonts w:ascii="Calibri" w:hAnsi="Calibri"/>
        </w:rPr>
      </w:pPr>
      <w:r>
        <w:rPr>
          <w:rFonts w:ascii="Calibri" w:hAnsi="Calibri"/>
        </w:rPr>
        <w:t>Israel put an end to its fifty-year occupation of Palestinian territory.</w:t>
      </w:r>
    </w:p>
    <w:p w:rsidR="0031284C" w:rsidRPr="0031284C" w:rsidRDefault="0031284C" w:rsidP="0031284C">
      <w:pPr>
        <w:numPr>
          <w:ilvl w:val="0"/>
          <w:numId w:val="0"/>
        </w:numPr>
        <w:rPr>
          <w:rFonts w:ascii="Calibri" w:hAnsi="Calibri"/>
        </w:rPr>
      </w:pPr>
    </w:p>
    <w:sectPr w:rsidR="0031284C" w:rsidRPr="0031284C" w:rsidSect="00BA6D24">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5A2DAE" w15:done="0"/>
  <w15:commentEx w15:paraId="7C976644" w15:done="0"/>
  <w15:commentEx w15:paraId="450AC2CE" w15:done="0"/>
  <w15:commentEx w15:paraId="5C60E461" w15:done="0"/>
  <w15:commentEx w15:paraId="34466778" w15:done="0"/>
  <w15:commentEx w15:paraId="0BFC34BF" w15:done="0"/>
  <w15:commentEx w15:paraId="6580482B" w15:done="0"/>
  <w15:commentEx w15:paraId="055D90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632" w:rsidRDefault="00356632" w:rsidP="005F2E0B">
      <w:r>
        <w:separator/>
      </w:r>
    </w:p>
  </w:endnote>
  <w:endnote w:type="continuationSeparator" w:id="0">
    <w:p w:rsidR="00356632" w:rsidRDefault="00356632" w:rsidP="005F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632" w:rsidRDefault="00356632">
      <w:pPr>
        <w:pStyle w:val="FootnoteText"/>
        <w:spacing w:before="0" w:after="0"/>
      </w:pPr>
      <w:r>
        <w:separator/>
      </w:r>
    </w:p>
    <w:p w:rsidR="00356632" w:rsidRDefault="00356632">
      <w:pPr>
        <w:pStyle w:val="FootnoteText"/>
        <w:spacing w:before="0" w:after="0"/>
        <w:rPr>
          <w:sz w:val="2"/>
          <w:szCs w:val="2"/>
        </w:rPr>
      </w:pPr>
    </w:p>
  </w:footnote>
  <w:footnote w:type="continuationSeparator" w:id="0">
    <w:p w:rsidR="00356632" w:rsidRDefault="00356632">
      <w:pPr>
        <w:pStyle w:val="FootnoteText"/>
        <w:spacing w:before="0" w:after="0"/>
        <w:rPr>
          <w:sz w:val="2"/>
          <w:szCs w:val="2"/>
        </w:rPr>
      </w:pPr>
      <w:r>
        <w:separator/>
      </w:r>
    </w:p>
  </w:footnote>
  <w:footnote w:id="1">
    <w:p w:rsidR="00567B78" w:rsidRPr="00B95D47" w:rsidRDefault="00567B78">
      <w:pPr>
        <w:pStyle w:val="FootnoteText"/>
        <w:rPr>
          <w:lang w:val="en-US"/>
        </w:rPr>
      </w:pPr>
      <w:r w:rsidRPr="005140D2">
        <w:rPr>
          <w:rStyle w:val="FootnoteReference"/>
        </w:rPr>
        <w:footnoteRef/>
      </w:r>
      <w:r w:rsidRPr="005140D2">
        <w:t xml:space="preserve"> Al-Haq, “East Jerusalem: Exploiting Instability to Deepen the Occupation” (Al-Haq 2015), page 46, available at: </w:t>
      </w:r>
      <w:hyperlink r:id="rId1" w:history="1">
        <w:r w:rsidRPr="005140D2">
          <w:rPr>
            <w:rStyle w:val="Hyperlink"/>
          </w:rPr>
          <w:t>http://www.alhaq.org/publications/Special.Focus.on.jerusalem.pdf</w:t>
        </w:r>
      </w:hyperlink>
      <w:r w:rsidRPr="005140D2">
        <w:t>.</w:t>
      </w:r>
    </w:p>
  </w:footnote>
  <w:footnote w:id="2">
    <w:p w:rsidR="00567B78" w:rsidRPr="00B95D47" w:rsidRDefault="00567B78" w:rsidP="00252968">
      <w:pPr>
        <w:pStyle w:val="FootnoteText"/>
      </w:pPr>
      <w:r w:rsidRPr="005140D2">
        <w:rPr>
          <w:rStyle w:val="FootnoteReference"/>
        </w:rPr>
        <w:footnoteRef/>
      </w:r>
      <w:r w:rsidRPr="005140D2">
        <w:t xml:space="preserve"> The measures state “no new construction will be permitted at the site where a terrorist's home has been demolished” and that the “The property of terrorists who perpetrate attacks will be confiscated.” </w:t>
      </w:r>
      <w:r w:rsidRPr="005140D2">
        <w:rPr>
          <w:i/>
        </w:rPr>
        <w:t>See</w:t>
      </w:r>
      <w:r w:rsidRPr="005140D2">
        <w:t xml:space="preserve"> Israel Ministry of Foreign Affairs, “Security Cabinet approves anti-terror measures” (13 October 2015), available at: </w:t>
      </w:r>
      <w:hyperlink r:id="rId2" w:history="1">
        <w:r w:rsidRPr="005140D2">
          <w:rPr>
            <w:rStyle w:val="Hyperlink"/>
            <w:lang w:val="en-US"/>
          </w:rPr>
          <w:t>http://mfa.gov.il/MFA/PressRoom/2015/Pages/Security-Cabinet-approves-anti-terror-measures-13-Oct-2015.aspx</w:t>
        </w:r>
      </w:hyperlink>
      <w:r w:rsidRPr="005140D2">
        <w:rPr>
          <w:b/>
          <w:lang w:val="en-US"/>
        </w:rPr>
        <w:t>.</w:t>
      </w:r>
    </w:p>
  </w:footnote>
  <w:footnote w:id="3">
    <w:p w:rsidR="00567B78" w:rsidRPr="00B95D47" w:rsidRDefault="00567B78">
      <w:pPr>
        <w:pStyle w:val="FootnoteText"/>
        <w:spacing w:after="0"/>
        <w:rPr>
          <w:iCs/>
        </w:rPr>
      </w:pPr>
      <w:r w:rsidRPr="005140D2">
        <w:rPr>
          <w:rStyle w:val="FootnoteReference"/>
        </w:rPr>
        <w:footnoteRef/>
      </w:r>
      <w:r w:rsidRPr="005140D2">
        <w:t xml:space="preserve"> In one incident, for example, a judge issued a dissenting opinion highlighting the insufficient administrative evidence that the individual had indeed committed a car-ramming. </w:t>
      </w:r>
      <w:r w:rsidRPr="005140D2">
        <w:rPr>
          <w:i/>
          <w:iCs/>
        </w:rPr>
        <w:t xml:space="preserve">See </w:t>
      </w:r>
      <w:proofErr w:type="spellStart"/>
      <w:r w:rsidRPr="005140D2">
        <w:rPr>
          <w:iCs/>
        </w:rPr>
        <w:t>HaMoked</w:t>
      </w:r>
      <w:proofErr w:type="spellEnd"/>
      <w:r w:rsidRPr="005140D2">
        <w:rPr>
          <w:iCs/>
        </w:rPr>
        <w:t>, “The HCJ approves the punitive demolition of a home in Hebron, as “we must promote deterrence also in this manner”” (29 February 2016), available at:</w:t>
      </w:r>
    </w:p>
    <w:p w:rsidR="00567B78" w:rsidRPr="00B95D47" w:rsidRDefault="004957DC">
      <w:pPr>
        <w:pStyle w:val="FootnoteText"/>
        <w:spacing w:before="0"/>
      </w:pPr>
      <w:hyperlink r:id="rId3" w:history="1">
        <w:r w:rsidR="00567B78" w:rsidRPr="005140D2">
          <w:rPr>
            <w:rStyle w:val="Hyperlink"/>
          </w:rPr>
          <w:t>http://www.hamoked.org/Document.aspx?dID=Updates1678</w:t>
        </w:r>
      </w:hyperlink>
      <w:r w:rsidR="00567B78" w:rsidRPr="005140D2">
        <w:rPr>
          <w:iCs/>
        </w:rPr>
        <w:t>.</w:t>
      </w:r>
    </w:p>
  </w:footnote>
  <w:footnote w:id="4">
    <w:p w:rsidR="00567B78" w:rsidRPr="00B95D47" w:rsidRDefault="00567B78" w:rsidP="00252968">
      <w:pPr>
        <w:pStyle w:val="FootnoteText"/>
      </w:pPr>
      <w:r w:rsidRPr="005140D2">
        <w:rPr>
          <w:rStyle w:val="FootnoteReference"/>
        </w:rPr>
        <w:footnoteRef/>
      </w:r>
      <w:r w:rsidRPr="005140D2">
        <w:t xml:space="preserve"> UN OCHA, “</w:t>
      </w:r>
      <w:r w:rsidRPr="005140D2">
        <w:rPr>
          <w:bCs w:val="0"/>
          <w:lang w:val="en-US"/>
        </w:rPr>
        <w:t>Record number of demolitions in 2016; casualty toll declines” (29 December 2016), available at</w:t>
      </w:r>
      <w:proofErr w:type="gramStart"/>
      <w:r w:rsidRPr="005140D2">
        <w:rPr>
          <w:bCs w:val="0"/>
          <w:lang w:val="en-US"/>
        </w:rPr>
        <w:t>:</w:t>
      </w:r>
      <w:proofErr w:type="gramEnd"/>
      <w:hyperlink r:id="rId4" w:history="1">
        <w:r w:rsidRPr="005140D2">
          <w:rPr>
            <w:rStyle w:val="Hyperlink"/>
          </w:rPr>
          <w:t>https://www.ochaopt.org/content/record-number-demolitions-2016-casualty-toll-declines</w:t>
        </w:r>
      </w:hyperlink>
      <w:r w:rsidRPr="005140D2">
        <w:t>.</w:t>
      </w:r>
    </w:p>
  </w:footnote>
  <w:footnote w:id="5">
    <w:p w:rsidR="00567B78" w:rsidRPr="00B95D47" w:rsidRDefault="00567B78" w:rsidP="006F6B10">
      <w:pPr>
        <w:pStyle w:val="FootnoteText"/>
      </w:pPr>
      <w:r w:rsidRPr="005140D2">
        <w:rPr>
          <w:rStyle w:val="FootnoteReference"/>
        </w:rPr>
        <w:footnoteRef/>
      </w:r>
      <w:r w:rsidRPr="005140D2">
        <w:t xml:space="preserve"> Al-Haq, “Field Report: Collective Punishment in </w:t>
      </w:r>
      <w:proofErr w:type="spellStart"/>
      <w:r w:rsidRPr="005140D2">
        <w:t>Jabal</w:t>
      </w:r>
      <w:proofErr w:type="spellEnd"/>
      <w:r w:rsidRPr="005140D2">
        <w:t xml:space="preserve"> Al-</w:t>
      </w:r>
      <w:proofErr w:type="spellStart"/>
      <w:r w:rsidRPr="005140D2">
        <w:t>Mukabir</w:t>
      </w:r>
      <w:proofErr w:type="spellEnd"/>
      <w:r w:rsidRPr="005140D2">
        <w:t xml:space="preserve">” (25 January 2017), available at: </w:t>
      </w:r>
      <w:hyperlink r:id="rId5" w:history="1">
        <w:r w:rsidRPr="005140D2">
          <w:rPr>
            <w:rStyle w:val="Hyperlink"/>
          </w:rPr>
          <w:t>http://www.alhaq.org/documentation/weekly-focuses/1097-field-report-collective-punishment-in-jabal-al-mukabir</w:t>
        </w:r>
      </w:hyperlink>
      <w:r w:rsidRPr="005140D2">
        <w:t>.</w:t>
      </w:r>
    </w:p>
  </w:footnote>
  <w:footnote w:id="6">
    <w:p w:rsidR="00567B78" w:rsidRPr="00B95D47" w:rsidRDefault="00567B78">
      <w:pPr>
        <w:pStyle w:val="FootnoteText"/>
        <w:spacing w:after="0"/>
      </w:pPr>
      <w:r w:rsidRPr="005140D2">
        <w:rPr>
          <w:rStyle w:val="FootnoteReference"/>
        </w:rPr>
        <w:footnoteRef/>
      </w:r>
      <w:r w:rsidRPr="005140D2">
        <w:t xml:space="preserve"> UN OCHA, “Bedouin Relocation: Threat of Displacement in the Jerusalem Periphery” (September 2011), available at:</w:t>
      </w:r>
    </w:p>
    <w:p w:rsidR="00567B78" w:rsidRPr="00B95D47" w:rsidRDefault="004957DC">
      <w:pPr>
        <w:pStyle w:val="FootnoteText"/>
        <w:spacing w:before="0"/>
      </w:pPr>
      <w:hyperlink r:id="rId6" w:history="1">
        <w:r w:rsidR="00567B78" w:rsidRPr="005140D2">
          <w:rPr>
            <w:rStyle w:val="Hyperlink"/>
          </w:rPr>
          <w:t>https://www.ochaopt.org/documents/ocha_opt_bedouin_factsheet_october_2011_english.pdf</w:t>
        </w:r>
      </w:hyperlink>
      <w:r w:rsidR="00567B78" w:rsidRPr="005140D2">
        <w:t>.</w:t>
      </w:r>
    </w:p>
  </w:footnote>
  <w:footnote w:id="7">
    <w:p w:rsidR="00567B78" w:rsidRPr="00B95D47" w:rsidRDefault="00567B78">
      <w:pPr>
        <w:pStyle w:val="FootnoteText"/>
        <w:spacing w:after="0"/>
      </w:pPr>
      <w:r w:rsidRPr="005140D2">
        <w:rPr>
          <w:rStyle w:val="FootnoteReference"/>
        </w:rPr>
        <w:footnoteRef/>
      </w:r>
      <w:r w:rsidRPr="005140D2">
        <w:t xml:space="preserve"> Al-Haq, “PHROC Raises Serious Concerns Regarding the Development of Master Plans Requiring Israeli Approval in Area C of the West Bank” (31 December 2014), available at:</w:t>
      </w:r>
    </w:p>
    <w:p w:rsidR="00567B78" w:rsidRPr="00B95D47" w:rsidRDefault="004957DC">
      <w:pPr>
        <w:pStyle w:val="FootnoteText"/>
        <w:spacing w:before="0"/>
      </w:pPr>
      <w:hyperlink r:id="rId7" w:history="1">
        <w:r w:rsidR="00567B78" w:rsidRPr="005140D2">
          <w:rPr>
            <w:rStyle w:val="Hyperlink"/>
          </w:rPr>
          <w:t>http://www.alhaq.org/advocacy/targets/european-union/884-phroc-raises-serious-concerns-regarding-the-development-of-master-plans-requiring-israeli-approval-in-area-c-of-the-west-bank</w:t>
        </w:r>
      </w:hyperlink>
      <w:r w:rsidR="00567B78" w:rsidRPr="005140D2">
        <w:t>.</w:t>
      </w:r>
    </w:p>
  </w:footnote>
  <w:footnote w:id="8">
    <w:p w:rsidR="00567B78" w:rsidRPr="00B95D47" w:rsidRDefault="00567B78">
      <w:pPr>
        <w:pStyle w:val="FootnoteText"/>
        <w:spacing w:after="0"/>
      </w:pPr>
      <w:r w:rsidRPr="005140D2">
        <w:rPr>
          <w:rStyle w:val="FootnoteReference"/>
        </w:rPr>
        <w:footnoteRef/>
      </w:r>
      <w:r w:rsidRPr="005140D2">
        <w:t xml:space="preserve"> The 1993 Oslo Accords split the West Bank into three areas of which Area C was to be subject to a gradual transfer of power from Israel to the Palestinian Authority. In 2000, this process was frozen and Israel maintains as of yet full military and civil control, including control over building and planning, in Area C. See, for example, UNRWA, “West Bank – Area C: Herders Fact Sheet 2010”, available at:</w:t>
      </w:r>
    </w:p>
    <w:p w:rsidR="00567B78" w:rsidRPr="00B95D47" w:rsidRDefault="004957DC">
      <w:pPr>
        <w:pStyle w:val="FootnoteText"/>
        <w:spacing w:before="0"/>
      </w:pPr>
      <w:hyperlink r:id="rId8" w:history="1">
        <w:r w:rsidR="00567B78" w:rsidRPr="005140D2">
          <w:rPr>
            <w:rStyle w:val="Hyperlink"/>
          </w:rPr>
          <w:t>https://unispal.un.org/DPA/DPR/unispal.nsf/1ce874ab1832a53e852570bb006dfaf6/9b8154497a585d36852578af00522589?OpenDocument</w:t>
        </w:r>
      </w:hyperlink>
      <w:r w:rsidR="00567B78" w:rsidRPr="005140D2">
        <w:t>.</w:t>
      </w:r>
    </w:p>
  </w:footnote>
  <w:footnote w:id="9">
    <w:p w:rsidR="00567B78" w:rsidRPr="00B95D47" w:rsidRDefault="00567B78">
      <w:pPr>
        <w:pStyle w:val="FootnoteText"/>
      </w:pPr>
      <w:r w:rsidRPr="005140D2">
        <w:rPr>
          <w:rStyle w:val="FootnoteReference"/>
        </w:rPr>
        <w:footnoteRef/>
      </w:r>
      <w:r w:rsidRPr="005140D2">
        <w:t xml:space="preserve"> UN OCHA, “Humanitarian Bulletin: occupied Palestinian territory, February 2017” (11 March 2017), page 3, available at: </w:t>
      </w:r>
      <w:hyperlink r:id="rId9" w:history="1">
        <w:r w:rsidRPr="005140D2">
          <w:rPr>
            <w:rStyle w:val="Hyperlink"/>
          </w:rPr>
          <w:t>https://www.ochaopt.org/content/monthly-humanitarian-bulletin-february-2017</w:t>
        </w:r>
      </w:hyperlink>
      <w:r w:rsidRPr="005140D2">
        <w:t>.</w:t>
      </w:r>
    </w:p>
  </w:footnote>
  <w:footnote w:id="10">
    <w:p w:rsidR="00567B78" w:rsidRPr="00B95D47" w:rsidRDefault="00567B78">
      <w:pPr>
        <w:pStyle w:val="FootnoteText"/>
      </w:pPr>
      <w:r w:rsidRPr="005140D2">
        <w:rPr>
          <w:rStyle w:val="FootnoteReference"/>
        </w:rPr>
        <w:footnoteRef/>
      </w:r>
      <w:r w:rsidRPr="005140D2">
        <w:t xml:space="preserve"> UN OCHA, “Bedouin communities at risk of forcible transfer” (September 2014), available at: </w:t>
      </w:r>
      <w:hyperlink r:id="rId10" w:history="1">
        <w:r w:rsidRPr="005140D2">
          <w:rPr>
            <w:rStyle w:val="Hyperlink"/>
          </w:rPr>
          <w:t>https://www.ochaopt.org/documents/ocha_opt_communities_jerusalem_factsheet_september_2014_english.pdf</w:t>
        </w:r>
      </w:hyperlink>
      <w:r w:rsidRPr="005140D2">
        <w:t>.</w:t>
      </w:r>
    </w:p>
  </w:footnote>
  <w:footnote w:id="11">
    <w:p w:rsidR="00567B78" w:rsidRPr="00B95D47" w:rsidRDefault="00567B78" w:rsidP="00252968">
      <w:pPr>
        <w:pStyle w:val="FootnoteText"/>
        <w:rPr>
          <w:lang w:val="en-US"/>
        </w:rPr>
      </w:pPr>
      <w:r w:rsidRPr="005140D2">
        <w:rPr>
          <w:rStyle w:val="FootnoteReference"/>
        </w:rPr>
        <w:footnoteRef/>
      </w:r>
      <w:r w:rsidRPr="005140D2">
        <w:t xml:space="preserve"> Medical Aid for Palestinians, “Palestinian child, 5, dies after being denied Gaza exit for medical treatment” (05 May 2017), available at: </w:t>
      </w:r>
      <w:hyperlink r:id="rId11" w:history="1">
        <w:r w:rsidRPr="005140D2">
          <w:rPr>
            <w:rStyle w:val="Hyperlink"/>
          </w:rPr>
          <w:t>https://www.map.org.uk/news/archive/post/650-palestinian-child-5-dies-after-being-denied-gaza-exit-for-medical-treatment</w:t>
        </w:r>
      </w:hyperlink>
      <w:r w:rsidRPr="005140D2">
        <w:t>.</w:t>
      </w:r>
    </w:p>
  </w:footnote>
  <w:footnote w:id="12">
    <w:p w:rsidR="00567B78" w:rsidRPr="00B95D47" w:rsidRDefault="00567B78">
      <w:pPr>
        <w:pStyle w:val="FootnoteText"/>
      </w:pPr>
      <w:r w:rsidRPr="005140D2">
        <w:rPr>
          <w:rStyle w:val="FootnoteReference"/>
        </w:rPr>
        <w:footnoteRef/>
      </w:r>
      <w:r w:rsidRPr="005140D2">
        <w:t xml:space="preserve"> Al-Haq, “Al-Haq Statement on World Health Day” (07 April 2017), available at: </w:t>
      </w:r>
      <w:hyperlink r:id="rId12" w:history="1">
        <w:r w:rsidRPr="005140D2">
          <w:rPr>
            <w:rStyle w:val="Hyperlink"/>
          </w:rPr>
          <w:t>http://www.alhaq.org/advocacy/topics/civil-and-social-rights/1116-al-haq-statement-on-world-health-day</w:t>
        </w:r>
      </w:hyperlink>
      <w:r w:rsidRPr="005140D2">
        <w:t>.</w:t>
      </w:r>
    </w:p>
  </w:footnote>
  <w:footnote w:id="13">
    <w:p w:rsidR="00567B78" w:rsidRPr="00B95D47" w:rsidRDefault="00567B78" w:rsidP="00B95D47">
      <w:pPr>
        <w:pStyle w:val="FootnoteText"/>
      </w:pPr>
      <w:r w:rsidRPr="00B95D47">
        <w:rPr>
          <w:rStyle w:val="FootnoteReference"/>
        </w:rPr>
        <w:footnoteRef/>
      </w:r>
      <w:r w:rsidRPr="00B95D47">
        <w:t xml:space="preserve">Chaim Levinson, </w:t>
      </w:r>
      <w:r>
        <w:t xml:space="preserve">“Torture of Palestinian Detainees by Shin Bet Investigators Rises Sharply” (06 March 2015), available at: </w:t>
      </w:r>
      <w:hyperlink r:id="rId13" w:history="1">
        <w:r w:rsidRPr="00E53507">
          <w:rPr>
            <w:rStyle w:val="Hyperlink"/>
          </w:rPr>
          <w:t>http://www.haaretz.com/israel-news/.premium-1.645587</w:t>
        </w:r>
      </w:hyperlink>
      <w:r>
        <w:t>.</w:t>
      </w:r>
    </w:p>
  </w:footnote>
  <w:footnote w:id="14">
    <w:p w:rsidR="00567B78" w:rsidRPr="00B95D47" w:rsidRDefault="00567B78" w:rsidP="00252968">
      <w:pPr>
        <w:pStyle w:val="FootnoteText"/>
        <w:rPr>
          <w:lang w:val="en-US"/>
        </w:rPr>
      </w:pPr>
      <w:r w:rsidRPr="005140D2">
        <w:rPr>
          <w:rStyle w:val="FootnoteReference"/>
        </w:rPr>
        <w:footnoteRef/>
      </w:r>
      <w:r w:rsidRPr="005140D2">
        <w:t xml:space="preserve">This is according to statistics collected by </w:t>
      </w:r>
      <w:proofErr w:type="spellStart"/>
      <w:r w:rsidRPr="005140D2">
        <w:t>Addameer</w:t>
      </w:r>
      <w:proofErr w:type="spellEnd"/>
      <w:r w:rsidRPr="005140D2">
        <w:t xml:space="preserve">, the Palestinian Prisoner Support and Human Rights Association, available at: </w:t>
      </w:r>
      <w:hyperlink r:id="rId14" w:history="1">
        <w:r w:rsidRPr="005140D2">
          <w:rPr>
            <w:rStyle w:val="Hyperlink"/>
          </w:rPr>
          <w:t>http://www.addameer.org/statistics</w:t>
        </w:r>
      </w:hyperlink>
      <w:r w:rsidRPr="005140D2">
        <w:rPr>
          <w:rStyle w:val="Hyperlink"/>
        </w:rPr>
        <w:t>.</w:t>
      </w:r>
    </w:p>
  </w:footnote>
  <w:footnote w:id="15">
    <w:p w:rsidR="00567B78" w:rsidRPr="00B95D47" w:rsidRDefault="00567B78" w:rsidP="00AB53E0">
      <w:pPr>
        <w:pStyle w:val="FootnoteText"/>
        <w:rPr>
          <w:lang w:val="en-US"/>
        </w:rPr>
      </w:pPr>
      <w:r w:rsidRPr="005140D2">
        <w:rPr>
          <w:rStyle w:val="FootnoteReference"/>
        </w:rPr>
        <w:footnoteRef/>
      </w:r>
      <w:r w:rsidRPr="005140D2">
        <w:t xml:space="preserve"> Al-Haq, “East Jerusalem: Exploiting Instability to Deepen the Occupation” (Al-Haq 2015), page 25, available at: </w:t>
      </w:r>
      <w:hyperlink r:id="rId15" w:history="1">
        <w:r w:rsidRPr="005140D2">
          <w:rPr>
            <w:rStyle w:val="Hyperlink"/>
          </w:rPr>
          <w:t>http://www.alhaq.org/publications/Special.Focus.on.jerusalem.pdf</w:t>
        </w:r>
      </w:hyperlink>
      <w:r w:rsidRPr="005140D2">
        <w:t>.</w:t>
      </w:r>
    </w:p>
  </w:footnote>
  <w:footnote w:id="16">
    <w:p w:rsidR="00404372" w:rsidRPr="00404372" w:rsidRDefault="00404372" w:rsidP="00404372">
      <w:pPr>
        <w:pStyle w:val="FootnoteText"/>
        <w:rPr>
          <w:b/>
          <w:lang w:val="en-US"/>
        </w:rPr>
      </w:pPr>
      <w:r>
        <w:rPr>
          <w:rStyle w:val="FootnoteReference"/>
        </w:rPr>
        <w:footnoteRef/>
      </w:r>
      <w:r>
        <w:t xml:space="preserve"> </w:t>
      </w:r>
      <w:r>
        <w:rPr>
          <w:lang w:val="en-US"/>
        </w:rPr>
        <w:t xml:space="preserve">Notably, a video-tape of </w:t>
      </w:r>
      <w:proofErr w:type="spellStart"/>
      <w:r>
        <w:rPr>
          <w:lang w:val="en-US"/>
        </w:rPr>
        <w:t>Manasara</w:t>
      </w:r>
      <w:proofErr w:type="spellEnd"/>
      <w:r>
        <w:rPr>
          <w:lang w:val="en-US"/>
        </w:rPr>
        <w:t xml:space="preserve"> being interrogated without the presence of a lawyer or family member was leaked, where </w:t>
      </w:r>
      <w:proofErr w:type="spellStart"/>
      <w:r>
        <w:rPr>
          <w:lang w:val="en-US"/>
        </w:rPr>
        <w:t>Manasara</w:t>
      </w:r>
      <w:proofErr w:type="spellEnd"/>
      <w:r>
        <w:rPr>
          <w:lang w:val="en-US"/>
        </w:rPr>
        <w:t xml:space="preserve"> was in </w:t>
      </w:r>
      <w:r w:rsidRPr="00404372">
        <w:rPr>
          <w:lang w:val="en-US"/>
        </w:rPr>
        <w:t>clear distress. See: https://www.youtube.com/watch?v=95PAhmof0OQ See also: New Israeli law allows children as young as 12 to be jailed, DCI, 16 August 2016, available at:</w:t>
      </w:r>
      <w:r>
        <w:rPr>
          <w:b/>
          <w:lang w:val="en-US"/>
        </w:rPr>
        <w:t xml:space="preserve"> </w:t>
      </w:r>
    </w:p>
    <w:p w:rsidR="00404372" w:rsidRPr="00404372" w:rsidRDefault="00404372" w:rsidP="00404372">
      <w:pPr>
        <w:pStyle w:val="FootnoteText"/>
        <w:rPr>
          <w:lang w:val="en-US"/>
        </w:rPr>
      </w:pPr>
      <w:r w:rsidRPr="00404372">
        <w:rPr>
          <w:lang w:val="en-US"/>
        </w:rPr>
        <w:t xml:space="preserve"> http://www.dci-palestine.org/new_israeli_law_allows_children_as_young_as_12_to_be_jailed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0B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BF955D0"/>
    <w:multiLevelType w:val="hybridMultilevel"/>
    <w:tmpl w:val="93047070"/>
    <w:lvl w:ilvl="0" w:tplc="A27865F8">
      <w:start w:val="1"/>
      <w:numFmt w:val="decimal"/>
      <w:pStyle w:val="Normal"/>
      <w:lvlText w:val="%1."/>
      <w:lvlJc w:val="left"/>
      <w:pPr>
        <w:ind w:left="1080" w:hanging="360"/>
      </w:pPr>
    </w:lvl>
    <w:lvl w:ilvl="1" w:tplc="FF1A2DB8">
      <w:start w:val="1"/>
      <w:numFmt w:val="lowerLetter"/>
      <w:pStyle w:val="BibliographyList"/>
      <w:lvlText w:val="(%2)"/>
      <w:lvlJc w:val="left"/>
      <w:pPr>
        <w:ind w:left="1800" w:hanging="360"/>
      </w:pPr>
      <w:rPr>
        <w:rFonts w:asciiTheme="minorHAnsi" w:hAnsiTheme="minorHAnsi" w:hint="default"/>
        <w:i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2D60E9"/>
    <w:multiLevelType w:val="hybridMultilevel"/>
    <w:tmpl w:val="9E3E4982"/>
    <w:lvl w:ilvl="0" w:tplc="7744001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4051E"/>
    <w:multiLevelType w:val="hybridMultilevel"/>
    <w:tmpl w:val="F7B8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13ED5"/>
    <w:multiLevelType w:val="multilevel"/>
    <w:tmpl w:val="5AF4AF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657E4E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8680FA1"/>
    <w:multiLevelType w:val="multilevel"/>
    <w:tmpl w:val="5AF4AF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ia Muhareb">
    <w15:presenceInfo w15:providerId="Windows Live" w15:userId="19253c8f1f629d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81"/>
    <w:rsid w:val="000069E5"/>
    <w:rsid w:val="000107D8"/>
    <w:rsid w:val="00012B7F"/>
    <w:rsid w:val="00020379"/>
    <w:rsid w:val="00027085"/>
    <w:rsid w:val="0002766C"/>
    <w:rsid w:val="000421DA"/>
    <w:rsid w:val="00050783"/>
    <w:rsid w:val="00055F81"/>
    <w:rsid w:val="000566D9"/>
    <w:rsid w:val="000A1B0D"/>
    <w:rsid w:val="000A3FBA"/>
    <w:rsid w:val="000C7472"/>
    <w:rsid w:val="000D4B4D"/>
    <w:rsid w:val="000F3C93"/>
    <w:rsid w:val="00115EB5"/>
    <w:rsid w:val="00125C2A"/>
    <w:rsid w:val="0012709C"/>
    <w:rsid w:val="0013330B"/>
    <w:rsid w:val="00133D7B"/>
    <w:rsid w:val="0014655B"/>
    <w:rsid w:val="00156ABE"/>
    <w:rsid w:val="001636A9"/>
    <w:rsid w:val="00185874"/>
    <w:rsid w:val="001879B3"/>
    <w:rsid w:val="001927BA"/>
    <w:rsid w:val="001B33B6"/>
    <w:rsid w:val="001B7A4D"/>
    <w:rsid w:val="001F1547"/>
    <w:rsid w:val="00204DBD"/>
    <w:rsid w:val="00205371"/>
    <w:rsid w:val="00207EEB"/>
    <w:rsid w:val="00216A82"/>
    <w:rsid w:val="002177E9"/>
    <w:rsid w:val="00240515"/>
    <w:rsid w:val="002451BA"/>
    <w:rsid w:val="0025122E"/>
    <w:rsid w:val="00252968"/>
    <w:rsid w:val="00267A48"/>
    <w:rsid w:val="0027618F"/>
    <w:rsid w:val="0028361E"/>
    <w:rsid w:val="00290B52"/>
    <w:rsid w:val="00294F70"/>
    <w:rsid w:val="002A0164"/>
    <w:rsid w:val="002A6913"/>
    <w:rsid w:val="002C1A18"/>
    <w:rsid w:val="002C5354"/>
    <w:rsid w:val="002D3C8B"/>
    <w:rsid w:val="002D7921"/>
    <w:rsid w:val="002F05C4"/>
    <w:rsid w:val="00300CF3"/>
    <w:rsid w:val="00300E31"/>
    <w:rsid w:val="003036A3"/>
    <w:rsid w:val="00307477"/>
    <w:rsid w:val="0031284C"/>
    <w:rsid w:val="00316258"/>
    <w:rsid w:val="00322C97"/>
    <w:rsid w:val="00332024"/>
    <w:rsid w:val="00337660"/>
    <w:rsid w:val="00341C63"/>
    <w:rsid w:val="003522F2"/>
    <w:rsid w:val="00356632"/>
    <w:rsid w:val="00371DD2"/>
    <w:rsid w:val="00373CEA"/>
    <w:rsid w:val="00374B0A"/>
    <w:rsid w:val="00377474"/>
    <w:rsid w:val="00383011"/>
    <w:rsid w:val="003A2974"/>
    <w:rsid w:val="003A7557"/>
    <w:rsid w:val="003B0D26"/>
    <w:rsid w:val="003C1AEC"/>
    <w:rsid w:val="003C27C1"/>
    <w:rsid w:val="003D1C90"/>
    <w:rsid w:val="003D32F9"/>
    <w:rsid w:val="003E22CD"/>
    <w:rsid w:val="00402A21"/>
    <w:rsid w:val="00404372"/>
    <w:rsid w:val="00407185"/>
    <w:rsid w:val="004222C8"/>
    <w:rsid w:val="00422C61"/>
    <w:rsid w:val="004237DF"/>
    <w:rsid w:val="004331F8"/>
    <w:rsid w:val="00437720"/>
    <w:rsid w:val="00442716"/>
    <w:rsid w:val="0046167D"/>
    <w:rsid w:val="00486638"/>
    <w:rsid w:val="00487CA4"/>
    <w:rsid w:val="004919AA"/>
    <w:rsid w:val="0049283C"/>
    <w:rsid w:val="004957DC"/>
    <w:rsid w:val="00496AEE"/>
    <w:rsid w:val="004A0272"/>
    <w:rsid w:val="004A1CDA"/>
    <w:rsid w:val="004D3DEF"/>
    <w:rsid w:val="004E267E"/>
    <w:rsid w:val="004F1D03"/>
    <w:rsid w:val="00512AEB"/>
    <w:rsid w:val="005140D2"/>
    <w:rsid w:val="00517AFE"/>
    <w:rsid w:val="00530F03"/>
    <w:rsid w:val="00534E37"/>
    <w:rsid w:val="00543E9D"/>
    <w:rsid w:val="00554FB4"/>
    <w:rsid w:val="00561B75"/>
    <w:rsid w:val="00563526"/>
    <w:rsid w:val="00563C01"/>
    <w:rsid w:val="00567B78"/>
    <w:rsid w:val="005731E0"/>
    <w:rsid w:val="00573EE1"/>
    <w:rsid w:val="00580AD0"/>
    <w:rsid w:val="00593366"/>
    <w:rsid w:val="00597E6A"/>
    <w:rsid w:val="005A14BF"/>
    <w:rsid w:val="005A57F3"/>
    <w:rsid w:val="005A7450"/>
    <w:rsid w:val="005F2E0B"/>
    <w:rsid w:val="005F584B"/>
    <w:rsid w:val="00602019"/>
    <w:rsid w:val="006076CC"/>
    <w:rsid w:val="006269DA"/>
    <w:rsid w:val="00637127"/>
    <w:rsid w:val="00662994"/>
    <w:rsid w:val="00665E84"/>
    <w:rsid w:val="00667DEF"/>
    <w:rsid w:val="00673336"/>
    <w:rsid w:val="00683E40"/>
    <w:rsid w:val="0068486B"/>
    <w:rsid w:val="0069405A"/>
    <w:rsid w:val="006A4AE6"/>
    <w:rsid w:val="006B2A30"/>
    <w:rsid w:val="006D1627"/>
    <w:rsid w:val="006D3089"/>
    <w:rsid w:val="006F511B"/>
    <w:rsid w:val="006F6B10"/>
    <w:rsid w:val="00710FE6"/>
    <w:rsid w:val="0071175E"/>
    <w:rsid w:val="00716690"/>
    <w:rsid w:val="00722D77"/>
    <w:rsid w:val="007318CC"/>
    <w:rsid w:val="00732792"/>
    <w:rsid w:val="007620D3"/>
    <w:rsid w:val="007633F7"/>
    <w:rsid w:val="00763F83"/>
    <w:rsid w:val="00780AD6"/>
    <w:rsid w:val="0078316C"/>
    <w:rsid w:val="00784ADC"/>
    <w:rsid w:val="0079266B"/>
    <w:rsid w:val="00796820"/>
    <w:rsid w:val="007A3C85"/>
    <w:rsid w:val="007A4A56"/>
    <w:rsid w:val="007D4C08"/>
    <w:rsid w:val="008120A5"/>
    <w:rsid w:val="00816333"/>
    <w:rsid w:val="008322E1"/>
    <w:rsid w:val="008334BA"/>
    <w:rsid w:val="008348DF"/>
    <w:rsid w:val="00834E35"/>
    <w:rsid w:val="00840580"/>
    <w:rsid w:val="008464E3"/>
    <w:rsid w:val="00854E77"/>
    <w:rsid w:val="008571FB"/>
    <w:rsid w:val="00861C7D"/>
    <w:rsid w:val="00863792"/>
    <w:rsid w:val="0087040A"/>
    <w:rsid w:val="00893818"/>
    <w:rsid w:val="008A7F9B"/>
    <w:rsid w:val="008E1BF6"/>
    <w:rsid w:val="008E1DF6"/>
    <w:rsid w:val="008E2BFE"/>
    <w:rsid w:val="008E658C"/>
    <w:rsid w:val="00900A61"/>
    <w:rsid w:val="009142BC"/>
    <w:rsid w:val="00920DEB"/>
    <w:rsid w:val="00954C1E"/>
    <w:rsid w:val="009577EE"/>
    <w:rsid w:val="00960186"/>
    <w:rsid w:val="0098054E"/>
    <w:rsid w:val="00983713"/>
    <w:rsid w:val="009A2864"/>
    <w:rsid w:val="009B2156"/>
    <w:rsid w:val="009B331A"/>
    <w:rsid w:val="009C65BE"/>
    <w:rsid w:val="009C69AE"/>
    <w:rsid w:val="009C7E65"/>
    <w:rsid w:val="009D4329"/>
    <w:rsid w:val="00A000A2"/>
    <w:rsid w:val="00A019A1"/>
    <w:rsid w:val="00A05327"/>
    <w:rsid w:val="00A1051C"/>
    <w:rsid w:val="00A15489"/>
    <w:rsid w:val="00A16DBE"/>
    <w:rsid w:val="00A44F49"/>
    <w:rsid w:val="00A542FB"/>
    <w:rsid w:val="00A55414"/>
    <w:rsid w:val="00A5791A"/>
    <w:rsid w:val="00A61227"/>
    <w:rsid w:val="00AA416B"/>
    <w:rsid w:val="00AB53E0"/>
    <w:rsid w:val="00AB5AB6"/>
    <w:rsid w:val="00AC7580"/>
    <w:rsid w:val="00AD0C14"/>
    <w:rsid w:val="00AD2BDD"/>
    <w:rsid w:val="00AF6F40"/>
    <w:rsid w:val="00B06046"/>
    <w:rsid w:val="00B12AD1"/>
    <w:rsid w:val="00B23CD9"/>
    <w:rsid w:val="00B259FC"/>
    <w:rsid w:val="00B35CBD"/>
    <w:rsid w:val="00B37527"/>
    <w:rsid w:val="00B450E6"/>
    <w:rsid w:val="00B452FE"/>
    <w:rsid w:val="00B47345"/>
    <w:rsid w:val="00B55B6B"/>
    <w:rsid w:val="00B63F66"/>
    <w:rsid w:val="00B64F7E"/>
    <w:rsid w:val="00B80520"/>
    <w:rsid w:val="00B90463"/>
    <w:rsid w:val="00B95D47"/>
    <w:rsid w:val="00BA6D24"/>
    <w:rsid w:val="00BA7EDD"/>
    <w:rsid w:val="00BB5D43"/>
    <w:rsid w:val="00BB76E8"/>
    <w:rsid w:val="00BD249E"/>
    <w:rsid w:val="00BD30BD"/>
    <w:rsid w:val="00BD77B6"/>
    <w:rsid w:val="00C005B8"/>
    <w:rsid w:val="00C01881"/>
    <w:rsid w:val="00C02A07"/>
    <w:rsid w:val="00C072EE"/>
    <w:rsid w:val="00C1430A"/>
    <w:rsid w:val="00C17CC0"/>
    <w:rsid w:val="00C20B10"/>
    <w:rsid w:val="00C27889"/>
    <w:rsid w:val="00C375D1"/>
    <w:rsid w:val="00C56BC6"/>
    <w:rsid w:val="00C7293F"/>
    <w:rsid w:val="00C76683"/>
    <w:rsid w:val="00C8151E"/>
    <w:rsid w:val="00C84B8C"/>
    <w:rsid w:val="00C90E01"/>
    <w:rsid w:val="00CA73C5"/>
    <w:rsid w:val="00CB34EB"/>
    <w:rsid w:val="00CC1B4C"/>
    <w:rsid w:val="00CC4CDA"/>
    <w:rsid w:val="00CC6743"/>
    <w:rsid w:val="00CD4A2C"/>
    <w:rsid w:val="00CE7576"/>
    <w:rsid w:val="00CE7EF4"/>
    <w:rsid w:val="00D0001C"/>
    <w:rsid w:val="00D02CD3"/>
    <w:rsid w:val="00D02EB6"/>
    <w:rsid w:val="00D069EA"/>
    <w:rsid w:val="00D06BCE"/>
    <w:rsid w:val="00D15AB2"/>
    <w:rsid w:val="00D4055D"/>
    <w:rsid w:val="00D416C7"/>
    <w:rsid w:val="00D670FF"/>
    <w:rsid w:val="00DA61FF"/>
    <w:rsid w:val="00DB00A4"/>
    <w:rsid w:val="00DB1216"/>
    <w:rsid w:val="00DB388B"/>
    <w:rsid w:val="00DC086E"/>
    <w:rsid w:val="00DC2478"/>
    <w:rsid w:val="00DC2B5F"/>
    <w:rsid w:val="00DF27B9"/>
    <w:rsid w:val="00E029C7"/>
    <w:rsid w:val="00E03FA9"/>
    <w:rsid w:val="00E05B93"/>
    <w:rsid w:val="00E15811"/>
    <w:rsid w:val="00E21E0A"/>
    <w:rsid w:val="00E2200E"/>
    <w:rsid w:val="00E220F3"/>
    <w:rsid w:val="00E23C9F"/>
    <w:rsid w:val="00E44C7B"/>
    <w:rsid w:val="00E469C4"/>
    <w:rsid w:val="00E50CE5"/>
    <w:rsid w:val="00E51AAB"/>
    <w:rsid w:val="00E54FBA"/>
    <w:rsid w:val="00E55F50"/>
    <w:rsid w:val="00E57224"/>
    <w:rsid w:val="00E5725B"/>
    <w:rsid w:val="00E63768"/>
    <w:rsid w:val="00E71618"/>
    <w:rsid w:val="00E7524B"/>
    <w:rsid w:val="00E76079"/>
    <w:rsid w:val="00E76B56"/>
    <w:rsid w:val="00E7727D"/>
    <w:rsid w:val="00E860E8"/>
    <w:rsid w:val="00E91EC9"/>
    <w:rsid w:val="00E94321"/>
    <w:rsid w:val="00E94541"/>
    <w:rsid w:val="00EB3608"/>
    <w:rsid w:val="00ED0DBE"/>
    <w:rsid w:val="00ED197D"/>
    <w:rsid w:val="00ED3AA5"/>
    <w:rsid w:val="00EE0F5B"/>
    <w:rsid w:val="00EE32E1"/>
    <w:rsid w:val="00EE35F8"/>
    <w:rsid w:val="00EE68E8"/>
    <w:rsid w:val="00EF2163"/>
    <w:rsid w:val="00F236B5"/>
    <w:rsid w:val="00F41EE3"/>
    <w:rsid w:val="00F5507D"/>
    <w:rsid w:val="00F56BD0"/>
    <w:rsid w:val="00F64B57"/>
    <w:rsid w:val="00F85E1C"/>
    <w:rsid w:val="00F90AA6"/>
    <w:rsid w:val="00FA445E"/>
    <w:rsid w:val="00FB7ECD"/>
    <w:rsid w:val="00FD5007"/>
    <w:rsid w:val="00FD5130"/>
    <w:rsid w:val="00FE0578"/>
    <w:rsid w:val="00FF68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0B"/>
    <w:pPr>
      <w:numPr>
        <w:numId w:val="3"/>
      </w:numPr>
      <w:shd w:val="clear" w:color="auto" w:fill="FFFFFF"/>
      <w:spacing w:before="240" w:after="240" w:line="276" w:lineRule="auto"/>
      <w:ind w:left="0" w:firstLine="0"/>
      <w:jc w:val="both"/>
    </w:pPr>
    <w:rPr>
      <w:rFonts w:ascii="Times New Roman" w:hAnsi="Times New Roman" w:cs="Times New Roman"/>
      <w:bCs/>
      <w:color w:val="000000"/>
      <w:lang w:val="en-GB"/>
    </w:rPr>
  </w:style>
  <w:style w:type="paragraph" w:styleId="Heading1">
    <w:name w:val="heading 1"/>
    <w:basedOn w:val="ListParagraph"/>
    <w:next w:val="Normal"/>
    <w:link w:val="Heading1Char"/>
    <w:uiPriority w:val="9"/>
    <w:qFormat/>
    <w:rsid w:val="00012B7F"/>
    <w:pPr>
      <w:numPr>
        <w:numId w:val="2"/>
      </w:numPr>
      <w:ind w:left="0" w:hanging="426"/>
      <w:outlineLvl w:val="0"/>
    </w:pPr>
    <w:rPr>
      <w:rFonts w:ascii="Calibri" w:hAnsi="Calibri"/>
      <w:b/>
      <w:bCs w:val="0"/>
    </w:rPr>
  </w:style>
  <w:style w:type="paragraph" w:styleId="Heading2">
    <w:name w:val="heading 2"/>
    <w:basedOn w:val="Normal"/>
    <w:next w:val="Normal"/>
    <w:link w:val="Heading2Char"/>
    <w:uiPriority w:val="9"/>
    <w:semiHidden/>
    <w:unhideWhenUsed/>
    <w:qFormat/>
    <w:rsid w:val="00404372"/>
    <w:pPr>
      <w:keepNext/>
      <w:keepLines/>
      <w:spacing w:before="200" w:after="0"/>
      <w:outlineLvl w:val="1"/>
    </w:pPr>
    <w:rPr>
      <w:rFonts w:asciiTheme="majorHAnsi" w:eastAsiaTheme="majorEastAsia" w:hAnsiTheme="majorHAnsi" w:cstheme="majorBidi"/>
      <w:b/>
      <w:bCs w:val="0"/>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3CEA"/>
    <w:rPr>
      <w:rFonts w:eastAsiaTheme="minorEastAsia"/>
      <w:sz w:val="22"/>
      <w:szCs w:val="22"/>
      <w:lang w:eastAsia="zh-CN"/>
    </w:rPr>
  </w:style>
  <w:style w:type="character" w:customStyle="1" w:styleId="NoSpacingChar">
    <w:name w:val="No Spacing Char"/>
    <w:basedOn w:val="DefaultParagraphFont"/>
    <w:link w:val="NoSpacing"/>
    <w:uiPriority w:val="1"/>
    <w:rsid w:val="00373CEA"/>
    <w:rPr>
      <w:rFonts w:eastAsiaTheme="minorEastAsia"/>
      <w:sz w:val="22"/>
      <w:szCs w:val="22"/>
      <w:lang w:eastAsia="zh-CN"/>
    </w:rPr>
  </w:style>
  <w:style w:type="paragraph" w:styleId="ListParagraph">
    <w:name w:val="List Paragraph"/>
    <w:basedOn w:val="Normal"/>
    <w:uiPriority w:val="34"/>
    <w:qFormat/>
    <w:rsid w:val="00422C61"/>
    <w:pPr>
      <w:ind w:left="720"/>
    </w:pPr>
  </w:style>
  <w:style w:type="character" w:customStyle="1" w:styleId="Heading1Char">
    <w:name w:val="Heading 1 Char"/>
    <w:basedOn w:val="DefaultParagraphFont"/>
    <w:link w:val="Heading1"/>
    <w:uiPriority w:val="9"/>
    <w:rsid w:val="00012B7F"/>
    <w:rPr>
      <w:rFonts w:ascii="Calibri" w:hAnsi="Calibri" w:cs="Times New Roman"/>
      <w:b/>
      <w:color w:val="000000"/>
      <w:shd w:val="clear" w:color="auto" w:fill="FFFFFF"/>
      <w:lang w:val="en-GB"/>
    </w:rPr>
  </w:style>
  <w:style w:type="paragraph" w:styleId="FootnoteText">
    <w:name w:val="footnote text"/>
    <w:basedOn w:val="Normal"/>
    <w:link w:val="FootnoteTextChar"/>
    <w:uiPriority w:val="99"/>
    <w:unhideWhenUsed/>
    <w:rsid w:val="00012B7F"/>
    <w:pPr>
      <w:numPr>
        <w:numId w:val="0"/>
      </w:numPr>
      <w:spacing w:before="60" w:after="6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012B7F"/>
    <w:rPr>
      <w:rFonts w:ascii="Calibri" w:hAnsi="Calibri" w:cs="Times New Roman"/>
      <w:bCs/>
      <w:color w:val="000000"/>
      <w:sz w:val="20"/>
      <w:szCs w:val="20"/>
      <w:shd w:val="clear" w:color="auto" w:fill="FFFFFF"/>
      <w:lang w:val="en-GB"/>
    </w:rPr>
  </w:style>
  <w:style w:type="character" w:styleId="FootnoteReference">
    <w:name w:val="footnote reference"/>
    <w:basedOn w:val="DefaultParagraphFont"/>
    <w:uiPriority w:val="99"/>
    <w:unhideWhenUsed/>
    <w:rsid w:val="007633F7"/>
    <w:rPr>
      <w:vertAlign w:val="superscript"/>
    </w:rPr>
  </w:style>
  <w:style w:type="character" w:styleId="Hyperlink">
    <w:name w:val="Hyperlink"/>
    <w:basedOn w:val="DefaultParagraphFont"/>
    <w:uiPriority w:val="99"/>
    <w:unhideWhenUsed/>
    <w:rsid w:val="00B64F7E"/>
    <w:rPr>
      <w:color w:val="0563C1" w:themeColor="hyperlink"/>
      <w:u w:val="single"/>
    </w:rPr>
  </w:style>
  <w:style w:type="character" w:styleId="FollowedHyperlink">
    <w:name w:val="FollowedHyperlink"/>
    <w:basedOn w:val="DefaultParagraphFont"/>
    <w:uiPriority w:val="99"/>
    <w:semiHidden/>
    <w:unhideWhenUsed/>
    <w:rsid w:val="00665E84"/>
    <w:rPr>
      <w:color w:val="954F72" w:themeColor="followedHyperlink"/>
      <w:u w:val="single"/>
    </w:rPr>
  </w:style>
  <w:style w:type="character" w:styleId="CommentReference">
    <w:name w:val="annotation reference"/>
    <w:basedOn w:val="DefaultParagraphFont"/>
    <w:uiPriority w:val="99"/>
    <w:semiHidden/>
    <w:unhideWhenUsed/>
    <w:rsid w:val="00637127"/>
    <w:rPr>
      <w:sz w:val="18"/>
      <w:szCs w:val="18"/>
    </w:rPr>
  </w:style>
  <w:style w:type="paragraph" w:styleId="CommentText">
    <w:name w:val="annotation text"/>
    <w:basedOn w:val="Normal"/>
    <w:link w:val="CommentTextChar"/>
    <w:uiPriority w:val="99"/>
    <w:semiHidden/>
    <w:unhideWhenUsed/>
    <w:rsid w:val="00012B7F"/>
    <w:pPr>
      <w:numPr>
        <w:numId w:val="0"/>
      </w:numPr>
      <w:spacing w:line="240" w:lineRule="auto"/>
    </w:pPr>
    <w:rPr>
      <w:rFonts w:ascii="Calibri" w:hAnsi="Calibri"/>
    </w:rPr>
  </w:style>
  <w:style w:type="character" w:customStyle="1" w:styleId="CommentTextChar">
    <w:name w:val="Comment Text Char"/>
    <w:basedOn w:val="DefaultParagraphFont"/>
    <w:link w:val="CommentText"/>
    <w:uiPriority w:val="99"/>
    <w:semiHidden/>
    <w:rsid w:val="00012B7F"/>
    <w:rPr>
      <w:rFonts w:ascii="Calibri" w:hAnsi="Calibri" w:cs="Times New Roman"/>
      <w:bCs/>
      <w:color w:val="000000"/>
      <w:shd w:val="clear" w:color="auto" w:fill="FFFFFF"/>
      <w:lang w:val="en-GB"/>
    </w:rPr>
  </w:style>
  <w:style w:type="paragraph" w:styleId="CommentSubject">
    <w:name w:val="annotation subject"/>
    <w:basedOn w:val="CommentText"/>
    <w:next w:val="CommentText"/>
    <w:link w:val="CommentSubjectChar"/>
    <w:uiPriority w:val="99"/>
    <w:semiHidden/>
    <w:unhideWhenUsed/>
    <w:rsid w:val="00637127"/>
    <w:rPr>
      <w:b/>
      <w:sz w:val="20"/>
      <w:szCs w:val="20"/>
    </w:rPr>
  </w:style>
  <w:style w:type="character" w:customStyle="1" w:styleId="CommentSubjectChar">
    <w:name w:val="Comment Subject Char"/>
    <w:basedOn w:val="CommentTextChar"/>
    <w:link w:val="CommentSubject"/>
    <w:uiPriority w:val="99"/>
    <w:semiHidden/>
    <w:rsid w:val="00637127"/>
    <w:rPr>
      <w:rFonts w:ascii="Calibri" w:hAnsi="Calibri" w:cs="Times New Roman"/>
      <w:b/>
      <w:bCs/>
      <w:color w:val="000000"/>
      <w:sz w:val="20"/>
      <w:szCs w:val="20"/>
      <w:shd w:val="clear" w:color="auto" w:fill="FFFFFF"/>
      <w:lang w:val="en-GB"/>
    </w:rPr>
  </w:style>
  <w:style w:type="paragraph" w:styleId="BalloonText">
    <w:name w:val="Balloon Text"/>
    <w:basedOn w:val="Normal"/>
    <w:link w:val="BalloonTextChar"/>
    <w:uiPriority w:val="99"/>
    <w:semiHidden/>
    <w:unhideWhenUsed/>
    <w:rsid w:val="00637127"/>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637127"/>
    <w:rPr>
      <w:rFonts w:ascii="Times New Roman" w:hAnsi="Times New Roman" w:cs="Times New Roman"/>
      <w:bCs/>
      <w:color w:val="000000"/>
      <w:sz w:val="18"/>
      <w:szCs w:val="18"/>
      <w:shd w:val="clear" w:color="auto" w:fill="FFFFFF"/>
      <w:lang w:val="en-GB"/>
    </w:rPr>
  </w:style>
  <w:style w:type="paragraph" w:styleId="Header">
    <w:name w:val="header"/>
    <w:basedOn w:val="Normal"/>
    <w:link w:val="HeaderChar"/>
    <w:uiPriority w:val="99"/>
    <w:unhideWhenUsed/>
    <w:rsid w:val="0013330B"/>
    <w:pPr>
      <w:numPr>
        <w:numId w:val="0"/>
      </w:num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3330B"/>
    <w:rPr>
      <w:rFonts w:ascii="Times New Roman" w:hAnsi="Times New Roman" w:cs="Times New Roman"/>
      <w:bCs/>
      <w:color w:val="000000"/>
      <w:shd w:val="clear" w:color="auto" w:fill="FFFFFF"/>
      <w:lang w:val="en-GB"/>
    </w:rPr>
  </w:style>
  <w:style w:type="paragraph" w:styleId="Footer">
    <w:name w:val="footer"/>
    <w:basedOn w:val="Normal"/>
    <w:link w:val="FooterChar"/>
    <w:uiPriority w:val="99"/>
    <w:unhideWhenUsed/>
    <w:rsid w:val="0013330B"/>
    <w:pPr>
      <w:numPr>
        <w:numId w:val="0"/>
      </w:num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3330B"/>
    <w:rPr>
      <w:rFonts w:ascii="Times New Roman" w:hAnsi="Times New Roman" w:cs="Times New Roman"/>
      <w:bCs/>
      <w:color w:val="000000"/>
      <w:shd w:val="clear" w:color="auto" w:fill="FFFFFF"/>
      <w:lang w:val="en-GB"/>
    </w:rPr>
  </w:style>
  <w:style w:type="paragraph" w:styleId="DocumentMap">
    <w:name w:val="Document Map"/>
    <w:basedOn w:val="Normal"/>
    <w:link w:val="DocumentMapChar"/>
    <w:uiPriority w:val="99"/>
    <w:semiHidden/>
    <w:unhideWhenUsed/>
    <w:rsid w:val="00DB1216"/>
    <w:pPr>
      <w:spacing w:before="0" w:after="0" w:line="240" w:lineRule="auto"/>
    </w:pPr>
  </w:style>
  <w:style w:type="character" w:customStyle="1" w:styleId="DocumentMapChar">
    <w:name w:val="Document Map Char"/>
    <w:basedOn w:val="DefaultParagraphFont"/>
    <w:link w:val="DocumentMap"/>
    <w:uiPriority w:val="99"/>
    <w:semiHidden/>
    <w:rsid w:val="00DB1216"/>
    <w:rPr>
      <w:rFonts w:ascii="Times New Roman" w:hAnsi="Times New Roman" w:cs="Times New Roman"/>
      <w:bCs/>
      <w:color w:val="000000"/>
      <w:shd w:val="clear" w:color="auto" w:fill="FFFFFF"/>
      <w:lang w:val="en-GB"/>
    </w:rPr>
  </w:style>
  <w:style w:type="paragraph" w:customStyle="1" w:styleId="BibliographyList">
    <w:name w:val="Bibliography List"/>
    <w:basedOn w:val="Normal"/>
    <w:rsid w:val="002177E9"/>
    <w:pPr>
      <w:numPr>
        <w:ilvl w:val="1"/>
      </w:numPr>
    </w:pPr>
  </w:style>
  <w:style w:type="paragraph" w:styleId="Revision">
    <w:name w:val="Revision"/>
    <w:hidden/>
    <w:uiPriority w:val="99"/>
    <w:semiHidden/>
    <w:rsid w:val="00E220F3"/>
    <w:rPr>
      <w:rFonts w:ascii="Times New Roman" w:hAnsi="Times New Roman" w:cs="Times New Roman"/>
      <w:bCs/>
      <w:color w:val="000000"/>
      <w:lang w:val="en-GB"/>
    </w:rPr>
  </w:style>
  <w:style w:type="character" w:customStyle="1" w:styleId="Heading2Char">
    <w:name w:val="Heading 2 Char"/>
    <w:basedOn w:val="DefaultParagraphFont"/>
    <w:link w:val="Heading2"/>
    <w:uiPriority w:val="9"/>
    <w:semiHidden/>
    <w:rsid w:val="00404372"/>
    <w:rPr>
      <w:rFonts w:asciiTheme="majorHAnsi" w:eastAsiaTheme="majorEastAsia" w:hAnsiTheme="majorHAnsi" w:cstheme="majorBidi"/>
      <w:b/>
      <w:color w:val="5B9BD5" w:themeColor="accent1"/>
      <w:sz w:val="26"/>
      <w:szCs w:val="26"/>
      <w:shd w:val="clear" w:color="auto" w:fill="FFFFF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0B"/>
    <w:pPr>
      <w:numPr>
        <w:numId w:val="3"/>
      </w:numPr>
      <w:shd w:val="clear" w:color="auto" w:fill="FFFFFF"/>
      <w:spacing w:before="240" w:after="240" w:line="276" w:lineRule="auto"/>
      <w:ind w:left="0" w:firstLine="0"/>
      <w:jc w:val="both"/>
    </w:pPr>
    <w:rPr>
      <w:rFonts w:ascii="Times New Roman" w:hAnsi="Times New Roman" w:cs="Times New Roman"/>
      <w:bCs/>
      <w:color w:val="000000"/>
      <w:lang w:val="en-GB"/>
    </w:rPr>
  </w:style>
  <w:style w:type="paragraph" w:styleId="Heading1">
    <w:name w:val="heading 1"/>
    <w:basedOn w:val="ListParagraph"/>
    <w:next w:val="Normal"/>
    <w:link w:val="Heading1Char"/>
    <w:uiPriority w:val="9"/>
    <w:qFormat/>
    <w:rsid w:val="00012B7F"/>
    <w:pPr>
      <w:numPr>
        <w:numId w:val="2"/>
      </w:numPr>
      <w:ind w:left="0" w:hanging="426"/>
      <w:outlineLvl w:val="0"/>
    </w:pPr>
    <w:rPr>
      <w:rFonts w:ascii="Calibri" w:hAnsi="Calibri"/>
      <w:b/>
      <w:bCs w:val="0"/>
    </w:rPr>
  </w:style>
  <w:style w:type="paragraph" w:styleId="Heading2">
    <w:name w:val="heading 2"/>
    <w:basedOn w:val="Normal"/>
    <w:next w:val="Normal"/>
    <w:link w:val="Heading2Char"/>
    <w:uiPriority w:val="9"/>
    <w:semiHidden/>
    <w:unhideWhenUsed/>
    <w:qFormat/>
    <w:rsid w:val="00404372"/>
    <w:pPr>
      <w:keepNext/>
      <w:keepLines/>
      <w:spacing w:before="200" w:after="0"/>
      <w:outlineLvl w:val="1"/>
    </w:pPr>
    <w:rPr>
      <w:rFonts w:asciiTheme="majorHAnsi" w:eastAsiaTheme="majorEastAsia" w:hAnsiTheme="majorHAnsi" w:cstheme="majorBidi"/>
      <w:b/>
      <w:bCs w:val="0"/>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3CEA"/>
    <w:rPr>
      <w:rFonts w:eastAsiaTheme="minorEastAsia"/>
      <w:sz w:val="22"/>
      <w:szCs w:val="22"/>
      <w:lang w:eastAsia="zh-CN"/>
    </w:rPr>
  </w:style>
  <w:style w:type="character" w:customStyle="1" w:styleId="NoSpacingChar">
    <w:name w:val="No Spacing Char"/>
    <w:basedOn w:val="DefaultParagraphFont"/>
    <w:link w:val="NoSpacing"/>
    <w:uiPriority w:val="1"/>
    <w:rsid w:val="00373CEA"/>
    <w:rPr>
      <w:rFonts w:eastAsiaTheme="minorEastAsia"/>
      <w:sz w:val="22"/>
      <w:szCs w:val="22"/>
      <w:lang w:eastAsia="zh-CN"/>
    </w:rPr>
  </w:style>
  <w:style w:type="paragraph" w:styleId="ListParagraph">
    <w:name w:val="List Paragraph"/>
    <w:basedOn w:val="Normal"/>
    <w:uiPriority w:val="34"/>
    <w:qFormat/>
    <w:rsid w:val="00422C61"/>
    <w:pPr>
      <w:ind w:left="720"/>
    </w:pPr>
  </w:style>
  <w:style w:type="character" w:customStyle="1" w:styleId="Heading1Char">
    <w:name w:val="Heading 1 Char"/>
    <w:basedOn w:val="DefaultParagraphFont"/>
    <w:link w:val="Heading1"/>
    <w:uiPriority w:val="9"/>
    <w:rsid w:val="00012B7F"/>
    <w:rPr>
      <w:rFonts w:ascii="Calibri" w:hAnsi="Calibri" w:cs="Times New Roman"/>
      <w:b/>
      <w:color w:val="000000"/>
      <w:shd w:val="clear" w:color="auto" w:fill="FFFFFF"/>
      <w:lang w:val="en-GB"/>
    </w:rPr>
  </w:style>
  <w:style w:type="paragraph" w:styleId="FootnoteText">
    <w:name w:val="footnote text"/>
    <w:basedOn w:val="Normal"/>
    <w:link w:val="FootnoteTextChar"/>
    <w:uiPriority w:val="99"/>
    <w:unhideWhenUsed/>
    <w:rsid w:val="00012B7F"/>
    <w:pPr>
      <w:numPr>
        <w:numId w:val="0"/>
      </w:numPr>
      <w:spacing w:before="60" w:after="6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012B7F"/>
    <w:rPr>
      <w:rFonts w:ascii="Calibri" w:hAnsi="Calibri" w:cs="Times New Roman"/>
      <w:bCs/>
      <w:color w:val="000000"/>
      <w:sz w:val="20"/>
      <w:szCs w:val="20"/>
      <w:shd w:val="clear" w:color="auto" w:fill="FFFFFF"/>
      <w:lang w:val="en-GB"/>
    </w:rPr>
  </w:style>
  <w:style w:type="character" w:styleId="FootnoteReference">
    <w:name w:val="footnote reference"/>
    <w:basedOn w:val="DefaultParagraphFont"/>
    <w:uiPriority w:val="99"/>
    <w:unhideWhenUsed/>
    <w:rsid w:val="007633F7"/>
    <w:rPr>
      <w:vertAlign w:val="superscript"/>
    </w:rPr>
  </w:style>
  <w:style w:type="character" w:styleId="Hyperlink">
    <w:name w:val="Hyperlink"/>
    <w:basedOn w:val="DefaultParagraphFont"/>
    <w:uiPriority w:val="99"/>
    <w:unhideWhenUsed/>
    <w:rsid w:val="00B64F7E"/>
    <w:rPr>
      <w:color w:val="0563C1" w:themeColor="hyperlink"/>
      <w:u w:val="single"/>
    </w:rPr>
  </w:style>
  <w:style w:type="character" w:styleId="FollowedHyperlink">
    <w:name w:val="FollowedHyperlink"/>
    <w:basedOn w:val="DefaultParagraphFont"/>
    <w:uiPriority w:val="99"/>
    <w:semiHidden/>
    <w:unhideWhenUsed/>
    <w:rsid w:val="00665E84"/>
    <w:rPr>
      <w:color w:val="954F72" w:themeColor="followedHyperlink"/>
      <w:u w:val="single"/>
    </w:rPr>
  </w:style>
  <w:style w:type="character" w:styleId="CommentReference">
    <w:name w:val="annotation reference"/>
    <w:basedOn w:val="DefaultParagraphFont"/>
    <w:uiPriority w:val="99"/>
    <w:semiHidden/>
    <w:unhideWhenUsed/>
    <w:rsid w:val="00637127"/>
    <w:rPr>
      <w:sz w:val="18"/>
      <w:szCs w:val="18"/>
    </w:rPr>
  </w:style>
  <w:style w:type="paragraph" w:styleId="CommentText">
    <w:name w:val="annotation text"/>
    <w:basedOn w:val="Normal"/>
    <w:link w:val="CommentTextChar"/>
    <w:uiPriority w:val="99"/>
    <w:semiHidden/>
    <w:unhideWhenUsed/>
    <w:rsid w:val="00012B7F"/>
    <w:pPr>
      <w:numPr>
        <w:numId w:val="0"/>
      </w:numPr>
      <w:spacing w:line="240" w:lineRule="auto"/>
    </w:pPr>
    <w:rPr>
      <w:rFonts w:ascii="Calibri" w:hAnsi="Calibri"/>
    </w:rPr>
  </w:style>
  <w:style w:type="character" w:customStyle="1" w:styleId="CommentTextChar">
    <w:name w:val="Comment Text Char"/>
    <w:basedOn w:val="DefaultParagraphFont"/>
    <w:link w:val="CommentText"/>
    <w:uiPriority w:val="99"/>
    <w:semiHidden/>
    <w:rsid w:val="00012B7F"/>
    <w:rPr>
      <w:rFonts w:ascii="Calibri" w:hAnsi="Calibri" w:cs="Times New Roman"/>
      <w:bCs/>
      <w:color w:val="000000"/>
      <w:shd w:val="clear" w:color="auto" w:fill="FFFFFF"/>
      <w:lang w:val="en-GB"/>
    </w:rPr>
  </w:style>
  <w:style w:type="paragraph" w:styleId="CommentSubject">
    <w:name w:val="annotation subject"/>
    <w:basedOn w:val="CommentText"/>
    <w:next w:val="CommentText"/>
    <w:link w:val="CommentSubjectChar"/>
    <w:uiPriority w:val="99"/>
    <w:semiHidden/>
    <w:unhideWhenUsed/>
    <w:rsid w:val="00637127"/>
    <w:rPr>
      <w:b/>
      <w:sz w:val="20"/>
      <w:szCs w:val="20"/>
    </w:rPr>
  </w:style>
  <w:style w:type="character" w:customStyle="1" w:styleId="CommentSubjectChar">
    <w:name w:val="Comment Subject Char"/>
    <w:basedOn w:val="CommentTextChar"/>
    <w:link w:val="CommentSubject"/>
    <w:uiPriority w:val="99"/>
    <w:semiHidden/>
    <w:rsid w:val="00637127"/>
    <w:rPr>
      <w:rFonts w:ascii="Calibri" w:hAnsi="Calibri" w:cs="Times New Roman"/>
      <w:b/>
      <w:bCs/>
      <w:color w:val="000000"/>
      <w:sz w:val="20"/>
      <w:szCs w:val="20"/>
      <w:shd w:val="clear" w:color="auto" w:fill="FFFFFF"/>
      <w:lang w:val="en-GB"/>
    </w:rPr>
  </w:style>
  <w:style w:type="paragraph" w:styleId="BalloonText">
    <w:name w:val="Balloon Text"/>
    <w:basedOn w:val="Normal"/>
    <w:link w:val="BalloonTextChar"/>
    <w:uiPriority w:val="99"/>
    <w:semiHidden/>
    <w:unhideWhenUsed/>
    <w:rsid w:val="00637127"/>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637127"/>
    <w:rPr>
      <w:rFonts w:ascii="Times New Roman" w:hAnsi="Times New Roman" w:cs="Times New Roman"/>
      <w:bCs/>
      <w:color w:val="000000"/>
      <w:sz w:val="18"/>
      <w:szCs w:val="18"/>
      <w:shd w:val="clear" w:color="auto" w:fill="FFFFFF"/>
      <w:lang w:val="en-GB"/>
    </w:rPr>
  </w:style>
  <w:style w:type="paragraph" w:styleId="Header">
    <w:name w:val="header"/>
    <w:basedOn w:val="Normal"/>
    <w:link w:val="HeaderChar"/>
    <w:uiPriority w:val="99"/>
    <w:unhideWhenUsed/>
    <w:rsid w:val="0013330B"/>
    <w:pPr>
      <w:numPr>
        <w:numId w:val="0"/>
      </w:num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3330B"/>
    <w:rPr>
      <w:rFonts w:ascii="Times New Roman" w:hAnsi="Times New Roman" w:cs="Times New Roman"/>
      <w:bCs/>
      <w:color w:val="000000"/>
      <w:shd w:val="clear" w:color="auto" w:fill="FFFFFF"/>
      <w:lang w:val="en-GB"/>
    </w:rPr>
  </w:style>
  <w:style w:type="paragraph" w:styleId="Footer">
    <w:name w:val="footer"/>
    <w:basedOn w:val="Normal"/>
    <w:link w:val="FooterChar"/>
    <w:uiPriority w:val="99"/>
    <w:unhideWhenUsed/>
    <w:rsid w:val="0013330B"/>
    <w:pPr>
      <w:numPr>
        <w:numId w:val="0"/>
      </w:num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3330B"/>
    <w:rPr>
      <w:rFonts w:ascii="Times New Roman" w:hAnsi="Times New Roman" w:cs="Times New Roman"/>
      <w:bCs/>
      <w:color w:val="000000"/>
      <w:shd w:val="clear" w:color="auto" w:fill="FFFFFF"/>
      <w:lang w:val="en-GB"/>
    </w:rPr>
  </w:style>
  <w:style w:type="paragraph" w:styleId="DocumentMap">
    <w:name w:val="Document Map"/>
    <w:basedOn w:val="Normal"/>
    <w:link w:val="DocumentMapChar"/>
    <w:uiPriority w:val="99"/>
    <w:semiHidden/>
    <w:unhideWhenUsed/>
    <w:rsid w:val="00DB1216"/>
    <w:pPr>
      <w:spacing w:before="0" w:after="0" w:line="240" w:lineRule="auto"/>
    </w:pPr>
  </w:style>
  <w:style w:type="character" w:customStyle="1" w:styleId="DocumentMapChar">
    <w:name w:val="Document Map Char"/>
    <w:basedOn w:val="DefaultParagraphFont"/>
    <w:link w:val="DocumentMap"/>
    <w:uiPriority w:val="99"/>
    <w:semiHidden/>
    <w:rsid w:val="00DB1216"/>
    <w:rPr>
      <w:rFonts w:ascii="Times New Roman" w:hAnsi="Times New Roman" w:cs="Times New Roman"/>
      <w:bCs/>
      <w:color w:val="000000"/>
      <w:shd w:val="clear" w:color="auto" w:fill="FFFFFF"/>
      <w:lang w:val="en-GB"/>
    </w:rPr>
  </w:style>
  <w:style w:type="paragraph" w:customStyle="1" w:styleId="BibliographyList">
    <w:name w:val="Bibliography List"/>
    <w:basedOn w:val="Normal"/>
    <w:rsid w:val="002177E9"/>
    <w:pPr>
      <w:numPr>
        <w:ilvl w:val="1"/>
      </w:numPr>
    </w:pPr>
  </w:style>
  <w:style w:type="paragraph" w:styleId="Revision">
    <w:name w:val="Revision"/>
    <w:hidden/>
    <w:uiPriority w:val="99"/>
    <w:semiHidden/>
    <w:rsid w:val="00E220F3"/>
    <w:rPr>
      <w:rFonts w:ascii="Times New Roman" w:hAnsi="Times New Roman" w:cs="Times New Roman"/>
      <w:bCs/>
      <w:color w:val="000000"/>
      <w:lang w:val="en-GB"/>
    </w:rPr>
  </w:style>
  <w:style w:type="character" w:customStyle="1" w:styleId="Heading2Char">
    <w:name w:val="Heading 2 Char"/>
    <w:basedOn w:val="DefaultParagraphFont"/>
    <w:link w:val="Heading2"/>
    <w:uiPriority w:val="9"/>
    <w:semiHidden/>
    <w:rsid w:val="00404372"/>
    <w:rPr>
      <w:rFonts w:asciiTheme="majorHAnsi" w:eastAsiaTheme="majorEastAsia" w:hAnsiTheme="majorHAnsi" w:cstheme="majorBidi"/>
      <w:b/>
      <w:color w:val="5B9BD5" w:themeColor="accent1"/>
      <w:sz w:val="26"/>
      <w:szCs w:val="26"/>
      <w:shd w:val="clear" w:color="auto" w:fill="FFFFF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78924">
      <w:bodyDiv w:val="1"/>
      <w:marLeft w:val="0"/>
      <w:marRight w:val="0"/>
      <w:marTop w:val="0"/>
      <w:marBottom w:val="0"/>
      <w:divBdr>
        <w:top w:val="none" w:sz="0" w:space="0" w:color="auto"/>
        <w:left w:val="none" w:sz="0" w:space="0" w:color="auto"/>
        <w:bottom w:val="none" w:sz="0" w:space="0" w:color="auto"/>
        <w:right w:val="none" w:sz="0" w:space="0" w:color="auto"/>
      </w:divBdr>
    </w:div>
    <w:div w:id="267079092">
      <w:bodyDiv w:val="1"/>
      <w:marLeft w:val="0"/>
      <w:marRight w:val="0"/>
      <w:marTop w:val="0"/>
      <w:marBottom w:val="0"/>
      <w:divBdr>
        <w:top w:val="none" w:sz="0" w:space="0" w:color="auto"/>
        <w:left w:val="none" w:sz="0" w:space="0" w:color="auto"/>
        <w:bottom w:val="none" w:sz="0" w:space="0" w:color="auto"/>
        <w:right w:val="none" w:sz="0" w:space="0" w:color="auto"/>
      </w:divBdr>
    </w:div>
    <w:div w:id="435565118">
      <w:bodyDiv w:val="1"/>
      <w:marLeft w:val="0"/>
      <w:marRight w:val="0"/>
      <w:marTop w:val="0"/>
      <w:marBottom w:val="0"/>
      <w:divBdr>
        <w:top w:val="none" w:sz="0" w:space="0" w:color="auto"/>
        <w:left w:val="none" w:sz="0" w:space="0" w:color="auto"/>
        <w:bottom w:val="none" w:sz="0" w:space="0" w:color="auto"/>
        <w:right w:val="none" w:sz="0" w:space="0" w:color="auto"/>
      </w:divBdr>
    </w:div>
    <w:div w:id="476342446">
      <w:bodyDiv w:val="1"/>
      <w:marLeft w:val="0"/>
      <w:marRight w:val="0"/>
      <w:marTop w:val="0"/>
      <w:marBottom w:val="0"/>
      <w:divBdr>
        <w:top w:val="none" w:sz="0" w:space="0" w:color="auto"/>
        <w:left w:val="none" w:sz="0" w:space="0" w:color="auto"/>
        <w:bottom w:val="none" w:sz="0" w:space="0" w:color="auto"/>
        <w:right w:val="none" w:sz="0" w:space="0" w:color="auto"/>
      </w:divBdr>
    </w:div>
    <w:div w:id="602029063">
      <w:bodyDiv w:val="1"/>
      <w:marLeft w:val="0"/>
      <w:marRight w:val="0"/>
      <w:marTop w:val="0"/>
      <w:marBottom w:val="0"/>
      <w:divBdr>
        <w:top w:val="none" w:sz="0" w:space="0" w:color="auto"/>
        <w:left w:val="none" w:sz="0" w:space="0" w:color="auto"/>
        <w:bottom w:val="none" w:sz="0" w:space="0" w:color="auto"/>
        <w:right w:val="none" w:sz="0" w:space="0" w:color="auto"/>
      </w:divBdr>
    </w:div>
    <w:div w:id="632060049">
      <w:bodyDiv w:val="1"/>
      <w:marLeft w:val="0"/>
      <w:marRight w:val="0"/>
      <w:marTop w:val="0"/>
      <w:marBottom w:val="0"/>
      <w:divBdr>
        <w:top w:val="none" w:sz="0" w:space="0" w:color="auto"/>
        <w:left w:val="none" w:sz="0" w:space="0" w:color="auto"/>
        <w:bottom w:val="none" w:sz="0" w:space="0" w:color="auto"/>
        <w:right w:val="none" w:sz="0" w:space="0" w:color="auto"/>
      </w:divBdr>
      <w:divsChild>
        <w:div w:id="1905988114">
          <w:marLeft w:val="0"/>
          <w:marRight w:val="0"/>
          <w:marTop w:val="0"/>
          <w:marBottom w:val="0"/>
          <w:divBdr>
            <w:top w:val="single" w:sz="8" w:space="1" w:color="auto"/>
            <w:left w:val="single" w:sz="8" w:space="4" w:color="auto"/>
            <w:bottom w:val="single" w:sz="8" w:space="1" w:color="auto"/>
            <w:right w:val="single" w:sz="8" w:space="4" w:color="auto"/>
          </w:divBdr>
        </w:div>
        <w:div w:id="1231506352">
          <w:marLeft w:val="0"/>
          <w:marRight w:val="0"/>
          <w:marTop w:val="0"/>
          <w:marBottom w:val="0"/>
          <w:divBdr>
            <w:top w:val="single" w:sz="8" w:space="1" w:color="auto"/>
            <w:left w:val="single" w:sz="8" w:space="4" w:color="auto"/>
            <w:bottom w:val="single" w:sz="8" w:space="1" w:color="auto"/>
            <w:right w:val="single" w:sz="8" w:space="4" w:color="auto"/>
          </w:divBdr>
        </w:div>
        <w:div w:id="1113481614">
          <w:marLeft w:val="0"/>
          <w:marRight w:val="0"/>
          <w:marTop w:val="0"/>
          <w:marBottom w:val="0"/>
          <w:divBdr>
            <w:top w:val="single" w:sz="8" w:space="1" w:color="auto"/>
            <w:left w:val="single" w:sz="8" w:space="4" w:color="auto"/>
            <w:bottom w:val="single" w:sz="8" w:space="1" w:color="auto"/>
            <w:right w:val="single" w:sz="8" w:space="4" w:color="auto"/>
          </w:divBdr>
        </w:div>
      </w:divsChild>
    </w:div>
    <w:div w:id="817956732">
      <w:bodyDiv w:val="1"/>
      <w:marLeft w:val="0"/>
      <w:marRight w:val="0"/>
      <w:marTop w:val="0"/>
      <w:marBottom w:val="0"/>
      <w:divBdr>
        <w:top w:val="none" w:sz="0" w:space="0" w:color="auto"/>
        <w:left w:val="none" w:sz="0" w:space="0" w:color="auto"/>
        <w:bottom w:val="none" w:sz="0" w:space="0" w:color="auto"/>
        <w:right w:val="none" w:sz="0" w:space="0" w:color="auto"/>
      </w:divBdr>
    </w:div>
    <w:div w:id="864437806">
      <w:bodyDiv w:val="1"/>
      <w:marLeft w:val="0"/>
      <w:marRight w:val="0"/>
      <w:marTop w:val="0"/>
      <w:marBottom w:val="0"/>
      <w:divBdr>
        <w:top w:val="none" w:sz="0" w:space="0" w:color="auto"/>
        <w:left w:val="none" w:sz="0" w:space="0" w:color="auto"/>
        <w:bottom w:val="none" w:sz="0" w:space="0" w:color="auto"/>
        <w:right w:val="none" w:sz="0" w:space="0" w:color="auto"/>
      </w:divBdr>
    </w:div>
    <w:div w:id="865873958">
      <w:bodyDiv w:val="1"/>
      <w:marLeft w:val="0"/>
      <w:marRight w:val="0"/>
      <w:marTop w:val="0"/>
      <w:marBottom w:val="0"/>
      <w:divBdr>
        <w:top w:val="none" w:sz="0" w:space="0" w:color="auto"/>
        <w:left w:val="none" w:sz="0" w:space="0" w:color="auto"/>
        <w:bottom w:val="none" w:sz="0" w:space="0" w:color="auto"/>
        <w:right w:val="none" w:sz="0" w:space="0" w:color="auto"/>
      </w:divBdr>
    </w:div>
    <w:div w:id="1034622350">
      <w:bodyDiv w:val="1"/>
      <w:marLeft w:val="0"/>
      <w:marRight w:val="0"/>
      <w:marTop w:val="0"/>
      <w:marBottom w:val="0"/>
      <w:divBdr>
        <w:top w:val="none" w:sz="0" w:space="0" w:color="auto"/>
        <w:left w:val="none" w:sz="0" w:space="0" w:color="auto"/>
        <w:bottom w:val="none" w:sz="0" w:space="0" w:color="auto"/>
        <w:right w:val="none" w:sz="0" w:space="0" w:color="auto"/>
      </w:divBdr>
    </w:div>
    <w:div w:id="1119452485">
      <w:bodyDiv w:val="1"/>
      <w:marLeft w:val="0"/>
      <w:marRight w:val="0"/>
      <w:marTop w:val="0"/>
      <w:marBottom w:val="0"/>
      <w:divBdr>
        <w:top w:val="none" w:sz="0" w:space="0" w:color="auto"/>
        <w:left w:val="none" w:sz="0" w:space="0" w:color="auto"/>
        <w:bottom w:val="none" w:sz="0" w:space="0" w:color="auto"/>
        <w:right w:val="none" w:sz="0" w:space="0" w:color="auto"/>
      </w:divBdr>
    </w:div>
    <w:div w:id="1172987972">
      <w:bodyDiv w:val="1"/>
      <w:marLeft w:val="0"/>
      <w:marRight w:val="0"/>
      <w:marTop w:val="0"/>
      <w:marBottom w:val="0"/>
      <w:divBdr>
        <w:top w:val="none" w:sz="0" w:space="0" w:color="auto"/>
        <w:left w:val="none" w:sz="0" w:space="0" w:color="auto"/>
        <w:bottom w:val="none" w:sz="0" w:space="0" w:color="auto"/>
        <w:right w:val="none" w:sz="0" w:space="0" w:color="auto"/>
      </w:divBdr>
    </w:div>
    <w:div w:id="1237670428">
      <w:bodyDiv w:val="1"/>
      <w:marLeft w:val="0"/>
      <w:marRight w:val="0"/>
      <w:marTop w:val="0"/>
      <w:marBottom w:val="0"/>
      <w:divBdr>
        <w:top w:val="none" w:sz="0" w:space="0" w:color="auto"/>
        <w:left w:val="none" w:sz="0" w:space="0" w:color="auto"/>
        <w:bottom w:val="none" w:sz="0" w:space="0" w:color="auto"/>
        <w:right w:val="none" w:sz="0" w:space="0" w:color="auto"/>
      </w:divBdr>
    </w:div>
    <w:div w:id="1281763476">
      <w:bodyDiv w:val="1"/>
      <w:marLeft w:val="0"/>
      <w:marRight w:val="0"/>
      <w:marTop w:val="0"/>
      <w:marBottom w:val="0"/>
      <w:divBdr>
        <w:top w:val="none" w:sz="0" w:space="0" w:color="auto"/>
        <w:left w:val="none" w:sz="0" w:space="0" w:color="auto"/>
        <w:bottom w:val="none" w:sz="0" w:space="0" w:color="auto"/>
        <w:right w:val="none" w:sz="0" w:space="0" w:color="auto"/>
      </w:divBdr>
    </w:div>
    <w:div w:id="1310749501">
      <w:bodyDiv w:val="1"/>
      <w:marLeft w:val="0"/>
      <w:marRight w:val="0"/>
      <w:marTop w:val="0"/>
      <w:marBottom w:val="0"/>
      <w:divBdr>
        <w:top w:val="none" w:sz="0" w:space="0" w:color="auto"/>
        <w:left w:val="none" w:sz="0" w:space="0" w:color="auto"/>
        <w:bottom w:val="none" w:sz="0" w:space="0" w:color="auto"/>
        <w:right w:val="none" w:sz="0" w:space="0" w:color="auto"/>
      </w:divBdr>
    </w:div>
    <w:div w:id="1415201070">
      <w:bodyDiv w:val="1"/>
      <w:marLeft w:val="0"/>
      <w:marRight w:val="0"/>
      <w:marTop w:val="0"/>
      <w:marBottom w:val="0"/>
      <w:divBdr>
        <w:top w:val="none" w:sz="0" w:space="0" w:color="auto"/>
        <w:left w:val="none" w:sz="0" w:space="0" w:color="auto"/>
        <w:bottom w:val="none" w:sz="0" w:space="0" w:color="auto"/>
        <w:right w:val="none" w:sz="0" w:space="0" w:color="auto"/>
      </w:divBdr>
    </w:div>
    <w:div w:id="1455447457">
      <w:bodyDiv w:val="1"/>
      <w:marLeft w:val="0"/>
      <w:marRight w:val="0"/>
      <w:marTop w:val="0"/>
      <w:marBottom w:val="0"/>
      <w:divBdr>
        <w:top w:val="none" w:sz="0" w:space="0" w:color="auto"/>
        <w:left w:val="none" w:sz="0" w:space="0" w:color="auto"/>
        <w:bottom w:val="none" w:sz="0" w:space="0" w:color="auto"/>
        <w:right w:val="none" w:sz="0" w:space="0" w:color="auto"/>
      </w:divBdr>
    </w:div>
    <w:div w:id="1517184213">
      <w:bodyDiv w:val="1"/>
      <w:marLeft w:val="0"/>
      <w:marRight w:val="0"/>
      <w:marTop w:val="0"/>
      <w:marBottom w:val="0"/>
      <w:divBdr>
        <w:top w:val="none" w:sz="0" w:space="0" w:color="auto"/>
        <w:left w:val="none" w:sz="0" w:space="0" w:color="auto"/>
        <w:bottom w:val="none" w:sz="0" w:space="0" w:color="auto"/>
        <w:right w:val="none" w:sz="0" w:space="0" w:color="auto"/>
      </w:divBdr>
    </w:div>
    <w:div w:id="1664890025">
      <w:bodyDiv w:val="1"/>
      <w:marLeft w:val="0"/>
      <w:marRight w:val="0"/>
      <w:marTop w:val="0"/>
      <w:marBottom w:val="0"/>
      <w:divBdr>
        <w:top w:val="none" w:sz="0" w:space="0" w:color="auto"/>
        <w:left w:val="none" w:sz="0" w:space="0" w:color="auto"/>
        <w:bottom w:val="none" w:sz="0" w:space="0" w:color="auto"/>
        <w:right w:val="none" w:sz="0" w:space="0" w:color="auto"/>
      </w:divBdr>
    </w:div>
    <w:div w:id="1741051839">
      <w:bodyDiv w:val="1"/>
      <w:marLeft w:val="0"/>
      <w:marRight w:val="0"/>
      <w:marTop w:val="0"/>
      <w:marBottom w:val="0"/>
      <w:divBdr>
        <w:top w:val="none" w:sz="0" w:space="0" w:color="auto"/>
        <w:left w:val="none" w:sz="0" w:space="0" w:color="auto"/>
        <w:bottom w:val="none" w:sz="0" w:space="0" w:color="auto"/>
        <w:right w:val="none" w:sz="0" w:space="0" w:color="auto"/>
      </w:divBdr>
      <w:divsChild>
        <w:div w:id="1798375087">
          <w:marLeft w:val="0"/>
          <w:marRight w:val="0"/>
          <w:marTop w:val="0"/>
          <w:marBottom w:val="0"/>
          <w:divBdr>
            <w:top w:val="none" w:sz="0" w:space="0" w:color="auto"/>
            <w:left w:val="none" w:sz="0" w:space="0" w:color="auto"/>
            <w:bottom w:val="none" w:sz="0" w:space="0" w:color="auto"/>
            <w:right w:val="none" w:sz="0" w:space="0" w:color="auto"/>
          </w:divBdr>
          <w:divsChild>
            <w:div w:id="87966994">
              <w:marLeft w:val="0"/>
              <w:marRight w:val="0"/>
              <w:marTop w:val="0"/>
              <w:marBottom w:val="0"/>
              <w:divBdr>
                <w:top w:val="none" w:sz="0" w:space="0" w:color="auto"/>
                <w:left w:val="none" w:sz="0" w:space="0" w:color="auto"/>
                <w:bottom w:val="none" w:sz="0" w:space="0" w:color="auto"/>
                <w:right w:val="none" w:sz="0" w:space="0" w:color="auto"/>
              </w:divBdr>
              <w:divsChild>
                <w:div w:id="53381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348">
      <w:bodyDiv w:val="1"/>
      <w:marLeft w:val="0"/>
      <w:marRight w:val="0"/>
      <w:marTop w:val="0"/>
      <w:marBottom w:val="0"/>
      <w:divBdr>
        <w:top w:val="none" w:sz="0" w:space="0" w:color="auto"/>
        <w:left w:val="none" w:sz="0" w:space="0" w:color="auto"/>
        <w:bottom w:val="none" w:sz="0" w:space="0" w:color="auto"/>
        <w:right w:val="none" w:sz="0" w:space="0" w:color="auto"/>
      </w:divBdr>
    </w:div>
    <w:div w:id="1839887501">
      <w:bodyDiv w:val="1"/>
      <w:marLeft w:val="0"/>
      <w:marRight w:val="0"/>
      <w:marTop w:val="0"/>
      <w:marBottom w:val="0"/>
      <w:divBdr>
        <w:top w:val="none" w:sz="0" w:space="0" w:color="auto"/>
        <w:left w:val="none" w:sz="0" w:space="0" w:color="auto"/>
        <w:bottom w:val="none" w:sz="0" w:space="0" w:color="auto"/>
        <w:right w:val="none" w:sz="0" w:space="0" w:color="auto"/>
      </w:divBdr>
    </w:div>
    <w:div w:id="1906839107">
      <w:bodyDiv w:val="1"/>
      <w:marLeft w:val="0"/>
      <w:marRight w:val="0"/>
      <w:marTop w:val="0"/>
      <w:marBottom w:val="0"/>
      <w:divBdr>
        <w:top w:val="none" w:sz="0" w:space="0" w:color="auto"/>
        <w:left w:val="none" w:sz="0" w:space="0" w:color="auto"/>
        <w:bottom w:val="none" w:sz="0" w:space="0" w:color="auto"/>
        <w:right w:val="none" w:sz="0" w:space="0" w:color="auto"/>
      </w:divBdr>
    </w:div>
    <w:div w:id="1917862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unispal.un.org/DPA/DPR/unispal.nsf/1ce874ab1832a53e852570bb006dfaf6/9b8154497a585d36852578af00522589?OpenDocument" TargetMode="External"/><Relationship Id="rId13" Type="http://schemas.openxmlformats.org/officeDocument/2006/relationships/hyperlink" Target="http://www.haaretz.com/israel-news/.premium-1.645587" TargetMode="External"/><Relationship Id="rId3" Type="http://schemas.openxmlformats.org/officeDocument/2006/relationships/hyperlink" Target="http://www.hamoked.org/Document.aspx?dID=Updates1678" TargetMode="External"/><Relationship Id="rId7" Type="http://schemas.openxmlformats.org/officeDocument/2006/relationships/hyperlink" Target="http://www.alhaq.org/advocacy/targets/european-union/884-phroc-raises-serious-concerns-regarding-the-development-of-master-plans-requiring-israeli-approval-in-area-c-of-the-west-bank" TargetMode="External"/><Relationship Id="rId12" Type="http://schemas.openxmlformats.org/officeDocument/2006/relationships/hyperlink" Target="http://www.alhaq.org/advocacy/topics/civil-and-social-rights/1116-al-haq-statement-on-world-health-day" TargetMode="External"/><Relationship Id="rId2" Type="http://schemas.openxmlformats.org/officeDocument/2006/relationships/hyperlink" Target="http://mfa.gov.il/MFA/PressRoom/2015/Pages/Security-Cabinet-approves-anti-terror-measures-13-Oct-2015.aspx" TargetMode="External"/><Relationship Id="rId1" Type="http://schemas.openxmlformats.org/officeDocument/2006/relationships/hyperlink" Target="http://www.alhaq.org/publications/Special.Focus.on.jerusalem.pdf" TargetMode="External"/><Relationship Id="rId6" Type="http://schemas.openxmlformats.org/officeDocument/2006/relationships/hyperlink" Target="https://www.ochaopt.org/documents/ocha_opt_bedouin_factsheet_october_2011_english.pdf" TargetMode="External"/><Relationship Id="rId11" Type="http://schemas.openxmlformats.org/officeDocument/2006/relationships/hyperlink" Target="https://www.map.org.uk/news/archive/post/650-palestinian-child-5-dies-after-being-denied-gaza-exit-for-medical-treatment" TargetMode="External"/><Relationship Id="rId5" Type="http://schemas.openxmlformats.org/officeDocument/2006/relationships/hyperlink" Target="http://www.alhaq.org/documentation/weekly-focuses/1097-field-report-collective-punishment-in-jabal-al-mukabir" TargetMode="External"/><Relationship Id="rId15" Type="http://schemas.openxmlformats.org/officeDocument/2006/relationships/hyperlink" Target="http://www.alhaq.org/publications/Special.Focus.on.jerusalem.pdf" TargetMode="External"/><Relationship Id="rId10" Type="http://schemas.openxmlformats.org/officeDocument/2006/relationships/hyperlink" Target="https://www.ochaopt.org/documents/ocha_opt_communities_jerusalem_factsheet_september_2014_english.pdf" TargetMode="External"/><Relationship Id="rId4" Type="http://schemas.openxmlformats.org/officeDocument/2006/relationships/hyperlink" Target="https://www.ochaopt.org/content/record-number-demolitions-2016-casualty-toll-declines" TargetMode="External"/><Relationship Id="rId9" Type="http://schemas.openxmlformats.org/officeDocument/2006/relationships/hyperlink" Target="https://www.ochaopt.org/content/monthly-humanitarian-bulletin-february-2017" TargetMode="External"/><Relationship Id="rId14" Type="http://schemas.openxmlformats.org/officeDocument/2006/relationships/hyperlink" Target="http://www.addameer.org/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6FF65-2E7D-4776-92C4-8ABD5EF23D8C}"/>
</file>

<file path=customXml/itemProps2.xml><?xml version="1.0" encoding="utf-8"?>
<ds:datastoreItem xmlns:ds="http://schemas.openxmlformats.org/officeDocument/2006/customXml" ds:itemID="{6AD443B4-8E14-4C00-AFA2-F78CFDF80662}"/>
</file>

<file path=customXml/itemProps3.xml><?xml version="1.0" encoding="utf-8"?>
<ds:datastoreItem xmlns:ds="http://schemas.openxmlformats.org/officeDocument/2006/customXml" ds:itemID="{99CA2609-630E-4922-AF0C-C70EFE0E0D09}"/>
</file>

<file path=customXml/itemProps4.xml><?xml version="1.0" encoding="utf-8"?>
<ds:datastoreItem xmlns:ds="http://schemas.openxmlformats.org/officeDocument/2006/customXml" ds:itemID="{4FB8BAEE-A968-460A-80EB-923D7A944668}"/>
</file>

<file path=docProps/app.xml><?xml version="1.0" encoding="utf-8"?>
<Properties xmlns="http://schemas.openxmlformats.org/officeDocument/2006/extended-properties" xmlns:vt="http://schemas.openxmlformats.org/officeDocument/2006/docPropsVTypes">
  <Template>Normal.dotm</Template>
  <TotalTime>0</TotalTime>
  <Pages>9</Pages>
  <Words>3333</Words>
  <Characters>17320</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 Muhareb</dc:creator>
  <cp:lastModifiedBy>Durnescu Lilian</cp:lastModifiedBy>
  <cp:revision>2</cp:revision>
  <dcterms:created xsi:type="dcterms:W3CDTF">2017-05-16T13:04:00Z</dcterms:created>
  <dcterms:modified xsi:type="dcterms:W3CDTF">2017-05-16T13:04:00Z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