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CA" w:rsidRPr="00CD52B5" w:rsidRDefault="00F841C2" w:rsidP="009D410E">
      <w:pPr>
        <w:widowControl w:val="0"/>
        <w:jc w:val="both"/>
        <w:outlineLvl w:val="0"/>
        <w:rPr>
          <w:szCs w:val="24"/>
          <w:lang w:val="en-GB"/>
        </w:rPr>
      </w:pPr>
      <w:r>
        <w:rPr>
          <w:noProof/>
          <w:szCs w:val="24"/>
          <w:lang w:val="en-GB"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3.4pt;margin-top:-64.55pt;width:84pt;height:159.05pt;z-index:-251658752">
            <v:imagedata r:id="rId9" o:title=""/>
          </v:shape>
        </w:pict>
      </w:r>
    </w:p>
    <w:p w:rsidR="006250CA" w:rsidRPr="00CD52B5" w:rsidRDefault="006250CA" w:rsidP="009D410E">
      <w:pPr>
        <w:widowControl w:val="0"/>
        <w:jc w:val="both"/>
        <w:outlineLvl w:val="0"/>
        <w:rPr>
          <w:szCs w:val="24"/>
          <w:lang w:val="en-GB"/>
        </w:rPr>
      </w:pPr>
    </w:p>
    <w:p w:rsidR="006250CA" w:rsidRPr="00CD52B5" w:rsidRDefault="006250CA" w:rsidP="009D410E">
      <w:pPr>
        <w:widowControl w:val="0"/>
        <w:jc w:val="both"/>
        <w:outlineLvl w:val="0"/>
        <w:rPr>
          <w:b/>
          <w:szCs w:val="24"/>
          <w:u w:val="single"/>
          <w:lang w:val="en-GB"/>
        </w:rPr>
      </w:pPr>
    </w:p>
    <w:p w:rsidR="006250CA" w:rsidRPr="00CD52B5" w:rsidRDefault="006250CA" w:rsidP="009D410E">
      <w:pPr>
        <w:widowControl w:val="0"/>
        <w:jc w:val="both"/>
        <w:outlineLvl w:val="0"/>
        <w:rPr>
          <w:b/>
          <w:sz w:val="32"/>
          <w:szCs w:val="24"/>
          <w:lang w:val="en-GB"/>
        </w:rPr>
      </w:pPr>
    </w:p>
    <w:p w:rsidR="00537E25" w:rsidRPr="00CD52B5" w:rsidRDefault="00537E25" w:rsidP="009D410E">
      <w:pPr>
        <w:widowControl w:val="0"/>
        <w:jc w:val="both"/>
        <w:outlineLvl w:val="0"/>
        <w:rPr>
          <w:b/>
          <w:sz w:val="32"/>
          <w:szCs w:val="24"/>
          <w:lang w:val="en-GB"/>
        </w:rPr>
      </w:pPr>
    </w:p>
    <w:p w:rsidR="006250CA" w:rsidRPr="00CD52B5" w:rsidRDefault="006250CA" w:rsidP="009D410E">
      <w:pPr>
        <w:widowControl w:val="0"/>
        <w:jc w:val="both"/>
        <w:outlineLvl w:val="0"/>
        <w:rPr>
          <w:rFonts w:ascii="Arial Narrow" w:hAnsi="Arial Narrow"/>
          <w:color w:val="808080"/>
          <w:szCs w:val="24"/>
          <w:lang w:val="en-GB"/>
        </w:rPr>
      </w:pPr>
      <w:bookmarkStart w:id="0" w:name="_GoBack"/>
      <w:bookmarkEnd w:id="0"/>
    </w:p>
    <w:p w:rsidR="00537E25" w:rsidRPr="00CD52B5" w:rsidRDefault="00537E25" w:rsidP="009D410E">
      <w:pPr>
        <w:widowControl w:val="0"/>
        <w:jc w:val="both"/>
        <w:outlineLvl w:val="0"/>
        <w:rPr>
          <w:rFonts w:ascii="Arial Narrow" w:hAnsi="Arial Narrow"/>
          <w:color w:val="808080"/>
          <w:szCs w:val="24"/>
          <w:lang w:val="en-GB"/>
        </w:rPr>
      </w:pPr>
    </w:p>
    <w:p w:rsidR="00537E25" w:rsidRPr="00F33EAF" w:rsidRDefault="00F33EAF" w:rsidP="00136DD3">
      <w:pPr>
        <w:widowControl w:val="0"/>
        <w:jc w:val="right"/>
        <w:outlineLvl w:val="0"/>
        <w:rPr>
          <w:color w:val="808080"/>
          <w:szCs w:val="24"/>
          <w:lang w:val="en-GB"/>
        </w:rPr>
      </w:pPr>
      <w:r w:rsidRPr="00F33EAF">
        <w:rPr>
          <w:color w:val="808080"/>
          <w:szCs w:val="24"/>
          <w:lang w:val="en-GB"/>
        </w:rPr>
        <w:t xml:space="preserve">Rr. </w:t>
      </w:r>
      <w:proofErr w:type="spellStart"/>
      <w:r w:rsidRPr="00F33EAF">
        <w:rPr>
          <w:color w:val="808080"/>
          <w:szCs w:val="24"/>
          <w:lang w:val="en-GB"/>
        </w:rPr>
        <w:t>Thanas</w:t>
      </w:r>
      <w:proofErr w:type="spellEnd"/>
      <w:r w:rsidRPr="00F33EAF">
        <w:rPr>
          <w:color w:val="808080"/>
          <w:szCs w:val="24"/>
          <w:lang w:val="en-GB"/>
        </w:rPr>
        <w:t xml:space="preserve"> </w:t>
      </w:r>
      <w:proofErr w:type="spellStart"/>
      <w:r w:rsidRPr="00F33EAF">
        <w:rPr>
          <w:color w:val="808080"/>
          <w:szCs w:val="24"/>
          <w:lang w:val="en-GB"/>
        </w:rPr>
        <w:t>Ziko</w:t>
      </w:r>
      <w:proofErr w:type="spellEnd"/>
    </w:p>
    <w:p w:rsidR="00F33EAF" w:rsidRPr="00F33EAF" w:rsidRDefault="00F33EAF" w:rsidP="00136DD3">
      <w:pPr>
        <w:widowControl w:val="0"/>
        <w:jc w:val="right"/>
        <w:outlineLvl w:val="0"/>
        <w:rPr>
          <w:color w:val="808080"/>
          <w:szCs w:val="24"/>
          <w:lang w:val="en-GB"/>
        </w:rPr>
      </w:pPr>
      <w:r w:rsidRPr="00F33EAF">
        <w:rPr>
          <w:color w:val="808080"/>
          <w:szCs w:val="24"/>
          <w:lang w:val="en-GB"/>
        </w:rPr>
        <w:t xml:space="preserve">P. 65/1, Sh.3 </w:t>
      </w:r>
    </w:p>
    <w:p w:rsidR="006250CA" w:rsidRPr="00F33EAF" w:rsidRDefault="00F33EAF" w:rsidP="00136DD3">
      <w:pPr>
        <w:widowControl w:val="0"/>
        <w:jc w:val="right"/>
        <w:outlineLvl w:val="0"/>
        <w:rPr>
          <w:color w:val="808080"/>
          <w:szCs w:val="24"/>
          <w:lang w:val="en-GB"/>
        </w:rPr>
      </w:pPr>
      <w:r w:rsidRPr="00F33EAF">
        <w:rPr>
          <w:color w:val="808080"/>
          <w:szCs w:val="24"/>
          <w:lang w:val="en-GB"/>
        </w:rPr>
        <w:t>Ap. 9</w:t>
      </w:r>
      <w:r w:rsidR="006250CA" w:rsidRPr="00F33EAF">
        <w:rPr>
          <w:color w:val="808080"/>
          <w:szCs w:val="24"/>
          <w:lang w:val="en-GB"/>
        </w:rPr>
        <w:t xml:space="preserve"> </w:t>
      </w:r>
    </w:p>
    <w:p w:rsidR="00537E25" w:rsidRPr="00F33EAF" w:rsidRDefault="006250CA" w:rsidP="00136DD3">
      <w:pPr>
        <w:widowControl w:val="0"/>
        <w:jc w:val="right"/>
        <w:outlineLvl w:val="0"/>
        <w:rPr>
          <w:color w:val="808080"/>
          <w:szCs w:val="24"/>
          <w:lang w:val="en-GB"/>
        </w:rPr>
      </w:pPr>
      <w:r w:rsidRPr="00F33EAF">
        <w:rPr>
          <w:color w:val="808080"/>
          <w:szCs w:val="24"/>
          <w:lang w:val="en-GB"/>
        </w:rPr>
        <w:t>Tirana, Albania</w:t>
      </w:r>
    </w:p>
    <w:p w:rsidR="00044694" w:rsidRDefault="00F841C2" w:rsidP="009D410E">
      <w:pPr>
        <w:widowControl w:val="0"/>
        <w:ind w:left="5760" w:firstLine="720"/>
        <w:jc w:val="both"/>
        <w:outlineLvl w:val="0"/>
      </w:pPr>
      <w:hyperlink r:id="rId10" w:history="1">
        <w:r w:rsidR="00132FB8" w:rsidRPr="00A85E3E">
          <w:rPr>
            <w:rStyle w:val="Hyperlink"/>
          </w:rPr>
          <w:t>http://www.respublica.org.al/</w:t>
        </w:r>
      </w:hyperlink>
      <w:r w:rsidR="00132FB8">
        <w:t xml:space="preserve"> </w:t>
      </w:r>
    </w:p>
    <w:p w:rsidR="00132FB8" w:rsidRDefault="00132FB8" w:rsidP="009D410E">
      <w:pPr>
        <w:widowControl w:val="0"/>
        <w:ind w:left="5760" w:firstLine="720"/>
        <w:jc w:val="both"/>
        <w:outlineLvl w:val="0"/>
        <w:rPr>
          <w:b/>
          <w:szCs w:val="24"/>
          <w:lang w:val="en-GB"/>
        </w:rPr>
      </w:pPr>
    </w:p>
    <w:p w:rsidR="00132FB8" w:rsidRDefault="00132FB8" w:rsidP="009D410E">
      <w:pPr>
        <w:widowControl w:val="0"/>
        <w:jc w:val="both"/>
        <w:outlineLvl w:val="0"/>
        <w:rPr>
          <w:b/>
          <w:szCs w:val="24"/>
          <w:lang w:val="en-GB"/>
        </w:rPr>
      </w:pPr>
    </w:p>
    <w:p w:rsidR="00132FB8" w:rsidRPr="0030008A" w:rsidRDefault="00132FB8" w:rsidP="00136DD3">
      <w:pPr>
        <w:widowControl w:val="0"/>
        <w:jc w:val="center"/>
        <w:outlineLvl w:val="0"/>
        <w:rPr>
          <w:b/>
          <w:sz w:val="28"/>
          <w:szCs w:val="28"/>
          <w:lang w:val="en-GB"/>
        </w:rPr>
      </w:pPr>
      <w:r w:rsidRPr="0030008A">
        <w:rPr>
          <w:b/>
          <w:sz w:val="28"/>
          <w:szCs w:val="28"/>
          <w:lang w:val="en-GB"/>
        </w:rPr>
        <w:t xml:space="preserve">SUBMISSION ON </w:t>
      </w:r>
      <w:r w:rsidR="005A5740">
        <w:rPr>
          <w:b/>
          <w:sz w:val="28"/>
          <w:szCs w:val="28"/>
          <w:lang w:val="en-GB"/>
        </w:rPr>
        <w:t xml:space="preserve">THE </w:t>
      </w:r>
      <w:r w:rsidR="005273D8">
        <w:rPr>
          <w:b/>
          <w:sz w:val="28"/>
          <w:szCs w:val="28"/>
          <w:lang w:val="en-GB"/>
        </w:rPr>
        <w:t>FOLLOW-</w:t>
      </w:r>
      <w:r w:rsidR="00650D44" w:rsidRPr="0030008A">
        <w:rPr>
          <w:b/>
          <w:sz w:val="28"/>
          <w:szCs w:val="28"/>
          <w:lang w:val="en-GB"/>
        </w:rPr>
        <w:t xml:space="preserve">UP TO </w:t>
      </w:r>
      <w:r w:rsidR="005273D8">
        <w:rPr>
          <w:b/>
          <w:sz w:val="28"/>
          <w:szCs w:val="28"/>
          <w:lang w:val="en-GB"/>
        </w:rPr>
        <w:t xml:space="preserve">THE </w:t>
      </w:r>
      <w:r w:rsidR="00650D44" w:rsidRPr="0030008A">
        <w:rPr>
          <w:b/>
          <w:sz w:val="28"/>
          <w:szCs w:val="28"/>
          <w:lang w:val="en-GB"/>
        </w:rPr>
        <w:t xml:space="preserve">HUMAN RIGHTS COMMITTEE </w:t>
      </w:r>
      <w:r w:rsidR="0014415B">
        <w:rPr>
          <w:b/>
          <w:sz w:val="28"/>
          <w:szCs w:val="28"/>
          <w:lang w:val="en-GB"/>
        </w:rPr>
        <w:t xml:space="preserve">2013 </w:t>
      </w:r>
      <w:r w:rsidR="00650D44" w:rsidRPr="0030008A">
        <w:rPr>
          <w:b/>
          <w:sz w:val="28"/>
          <w:szCs w:val="28"/>
          <w:lang w:val="en-GB"/>
        </w:rPr>
        <w:t xml:space="preserve">CONCLUDING </w:t>
      </w:r>
      <w:r w:rsidR="005A5740">
        <w:rPr>
          <w:b/>
          <w:sz w:val="28"/>
          <w:szCs w:val="28"/>
          <w:lang w:val="en-GB"/>
        </w:rPr>
        <w:t>OBSERVATIONS</w:t>
      </w:r>
      <w:r w:rsidR="00650D44" w:rsidRPr="0030008A">
        <w:rPr>
          <w:b/>
          <w:sz w:val="28"/>
          <w:szCs w:val="28"/>
          <w:lang w:val="en-GB"/>
        </w:rPr>
        <w:t xml:space="preserve"> IN RELATION TO ALBANIA</w:t>
      </w:r>
    </w:p>
    <w:p w:rsidR="00132FB8" w:rsidRDefault="00132FB8" w:rsidP="009D410E">
      <w:pPr>
        <w:widowControl w:val="0"/>
        <w:jc w:val="both"/>
        <w:outlineLvl w:val="0"/>
        <w:rPr>
          <w:b/>
          <w:szCs w:val="24"/>
          <w:lang w:val="en-GB"/>
        </w:rPr>
      </w:pPr>
    </w:p>
    <w:p w:rsidR="00132FB8" w:rsidRPr="00132FB8" w:rsidRDefault="00104F1D" w:rsidP="00136DD3">
      <w:pPr>
        <w:widowControl w:val="0"/>
        <w:jc w:val="right"/>
        <w:outlineLvl w:val="0"/>
        <w:rPr>
          <w:szCs w:val="24"/>
          <w:lang w:val="en-GB"/>
        </w:rPr>
      </w:pPr>
      <w:r>
        <w:rPr>
          <w:szCs w:val="24"/>
          <w:lang w:val="en-GB"/>
        </w:rPr>
        <w:t>24</w:t>
      </w:r>
      <w:r w:rsidR="00132FB8" w:rsidRPr="00132FB8">
        <w:rPr>
          <w:szCs w:val="24"/>
          <w:lang w:val="en-GB"/>
        </w:rPr>
        <w:t xml:space="preserve"> July 2015</w:t>
      </w:r>
    </w:p>
    <w:p w:rsidR="00132FB8" w:rsidRDefault="00132FB8" w:rsidP="009D410E">
      <w:pPr>
        <w:widowControl w:val="0"/>
        <w:jc w:val="both"/>
        <w:outlineLvl w:val="0"/>
        <w:rPr>
          <w:b/>
          <w:szCs w:val="24"/>
          <w:lang w:val="en-GB"/>
        </w:rPr>
      </w:pPr>
    </w:p>
    <w:p w:rsidR="00BF2146" w:rsidRPr="00F33EAF" w:rsidRDefault="004547B1" w:rsidP="009D410E">
      <w:pPr>
        <w:widowControl w:val="0"/>
        <w:jc w:val="both"/>
        <w:outlineLvl w:val="0"/>
        <w:rPr>
          <w:b/>
          <w:szCs w:val="24"/>
        </w:rPr>
      </w:pPr>
      <w:r w:rsidRPr="00CD52B5">
        <w:rPr>
          <w:b/>
          <w:szCs w:val="24"/>
          <w:lang w:val="en-GB"/>
        </w:rPr>
        <w:t xml:space="preserve">I.     </w:t>
      </w:r>
      <w:r w:rsidR="00631D71" w:rsidRPr="00F33EAF">
        <w:rPr>
          <w:b/>
          <w:szCs w:val="24"/>
        </w:rPr>
        <w:t>INTRODUCTION</w:t>
      </w:r>
    </w:p>
    <w:p w:rsidR="006250CA" w:rsidRPr="00CD52B5" w:rsidRDefault="006250CA" w:rsidP="009D410E">
      <w:pPr>
        <w:widowControl w:val="0"/>
        <w:jc w:val="both"/>
        <w:rPr>
          <w:sz w:val="18"/>
          <w:szCs w:val="24"/>
          <w:lang w:val="en-GB"/>
        </w:rPr>
      </w:pPr>
    </w:p>
    <w:p w:rsidR="00537E25" w:rsidRPr="00CD52B5" w:rsidRDefault="00537E25" w:rsidP="009D410E">
      <w:pPr>
        <w:widowControl w:val="0"/>
        <w:jc w:val="both"/>
        <w:rPr>
          <w:sz w:val="18"/>
          <w:szCs w:val="24"/>
          <w:lang w:val="en-GB"/>
        </w:rPr>
      </w:pPr>
    </w:p>
    <w:p w:rsidR="00650D44" w:rsidRDefault="00AD014A" w:rsidP="009D410E">
      <w:pPr>
        <w:widowControl w:val="0"/>
        <w:jc w:val="both"/>
        <w:rPr>
          <w:szCs w:val="24"/>
          <w:lang w:val="en-GB"/>
        </w:rPr>
      </w:pPr>
      <w:r>
        <w:rPr>
          <w:szCs w:val="24"/>
          <w:lang w:val="en-GB"/>
        </w:rPr>
        <w:t xml:space="preserve">1. </w:t>
      </w:r>
      <w:r w:rsidR="00D75DE9">
        <w:rPr>
          <w:szCs w:val="24"/>
          <w:lang w:val="en-GB"/>
        </w:rPr>
        <w:t xml:space="preserve">In its </w:t>
      </w:r>
      <w:r w:rsidR="00650D44">
        <w:rPr>
          <w:szCs w:val="24"/>
          <w:lang w:val="en-GB"/>
        </w:rPr>
        <w:t xml:space="preserve">Concluding Observations </w:t>
      </w:r>
      <w:r w:rsidR="00D75DE9">
        <w:rPr>
          <w:szCs w:val="24"/>
          <w:lang w:val="en-GB"/>
        </w:rPr>
        <w:t xml:space="preserve">(CCPR/C/ALB/CO/2, </w:t>
      </w:r>
      <w:r w:rsidR="00C92261">
        <w:rPr>
          <w:szCs w:val="24"/>
          <w:lang w:val="en-GB"/>
        </w:rPr>
        <w:t>22 August</w:t>
      </w:r>
      <w:r w:rsidR="002243A1">
        <w:rPr>
          <w:szCs w:val="24"/>
          <w:lang w:val="en-GB"/>
        </w:rPr>
        <w:t xml:space="preserve"> </w:t>
      </w:r>
      <w:r w:rsidR="00D75DE9">
        <w:rPr>
          <w:szCs w:val="24"/>
          <w:lang w:val="en-GB"/>
        </w:rPr>
        <w:t xml:space="preserve">2013) </w:t>
      </w:r>
      <w:r w:rsidR="00650D44">
        <w:rPr>
          <w:szCs w:val="24"/>
          <w:lang w:val="en-GB"/>
        </w:rPr>
        <w:t>in respect of Albania, the Human Rights Committee (“HRC”) called upon the Albanian State (“State</w:t>
      </w:r>
      <w:r w:rsidR="003639CB">
        <w:rPr>
          <w:szCs w:val="24"/>
          <w:lang w:val="en-GB"/>
        </w:rPr>
        <w:t xml:space="preserve"> Party</w:t>
      </w:r>
      <w:r w:rsidR="00650D44">
        <w:rPr>
          <w:szCs w:val="24"/>
          <w:lang w:val="en-GB"/>
        </w:rPr>
        <w:t>”)</w:t>
      </w:r>
      <w:r w:rsidR="00D75DE9">
        <w:rPr>
          <w:szCs w:val="24"/>
          <w:lang w:val="en-GB"/>
        </w:rPr>
        <w:t xml:space="preserve"> to</w:t>
      </w:r>
      <w:r w:rsidR="00B05392">
        <w:rPr>
          <w:szCs w:val="24"/>
          <w:lang w:val="en-GB"/>
        </w:rPr>
        <w:t xml:space="preserve"> among others</w:t>
      </w:r>
      <w:r w:rsidR="00D75DE9">
        <w:rPr>
          <w:szCs w:val="24"/>
          <w:lang w:val="en-GB"/>
        </w:rPr>
        <w:t>: “</w:t>
      </w:r>
      <w:r w:rsidR="005A5740">
        <w:rPr>
          <w:szCs w:val="24"/>
          <w:lang w:val="en-GB"/>
        </w:rPr>
        <w:t xml:space="preserve">[…] </w:t>
      </w:r>
      <w:r w:rsidR="00875E8B">
        <w:rPr>
          <w:szCs w:val="24"/>
          <w:lang w:val="en-GB"/>
        </w:rPr>
        <w:t>intensif</w:t>
      </w:r>
      <w:r w:rsidR="00D75DE9" w:rsidRPr="00D75DE9">
        <w:rPr>
          <w:szCs w:val="24"/>
          <w:lang w:val="en-GB"/>
        </w:rPr>
        <w:t>y its efforts to conclude its investigation into</w:t>
      </w:r>
      <w:r w:rsidR="00875E8B">
        <w:rPr>
          <w:szCs w:val="24"/>
          <w:lang w:val="en-GB"/>
        </w:rPr>
        <w:t xml:space="preserve"> the January 2011 demonstrations</w:t>
      </w:r>
      <w:r w:rsidR="00D75DE9" w:rsidRPr="00D75DE9">
        <w:rPr>
          <w:szCs w:val="24"/>
          <w:lang w:val="en-GB"/>
        </w:rPr>
        <w:t>, ensure compliance with international standards of investigation, and to this end, bring perpetrators to justice, punish them adequately, if convicted, a</w:t>
      </w:r>
      <w:r w:rsidR="00D75DE9">
        <w:rPr>
          <w:szCs w:val="24"/>
          <w:lang w:val="en-GB"/>
        </w:rPr>
        <w:t>nd compensate victims.”</w:t>
      </w:r>
      <w:r w:rsidR="00D75DE9">
        <w:rPr>
          <w:rStyle w:val="FootnoteReference"/>
          <w:szCs w:val="24"/>
          <w:lang w:val="en-GB"/>
        </w:rPr>
        <w:footnoteReference w:id="1"/>
      </w:r>
      <w:r w:rsidR="00FC3D9D">
        <w:rPr>
          <w:szCs w:val="24"/>
          <w:lang w:val="en-GB"/>
        </w:rPr>
        <w:t xml:space="preserve"> Furthermore, the HRC indicated to the State </w:t>
      </w:r>
      <w:r w:rsidR="003639CB">
        <w:rPr>
          <w:szCs w:val="24"/>
          <w:lang w:val="en-GB"/>
        </w:rPr>
        <w:t xml:space="preserve">Party </w:t>
      </w:r>
      <w:r w:rsidR="00FC3D9D">
        <w:rPr>
          <w:szCs w:val="24"/>
          <w:lang w:val="en-GB"/>
        </w:rPr>
        <w:t>that it should inform it of the implementation of this recommendation within one year from the adoption of the Concluding Observations.</w:t>
      </w:r>
      <w:r w:rsidR="002F2C00">
        <w:rPr>
          <w:rStyle w:val="FootnoteReference"/>
          <w:szCs w:val="24"/>
          <w:lang w:val="en-GB"/>
        </w:rPr>
        <w:footnoteReference w:id="2"/>
      </w:r>
      <w:r w:rsidR="00FC3D9D">
        <w:rPr>
          <w:szCs w:val="24"/>
          <w:lang w:val="en-GB"/>
        </w:rPr>
        <w:t xml:space="preserve"> </w:t>
      </w:r>
    </w:p>
    <w:p w:rsidR="002F2C00" w:rsidRDefault="002F2C00" w:rsidP="009D410E">
      <w:pPr>
        <w:widowControl w:val="0"/>
        <w:jc w:val="both"/>
        <w:rPr>
          <w:szCs w:val="24"/>
          <w:lang w:val="en-GB"/>
        </w:rPr>
      </w:pPr>
    </w:p>
    <w:p w:rsidR="002F2C00" w:rsidRDefault="00AD014A" w:rsidP="009D410E">
      <w:pPr>
        <w:widowControl w:val="0"/>
        <w:jc w:val="both"/>
        <w:rPr>
          <w:szCs w:val="24"/>
          <w:lang w:val="en-GB"/>
        </w:rPr>
      </w:pPr>
      <w:r>
        <w:rPr>
          <w:szCs w:val="24"/>
          <w:lang w:val="en-GB"/>
        </w:rPr>
        <w:t xml:space="preserve">2. </w:t>
      </w:r>
      <w:r w:rsidR="002F2C00">
        <w:rPr>
          <w:szCs w:val="24"/>
          <w:lang w:val="en-GB"/>
        </w:rPr>
        <w:t xml:space="preserve">By its letter dated 9 June 2015, </w:t>
      </w:r>
      <w:r w:rsidR="003639CB">
        <w:rPr>
          <w:szCs w:val="24"/>
          <w:lang w:val="en-GB"/>
        </w:rPr>
        <w:t xml:space="preserve">the Special Rapporteur for Follow-up to the Concluding Observations drew the State Party’s attention to its failure to submit the relevant information and called upon it to do so by 1 August 2015. </w:t>
      </w:r>
    </w:p>
    <w:p w:rsidR="00650D44" w:rsidRDefault="00650D44" w:rsidP="009D410E">
      <w:pPr>
        <w:widowControl w:val="0"/>
        <w:jc w:val="both"/>
        <w:rPr>
          <w:szCs w:val="24"/>
          <w:lang w:val="en-GB"/>
        </w:rPr>
      </w:pPr>
    </w:p>
    <w:p w:rsidR="00650D44" w:rsidRDefault="00AD014A" w:rsidP="009D410E">
      <w:pPr>
        <w:widowControl w:val="0"/>
        <w:jc w:val="both"/>
        <w:rPr>
          <w:szCs w:val="24"/>
          <w:lang w:val="en-GB"/>
        </w:rPr>
      </w:pPr>
      <w:r>
        <w:rPr>
          <w:szCs w:val="24"/>
          <w:lang w:val="en-GB"/>
        </w:rPr>
        <w:t xml:space="preserve">3. </w:t>
      </w:r>
      <w:r w:rsidR="00B05392">
        <w:rPr>
          <w:szCs w:val="24"/>
          <w:lang w:val="en-GB"/>
        </w:rPr>
        <w:t xml:space="preserve">The present </w:t>
      </w:r>
      <w:r w:rsidR="00610ED3">
        <w:rPr>
          <w:szCs w:val="24"/>
          <w:lang w:val="en-GB"/>
        </w:rPr>
        <w:t>communication,</w:t>
      </w:r>
      <w:r w:rsidR="004F35D6">
        <w:rPr>
          <w:szCs w:val="24"/>
          <w:lang w:val="en-GB"/>
        </w:rPr>
        <w:t xml:space="preserve"> submitted by the Albanian NGO Res Publica, </w:t>
      </w:r>
      <w:r w:rsidR="00B05392">
        <w:rPr>
          <w:szCs w:val="24"/>
          <w:lang w:val="en-GB"/>
        </w:rPr>
        <w:t xml:space="preserve">concerns the follow-up to </w:t>
      </w:r>
      <w:r w:rsidR="004D6AD1">
        <w:rPr>
          <w:szCs w:val="24"/>
          <w:lang w:val="en-GB"/>
        </w:rPr>
        <w:t>the</w:t>
      </w:r>
      <w:r w:rsidR="00B05392">
        <w:rPr>
          <w:szCs w:val="24"/>
          <w:lang w:val="en-GB"/>
        </w:rPr>
        <w:t xml:space="preserve"> aforementioned recommendation</w:t>
      </w:r>
      <w:r w:rsidR="004F35D6">
        <w:rPr>
          <w:szCs w:val="24"/>
          <w:lang w:val="en-GB"/>
        </w:rPr>
        <w:t>.</w:t>
      </w:r>
      <w:r w:rsidR="00B05392">
        <w:rPr>
          <w:szCs w:val="24"/>
          <w:lang w:val="en-GB"/>
        </w:rPr>
        <w:t xml:space="preserve"> </w:t>
      </w:r>
      <w:r w:rsidR="00650D44" w:rsidRPr="00650D44">
        <w:rPr>
          <w:szCs w:val="24"/>
          <w:lang w:val="en-GB"/>
        </w:rPr>
        <w:t xml:space="preserve">Res Publica is an Albanian </w:t>
      </w:r>
      <w:r w:rsidR="00650D44" w:rsidRPr="00650D44">
        <w:rPr>
          <w:szCs w:val="24"/>
        </w:rPr>
        <w:t>public interest law organization, working to promote and safeguard respect of fundamental human rights through strategic litigation</w:t>
      </w:r>
      <w:r w:rsidR="00650D44" w:rsidRPr="00650D44">
        <w:rPr>
          <w:szCs w:val="24"/>
          <w:lang w:val="en-GB"/>
        </w:rPr>
        <w:t xml:space="preserve">, advocacy, human rights education, </w:t>
      </w:r>
      <w:proofErr w:type="gramStart"/>
      <w:r w:rsidR="00650D44" w:rsidRPr="00650D44">
        <w:rPr>
          <w:szCs w:val="24"/>
          <w:lang w:val="en-GB"/>
        </w:rPr>
        <w:t>research</w:t>
      </w:r>
      <w:proofErr w:type="gramEnd"/>
      <w:r w:rsidR="00650D44" w:rsidRPr="00650D44">
        <w:rPr>
          <w:szCs w:val="24"/>
          <w:lang w:val="en-GB"/>
        </w:rPr>
        <w:t xml:space="preserve"> and policy development. </w:t>
      </w:r>
      <w:r w:rsidR="004D6AD1">
        <w:rPr>
          <w:szCs w:val="24"/>
          <w:lang w:val="en-GB"/>
        </w:rPr>
        <w:t xml:space="preserve">Res </w:t>
      </w:r>
      <w:proofErr w:type="spellStart"/>
      <w:r w:rsidR="004D6AD1">
        <w:rPr>
          <w:szCs w:val="24"/>
          <w:lang w:val="en-GB"/>
        </w:rPr>
        <w:t>Publica</w:t>
      </w:r>
      <w:proofErr w:type="spellEnd"/>
      <w:r w:rsidR="004D6AD1">
        <w:rPr>
          <w:szCs w:val="24"/>
          <w:lang w:val="en-GB"/>
        </w:rPr>
        <w:t xml:space="preserve"> currently represents, in the context of domestic and international judicial proceedings,</w:t>
      </w:r>
      <w:r w:rsidR="008F443F">
        <w:rPr>
          <w:rStyle w:val="FootnoteReference"/>
          <w:szCs w:val="24"/>
          <w:lang w:val="en-GB"/>
        </w:rPr>
        <w:footnoteReference w:id="3"/>
      </w:r>
      <w:r w:rsidR="004D6AD1">
        <w:rPr>
          <w:szCs w:val="24"/>
          <w:lang w:val="en-GB"/>
        </w:rPr>
        <w:t xml:space="preserve"> three of the four families of victims </w:t>
      </w:r>
      <w:r w:rsidR="0062469A">
        <w:rPr>
          <w:szCs w:val="24"/>
          <w:lang w:val="en-GB"/>
        </w:rPr>
        <w:t>(</w:t>
      </w:r>
      <w:r w:rsidR="0062469A" w:rsidRPr="0062469A">
        <w:rPr>
          <w:szCs w:val="24"/>
          <w:lang w:val="en-GB"/>
        </w:rPr>
        <w:t xml:space="preserve">the families of the late </w:t>
      </w:r>
      <w:proofErr w:type="spellStart"/>
      <w:r w:rsidR="0062469A" w:rsidRPr="0062469A">
        <w:rPr>
          <w:szCs w:val="24"/>
        </w:rPr>
        <w:t>Faik</w:t>
      </w:r>
      <w:proofErr w:type="spellEnd"/>
      <w:r w:rsidR="0062469A" w:rsidRPr="0062469A">
        <w:rPr>
          <w:szCs w:val="24"/>
        </w:rPr>
        <w:t xml:space="preserve"> </w:t>
      </w:r>
      <w:proofErr w:type="spellStart"/>
      <w:r w:rsidR="0062469A" w:rsidRPr="0062469A">
        <w:rPr>
          <w:szCs w:val="24"/>
        </w:rPr>
        <w:t>Myrtaj</w:t>
      </w:r>
      <w:proofErr w:type="spellEnd"/>
      <w:r w:rsidR="0062469A" w:rsidRPr="0062469A">
        <w:rPr>
          <w:szCs w:val="24"/>
        </w:rPr>
        <w:t xml:space="preserve">, </w:t>
      </w:r>
      <w:proofErr w:type="spellStart"/>
      <w:r w:rsidR="0062469A" w:rsidRPr="0062469A">
        <w:rPr>
          <w:szCs w:val="24"/>
        </w:rPr>
        <w:t>Ziver</w:t>
      </w:r>
      <w:proofErr w:type="spellEnd"/>
      <w:r w:rsidR="0062469A" w:rsidRPr="0062469A">
        <w:rPr>
          <w:szCs w:val="24"/>
        </w:rPr>
        <w:t xml:space="preserve"> </w:t>
      </w:r>
      <w:proofErr w:type="spellStart"/>
      <w:r w:rsidR="0062469A" w:rsidRPr="0062469A">
        <w:rPr>
          <w:szCs w:val="24"/>
        </w:rPr>
        <w:t>Veizi</w:t>
      </w:r>
      <w:proofErr w:type="spellEnd"/>
      <w:r w:rsidR="0062469A" w:rsidRPr="0062469A">
        <w:rPr>
          <w:szCs w:val="24"/>
        </w:rPr>
        <w:t xml:space="preserve"> and </w:t>
      </w:r>
      <w:proofErr w:type="spellStart"/>
      <w:r w:rsidR="0062469A" w:rsidRPr="0062469A">
        <w:rPr>
          <w:szCs w:val="24"/>
        </w:rPr>
        <w:t>Hekuran</w:t>
      </w:r>
      <w:proofErr w:type="spellEnd"/>
      <w:r w:rsidR="0062469A" w:rsidRPr="0062469A">
        <w:rPr>
          <w:szCs w:val="24"/>
        </w:rPr>
        <w:t xml:space="preserve"> </w:t>
      </w:r>
      <w:proofErr w:type="spellStart"/>
      <w:r w:rsidR="0062469A" w:rsidRPr="0062469A">
        <w:rPr>
          <w:szCs w:val="24"/>
        </w:rPr>
        <w:t>Deda</w:t>
      </w:r>
      <w:proofErr w:type="spellEnd"/>
      <w:r w:rsidR="0062469A">
        <w:rPr>
          <w:szCs w:val="24"/>
          <w:lang w:val="en-GB"/>
        </w:rPr>
        <w:t xml:space="preserve">) </w:t>
      </w:r>
      <w:r w:rsidR="004D6AD1">
        <w:rPr>
          <w:szCs w:val="24"/>
          <w:lang w:val="en-GB"/>
        </w:rPr>
        <w:t>of extrajudicial killings that took place on 21 January 2011. The prese</w:t>
      </w:r>
      <w:r w:rsidR="008F443F">
        <w:rPr>
          <w:szCs w:val="24"/>
          <w:lang w:val="en-GB"/>
        </w:rPr>
        <w:t xml:space="preserve">nt submission aims at providing the HRC with </w:t>
      </w:r>
      <w:r w:rsidR="004D6AD1">
        <w:rPr>
          <w:szCs w:val="24"/>
          <w:lang w:val="en-GB"/>
        </w:rPr>
        <w:t xml:space="preserve">updated information as to the status of these </w:t>
      </w:r>
      <w:r w:rsidR="004D6AD1">
        <w:rPr>
          <w:szCs w:val="24"/>
          <w:lang w:val="en-GB"/>
        </w:rPr>
        <w:lastRenderedPageBreak/>
        <w:t xml:space="preserve">proceedings and in particular of the measures undertaken by the State Party with a view to complying with the HRC’s recommendation. </w:t>
      </w:r>
    </w:p>
    <w:p w:rsidR="003A22F7" w:rsidRDefault="003A22F7" w:rsidP="009D410E">
      <w:pPr>
        <w:widowControl w:val="0"/>
        <w:jc w:val="both"/>
        <w:rPr>
          <w:szCs w:val="24"/>
          <w:lang w:val="en-GB"/>
        </w:rPr>
      </w:pPr>
    </w:p>
    <w:p w:rsidR="003A22F7" w:rsidRDefault="003A22F7" w:rsidP="009D410E">
      <w:pPr>
        <w:widowControl w:val="0"/>
        <w:jc w:val="both"/>
        <w:rPr>
          <w:b/>
          <w:szCs w:val="24"/>
          <w:lang w:val="en-GB"/>
        </w:rPr>
      </w:pPr>
      <w:r w:rsidRPr="003024F6">
        <w:rPr>
          <w:b/>
          <w:szCs w:val="24"/>
          <w:lang w:val="en-GB"/>
        </w:rPr>
        <w:t xml:space="preserve">II. </w:t>
      </w:r>
      <w:r w:rsidR="003024F6">
        <w:rPr>
          <w:b/>
          <w:szCs w:val="24"/>
          <w:lang w:val="en-GB"/>
        </w:rPr>
        <w:t>FAILURE BY</w:t>
      </w:r>
      <w:r w:rsidR="003024F6" w:rsidRPr="003024F6">
        <w:rPr>
          <w:b/>
          <w:szCs w:val="24"/>
          <w:lang w:val="en-GB"/>
        </w:rPr>
        <w:t xml:space="preserve"> THE STATE PARTY TO CONDUCT AN EFFECTIVE </w:t>
      </w:r>
      <w:r w:rsidR="003024F6">
        <w:rPr>
          <w:b/>
          <w:szCs w:val="24"/>
          <w:lang w:val="en-GB"/>
        </w:rPr>
        <w:t xml:space="preserve">CRIMINAL </w:t>
      </w:r>
      <w:r w:rsidR="003024F6" w:rsidRPr="003024F6">
        <w:rPr>
          <w:b/>
          <w:szCs w:val="24"/>
          <w:lang w:val="en-GB"/>
        </w:rPr>
        <w:t>INVESTIGATION INTO THE 21 JANUARY 2011 EVENTS</w:t>
      </w:r>
    </w:p>
    <w:p w:rsidR="003024F6" w:rsidRDefault="003024F6" w:rsidP="009D410E">
      <w:pPr>
        <w:widowControl w:val="0"/>
        <w:jc w:val="both"/>
        <w:rPr>
          <w:b/>
          <w:szCs w:val="24"/>
          <w:lang w:val="en-GB"/>
        </w:rPr>
      </w:pPr>
    </w:p>
    <w:p w:rsidR="003024F6" w:rsidRDefault="00AD014A" w:rsidP="009D410E">
      <w:pPr>
        <w:widowControl w:val="0"/>
        <w:jc w:val="both"/>
        <w:rPr>
          <w:szCs w:val="24"/>
          <w:lang w:val="en-GB"/>
        </w:rPr>
      </w:pPr>
      <w:r>
        <w:rPr>
          <w:szCs w:val="24"/>
          <w:lang w:val="en-GB"/>
        </w:rPr>
        <w:t xml:space="preserve">4. </w:t>
      </w:r>
      <w:r w:rsidR="003024F6" w:rsidRPr="003024F6">
        <w:rPr>
          <w:szCs w:val="24"/>
          <w:lang w:val="en-GB"/>
        </w:rPr>
        <w:t xml:space="preserve">Res Publica contends </w:t>
      </w:r>
      <w:r w:rsidR="003024F6">
        <w:rPr>
          <w:szCs w:val="24"/>
          <w:lang w:val="en-GB"/>
        </w:rPr>
        <w:t xml:space="preserve">that the State Party has failed to conduct an effective criminal investigation into the loss of life at the 21 January 2011 demonstration. Res Publica considers that this failure is due to </w:t>
      </w:r>
      <w:r w:rsidR="008F443F">
        <w:rPr>
          <w:szCs w:val="24"/>
          <w:lang w:val="en-GB"/>
        </w:rPr>
        <w:t xml:space="preserve">the following </w:t>
      </w:r>
      <w:r w:rsidR="003024F6">
        <w:rPr>
          <w:szCs w:val="24"/>
          <w:lang w:val="en-GB"/>
        </w:rPr>
        <w:t xml:space="preserve">two </w:t>
      </w:r>
      <w:r w:rsidR="008F443F">
        <w:rPr>
          <w:szCs w:val="24"/>
          <w:lang w:val="en-GB"/>
        </w:rPr>
        <w:t xml:space="preserve">mutually reinforcing </w:t>
      </w:r>
      <w:r w:rsidR="003024F6">
        <w:rPr>
          <w:szCs w:val="24"/>
          <w:lang w:val="en-GB"/>
        </w:rPr>
        <w:t xml:space="preserve">reasons. </w:t>
      </w:r>
    </w:p>
    <w:p w:rsidR="003024F6" w:rsidRDefault="003024F6" w:rsidP="009D410E">
      <w:pPr>
        <w:widowControl w:val="0"/>
        <w:jc w:val="both"/>
        <w:rPr>
          <w:szCs w:val="24"/>
          <w:lang w:val="en-GB"/>
        </w:rPr>
      </w:pPr>
      <w:r>
        <w:rPr>
          <w:szCs w:val="24"/>
          <w:lang w:val="en-GB"/>
        </w:rPr>
        <w:t xml:space="preserve"> </w:t>
      </w:r>
    </w:p>
    <w:p w:rsidR="003024F6" w:rsidRPr="00B1690B" w:rsidRDefault="003024F6" w:rsidP="009D410E">
      <w:pPr>
        <w:pStyle w:val="ListParagraph"/>
        <w:widowControl w:val="0"/>
        <w:numPr>
          <w:ilvl w:val="0"/>
          <w:numId w:val="42"/>
        </w:numPr>
        <w:jc w:val="both"/>
        <w:rPr>
          <w:b/>
          <w:lang w:val="en-GB"/>
        </w:rPr>
      </w:pPr>
      <w:r w:rsidRPr="00B1690B">
        <w:rPr>
          <w:b/>
          <w:lang w:val="en-GB"/>
        </w:rPr>
        <w:t xml:space="preserve">Deficient </w:t>
      </w:r>
      <w:r w:rsidR="00C92261">
        <w:rPr>
          <w:b/>
          <w:lang w:val="en-GB"/>
        </w:rPr>
        <w:t xml:space="preserve">domestic </w:t>
      </w:r>
      <w:r w:rsidRPr="00B1690B">
        <w:rPr>
          <w:b/>
          <w:lang w:val="en-GB"/>
        </w:rPr>
        <w:t>legal framework regarding the next of kin’s participation in criminal proceedings</w:t>
      </w:r>
    </w:p>
    <w:p w:rsidR="003024F6" w:rsidRDefault="003024F6" w:rsidP="009D410E">
      <w:pPr>
        <w:widowControl w:val="0"/>
        <w:jc w:val="both"/>
        <w:rPr>
          <w:lang w:val="en-GB"/>
        </w:rPr>
      </w:pPr>
    </w:p>
    <w:p w:rsidR="00537339" w:rsidRPr="008163D2" w:rsidRDefault="00AD014A" w:rsidP="009D410E">
      <w:pPr>
        <w:widowControl w:val="0"/>
        <w:jc w:val="both"/>
        <w:rPr>
          <w:lang w:val="en-GB"/>
        </w:rPr>
      </w:pPr>
      <w:r>
        <w:rPr>
          <w:lang w:val="en-GB"/>
        </w:rPr>
        <w:t xml:space="preserve">5. </w:t>
      </w:r>
      <w:r w:rsidR="00B313B5">
        <w:rPr>
          <w:lang w:val="en-GB"/>
        </w:rPr>
        <w:t xml:space="preserve">Already on 5 November 2011, </w:t>
      </w:r>
      <w:r w:rsidR="00B1690B">
        <w:rPr>
          <w:lang w:val="en-GB"/>
        </w:rPr>
        <w:t>Res Publica, as</w:t>
      </w:r>
      <w:r w:rsidR="00E90846">
        <w:rPr>
          <w:lang w:val="en-GB"/>
        </w:rPr>
        <w:t xml:space="preserve"> the</w:t>
      </w:r>
      <w:r w:rsidR="00B1690B">
        <w:rPr>
          <w:lang w:val="en-GB"/>
        </w:rPr>
        <w:t xml:space="preserve"> legal representative of the families </w:t>
      </w:r>
      <w:r w:rsidR="00E90846">
        <w:rPr>
          <w:lang w:val="en-GB"/>
        </w:rPr>
        <w:t>of three out of the</w:t>
      </w:r>
      <w:r w:rsidR="00B1690B">
        <w:rPr>
          <w:lang w:val="en-GB"/>
        </w:rPr>
        <w:t xml:space="preserve"> four victims, addressed a letter to the General Prosecutor’s Office, requesting that the families’ legal representatives be allowed to </w:t>
      </w:r>
      <w:r w:rsidR="0014415B">
        <w:rPr>
          <w:lang w:val="en-GB"/>
        </w:rPr>
        <w:t>participate</w:t>
      </w:r>
      <w:r w:rsidR="00B1690B">
        <w:rPr>
          <w:lang w:val="en-GB"/>
        </w:rPr>
        <w:t xml:space="preserve"> in the criminal proceedings</w:t>
      </w:r>
      <w:r w:rsidR="0014415B">
        <w:rPr>
          <w:lang w:val="en-GB"/>
        </w:rPr>
        <w:t xml:space="preserve"> by reviewing the case file commissioning their own experts</w:t>
      </w:r>
      <w:r w:rsidR="00B1690B">
        <w:rPr>
          <w:lang w:val="en-GB"/>
        </w:rPr>
        <w:t xml:space="preserve">. </w:t>
      </w:r>
      <w:r>
        <w:rPr>
          <w:lang w:val="en-GB"/>
        </w:rPr>
        <w:t>N</w:t>
      </w:r>
      <w:r w:rsidR="00B1690B">
        <w:rPr>
          <w:lang w:val="en-GB"/>
        </w:rPr>
        <w:t xml:space="preserve">oting that this was not possible under </w:t>
      </w:r>
      <w:r w:rsidR="004F35D6">
        <w:rPr>
          <w:lang w:val="en-GB"/>
        </w:rPr>
        <w:t>Albanian law</w:t>
      </w:r>
      <w:r>
        <w:rPr>
          <w:lang w:val="en-GB"/>
        </w:rPr>
        <w:t>, Res Publica nevertheless maintained that this deficiency of the national legal framework was in violation of the</w:t>
      </w:r>
      <w:r w:rsidR="001B2F77">
        <w:rPr>
          <w:lang w:val="en-GB"/>
        </w:rPr>
        <w:t xml:space="preserve"> international obligations incumbent on Albania</w:t>
      </w:r>
      <w:r w:rsidR="0014415B">
        <w:rPr>
          <w:lang w:val="en-GB"/>
        </w:rPr>
        <w:t xml:space="preserve"> and could be remedies by means of direct application of the relevant international standards</w:t>
      </w:r>
      <w:r w:rsidR="00496EE0">
        <w:rPr>
          <w:lang w:val="en-GB"/>
        </w:rPr>
        <w:t xml:space="preserve"> such as the </w:t>
      </w:r>
      <w:r w:rsidR="008163D2" w:rsidRPr="008163D2">
        <w:rPr>
          <w:i/>
          <w:lang w:val="en-GB"/>
        </w:rPr>
        <w:t>UN Basic Principles on the Role of Lawyers</w:t>
      </w:r>
      <w:r w:rsidR="008163D2">
        <w:rPr>
          <w:i/>
          <w:lang w:val="en-GB"/>
        </w:rPr>
        <w:t>,</w:t>
      </w:r>
      <w:r w:rsidR="008163D2" w:rsidRPr="008163D2">
        <w:rPr>
          <w:rStyle w:val="FootnoteReference"/>
          <w:lang w:val="en-GB"/>
        </w:rPr>
        <w:footnoteReference w:id="4"/>
      </w:r>
      <w:r w:rsidR="008163D2">
        <w:rPr>
          <w:i/>
          <w:lang w:val="en-GB"/>
        </w:rPr>
        <w:t xml:space="preserve"> </w:t>
      </w:r>
      <w:r w:rsidR="008163D2">
        <w:rPr>
          <w:lang w:val="en-GB"/>
        </w:rPr>
        <w:t xml:space="preserve">the </w:t>
      </w:r>
      <w:r w:rsidR="008163D2">
        <w:t>UN General Assembly Resolution A/RES/40/34</w:t>
      </w:r>
      <w:r w:rsidR="00FA4CE8">
        <w:t xml:space="preserve"> </w:t>
      </w:r>
      <w:r w:rsidR="008163D2" w:rsidRPr="008163D2">
        <w:t xml:space="preserve"> </w:t>
      </w:r>
      <w:r w:rsidR="008163D2" w:rsidRPr="008163D2">
        <w:rPr>
          <w:i/>
        </w:rPr>
        <w:t>Declaration of Basic Principles of Justice for Victims of Crime and Abuse of Power</w:t>
      </w:r>
      <w:r w:rsidR="00FA4CE8">
        <w:rPr>
          <w:i/>
        </w:rPr>
        <w:t xml:space="preserve"> </w:t>
      </w:r>
      <w:r w:rsidR="00FA4CE8">
        <w:t>and</w:t>
      </w:r>
      <w:r w:rsidR="008163D2">
        <w:rPr>
          <w:i/>
        </w:rPr>
        <w:t xml:space="preserve"> </w:t>
      </w:r>
      <w:r w:rsidR="008163D2">
        <w:t xml:space="preserve">the UN </w:t>
      </w:r>
      <w:r w:rsidR="008163D2" w:rsidRPr="008163D2">
        <w:rPr>
          <w:i/>
        </w:rPr>
        <w:t>Principles on the Effective Prevention and Investigation of Extra-legal, Arbitrary and Summary Executions</w:t>
      </w:r>
      <w:r w:rsidR="00E2373C">
        <w:rPr>
          <w:i/>
        </w:rPr>
        <w:t xml:space="preserve"> </w:t>
      </w:r>
      <w:r w:rsidR="00E2373C">
        <w:t>as well as the UN</w:t>
      </w:r>
      <w:r w:rsidR="00A0201F" w:rsidRPr="00E2373C">
        <w:rPr>
          <w:i/>
        </w:rPr>
        <w:t xml:space="preserve"> </w:t>
      </w:r>
      <w:r w:rsidR="00A0201F" w:rsidRPr="00E2373C">
        <w:rPr>
          <w:i/>
          <w:lang w:val="en-GB"/>
        </w:rPr>
        <w:t>Basic Principles on the Use of Force and Firearms by Law Enforcement Officials</w:t>
      </w:r>
      <w:r w:rsidR="00E2373C" w:rsidRPr="00E2373C">
        <w:rPr>
          <w:i/>
          <w:lang w:val="en-GB"/>
        </w:rPr>
        <w:t>.</w:t>
      </w:r>
      <w:r w:rsidR="00E2373C" w:rsidRPr="00E2373C">
        <w:rPr>
          <w:rStyle w:val="FootnoteReference"/>
          <w:lang w:val="en-GB"/>
        </w:rPr>
        <w:footnoteReference w:id="5"/>
      </w:r>
      <w:r w:rsidR="00E2373C" w:rsidRPr="00E2373C">
        <w:rPr>
          <w:b/>
          <w:lang w:val="en-GB"/>
        </w:rPr>
        <w:t xml:space="preserve"> </w:t>
      </w:r>
    </w:p>
    <w:p w:rsidR="00650D44" w:rsidRDefault="00650D44" w:rsidP="009D410E">
      <w:pPr>
        <w:widowControl w:val="0"/>
        <w:jc w:val="both"/>
        <w:rPr>
          <w:szCs w:val="24"/>
          <w:lang w:val="en-GB"/>
        </w:rPr>
      </w:pPr>
    </w:p>
    <w:p w:rsidR="00EA3571" w:rsidRDefault="00936A95" w:rsidP="009D410E">
      <w:pPr>
        <w:widowControl w:val="0"/>
        <w:jc w:val="both"/>
        <w:rPr>
          <w:szCs w:val="24"/>
          <w:lang w:val="en-GB"/>
        </w:rPr>
      </w:pPr>
      <w:r>
        <w:rPr>
          <w:szCs w:val="24"/>
          <w:lang w:val="en-GB"/>
        </w:rPr>
        <w:t>6. Res Publica would like to note that it never received an answer to its letter nor was it allowed to take part, in order to defend its principals</w:t>
      </w:r>
      <w:r w:rsidR="00496EE0">
        <w:rPr>
          <w:szCs w:val="24"/>
          <w:lang w:val="en-GB"/>
        </w:rPr>
        <w:t>’</w:t>
      </w:r>
      <w:r>
        <w:rPr>
          <w:szCs w:val="24"/>
          <w:lang w:val="en-GB"/>
        </w:rPr>
        <w:t xml:space="preserve"> interest</w:t>
      </w:r>
      <w:r w:rsidR="00496EE0">
        <w:rPr>
          <w:szCs w:val="24"/>
          <w:lang w:val="en-GB"/>
        </w:rPr>
        <w:t>s</w:t>
      </w:r>
      <w:r>
        <w:rPr>
          <w:szCs w:val="24"/>
          <w:lang w:val="en-GB"/>
        </w:rPr>
        <w:t xml:space="preserve">, in the criminal </w:t>
      </w:r>
      <w:r w:rsidR="008F443F">
        <w:rPr>
          <w:szCs w:val="24"/>
          <w:lang w:val="en-GB"/>
        </w:rPr>
        <w:t xml:space="preserve">investigative </w:t>
      </w:r>
      <w:r>
        <w:rPr>
          <w:szCs w:val="24"/>
          <w:lang w:val="en-GB"/>
        </w:rPr>
        <w:t>proceedings and the</w:t>
      </w:r>
      <w:r w:rsidR="00496EE0">
        <w:rPr>
          <w:szCs w:val="24"/>
          <w:lang w:val="en-GB"/>
        </w:rPr>
        <w:t xml:space="preserve"> subsequent criminal</w:t>
      </w:r>
      <w:r>
        <w:rPr>
          <w:szCs w:val="24"/>
          <w:lang w:val="en-GB"/>
        </w:rPr>
        <w:t xml:space="preserve"> </w:t>
      </w:r>
      <w:r w:rsidR="00496EE0">
        <w:rPr>
          <w:szCs w:val="24"/>
          <w:lang w:val="en-GB"/>
        </w:rPr>
        <w:t>judicial proceedings</w:t>
      </w:r>
      <w:r w:rsidR="000E14B8">
        <w:rPr>
          <w:szCs w:val="24"/>
          <w:lang w:val="en-GB"/>
        </w:rPr>
        <w:t xml:space="preserve">. Nevertheless, it points out that, as the State Party itself acknowledged </w:t>
      </w:r>
      <w:r w:rsidR="00D3641D">
        <w:rPr>
          <w:szCs w:val="24"/>
          <w:lang w:val="en-GB"/>
        </w:rPr>
        <w:t xml:space="preserve">in the context of proceedings before </w:t>
      </w:r>
      <w:r w:rsidR="002243A1">
        <w:rPr>
          <w:szCs w:val="24"/>
          <w:lang w:val="en-GB"/>
        </w:rPr>
        <w:t>the European Court of Human Rights in a for all intents and purposes identical case, the Prosecutor’s Office is under no obligation to inform the next of kin of a deceased as to the progress of the investigation or of any potential procedural rights he / she might exercise.</w:t>
      </w:r>
      <w:r w:rsidR="002243A1">
        <w:rPr>
          <w:rStyle w:val="FootnoteReference"/>
          <w:szCs w:val="24"/>
          <w:lang w:val="en-GB"/>
        </w:rPr>
        <w:footnoteReference w:id="6"/>
      </w:r>
      <w:r w:rsidR="00E90846">
        <w:rPr>
          <w:szCs w:val="24"/>
          <w:lang w:val="en-GB"/>
        </w:rPr>
        <w:t xml:space="preserve"> Subsequently, the State Party submitted a unilateral declaration it which it acknowledged a procedural violation of Articles 2 and 3 of the European Convention on Human Rights.</w:t>
      </w:r>
      <w:r w:rsidR="00E90846">
        <w:rPr>
          <w:rStyle w:val="FootnoteReference"/>
          <w:szCs w:val="24"/>
          <w:lang w:val="en-GB"/>
        </w:rPr>
        <w:footnoteReference w:id="7"/>
      </w:r>
      <w:r w:rsidR="00FE2E30">
        <w:rPr>
          <w:szCs w:val="24"/>
          <w:lang w:val="en-GB"/>
        </w:rPr>
        <w:t xml:space="preserve"> The combined reading of the submissions of the State Party suggests that the latter recognises that the domestic legal framework regarding the procedural rights of the next of kin of victims is deficient and not in conformity with the guarantees flowing from the procedural aspects of Article 2 of the European Convention on </w:t>
      </w:r>
      <w:r w:rsidR="00FE2E30">
        <w:rPr>
          <w:szCs w:val="24"/>
          <w:lang w:val="en-GB"/>
        </w:rPr>
        <w:lastRenderedPageBreak/>
        <w:t>Human Rights</w:t>
      </w:r>
      <w:r w:rsidR="00496EE0">
        <w:rPr>
          <w:szCs w:val="24"/>
          <w:lang w:val="en-GB"/>
        </w:rPr>
        <w:t>, guarantees that mirror those set out in the various UN standards referred to above</w:t>
      </w:r>
      <w:r w:rsidR="00FE2E30">
        <w:rPr>
          <w:szCs w:val="24"/>
          <w:lang w:val="en-GB"/>
        </w:rPr>
        <w:t>.</w:t>
      </w:r>
      <w:r w:rsidR="00496EE0">
        <w:rPr>
          <w:rStyle w:val="FootnoteReference"/>
          <w:szCs w:val="24"/>
          <w:lang w:val="en-GB"/>
        </w:rPr>
        <w:footnoteReference w:id="8"/>
      </w:r>
      <w:r w:rsidR="00FE2E30">
        <w:rPr>
          <w:szCs w:val="24"/>
          <w:lang w:val="en-GB"/>
        </w:rPr>
        <w:t xml:space="preserve"> </w:t>
      </w:r>
    </w:p>
    <w:p w:rsidR="001C07E7" w:rsidRDefault="001C07E7" w:rsidP="009D410E">
      <w:pPr>
        <w:widowControl w:val="0"/>
        <w:jc w:val="both"/>
        <w:rPr>
          <w:szCs w:val="24"/>
          <w:lang w:val="en-GB"/>
        </w:rPr>
      </w:pPr>
    </w:p>
    <w:p w:rsidR="00EA3571" w:rsidRDefault="009C4D95" w:rsidP="009D410E">
      <w:pPr>
        <w:pStyle w:val="ListParagraph"/>
        <w:widowControl w:val="0"/>
        <w:numPr>
          <w:ilvl w:val="0"/>
          <w:numId w:val="42"/>
        </w:numPr>
        <w:jc w:val="both"/>
        <w:rPr>
          <w:b/>
          <w:lang w:val="en-GB"/>
        </w:rPr>
      </w:pPr>
      <w:r>
        <w:rPr>
          <w:b/>
          <w:lang w:val="en-GB"/>
        </w:rPr>
        <w:t>The criminal investigation launched into the 21 January 2011</w:t>
      </w:r>
      <w:r w:rsidR="008A78AE">
        <w:rPr>
          <w:b/>
          <w:lang w:val="en-GB"/>
        </w:rPr>
        <w:t xml:space="preserve"> has been</w:t>
      </w:r>
      <w:r>
        <w:rPr>
          <w:b/>
          <w:lang w:val="en-GB"/>
        </w:rPr>
        <w:t xml:space="preserve"> tainted by excessive delay</w:t>
      </w:r>
      <w:r w:rsidR="008A78AE">
        <w:rPr>
          <w:b/>
          <w:lang w:val="en-GB"/>
        </w:rPr>
        <w:t>, a limited scope</w:t>
      </w:r>
      <w:r w:rsidR="0062469A">
        <w:rPr>
          <w:b/>
          <w:lang w:val="en-GB"/>
        </w:rPr>
        <w:t xml:space="preserve"> of inquiry</w:t>
      </w:r>
      <w:r w:rsidR="008A78AE">
        <w:rPr>
          <w:b/>
          <w:lang w:val="en-GB"/>
        </w:rPr>
        <w:t xml:space="preserve"> and </w:t>
      </w:r>
      <w:r w:rsidR="008B642B">
        <w:rPr>
          <w:b/>
          <w:lang w:val="en-GB"/>
        </w:rPr>
        <w:t>the imposition of lenient</w:t>
      </w:r>
      <w:r w:rsidR="006B3208">
        <w:rPr>
          <w:b/>
          <w:lang w:val="en-GB"/>
        </w:rPr>
        <w:t xml:space="preserve"> sentences</w:t>
      </w:r>
    </w:p>
    <w:p w:rsidR="00EA3571" w:rsidRDefault="00EA3571" w:rsidP="009D410E">
      <w:pPr>
        <w:widowControl w:val="0"/>
        <w:jc w:val="both"/>
        <w:rPr>
          <w:szCs w:val="24"/>
          <w:lang w:val="en-GB"/>
        </w:rPr>
      </w:pPr>
    </w:p>
    <w:p w:rsidR="005C2F87" w:rsidRDefault="00FE2E30" w:rsidP="009D410E">
      <w:pPr>
        <w:widowControl w:val="0"/>
        <w:jc w:val="both"/>
        <w:rPr>
          <w:szCs w:val="24"/>
          <w:lang w:val="en-GB"/>
        </w:rPr>
      </w:pPr>
      <w:r>
        <w:rPr>
          <w:szCs w:val="24"/>
          <w:lang w:val="en-GB"/>
        </w:rPr>
        <w:t xml:space="preserve">7. </w:t>
      </w:r>
      <w:r w:rsidR="006B3208">
        <w:rPr>
          <w:szCs w:val="24"/>
          <w:lang w:val="en-GB"/>
        </w:rPr>
        <w:t xml:space="preserve"> </w:t>
      </w:r>
      <w:r w:rsidR="005C2F87">
        <w:rPr>
          <w:szCs w:val="24"/>
          <w:lang w:val="en-GB"/>
        </w:rPr>
        <w:t xml:space="preserve">With the exception of the </w:t>
      </w:r>
      <w:r w:rsidR="00FB1061">
        <w:rPr>
          <w:szCs w:val="24"/>
          <w:lang w:val="en-GB"/>
        </w:rPr>
        <w:t>failure</w:t>
      </w:r>
      <w:r w:rsidR="005C2F87">
        <w:rPr>
          <w:szCs w:val="24"/>
          <w:lang w:val="en-GB"/>
        </w:rPr>
        <w:t xml:space="preserve"> </w:t>
      </w:r>
      <w:r w:rsidR="00FB1061">
        <w:rPr>
          <w:szCs w:val="24"/>
          <w:lang w:val="en-GB"/>
        </w:rPr>
        <w:t>of domestic</w:t>
      </w:r>
      <w:r w:rsidR="005C2F87">
        <w:rPr>
          <w:szCs w:val="24"/>
          <w:lang w:val="en-GB"/>
        </w:rPr>
        <w:t xml:space="preserve"> </w:t>
      </w:r>
      <w:r w:rsidR="00FB1061">
        <w:rPr>
          <w:szCs w:val="24"/>
          <w:lang w:val="en-GB"/>
        </w:rPr>
        <w:t>legal framework to provide for and regulate</w:t>
      </w:r>
      <w:r w:rsidR="005C2F87">
        <w:rPr>
          <w:szCs w:val="24"/>
          <w:lang w:val="en-GB"/>
        </w:rPr>
        <w:t xml:space="preserve"> the victims’ next of kin</w:t>
      </w:r>
      <w:r w:rsidR="00FB1061">
        <w:rPr>
          <w:szCs w:val="24"/>
          <w:lang w:val="en-GB"/>
        </w:rPr>
        <w:t xml:space="preserve"> participation</w:t>
      </w:r>
      <w:r w:rsidR="005C2F87">
        <w:rPr>
          <w:szCs w:val="24"/>
          <w:lang w:val="en-GB"/>
        </w:rPr>
        <w:t xml:space="preserve"> in the investigative and judicial proceedings, Res Publica contends that the Albanian legal framework is in principle adequate and its diligent application in the present case could lead to an effective investigation into the 21 January 2011 events and the punishment of the perpetrators. Nevertheless, the criminal investigation and subsequent judicial proceedings </w:t>
      </w:r>
      <w:r w:rsidR="00AE55F8">
        <w:rPr>
          <w:szCs w:val="24"/>
          <w:lang w:val="en-GB"/>
        </w:rPr>
        <w:t>have been ineffective while obvious lines of inquiry have not been followed. Res Publica is unfortunately not able to provide the HRC w</w:t>
      </w:r>
      <w:r w:rsidR="00AA12DE">
        <w:rPr>
          <w:szCs w:val="24"/>
          <w:lang w:val="en-GB"/>
        </w:rPr>
        <w:t>ith more in-depth information since</w:t>
      </w:r>
      <w:r w:rsidR="00AE55F8">
        <w:rPr>
          <w:szCs w:val="24"/>
          <w:lang w:val="en-GB"/>
        </w:rPr>
        <w:t xml:space="preserve"> for the reasons recounted above it can only follow the</w:t>
      </w:r>
      <w:r w:rsidR="00AA12DE">
        <w:rPr>
          <w:szCs w:val="24"/>
          <w:lang w:val="en-GB"/>
        </w:rPr>
        <w:t xml:space="preserve"> developments of the judicial</w:t>
      </w:r>
      <w:r w:rsidR="00AE55F8">
        <w:rPr>
          <w:szCs w:val="24"/>
          <w:lang w:val="en-GB"/>
        </w:rPr>
        <w:t xml:space="preserve"> proceedings through the press. </w:t>
      </w:r>
    </w:p>
    <w:p w:rsidR="0015079C" w:rsidRDefault="0015079C" w:rsidP="009D410E">
      <w:pPr>
        <w:widowControl w:val="0"/>
        <w:jc w:val="both"/>
        <w:rPr>
          <w:szCs w:val="24"/>
          <w:lang w:val="en-GB"/>
        </w:rPr>
      </w:pPr>
    </w:p>
    <w:p w:rsidR="0015079C" w:rsidRPr="0015079C" w:rsidRDefault="0015079C" w:rsidP="009D410E">
      <w:pPr>
        <w:widowControl w:val="0"/>
        <w:jc w:val="both"/>
        <w:rPr>
          <w:i/>
          <w:szCs w:val="24"/>
          <w:lang w:val="en-GB"/>
        </w:rPr>
      </w:pPr>
      <w:r w:rsidRPr="0015079C">
        <w:rPr>
          <w:i/>
          <w:szCs w:val="24"/>
          <w:lang w:val="en-GB"/>
        </w:rPr>
        <w:t>Excessive delays</w:t>
      </w:r>
    </w:p>
    <w:p w:rsidR="0015079C" w:rsidRDefault="0015079C" w:rsidP="009D410E">
      <w:pPr>
        <w:widowControl w:val="0"/>
        <w:jc w:val="both"/>
        <w:rPr>
          <w:szCs w:val="24"/>
          <w:lang w:val="en-GB"/>
        </w:rPr>
      </w:pPr>
    </w:p>
    <w:p w:rsidR="0015079C" w:rsidRDefault="0015079C" w:rsidP="009D410E">
      <w:pPr>
        <w:widowControl w:val="0"/>
        <w:jc w:val="both"/>
        <w:rPr>
          <w:szCs w:val="24"/>
          <w:lang w:val="en-GB"/>
        </w:rPr>
      </w:pPr>
      <w:r>
        <w:rPr>
          <w:szCs w:val="24"/>
          <w:lang w:val="en-GB"/>
        </w:rPr>
        <w:t xml:space="preserve">8. </w:t>
      </w:r>
      <w:r w:rsidR="006D347F">
        <w:rPr>
          <w:szCs w:val="24"/>
          <w:lang w:val="en-GB"/>
        </w:rPr>
        <w:t xml:space="preserve"> More than four years after the 21 January 2011, the case against two police officers is still pending before the High Court. This excessive delay was been criticised by among other the European Parliament which in its recent Resolution on Albania called upon the authorities to “…proceed without undue delay to deliver justice for the victims of the events of 21 January 2011”.</w:t>
      </w:r>
      <w:r w:rsidR="006D347F">
        <w:rPr>
          <w:rStyle w:val="FootnoteReference"/>
          <w:szCs w:val="24"/>
          <w:lang w:val="en-GB"/>
        </w:rPr>
        <w:footnoteReference w:id="9"/>
      </w:r>
      <w:r w:rsidR="00DF0928">
        <w:rPr>
          <w:szCs w:val="24"/>
          <w:lang w:val="en-GB"/>
        </w:rPr>
        <w:t xml:space="preserve"> </w:t>
      </w:r>
      <w:r w:rsidR="002079E1">
        <w:rPr>
          <w:szCs w:val="24"/>
          <w:lang w:val="en-GB"/>
        </w:rPr>
        <w:t>Earlier</w:t>
      </w:r>
      <w:r w:rsidR="00DF0928">
        <w:rPr>
          <w:szCs w:val="24"/>
          <w:lang w:val="en-GB"/>
        </w:rPr>
        <w:t xml:space="preserve">, the Member of the European Parliament and Rapporteur for Albania Eduard </w:t>
      </w:r>
      <w:proofErr w:type="spellStart"/>
      <w:r w:rsidR="00DF0928">
        <w:rPr>
          <w:szCs w:val="24"/>
          <w:lang w:val="en-GB"/>
        </w:rPr>
        <w:t>Kukan</w:t>
      </w:r>
      <w:proofErr w:type="spellEnd"/>
      <w:r w:rsidR="00DF0928">
        <w:rPr>
          <w:szCs w:val="24"/>
          <w:lang w:val="en-GB"/>
        </w:rPr>
        <w:t xml:space="preserve"> </w:t>
      </w:r>
      <w:r w:rsidR="002079E1">
        <w:rPr>
          <w:szCs w:val="24"/>
          <w:lang w:val="en-GB"/>
        </w:rPr>
        <w:t xml:space="preserve">had </w:t>
      </w:r>
      <w:r w:rsidR="00DF0928">
        <w:rPr>
          <w:szCs w:val="24"/>
          <w:lang w:val="en-GB"/>
        </w:rPr>
        <w:t>noted that “What happened on January 21</w:t>
      </w:r>
      <w:r w:rsidR="00DF0928" w:rsidRPr="00DF0928">
        <w:rPr>
          <w:szCs w:val="24"/>
          <w:vertAlign w:val="superscript"/>
          <w:lang w:val="en-GB"/>
        </w:rPr>
        <w:t>st</w:t>
      </w:r>
      <w:r w:rsidR="00DF0928">
        <w:rPr>
          <w:szCs w:val="24"/>
          <w:lang w:val="en-GB"/>
        </w:rPr>
        <w:t>, four years ago, should have been investigated and justice should be made. The fact that it is being delayed for so long is a bad sign […] I am surprised that it is taking so long, beca</w:t>
      </w:r>
      <w:r w:rsidR="00B93266">
        <w:rPr>
          <w:szCs w:val="24"/>
          <w:lang w:val="en-GB"/>
        </w:rPr>
        <w:t>use the government changed and the situation is the same.</w:t>
      </w:r>
      <w:r w:rsidR="00DF0928">
        <w:rPr>
          <w:szCs w:val="24"/>
          <w:lang w:val="en-GB"/>
        </w:rPr>
        <w:t>”</w:t>
      </w:r>
      <w:r w:rsidR="00DF0928">
        <w:rPr>
          <w:rStyle w:val="FootnoteReference"/>
          <w:szCs w:val="24"/>
          <w:lang w:val="en-GB"/>
        </w:rPr>
        <w:footnoteReference w:id="10"/>
      </w:r>
    </w:p>
    <w:p w:rsidR="002079E1" w:rsidRDefault="002079E1" w:rsidP="009D410E">
      <w:pPr>
        <w:widowControl w:val="0"/>
        <w:jc w:val="both"/>
        <w:rPr>
          <w:b/>
          <w:szCs w:val="24"/>
          <w:lang w:val="en-GB"/>
        </w:rPr>
      </w:pPr>
    </w:p>
    <w:p w:rsidR="002079E1" w:rsidRDefault="002079E1" w:rsidP="009D410E">
      <w:pPr>
        <w:widowControl w:val="0"/>
        <w:jc w:val="both"/>
        <w:rPr>
          <w:i/>
          <w:szCs w:val="24"/>
          <w:lang w:val="en-GB"/>
        </w:rPr>
      </w:pPr>
      <w:r w:rsidRPr="002079E1">
        <w:rPr>
          <w:i/>
          <w:szCs w:val="24"/>
          <w:lang w:val="en-GB"/>
        </w:rPr>
        <w:t xml:space="preserve">The limited scope </w:t>
      </w:r>
      <w:r w:rsidR="00FD7867">
        <w:rPr>
          <w:i/>
          <w:szCs w:val="24"/>
          <w:lang w:val="en-GB"/>
        </w:rPr>
        <w:t xml:space="preserve">of </w:t>
      </w:r>
      <w:r w:rsidR="0062469A">
        <w:rPr>
          <w:i/>
          <w:szCs w:val="24"/>
          <w:lang w:val="en-GB"/>
        </w:rPr>
        <w:t xml:space="preserve">inquiry of </w:t>
      </w:r>
      <w:r w:rsidRPr="002079E1">
        <w:rPr>
          <w:i/>
          <w:szCs w:val="24"/>
          <w:lang w:val="en-GB"/>
        </w:rPr>
        <w:t xml:space="preserve">the criminal investigation </w:t>
      </w:r>
    </w:p>
    <w:p w:rsidR="002079E1" w:rsidRDefault="002079E1" w:rsidP="009D410E">
      <w:pPr>
        <w:widowControl w:val="0"/>
        <w:jc w:val="both"/>
        <w:rPr>
          <w:i/>
          <w:szCs w:val="24"/>
          <w:lang w:val="en-GB"/>
        </w:rPr>
      </w:pPr>
    </w:p>
    <w:p w:rsidR="002079E1" w:rsidRDefault="002079E1" w:rsidP="009D410E">
      <w:pPr>
        <w:widowControl w:val="0"/>
        <w:jc w:val="both"/>
        <w:rPr>
          <w:szCs w:val="24"/>
          <w:lang w:val="en-GB"/>
        </w:rPr>
      </w:pPr>
      <w:r>
        <w:rPr>
          <w:szCs w:val="24"/>
          <w:lang w:val="en-GB"/>
        </w:rPr>
        <w:t xml:space="preserve">9. </w:t>
      </w:r>
      <w:r w:rsidR="0030008A" w:rsidRPr="00B702CF">
        <w:rPr>
          <w:szCs w:val="24"/>
          <w:lang w:val="en-GB"/>
        </w:rPr>
        <w:t>As of the date of writing</w:t>
      </w:r>
      <w:r w:rsidRPr="00B702CF">
        <w:rPr>
          <w:szCs w:val="24"/>
          <w:lang w:val="en-GB"/>
        </w:rPr>
        <w:t>, the only alleged perp</w:t>
      </w:r>
      <w:r w:rsidR="0030008A" w:rsidRPr="00B702CF">
        <w:rPr>
          <w:szCs w:val="24"/>
          <w:lang w:val="en-GB"/>
        </w:rPr>
        <w:t>etrators that are facing criminal proceedings</w:t>
      </w:r>
      <w:r w:rsidRPr="00B702CF">
        <w:rPr>
          <w:szCs w:val="24"/>
          <w:lang w:val="en-GB"/>
        </w:rPr>
        <w:t xml:space="preserve"> are the two </w:t>
      </w:r>
      <w:r w:rsidR="00207B5A" w:rsidRPr="00B702CF">
        <w:rPr>
          <w:szCs w:val="24"/>
          <w:lang w:val="en-GB"/>
        </w:rPr>
        <w:t>National Guard officers</w:t>
      </w:r>
      <w:r w:rsidRPr="00B702CF">
        <w:rPr>
          <w:szCs w:val="24"/>
          <w:lang w:val="en-GB"/>
        </w:rPr>
        <w:t xml:space="preserve"> who </w:t>
      </w:r>
      <w:r w:rsidR="00B702CF" w:rsidRPr="00B702CF">
        <w:rPr>
          <w:szCs w:val="24"/>
          <w:lang w:val="en-GB"/>
        </w:rPr>
        <w:t>have been found guilty of  shooting and killing two</w:t>
      </w:r>
      <w:r w:rsidRPr="00B702CF">
        <w:rPr>
          <w:szCs w:val="24"/>
          <w:lang w:val="en-GB"/>
        </w:rPr>
        <w:t xml:space="preserve"> of the victims (</w:t>
      </w:r>
      <w:r w:rsidR="00B702CF" w:rsidRPr="00B702CF">
        <w:rPr>
          <w:szCs w:val="24"/>
          <w:lang w:val="en-GB"/>
        </w:rPr>
        <w:t xml:space="preserve">charges against them for the death of the third victim, the late </w:t>
      </w:r>
      <w:proofErr w:type="spellStart"/>
      <w:r w:rsidR="00B702CF" w:rsidRPr="00B702CF">
        <w:rPr>
          <w:szCs w:val="24"/>
          <w:lang w:val="en-GB"/>
        </w:rPr>
        <w:t>Hekuran</w:t>
      </w:r>
      <w:proofErr w:type="spellEnd"/>
      <w:r w:rsidR="00B702CF" w:rsidRPr="00B702CF">
        <w:rPr>
          <w:szCs w:val="24"/>
          <w:lang w:val="en-GB"/>
        </w:rPr>
        <w:t xml:space="preserve"> </w:t>
      </w:r>
      <w:proofErr w:type="spellStart"/>
      <w:r w:rsidR="00B702CF" w:rsidRPr="00B702CF">
        <w:rPr>
          <w:szCs w:val="24"/>
          <w:lang w:val="en-GB"/>
        </w:rPr>
        <w:t>Deda</w:t>
      </w:r>
      <w:proofErr w:type="spellEnd"/>
      <w:r w:rsidR="00B702CF" w:rsidRPr="00B702CF">
        <w:rPr>
          <w:szCs w:val="24"/>
          <w:lang w:val="en-GB"/>
        </w:rPr>
        <w:t xml:space="preserve">, were dropped as </w:t>
      </w:r>
      <w:r w:rsidRPr="00B702CF">
        <w:rPr>
          <w:szCs w:val="24"/>
          <w:lang w:val="en-GB"/>
        </w:rPr>
        <w:t xml:space="preserve">it could not be established that the bullet that killed </w:t>
      </w:r>
      <w:r w:rsidR="00B702CF" w:rsidRPr="00B702CF">
        <w:rPr>
          <w:szCs w:val="24"/>
          <w:lang w:val="en-GB"/>
        </w:rPr>
        <w:t xml:space="preserve">him was fired from </w:t>
      </w:r>
      <w:r w:rsidR="006B0346">
        <w:rPr>
          <w:szCs w:val="24"/>
          <w:lang w:val="en-GB"/>
        </w:rPr>
        <w:t xml:space="preserve">their service firearms, </w:t>
      </w:r>
      <w:r w:rsidR="00B702CF" w:rsidRPr="00B702CF">
        <w:rPr>
          <w:szCs w:val="24"/>
          <w:lang w:val="en-GB"/>
        </w:rPr>
        <w:t>while in relation to the</w:t>
      </w:r>
      <w:r w:rsidRPr="00B702CF">
        <w:rPr>
          <w:szCs w:val="24"/>
          <w:lang w:val="en-GB"/>
        </w:rPr>
        <w:t xml:space="preserve"> fourth victim</w:t>
      </w:r>
      <w:r w:rsidR="00B702CF" w:rsidRPr="00B702CF">
        <w:rPr>
          <w:szCs w:val="24"/>
          <w:lang w:val="en-GB"/>
        </w:rPr>
        <w:t xml:space="preserve"> </w:t>
      </w:r>
      <w:proofErr w:type="spellStart"/>
      <w:r w:rsidR="00497BDD" w:rsidRPr="00B702CF">
        <w:rPr>
          <w:szCs w:val="24"/>
          <w:lang w:val="en-GB"/>
        </w:rPr>
        <w:t>Aleks</w:t>
      </w:r>
      <w:proofErr w:type="spellEnd"/>
      <w:r w:rsidR="00497BDD" w:rsidRPr="00B702CF">
        <w:rPr>
          <w:szCs w:val="24"/>
          <w:lang w:val="en-GB"/>
        </w:rPr>
        <w:t xml:space="preserve"> </w:t>
      </w:r>
      <w:proofErr w:type="spellStart"/>
      <w:r w:rsidR="0086381F" w:rsidRPr="00B702CF">
        <w:rPr>
          <w:szCs w:val="24"/>
          <w:lang w:val="en-GB"/>
        </w:rPr>
        <w:t>Nika</w:t>
      </w:r>
      <w:proofErr w:type="spellEnd"/>
      <w:r w:rsidR="00B702CF" w:rsidRPr="00B702CF">
        <w:rPr>
          <w:szCs w:val="24"/>
          <w:lang w:val="en-GB"/>
        </w:rPr>
        <w:t>, the investigation did not manage to find the bullet that killed him</w:t>
      </w:r>
      <w:r w:rsidR="006B0346">
        <w:rPr>
          <w:szCs w:val="24"/>
          <w:lang w:val="en-GB"/>
        </w:rPr>
        <w:t xml:space="preserve"> and as a result no charges were preferred against any individual</w:t>
      </w:r>
      <w:r w:rsidR="00B702CF" w:rsidRPr="00B702CF">
        <w:rPr>
          <w:szCs w:val="24"/>
          <w:lang w:val="en-GB"/>
        </w:rPr>
        <w:t>)</w:t>
      </w:r>
      <w:r w:rsidR="00B702CF">
        <w:rPr>
          <w:szCs w:val="24"/>
          <w:lang w:val="en-GB"/>
        </w:rPr>
        <w:t>.</w:t>
      </w:r>
      <w:r>
        <w:rPr>
          <w:szCs w:val="24"/>
          <w:lang w:val="en-GB"/>
        </w:rPr>
        <w:t xml:space="preserve"> </w:t>
      </w:r>
      <w:r w:rsidR="00754799">
        <w:rPr>
          <w:szCs w:val="24"/>
          <w:lang w:val="en-GB"/>
        </w:rPr>
        <w:t xml:space="preserve">Previously, another </w:t>
      </w:r>
      <w:r w:rsidR="001C07E7">
        <w:rPr>
          <w:szCs w:val="24"/>
          <w:lang w:val="en-GB"/>
        </w:rPr>
        <w:t>defendant</w:t>
      </w:r>
      <w:r w:rsidR="00754799">
        <w:rPr>
          <w:szCs w:val="24"/>
          <w:lang w:val="en-GB"/>
        </w:rPr>
        <w:t xml:space="preserve"> (an IT expert) accused of deleting crucial footage from the servers was found not guilty</w:t>
      </w:r>
      <w:r w:rsidR="001C07E7">
        <w:rPr>
          <w:szCs w:val="24"/>
          <w:lang w:val="en-GB"/>
        </w:rPr>
        <w:t xml:space="preserve"> – without however the authorities reopening the investigation in order to identify the identity of the person(s) that deleted the footage</w:t>
      </w:r>
      <w:r w:rsidR="00754799">
        <w:rPr>
          <w:szCs w:val="24"/>
          <w:lang w:val="en-GB"/>
        </w:rPr>
        <w:t xml:space="preserve">. </w:t>
      </w:r>
      <w:r w:rsidR="001C07E7">
        <w:rPr>
          <w:szCs w:val="24"/>
          <w:lang w:val="en-GB"/>
        </w:rPr>
        <w:t>I</w:t>
      </w:r>
      <w:r w:rsidR="00754799">
        <w:rPr>
          <w:szCs w:val="24"/>
          <w:lang w:val="en-GB"/>
        </w:rPr>
        <w:t>t</w:t>
      </w:r>
      <w:r w:rsidR="001C07E7">
        <w:rPr>
          <w:szCs w:val="24"/>
          <w:lang w:val="en-GB"/>
        </w:rPr>
        <w:t xml:space="preserve"> also</w:t>
      </w:r>
      <w:r w:rsidR="00754799">
        <w:rPr>
          <w:szCs w:val="24"/>
          <w:lang w:val="en-GB"/>
        </w:rPr>
        <w:t xml:space="preserve"> appears that </w:t>
      </w:r>
      <w:r w:rsidR="00840559">
        <w:rPr>
          <w:szCs w:val="24"/>
          <w:lang w:val="en-GB"/>
        </w:rPr>
        <w:t xml:space="preserve">the investigating </w:t>
      </w:r>
      <w:r w:rsidR="00840559">
        <w:rPr>
          <w:szCs w:val="24"/>
          <w:lang w:val="en-GB"/>
        </w:rPr>
        <w:lastRenderedPageBreak/>
        <w:t>authorities did not examine whether higher ranking police / state officials could al</w:t>
      </w:r>
      <w:r w:rsidR="00C93ADC">
        <w:rPr>
          <w:szCs w:val="24"/>
          <w:lang w:val="en-GB"/>
        </w:rPr>
        <w:t>so be implicated in the events</w:t>
      </w:r>
      <w:r w:rsidR="00840559">
        <w:rPr>
          <w:szCs w:val="24"/>
          <w:lang w:val="en-GB"/>
        </w:rPr>
        <w:t>. It should be recalled in</w:t>
      </w:r>
      <w:r w:rsidR="00982FB2">
        <w:rPr>
          <w:szCs w:val="24"/>
          <w:lang w:val="en-GB"/>
        </w:rPr>
        <w:t xml:space="preserve"> this respect that at the time many allegations had been made to the effect that the order to fire on the demonstrators had originated in the highe</w:t>
      </w:r>
      <w:r w:rsidR="00A96E6A">
        <w:rPr>
          <w:szCs w:val="24"/>
          <w:lang w:val="en-GB"/>
        </w:rPr>
        <w:t>r levels of the Government; indeed,</w:t>
      </w:r>
      <w:r w:rsidR="00982FB2">
        <w:rPr>
          <w:szCs w:val="24"/>
          <w:lang w:val="en-GB"/>
        </w:rPr>
        <w:t xml:space="preserve"> the then PM </w:t>
      </w:r>
      <w:proofErr w:type="spellStart"/>
      <w:r w:rsidR="00982FB2">
        <w:rPr>
          <w:szCs w:val="24"/>
          <w:lang w:val="en-GB"/>
        </w:rPr>
        <w:t>Sali</w:t>
      </w:r>
      <w:proofErr w:type="spellEnd"/>
      <w:r w:rsidR="00982FB2">
        <w:rPr>
          <w:szCs w:val="24"/>
          <w:lang w:val="en-GB"/>
        </w:rPr>
        <w:t xml:space="preserve"> </w:t>
      </w:r>
      <w:proofErr w:type="spellStart"/>
      <w:r w:rsidR="00982FB2">
        <w:rPr>
          <w:szCs w:val="24"/>
          <w:lang w:val="en-GB"/>
        </w:rPr>
        <w:t>Berisha</w:t>
      </w:r>
      <w:proofErr w:type="spellEnd"/>
      <w:r w:rsidR="00982FB2">
        <w:rPr>
          <w:szCs w:val="24"/>
          <w:lang w:val="en-GB"/>
        </w:rPr>
        <w:t xml:space="preserve"> </w:t>
      </w:r>
      <w:r w:rsidR="00A96E6A">
        <w:rPr>
          <w:szCs w:val="24"/>
          <w:lang w:val="en-GB"/>
        </w:rPr>
        <w:t xml:space="preserve">had accused </w:t>
      </w:r>
      <w:r w:rsidR="00982FB2">
        <w:rPr>
          <w:szCs w:val="24"/>
          <w:lang w:val="en-GB"/>
        </w:rPr>
        <w:t>the Socialist Party that was</w:t>
      </w:r>
      <w:r w:rsidR="00A96E6A">
        <w:rPr>
          <w:szCs w:val="24"/>
          <w:lang w:val="en-GB"/>
        </w:rPr>
        <w:t xml:space="preserve"> then</w:t>
      </w:r>
      <w:r w:rsidR="00982FB2">
        <w:rPr>
          <w:szCs w:val="24"/>
          <w:lang w:val="en-GB"/>
        </w:rPr>
        <w:t xml:space="preserve"> in </w:t>
      </w:r>
      <w:r w:rsidR="003A49D3">
        <w:rPr>
          <w:szCs w:val="24"/>
          <w:lang w:val="en-GB"/>
        </w:rPr>
        <w:t>op</w:t>
      </w:r>
      <w:r w:rsidR="00982FB2">
        <w:rPr>
          <w:szCs w:val="24"/>
          <w:lang w:val="en-GB"/>
        </w:rPr>
        <w:t>position as using the dem</w:t>
      </w:r>
      <w:r w:rsidR="00302D70">
        <w:rPr>
          <w:szCs w:val="24"/>
          <w:lang w:val="en-GB"/>
        </w:rPr>
        <w:t>onstration in order to stage a</w:t>
      </w:r>
      <w:r w:rsidR="00982FB2">
        <w:rPr>
          <w:szCs w:val="24"/>
          <w:lang w:val="en-GB"/>
        </w:rPr>
        <w:t xml:space="preserve"> coup; moreover, the then PM </w:t>
      </w:r>
      <w:r w:rsidR="00302D70">
        <w:rPr>
          <w:szCs w:val="24"/>
          <w:lang w:val="en-GB"/>
        </w:rPr>
        <w:t>also</w:t>
      </w:r>
      <w:r w:rsidR="00982FB2">
        <w:rPr>
          <w:szCs w:val="24"/>
          <w:lang w:val="en-GB"/>
        </w:rPr>
        <w:t xml:space="preserve"> </w:t>
      </w:r>
      <w:r w:rsidR="00CB7DB7">
        <w:rPr>
          <w:szCs w:val="24"/>
          <w:lang w:val="en-GB"/>
        </w:rPr>
        <w:t xml:space="preserve">accused the Prosecutor General of </w:t>
      </w:r>
      <w:r w:rsidR="003A49D3">
        <w:rPr>
          <w:szCs w:val="24"/>
          <w:lang w:val="en-GB"/>
        </w:rPr>
        <w:t xml:space="preserve">colluding </w:t>
      </w:r>
      <w:r w:rsidR="00CB7DB7">
        <w:rPr>
          <w:szCs w:val="24"/>
          <w:lang w:val="en-GB"/>
        </w:rPr>
        <w:t>with the opposition</w:t>
      </w:r>
      <w:r w:rsidR="00302D70">
        <w:rPr>
          <w:szCs w:val="24"/>
          <w:lang w:val="en-GB"/>
        </w:rPr>
        <w:t xml:space="preserve"> </w:t>
      </w:r>
      <w:r w:rsidR="003A49D3">
        <w:rPr>
          <w:szCs w:val="24"/>
          <w:lang w:val="en-GB"/>
        </w:rPr>
        <w:t xml:space="preserve">in staging the coup </w:t>
      </w:r>
      <w:r w:rsidR="00302D70">
        <w:rPr>
          <w:szCs w:val="24"/>
          <w:lang w:val="en-GB"/>
        </w:rPr>
        <w:t xml:space="preserve">while he also called </w:t>
      </w:r>
      <w:r w:rsidR="00AA12DE">
        <w:rPr>
          <w:szCs w:val="24"/>
          <w:lang w:val="en-GB"/>
        </w:rPr>
        <w:t xml:space="preserve">upon </w:t>
      </w:r>
      <w:r w:rsidR="00302D70">
        <w:rPr>
          <w:szCs w:val="24"/>
          <w:lang w:val="en-GB"/>
        </w:rPr>
        <w:t xml:space="preserve">the police to not execute the Prosecutor General’s order to arrest </w:t>
      </w:r>
      <w:r w:rsidR="003A49D3">
        <w:rPr>
          <w:szCs w:val="24"/>
          <w:lang w:val="en-GB"/>
        </w:rPr>
        <w:t xml:space="preserve">six National Guard officers that were </w:t>
      </w:r>
      <w:r w:rsidR="00A96E6A">
        <w:rPr>
          <w:szCs w:val="24"/>
          <w:lang w:val="en-GB"/>
        </w:rPr>
        <w:t>allegedly implicated</w:t>
      </w:r>
      <w:r w:rsidR="003A49D3">
        <w:rPr>
          <w:szCs w:val="24"/>
          <w:lang w:val="en-GB"/>
        </w:rPr>
        <w:t xml:space="preserve"> in the shootings</w:t>
      </w:r>
      <w:r w:rsidR="00CB7DB7">
        <w:rPr>
          <w:szCs w:val="24"/>
          <w:lang w:val="en-GB"/>
        </w:rPr>
        <w:t>.</w:t>
      </w:r>
      <w:r w:rsidR="00CB7DB7">
        <w:rPr>
          <w:rStyle w:val="FootnoteReference"/>
          <w:szCs w:val="24"/>
          <w:lang w:val="en-GB"/>
        </w:rPr>
        <w:footnoteReference w:id="11"/>
      </w:r>
      <w:r w:rsidR="003A49D3">
        <w:rPr>
          <w:szCs w:val="24"/>
          <w:lang w:val="en-GB"/>
        </w:rPr>
        <w:t xml:space="preserve"> </w:t>
      </w:r>
      <w:r w:rsidR="0026772D">
        <w:rPr>
          <w:szCs w:val="24"/>
          <w:lang w:val="en-GB"/>
        </w:rPr>
        <w:t>Two years later, the Council of Europe’s Commission for Human Rights noted that a number of officials responsible for the acts of violence that took place on 21 January 2011 had not been brought before justice.</w:t>
      </w:r>
      <w:r w:rsidR="0026772D">
        <w:rPr>
          <w:rStyle w:val="FootnoteReference"/>
          <w:szCs w:val="24"/>
          <w:lang w:val="en-GB"/>
        </w:rPr>
        <w:footnoteReference w:id="12"/>
      </w:r>
    </w:p>
    <w:p w:rsidR="00FD7867" w:rsidRDefault="00FD7867" w:rsidP="009D410E">
      <w:pPr>
        <w:widowControl w:val="0"/>
        <w:jc w:val="both"/>
        <w:rPr>
          <w:szCs w:val="24"/>
          <w:lang w:val="en-GB"/>
        </w:rPr>
      </w:pPr>
    </w:p>
    <w:p w:rsidR="00FD7867" w:rsidRDefault="00FD7867" w:rsidP="009D410E">
      <w:pPr>
        <w:widowControl w:val="0"/>
        <w:jc w:val="both"/>
        <w:rPr>
          <w:szCs w:val="24"/>
          <w:lang w:val="en-GB"/>
        </w:rPr>
      </w:pPr>
      <w:r>
        <w:rPr>
          <w:szCs w:val="24"/>
          <w:lang w:val="en-GB"/>
        </w:rPr>
        <w:t xml:space="preserve">10. </w:t>
      </w:r>
      <w:r w:rsidR="00FF45F1">
        <w:rPr>
          <w:szCs w:val="24"/>
          <w:lang w:val="en-GB"/>
        </w:rPr>
        <w:t xml:space="preserve">On a positive note, </w:t>
      </w:r>
      <w:r>
        <w:rPr>
          <w:szCs w:val="24"/>
          <w:lang w:val="en-GB"/>
        </w:rPr>
        <w:t>Res Publica</w:t>
      </w:r>
      <w:r w:rsidR="00FF45F1">
        <w:rPr>
          <w:szCs w:val="24"/>
          <w:lang w:val="en-GB"/>
        </w:rPr>
        <w:t xml:space="preserve"> welcomes the </w:t>
      </w:r>
      <w:r w:rsidR="00C93ADC">
        <w:rPr>
          <w:szCs w:val="24"/>
          <w:lang w:val="en-GB"/>
        </w:rPr>
        <w:t xml:space="preserve">recent </w:t>
      </w:r>
      <w:r w:rsidR="00FF45F1">
        <w:rPr>
          <w:szCs w:val="24"/>
          <w:lang w:val="en-GB"/>
        </w:rPr>
        <w:t>Genera</w:t>
      </w:r>
      <w:r w:rsidR="00C93ADC">
        <w:rPr>
          <w:szCs w:val="24"/>
          <w:lang w:val="en-GB"/>
        </w:rPr>
        <w:t>l</w:t>
      </w:r>
      <w:r w:rsidR="00FF45F1">
        <w:rPr>
          <w:szCs w:val="24"/>
          <w:lang w:val="en-GB"/>
        </w:rPr>
        <w:t xml:space="preserve"> Prosecutor’s decision to launch a criminal</w:t>
      </w:r>
      <w:r>
        <w:rPr>
          <w:szCs w:val="24"/>
          <w:lang w:val="en-GB"/>
        </w:rPr>
        <w:t xml:space="preserve"> investigation as to the criminal responsibility of those state officials who shielded the six Nati</w:t>
      </w:r>
      <w:r w:rsidR="00C93ADC">
        <w:rPr>
          <w:szCs w:val="24"/>
          <w:lang w:val="en-GB"/>
        </w:rPr>
        <w:t>onal Guard officials</w:t>
      </w:r>
      <w:r w:rsidR="00FF45F1">
        <w:rPr>
          <w:szCs w:val="24"/>
          <w:lang w:val="en-GB"/>
        </w:rPr>
        <w:t xml:space="preserve"> from arrest. </w:t>
      </w:r>
      <w:r w:rsidR="00207B5A">
        <w:rPr>
          <w:szCs w:val="24"/>
          <w:lang w:val="en-GB"/>
        </w:rPr>
        <w:t>Res Publica has no further information as to the scope or the</w:t>
      </w:r>
      <w:r w:rsidR="00A96E6A">
        <w:rPr>
          <w:szCs w:val="24"/>
          <w:lang w:val="en-GB"/>
        </w:rPr>
        <w:t xml:space="preserve"> outcome of this investigation</w:t>
      </w:r>
      <w:r w:rsidR="00207B5A">
        <w:rPr>
          <w:szCs w:val="24"/>
          <w:lang w:val="en-GB"/>
        </w:rPr>
        <w:t xml:space="preserve">. </w:t>
      </w:r>
    </w:p>
    <w:p w:rsidR="00FD7867" w:rsidRDefault="00FD7867" w:rsidP="009D410E">
      <w:pPr>
        <w:widowControl w:val="0"/>
        <w:jc w:val="both"/>
        <w:rPr>
          <w:szCs w:val="24"/>
          <w:lang w:val="en-GB"/>
        </w:rPr>
      </w:pPr>
    </w:p>
    <w:p w:rsidR="00FF45F1" w:rsidRDefault="001C07E7" w:rsidP="009D410E">
      <w:pPr>
        <w:widowControl w:val="0"/>
        <w:jc w:val="both"/>
        <w:rPr>
          <w:i/>
          <w:szCs w:val="24"/>
          <w:lang w:val="en-GB"/>
        </w:rPr>
      </w:pPr>
      <w:r>
        <w:rPr>
          <w:i/>
          <w:szCs w:val="24"/>
          <w:lang w:val="en-GB"/>
        </w:rPr>
        <w:t xml:space="preserve">The </w:t>
      </w:r>
      <w:r w:rsidR="00D36356">
        <w:rPr>
          <w:i/>
          <w:szCs w:val="24"/>
          <w:lang w:val="en-GB"/>
        </w:rPr>
        <w:t xml:space="preserve">imposition of lenient </w:t>
      </w:r>
      <w:r>
        <w:rPr>
          <w:i/>
          <w:szCs w:val="24"/>
          <w:lang w:val="en-GB"/>
        </w:rPr>
        <w:t xml:space="preserve">criminal sanctions </w:t>
      </w:r>
    </w:p>
    <w:p w:rsidR="001C07E7" w:rsidRDefault="001C07E7" w:rsidP="009D410E">
      <w:pPr>
        <w:widowControl w:val="0"/>
        <w:jc w:val="both"/>
        <w:rPr>
          <w:i/>
          <w:szCs w:val="24"/>
          <w:lang w:val="en-GB"/>
        </w:rPr>
      </w:pPr>
    </w:p>
    <w:p w:rsidR="00207B5A" w:rsidRDefault="001C07E7" w:rsidP="009D410E">
      <w:pPr>
        <w:widowControl w:val="0"/>
        <w:jc w:val="both"/>
        <w:rPr>
          <w:szCs w:val="24"/>
          <w:lang w:val="en-GB"/>
        </w:rPr>
      </w:pPr>
      <w:r>
        <w:rPr>
          <w:szCs w:val="24"/>
          <w:lang w:val="en-GB"/>
        </w:rPr>
        <w:t xml:space="preserve">11. </w:t>
      </w:r>
      <w:r w:rsidR="00207B5A">
        <w:rPr>
          <w:szCs w:val="24"/>
          <w:lang w:val="en-GB"/>
        </w:rPr>
        <w:t xml:space="preserve">To date, only two National Guard officers have been found guilty in relation to the violent events of 21 January 2011. These are </w:t>
      </w:r>
      <w:proofErr w:type="spellStart"/>
      <w:r w:rsidR="00F52FEE">
        <w:rPr>
          <w:szCs w:val="24"/>
          <w:lang w:val="en-GB"/>
        </w:rPr>
        <w:t>Agim</w:t>
      </w:r>
      <w:proofErr w:type="spellEnd"/>
      <w:r w:rsidR="00F52FEE">
        <w:rPr>
          <w:szCs w:val="24"/>
          <w:lang w:val="en-GB"/>
        </w:rPr>
        <w:t xml:space="preserve"> </w:t>
      </w:r>
      <w:proofErr w:type="spellStart"/>
      <w:r w:rsidR="00F52FEE">
        <w:rPr>
          <w:szCs w:val="24"/>
          <w:lang w:val="en-GB"/>
        </w:rPr>
        <w:t>Llupo</w:t>
      </w:r>
      <w:proofErr w:type="spellEnd"/>
      <w:r w:rsidR="00207B5A">
        <w:rPr>
          <w:szCs w:val="24"/>
          <w:lang w:val="en-GB"/>
        </w:rPr>
        <w:t xml:space="preserve"> and </w:t>
      </w:r>
      <w:proofErr w:type="spellStart"/>
      <w:r w:rsidR="00F52FEE">
        <w:rPr>
          <w:szCs w:val="24"/>
          <w:lang w:val="en-GB"/>
        </w:rPr>
        <w:t>Ndrea</w:t>
      </w:r>
      <w:proofErr w:type="spellEnd"/>
      <w:r w:rsidR="00F52FEE">
        <w:rPr>
          <w:szCs w:val="24"/>
          <w:lang w:val="en-GB"/>
        </w:rPr>
        <w:t xml:space="preserve"> </w:t>
      </w:r>
      <w:proofErr w:type="spellStart"/>
      <w:r w:rsidR="00F52FEE">
        <w:rPr>
          <w:szCs w:val="24"/>
          <w:lang w:val="en-GB"/>
        </w:rPr>
        <w:t>Prendi</w:t>
      </w:r>
      <w:proofErr w:type="spellEnd"/>
      <w:r w:rsidR="00207B5A">
        <w:rPr>
          <w:szCs w:val="24"/>
          <w:lang w:val="en-GB"/>
        </w:rPr>
        <w:t xml:space="preserve">, sentenced to </w:t>
      </w:r>
      <w:r w:rsidR="00F52FEE">
        <w:rPr>
          <w:szCs w:val="24"/>
          <w:lang w:val="en-GB"/>
        </w:rPr>
        <w:t>three</w:t>
      </w:r>
      <w:r w:rsidR="00207B5A">
        <w:rPr>
          <w:szCs w:val="24"/>
          <w:lang w:val="en-GB"/>
        </w:rPr>
        <w:t xml:space="preserve"> and </w:t>
      </w:r>
      <w:r w:rsidR="00F52FEE">
        <w:rPr>
          <w:szCs w:val="24"/>
          <w:lang w:val="en-GB"/>
        </w:rPr>
        <w:t xml:space="preserve">one </w:t>
      </w:r>
      <w:r w:rsidR="00207B5A">
        <w:rPr>
          <w:szCs w:val="24"/>
          <w:lang w:val="en-GB"/>
        </w:rPr>
        <w:t xml:space="preserve">years in prison </w:t>
      </w:r>
      <w:r w:rsidR="00F52FEE">
        <w:rPr>
          <w:szCs w:val="24"/>
          <w:lang w:val="en-GB"/>
        </w:rPr>
        <w:t xml:space="preserve">for the deaths of </w:t>
      </w:r>
      <w:proofErr w:type="spellStart"/>
      <w:r w:rsidR="00F52FEE">
        <w:rPr>
          <w:szCs w:val="24"/>
          <w:lang w:val="en-GB"/>
        </w:rPr>
        <w:t>Ziver</w:t>
      </w:r>
      <w:proofErr w:type="spellEnd"/>
      <w:r w:rsidR="00F52FEE">
        <w:rPr>
          <w:szCs w:val="24"/>
          <w:lang w:val="en-GB"/>
        </w:rPr>
        <w:t xml:space="preserve"> </w:t>
      </w:r>
      <w:proofErr w:type="spellStart"/>
      <w:r w:rsidR="00F52FEE">
        <w:rPr>
          <w:szCs w:val="24"/>
          <w:lang w:val="en-GB"/>
        </w:rPr>
        <w:t>Veizi</w:t>
      </w:r>
      <w:proofErr w:type="spellEnd"/>
      <w:r w:rsidR="00F52FEE">
        <w:rPr>
          <w:szCs w:val="24"/>
          <w:lang w:val="en-GB"/>
        </w:rPr>
        <w:t xml:space="preserve"> and </w:t>
      </w:r>
      <w:proofErr w:type="spellStart"/>
      <w:r w:rsidR="00F52FEE">
        <w:rPr>
          <w:szCs w:val="24"/>
          <w:lang w:val="en-GB"/>
        </w:rPr>
        <w:t>Faik</w:t>
      </w:r>
      <w:proofErr w:type="spellEnd"/>
      <w:r w:rsidR="00F52FEE">
        <w:rPr>
          <w:szCs w:val="24"/>
          <w:lang w:val="en-GB"/>
        </w:rPr>
        <w:t xml:space="preserve"> </w:t>
      </w:r>
      <w:proofErr w:type="spellStart"/>
      <w:r w:rsidR="00F52FEE">
        <w:rPr>
          <w:szCs w:val="24"/>
          <w:lang w:val="en-GB"/>
        </w:rPr>
        <w:t>Myrtaj</w:t>
      </w:r>
      <w:proofErr w:type="spellEnd"/>
      <w:r w:rsidR="00F52FEE">
        <w:rPr>
          <w:szCs w:val="24"/>
          <w:lang w:val="en-GB"/>
        </w:rPr>
        <w:t xml:space="preserve"> </w:t>
      </w:r>
      <w:r w:rsidR="00207B5A">
        <w:rPr>
          <w:szCs w:val="24"/>
          <w:lang w:val="en-GB"/>
        </w:rPr>
        <w:t>respectively. Nevertheless, none of them are actu</w:t>
      </w:r>
      <w:r w:rsidR="006B0346">
        <w:rPr>
          <w:szCs w:val="24"/>
          <w:lang w:val="en-GB"/>
        </w:rPr>
        <w:t>ally serving their sentences as</w:t>
      </w:r>
      <w:r w:rsidR="00F52FEE" w:rsidRPr="00F52FEE">
        <w:rPr>
          <w:szCs w:val="24"/>
          <w:lang w:val="en-GB"/>
        </w:rPr>
        <w:t xml:space="preserve"> the time they were on remand corresponds to the length of prison terms they were sentenced</w:t>
      </w:r>
      <w:r w:rsidR="006B0346">
        <w:rPr>
          <w:szCs w:val="24"/>
          <w:lang w:val="en-GB"/>
        </w:rPr>
        <w:t xml:space="preserve"> to</w:t>
      </w:r>
      <w:r w:rsidR="00207B5A">
        <w:rPr>
          <w:szCs w:val="24"/>
          <w:lang w:val="en-GB"/>
        </w:rPr>
        <w:t xml:space="preserve">. </w:t>
      </w:r>
      <w:r w:rsidR="001A2384">
        <w:rPr>
          <w:szCs w:val="24"/>
          <w:lang w:val="en-GB"/>
        </w:rPr>
        <w:t>Their case is currently pending before the Supreme Court which has the power to reclassify the offence</w:t>
      </w:r>
      <w:r w:rsidR="00C93ADC">
        <w:rPr>
          <w:szCs w:val="24"/>
          <w:lang w:val="en-GB"/>
        </w:rPr>
        <w:t xml:space="preserve"> and impose heavier sanctions</w:t>
      </w:r>
      <w:r w:rsidR="001A2384">
        <w:rPr>
          <w:szCs w:val="24"/>
          <w:lang w:val="en-GB"/>
        </w:rPr>
        <w:t xml:space="preserve">. </w:t>
      </w:r>
    </w:p>
    <w:p w:rsidR="00F52FEE" w:rsidRDefault="00F52FEE" w:rsidP="009D410E">
      <w:pPr>
        <w:widowControl w:val="0"/>
        <w:jc w:val="both"/>
        <w:rPr>
          <w:szCs w:val="24"/>
          <w:lang w:val="en-GB"/>
        </w:rPr>
      </w:pPr>
    </w:p>
    <w:p w:rsidR="00FD7867" w:rsidRDefault="005273D8" w:rsidP="009D410E">
      <w:pPr>
        <w:widowControl w:val="0"/>
        <w:jc w:val="both"/>
        <w:rPr>
          <w:b/>
          <w:szCs w:val="24"/>
          <w:lang w:val="en-GB"/>
        </w:rPr>
      </w:pPr>
      <w:r w:rsidRPr="005273D8">
        <w:rPr>
          <w:b/>
          <w:szCs w:val="24"/>
          <w:lang w:val="en-GB"/>
        </w:rPr>
        <w:t>III. FAILURE BY THE STATE PARTY TO REACH AN OUT-OF-COURT SETTLEMENT WITH THE VICTIMS’ FAMILIES</w:t>
      </w:r>
    </w:p>
    <w:p w:rsidR="005273D8" w:rsidRDefault="005273D8" w:rsidP="009D410E">
      <w:pPr>
        <w:widowControl w:val="0"/>
        <w:jc w:val="both"/>
        <w:rPr>
          <w:b/>
          <w:szCs w:val="24"/>
          <w:lang w:val="en-GB"/>
        </w:rPr>
      </w:pPr>
    </w:p>
    <w:p w:rsidR="005273D8" w:rsidRDefault="005273D8" w:rsidP="009D410E">
      <w:pPr>
        <w:widowControl w:val="0"/>
        <w:jc w:val="both"/>
        <w:rPr>
          <w:szCs w:val="24"/>
          <w:lang w:val="en-GB"/>
        </w:rPr>
      </w:pPr>
      <w:r w:rsidRPr="005273D8">
        <w:rPr>
          <w:szCs w:val="24"/>
          <w:lang w:val="en-GB"/>
        </w:rPr>
        <w:t xml:space="preserve">12. </w:t>
      </w:r>
      <w:r w:rsidR="00D36356">
        <w:rPr>
          <w:szCs w:val="24"/>
          <w:lang w:val="en-GB"/>
        </w:rPr>
        <w:t xml:space="preserve">In early </w:t>
      </w:r>
      <w:r w:rsidR="00F52FEE">
        <w:rPr>
          <w:szCs w:val="24"/>
          <w:lang w:val="en-GB"/>
        </w:rPr>
        <w:t>2014</w:t>
      </w:r>
      <w:r w:rsidR="00D36356">
        <w:rPr>
          <w:szCs w:val="24"/>
          <w:lang w:val="en-GB"/>
        </w:rPr>
        <w:t xml:space="preserve"> and on the strength of the various statements by the then PM</w:t>
      </w:r>
      <w:r w:rsidR="00771ABB">
        <w:rPr>
          <w:szCs w:val="24"/>
          <w:lang w:val="en-GB"/>
        </w:rPr>
        <w:t xml:space="preserve"> Edi Rama</w:t>
      </w:r>
      <w:r w:rsidR="00D36356">
        <w:rPr>
          <w:szCs w:val="24"/>
          <w:lang w:val="en-GB"/>
        </w:rPr>
        <w:t xml:space="preserve"> in which he </w:t>
      </w:r>
      <w:r w:rsidR="00771ABB">
        <w:rPr>
          <w:szCs w:val="24"/>
          <w:lang w:val="en-GB"/>
        </w:rPr>
        <w:t xml:space="preserve">had </w:t>
      </w:r>
      <w:r w:rsidR="00D36356">
        <w:rPr>
          <w:szCs w:val="24"/>
          <w:lang w:val="en-GB"/>
        </w:rPr>
        <w:t>characterised the death of the four victims as a state-</w:t>
      </w:r>
      <w:r w:rsidR="00FF3DD6">
        <w:rPr>
          <w:szCs w:val="24"/>
          <w:lang w:val="en-GB"/>
        </w:rPr>
        <w:t>perpetrated</w:t>
      </w:r>
      <w:r w:rsidR="00D36356">
        <w:rPr>
          <w:szCs w:val="24"/>
          <w:lang w:val="en-GB"/>
        </w:rPr>
        <w:t xml:space="preserve"> crime, Res </w:t>
      </w:r>
      <w:proofErr w:type="spellStart"/>
      <w:r w:rsidR="00D36356">
        <w:rPr>
          <w:szCs w:val="24"/>
          <w:lang w:val="en-GB"/>
        </w:rPr>
        <w:t>Publica</w:t>
      </w:r>
      <w:proofErr w:type="spellEnd"/>
      <w:r w:rsidR="00D36356">
        <w:rPr>
          <w:szCs w:val="24"/>
          <w:lang w:val="en-GB"/>
        </w:rPr>
        <w:t xml:space="preserve"> approached the PM’s Office with a view to reaching an out-of-court settlement</w:t>
      </w:r>
      <w:r w:rsidR="000A10B6">
        <w:rPr>
          <w:szCs w:val="24"/>
          <w:lang w:val="en-GB"/>
        </w:rPr>
        <w:t xml:space="preserve"> regarding the three </w:t>
      </w:r>
      <w:r w:rsidR="00217FF4">
        <w:rPr>
          <w:szCs w:val="24"/>
          <w:lang w:val="en-GB"/>
        </w:rPr>
        <w:t xml:space="preserve">families it represented </w:t>
      </w:r>
      <w:r w:rsidR="000A10B6">
        <w:rPr>
          <w:szCs w:val="24"/>
          <w:lang w:val="en-GB"/>
        </w:rPr>
        <w:t>(</w:t>
      </w:r>
      <w:r w:rsidR="00217FF4">
        <w:rPr>
          <w:szCs w:val="24"/>
          <w:lang w:val="en-GB"/>
        </w:rPr>
        <w:t xml:space="preserve">the families of the late </w:t>
      </w:r>
      <w:proofErr w:type="spellStart"/>
      <w:r w:rsidR="00217FF4">
        <w:rPr>
          <w:szCs w:val="24"/>
        </w:rPr>
        <w:t>Faik</w:t>
      </w:r>
      <w:proofErr w:type="spellEnd"/>
      <w:r w:rsidR="00217FF4">
        <w:rPr>
          <w:szCs w:val="24"/>
        </w:rPr>
        <w:t xml:space="preserve"> </w:t>
      </w:r>
      <w:proofErr w:type="spellStart"/>
      <w:r w:rsidR="00217FF4">
        <w:rPr>
          <w:szCs w:val="24"/>
        </w:rPr>
        <w:t>Myrtaj</w:t>
      </w:r>
      <w:proofErr w:type="spellEnd"/>
      <w:r w:rsidR="00217FF4">
        <w:rPr>
          <w:szCs w:val="24"/>
        </w:rPr>
        <w:t xml:space="preserve">, </w:t>
      </w:r>
      <w:proofErr w:type="spellStart"/>
      <w:r w:rsidR="00217FF4">
        <w:rPr>
          <w:szCs w:val="24"/>
        </w:rPr>
        <w:t>Ziver</w:t>
      </w:r>
      <w:proofErr w:type="spellEnd"/>
      <w:r w:rsidR="00217FF4">
        <w:rPr>
          <w:szCs w:val="24"/>
        </w:rPr>
        <w:t xml:space="preserve"> </w:t>
      </w:r>
      <w:proofErr w:type="spellStart"/>
      <w:r w:rsidR="00217FF4">
        <w:rPr>
          <w:szCs w:val="24"/>
        </w:rPr>
        <w:t>Veizi</w:t>
      </w:r>
      <w:proofErr w:type="spellEnd"/>
      <w:r w:rsidR="00217FF4">
        <w:rPr>
          <w:szCs w:val="24"/>
        </w:rPr>
        <w:t xml:space="preserve"> and</w:t>
      </w:r>
      <w:r w:rsidR="00217FF4" w:rsidRPr="00217FF4">
        <w:rPr>
          <w:szCs w:val="24"/>
        </w:rPr>
        <w:t xml:space="preserve"> </w:t>
      </w:r>
      <w:proofErr w:type="spellStart"/>
      <w:r w:rsidR="00217FF4" w:rsidRPr="00217FF4">
        <w:rPr>
          <w:szCs w:val="24"/>
        </w:rPr>
        <w:t>Hekuran</w:t>
      </w:r>
      <w:proofErr w:type="spellEnd"/>
      <w:r w:rsidR="00217FF4" w:rsidRPr="00217FF4">
        <w:rPr>
          <w:szCs w:val="24"/>
        </w:rPr>
        <w:t xml:space="preserve"> </w:t>
      </w:r>
      <w:proofErr w:type="spellStart"/>
      <w:r w:rsidR="00217FF4" w:rsidRPr="00217FF4">
        <w:rPr>
          <w:szCs w:val="24"/>
        </w:rPr>
        <w:t>Deda</w:t>
      </w:r>
      <w:proofErr w:type="spellEnd"/>
      <w:r w:rsidR="00217FF4">
        <w:rPr>
          <w:szCs w:val="24"/>
        </w:rPr>
        <w:t>)</w:t>
      </w:r>
      <w:r w:rsidR="00D36356">
        <w:rPr>
          <w:szCs w:val="24"/>
          <w:lang w:val="en-GB"/>
        </w:rPr>
        <w:t xml:space="preserve">. </w:t>
      </w:r>
      <w:r w:rsidR="00E34AC9">
        <w:rPr>
          <w:szCs w:val="24"/>
          <w:lang w:val="en-GB"/>
        </w:rPr>
        <w:t>Under the terms of the proposed settlement</w:t>
      </w:r>
      <w:r w:rsidR="00FA7B67">
        <w:rPr>
          <w:szCs w:val="24"/>
          <w:lang w:val="en-GB"/>
        </w:rPr>
        <w:t xml:space="preserve"> as envisaged by Res Publica</w:t>
      </w:r>
      <w:r w:rsidR="00E34AC9">
        <w:rPr>
          <w:szCs w:val="24"/>
          <w:lang w:val="en-GB"/>
        </w:rPr>
        <w:t xml:space="preserve">, the State Party would compensate </w:t>
      </w:r>
      <w:r w:rsidR="00FA7B67">
        <w:rPr>
          <w:szCs w:val="24"/>
          <w:lang w:val="en-GB"/>
        </w:rPr>
        <w:t xml:space="preserve">all the members of the </w:t>
      </w:r>
      <w:r w:rsidR="00733A5E">
        <w:rPr>
          <w:szCs w:val="24"/>
          <w:lang w:val="en-GB"/>
        </w:rPr>
        <w:t xml:space="preserve">three </w:t>
      </w:r>
      <w:r w:rsidR="00FA7B67">
        <w:rPr>
          <w:szCs w:val="24"/>
          <w:lang w:val="en-GB"/>
        </w:rPr>
        <w:t xml:space="preserve">families (i.e. </w:t>
      </w:r>
      <w:r w:rsidR="00A7296E">
        <w:rPr>
          <w:szCs w:val="24"/>
          <w:lang w:val="en-GB"/>
        </w:rPr>
        <w:t>the victims’ spouses, their children as well as other relative</w:t>
      </w:r>
      <w:r w:rsidR="00733A5E">
        <w:rPr>
          <w:szCs w:val="24"/>
          <w:lang w:val="en-GB"/>
        </w:rPr>
        <w:t>s</w:t>
      </w:r>
      <w:r w:rsidR="00A7296E">
        <w:rPr>
          <w:szCs w:val="24"/>
          <w:lang w:val="en-GB"/>
        </w:rPr>
        <w:t xml:space="preserve"> who lived under the same roof</w:t>
      </w:r>
      <w:r w:rsidR="00733A5E">
        <w:rPr>
          <w:szCs w:val="24"/>
          <w:lang w:val="en-GB"/>
        </w:rPr>
        <w:t xml:space="preserve"> and had close family ties with the victims</w:t>
      </w:r>
      <w:r w:rsidR="00A7296E">
        <w:rPr>
          <w:szCs w:val="24"/>
          <w:lang w:val="en-GB"/>
        </w:rPr>
        <w:t>)</w:t>
      </w:r>
      <w:r w:rsidR="00FA7B67">
        <w:rPr>
          <w:szCs w:val="24"/>
          <w:lang w:val="en-GB"/>
        </w:rPr>
        <w:t xml:space="preserve">. </w:t>
      </w:r>
      <w:r w:rsidR="005A17A6">
        <w:rPr>
          <w:szCs w:val="24"/>
          <w:lang w:val="en-GB"/>
        </w:rPr>
        <w:t>Employing a for</w:t>
      </w:r>
      <w:r w:rsidR="00C93ADC">
        <w:rPr>
          <w:szCs w:val="24"/>
          <w:lang w:val="en-GB"/>
        </w:rPr>
        <w:t>mula used by valuation experts appointed</w:t>
      </w:r>
      <w:r w:rsidR="005A17A6">
        <w:rPr>
          <w:szCs w:val="24"/>
          <w:lang w:val="en-GB"/>
        </w:rPr>
        <w:t xml:space="preserve"> by domestic courts, Res Publica considered that the total compensation award would amount to approximately </w:t>
      </w:r>
      <w:r w:rsidR="005A17A6" w:rsidRPr="00FF3DD6">
        <w:rPr>
          <w:szCs w:val="24"/>
          <w:lang w:val="en-GB"/>
        </w:rPr>
        <w:t>300,000 EUR</w:t>
      </w:r>
      <w:r w:rsidR="00FF3DD6">
        <w:rPr>
          <w:szCs w:val="24"/>
          <w:lang w:val="en-GB"/>
        </w:rPr>
        <w:t xml:space="preserve"> per family</w:t>
      </w:r>
      <w:r w:rsidR="005A17A6">
        <w:rPr>
          <w:szCs w:val="24"/>
          <w:lang w:val="en-GB"/>
        </w:rPr>
        <w:t xml:space="preserve">. </w:t>
      </w:r>
    </w:p>
    <w:p w:rsidR="00E34AC9" w:rsidRDefault="00E34AC9" w:rsidP="009D410E">
      <w:pPr>
        <w:widowControl w:val="0"/>
        <w:jc w:val="both"/>
        <w:rPr>
          <w:szCs w:val="24"/>
          <w:lang w:val="en-GB"/>
        </w:rPr>
      </w:pPr>
    </w:p>
    <w:p w:rsidR="00E34AC9" w:rsidRDefault="00E34AC9" w:rsidP="009D410E">
      <w:pPr>
        <w:widowControl w:val="0"/>
        <w:jc w:val="both"/>
        <w:rPr>
          <w:szCs w:val="24"/>
          <w:lang w:val="en-GB"/>
        </w:rPr>
      </w:pPr>
      <w:r>
        <w:rPr>
          <w:szCs w:val="24"/>
          <w:lang w:val="en-GB"/>
        </w:rPr>
        <w:t xml:space="preserve">13. </w:t>
      </w:r>
      <w:r w:rsidR="00A7296E">
        <w:rPr>
          <w:szCs w:val="24"/>
          <w:lang w:val="en-GB"/>
        </w:rPr>
        <w:t xml:space="preserve"> Preliminary meetings and consultations were very fruitful and indeed </w:t>
      </w:r>
      <w:r w:rsidR="00BC0432">
        <w:rPr>
          <w:szCs w:val="24"/>
          <w:lang w:val="en-GB"/>
        </w:rPr>
        <w:t xml:space="preserve">in July 2014, the PM issued an order setting up a work group tasked with assessing the damage sustained by </w:t>
      </w:r>
      <w:r w:rsidR="00BD57FF">
        <w:rPr>
          <w:szCs w:val="24"/>
          <w:lang w:val="en-GB"/>
        </w:rPr>
        <w:t xml:space="preserve">the families of the victims, determining the level of compensation and identifying </w:t>
      </w:r>
      <w:r w:rsidR="00BF35E3">
        <w:rPr>
          <w:szCs w:val="24"/>
          <w:lang w:val="en-GB"/>
        </w:rPr>
        <w:t>the most appropriate way of disbursing the compensation</w:t>
      </w:r>
      <w:r w:rsidR="00BD57FF">
        <w:rPr>
          <w:szCs w:val="24"/>
          <w:lang w:val="en-GB"/>
        </w:rPr>
        <w:t>.</w:t>
      </w:r>
      <w:r w:rsidR="000A10B6">
        <w:rPr>
          <w:szCs w:val="24"/>
          <w:lang w:val="en-GB"/>
        </w:rPr>
        <w:t xml:space="preserve"> The experts would be appointed with the agreement of the families of the victims and the members of the working group would present </w:t>
      </w:r>
      <w:r w:rsidR="000A10B6">
        <w:rPr>
          <w:szCs w:val="24"/>
          <w:lang w:val="en-GB"/>
        </w:rPr>
        <w:lastRenderedPageBreak/>
        <w:t>their findings within sixty days.</w:t>
      </w:r>
      <w:r w:rsidR="00217FF4">
        <w:rPr>
          <w:szCs w:val="24"/>
          <w:lang w:val="en-GB"/>
        </w:rPr>
        <w:t xml:space="preserve"> Representatives of the PM’s Office proposed, and Res Publica accepted, that the settlement also include the fourth family not represented by Res Publica, namely that of </w:t>
      </w:r>
      <w:proofErr w:type="spellStart"/>
      <w:r w:rsidR="00217FF4">
        <w:rPr>
          <w:szCs w:val="24"/>
          <w:lang w:val="en-GB"/>
        </w:rPr>
        <w:t>Aleks</w:t>
      </w:r>
      <w:proofErr w:type="spellEnd"/>
      <w:r w:rsidR="00217FF4">
        <w:rPr>
          <w:szCs w:val="24"/>
          <w:lang w:val="en-GB"/>
        </w:rPr>
        <w:t xml:space="preserve"> </w:t>
      </w:r>
      <w:proofErr w:type="spellStart"/>
      <w:r w:rsidR="00217FF4">
        <w:rPr>
          <w:szCs w:val="24"/>
          <w:lang w:val="en-GB"/>
        </w:rPr>
        <w:t>Nika</w:t>
      </w:r>
      <w:proofErr w:type="spellEnd"/>
      <w:r w:rsidR="00217FF4">
        <w:rPr>
          <w:szCs w:val="24"/>
          <w:lang w:val="en-GB"/>
        </w:rPr>
        <w:t>.</w:t>
      </w:r>
      <w:r w:rsidR="000A10B6">
        <w:rPr>
          <w:rStyle w:val="FootnoteReference"/>
          <w:szCs w:val="24"/>
          <w:lang w:val="en-GB"/>
        </w:rPr>
        <w:footnoteReference w:id="13"/>
      </w:r>
      <w:r w:rsidR="00BD57FF">
        <w:rPr>
          <w:szCs w:val="24"/>
          <w:lang w:val="en-GB"/>
        </w:rPr>
        <w:t xml:space="preserve"> </w:t>
      </w:r>
    </w:p>
    <w:p w:rsidR="00217FF4" w:rsidRDefault="00217FF4" w:rsidP="009D410E">
      <w:pPr>
        <w:widowControl w:val="0"/>
        <w:jc w:val="both"/>
        <w:rPr>
          <w:szCs w:val="24"/>
          <w:lang w:val="en-GB"/>
        </w:rPr>
      </w:pPr>
    </w:p>
    <w:p w:rsidR="00217FF4" w:rsidRDefault="00217FF4" w:rsidP="009D410E">
      <w:pPr>
        <w:widowControl w:val="0"/>
        <w:jc w:val="both"/>
        <w:rPr>
          <w:szCs w:val="24"/>
          <w:lang w:val="en-GB"/>
        </w:rPr>
      </w:pPr>
      <w:r>
        <w:rPr>
          <w:szCs w:val="24"/>
          <w:lang w:val="en-GB"/>
        </w:rPr>
        <w:t xml:space="preserve">14. Nevertheless, by 21 January 2015 the working group had convened only a few times and no settlement had been reached. Then on the eve of the fourth anniversary of the </w:t>
      </w:r>
      <w:r w:rsidR="00BF35E3">
        <w:rPr>
          <w:szCs w:val="24"/>
          <w:lang w:val="en-GB"/>
        </w:rPr>
        <w:t>tragic events of 21 January 2011</w:t>
      </w:r>
      <w:r>
        <w:rPr>
          <w:szCs w:val="24"/>
          <w:lang w:val="en-GB"/>
        </w:rPr>
        <w:t xml:space="preserve">, a representative of the PM’s Office informed Res Publica that no </w:t>
      </w:r>
      <w:r w:rsidR="00AC3344">
        <w:rPr>
          <w:szCs w:val="24"/>
          <w:lang w:val="en-GB"/>
        </w:rPr>
        <w:t xml:space="preserve">settlement would be reached and that the State Party had decided to grant the families of the victims with a special pension. </w:t>
      </w:r>
      <w:r w:rsidR="009D410E">
        <w:rPr>
          <w:szCs w:val="24"/>
          <w:lang w:val="en-GB"/>
        </w:rPr>
        <w:t xml:space="preserve">On the next day, </w:t>
      </w:r>
      <w:r w:rsidR="00AE55F8">
        <w:rPr>
          <w:szCs w:val="24"/>
          <w:lang w:val="en-GB"/>
        </w:rPr>
        <w:t xml:space="preserve">by means of a press statement where the death of the four victims was qualified as murder, </w:t>
      </w:r>
      <w:r w:rsidR="009D410E">
        <w:rPr>
          <w:szCs w:val="24"/>
          <w:lang w:val="en-GB"/>
        </w:rPr>
        <w:t>the Government announced their decision to grant a special pension to members of the victims’ families.</w:t>
      </w:r>
      <w:r w:rsidR="009D410E">
        <w:rPr>
          <w:rStyle w:val="FootnoteReference"/>
          <w:szCs w:val="24"/>
          <w:lang w:val="en-GB"/>
        </w:rPr>
        <w:footnoteReference w:id="14"/>
      </w:r>
    </w:p>
    <w:p w:rsidR="00AC3344" w:rsidRDefault="00AC3344" w:rsidP="009D410E">
      <w:pPr>
        <w:widowControl w:val="0"/>
        <w:jc w:val="both"/>
        <w:rPr>
          <w:szCs w:val="24"/>
          <w:lang w:val="en-GB"/>
        </w:rPr>
      </w:pPr>
    </w:p>
    <w:p w:rsidR="00AC3344" w:rsidRDefault="00AC3344" w:rsidP="009D410E">
      <w:pPr>
        <w:widowControl w:val="0"/>
        <w:jc w:val="both"/>
        <w:rPr>
          <w:szCs w:val="24"/>
          <w:lang w:val="en-GB"/>
        </w:rPr>
      </w:pPr>
      <w:r>
        <w:rPr>
          <w:szCs w:val="24"/>
          <w:lang w:val="en-GB"/>
        </w:rPr>
        <w:t xml:space="preserve">15. In an interview to BIRN (Balkan Investigative Reporting Network), </w:t>
      </w:r>
      <w:r w:rsidR="00832D74">
        <w:rPr>
          <w:szCs w:val="24"/>
          <w:lang w:val="en-GB"/>
        </w:rPr>
        <w:t xml:space="preserve">published on 26 January 2015, </w:t>
      </w:r>
      <w:r>
        <w:rPr>
          <w:szCs w:val="24"/>
          <w:lang w:val="en-GB"/>
        </w:rPr>
        <w:t xml:space="preserve">Res </w:t>
      </w:r>
      <w:proofErr w:type="spellStart"/>
      <w:r>
        <w:rPr>
          <w:szCs w:val="24"/>
          <w:lang w:val="en-GB"/>
        </w:rPr>
        <w:t>Publica’s</w:t>
      </w:r>
      <w:proofErr w:type="spellEnd"/>
      <w:r>
        <w:rPr>
          <w:szCs w:val="24"/>
          <w:lang w:val="en-GB"/>
        </w:rPr>
        <w:t xml:space="preserve"> Executive Director referred to the failure to reach a settlement with the authorities and expr</w:t>
      </w:r>
      <w:r w:rsidR="00832D74">
        <w:rPr>
          <w:szCs w:val="24"/>
          <w:lang w:val="en-GB"/>
        </w:rPr>
        <w:t xml:space="preserve">essed his criticism as to the </w:t>
      </w:r>
      <w:r w:rsidR="0062469A">
        <w:rPr>
          <w:szCs w:val="24"/>
          <w:lang w:val="en-GB"/>
        </w:rPr>
        <w:t xml:space="preserve">reluctance </w:t>
      </w:r>
      <w:r w:rsidR="00832D74">
        <w:rPr>
          <w:szCs w:val="24"/>
          <w:lang w:val="en-GB"/>
        </w:rPr>
        <w:t xml:space="preserve">of the Government to provide compensation to the families of the victims of the events of 21 January 2011. In particular, he noted that he was surprised by the failure of the authorities to agree to a settlement, given that it was not disputed </w:t>
      </w:r>
      <w:r w:rsidR="00C93ADC">
        <w:rPr>
          <w:szCs w:val="24"/>
          <w:lang w:val="en-GB"/>
        </w:rPr>
        <w:t xml:space="preserve">between the Government and the relatives of the victims’ </w:t>
      </w:r>
      <w:r w:rsidR="00832D74">
        <w:rPr>
          <w:szCs w:val="24"/>
          <w:lang w:val="en-GB"/>
        </w:rPr>
        <w:t xml:space="preserve">that state officials were responsible for the four deaths. </w:t>
      </w:r>
    </w:p>
    <w:p w:rsidR="0099696F" w:rsidRDefault="0099696F" w:rsidP="009D410E">
      <w:pPr>
        <w:widowControl w:val="0"/>
        <w:jc w:val="both"/>
        <w:rPr>
          <w:szCs w:val="24"/>
          <w:lang w:val="en-GB"/>
        </w:rPr>
      </w:pPr>
    </w:p>
    <w:p w:rsidR="0099696F" w:rsidRDefault="0099696F" w:rsidP="009D410E">
      <w:pPr>
        <w:widowControl w:val="0"/>
        <w:jc w:val="both"/>
        <w:rPr>
          <w:szCs w:val="24"/>
          <w:lang w:val="en-GB"/>
        </w:rPr>
      </w:pPr>
      <w:r>
        <w:rPr>
          <w:szCs w:val="24"/>
          <w:lang w:val="en-GB"/>
        </w:rPr>
        <w:t>16.</w:t>
      </w:r>
      <w:r w:rsidR="00BF35E3">
        <w:rPr>
          <w:szCs w:val="24"/>
          <w:lang w:val="en-GB"/>
        </w:rPr>
        <w:t xml:space="preserve"> In the evening of the same day</w:t>
      </w:r>
      <w:r>
        <w:rPr>
          <w:szCs w:val="24"/>
          <w:lang w:val="en-GB"/>
        </w:rPr>
        <w:t>, P</w:t>
      </w:r>
      <w:r w:rsidR="00610ED3">
        <w:rPr>
          <w:szCs w:val="24"/>
          <w:lang w:val="en-GB"/>
        </w:rPr>
        <w:t xml:space="preserve">M Edi Rama gave an interview on television to </w:t>
      </w:r>
      <w:r>
        <w:rPr>
          <w:szCs w:val="24"/>
          <w:lang w:val="en-GB"/>
        </w:rPr>
        <w:t xml:space="preserve">journalist </w:t>
      </w:r>
      <w:proofErr w:type="spellStart"/>
      <w:r>
        <w:rPr>
          <w:szCs w:val="24"/>
          <w:lang w:val="en-GB"/>
        </w:rPr>
        <w:t>Rudina</w:t>
      </w:r>
      <w:proofErr w:type="spellEnd"/>
      <w:r>
        <w:rPr>
          <w:szCs w:val="24"/>
          <w:lang w:val="en-GB"/>
        </w:rPr>
        <w:t xml:space="preserve"> </w:t>
      </w:r>
      <w:proofErr w:type="spellStart"/>
      <w:r>
        <w:rPr>
          <w:szCs w:val="24"/>
          <w:lang w:val="en-GB"/>
        </w:rPr>
        <w:t>Xhunga</w:t>
      </w:r>
      <w:proofErr w:type="spellEnd"/>
      <w:r>
        <w:rPr>
          <w:szCs w:val="24"/>
          <w:lang w:val="en-GB"/>
        </w:rPr>
        <w:t>. When asked about the allegation</w:t>
      </w:r>
      <w:r w:rsidR="0086381F">
        <w:rPr>
          <w:szCs w:val="24"/>
          <w:lang w:val="en-GB"/>
        </w:rPr>
        <w:t>s</w:t>
      </w:r>
      <w:r>
        <w:rPr>
          <w:szCs w:val="24"/>
          <w:lang w:val="en-GB"/>
        </w:rPr>
        <w:t xml:space="preserve"> made in the article published by BIRN</w:t>
      </w:r>
      <w:r w:rsidR="0086381F">
        <w:rPr>
          <w:szCs w:val="24"/>
          <w:lang w:val="en-GB"/>
        </w:rPr>
        <w:t xml:space="preserve"> the same day, </w:t>
      </w:r>
      <w:r w:rsidR="0062469A">
        <w:rPr>
          <w:szCs w:val="24"/>
          <w:lang w:val="en-GB"/>
        </w:rPr>
        <w:t>the PM</w:t>
      </w:r>
      <w:r w:rsidR="0086381F">
        <w:rPr>
          <w:szCs w:val="24"/>
          <w:lang w:val="en-GB"/>
        </w:rPr>
        <w:t xml:space="preserve"> dismissed them as “stupidities” </w:t>
      </w:r>
      <w:r w:rsidR="00707D28">
        <w:rPr>
          <w:szCs w:val="24"/>
          <w:lang w:val="en-GB"/>
        </w:rPr>
        <w:t xml:space="preserve">and argued that the families had never </w:t>
      </w:r>
      <w:r w:rsidR="00DD5334">
        <w:rPr>
          <w:szCs w:val="24"/>
          <w:lang w:val="en-GB"/>
        </w:rPr>
        <w:t>seized</w:t>
      </w:r>
      <w:r w:rsidR="00707D28">
        <w:rPr>
          <w:szCs w:val="24"/>
          <w:lang w:val="en-GB"/>
        </w:rPr>
        <w:t xml:space="preserve"> the authorities with a request for compensation</w:t>
      </w:r>
      <w:r w:rsidR="00DD5334">
        <w:rPr>
          <w:szCs w:val="24"/>
          <w:lang w:val="en-GB"/>
        </w:rPr>
        <w:t xml:space="preserve"> but had only requested that justice be done</w:t>
      </w:r>
      <w:r w:rsidR="00707D28">
        <w:rPr>
          <w:szCs w:val="24"/>
          <w:lang w:val="en-GB"/>
        </w:rPr>
        <w:t>. He also</w:t>
      </w:r>
      <w:r w:rsidR="0086381F">
        <w:rPr>
          <w:szCs w:val="24"/>
          <w:lang w:val="en-GB"/>
        </w:rPr>
        <w:t xml:space="preserve"> noted that</w:t>
      </w:r>
      <w:r w:rsidR="00707D28">
        <w:rPr>
          <w:szCs w:val="24"/>
          <w:lang w:val="en-GB"/>
        </w:rPr>
        <w:t xml:space="preserve"> in any case</w:t>
      </w:r>
      <w:r w:rsidR="0086381F">
        <w:rPr>
          <w:szCs w:val="24"/>
          <w:lang w:val="en-GB"/>
        </w:rPr>
        <w:t xml:space="preserve"> the state cannot unilaterally make a compensation award</w:t>
      </w:r>
      <w:r w:rsidR="00707D28">
        <w:rPr>
          <w:szCs w:val="24"/>
          <w:lang w:val="en-GB"/>
        </w:rPr>
        <w:t xml:space="preserve"> as the </w:t>
      </w:r>
      <w:r w:rsidR="00610ED3">
        <w:rPr>
          <w:szCs w:val="24"/>
          <w:lang w:val="en-GB"/>
        </w:rPr>
        <w:t>disbursement</w:t>
      </w:r>
      <w:r w:rsidR="00707D28">
        <w:rPr>
          <w:szCs w:val="24"/>
          <w:lang w:val="en-GB"/>
        </w:rPr>
        <w:t xml:space="preserve"> of such an award presupposes the existence of</w:t>
      </w:r>
      <w:r w:rsidR="0086381F">
        <w:rPr>
          <w:szCs w:val="24"/>
          <w:lang w:val="en-GB"/>
        </w:rPr>
        <w:t xml:space="preserve"> a judicial decision.</w:t>
      </w:r>
      <w:r w:rsidR="00707D28">
        <w:rPr>
          <w:szCs w:val="24"/>
          <w:lang w:val="en-GB"/>
        </w:rPr>
        <w:t xml:space="preserve"> </w:t>
      </w:r>
      <w:r w:rsidR="00C70194">
        <w:rPr>
          <w:szCs w:val="24"/>
          <w:lang w:val="en-GB"/>
        </w:rPr>
        <w:t xml:space="preserve">The PM </w:t>
      </w:r>
      <w:r w:rsidR="00707D28">
        <w:rPr>
          <w:szCs w:val="24"/>
          <w:lang w:val="en-GB"/>
        </w:rPr>
        <w:t xml:space="preserve">also </w:t>
      </w:r>
      <w:r w:rsidR="00610ED3">
        <w:rPr>
          <w:szCs w:val="24"/>
          <w:lang w:val="en-GB"/>
        </w:rPr>
        <w:t>reiterated his conviction that the killings of the four demonstrators constituted a state crime and announced his intention of engaging a foreign legal firm with a view to assisting</w:t>
      </w:r>
      <w:r w:rsidR="00DD5334">
        <w:rPr>
          <w:szCs w:val="24"/>
          <w:lang w:val="en-GB"/>
        </w:rPr>
        <w:t xml:space="preserve"> the authorities</w:t>
      </w:r>
      <w:r w:rsidR="00610ED3">
        <w:rPr>
          <w:szCs w:val="24"/>
          <w:lang w:val="en-GB"/>
        </w:rPr>
        <w:t xml:space="preserve"> in elucidating the circumstances of the tragedy.</w:t>
      </w:r>
      <w:r w:rsidR="0086381F">
        <w:rPr>
          <w:rStyle w:val="FootnoteReference"/>
          <w:szCs w:val="24"/>
          <w:lang w:val="en-GB"/>
        </w:rPr>
        <w:footnoteReference w:id="15"/>
      </w:r>
      <w:r w:rsidR="0086381F">
        <w:rPr>
          <w:szCs w:val="24"/>
          <w:lang w:val="en-GB"/>
        </w:rPr>
        <w:t xml:space="preserve"> </w:t>
      </w:r>
    </w:p>
    <w:p w:rsidR="00DD5334" w:rsidRDefault="00DD5334" w:rsidP="009D410E">
      <w:pPr>
        <w:widowControl w:val="0"/>
        <w:jc w:val="both"/>
        <w:rPr>
          <w:szCs w:val="24"/>
          <w:lang w:val="en-GB"/>
        </w:rPr>
      </w:pPr>
    </w:p>
    <w:p w:rsidR="009928D2" w:rsidRDefault="00DD5334" w:rsidP="009D410E">
      <w:pPr>
        <w:widowControl w:val="0"/>
        <w:jc w:val="both"/>
        <w:rPr>
          <w:szCs w:val="24"/>
          <w:lang w:val="en-GB"/>
        </w:rPr>
      </w:pPr>
      <w:r>
        <w:rPr>
          <w:szCs w:val="24"/>
          <w:lang w:val="en-GB"/>
        </w:rPr>
        <w:t xml:space="preserve">17. </w:t>
      </w:r>
      <w:r w:rsidR="00C70194">
        <w:rPr>
          <w:szCs w:val="24"/>
          <w:lang w:val="en-GB"/>
        </w:rPr>
        <w:t>Regarding the granting of special state pensions, and a</w:t>
      </w:r>
      <w:r w:rsidR="00FC260C">
        <w:rPr>
          <w:szCs w:val="24"/>
          <w:lang w:val="en-GB"/>
        </w:rPr>
        <w:t>l</w:t>
      </w:r>
      <w:r w:rsidR="00C70194">
        <w:rPr>
          <w:szCs w:val="24"/>
          <w:lang w:val="en-GB"/>
        </w:rPr>
        <w:t>t</w:t>
      </w:r>
      <w:r>
        <w:rPr>
          <w:szCs w:val="24"/>
          <w:lang w:val="en-GB"/>
        </w:rPr>
        <w:t>hough further details have not been announced</w:t>
      </w:r>
      <w:r w:rsidR="00C70194">
        <w:rPr>
          <w:szCs w:val="24"/>
          <w:lang w:val="en-GB"/>
        </w:rPr>
        <w:t xml:space="preserve"> nor any such pension have to date been granted</w:t>
      </w:r>
      <w:r>
        <w:rPr>
          <w:szCs w:val="24"/>
          <w:lang w:val="en-GB"/>
        </w:rPr>
        <w:t>, it appears that the legal basis of the granting of these pensions will be Article 5 of Law 7703/1993 on Social Insurance</w:t>
      </w:r>
      <w:r w:rsidR="00412011">
        <w:rPr>
          <w:szCs w:val="24"/>
          <w:lang w:val="en-GB"/>
        </w:rPr>
        <w:t>, as currently in force</w:t>
      </w:r>
      <w:r>
        <w:rPr>
          <w:szCs w:val="24"/>
          <w:lang w:val="en-GB"/>
        </w:rPr>
        <w:t>.</w:t>
      </w:r>
      <w:r>
        <w:rPr>
          <w:rStyle w:val="FootnoteReference"/>
          <w:szCs w:val="24"/>
          <w:lang w:val="en-GB"/>
        </w:rPr>
        <w:footnoteReference w:id="16"/>
      </w:r>
      <w:r w:rsidR="00412011">
        <w:rPr>
          <w:szCs w:val="24"/>
          <w:lang w:val="en-GB"/>
        </w:rPr>
        <w:t xml:space="preserve"> While welcoming the Government’s decision to provide at least some </w:t>
      </w:r>
      <w:r w:rsidR="00A150BD">
        <w:rPr>
          <w:szCs w:val="24"/>
          <w:lang w:val="en-GB"/>
        </w:rPr>
        <w:t>form of reparation</w:t>
      </w:r>
      <w:r w:rsidR="00412011">
        <w:rPr>
          <w:szCs w:val="24"/>
          <w:lang w:val="en-GB"/>
        </w:rPr>
        <w:t xml:space="preserve"> to the families of the victims, Res Publica </w:t>
      </w:r>
      <w:r w:rsidR="00A150BD">
        <w:rPr>
          <w:szCs w:val="24"/>
          <w:lang w:val="en-GB"/>
        </w:rPr>
        <w:t>cannot see how Article 5 of Law 7703/1993 can be interpreted as authorising the granting of a pension i</w:t>
      </w:r>
      <w:r w:rsidR="009162E5">
        <w:rPr>
          <w:szCs w:val="24"/>
          <w:lang w:val="en-GB"/>
        </w:rPr>
        <w:t>n the circumstances of the case</w:t>
      </w:r>
      <w:r w:rsidR="00A150BD">
        <w:rPr>
          <w:szCs w:val="24"/>
          <w:lang w:val="en-GB"/>
        </w:rPr>
        <w:t xml:space="preserve">. This is not a </w:t>
      </w:r>
      <w:r w:rsidR="009162E5">
        <w:rPr>
          <w:szCs w:val="24"/>
          <w:lang w:val="en-GB"/>
        </w:rPr>
        <w:t xml:space="preserve">mere </w:t>
      </w:r>
      <w:r w:rsidR="00A150BD">
        <w:rPr>
          <w:szCs w:val="24"/>
          <w:lang w:val="en-GB"/>
        </w:rPr>
        <w:t xml:space="preserve">formalistic issue since in the future the authorities might, precisely on the ground of </w:t>
      </w:r>
      <w:r w:rsidR="00A150BD">
        <w:rPr>
          <w:szCs w:val="24"/>
          <w:lang w:val="en-GB"/>
        </w:rPr>
        <w:lastRenderedPageBreak/>
        <w:t xml:space="preserve">lack of a </w:t>
      </w:r>
      <w:r w:rsidR="009162E5">
        <w:rPr>
          <w:szCs w:val="24"/>
          <w:lang w:val="en-GB"/>
        </w:rPr>
        <w:t xml:space="preserve">sound </w:t>
      </w:r>
      <w:r w:rsidR="00A150BD">
        <w:rPr>
          <w:szCs w:val="24"/>
          <w:lang w:val="en-GB"/>
        </w:rPr>
        <w:t>legal basis, revoke the pension</w:t>
      </w:r>
      <w:r w:rsidR="009162E5">
        <w:rPr>
          <w:szCs w:val="24"/>
          <w:lang w:val="en-GB"/>
        </w:rPr>
        <w:t>s</w:t>
      </w:r>
      <w:r w:rsidR="00A150BD">
        <w:rPr>
          <w:szCs w:val="24"/>
          <w:lang w:val="en-GB"/>
        </w:rPr>
        <w:t xml:space="preserve">. Additionally, such pensions are </w:t>
      </w:r>
      <w:r w:rsidR="009928D2">
        <w:rPr>
          <w:szCs w:val="24"/>
          <w:lang w:val="en-GB"/>
        </w:rPr>
        <w:t xml:space="preserve">payable only to </w:t>
      </w:r>
      <w:r w:rsidR="00FC260C">
        <w:rPr>
          <w:szCs w:val="24"/>
          <w:lang w:val="en-GB"/>
        </w:rPr>
        <w:t xml:space="preserve">particular </w:t>
      </w:r>
      <w:r w:rsidR="006B0346">
        <w:rPr>
          <w:szCs w:val="24"/>
          <w:lang w:val="en-GB"/>
        </w:rPr>
        <w:t>individuals and cannot be paid to other relatives;</w:t>
      </w:r>
      <w:r w:rsidR="00A150BD">
        <w:rPr>
          <w:szCs w:val="24"/>
          <w:lang w:val="en-GB"/>
        </w:rPr>
        <w:t xml:space="preserve"> </w:t>
      </w:r>
      <w:r w:rsidR="009928D2">
        <w:rPr>
          <w:szCs w:val="24"/>
          <w:lang w:val="en-GB"/>
        </w:rPr>
        <w:t>in the instant case therefore, only the spouses of the victims would be entitled to pension whereas other family members would not be entitled to any kind of compensation for the loss of their relative</w:t>
      </w:r>
      <w:r w:rsidR="0075594B">
        <w:rPr>
          <w:szCs w:val="24"/>
          <w:lang w:val="en-GB"/>
        </w:rPr>
        <w:t>s</w:t>
      </w:r>
      <w:r w:rsidR="009928D2">
        <w:rPr>
          <w:szCs w:val="24"/>
          <w:lang w:val="en-GB"/>
        </w:rPr>
        <w:t xml:space="preserve">. </w:t>
      </w:r>
      <w:r w:rsidR="006B0346">
        <w:rPr>
          <w:szCs w:val="24"/>
          <w:lang w:val="en-GB"/>
        </w:rPr>
        <w:t>Finally, it should be noted that the maximum special state pension cannot be higher than 400 EUR</w:t>
      </w:r>
      <w:r w:rsidR="000A37F7">
        <w:rPr>
          <w:szCs w:val="24"/>
          <w:lang w:val="en-GB"/>
        </w:rPr>
        <w:t xml:space="preserve"> per month</w:t>
      </w:r>
      <w:r w:rsidR="006B0346">
        <w:rPr>
          <w:szCs w:val="24"/>
          <w:lang w:val="en-GB"/>
        </w:rPr>
        <w:t xml:space="preserve">. </w:t>
      </w:r>
    </w:p>
    <w:p w:rsidR="006B0346" w:rsidRDefault="006B0346" w:rsidP="009D410E">
      <w:pPr>
        <w:widowControl w:val="0"/>
        <w:jc w:val="both"/>
        <w:rPr>
          <w:szCs w:val="24"/>
          <w:lang w:val="en-GB"/>
        </w:rPr>
      </w:pPr>
    </w:p>
    <w:p w:rsidR="00AB6330" w:rsidRDefault="009928D2" w:rsidP="009D410E">
      <w:pPr>
        <w:widowControl w:val="0"/>
        <w:jc w:val="both"/>
        <w:rPr>
          <w:szCs w:val="24"/>
          <w:lang w:val="en-GB"/>
        </w:rPr>
      </w:pPr>
      <w:r>
        <w:rPr>
          <w:szCs w:val="24"/>
          <w:lang w:val="en-GB"/>
        </w:rPr>
        <w:t xml:space="preserve">18. </w:t>
      </w:r>
      <w:r w:rsidR="005A17A6">
        <w:rPr>
          <w:szCs w:val="24"/>
          <w:lang w:val="en-GB"/>
        </w:rPr>
        <w:t>Last, following consultation</w:t>
      </w:r>
      <w:r w:rsidR="00AB6330">
        <w:rPr>
          <w:szCs w:val="24"/>
          <w:lang w:val="en-GB"/>
        </w:rPr>
        <w:t>s</w:t>
      </w:r>
      <w:r w:rsidR="005A17A6">
        <w:rPr>
          <w:szCs w:val="24"/>
          <w:lang w:val="en-GB"/>
        </w:rPr>
        <w:t xml:space="preserve"> with its </w:t>
      </w:r>
      <w:r w:rsidR="00AB6330">
        <w:rPr>
          <w:szCs w:val="24"/>
          <w:lang w:val="en-GB"/>
        </w:rPr>
        <w:t xml:space="preserve">principals, Res Publica will be filing lawsuits for damages before the administrative courts. </w:t>
      </w:r>
      <w:r w:rsidR="00CE6158">
        <w:rPr>
          <w:szCs w:val="24"/>
          <w:lang w:val="en-GB"/>
        </w:rPr>
        <w:t xml:space="preserve">The reason behind the delay in filing them is solely the inability of the families to raise the necessary courts fees which need to be paid </w:t>
      </w:r>
      <w:r w:rsidR="002D3B1A">
        <w:rPr>
          <w:szCs w:val="24"/>
          <w:lang w:val="en-GB"/>
        </w:rPr>
        <w:t xml:space="preserve">in advance and </w:t>
      </w:r>
      <w:r w:rsidR="00CE6158">
        <w:rPr>
          <w:szCs w:val="24"/>
          <w:lang w:val="en-GB"/>
        </w:rPr>
        <w:t xml:space="preserve">before the </w:t>
      </w:r>
      <w:r w:rsidR="002D3B1A">
        <w:rPr>
          <w:szCs w:val="24"/>
          <w:lang w:val="en-GB"/>
        </w:rPr>
        <w:t>first hearing of the case</w:t>
      </w:r>
      <w:r w:rsidR="00CE6158">
        <w:rPr>
          <w:szCs w:val="24"/>
          <w:lang w:val="en-GB"/>
        </w:rPr>
        <w:t xml:space="preserve"> (Res Publica is representing the families of the victims free of charge). Currently the court fees (minus the necessary fees for the appointment of experts which will also be incurred by the claimants) stand at 1% of the amount of damages sought; in the instant case, </w:t>
      </w:r>
      <w:r w:rsidR="00BF35E3">
        <w:rPr>
          <w:szCs w:val="24"/>
          <w:lang w:val="en-GB"/>
        </w:rPr>
        <w:t xml:space="preserve">each of </w:t>
      </w:r>
      <w:r w:rsidR="00CE6158">
        <w:rPr>
          <w:szCs w:val="24"/>
          <w:lang w:val="en-GB"/>
        </w:rPr>
        <w:t>the families of the victims will have to pay</w:t>
      </w:r>
      <w:r w:rsidR="002D3B1A">
        <w:rPr>
          <w:szCs w:val="24"/>
          <w:lang w:val="en-GB"/>
        </w:rPr>
        <w:t xml:space="preserve"> </w:t>
      </w:r>
      <w:r w:rsidR="00CE6158">
        <w:rPr>
          <w:szCs w:val="24"/>
          <w:lang w:val="en-GB"/>
        </w:rPr>
        <w:t xml:space="preserve">3,000 EUR in court fees, at a time when the average monthly salary stands at approximately 200 EUR. </w:t>
      </w:r>
      <w:r w:rsidR="002D3B1A">
        <w:rPr>
          <w:szCs w:val="24"/>
          <w:lang w:val="en-GB"/>
        </w:rPr>
        <w:t>Whereas in principle under Albanian law the claimants can request to be exempted from the obligation</w:t>
      </w:r>
      <w:r w:rsidR="008677B0">
        <w:rPr>
          <w:szCs w:val="24"/>
          <w:lang w:val="en-GB"/>
        </w:rPr>
        <w:t>, in practice Albanian courts are highly reluctant to grant such exemptions.</w:t>
      </w:r>
      <w:r w:rsidR="008677B0">
        <w:rPr>
          <w:rStyle w:val="FootnoteReference"/>
          <w:szCs w:val="24"/>
          <w:lang w:val="en-GB"/>
        </w:rPr>
        <w:footnoteReference w:id="17"/>
      </w:r>
      <w:r w:rsidR="002D3B1A">
        <w:rPr>
          <w:szCs w:val="24"/>
          <w:lang w:val="en-GB"/>
        </w:rPr>
        <w:t xml:space="preserve"> </w:t>
      </w:r>
    </w:p>
    <w:p w:rsidR="00C70194" w:rsidRDefault="00C70194" w:rsidP="009D410E">
      <w:pPr>
        <w:widowControl w:val="0"/>
        <w:jc w:val="both"/>
        <w:rPr>
          <w:szCs w:val="24"/>
          <w:lang w:val="en-GB"/>
        </w:rPr>
      </w:pPr>
    </w:p>
    <w:p w:rsidR="00C70194" w:rsidRDefault="00C70194" w:rsidP="009D410E">
      <w:pPr>
        <w:widowControl w:val="0"/>
        <w:jc w:val="both"/>
        <w:rPr>
          <w:szCs w:val="24"/>
          <w:lang w:val="en-GB"/>
        </w:rPr>
      </w:pPr>
      <w:r>
        <w:rPr>
          <w:szCs w:val="24"/>
          <w:lang w:val="en-GB"/>
        </w:rPr>
        <w:t>Thank you for taking the above into consideration.</w:t>
      </w:r>
    </w:p>
    <w:p w:rsidR="00AB6330" w:rsidRPr="00C70194" w:rsidRDefault="00AB6330" w:rsidP="009D410E">
      <w:pPr>
        <w:widowControl w:val="0"/>
        <w:jc w:val="both"/>
        <w:rPr>
          <w:szCs w:val="24"/>
          <w:lang w:val="en-GB"/>
        </w:rPr>
      </w:pPr>
    </w:p>
    <w:p w:rsidR="00AB6330" w:rsidRPr="00AB6330" w:rsidRDefault="00AB6330" w:rsidP="009D410E">
      <w:pPr>
        <w:widowControl w:val="0"/>
        <w:jc w:val="both"/>
        <w:rPr>
          <w:szCs w:val="24"/>
          <w:lang w:val="en-GB"/>
        </w:rPr>
      </w:pPr>
      <w:r w:rsidRPr="0042397D">
        <w:rPr>
          <w:szCs w:val="24"/>
        </w:rPr>
        <w:t xml:space="preserve">Respectfully submitted, </w:t>
      </w:r>
    </w:p>
    <w:p w:rsidR="00AB6330" w:rsidRPr="0042397D" w:rsidRDefault="00AB6330" w:rsidP="009D410E">
      <w:pPr>
        <w:ind w:left="4320" w:firstLine="720"/>
        <w:jc w:val="both"/>
        <w:rPr>
          <w:szCs w:val="24"/>
        </w:rPr>
      </w:pPr>
    </w:p>
    <w:p w:rsidR="00AB6330" w:rsidRDefault="00AB6330" w:rsidP="009D410E">
      <w:pPr>
        <w:jc w:val="both"/>
        <w:rPr>
          <w:szCs w:val="24"/>
        </w:rPr>
      </w:pPr>
      <w:r>
        <w:rPr>
          <w:noProof/>
          <w:lang w:val="en-GB" w:eastAsia="en-GB"/>
        </w:rPr>
        <w:drawing>
          <wp:inline distT="0" distB="0" distL="0" distR="0" wp14:anchorId="11AF2DA7" wp14:editId="08770789">
            <wp:extent cx="2551430" cy="1038860"/>
            <wp:effectExtent l="0" t="0" r="1270" b="8890"/>
            <wp:docPr id="4" name="Picture 4" descr="C:\Users\ThinkPad User\Desktop\Elbasan Roma eviction\losmaterialeshrc\firma dori shq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nkPad User\Desktop\Elbasan Roma eviction\losmaterialeshrc\firma dori shqet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430" cy="1038860"/>
                    </a:xfrm>
                    <a:prstGeom prst="rect">
                      <a:avLst/>
                    </a:prstGeom>
                    <a:noFill/>
                    <a:ln>
                      <a:noFill/>
                    </a:ln>
                  </pic:spPr>
                </pic:pic>
              </a:graphicData>
            </a:graphic>
          </wp:inline>
        </w:drawing>
      </w:r>
      <w:r>
        <w:rPr>
          <w:noProof/>
        </w:rPr>
        <w:t xml:space="preserve">                                             </w:t>
      </w:r>
    </w:p>
    <w:p w:rsidR="00AB6330" w:rsidRDefault="00AB6330" w:rsidP="009D410E">
      <w:pPr>
        <w:jc w:val="both"/>
        <w:rPr>
          <w:szCs w:val="24"/>
        </w:rPr>
      </w:pPr>
    </w:p>
    <w:p w:rsidR="00AB6330" w:rsidRPr="004C7A6A" w:rsidRDefault="00AB6330" w:rsidP="009D410E">
      <w:pPr>
        <w:jc w:val="both"/>
        <w:rPr>
          <w:szCs w:val="24"/>
        </w:rPr>
      </w:pPr>
      <w:r w:rsidRPr="004C7A6A">
        <w:rPr>
          <w:szCs w:val="24"/>
        </w:rPr>
        <w:t xml:space="preserve">Dorian </w:t>
      </w:r>
      <w:proofErr w:type="spellStart"/>
      <w:r w:rsidRPr="004C7A6A">
        <w:rPr>
          <w:szCs w:val="24"/>
        </w:rPr>
        <w:t>Matlija</w:t>
      </w:r>
      <w:proofErr w:type="spellEnd"/>
      <w:r w:rsidRPr="004C7A6A">
        <w:rPr>
          <w:szCs w:val="24"/>
        </w:rPr>
        <w:t xml:space="preserve">                                                                                  </w:t>
      </w:r>
      <w:r>
        <w:rPr>
          <w:szCs w:val="24"/>
        </w:rPr>
        <w:t xml:space="preserve">  </w:t>
      </w:r>
    </w:p>
    <w:p w:rsidR="00AB6330" w:rsidRPr="004C7A6A" w:rsidRDefault="00AB6330" w:rsidP="009D410E">
      <w:pPr>
        <w:jc w:val="both"/>
        <w:rPr>
          <w:szCs w:val="24"/>
        </w:rPr>
      </w:pPr>
      <w:r w:rsidRPr="004C7A6A">
        <w:rPr>
          <w:szCs w:val="24"/>
        </w:rPr>
        <w:t xml:space="preserve">Executive Director                                                                   </w:t>
      </w:r>
      <w:r>
        <w:rPr>
          <w:szCs w:val="24"/>
        </w:rPr>
        <w:t xml:space="preserve">                         </w:t>
      </w:r>
    </w:p>
    <w:p w:rsidR="00AB6330" w:rsidRPr="004C7A6A" w:rsidRDefault="00AB6330" w:rsidP="009D410E">
      <w:pPr>
        <w:jc w:val="both"/>
        <w:rPr>
          <w:szCs w:val="24"/>
        </w:rPr>
      </w:pPr>
      <w:r w:rsidRPr="004C7A6A">
        <w:rPr>
          <w:szCs w:val="24"/>
        </w:rPr>
        <w:t xml:space="preserve">Res Publica                                                                                </w:t>
      </w:r>
      <w:r>
        <w:rPr>
          <w:szCs w:val="24"/>
        </w:rPr>
        <w:t xml:space="preserve">                     </w:t>
      </w:r>
    </w:p>
    <w:p w:rsidR="00AB6330" w:rsidRPr="00BC6BC4" w:rsidRDefault="00AB6330" w:rsidP="009D410E">
      <w:pPr>
        <w:pStyle w:val="BodyText2"/>
        <w:tabs>
          <w:tab w:val="left" w:pos="0"/>
        </w:tabs>
        <w:spacing w:after="0" w:line="240" w:lineRule="auto"/>
        <w:jc w:val="both"/>
        <w:rPr>
          <w:sz w:val="24"/>
          <w:szCs w:val="24"/>
          <w:lang w:val="en-US"/>
        </w:rPr>
      </w:pPr>
    </w:p>
    <w:p w:rsidR="00AB6330" w:rsidRPr="00AB6330" w:rsidRDefault="00AB6330" w:rsidP="009D410E">
      <w:pPr>
        <w:widowControl w:val="0"/>
        <w:jc w:val="both"/>
        <w:rPr>
          <w:szCs w:val="24"/>
        </w:rPr>
      </w:pPr>
    </w:p>
    <w:sectPr w:rsidR="00AB6330" w:rsidRPr="00AB6330" w:rsidSect="007B263B">
      <w:footerReference w:type="even" r:id="rId12"/>
      <w:footerReference w:type="default" r:id="rId13"/>
      <w:endnotePr>
        <w:numFmt w:val="lowerLetter"/>
      </w:endnotePr>
      <w:type w:val="continuous"/>
      <w:pgSz w:w="12240" w:h="15840"/>
      <w:pgMar w:top="709" w:right="1440" w:bottom="851"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76B" w:rsidRDefault="00CC576B" w:rsidP="00967480">
      <w:r>
        <w:separator/>
      </w:r>
    </w:p>
  </w:endnote>
  <w:endnote w:type="continuationSeparator" w:id="0">
    <w:p w:rsidR="00CC576B" w:rsidRDefault="00CC576B" w:rsidP="0096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D87" w:rsidRDefault="006F2267" w:rsidP="00086C7C">
    <w:pPr>
      <w:pStyle w:val="Footer"/>
      <w:framePr w:wrap="around" w:vAnchor="text" w:hAnchor="margin" w:xAlign="center" w:y="1"/>
      <w:rPr>
        <w:rStyle w:val="PageNumber"/>
      </w:rPr>
    </w:pPr>
    <w:r>
      <w:rPr>
        <w:rStyle w:val="PageNumber"/>
      </w:rPr>
      <w:fldChar w:fldCharType="begin"/>
    </w:r>
    <w:r w:rsidR="00354D87">
      <w:rPr>
        <w:rStyle w:val="PageNumber"/>
      </w:rPr>
      <w:instrText xml:space="preserve">PAGE  </w:instrText>
    </w:r>
    <w:r>
      <w:rPr>
        <w:rStyle w:val="PageNumber"/>
      </w:rPr>
      <w:fldChar w:fldCharType="separate"/>
    </w:r>
    <w:r w:rsidR="00F841C2">
      <w:rPr>
        <w:rStyle w:val="PageNumber"/>
        <w:noProof/>
      </w:rPr>
      <w:t>6</w:t>
    </w:r>
    <w:r>
      <w:rPr>
        <w:rStyle w:val="PageNumber"/>
      </w:rPr>
      <w:fldChar w:fldCharType="end"/>
    </w:r>
  </w:p>
  <w:p w:rsidR="00354D87" w:rsidRDefault="00354D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D87" w:rsidRDefault="006F2267" w:rsidP="00086C7C">
    <w:pPr>
      <w:pStyle w:val="Footer"/>
      <w:framePr w:wrap="around" w:vAnchor="text" w:hAnchor="margin" w:xAlign="center" w:y="1"/>
      <w:rPr>
        <w:rStyle w:val="PageNumber"/>
      </w:rPr>
    </w:pPr>
    <w:r>
      <w:rPr>
        <w:rStyle w:val="PageNumber"/>
      </w:rPr>
      <w:fldChar w:fldCharType="begin"/>
    </w:r>
    <w:r w:rsidR="00354D87">
      <w:rPr>
        <w:rStyle w:val="PageNumber"/>
      </w:rPr>
      <w:instrText xml:space="preserve">PAGE  </w:instrText>
    </w:r>
    <w:r>
      <w:rPr>
        <w:rStyle w:val="PageNumber"/>
      </w:rPr>
      <w:fldChar w:fldCharType="separate"/>
    </w:r>
    <w:r w:rsidR="00F841C2">
      <w:rPr>
        <w:rStyle w:val="PageNumber"/>
        <w:noProof/>
      </w:rPr>
      <w:t>1</w:t>
    </w:r>
    <w:r>
      <w:rPr>
        <w:rStyle w:val="PageNumber"/>
      </w:rPr>
      <w:fldChar w:fldCharType="end"/>
    </w:r>
  </w:p>
  <w:p w:rsidR="00354D87" w:rsidRDefault="00354D87">
    <w:pPr>
      <w:pStyle w:val="Footer"/>
      <w:jc w:val="right"/>
    </w:pPr>
  </w:p>
  <w:p w:rsidR="00354D87" w:rsidRDefault="00354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76B" w:rsidRDefault="00CC576B" w:rsidP="00967480">
      <w:r>
        <w:separator/>
      </w:r>
    </w:p>
  </w:footnote>
  <w:footnote w:type="continuationSeparator" w:id="0">
    <w:p w:rsidR="00CC576B" w:rsidRDefault="00CC576B" w:rsidP="00967480">
      <w:r>
        <w:continuationSeparator/>
      </w:r>
    </w:p>
  </w:footnote>
  <w:footnote w:id="1">
    <w:p w:rsidR="00D75DE9" w:rsidRPr="00302D70" w:rsidRDefault="00D75DE9" w:rsidP="00AB6330">
      <w:pPr>
        <w:pStyle w:val="FootnoteText"/>
        <w:jc w:val="both"/>
      </w:pPr>
      <w:r w:rsidRPr="00302D70">
        <w:rPr>
          <w:rStyle w:val="FootnoteReference"/>
        </w:rPr>
        <w:footnoteRef/>
      </w:r>
      <w:r w:rsidRPr="00302D70">
        <w:t xml:space="preserve"> </w:t>
      </w:r>
      <w:proofErr w:type="gramStart"/>
      <w:r w:rsidRPr="00302D70">
        <w:t>Concluding Observations, para.</w:t>
      </w:r>
      <w:proofErr w:type="gramEnd"/>
      <w:r w:rsidRPr="00302D70">
        <w:t xml:space="preserve"> 9. </w:t>
      </w:r>
    </w:p>
  </w:footnote>
  <w:footnote w:id="2">
    <w:p w:rsidR="002F2C00" w:rsidRPr="00302D70" w:rsidRDefault="002F2C00" w:rsidP="00AB6330">
      <w:pPr>
        <w:pStyle w:val="FootnoteText"/>
        <w:jc w:val="both"/>
      </w:pPr>
      <w:r w:rsidRPr="00302D70">
        <w:rPr>
          <w:rStyle w:val="FootnoteReference"/>
        </w:rPr>
        <w:footnoteRef/>
      </w:r>
      <w:r w:rsidRPr="00302D70">
        <w:t xml:space="preserve"> </w:t>
      </w:r>
      <w:proofErr w:type="gramStart"/>
      <w:r w:rsidRPr="00302D70">
        <w:t>Ibid, para 25.</w:t>
      </w:r>
      <w:proofErr w:type="gramEnd"/>
      <w:r w:rsidRPr="00302D70">
        <w:t xml:space="preserve"> </w:t>
      </w:r>
    </w:p>
  </w:footnote>
  <w:footnote w:id="3">
    <w:p w:rsidR="008F443F" w:rsidRDefault="008F443F">
      <w:pPr>
        <w:pStyle w:val="FootnoteText"/>
      </w:pPr>
      <w:r>
        <w:rPr>
          <w:rStyle w:val="FootnoteReference"/>
        </w:rPr>
        <w:footnoteRef/>
      </w:r>
      <w:r>
        <w:t xml:space="preserve"> Namely before the European Court of Human </w:t>
      </w:r>
      <w:r w:rsidR="0014415B">
        <w:t>Rights, case of</w:t>
      </w:r>
      <w:r w:rsidR="00496EA2">
        <w:t xml:space="preserve"> </w:t>
      </w:r>
      <w:proofErr w:type="spellStart"/>
      <w:r w:rsidR="00496EA2">
        <w:rPr>
          <w:i/>
        </w:rPr>
        <w:t>Veizi</w:t>
      </w:r>
      <w:proofErr w:type="spellEnd"/>
      <w:r w:rsidR="00496EA2">
        <w:rPr>
          <w:i/>
        </w:rPr>
        <w:t xml:space="preserve"> and Others v Albania</w:t>
      </w:r>
      <w:proofErr w:type="gramStart"/>
      <w:r w:rsidR="00496EA2">
        <w:rPr>
          <w:i/>
        </w:rPr>
        <w:t xml:space="preserve">, </w:t>
      </w:r>
      <w:r>
        <w:t xml:space="preserve"> </w:t>
      </w:r>
      <w:r w:rsidR="00496EA2">
        <w:t>appl</w:t>
      </w:r>
      <w:proofErr w:type="gramEnd"/>
      <w:r w:rsidR="00496EA2">
        <w:t xml:space="preserve">. no. 16191/13. </w:t>
      </w:r>
    </w:p>
  </w:footnote>
  <w:footnote w:id="4">
    <w:p w:rsidR="008163D2" w:rsidRPr="00302D70" w:rsidRDefault="008163D2" w:rsidP="00AB6330">
      <w:pPr>
        <w:pStyle w:val="FootnoteText"/>
        <w:jc w:val="both"/>
        <w:rPr>
          <w:lang w:val="en-GB"/>
        </w:rPr>
      </w:pPr>
      <w:r w:rsidRPr="00302D70">
        <w:rPr>
          <w:rStyle w:val="FootnoteReference"/>
        </w:rPr>
        <w:footnoteRef/>
      </w:r>
      <w:r w:rsidRPr="00302D70">
        <w:t xml:space="preserve"> </w:t>
      </w:r>
      <w:r w:rsidRPr="00302D70">
        <w:rPr>
          <w:lang w:val="en-GB"/>
        </w:rPr>
        <w:t xml:space="preserve">Adopted by the Eighth United Nations Congress on the Prevention of Crime and the </w:t>
      </w:r>
      <w:r w:rsidR="00E2373C" w:rsidRPr="00302D70">
        <w:rPr>
          <w:lang w:val="en-GB"/>
        </w:rPr>
        <w:t>Treatment of</w:t>
      </w:r>
      <w:r w:rsidRPr="00302D70">
        <w:rPr>
          <w:lang w:val="en-GB"/>
        </w:rPr>
        <w:t xml:space="preserve"> Offenders, Havana, Cuba, </w:t>
      </w:r>
      <w:proofErr w:type="gramStart"/>
      <w:r w:rsidRPr="00302D70">
        <w:rPr>
          <w:lang w:val="en-GB"/>
        </w:rPr>
        <w:t>27</w:t>
      </w:r>
      <w:proofErr w:type="gramEnd"/>
      <w:r w:rsidRPr="00302D70">
        <w:rPr>
          <w:lang w:val="en-GB"/>
        </w:rPr>
        <w:t xml:space="preserve"> August to 7 September 1990.</w:t>
      </w:r>
    </w:p>
  </w:footnote>
  <w:footnote w:id="5">
    <w:p w:rsidR="00E2373C" w:rsidRPr="00302D70" w:rsidRDefault="00E2373C" w:rsidP="00AB6330">
      <w:pPr>
        <w:pStyle w:val="FootnoteText"/>
        <w:jc w:val="both"/>
      </w:pPr>
      <w:r w:rsidRPr="00302D70">
        <w:rPr>
          <w:rStyle w:val="FootnoteReference"/>
        </w:rPr>
        <w:footnoteRef/>
      </w:r>
      <w:r w:rsidRPr="00302D70">
        <w:t xml:space="preserve"> </w:t>
      </w:r>
      <w:r w:rsidRPr="00302D70">
        <w:rPr>
          <w:lang w:val="en-GB"/>
        </w:rPr>
        <w:t xml:space="preserve">Adopted by the Eighth United Nations Congress on the Prevention of Crime and the Treatment of Offenders, Havana, Cuba, </w:t>
      </w:r>
      <w:proofErr w:type="gramStart"/>
      <w:r w:rsidRPr="00302D70">
        <w:rPr>
          <w:lang w:val="en-GB"/>
        </w:rPr>
        <w:t>27</w:t>
      </w:r>
      <w:proofErr w:type="gramEnd"/>
      <w:r w:rsidRPr="00302D70">
        <w:rPr>
          <w:lang w:val="en-GB"/>
        </w:rPr>
        <w:t xml:space="preserve"> August to 7 September 1990. See </w:t>
      </w:r>
      <w:r w:rsidRPr="00302D70">
        <w:rPr>
          <w:b/>
          <w:lang w:val="en-GB"/>
        </w:rPr>
        <w:t>Annex 1</w:t>
      </w:r>
      <w:r w:rsidRPr="00302D70">
        <w:rPr>
          <w:lang w:val="en-GB"/>
        </w:rPr>
        <w:t xml:space="preserve">, Res Publica letter to the General Prosecutor’s Office, dated 5 November 2011. The letter is in Albanian but the relevant references to the UN instruments can be easily discerned and for reasons of </w:t>
      </w:r>
      <w:r w:rsidR="00AB6330">
        <w:rPr>
          <w:lang w:val="en-GB"/>
        </w:rPr>
        <w:t>convenience have</w:t>
      </w:r>
      <w:r w:rsidRPr="00302D70">
        <w:rPr>
          <w:lang w:val="en-GB"/>
        </w:rPr>
        <w:t xml:space="preserve"> been highl</w:t>
      </w:r>
      <w:r w:rsidR="00936A95" w:rsidRPr="00302D70">
        <w:rPr>
          <w:lang w:val="en-GB"/>
        </w:rPr>
        <w:t>igh</w:t>
      </w:r>
      <w:r w:rsidRPr="00302D70">
        <w:rPr>
          <w:lang w:val="en-GB"/>
        </w:rPr>
        <w:t xml:space="preserve">ted. </w:t>
      </w:r>
    </w:p>
  </w:footnote>
  <w:footnote w:id="6">
    <w:p w:rsidR="002243A1" w:rsidRPr="00302D70" w:rsidRDefault="002243A1" w:rsidP="00AB6330">
      <w:pPr>
        <w:pStyle w:val="FootnoteText"/>
        <w:jc w:val="both"/>
      </w:pPr>
      <w:r w:rsidRPr="00302D70">
        <w:rPr>
          <w:rStyle w:val="FootnoteReference"/>
        </w:rPr>
        <w:footnoteRef/>
      </w:r>
      <w:r w:rsidRPr="00302D70">
        <w:t xml:space="preserve"> </w:t>
      </w:r>
      <w:r w:rsidRPr="00302D70">
        <w:rPr>
          <w:b/>
        </w:rPr>
        <w:t>Annex 2</w:t>
      </w:r>
      <w:r w:rsidRPr="00302D70">
        <w:t xml:space="preserve">, European Court of Human Rights, </w:t>
      </w:r>
      <w:proofErr w:type="spellStart"/>
      <w:r w:rsidRPr="00302D70">
        <w:rPr>
          <w:i/>
        </w:rPr>
        <w:t>Ceka</w:t>
      </w:r>
      <w:proofErr w:type="spellEnd"/>
      <w:r w:rsidRPr="00302D70">
        <w:rPr>
          <w:i/>
        </w:rPr>
        <w:t xml:space="preserve"> v. Albania, </w:t>
      </w:r>
      <w:r w:rsidRPr="00302D70">
        <w:t>no. 26872/05, decision on admissibility dated 22 February 2011, page 11</w:t>
      </w:r>
      <w:r w:rsidR="00413F30" w:rsidRPr="00302D70">
        <w:t>. The relevant excerpt has been highlighted</w:t>
      </w:r>
      <w:r w:rsidRPr="00302D70">
        <w:t xml:space="preserve">. </w:t>
      </w:r>
    </w:p>
  </w:footnote>
  <w:footnote w:id="7">
    <w:p w:rsidR="00E90846" w:rsidRPr="00302D70" w:rsidRDefault="00E90846" w:rsidP="00AB6330">
      <w:pPr>
        <w:pStyle w:val="FootnoteText"/>
        <w:jc w:val="both"/>
      </w:pPr>
      <w:r w:rsidRPr="00302D70">
        <w:rPr>
          <w:rStyle w:val="FootnoteReference"/>
        </w:rPr>
        <w:footnoteRef/>
      </w:r>
      <w:r w:rsidRPr="00302D70">
        <w:t xml:space="preserve"> </w:t>
      </w:r>
      <w:r w:rsidRPr="00302D70">
        <w:rPr>
          <w:b/>
        </w:rPr>
        <w:t>Annex 3,</w:t>
      </w:r>
      <w:r w:rsidRPr="00302D70">
        <w:t xml:space="preserve"> European Court of Human Rights, </w:t>
      </w:r>
      <w:proofErr w:type="spellStart"/>
      <w:r w:rsidRPr="00302D70">
        <w:rPr>
          <w:i/>
        </w:rPr>
        <w:t>Ceka</w:t>
      </w:r>
      <w:proofErr w:type="spellEnd"/>
      <w:r w:rsidRPr="00302D70">
        <w:rPr>
          <w:i/>
        </w:rPr>
        <w:t xml:space="preserve"> v. Albania, </w:t>
      </w:r>
      <w:r w:rsidRPr="00302D70">
        <w:t>no. 26872/05, decision on admissibility</w:t>
      </w:r>
      <w:r w:rsidR="00413F30" w:rsidRPr="00302D70">
        <w:t xml:space="preserve"> dated 22 February 2011, page 3. The relevant excerpt has been highlighted.</w:t>
      </w:r>
      <w:r w:rsidRPr="00302D70">
        <w:t xml:space="preserve"> </w:t>
      </w:r>
    </w:p>
    <w:p w:rsidR="00E90846" w:rsidRPr="00302D70" w:rsidRDefault="00E90846" w:rsidP="00AB6330">
      <w:pPr>
        <w:pStyle w:val="FootnoteText"/>
        <w:jc w:val="both"/>
      </w:pPr>
    </w:p>
  </w:footnote>
  <w:footnote w:id="8">
    <w:p w:rsidR="00496EE0" w:rsidRPr="00496EE0" w:rsidRDefault="00496EE0">
      <w:pPr>
        <w:pStyle w:val="FootnoteText"/>
      </w:pPr>
      <w:r>
        <w:rPr>
          <w:rStyle w:val="FootnoteReference"/>
        </w:rPr>
        <w:footnoteRef/>
      </w:r>
      <w:r>
        <w:t xml:space="preserve"> Thus for example in the case of </w:t>
      </w:r>
      <w:r>
        <w:rPr>
          <w:i/>
        </w:rPr>
        <w:t xml:space="preserve">McCann and Others v the United </w:t>
      </w:r>
      <w:proofErr w:type="gramStart"/>
      <w:r>
        <w:rPr>
          <w:i/>
        </w:rPr>
        <w:t xml:space="preserve">Kingdom  </w:t>
      </w:r>
      <w:r>
        <w:t>(</w:t>
      </w:r>
      <w:proofErr w:type="gramEnd"/>
      <w:r>
        <w:t xml:space="preserve">Grand Chamber, no. </w:t>
      </w:r>
      <w:r w:rsidR="00D674C7">
        <w:t xml:space="preserve">18984/91),  the European Court referred to and took into consideration the UN Principles on the Effective Prevention and Investigation of Extra-Legal, Arbitrary and Summary Executions and in particular to articles 9 to 17 that, according to the Court, “contain a series of detailed requirements that should be observed by investigative procedures in such </w:t>
      </w:r>
      <w:proofErr w:type="spellStart"/>
      <w:r w:rsidR="00D674C7">
        <w:t>deats</w:t>
      </w:r>
      <w:proofErr w:type="spellEnd"/>
      <w:r w:rsidR="00D674C7">
        <w:t xml:space="preserve">” (ibid, at para. 140).  </w:t>
      </w:r>
    </w:p>
  </w:footnote>
  <w:footnote w:id="9">
    <w:p w:rsidR="006D347F" w:rsidRPr="00302D70" w:rsidRDefault="006D347F" w:rsidP="00AB6330">
      <w:pPr>
        <w:pStyle w:val="FootnoteText"/>
        <w:jc w:val="both"/>
      </w:pPr>
      <w:r w:rsidRPr="00302D70">
        <w:rPr>
          <w:rStyle w:val="FootnoteReference"/>
        </w:rPr>
        <w:footnoteRef/>
      </w:r>
      <w:r w:rsidRPr="00302D70">
        <w:t xml:space="preserve"> </w:t>
      </w:r>
      <w:r w:rsidRPr="00302D70">
        <w:rPr>
          <w:b/>
        </w:rPr>
        <w:t xml:space="preserve">Annex </w:t>
      </w:r>
      <w:r w:rsidR="00B93266" w:rsidRPr="00302D70">
        <w:rPr>
          <w:b/>
        </w:rPr>
        <w:t>4</w:t>
      </w:r>
      <w:r w:rsidRPr="00302D70">
        <w:t xml:space="preserve">, </w:t>
      </w:r>
      <w:r w:rsidR="00DF0928" w:rsidRPr="00302D70">
        <w:t>European Parliament, 2014 Progress Report on Albania, P8_TA-</w:t>
      </w:r>
      <w:proofErr w:type="gramStart"/>
      <w:r w:rsidR="00DF0928" w:rsidRPr="00302D70">
        <w:t>PROV(</w:t>
      </w:r>
      <w:proofErr w:type="gramEnd"/>
      <w:r w:rsidR="00DF0928" w:rsidRPr="00302D70">
        <w:t xml:space="preserve">2015)0181, </w:t>
      </w:r>
      <w:r w:rsidR="0026772D">
        <w:t xml:space="preserve">dated </w:t>
      </w:r>
      <w:r w:rsidR="00DF0928" w:rsidRPr="00302D70">
        <w:t xml:space="preserve">30 April 2015, </w:t>
      </w:r>
      <w:r w:rsidRPr="00302D70">
        <w:t xml:space="preserve">paragraph 11. </w:t>
      </w:r>
    </w:p>
  </w:footnote>
  <w:footnote w:id="10">
    <w:p w:rsidR="00DF0928" w:rsidRPr="00302D70" w:rsidRDefault="00DF0928" w:rsidP="00AB6330">
      <w:pPr>
        <w:pStyle w:val="FootnoteText"/>
        <w:jc w:val="both"/>
      </w:pPr>
      <w:r w:rsidRPr="00302D70">
        <w:rPr>
          <w:rStyle w:val="FootnoteReference"/>
        </w:rPr>
        <w:footnoteRef/>
      </w:r>
      <w:r w:rsidRPr="00302D70">
        <w:t xml:space="preserve"> </w:t>
      </w:r>
      <w:r w:rsidR="00B93266" w:rsidRPr="00302D70">
        <w:rPr>
          <w:b/>
        </w:rPr>
        <w:t>Annex 5</w:t>
      </w:r>
      <w:r w:rsidRPr="00302D70">
        <w:t xml:space="preserve">, </w:t>
      </w:r>
      <w:r w:rsidR="00B93266" w:rsidRPr="00302D70">
        <w:t xml:space="preserve">Article </w:t>
      </w:r>
      <w:r w:rsidR="008B642B" w:rsidRPr="00302D70">
        <w:t xml:space="preserve">published at the Top Channel news portal, </w:t>
      </w:r>
      <w:r w:rsidR="003A49D3" w:rsidRPr="00302D70">
        <w:t>entitled “</w:t>
      </w:r>
      <w:proofErr w:type="spellStart"/>
      <w:r w:rsidR="008B642B" w:rsidRPr="00302D70">
        <w:t>Kukan</w:t>
      </w:r>
      <w:proofErr w:type="spellEnd"/>
      <w:r w:rsidR="008B642B" w:rsidRPr="00302D70">
        <w:t>: January 21</w:t>
      </w:r>
      <w:r w:rsidR="008B642B" w:rsidRPr="00302D70">
        <w:rPr>
          <w:vertAlign w:val="superscript"/>
        </w:rPr>
        <w:t>st</w:t>
      </w:r>
      <w:r w:rsidR="008B642B" w:rsidRPr="00302D70">
        <w:t xml:space="preserve"> delays, a bad signal”, </w:t>
      </w:r>
      <w:r w:rsidR="002079E1" w:rsidRPr="00302D70">
        <w:t xml:space="preserve">dated 21 January 2015. </w:t>
      </w:r>
    </w:p>
  </w:footnote>
  <w:footnote w:id="11">
    <w:p w:rsidR="00CB7DB7" w:rsidRPr="00302D70" w:rsidRDefault="00CB7DB7" w:rsidP="00AB6330">
      <w:pPr>
        <w:pStyle w:val="FootnoteText"/>
        <w:jc w:val="both"/>
      </w:pPr>
      <w:r w:rsidRPr="00302D70">
        <w:rPr>
          <w:rStyle w:val="FootnoteReference"/>
        </w:rPr>
        <w:footnoteRef/>
      </w:r>
      <w:r w:rsidRPr="00302D70">
        <w:t xml:space="preserve"> </w:t>
      </w:r>
      <w:r w:rsidR="00302D70" w:rsidRPr="003A49D3">
        <w:rPr>
          <w:b/>
        </w:rPr>
        <w:t>Annex 6</w:t>
      </w:r>
      <w:r w:rsidR="00302D70">
        <w:t xml:space="preserve">, Human Rights Watch press release </w:t>
      </w:r>
      <w:r w:rsidR="00302D70">
        <w:rPr>
          <w:i/>
        </w:rPr>
        <w:t xml:space="preserve">Albania: Independent Inquiry needed into Protester Deaths”, </w:t>
      </w:r>
      <w:r w:rsidR="0026772D">
        <w:t xml:space="preserve">dated </w:t>
      </w:r>
      <w:r w:rsidR="003A49D3">
        <w:t xml:space="preserve">26 January 2011. </w:t>
      </w:r>
    </w:p>
  </w:footnote>
  <w:footnote w:id="12">
    <w:p w:rsidR="0026772D" w:rsidRDefault="0026772D" w:rsidP="00AB6330">
      <w:pPr>
        <w:pStyle w:val="FootnoteText"/>
        <w:jc w:val="both"/>
      </w:pPr>
      <w:r>
        <w:rPr>
          <w:rStyle w:val="FootnoteReference"/>
        </w:rPr>
        <w:footnoteRef/>
      </w:r>
      <w:r>
        <w:t xml:space="preserve"> </w:t>
      </w:r>
      <w:r w:rsidRPr="0026772D">
        <w:rPr>
          <w:b/>
        </w:rPr>
        <w:t>Annex 7</w:t>
      </w:r>
      <w:r>
        <w:t>, Council of Europe, Commissioner for Human Rights press release entitled “</w:t>
      </w:r>
      <w:r w:rsidRPr="0026772D">
        <w:t>Albania needs to improve rule of law</w:t>
      </w:r>
      <w:r>
        <w:t xml:space="preserve">”, dated 26 September 2013. </w:t>
      </w:r>
    </w:p>
  </w:footnote>
  <w:footnote w:id="13">
    <w:p w:rsidR="000A10B6" w:rsidRDefault="000A10B6" w:rsidP="00AB6330">
      <w:pPr>
        <w:pStyle w:val="FootnoteText"/>
        <w:jc w:val="both"/>
      </w:pPr>
      <w:r>
        <w:rPr>
          <w:rStyle w:val="FootnoteReference"/>
        </w:rPr>
        <w:footnoteRef/>
      </w:r>
      <w:r>
        <w:t xml:space="preserve"> See </w:t>
      </w:r>
      <w:r w:rsidRPr="000A10B6">
        <w:rPr>
          <w:b/>
        </w:rPr>
        <w:t>Annexes 8a</w:t>
      </w:r>
      <w:r>
        <w:t xml:space="preserve"> and </w:t>
      </w:r>
      <w:r w:rsidRPr="000A10B6">
        <w:rPr>
          <w:b/>
        </w:rPr>
        <w:t>8b</w:t>
      </w:r>
      <w:r>
        <w:t xml:space="preserve">, Order 192/2014 </w:t>
      </w:r>
      <w:r w:rsidRPr="000A10B6">
        <w:rPr>
          <w:i/>
        </w:rPr>
        <w:t>on the Creation of an Inter-Institutional Working Group to Evaluate the Damage Suffered by the victims of 21 January 2011</w:t>
      </w:r>
      <w:r>
        <w:t xml:space="preserve">, dated 31 July 2014, in Albanian and English respectively. </w:t>
      </w:r>
    </w:p>
  </w:footnote>
  <w:footnote w:id="14">
    <w:p w:rsidR="00AE55F8" w:rsidRDefault="009D410E" w:rsidP="00AE55F8">
      <w:pPr>
        <w:pStyle w:val="FootnoteText"/>
        <w:jc w:val="both"/>
      </w:pPr>
      <w:r>
        <w:rPr>
          <w:rStyle w:val="FootnoteReference"/>
        </w:rPr>
        <w:footnoteRef/>
      </w:r>
      <w:r>
        <w:t xml:space="preserve"> </w:t>
      </w:r>
      <w:r w:rsidRPr="009D410E">
        <w:rPr>
          <w:b/>
        </w:rPr>
        <w:t>Annex 9</w:t>
      </w:r>
      <w:r>
        <w:t>, Press Statement of Minister of State</w:t>
      </w:r>
      <w:r w:rsidR="00FC260C">
        <w:t xml:space="preserve"> for Relations with Parliament,</w:t>
      </w:r>
      <w:r w:rsidR="00104F1D">
        <w:t xml:space="preserve"> </w:t>
      </w:r>
      <w:r>
        <w:t>entitled “</w:t>
      </w:r>
      <w:r w:rsidR="00AE55F8">
        <w:t>The State</w:t>
      </w:r>
      <w:r>
        <w:t xml:space="preserve"> assumes full responsibility for the murder of the four citizens on January 2011”, </w:t>
      </w:r>
      <w:r w:rsidR="00DB4354">
        <w:t xml:space="preserve">dated </w:t>
      </w:r>
      <w:r>
        <w:t xml:space="preserve">21 January 2015. The press statement was uploaded at the PM Office’s official website and is available in English  at </w:t>
      </w:r>
    </w:p>
    <w:p w:rsidR="009D410E" w:rsidRDefault="00F841C2" w:rsidP="00AE55F8">
      <w:pPr>
        <w:pStyle w:val="FootnoteText"/>
        <w:jc w:val="both"/>
      </w:pPr>
      <w:hyperlink r:id="rId1" w:history="1">
        <w:r w:rsidR="009D410E" w:rsidRPr="00735B28">
          <w:rPr>
            <w:rStyle w:val="Hyperlink"/>
          </w:rPr>
          <w:t>http://www.kryeministria.al/en/newsroom/press-releases/the-state-assumes-full-responsibility-for-the-murder-of-the-four-citizens-on-january-20111421867288</w:t>
        </w:r>
      </w:hyperlink>
      <w:r w:rsidR="009D410E">
        <w:t xml:space="preserve"> </w:t>
      </w:r>
    </w:p>
  </w:footnote>
  <w:footnote w:id="15">
    <w:p w:rsidR="0086381F" w:rsidRDefault="0086381F" w:rsidP="00AE55F8">
      <w:pPr>
        <w:pStyle w:val="FootnoteText"/>
        <w:jc w:val="both"/>
      </w:pPr>
      <w:r>
        <w:rPr>
          <w:rStyle w:val="FootnoteReference"/>
        </w:rPr>
        <w:footnoteRef/>
      </w:r>
      <w:r>
        <w:t xml:space="preserve"> </w:t>
      </w:r>
      <w:r w:rsidRPr="0086381F">
        <w:rPr>
          <w:b/>
        </w:rPr>
        <w:t xml:space="preserve">Annex </w:t>
      </w:r>
      <w:r w:rsidR="009D410E">
        <w:rPr>
          <w:b/>
        </w:rPr>
        <w:t>10</w:t>
      </w:r>
      <w:r>
        <w:t>, Transcript of interview by PM Edi Ram</w:t>
      </w:r>
      <w:r w:rsidR="00104F1D">
        <w:t xml:space="preserve">a to Top Channel journalist </w:t>
      </w:r>
      <w:proofErr w:type="spellStart"/>
      <w:r w:rsidR="00104F1D">
        <w:t>Rudi</w:t>
      </w:r>
      <w:r>
        <w:t>na</w:t>
      </w:r>
      <w:proofErr w:type="spellEnd"/>
      <w:r>
        <w:t xml:space="preserve"> </w:t>
      </w:r>
      <w:proofErr w:type="spellStart"/>
      <w:r>
        <w:t>Xhunga</w:t>
      </w:r>
      <w:proofErr w:type="spellEnd"/>
      <w:r>
        <w:t xml:space="preserve">, aired on 26 January 2015 (excerpts). </w:t>
      </w:r>
    </w:p>
  </w:footnote>
  <w:footnote w:id="16">
    <w:p w:rsidR="00DD5334" w:rsidRDefault="00DD5334" w:rsidP="00AE55F8">
      <w:pPr>
        <w:pStyle w:val="FootnoteText"/>
        <w:jc w:val="both"/>
      </w:pPr>
      <w:r>
        <w:rPr>
          <w:rStyle w:val="FootnoteReference"/>
        </w:rPr>
        <w:footnoteRef/>
      </w:r>
      <w:r>
        <w:t xml:space="preserve"> </w:t>
      </w:r>
      <w:r w:rsidRPr="00412011">
        <w:rPr>
          <w:b/>
        </w:rPr>
        <w:t>Annex 1</w:t>
      </w:r>
      <w:r w:rsidR="009D410E">
        <w:rPr>
          <w:b/>
        </w:rPr>
        <w:t>1</w:t>
      </w:r>
      <w:r w:rsidR="00412011">
        <w:t xml:space="preserve">, Law 7703/1993 on Social Insurance. See also </w:t>
      </w:r>
      <w:r w:rsidR="00412011" w:rsidRPr="00412011">
        <w:rPr>
          <w:b/>
        </w:rPr>
        <w:t>Annex 1</w:t>
      </w:r>
      <w:r w:rsidR="00104F1D">
        <w:rPr>
          <w:b/>
        </w:rPr>
        <w:t>2</w:t>
      </w:r>
      <w:r w:rsidR="00412011">
        <w:t xml:space="preserve">, Eligibility criteria for the granting of a special state pension as they appear on the website of </w:t>
      </w:r>
      <w:r w:rsidR="00DB4354">
        <w:t>the Institute</w:t>
      </w:r>
      <w:r w:rsidR="00412011">
        <w:t xml:space="preserve"> for Social Insurance. </w:t>
      </w:r>
    </w:p>
  </w:footnote>
  <w:footnote w:id="17">
    <w:p w:rsidR="008677B0" w:rsidRDefault="008677B0" w:rsidP="008677B0">
      <w:pPr>
        <w:pStyle w:val="FootnoteText"/>
        <w:jc w:val="both"/>
      </w:pPr>
      <w:r>
        <w:rPr>
          <w:rStyle w:val="FootnoteReference"/>
        </w:rPr>
        <w:footnoteRef/>
      </w:r>
      <w:r>
        <w:t xml:space="preserve"> </w:t>
      </w:r>
      <w:r w:rsidR="009D410E">
        <w:rPr>
          <w:b/>
        </w:rPr>
        <w:t>Annex 13</w:t>
      </w:r>
      <w:r w:rsidRPr="008677B0">
        <w:rPr>
          <w:b/>
        </w:rPr>
        <w:t>,</w:t>
      </w:r>
      <w:r>
        <w:t xml:space="preserve"> Council of Europe, European Commission against Racism and Intolerance, </w:t>
      </w:r>
      <w:proofErr w:type="gramStart"/>
      <w:r>
        <w:t>CRI(</w:t>
      </w:r>
      <w:proofErr w:type="gramEnd"/>
      <w:r>
        <w:t xml:space="preserve">20015)18, published on 9 June 2015, para. </w:t>
      </w:r>
      <w:proofErr w:type="gramStart"/>
      <w:r>
        <w:t>22 (excerpts).</w:t>
      </w:r>
      <w:proofErr w:type="gram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nsid w:val="00000003"/>
    <w:multiLevelType w:val="singleLevel"/>
    <w:tmpl w:val="00000003"/>
    <w:lvl w:ilvl="0">
      <w:start w:val="1"/>
      <w:numFmt w:val="none"/>
      <w:suff w:val="nothing"/>
      <w:lvlText w:val="$"/>
      <w:lvlJc w:val="left"/>
      <w:rPr>
        <w:rFonts w:ascii="WP TypographicSymbols" w:hAnsi="WP TypographicSymbols"/>
      </w:rPr>
    </w:lvl>
  </w:abstractNum>
  <w:abstractNum w:abstractNumId="3">
    <w:nsid w:val="00000004"/>
    <w:multiLevelType w:val="singleLevel"/>
    <w:tmpl w:val="00000004"/>
    <w:lvl w:ilvl="0">
      <w:start w:val="1"/>
      <w:numFmt w:val="none"/>
      <w:suff w:val="nothing"/>
      <w:lvlText w:val="$"/>
      <w:lvlJc w:val="left"/>
      <w:rPr>
        <w:rFonts w:ascii="WP TypographicSymbols" w:hAnsi="WP TypographicSymbols"/>
      </w:rPr>
    </w:lvl>
  </w:abstractNum>
  <w:abstractNum w:abstractNumId="4">
    <w:nsid w:val="00000005"/>
    <w:multiLevelType w:val="singleLevel"/>
    <w:tmpl w:val="00000005"/>
    <w:lvl w:ilvl="0">
      <w:start w:val="1"/>
      <w:numFmt w:val="none"/>
      <w:suff w:val="nothing"/>
      <w:lvlText w:val="$"/>
      <w:lvlJc w:val="left"/>
      <w:rPr>
        <w:rFonts w:ascii="WP TypographicSymbols" w:hAnsi="WP TypographicSymbols"/>
      </w:rPr>
    </w:lvl>
  </w:abstractNum>
  <w:abstractNum w:abstractNumId="5">
    <w:nsid w:val="03F46884"/>
    <w:multiLevelType w:val="hybridMultilevel"/>
    <w:tmpl w:val="B0624B8A"/>
    <w:lvl w:ilvl="0" w:tplc="F61AC816">
      <w:start w:val="9"/>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5844A13"/>
    <w:multiLevelType w:val="hybridMultilevel"/>
    <w:tmpl w:val="94C269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82178F2"/>
    <w:multiLevelType w:val="multilevel"/>
    <w:tmpl w:val="7228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E05733"/>
    <w:multiLevelType w:val="hybridMultilevel"/>
    <w:tmpl w:val="025E1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BC12672"/>
    <w:multiLevelType w:val="hybridMultilevel"/>
    <w:tmpl w:val="48B489F8"/>
    <w:lvl w:ilvl="0" w:tplc="DB0011CC">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0D442A71"/>
    <w:multiLevelType w:val="hybridMultilevel"/>
    <w:tmpl w:val="CA3E2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44597B"/>
    <w:multiLevelType w:val="multilevel"/>
    <w:tmpl w:val="1D22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862AB2"/>
    <w:multiLevelType w:val="hybridMultilevel"/>
    <w:tmpl w:val="C464C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1D54EE"/>
    <w:multiLevelType w:val="hybridMultilevel"/>
    <w:tmpl w:val="DA801B64"/>
    <w:lvl w:ilvl="0" w:tplc="DB0011CC">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B595509"/>
    <w:multiLevelType w:val="multilevel"/>
    <w:tmpl w:val="F7E6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A90B75"/>
    <w:multiLevelType w:val="hybridMultilevel"/>
    <w:tmpl w:val="4EE04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E05248"/>
    <w:multiLevelType w:val="hybridMultilevel"/>
    <w:tmpl w:val="C464C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702BBC"/>
    <w:multiLevelType w:val="multilevel"/>
    <w:tmpl w:val="2D9C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E06191"/>
    <w:multiLevelType w:val="hybridMultilevel"/>
    <w:tmpl w:val="1CC4DE20"/>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39BB0C8B"/>
    <w:multiLevelType w:val="multilevel"/>
    <w:tmpl w:val="D496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220927"/>
    <w:multiLevelType w:val="hybridMultilevel"/>
    <w:tmpl w:val="AE0226D2"/>
    <w:lvl w:ilvl="0" w:tplc="A51467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A48C9"/>
    <w:multiLevelType w:val="hybridMultilevel"/>
    <w:tmpl w:val="0674FBE0"/>
    <w:lvl w:ilvl="0" w:tplc="DB0011CC">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34C7CC6"/>
    <w:multiLevelType w:val="hybridMultilevel"/>
    <w:tmpl w:val="65EEB5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6D40ED"/>
    <w:multiLevelType w:val="hybridMultilevel"/>
    <w:tmpl w:val="F2A09D10"/>
    <w:lvl w:ilvl="0" w:tplc="DB0011CC">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5395FA0"/>
    <w:multiLevelType w:val="hybridMultilevel"/>
    <w:tmpl w:val="B18278A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5B328C"/>
    <w:multiLevelType w:val="hybridMultilevel"/>
    <w:tmpl w:val="1624DB24"/>
    <w:lvl w:ilvl="0" w:tplc="1AAEE224">
      <w:start w:val="1"/>
      <w:numFmt w:val="decimal"/>
      <w:lvlText w:val="%1."/>
      <w:lvlJc w:val="left"/>
      <w:pPr>
        <w:tabs>
          <w:tab w:val="num" w:pos="780"/>
        </w:tabs>
        <w:ind w:left="780" w:hanging="4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49BC76FF"/>
    <w:multiLevelType w:val="hybridMultilevel"/>
    <w:tmpl w:val="B64643E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851790"/>
    <w:multiLevelType w:val="multilevel"/>
    <w:tmpl w:val="5442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C367F3"/>
    <w:multiLevelType w:val="multilevel"/>
    <w:tmpl w:val="91BA0A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951F1A"/>
    <w:multiLevelType w:val="multilevel"/>
    <w:tmpl w:val="D2C4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5A19A8"/>
    <w:multiLevelType w:val="hybridMultilevel"/>
    <w:tmpl w:val="CAE2EB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BD4623"/>
    <w:multiLevelType w:val="multilevel"/>
    <w:tmpl w:val="0C5A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BA76AF"/>
    <w:multiLevelType w:val="multilevel"/>
    <w:tmpl w:val="F344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2738A7"/>
    <w:multiLevelType w:val="hybridMultilevel"/>
    <w:tmpl w:val="33409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9C2889"/>
    <w:multiLevelType w:val="hybridMultilevel"/>
    <w:tmpl w:val="7EE8FF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A869B0"/>
    <w:multiLevelType w:val="hybridMultilevel"/>
    <w:tmpl w:val="FB3CC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9D25DC"/>
    <w:multiLevelType w:val="hybridMultilevel"/>
    <w:tmpl w:val="D1D8DD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A645E01"/>
    <w:multiLevelType w:val="hybridMultilevel"/>
    <w:tmpl w:val="8D208D28"/>
    <w:lvl w:ilvl="0" w:tplc="10FE213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251BB6"/>
    <w:multiLevelType w:val="hybridMultilevel"/>
    <w:tmpl w:val="42CE41C6"/>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70BF288F"/>
    <w:multiLevelType w:val="hybridMultilevel"/>
    <w:tmpl w:val="6F0CBF0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0">
    <w:nsid w:val="7CCB4954"/>
    <w:multiLevelType w:val="hybridMultilevel"/>
    <w:tmpl w:val="3D425FBE"/>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D016A69"/>
    <w:multiLevelType w:val="hybridMultilevel"/>
    <w:tmpl w:val="00FE4D16"/>
    <w:lvl w:ilvl="0" w:tplc="A7A620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D8E07FD"/>
    <w:multiLevelType w:val="hybridMultilevel"/>
    <w:tmpl w:val="3F483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41"/>
  </w:num>
  <w:num w:numId="7">
    <w:abstractNumId w:val="13"/>
  </w:num>
  <w:num w:numId="8">
    <w:abstractNumId w:val="21"/>
  </w:num>
  <w:num w:numId="9">
    <w:abstractNumId w:val="39"/>
  </w:num>
  <w:num w:numId="10">
    <w:abstractNumId w:val="23"/>
  </w:num>
  <w:num w:numId="11">
    <w:abstractNumId w:val="9"/>
  </w:num>
  <w:num w:numId="12">
    <w:abstractNumId w:val="26"/>
  </w:num>
  <w:num w:numId="13">
    <w:abstractNumId w:val="24"/>
  </w:num>
  <w:num w:numId="14">
    <w:abstractNumId w:val="31"/>
  </w:num>
  <w:num w:numId="15">
    <w:abstractNumId w:val="29"/>
  </w:num>
  <w:num w:numId="16">
    <w:abstractNumId w:val="19"/>
  </w:num>
  <w:num w:numId="17">
    <w:abstractNumId w:val="17"/>
  </w:num>
  <w:num w:numId="18">
    <w:abstractNumId w:val="27"/>
  </w:num>
  <w:num w:numId="19">
    <w:abstractNumId w:val="28"/>
  </w:num>
  <w:num w:numId="20">
    <w:abstractNumId w:val="7"/>
  </w:num>
  <w:num w:numId="21">
    <w:abstractNumId w:val="14"/>
  </w:num>
  <w:num w:numId="22">
    <w:abstractNumId w:val="11"/>
  </w:num>
  <w:num w:numId="23">
    <w:abstractNumId w:val="32"/>
  </w:num>
  <w:num w:numId="24">
    <w:abstractNumId w:val="34"/>
  </w:num>
  <w:num w:numId="25">
    <w:abstractNumId w:val="33"/>
  </w:num>
  <w:num w:numId="26">
    <w:abstractNumId w:val="10"/>
  </w:num>
  <w:num w:numId="27">
    <w:abstractNumId w:val="15"/>
  </w:num>
  <w:num w:numId="28">
    <w:abstractNumId w:val="6"/>
  </w:num>
  <w:num w:numId="29">
    <w:abstractNumId w:val="8"/>
  </w:num>
  <w:num w:numId="30">
    <w:abstractNumId w:val="42"/>
  </w:num>
  <w:num w:numId="31">
    <w:abstractNumId w:val="5"/>
  </w:num>
  <w:num w:numId="32">
    <w:abstractNumId w:val="35"/>
  </w:num>
  <w:num w:numId="33">
    <w:abstractNumId w:val="36"/>
  </w:num>
  <w:num w:numId="34">
    <w:abstractNumId w:val="38"/>
  </w:num>
  <w:num w:numId="35">
    <w:abstractNumId w:val="40"/>
  </w:num>
  <w:num w:numId="36">
    <w:abstractNumId w:val="18"/>
  </w:num>
  <w:num w:numId="37">
    <w:abstractNumId w:val="25"/>
  </w:num>
  <w:num w:numId="38">
    <w:abstractNumId w:val="22"/>
  </w:num>
  <w:num w:numId="39">
    <w:abstractNumId w:val="30"/>
  </w:num>
  <w:num w:numId="40">
    <w:abstractNumId w:val="20"/>
  </w:num>
  <w:num w:numId="41">
    <w:abstractNumId w:val="37"/>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63"/>
    <w:rsid w:val="00005AEB"/>
    <w:rsid w:val="000065DA"/>
    <w:rsid w:val="00010C5E"/>
    <w:rsid w:val="000131BD"/>
    <w:rsid w:val="00013BD4"/>
    <w:rsid w:val="0001488E"/>
    <w:rsid w:val="00014B85"/>
    <w:rsid w:val="000162B6"/>
    <w:rsid w:val="00017215"/>
    <w:rsid w:val="000301D5"/>
    <w:rsid w:val="00030CE5"/>
    <w:rsid w:val="00030E9B"/>
    <w:rsid w:val="0003414A"/>
    <w:rsid w:val="00040A67"/>
    <w:rsid w:val="00044694"/>
    <w:rsid w:val="00044B1E"/>
    <w:rsid w:val="00050DE6"/>
    <w:rsid w:val="00051580"/>
    <w:rsid w:val="00061D35"/>
    <w:rsid w:val="00066EBA"/>
    <w:rsid w:val="00070B90"/>
    <w:rsid w:val="00071D9B"/>
    <w:rsid w:val="00085069"/>
    <w:rsid w:val="00086C7C"/>
    <w:rsid w:val="00087A69"/>
    <w:rsid w:val="000915FA"/>
    <w:rsid w:val="00092231"/>
    <w:rsid w:val="000933C7"/>
    <w:rsid w:val="00094205"/>
    <w:rsid w:val="000975F3"/>
    <w:rsid w:val="00097D6D"/>
    <w:rsid w:val="000A0B6E"/>
    <w:rsid w:val="000A10B6"/>
    <w:rsid w:val="000A37F7"/>
    <w:rsid w:val="000C1EAA"/>
    <w:rsid w:val="000C4B09"/>
    <w:rsid w:val="000C7084"/>
    <w:rsid w:val="000C77DA"/>
    <w:rsid w:val="000D21B5"/>
    <w:rsid w:val="000D430F"/>
    <w:rsid w:val="000D5FD3"/>
    <w:rsid w:val="000D610E"/>
    <w:rsid w:val="000E14B8"/>
    <w:rsid w:val="000F0903"/>
    <w:rsid w:val="000F1D3F"/>
    <w:rsid w:val="000F2DC8"/>
    <w:rsid w:val="000F55DA"/>
    <w:rsid w:val="000F6D53"/>
    <w:rsid w:val="00104F1D"/>
    <w:rsid w:val="001061BC"/>
    <w:rsid w:val="001075A5"/>
    <w:rsid w:val="00117F45"/>
    <w:rsid w:val="00126468"/>
    <w:rsid w:val="00132FB8"/>
    <w:rsid w:val="00136DD3"/>
    <w:rsid w:val="0014415B"/>
    <w:rsid w:val="0015079C"/>
    <w:rsid w:val="0015640B"/>
    <w:rsid w:val="001759A6"/>
    <w:rsid w:val="00176AC7"/>
    <w:rsid w:val="00184436"/>
    <w:rsid w:val="00187F20"/>
    <w:rsid w:val="00197B79"/>
    <w:rsid w:val="001A2384"/>
    <w:rsid w:val="001A2CED"/>
    <w:rsid w:val="001A34E1"/>
    <w:rsid w:val="001A40BE"/>
    <w:rsid w:val="001B04FB"/>
    <w:rsid w:val="001B2F77"/>
    <w:rsid w:val="001B416E"/>
    <w:rsid w:val="001B6063"/>
    <w:rsid w:val="001B7288"/>
    <w:rsid w:val="001B7451"/>
    <w:rsid w:val="001C07E7"/>
    <w:rsid w:val="001C18DC"/>
    <w:rsid w:val="001C3343"/>
    <w:rsid w:val="001C5389"/>
    <w:rsid w:val="001C670B"/>
    <w:rsid w:val="001D176D"/>
    <w:rsid w:val="001D75ED"/>
    <w:rsid w:val="001E768E"/>
    <w:rsid w:val="001F02B7"/>
    <w:rsid w:val="001F0D09"/>
    <w:rsid w:val="001F1ECB"/>
    <w:rsid w:val="001F3701"/>
    <w:rsid w:val="00201045"/>
    <w:rsid w:val="002021B9"/>
    <w:rsid w:val="00205607"/>
    <w:rsid w:val="00206E2A"/>
    <w:rsid w:val="002079E1"/>
    <w:rsid w:val="00207B5A"/>
    <w:rsid w:val="00207E3F"/>
    <w:rsid w:val="002110CA"/>
    <w:rsid w:val="00216F63"/>
    <w:rsid w:val="00217FF4"/>
    <w:rsid w:val="002227CE"/>
    <w:rsid w:val="00222C81"/>
    <w:rsid w:val="002240D1"/>
    <w:rsid w:val="002243A1"/>
    <w:rsid w:val="002277F1"/>
    <w:rsid w:val="00236333"/>
    <w:rsid w:val="00236390"/>
    <w:rsid w:val="002526EC"/>
    <w:rsid w:val="00253BD2"/>
    <w:rsid w:val="00256799"/>
    <w:rsid w:val="0026772D"/>
    <w:rsid w:val="00272171"/>
    <w:rsid w:val="00275434"/>
    <w:rsid w:val="002773C6"/>
    <w:rsid w:val="00286976"/>
    <w:rsid w:val="00290753"/>
    <w:rsid w:val="002935FF"/>
    <w:rsid w:val="002964B2"/>
    <w:rsid w:val="00297F10"/>
    <w:rsid w:val="002A026C"/>
    <w:rsid w:val="002A57ED"/>
    <w:rsid w:val="002B163E"/>
    <w:rsid w:val="002B3553"/>
    <w:rsid w:val="002C7AED"/>
    <w:rsid w:val="002D08B4"/>
    <w:rsid w:val="002D3569"/>
    <w:rsid w:val="002D3B1A"/>
    <w:rsid w:val="002E1E6A"/>
    <w:rsid w:val="002E3249"/>
    <w:rsid w:val="002E4F2A"/>
    <w:rsid w:val="002F1BA7"/>
    <w:rsid w:val="002F2C00"/>
    <w:rsid w:val="002F7A68"/>
    <w:rsid w:val="0030008A"/>
    <w:rsid w:val="00300DA3"/>
    <w:rsid w:val="003024F6"/>
    <w:rsid w:val="00302D70"/>
    <w:rsid w:val="00304217"/>
    <w:rsid w:val="00306404"/>
    <w:rsid w:val="00307F8A"/>
    <w:rsid w:val="00314BF9"/>
    <w:rsid w:val="0031644D"/>
    <w:rsid w:val="003248F8"/>
    <w:rsid w:val="00330D8C"/>
    <w:rsid w:val="00333B01"/>
    <w:rsid w:val="00341C4E"/>
    <w:rsid w:val="00347ECC"/>
    <w:rsid w:val="00354489"/>
    <w:rsid w:val="00354D87"/>
    <w:rsid w:val="0035529F"/>
    <w:rsid w:val="0035547F"/>
    <w:rsid w:val="003561F9"/>
    <w:rsid w:val="003564F4"/>
    <w:rsid w:val="00357AF7"/>
    <w:rsid w:val="00361685"/>
    <w:rsid w:val="003639CB"/>
    <w:rsid w:val="00370715"/>
    <w:rsid w:val="00380B1F"/>
    <w:rsid w:val="00381758"/>
    <w:rsid w:val="00384851"/>
    <w:rsid w:val="003877F8"/>
    <w:rsid w:val="00392340"/>
    <w:rsid w:val="003A22F7"/>
    <w:rsid w:val="003A30F1"/>
    <w:rsid w:val="003A42F4"/>
    <w:rsid w:val="003A49D3"/>
    <w:rsid w:val="003A621C"/>
    <w:rsid w:val="003B37BE"/>
    <w:rsid w:val="003B594F"/>
    <w:rsid w:val="003B76E7"/>
    <w:rsid w:val="003C6CD5"/>
    <w:rsid w:val="003C79F7"/>
    <w:rsid w:val="003D214A"/>
    <w:rsid w:val="003D3C48"/>
    <w:rsid w:val="003E519B"/>
    <w:rsid w:val="003E6322"/>
    <w:rsid w:val="003E6784"/>
    <w:rsid w:val="003E7058"/>
    <w:rsid w:val="003F12B0"/>
    <w:rsid w:val="003F339A"/>
    <w:rsid w:val="003F3CA8"/>
    <w:rsid w:val="003F404F"/>
    <w:rsid w:val="00400191"/>
    <w:rsid w:val="00400C20"/>
    <w:rsid w:val="00400F86"/>
    <w:rsid w:val="00401E4B"/>
    <w:rsid w:val="004024F3"/>
    <w:rsid w:val="004078C1"/>
    <w:rsid w:val="00412011"/>
    <w:rsid w:val="00413F30"/>
    <w:rsid w:val="004217E2"/>
    <w:rsid w:val="00421C06"/>
    <w:rsid w:val="00422CC0"/>
    <w:rsid w:val="0042379B"/>
    <w:rsid w:val="0043719C"/>
    <w:rsid w:val="00440655"/>
    <w:rsid w:val="004547B1"/>
    <w:rsid w:val="004626A2"/>
    <w:rsid w:val="0046413D"/>
    <w:rsid w:val="004719A8"/>
    <w:rsid w:val="00473240"/>
    <w:rsid w:val="00474FD6"/>
    <w:rsid w:val="004841F8"/>
    <w:rsid w:val="004871DE"/>
    <w:rsid w:val="00487DE6"/>
    <w:rsid w:val="0049285F"/>
    <w:rsid w:val="00496EA2"/>
    <w:rsid w:val="00496EE0"/>
    <w:rsid w:val="00497BDD"/>
    <w:rsid w:val="004A28B6"/>
    <w:rsid w:val="004A50A2"/>
    <w:rsid w:val="004A5B96"/>
    <w:rsid w:val="004B1D1D"/>
    <w:rsid w:val="004B21C7"/>
    <w:rsid w:val="004B6296"/>
    <w:rsid w:val="004D05EB"/>
    <w:rsid w:val="004D25C0"/>
    <w:rsid w:val="004D6AD1"/>
    <w:rsid w:val="004E0A2A"/>
    <w:rsid w:val="004E336C"/>
    <w:rsid w:val="004E7D2C"/>
    <w:rsid w:val="004F2A53"/>
    <w:rsid w:val="004F342B"/>
    <w:rsid w:val="004F35D6"/>
    <w:rsid w:val="00502CE7"/>
    <w:rsid w:val="00513DB9"/>
    <w:rsid w:val="005164A0"/>
    <w:rsid w:val="00522525"/>
    <w:rsid w:val="005251B5"/>
    <w:rsid w:val="005273D8"/>
    <w:rsid w:val="00532CD0"/>
    <w:rsid w:val="00533C99"/>
    <w:rsid w:val="0053401F"/>
    <w:rsid w:val="00534678"/>
    <w:rsid w:val="00537339"/>
    <w:rsid w:val="00537E25"/>
    <w:rsid w:val="00541B10"/>
    <w:rsid w:val="005563CE"/>
    <w:rsid w:val="00556AA2"/>
    <w:rsid w:val="00564952"/>
    <w:rsid w:val="00570EB7"/>
    <w:rsid w:val="0057695D"/>
    <w:rsid w:val="00581F13"/>
    <w:rsid w:val="00582E93"/>
    <w:rsid w:val="005832B1"/>
    <w:rsid w:val="00585D8D"/>
    <w:rsid w:val="0058730F"/>
    <w:rsid w:val="005879B0"/>
    <w:rsid w:val="005A0742"/>
    <w:rsid w:val="005A0CE8"/>
    <w:rsid w:val="005A17A6"/>
    <w:rsid w:val="005A5740"/>
    <w:rsid w:val="005A6D33"/>
    <w:rsid w:val="005B12B1"/>
    <w:rsid w:val="005B4396"/>
    <w:rsid w:val="005C17BB"/>
    <w:rsid w:val="005C2048"/>
    <w:rsid w:val="005C2F87"/>
    <w:rsid w:val="005C4635"/>
    <w:rsid w:val="005C74DB"/>
    <w:rsid w:val="005D22DE"/>
    <w:rsid w:val="005E70CB"/>
    <w:rsid w:val="00602ABA"/>
    <w:rsid w:val="0060430C"/>
    <w:rsid w:val="00604546"/>
    <w:rsid w:val="00605674"/>
    <w:rsid w:val="006060EA"/>
    <w:rsid w:val="00610B04"/>
    <w:rsid w:val="00610ED3"/>
    <w:rsid w:val="00623AA0"/>
    <w:rsid w:val="0062469A"/>
    <w:rsid w:val="006250CA"/>
    <w:rsid w:val="00631D71"/>
    <w:rsid w:val="006366E2"/>
    <w:rsid w:val="0063694B"/>
    <w:rsid w:val="00640347"/>
    <w:rsid w:val="006426BA"/>
    <w:rsid w:val="00644383"/>
    <w:rsid w:val="00646C11"/>
    <w:rsid w:val="00650D44"/>
    <w:rsid w:val="006524E8"/>
    <w:rsid w:val="00657ADA"/>
    <w:rsid w:val="006612BF"/>
    <w:rsid w:val="0066273D"/>
    <w:rsid w:val="00664132"/>
    <w:rsid w:val="0066414D"/>
    <w:rsid w:val="00671033"/>
    <w:rsid w:val="00671681"/>
    <w:rsid w:val="00672A76"/>
    <w:rsid w:val="0067496C"/>
    <w:rsid w:val="00677DDE"/>
    <w:rsid w:val="00695447"/>
    <w:rsid w:val="006A4632"/>
    <w:rsid w:val="006A47BF"/>
    <w:rsid w:val="006A6F34"/>
    <w:rsid w:val="006A769E"/>
    <w:rsid w:val="006A79C6"/>
    <w:rsid w:val="006B0346"/>
    <w:rsid w:val="006B2A5C"/>
    <w:rsid w:val="006B3208"/>
    <w:rsid w:val="006B65F0"/>
    <w:rsid w:val="006C498E"/>
    <w:rsid w:val="006D122A"/>
    <w:rsid w:val="006D1FBB"/>
    <w:rsid w:val="006D347F"/>
    <w:rsid w:val="006D724E"/>
    <w:rsid w:val="006E20E3"/>
    <w:rsid w:val="006F2267"/>
    <w:rsid w:val="006F52A7"/>
    <w:rsid w:val="006F59CD"/>
    <w:rsid w:val="00703A54"/>
    <w:rsid w:val="00707D28"/>
    <w:rsid w:val="00717C04"/>
    <w:rsid w:val="00720A16"/>
    <w:rsid w:val="00724277"/>
    <w:rsid w:val="007265AE"/>
    <w:rsid w:val="00727220"/>
    <w:rsid w:val="00733A5E"/>
    <w:rsid w:val="00735023"/>
    <w:rsid w:val="00743B1E"/>
    <w:rsid w:val="007458E7"/>
    <w:rsid w:val="007501F7"/>
    <w:rsid w:val="00754799"/>
    <w:rsid w:val="00755486"/>
    <w:rsid w:val="0075594B"/>
    <w:rsid w:val="0076390F"/>
    <w:rsid w:val="00764F75"/>
    <w:rsid w:val="00765D8B"/>
    <w:rsid w:val="00770079"/>
    <w:rsid w:val="00771ABB"/>
    <w:rsid w:val="0077217F"/>
    <w:rsid w:val="00773745"/>
    <w:rsid w:val="007746AF"/>
    <w:rsid w:val="00775D3F"/>
    <w:rsid w:val="007768EA"/>
    <w:rsid w:val="007808DD"/>
    <w:rsid w:val="00781BB2"/>
    <w:rsid w:val="00781CD8"/>
    <w:rsid w:val="00782D28"/>
    <w:rsid w:val="00782ED0"/>
    <w:rsid w:val="00782FDC"/>
    <w:rsid w:val="00791F23"/>
    <w:rsid w:val="00793B41"/>
    <w:rsid w:val="007949E8"/>
    <w:rsid w:val="00796F61"/>
    <w:rsid w:val="007A1635"/>
    <w:rsid w:val="007B047B"/>
    <w:rsid w:val="007B263B"/>
    <w:rsid w:val="007C62B2"/>
    <w:rsid w:val="007D0744"/>
    <w:rsid w:val="007D2622"/>
    <w:rsid w:val="007D63B2"/>
    <w:rsid w:val="007D65BF"/>
    <w:rsid w:val="007D693F"/>
    <w:rsid w:val="007E11A6"/>
    <w:rsid w:val="007E525D"/>
    <w:rsid w:val="007F4F39"/>
    <w:rsid w:val="007F772C"/>
    <w:rsid w:val="007F7B7E"/>
    <w:rsid w:val="0080148A"/>
    <w:rsid w:val="00802835"/>
    <w:rsid w:val="008032CC"/>
    <w:rsid w:val="0081623F"/>
    <w:rsid w:val="008163D2"/>
    <w:rsid w:val="0082085D"/>
    <w:rsid w:val="00832D74"/>
    <w:rsid w:val="008332AB"/>
    <w:rsid w:val="00833797"/>
    <w:rsid w:val="00834DAA"/>
    <w:rsid w:val="008367F2"/>
    <w:rsid w:val="00836D72"/>
    <w:rsid w:val="00840559"/>
    <w:rsid w:val="00840C91"/>
    <w:rsid w:val="008431EB"/>
    <w:rsid w:val="0084632D"/>
    <w:rsid w:val="00851314"/>
    <w:rsid w:val="008565BB"/>
    <w:rsid w:val="00857B54"/>
    <w:rsid w:val="0086381F"/>
    <w:rsid w:val="008677B0"/>
    <w:rsid w:val="00875E5D"/>
    <w:rsid w:val="00875E8B"/>
    <w:rsid w:val="00877B68"/>
    <w:rsid w:val="008A2A4E"/>
    <w:rsid w:val="008A3341"/>
    <w:rsid w:val="008A4CB3"/>
    <w:rsid w:val="008A5BF3"/>
    <w:rsid w:val="008A78AE"/>
    <w:rsid w:val="008B58E7"/>
    <w:rsid w:val="008B642B"/>
    <w:rsid w:val="008C005A"/>
    <w:rsid w:val="008C35C2"/>
    <w:rsid w:val="008D0E8C"/>
    <w:rsid w:val="008D4098"/>
    <w:rsid w:val="008E2BC3"/>
    <w:rsid w:val="008E6CE7"/>
    <w:rsid w:val="008F21F4"/>
    <w:rsid w:val="008F3600"/>
    <w:rsid w:val="008F443F"/>
    <w:rsid w:val="00900946"/>
    <w:rsid w:val="00900F4F"/>
    <w:rsid w:val="0090480E"/>
    <w:rsid w:val="00906BF6"/>
    <w:rsid w:val="00907C61"/>
    <w:rsid w:val="00911D34"/>
    <w:rsid w:val="00913ED3"/>
    <w:rsid w:val="0091538A"/>
    <w:rsid w:val="009162E5"/>
    <w:rsid w:val="009216F6"/>
    <w:rsid w:val="0092413E"/>
    <w:rsid w:val="00931F24"/>
    <w:rsid w:val="00934C3C"/>
    <w:rsid w:val="00936A95"/>
    <w:rsid w:val="00940981"/>
    <w:rsid w:val="00952E18"/>
    <w:rsid w:val="00954437"/>
    <w:rsid w:val="00957EE1"/>
    <w:rsid w:val="009603E8"/>
    <w:rsid w:val="009642EF"/>
    <w:rsid w:val="0096592D"/>
    <w:rsid w:val="00965ABF"/>
    <w:rsid w:val="00967480"/>
    <w:rsid w:val="00967B2B"/>
    <w:rsid w:val="0097711F"/>
    <w:rsid w:val="00982FB2"/>
    <w:rsid w:val="00985412"/>
    <w:rsid w:val="00991F75"/>
    <w:rsid w:val="009927EE"/>
    <w:rsid w:val="009928D2"/>
    <w:rsid w:val="009938CE"/>
    <w:rsid w:val="0099696F"/>
    <w:rsid w:val="009A68A0"/>
    <w:rsid w:val="009B29D7"/>
    <w:rsid w:val="009B4435"/>
    <w:rsid w:val="009B44B8"/>
    <w:rsid w:val="009B5F22"/>
    <w:rsid w:val="009C0B64"/>
    <w:rsid w:val="009C1C23"/>
    <w:rsid w:val="009C3377"/>
    <w:rsid w:val="009C4D95"/>
    <w:rsid w:val="009C51BF"/>
    <w:rsid w:val="009D410E"/>
    <w:rsid w:val="009D47B0"/>
    <w:rsid w:val="009E5E6B"/>
    <w:rsid w:val="009F074F"/>
    <w:rsid w:val="009F174C"/>
    <w:rsid w:val="00A0201F"/>
    <w:rsid w:val="00A07945"/>
    <w:rsid w:val="00A150BD"/>
    <w:rsid w:val="00A20845"/>
    <w:rsid w:val="00A2433F"/>
    <w:rsid w:val="00A24E7F"/>
    <w:rsid w:val="00A32CA3"/>
    <w:rsid w:val="00A37504"/>
    <w:rsid w:val="00A425F8"/>
    <w:rsid w:val="00A426A1"/>
    <w:rsid w:val="00A4744F"/>
    <w:rsid w:val="00A47CE4"/>
    <w:rsid w:val="00A52326"/>
    <w:rsid w:val="00A52B88"/>
    <w:rsid w:val="00A62AA7"/>
    <w:rsid w:val="00A634B0"/>
    <w:rsid w:val="00A65ED2"/>
    <w:rsid w:val="00A70DF7"/>
    <w:rsid w:val="00A7296E"/>
    <w:rsid w:val="00A81B1A"/>
    <w:rsid w:val="00A83FFB"/>
    <w:rsid w:val="00A85BD4"/>
    <w:rsid w:val="00A873F1"/>
    <w:rsid w:val="00A91D32"/>
    <w:rsid w:val="00A92221"/>
    <w:rsid w:val="00A940E4"/>
    <w:rsid w:val="00A96E6A"/>
    <w:rsid w:val="00AA12DE"/>
    <w:rsid w:val="00AA25E5"/>
    <w:rsid w:val="00AA3F54"/>
    <w:rsid w:val="00AA591C"/>
    <w:rsid w:val="00AB1CF2"/>
    <w:rsid w:val="00AB6330"/>
    <w:rsid w:val="00AB680C"/>
    <w:rsid w:val="00AB6DD5"/>
    <w:rsid w:val="00AC3344"/>
    <w:rsid w:val="00AC52C2"/>
    <w:rsid w:val="00AD014A"/>
    <w:rsid w:val="00AD21F3"/>
    <w:rsid w:val="00AD3443"/>
    <w:rsid w:val="00AD3B9B"/>
    <w:rsid w:val="00AE1E1A"/>
    <w:rsid w:val="00AE4A86"/>
    <w:rsid w:val="00AE55F8"/>
    <w:rsid w:val="00AF01AA"/>
    <w:rsid w:val="00B02B09"/>
    <w:rsid w:val="00B05392"/>
    <w:rsid w:val="00B072FE"/>
    <w:rsid w:val="00B12153"/>
    <w:rsid w:val="00B15F81"/>
    <w:rsid w:val="00B1690B"/>
    <w:rsid w:val="00B313B5"/>
    <w:rsid w:val="00B343EC"/>
    <w:rsid w:val="00B36167"/>
    <w:rsid w:val="00B362AB"/>
    <w:rsid w:val="00B36FBA"/>
    <w:rsid w:val="00B371A5"/>
    <w:rsid w:val="00B41231"/>
    <w:rsid w:val="00B44EB9"/>
    <w:rsid w:val="00B456F8"/>
    <w:rsid w:val="00B4588D"/>
    <w:rsid w:val="00B468C7"/>
    <w:rsid w:val="00B52B47"/>
    <w:rsid w:val="00B5541D"/>
    <w:rsid w:val="00B63ECF"/>
    <w:rsid w:val="00B702CF"/>
    <w:rsid w:val="00B73D31"/>
    <w:rsid w:val="00B762AA"/>
    <w:rsid w:val="00B8133F"/>
    <w:rsid w:val="00B93266"/>
    <w:rsid w:val="00B96D3C"/>
    <w:rsid w:val="00BA0165"/>
    <w:rsid w:val="00BA02D7"/>
    <w:rsid w:val="00BA2BA0"/>
    <w:rsid w:val="00BB0F4F"/>
    <w:rsid w:val="00BC0432"/>
    <w:rsid w:val="00BC740D"/>
    <w:rsid w:val="00BD57FF"/>
    <w:rsid w:val="00BD7E54"/>
    <w:rsid w:val="00BE34B7"/>
    <w:rsid w:val="00BF2146"/>
    <w:rsid w:val="00BF35E3"/>
    <w:rsid w:val="00BF5C0B"/>
    <w:rsid w:val="00C04DF9"/>
    <w:rsid w:val="00C10120"/>
    <w:rsid w:val="00C12F5F"/>
    <w:rsid w:val="00C16D62"/>
    <w:rsid w:val="00C20B18"/>
    <w:rsid w:val="00C222E0"/>
    <w:rsid w:val="00C25819"/>
    <w:rsid w:val="00C26842"/>
    <w:rsid w:val="00C31EAE"/>
    <w:rsid w:val="00C325CB"/>
    <w:rsid w:val="00C35551"/>
    <w:rsid w:val="00C56A17"/>
    <w:rsid w:val="00C70194"/>
    <w:rsid w:val="00C701B4"/>
    <w:rsid w:val="00C728D7"/>
    <w:rsid w:val="00C81940"/>
    <w:rsid w:val="00C82543"/>
    <w:rsid w:val="00C8623C"/>
    <w:rsid w:val="00C86AA7"/>
    <w:rsid w:val="00C92261"/>
    <w:rsid w:val="00C93470"/>
    <w:rsid w:val="00C93ADC"/>
    <w:rsid w:val="00C94C56"/>
    <w:rsid w:val="00C9633F"/>
    <w:rsid w:val="00C96C7D"/>
    <w:rsid w:val="00CA16E2"/>
    <w:rsid w:val="00CA1F3C"/>
    <w:rsid w:val="00CB560A"/>
    <w:rsid w:val="00CB7DB7"/>
    <w:rsid w:val="00CC3CB6"/>
    <w:rsid w:val="00CC576B"/>
    <w:rsid w:val="00CC660F"/>
    <w:rsid w:val="00CD0C5B"/>
    <w:rsid w:val="00CD35C9"/>
    <w:rsid w:val="00CD430A"/>
    <w:rsid w:val="00CD4E49"/>
    <w:rsid w:val="00CD52B5"/>
    <w:rsid w:val="00CD571C"/>
    <w:rsid w:val="00CE2E6A"/>
    <w:rsid w:val="00CE3A10"/>
    <w:rsid w:val="00CE48D7"/>
    <w:rsid w:val="00CE4A3A"/>
    <w:rsid w:val="00CE6158"/>
    <w:rsid w:val="00CE637D"/>
    <w:rsid w:val="00CE67A7"/>
    <w:rsid w:val="00CE779F"/>
    <w:rsid w:val="00CF149E"/>
    <w:rsid w:val="00CF5468"/>
    <w:rsid w:val="00CF77E8"/>
    <w:rsid w:val="00D26AC0"/>
    <w:rsid w:val="00D32EF5"/>
    <w:rsid w:val="00D35331"/>
    <w:rsid w:val="00D36356"/>
    <w:rsid w:val="00D3641D"/>
    <w:rsid w:val="00D465E0"/>
    <w:rsid w:val="00D501E0"/>
    <w:rsid w:val="00D600F1"/>
    <w:rsid w:val="00D6191D"/>
    <w:rsid w:val="00D672EC"/>
    <w:rsid w:val="00D674C7"/>
    <w:rsid w:val="00D67CFD"/>
    <w:rsid w:val="00D70B5D"/>
    <w:rsid w:val="00D74BA7"/>
    <w:rsid w:val="00D75DE9"/>
    <w:rsid w:val="00D81516"/>
    <w:rsid w:val="00DB11FD"/>
    <w:rsid w:val="00DB172E"/>
    <w:rsid w:val="00DB1F49"/>
    <w:rsid w:val="00DB4354"/>
    <w:rsid w:val="00DC0F70"/>
    <w:rsid w:val="00DC3EDD"/>
    <w:rsid w:val="00DD389C"/>
    <w:rsid w:val="00DD5334"/>
    <w:rsid w:val="00DE0863"/>
    <w:rsid w:val="00DE1757"/>
    <w:rsid w:val="00DE548B"/>
    <w:rsid w:val="00DF0928"/>
    <w:rsid w:val="00E105B7"/>
    <w:rsid w:val="00E1077D"/>
    <w:rsid w:val="00E131DA"/>
    <w:rsid w:val="00E1396C"/>
    <w:rsid w:val="00E17272"/>
    <w:rsid w:val="00E2373C"/>
    <w:rsid w:val="00E25AE0"/>
    <w:rsid w:val="00E31199"/>
    <w:rsid w:val="00E32D1B"/>
    <w:rsid w:val="00E33E3B"/>
    <w:rsid w:val="00E34AC9"/>
    <w:rsid w:val="00E45803"/>
    <w:rsid w:val="00E45BDF"/>
    <w:rsid w:val="00E536F3"/>
    <w:rsid w:val="00E6243B"/>
    <w:rsid w:val="00E632DD"/>
    <w:rsid w:val="00E71CF3"/>
    <w:rsid w:val="00E8089C"/>
    <w:rsid w:val="00E81702"/>
    <w:rsid w:val="00E90846"/>
    <w:rsid w:val="00E90BC4"/>
    <w:rsid w:val="00E942AF"/>
    <w:rsid w:val="00E962F4"/>
    <w:rsid w:val="00E96FD7"/>
    <w:rsid w:val="00EA2E38"/>
    <w:rsid w:val="00EA3571"/>
    <w:rsid w:val="00EA761E"/>
    <w:rsid w:val="00EA7A8B"/>
    <w:rsid w:val="00EB1715"/>
    <w:rsid w:val="00EC07AC"/>
    <w:rsid w:val="00EC1AE3"/>
    <w:rsid w:val="00EC45D2"/>
    <w:rsid w:val="00ED7D92"/>
    <w:rsid w:val="00EE0926"/>
    <w:rsid w:val="00EE5286"/>
    <w:rsid w:val="00F02D35"/>
    <w:rsid w:val="00F05E00"/>
    <w:rsid w:val="00F06066"/>
    <w:rsid w:val="00F07319"/>
    <w:rsid w:val="00F10DFC"/>
    <w:rsid w:val="00F1601D"/>
    <w:rsid w:val="00F16390"/>
    <w:rsid w:val="00F25962"/>
    <w:rsid w:val="00F33EAF"/>
    <w:rsid w:val="00F340AD"/>
    <w:rsid w:val="00F52FEE"/>
    <w:rsid w:val="00F618FE"/>
    <w:rsid w:val="00F67961"/>
    <w:rsid w:val="00F70619"/>
    <w:rsid w:val="00F72E7B"/>
    <w:rsid w:val="00F74379"/>
    <w:rsid w:val="00F841C2"/>
    <w:rsid w:val="00F859DF"/>
    <w:rsid w:val="00F92496"/>
    <w:rsid w:val="00F93951"/>
    <w:rsid w:val="00FA4CE8"/>
    <w:rsid w:val="00FA7B67"/>
    <w:rsid w:val="00FB1061"/>
    <w:rsid w:val="00FB7A23"/>
    <w:rsid w:val="00FC260C"/>
    <w:rsid w:val="00FC3D9D"/>
    <w:rsid w:val="00FC6E84"/>
    <w:rsid w:val="00FD4F8E"/>
    <w:rsid w:val="00FD5571"/>
    <w:rsid w:val="00FD5D49"/>
    <w:rsid w:val="00FD7867"/>
    <w:rsid w:val="00FE0161"/>
    <w:rsid w:val="00FE2E30"/>
    <w:rsid w:val="00FE636A"/>
    <w:rsid w:val="00FF0D81"/>
    <w:rsid w:val="00FF37D7"/>
    <w:rsid w:val="00FF3DD6"/>
    <w:rsid w:val="00FF45F1"/>
    <w:rsid w:val="00FF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199"/>
    <w:rPr>
      <w:sz w:val="24"/>
    </w:rPr>
  </w:style>
  <w:style w:type="paragraph" w:styleId="Heading3">
    <w:name w:val="heading 3"/>
    <w:basedOn w:val="Normal"/>
    <w:next w:val="Normal"/>
    <w:link w:val="Heading3Char"/>
    <w:semiHidden/>
    <w:unhideWhenUsed/>
    <w:qFormat/>
    <w:rsid w:val="0056495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F3701"/>
    <w:rPr>
      <w:rFonts w:ascii="Tahoma" w:hAnsi="Tahoma" w:cs="Tahoma"/>
      <w:sz w:val="16"/>
      <w:szCs w:val="16"/>
    </w:rPr>
  </w:style>
  <w:style w:type="paragraph" w:customStyle="1" w:styleId="Level1">
    <w:name w:val="Level 1"/>
    <w:basedOn w:val="Normal"/>
    <w:rsid w:val="00E31199"/>
    <w:pPr>
      <w:widowControl w:val="0"/>
    </w:pPr>
  </w:style>
  <w:style w:type="character" w:styleId="Hyperlink">
    <w:name w:val="Hyperlink"/>
    <w:basedOn w:val="DefaultParagraphFont"/>
    <w:rsid w:val="00BF2146"/>
    <w:rPr>
      <w:color w:val="0000FF"/>
      <w:u w:val="single"/>
    </w:rPr>
  </w:style>
  <w:style w:type="paragraph" w:styleId="DocumentMap">
    <w:name w:val="Document Map"/>
    <w:basedOn w:val="Normal"/>
    <w:semiHidden/>
    <w:rsid w:val="003A42F4"/>
    <w:pPr>
      <w:shd w:val="clear" w:color="auto" w:fill="000080"/>
    </w:pPr>
    <w:rPr>
      <w:rFonts w:ascii="Tahoma" w:hAnsi="Tahoma" w:cs="Tahoma"/>
      <w:sz w:val="20"/>
    </w:rPr>
  </w:style>
  <w:style w:type="character" w:styleId="CommentReference">
    <w:name w:val="annotation reference"/>
    <w:basedOn w:val="DefaultParagraphFont"/>
    <w:semiHidden/>
    <w:rsid w:val="00900F4F"/>
    <w:rPr>
      <w:sz w:val="16"/>
      <w:szCs w:val="16"/>
    </w:rPr>
  </w:style>
  <w:style w:type="paragraph" w:styleId="CommentText">
    <w:name w:val="annotation text"/>
    <w:basedOn w:val="Normal"/>
    <w:semiHidden/>
    <w:rsid w:val="00900F4F"/>
    <w:rPr>
      <w:sz w:val="20"/>
    </w:rPr>
  </w:style>
  <w:style w:type="paragraph" w:styleId="CommentSubject">
    <w:name w:val="annotation subject"/>
    <w:basedOn w:val="CommentText"/>
    <w:next w:val="CommentText"/>
    <w:semiHidden/>
    <w:rsid w:val="00513DB9"/>
    <w:rPr>
      <w:b/>
      <w:bCs/>
    </w:rPr>
  </w:style>
  <w:style w:type="paragraph" w:styleId="ListParagraph">
    <w:name w:val="List Paragraph"/>
    <w:basedOn w:val="Normal"/>
    <w:uiPriority w:val="34"/>
    <w:qFormat/>
    <w:rsid w:val="00A32CA3"/>
    <w:pPr>
      <w:ind w:left="720"/>
      <w:contextualSpacing/>
    </w:pPr>
    <w:rPr>
      <w:szCs w:val="24"/>
    </w:rPr>
  </w:style>
  <w:style w:type="paragraph" w:styleId="Header">
    <w:name w:val="header"/>
    <w:basedOn w:val="Normal"/>
    <w:link w:val="HeaderChar"/>
    <w:rsid w:val="00967480"/>
    <w:pPr>
      <w:tabs>
        <w:tab w:val="center" w:pos="4680"/>
        <w:tab w:val="right" w:pos="9360"/>
      </w:tabs>
    </w:pPr>
  </w:style>
  <w:style w:type="character" w:customStyle="1" w:styleId="HeaderChar">
    <w:name w:val="Header Char"/>
    <w:basedOn w:val="DefaultParagraphFont"/>
    <w:link w:val="Header"/>
    <w:rsid w:val="00967480"/>
    <w:rPr>
      <w:sz w:val="24"/>
      <w:lang w:eastAsia="en-US"/>
    </w:rPr>
  </w:style>
  <w:style w:type="paragraph" w:styleId="Footer">
    <w:name w:val="footer"/>
    <w:basedOn w:val="Normal"/>
    <w:link w:val="FooterChar"/>
    <w:uiPriority w:val="99"/>
    <w:rsid w:val="00967480"/>
    <w:pPr>
      <w:tabs>
        <w:tab w:val="center" w:pos="4680"/>
        <w:tab w:val="right" w:pos="9360"/>
      </w:tabs>
    </w:pPr>
  </w:style>
  <w:style w:type="character" w:customStyle="1" w:styleId="FooterChar">
    <w:name w:val="Footer Char"/>
    <w:basedOn w:val="DefaultParagraphFont"/>
    <w:link w:val="Footer"/>
    <w:uiPriority w:val="99"/>
    <w:rsid w:val="00967480"/>
    <w:rPr>
      <w:sz w:val="24"/>
      <w:lang w:eastAsia="en-US"/>
    </w:rPr>
  </w:style>
  <w:style w:type="paragraph" w:styleId="FootnoteText">
    <w:name w:val="footnote text"/>
    <w:basedOn w:val="Normal"/>
    <w:semiHidden/>
    <w:rsid w:val="003F404F"/>
    <w:rPr>
      <w:sz w:val="20"/>
    </w:rPr>
  </w:style>
  <w:style w:type="character" w:styleId="FootnoteReference">
    <w:name w:val="footnote reference"/>
    <w:basedOn w:val="DefaultParagraphFont"/>
    <w:semiHidden/>
    <w:rsid w:val="003F404F"/>
    <w:rPr>
      <w:vertAlign w:val="superscript"/>
    </w:rPr>
  </w:style>
  <w:style w:type="character" w:styleId="PageNumber">
    <w:name w:val="page number"/>
    <w:basedOn w:val="DefaultParagraphFont"/>
    <w:rsid w:val="005164A0"/>
  </w:style>
  <w:style w:type="character" w:customStyle="1" w:styleId="text">
    <w:name w:val="text"/>
    <w:basedOn w:val="DefaultParagraphFont"/>
    <w:rsid w:val="00D35331"/>
  </w:style>
  <w:style w:type="paragraph" w:styleId="HTMLPreformatted">
    <w:name w:val="HTML Preformatted"/>
    <w:basedOn w:val="Normal"/>
    <w:rsid w:val="001E768E"/>
    <w:rPr>
      <w:rFonts w:ascii="Courier New" w:hAnsi="Courier New" w:cs="Courier New"/>
      <w:sz w:val="20"/>
    </w:rPr>
  </w:style>
  <w:style w:type="character" w:customStyle="1" w:styleId="apple-style-span">
    <w:name w:val="apple-style-span"/>
    <w:basedOn w:val="DefaultParagraphFont"/>
    <w:rsid w:val="00A83FFB"/>
  </w:style>
  <w:style w:type="paragraph" w:customStyle="1" w:styleId="JuCase">
    <w:name w:val="Ju_Case"/>
    <w:basedOn w:val="Normal"/>
    <w:next w:val="Normal"/>
    <w:link w:val="JuCaseChar"/>
    <w:rsid w:val="0015640B"/>
    <w:pPr>
      <w:suppressAutoHyphens/>
      <w:ind w:firstLine="284"/>
      <w:jc w:val="both"/>
    </w:pPr>
    <w:rPr>
      <w:b/>
      <w:lang w:val="en-GB" w:eastAsia="fr-FR"/>
    </w:rPr>
  </w:style>
  <w:style w:type="character" w:customStyle="1" w:styleId="JuCaseChar">
    <w:name w:val="Ju_Case Char"/>
    <w:basedOn w:val="DefaultParagraphFont"/>
    <w:link w:val="JuCase"/>
    <w:rsid w:val="0015640B"/>
    <w:rPr>
      <w:b/>
      <w:sz w:val="24"/>
      <w:lang w:val="en-GB" w:eastAsia="fr-FR" w:bidi="ar-SA"/>
    </w:rPr>
  </w:style>
  <w:style w:type="character" w:customStyle="1" w:styleId="Heading3Char">
    <w:name w:val="Heading 3 Char"/>
    <w:basedOn w:val="DefaultParagraphFont"/>
    <w:link w:val="Heading3"/>
    <w:semiHidden/>
    <w:rsid w:val="00564952"/>
    <w:rPr>
      <w:rFonts w:asciiTheme="majorHAnsi" w:eastAsiaTheme="majorEastAsia" w:hAnsiTheme="majorHAnsi" w:cstheme="majorBidi"/>
      <w:b/>
      <w:bCs/>
      <w:color w:val="4F81BD" w:themeColor="accent1"/>
      <w:sz w:val="24"/>
    </w:rPr>
  </w:style>
  <w:style w:type="paragraph" w:styleId="EndnoteText">
    <w:name w:val="endnote text"/>
    <w:basedOn w:val="Normal"/>
    <w:link w:val="EndnoteTextChar"/>
    <w:rsid w:val="00E90846"/>
    <w:rPr>
      <w:sz w:val="20"/>
    </w:rPr>
  </w:style>
  <w:style w:type="character" w:customStyle="1" w:styleId="EndnoteTextChar">
    <w:name w:val="Endnote Text Char"/>
    <w:basedOn w:val="DefaultParagraphFont"/>
    <w:link w:val="EndnoteText"/>
    <w:rsid w:val="00E90846"/>
  </w:style>
  <w:style w:type="character" w:styleId="EndnoteReference">
    <w:name w:val="endnote reference"/>
    <w:basedOn w:val="DefaultParagraphFont"/>
    <w:rsid w:val="00E90846"/>
    <w:rPr>
      <w:vertAlign w:val="superscript"/>
    </w:rPr>
  </w:style>
  <w:style w:type="paragraph" w:styleId="BodyText2">
    <w:name w:val="Body Text 2"/>
    <w:basedOn w:val="Normal"/>
    <w:link w:val="BodyText2Char"/>
    <w:rsid w:val="00AB6330"/>
    <w:pPr>
      <w:overflowPunct w:val="0"/>
      <w:autoSpaceDE w:val="0"/>
      <w:autoSpaceDN w:val="0"/>
      <w:adjustRightInd w:val="0"/>
      <w:spacing w:after="120" w:line="480" w:lineRule="auto"/>
      <w:textAlignment w:val="baseline"/>
    </w:pPr>
    <w:rPr>
      <w:sz w:val="20"/>
      <w:lang w:val="en-GB" w:eastAsia="en-GB"/>
    </w:rPr>
  </w:style>
  <w:style w:type="character" w:customStyle="1" w:styleId="BodyText2Char">
    <w:name w:val="Body Text 2 Char"/>
    <w:basedOn w:val="DefaultParagraphFont"/>
    <w:link w:val="BodyText2"/>
    <w:rsid w:val="00AB6330"/>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199"/>
    <w:rPr>
      <w:sz w:val="24"/>
    </w:rPr>
  </w:style>
  <w:style w:type="paragraph" w:styleId="Heading3">
    <w:name w:val="heading 3"/>
    <w:basedOn w:val="Normal"/>
    <w:next w:val="Normal"/>
    <w:link w:val="Heading3Char"/>
    <w:semiHidden/>
    <w:unhideWhenUsed/>
    <w:qFormat/>
    <w:rsid w:val="0056495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F3701"/>
    <w:rPr>
      <w:rFonts w:ascii="Tahoma" w:hAnsi="Tahoma" w:cs="Tahoma"/>
      <w:sz w:val="16"/>
      <w:szCs w:val="16"/>
    </w:rPr>
  </w:style>
  <w:style w:type="paragraph" w:customStyle="1" w:styleId="Level1">
    <w:name w:val="Level 1"/>
    <w:basedOn w:val="Normal"/>
    <w:rsid w:val="00E31199"/>
    <w:pPr>
      <w:widowControl w:val="0"/>
    </w:pPr>
  </w:style>
  <w:style w:type="character" w:styleId="Hyperlink">
    <w:name w:val="Hyperlink"/>
    <w:basedOn w:val="DefaultParagraphFont"/>
    <w:rsid w:val="00BF2146"/>
    <w:rPr>
      <w:color w:val="0000FF"/>
      <w:u w:val="single"/>
    </w:rPr>
  </w:style>
  <w:style w:type="paragraph" w:styleId="DocumentMap">
    <w:name w:val="Document Map"/>
    <w:basedOn w:val="Normal"/>
    <w:semiHidden/>
    <w:rsid w:val="003A42F4"/>
    <w:pPr>
      <w:shd w:val="clear" w:color="auto" w:fill="000080"/>
    </w:pPr>
    <w:rPr>
      <w:rFonts w:ascii="Tahoma" w:hAnsi="Tahoma" w:cs="Tahoma"/>
      <w:sz w:val="20"/>
    </w:rPr>
  </w:style>
  <w:style w:type="character" w:styleId="CommentReference">
    <w:name w:val="annotation reference"/>
    <w:basedOn w:val="DefaultParagraphFont"/>
    <w:semiHidden/>
    <w:rsid w:val="00900F4F"/>
    <w:rPr>
      <w:sz w:val="16"/>
      <w:szCs w:val="16"/>
    </w:rPr>
  </w:style>
  <w:style w:type="paragraph" w:styleId="CommentText">
    <w:name w:val="annotation text"/>
    <w:basedOn w:val="Normal"/>
    <w:semiHidden/>
    <w:rsid w:val="00900F4F"/>
    <w:rPr>
      <w:sz w:val="20"/>
    </w:rPr>
  </w:style>
  <w:style w:type="paragraph" w:styleId="CommentSubject">
    <w:name w:val="annotation subject"/>
    <w:basedOn w:val="CommentText"/>
    <w:next w:val="CommentText"/>
    <w:semiHidden/>
    <w:rsid w:val="00513DB9"/>
    <w:rPr>
      <w:b/>
      <w:bCs/>
    </w:rPr>
  </w:style>
  <w:style w:type="paragraph" w:styleId="ListParagraph">
    <w:name w:val="List Paragraph"/>
    <w:basedOn w:val="Normal"/>
    <w:uiPriority w:val="34"/>
    <w:qFormat/>
    <w:rsid w:val="00A32CA3"/>
    <w:pPr>
      <w:ind w:left="720"/>
      <w:contextualSpacing/>
    </w:pPr>
    <w:rPr>
      <w:szCs w:val="24"/>
    </w:rPr>
  </w:style>
  <w:style w:type="paragraph" w:styleId="Header">
    <w:name w:val="header"/>
    <w:basedOn w:val="Normal"/>
    <w:link w:val="HeaderChar"/>
    <w:rsid w:val="00967480"/>
    <w:pPr>
      <w:tabs>
        <w:tab w:val="center" w:pos="4680"/>
        <w:tab w:val="right" w:pos="9360"/>
      </w:tabs>
    </w:pPr>
  </w:style>
  <w:style w:type="character" w:customStyle="1" w:styleId="HeaderChar">
    <w:name w:val="Header Char"/>
    <w:basedOn w:val="DefaultParagraphFont"/>
    <w:link w:val="Header"/>
    <w:rsid w:val="00967480"/>
    <w:rPr>
      <w:sz w:val="24"/>
      <w:lang w:eastAsia="en-US"/>
    </w:rPr>
  </w:style>
  <w:style w:type="paragraph" w:styleId="Footer">
    <w:name w:val="footer"/>
    <w:basedOn w:val="Normal"/>
    <w:link w:val="FooterChar"/>
    <w:uiPriority w:val="99"/>
    <w:rsid w:val="00967480"/>
    <w:pPr>
      <w:tabs>
        <w:tab w:val="center" w:pos="4680"/>
        <w:tab w:val="right" w:pos="9360"/>
      </w:tabs>
    </w:pPr>
  </w:style>
  <w:style w:type="character" w:customStyle="1" w:styleId="FooterChar">
    <w:name w:val="Footer Char"/>
    <w:basedOn w:val="DefaultParagraphFont"/>
    <w:link w:val="Footer"/>
    <w:uiPriority w:val="99"/>
    <w:rsid w:val="00967480"/>
    <w:rPr>
      <w:sz w:val="24"/>
      <w:lang w:eastAsia="en-US"/>
    </w:rPr>
  </w:style>
  <w:style w:type="paragraph" w:styleId="FootnoteText">
    <w:name w:val="footnote text"/>
    <w:basedOn w:val="Normal"/>
    <w:semiHidden/>
    <w:rsid w:val="003F404F"/>
    <w:rPr>
      <w:sz w:val="20"/>
    </w:rPr>
  </w:style>
  <w:style w:type="character" w:styleId="FootnoteReference">
    <w:name w:val="footnote reference"/>
    <w:basedOn w:val="DefaultParagraphFont"/>
    <w:semiHidden/>
    <w:rsid w:val="003F404F"/>
    <w:rPr>
      <w:vertAlign w:val="superscript"/>
    </w:rPr>
  </w:style>
  <w:style w:type="character" w:styleId="PageNumber">
    <w:name w:val="page number"/>
    <w:basedOn w:val="DefaultParagraphFont"/>
    <w:rsid w:val="005164A0"/>
  </w:style>
  <w:style w:type="character" w:customStyle="1" w:styleId="text">
    <w:name w:val="text"/>
    <w:basedOn w:val="DefaultParagraphFont"/>
    <w:rsid w:val="00D35331"/>
  </w:style>
  <w:style w:type="paragraph" w:styleId="HTMLPreformatted">
    <w:name w:val="HTML Preformatted"/>
    <w:basedOn w:val="Normal"/>
    <w:rsid w:val="001E768E"/>
    <w:rPr>
      <w:rFonts w:ascii="Courier New" w:hAnsi="Courier New" w:cs="Courier New"/>
      <w:sz w:val="20"/>
    </w:rPr>
  </w:style>
  <w:style w:type="character" w:customStyle="1" w:styleId="apple-style-span">
    <w:name w:val="apple-style-span"/>
    <w:basedOn w:val="DefaultParagraphFont"/>
    <w:rsid w:val="00A83FFB"/>
  </w:style>
  <w:style w:type="paragraph" w:customStyle="1" w:styleId="JuCase">
    <w:name w:val="Ju_Case"/>
    <w:basedOn w:val="Normal"/>
    <w:next w:val="Normal"/>
    <w:link w:val="JuCaseChar"/>
    <w:rsid w:val="0015640B"/>
    <w:pPr>
      <w:suppressAutoHyphens/>
      <w:ind w:firstLine="284"/>
      <w:jc w:val="both"/>
    </w:pPr>
    <w:rPr>
      <w:b/>
      <w:lang w:val="en-GB" w:eastAsia="fr-FR"/>
    </w:rPr>
  </w:style>
  <w:style w:type="character" w:customStyle="1" w:styleId="JuCaseChar">
    <w:name w:val="Ju_Case Char"/>
    <w:basedOn w:val="DefaultParagraphFont"/>
    <w:link w:val="JuCase"/>
    <w:rsid w:val="0015640B"/>
    <w:rPr>
      <w:b/>
      <w:sz w:val="24"/>
      <w:lang w:val="en-GB" w:eastAsia="fr-FR" w:bidi="ar-SA"/>
    </w:rPr>
  </w:style>
  <w:style w:type="character" w:customStyle="1" w:styleId="Heading3Char">
    <w:name w:val="Heading 3 Char"/>
    <w:basedOn w:val="DefaultParagraphFont"/>
    <w:link w:val="Heading3"/>
    <w:semiHidden/>
    <w:rsid w:val="00564952"/>
    <w:rPr>
      <w:rFonts w:asciiTheme="majorHAnsi" w:eastAsiaTheme="majorEastAsia" w:hAnsiTheme="majorHAnsi" w:cstheme="majorBidi"/>
      <w:b/>
      <w:bCs/>
      <w:color w:val="4F81BD" w:themeColor="accent1"/>
      <w:sz w:val="24"/>
    </w:rPr>
  </w:style>
  <w:style w:type="paragraph" w:styleId="EndnoteText">
    <w:name w:val="endnote text"/>
    <w:basedOn w:val="Normal"/>
    <w:link w:val="EndnoteTextChar"/>
    <w:rsid w:val="00E90846"/>
    <w:rPr>
      <w:sz w:val="20"/>
    </w:rPr>
  </w:style>
  <w:style w:type="character" w:customStyle="1" w:styleId="EndnoteTextChar">
    <w:name w:val="Endnote Text Char"/>
    <w:basedOn w:val="DefaultParagraphFont"/>
    <w:link w:val="EndnoteText"/>
    <w:rsid w:val="00E90846"/>
  </w:style>
  <w:style w:type="character" w:styleId="EndnoteReference">
    <w:name w:val="endnote reference"/>
    <w:basedOn w:val="DefaultParagraphFont"/>
    <w:rsid w:val="00E90846"/>
    <w:rPr>
      <w:vertAlign w:val="superscript"/>
    </w:rPr>
  </w:style>
  <w:style w:type="paragraph" w:styleId="BodyText2">
    <w:name w:val="Body Text 2"/>
    <w:basedOn w:val="Normal"/>
    <w:link w:val="BodyText2Char"/>
    <w:rsid w:val="00AB6330"/>
    <w:pPr>
      <w:overflowPunct w:val="0"/>
      <w:autoSpaceDE w:val="0"/>
      <w:autoSpaceDN w:val="0"/>
      <w:adjustRightInd w:val="0"/>
      <w:spacing w:after="120" w:line="480" w:lineRule="auto"/>
      <w:textAlignment w:val="baseline"/>
    </w:pPr>
    <w:rPr>
      <w:sz w:val="20"/>
      <w:lang w:val="en-GB" w:eastAsia="en-GB"/>
    </w:rPr>
  </w:style>
  <w:style w:type="character" w:customStyle="1" w:styleId="BodyText2Char">
    <w:name w:val="Body Text 2 Char"/>
    <w:basedOn w:val="DefaultParagraphFont"/>
    <w:link w:val="BodyText2"/>
    <w:rsid w:val="00AB6330"/>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20060">
      <w:bodyDiv w:val="1"/>
      <w:marLeft w:val="0"/>
      <w:marRight w:val="0"/>
      <w:marTop w:val="0"/>
      <w:marBottom w:val="0"/>
      <w:divBdr>
        <w:top w:val="none" w:sz="0" w:space="0" w:color="auto"/>
        <w:left w:val="none" w:sz="0" w:space="0" w:color="auto"/>
        <w:bottom w:val="none" w:sz="0" w:space="0" w:color="auto"/>
        <w:right w:val="none" w:sz="0" w:space="0" w:color="auto"/>
      </w:divBdr>
    </w:div>
    <w:div w:id="304628861">
      <w:bodyDiv w:val="1"/>
      <w:marLeft w:val="0"/>
      <w:marRight w:val="0"/>
      <w:marTop w:val="0"/>
      <w:marBottom w:val="0"/>
      <w:divBdr>
        <w:top w:val="none" w:sz="0" w:space="0" w:color="auto"/>
        <w:left w:val="none" w:sz="0" w:space="0" w:color="auto"/>
        <w:bottom w:val="none" w:sz="0" w:space="0" w:color="auto"/>
        <w:right w:val="none" w:sz="0" w:space="0" w:color="auto"/>
      </w:divBdr>
    </w:div>
    <w:div w:id="587471082">
      <w:bodyDiv w:val="1"/>
      <w:marLeft w:val="0"/>
      <w:marRight w:val="0"/>
      <w:marTop w:val="0"/>
      <w:marBottom w:val="0"/>
      <w:divBdr>
        <w:top w:val="none" w:sz="0" w:space="0" w:color="auto"/>
        <w:left w:val="none" w:sz="0" w:space="0" w:color="auto"/>
        <w:bottom w:val="none" w:sz="0" w:space="0" w:color="auto"/>
        <w:right w:val="none" w:sz="0" w:space="0" w:color="auto"/>
      </w:divBdr>
    </w:div>
    <w:div w:id="814180552">
      <w:bodyDiv w:val="1"/>
      <w:marLeft w:val="0"/>
      <w:marRight w:val="0"/>
      <w:marTop w:val="0"/>
      <w:marBottom w:val="0"/>
      <w:divBdr>
        <w:top w:val="none" w:sz="0" w:space="0" w:color="auto"/>
        <w:left w:val="none" w:sz="0" w:space="0" w:color="auto"/>
        <w:bottom w:val="none" w:sz="0" w:space="0" w:color="auto"/>
        <w:right w:val="none" w:sz="0" w:space="0" w:color="auto"/>
      </w:divBdr>
    </w:div>
    <w:div w:id="926035349">
      <w:bodyDiv w:val="1"/>
      <w:marLeft w:val="0"/>
      <w:marRight w:val="0"/>
      <w:marTop w:val="0"/>
      <w:marBottom w:val="0"/>
      <w:divBdr>
        <w:top w:val="none" w:sz="0" w:space="0" w:color="auto"/>
        <w:left w:val="none" w:sz="0" w:space="0" w:color="auto"/>
        <w:bottom w:val="none" w:sz="0" w:space="0" w:color="auto"/>
        <w:right w:val="none" w:sz="0" w:space="0" w:color="auto"/>
      </w:divBdr>
    </w:div>
    <w:div w:id="1191408526">
      <w:bodyDiv w:val="1"/>
      <w:marLeft w:val="0"/>
      <w:marRight w:val="0"/>
      <w:marTop w:val="0"/>
      <w:marBottom w:val="0"/>
      <w:divBdr>
        <w:top w:val="none" w:sz="0" w:space="0" w:color="auto"/>
        <w:left w:val="none" w:sz="0" w:space="0" w:color="auto"/>
        <w:bottom w:val="none" w:sz="0" w:space="0" w:color="auto"/>
        <w:right w:val="none" w:sz="0" w:space="0" w:color="auto"/>
      </w:divBdr>
    </w:div>
    <w:div w:id="1607233313">
      <w:bodyDiv w:val="1"/>
      <w:marLeft w:val="0"/>
      <w:marRight w:val="0"/>
      <w:marTop w:val="0"/>
      <w:marBottom w:val="0"/>
      <w:divBdr>
        <w:top w:val="none" w:sz="0" w:space="0" w:color="auto"/>
        <w:left w:val="none" w:sz="0" w:space="0" w:color="auto"/>
        <w:bottom w:val="none" w:sz="0" w:space="0" w:color="auto"/>
        <w:right w:val="none" w:sz="0" w:space="0" w:color="auto"/>
      </w:divBdr>
    </w:div>
    <w:div w:id="21027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spublica.org.a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kryeministria.al/en/newsroom/press-releases/the-state-assumes-full-responsibility-for-the-murder-of-the-four-citizens-on-january-201114218672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78C84B-D39D-4E01-ABD0-64CC488042CF}"/>
</file>

<file path=customXml/itemProps2.xml><?xml version="1.0" encoding="utf-8"?>
<ds:datastoreItem xmlns:ds="http://schemas.openxmlformats.org/officeDocument/2006/customXml" ds:itemID="{5641A3C3-0E02-4CE0-9C25-8784602A3275}"/>
</file>

<file path=customXml/itemProps3.xml><?xml version="1.0" encoding="utf-8"?>
<ds:datastoreItem xmlns:ds="http://schemas.openxmlformats.org/officeDocument/2006/customXml" ds:itemID="{05C7C1E6-96A2-4278-BFE8-A25182AC0243}"/>
</file>

<file path=customXml/itemProps4.xml><?xml version="1.0" encoding="utf-8"?>
<ds:datastoreItem xmlns:ds="http://schemas.openxmlformats.org/officeDocument/2006/customXml" ds:itemID="{7F5E4691-8B77-4862-B607-CB4FD6C6B6EC}"/>
</file>

<file path=docProps/app.xml><?xml version="1.0" encoding="utf-8"?>
<Properties xmlns="http://schemas.openxmlformats.org/officeDocument/2006/extended-properties" xmlns:vt="http://schemas.openxmlformats.org/officeDocument/2006/docPropsVTypes">
  <Template>Normal</Template>
  <TotalTime>1</TotalTime>
  <Pages>6</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NATIONAL ENDOWMENT FOR DEMOCRACY</vt:lpstr>
    </vt:vector>
  </TitlesOfParts>
  <Company>NED</Company>
  <LinksUpToDate>false</LinksUpToDate>
  <CharactersWithSpaces>15542</CharactersWithSpaces>
  <SharedDoc>false</SharedDoc>
  <HLinks>
    <vt:vector size="42" baseType="variant">
      <vt:variant>
        <vt:i4>5308500</vt:i4>
      </vt:variant>
      <vt:variant>
        <vt:i4>18</vt:i4>
      </vt:variant>
      <vt:variant>
        <vt:i4>0</vt:i4>
      </vt:variant>
      <vt:variant>
        <vt:i4>5</vt:i4>
      </vt:variant>
      <vt:variant>
        <vt:lpwstr>http://www.article19.org/data/files/pdfs/analysis/albania-foi.pdf</vt:lpwstr>
      </vt:variant>
      <vt:variant>
        <vt:lpwstr/>
      </vt:variant>
      <vt:variant>
        <vt:i4>7995507</vt:i4>
      </vt:variant>
      <vt:variant>
        <vt:i4>15</vt:i4>
      </vt:variant>
      <vt:variant>
        <vt:i4>0</vt:i4>
      </vt:variant>
      <vt:variant>
        <vt:i4>5</vt:i4>
      </vt:variant>
      <vt:variant>
        <vt:lpwstr>http://ec.europa.eu/enlargement/pdf/key_documents/2010/package/al_rapport_2010_en.pdf</vt:lpwstr>
      </vt:variant>
      <vt:variant>
        <vt:lpwstr/>
      </vt:variant>
      <vt:variant>
        <vt:i4>1704008</vt:i4>
      </vt:variant>
      <vt:variant>
        <vt:i4>12</vt:i4>
      </vt:variant>
      <vt:variant>
        <vt:i4>0</vt:i4>
      </vt:variant>
      <vt:variant>
        <vt:i4>5</vt:i4>
      </vt:variant>
      <vt:variant>
        <vt:lpwstr>http://www.osce.org/albania/82273</vt:lpwstr>
      </vt:variant>
      <vt:variant>
        <vt:lpwstr/>
      </vt:variant>
      <vt:variant>
        <vt:i4>7536763</vt:i4>
      </vt:variant>
      <vt:variant>
        <vt:i4>9</vt:i4>
      </vt:variant>
      <vt:variant>
        <vt:i4>0</vt:i4>
      </vt:variant>
      <vt:variant>
        <vt:i4>5</vt:i4>
      </vt:variant>
      <vt:variant>
        <vt:lpwstr>http://albania.usaid.gov/shfaqart/465/26/Corruption_in_Albania:_2010_Survey.htm</vt:lpwstr>
      </vt:variant>
      <vt:variant>
        <vt:lpwstr/>
      </vt:variant>
      <vt:variant>
        <vt:i4>72</vt:i4>
      </vt:variant>
      <vt:variant>
        <vt:i4>6</vt:i4>
      </vt:variant>
      <vt:variant>
        <vt:i4>0</vt:i4>
      </vt:variant>
      <vt:variant>
        <vt:i4>5</vt:i4>
      </vt:variant>
      <vt:variant>
        <vt:lpwstr>http://www.balkaninsight.com/en/article/eu-ministers-push-for-albania-reform</vt:lpwstr>
      </vt:variant>
      <vt:variant>
        <vt:lpwstr/>
      </vt:variant>
      <vt:variant>
        <vt:i4>6815851</vt:i4>
      </vt:variant>
      <vt:variant>
        <vt:i4>3</vt:i4>
      </vt:variant>
      <vt:variant>
        <vt:i4>0</vt:i4>
      </vt:variant>
      <vt:variant>
        <vt:i4>5</vt:i4>
      </vt:variant>
      <vt:variant>
        <vt:lpwstr>http://ec.europa.eu/enlargement/pdf/key_documents/2010/package/al_opinion_2010_en.pdf</vt:lpwstr>
      </vt:variant>
      <vt:variant>
        <vt:lpwstr/>
      </vt:variant>
      <vt:variant>
        <vt:i4>6750332</vt:i4>
      </vt:variant>
      <vt:variant>
        <vt:i4>0</vt:i4>
      </vt:variant>
      <vt:variant>
        <vt:i4>0</vt:i4>
      </vt:variant>
      <vt:variant>
        <vt:i4>5</vt:i4>
      </vt:variant>
      <vt:variant>
        <vt:lpwstr>http://wikileaks.org/cable/2008/10/08TIRANA775.html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ENDOWMENT FOR DEMOCRACY</dc:title>
  <dc:creator>julied</dc:creator>
  <cp:lastModifiedBy>Thodiyil Sindu</cp:lastModifiedBy>
  <cp:revision>2</cp:revision>
  <cp:lastPrinted>2007-09-14T10:20:00Z</cp:lastPrinted>
  <dcterms:created xsi:type="dcterms:W3CDTF">2015-08-17T19:47:00Z</dcterms:created>
  <dcterms:modified xsi:type="dcterms:W3CDTF">2015-08-17T19:47:00Z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