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5A2" w:rsidRPr="00373592" w:rsidRDefault="005F0506" w:rsidP="0065643D">
      <w:pPr>
        <w:tabs>
          <w:tab w:val="right" w:pos="0"/>
        </w:tabs>
        <w:ind w:right="-540"/>
        <w:rPr>
          <w:rFonts w:asciiTheme="majorBidi" w:eastAsia="Times New Roman" w:hAnsiTheme="majorBidi" w:cstheme="majorBidi"/>
          <w:b/>
          <w:bCs/>
          <w:sz w:val="24"/>
          <w:szCs w:val="24"/>
          <w:rtl/>
          <w:lang w:bidi="ar-JO"/>
        </w:rPr>
      </w:pPr>
      <w:bookmarkStart w:id="0" w:name="_GoBack"/>
      <w:bookmarkEnd w:id="0"/>
      <w:r w:rsidRPr="00373592">
        <w:rPr>
          <w:rFonts w:asciiTheme="majorBidi" w:eastAsia="Calibri" w:hAnsiTheme="majorBidi" w:cstheme="majorBidi"/>
          <w:bCs/>
          <w:noProof/>
          <w:sz w:val="24"/>
          <w:szCs w:val="24"/>
          <w:lang w:val="en-GB" w:eastAsia="en-GB"/>
        </w:rPr>
        <w:drawing>
          <wp:anchor distT="0" distB="0" distL="114300" distR="114300" simplePos="0" relativeHeight="251659264" behindDoc="0" locked="0" layoutInCell="1" allowOverlap="1" wp14:anchorId="1D558614" wp14:editId="7505786A">
            <wp:simplePos x="0" y="0"/>
            <wp:positionH relativeFrom="margin">
              <wp:posOffset>1120775</wp:posOffset>
            </wp:positionH>
            <wp:positionV relativeFrom="margin">
              <wp:posOffset>206375</wp:posOffset>
            </wp:positionV>
            <wp:extent cx="2303780" cy="799465"/>
            <wp:effectExtent l="0" t="0" r="1270" b="635"/>
            <wp:wrapSquare wrapText="bothSides"/>
            <wp:docPr id="2" name="Picture 2" descr="NC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CH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3780" cy="799465"/>
                    </a:xfrm>
                    <a:prstGeom prst="rect">
                      <a:avLst/>
                    </a:prstGeom>
                    <a:noFill/>
                    <a:ln>
                      <a:noFill/>
                    </a:ln>
                  </pic:spPr>
                </pic:pic>
              </a:graphicData>
            </a:graphic>
          </wp:anchor>
        </w:drawing>
      </w:r>
    </w:p>
    <w:p w:rsidR="005F0506" w:rsidRPr="00373592" w:rsidRDefault="005F0506" w:rsidP="009E0946">
      <w:pPr>
        <w:tabs>
          <w:tab w:val="right" w:pos="0"/>
        </w:tabs>
        <w:ind w:left="360" w:right="-540"/>
        <w:jc w:val="center"/>
        <w:rPr>
          <w:rFonts w:asciiTheme="majorBidi" w:eastAsia="Times New Roman" w:hAnsiTheme="majorBidi" w:cstheme="majorBidi"/>
          <w:b/>
          <w:bCs/>
          <w:sz w:val="24"/>
          <w:szCs w:val="24"/>
          <w:rtl/>
          <w:lang w:bidi="ar-JO"/>
        </w:rPr>
      </w:pPr>
    </w:p>
    <w:p w:rsidR="005F0506" w:rsidRPr="00373592" w:rsidRDefault="005F0506" w:rsidP="009E0946">
      <w:pPr>
        <w:tabs>
          <w:tab w:val="right" w:pos="0"/>
        </w:tabs>
        <w:ind w:left="360" w:right="-540"/>
        <w:jc w:val="center"/>
        <w:rPr>
          <w:rFonts w:asciiTheme="majorBidi" w:eastAsia="Times New Roman" w:hAnsiTheme="majorBidi" w:cstheme="majorBidi"/>
          <w:b/>
          <w:bCs/>
          <w:sz w:val="24"/>
          <w:szCs w:val="24"/>
          <w:rtl/>
          <w:lang w:bidi="ar-JO"/>
        </w:rPr>
      </w:pPr>
    </w:p>
    <w:p w:rsidR="00C75E97" w:rsidRPr="00373592" w:rsidRDefault="00C75E97" w:rsidP="00016729">
      <w:pPr>
        <w:tabs>
          <w:tab w:val="right" w:pos="0"/>
        </w:tabs>
        <w:ind w:left="360" w:right="-540"/>
        <w:jc w:val="center"/>
        <w:rPr>
          <w:rFonts w:asciiTheme="majorBidi" w:eastAsia="Times New Roman" w:hAnsiTheme="majorBidi" w:cstheme="majorBidi"/>
          <w:b/>
          <w:bCs/>
          <w:sz w:val="24"/>
          <w:szCs w:val="24"/>
        </w:rPr>
      </w:pPr>
    </w:p>
    <w:p w:rsidR="005F0506" w:rsidRPr="00373592" w:rsidRDefault="005F0506" w:rsidP="00820D96">
      <w:pPr>
        <w:tabs>
          <w:tab w:val="right" w:pos="0"/>
          <w:tab w:val="left" w:pos="3701"/>
          <w:tab w:val="center" w:pos="4603"/>
        </w:tabs>
        <w:ind w:left="360" w:right="-540"/>
        <w:jc w:val="center"/>
        <w:rPr>
          <w:rFonts w:asciiTheme="majorBidi" w:eastAsia="Times New Roman" w:hAnsiTheme="majorBidi" w:cstheme="majorBidi"/>
          <w:b/>
          <w:bCs/>
          <w:sz w:val="24"/>
          <w:szCs w:val="24"/>
        </w:rPr>
      </w:pPr>
      <w:r w:rsidRPr="00373592">
        <w:rPr>
          <w:rFonts w:asciiTheme="majorBidi" w:eastAsia="Times New Roman" w:hAnsiTheme="majorBidi" w:cstheme="majorBidi"/>
          <w:b/>
          <w:bCs/>
          <w:sz w:val="24"/>
          <w:szCs w:val="24"/>
        </w:rPr>
        <w:t>The First Shadow Report</w:t>
      </w:r>
    </w:p>
    <w:p w:rsidR="009E0946" w:rsidRPr="00373592" w:rsidRDefault="009E0946" w:rsidP="00421BD7">
      <w:pPr>
        <w:tabs>
          <w:tab w:val="right" w:pos="0"/>
        </w:tabs>
        <w:ind w:left="360" w:right="-540"/>
        <w:jc w:val="center"/>
        <w:rPr>
          <w:rFonts w:asciiTheme="majorBidi" w:eastAsia="Times New Roman" w:hAnsiTheme="majorBidi" w:cstheme="majorBidi"/>
          <w:b/>
          <w:bCs/>
          <w:sz w:val="24"/>
          <w:szCs w:val="24"/>
          <w:rtl/>
          <w:lang w:bidi="ar-JO"/>
        </w:rPr>
      </w:pPr>
      <w:r w:rsidRPr="00373592">
        <w:rPr>
          <w:rFonts w:asciiTheme="majorBidi" w:eastAsia="Times New Roman" w:hAnsiTheme="majorBidi" w:cstheme="majorBidi"/>
          <w:b/>
          <w:bCs/>
          <w:sz w:val="24"/>
          <w:szCs w:val="24"/>
        </w:rPr>
        <w:t>Submitted by the Jordanian National Centre for Human Rights (NCHR) i</w:t>
      </w:r>
      <w:r w:rsidR="00DF3F70" w:rsidRPr="00373592">
        <w:rPr>
          <w:rFonts w:asciiTheme="majorBidi" w:eastAsia="Times New Roman" w:hAnsiTheme="majorBidi" w:cstheme="majorBidi"/>
          <w:b/>
          <w:bCs/>
          <w:sz w:val="24"/>
          <w:szCs w:val="24"/>
        </w:rPr>
        <w:t>n</w:t>
      </w:r>
      <w:r w:rsidRPr="00373592">
        <w:rPr>
          <w:rFonts w:asciiTheme="majorBidi" w:eastAsia="Times New Roman" w:hAnsiTheme="majorBidi" w:cstheme="majorBidi"/>
          <w:b/>
          <w:bCs/>
          <w:sz w:val="24"/>
          <w:szCs w:val="24"/>
        </w:rPr>
        <w:t xml:space="preserve"> </w:t>
      </w:r>
      <w:r w:rsidR="00421BD7">
        <w:rPr>
          <w:rFonts w:asciiTheme="majorBidi" w:eastAsia="Times New Roman" w:hAnsiTheme="majorBidi" w:cstheme="majorBidi"/>
          <w:b/>
          <w:bCs/>
          <w:sz w:val="24"/>
          <w:szCs w:val="24"/>
        </w:rPr>
        <w:t>R</w:t>
      </w:r>
      <w:r w:rsidRPr="00373592">
        <w:rPr>
          <w:rFonts w:asciiTheme="majorBidi" w:eastAsia="Times New Roman" w:hAnsiTheme="majorBidi" w:cstheme="majorBidi"/>
          <w:b/>
          <w:bCs/>
          <w:sz w:val="24"/>
          <w:szCs w:val="24"/>
        </w:rPr>
        <w:t xml:space="preserve">esponse to the </w:t>
      </w:r>
      <w:r w:rsidR="00DF3F70" w:rsidRPr="00373592">
        <w:rPr>
          <w:rFonts w:asciiTheme="majorBidi" w:eastAsia="Times New Roman" w:hAnsiTheme="majorBidi" w:cstheme="majorBidi"/>
          <w:b/>
          <w:bCs/>
          <w:sz w:val="24"/>
          <w:szCs w:val="24"/>
        </w:rPr>
        <w:t>Human Rights Committee</w:t>
      </w:r>
      <w:r w:rsidRPr="00373592">
        <w:rPr>
          <w:rFonts w:asciiTheme="majorBidi" w:eastAsia="Times New Roman" w:hAnsiTheme="majorBidi" w:cstheme="majorBidi"/>
          <w:b/>
          <w:bCs/>
          <w:sz w:val="24"/>
          <w:szCs w:val="24"/>
        </w:rPr>
        <w:t xml:space="preserve"> </w:t>
      </w:r>
      <w:r w:rsidR="00DF3F70" w:rsidRPr="00373592">
        <w:rPr>
          <w:rFonts w:asciiTheme="majorBidi" w:eastAsia="Times New Roman" w:hAnsiTheme="majorBidi" w:cstheme="majorBidi"/>
          <w:b/>
          <w:bCs/>
          <w:sz w:val="24"/>
          <w:szCs w:val="24"/>
        </w:rPr>
        <w:t>Lis</w:t>
      </w:r>
      <w:r w:rsidR="00DA36E3" w:rsidRPr="00373592">
        <w:rPr>
          <w:rFonts w:asciiTheme="majorBidi" w:eastAsia="Times New Roman" w:hAnsiTheme="majorBidi" w:cstheme="majorBidi"/>
          <w:b/>
          <w:bCs/>
          <w:sz w:val="24"/>
          <w:szCs w:val="24"/>
        </w:rPr>
        <w:t>t of Issues in Relation to the F</w:t>
      </w:r>
      <w:r w:rsidR="00DF3F70" w:rsidRPr="00373592">
        <w:rPr>
          <w:rFonts w:asciiTheme="majorBidi" w:eastAsia="Times New Roman" w:hAnsiTheme="majorBidi" w:cstheme="majorBidi"/>
          <w:b/>
          <w:bCs/>
          <w:sz w:val="24"/>
          <w:szCs w:val="24"/>
        </w:rPr>
        <w:t xml:space="preserve">ifth </w:t>
      </w:r>
      <w:r w:rsidR="00DA36E3" w:rsidRPr="00373592">
        <w:rPr>
          <w:rFonts w:asciiTheme="majorBidi" w:eastAsia="Times New Roman" w:hAnsiTheme="majorBidi" w:cstheme="majorBidi"/>
          <w:b/>
          <w:bCs/>
          <w:sz w:val="24"/>
          <w:szCs w:val="24"/>
        </w:rPr>
        <w:t>Periodic R</w:t>
      </w:r>
      <w:r w:rsidR="00DF3F70" w:rsidRPr="00373592">
        <w:rPr>
          <w:rFonts w:asciiTheme="majorBidi" w:eastAsia="Times New Roman" w:hAnsiTheme="majorBidi" w:cstheme="majorBidi"/>
          <w:b/>
          <w:bCs/>
          <w:sz w:val="24"/>
          <w:szCs w:val="24"/>
        </w:rPr>
        <w:t>eport of Jordan</w:t>
      </w:r>
    </w:p>
    <w:p w:rsidR="009E0946" w:rsidRPr="00373592" w:rsidRDefault="00DA36E3" w:rsidP="0004780D">
      <w:pPr>
        <w:tabs>
          <w:tab w:val="right" w:pos="0"/>
        </w:tabs>
        <w:ind w:left="360" w:right="-540"/>
        <w:jc w:val="center"/>
        <w:rPr>
          <w:rFonts w:asciiTheme="majorBidi" w:eastAsia="Times New Roman" w:hAnsiTheme="majorBidi" w:cstheme="majorBidi"/>
          <w:b/>
          <w:bCs/>
          <w:sz w:val="24"/>
          <w:szCs w:val="24"/>
        </w:rPr>
      </w:pPr>
      <w:r w:rsidRPr="00373592">
        <w:rPr>
          <w:rFonts w:asciiTheme="majorBidi" w:eastAsia="Times New Roman" w:hAnsiTheme="majorBidi" w:cstheme="majorBidi"/>
          <w:b/>
          <w:bCs/>
          <w:sz w:val="24"/>
          <w:szCs w:val="24"/>
        </w:rPr>
        <w:t>Adopted</w:t>
      </w:r>
      <w:r w:rsidR="00DF3F70" w:rsidRPr="00373592">
        <w:rPr>
          <w:rFonts w:asciiTheme="majorBidi" w:eastAsia="Times New Roman" w:hAnsiTheme="majorBidi" w:cstheme="majorBidi"/>
          <w:b/>
          <w:bCs/>
          <w:sz w:val="24"/>
          <w:szCs w:val="24"/>
        </w:rPr>
        <w:t xml:space="preserve"> by the Committee at its </w:t>
      </w:r>
      <w:r w:rsidR="00C75E97" w:rsidRPr="00373592">
        <w:rPr>
          <w:rFonts w:asciiTheme="majorBidi" w:eastAsia="Times New Roman" w:hAnsiTheme="majorBidi" w:cstheme="majorBidi"/>
          <w:b/>
          <w:bCs/>
          <w:sz w:val="24"/>
          <w:szCs w:val="24"/>
        </w:rPr>
        <w:t>119</w:t>
      </w:r>
      <w:r w:rsidR="00C75E97" w:rsidRPr="00373592">
        <w:rPr>
          <w:rFonts w:asciiTheme="majorBidi" w:eastAsia="Times New Roman" w:hAnsiTheme="majorBidi" w:cstheme="majorBidi"/>
          <w:b/>
          <w:bCs/>
          <w:sz w:val="24"/>
          <w:szCs w:val="24"/>
          <w:vertAlign w:val="superscript"/>
        </w:rPr>
        <w:t>th</w:t>
      </w:r>
      <w:r w:rsidR="00C75E97" w:rsidRPr="00373592">
        <w:rPr>
          <w:rFonts w:asciiTheme="majorBidi" w:eastAsia="Times New Roman" w:hAnsiTheme="majorBidi" w:cstheme="majorBidi"/>
          <w:b/>
          <w:bCs/>
          <w:sz w:val="24"/>
          <w:szCs w:val="24"/>
        </w:rPr>
        <w:t xml:space="preserve"> Session</w:t>
      </w:r>
      <w:r w:rsidR="00DF3F70" w:rsidRPr="00373592">
        <w:rPr>
          <w:rFonts w:asciiTheme="majorBidi" w:eastAsia="Times New Roman" w:hAnsiTheme="majorBidi" w:cstheme="majorBidi"/>
          <w:b/>
          <w:bCs/>
          <w:sz w:val="24"/>
          <w:szCs w:val="24"/>
        </w:rPr>
        <w:t xml:space="preserve"> (6-29 March 2017)</w:t>
      </w:r>
    </w:p>
    <w:p w:rsidR="00DF3F70" w:rsidRPr="00373592" w:rsidRDefault="00DF3F70" w:rsidP="00504D8C">
      <w:pPr>
        <w:tabs>
          <w:tab w:val="right" w:pos="0"/>
        </w:tabs>
        <w:ind w:left="360" w:right="-540"/>
        <w:jc w:val="center"/>
        <w:rPr>
          <w:rFonts w:asciiTheme="majorBidi" w:eastAsia="Calibri" w:hAnsiTheme="majorBidi" w:cstheme="majorBidi"/>
          <w:b/>
          <w:bCs/>
          <w:sz w:val="24"/>
          <w:szCs w:val="24"/>
          <w:rtl/>
          <w:lang w:bidi="ar-JO"/>
        </w:rPr>
      </w:pPr>
      <w:r w:rsidRPr="00373592">
        <w:rPr>
          <w:rFonts w:asciiTheme="majorBidi" w:eastAsia="Times New Roman" w:hAnsiTheme="majorBidi" w:cstheme="majorBidi"/>
          <w:b/>
          <w:bCs/>
          <w:sz w:val="24"/>
          <w:szCs w:val="24"/>
        </w:rPr>
        <w:t>(121 Session)</w:t>
      </w:r>
    </w:p>
    <w:p w:rsidR="00D11797" w:rsidRPr="00373592" w:rsidRDefault="00B00B95" w:rsidP="00BB28FF">
      <w:pPr>
        <w:bidi w:val="0"/>
        <w:spacing w:before="120" w:after="120" w:line="240" w:lineRule="auto"/>
        <w:jc w:val="mediumKashida"/>
        <w:rPr>
          <w:rFonts w:asciiTheme="majorBidi" w:eastAsia="Times New Roman" w:hAnsiTheme="majorBidi" w:cstheme="majorBidi"/>
          <w:b/>
          <w:bCs/>
          <w:sz w:val="24"/>
          <w:szCs w:val="24"/>
        </w:rPr>
      </w:pPr>
      <w:r w:rsidRPr="00373592">
        <w:rPr>
          <w:rFonts w:asciiTheme="majorBidi" w:eastAsia="Times New Roman" w:hAnsiTheme="majorBidi" w:cstheme="majorBidi"/>
          <w:b/>
          <w:bCs/>
          <w:sz w:val="24"/>
          <w:szCs w:val="24"/>
        </w:rPr>
        <w:t xml:space="preserve">NCHR Profile: </w:t>
      </w:r>
      <w:r w:rsidR="009D27E1" w:rsidRPr="00373592">
        <w:rPr>
          <w:rFonts w:asciiTheme="majorBidi" w:eastAsia="Times New Roman" w:hAnsiTheme="majorBidi" w:cstheme="majorBidi"/>
          <w:sz w:val="24"/>
          <w:szCs w:val="24"/>
        </w:rPr>
        <w:t xml:space="preserve">The National Center for Human Rights is a public-benefit </w:t>
      </w:r>
      <w:r w:rsidR="00AC1E50" w:rsidRPr="00373592">
        <w:rPr>
          <w:rFonts w:asciiTheme="majorBidi" w:eastAsia="Times New Roman" w:hAnsiTheme="majorBidi" w:cstheme="majorBidi"/>
          <w:sz w:val="24"/>
          <w:szCs w:val="24"/>
        </w:rPr>
        <w:t xml:space="preserve">national </w:t>
      </w:r>
      <w:r w:rsidR="009D27E1" w:rsidRPr="00373592">
        <w:rPr>
          <w:rFonts w:asciiTheme="majorBidi" w:eastAsia="Times New Roman" w:hAnsiTheme="majorBidi" w:cstheme="majorBidi"/>
          <w:sz w:val="24"/>
          <w:szCs w:val="24"/>
        </w:rPr>
        <w:t>institution,</w:t>
      </w:r>
      <w:r w:rsidR="009D27E1" w:rsidRPr="00373592">
        <w:rPr>
          <w:rFonts w:asciiTheme="majorBidi" w:hAnsiTheme="majorBidi" w:cstheme="majorBidi"/>
          <w:sz w:val="24"/>
          <w:szCs w:val="24"/>
        </w:rPr>
        <w:t xml:space="preserve"> </w:t>
      </w:r>
      <w:r w:rsidR="009D27E1" w:rsidRPr="00373592">
        <w:rPr>
          <w:rFonts w:asciiTheme="majorBidi" w:eastAsia="Times New Roman" w:hAnsiTheme="majorBidi" w:cstheme="majorBidi"/>
          <w:sz w:val="24"/>
          <w:szCs w:val="24"/>
        </w:rPr>
        <w:t xml:space="preserve">endowed with administrative and financial </w:t>
      </w:r>
      <w:r w:rsidR="00132722" w:rsidRPr="00373592">
        <w:rPr>
          <w:rFonts w:asciiTheme="majorBidi" w:eastAsia="Times New Roman" w:hAnsiTheme="majorBidi" w:cstheme="majorBidi"/>
          <w:sz w:val="24"/>
          <w:szCs w:val="24"/>
        </w:rPr>
        <w:t>autonomy</w:t>
      </w:r>
      <w:r w:rsidR="0067378D" w:rsidRPr="00373592">
        <w:rPr>
          <w:rFonts w:asciiTheme="majorBidi" w:eastAsia="Times New Roman" w:hAnsiTheme="majorBidi" w:cstheme="majorBidi"/>
          <w:sz w:val="24"/>
          <w:szCs w:val="24"/>
        </w:rPr>
        <w:t xml:space="preserve">, and </w:t>
      </w:r>
      <w:r w:rsidR="003E63D4" w:rsidRPr="00373592">
        <w:rPr>
          <w:rFonts w:asciiTheme="majorBidi" w:eastAsia="Times New Roman" w:hAnsiTheme="majorBidi" w:cstheme="majorBidi"/>
          <w:sz w:val="24"/>
          <w:szCs w:val="24"/>
        </w:rPr>
        <w:t xml:space="preserve">with </w:t>
      </w:r>
      <w:r w:rsidR="0067378D" w:rsidRPr="00373592">
        <w:rPr>
          <w:rFonts w:asciiTheme="majorBidi" w:eastAsia="Times New Roman" w:hAnsiTheme="majorBidi" w:cstheme="majorBidi"/>
          <w:sz w:val="24"/>
          <w:szCs w:val="24"/>
        </w:rPr>
        <w:t>legal personality. It</w:t>
      </w:r>
      <w:r w:rsidR="00BD1DDE" w:rsidRPr="00373592">
        <w:rPr>
          <w:rFonts w:asciiTheme="majorBidi" w:eastAsia="Times New Roman" w:hAnsiTheme="majorBidi" w:cstheme="majorBidi"/>
          <w:sz w:val="24"/>
          <w:szCs w:val="24"/>
        </w:rPr>
        <w:t xml:space="preserve"> </w:t>
      </w:r>
      <w:r w:rsidR="0067378D" w:rsidRPr="00373592">
        <w:rPr>
          <w:rFonts w:asciiTheme="majorBidi" w:eastAsia="Times New Roman" w:hAnsiTheme="majorBidi" w:cstheme="majorBidi"/>
          <w:sz w:val="24"/>
          <w:szCs w:val="24"/>
        </w:rPr>
        <w:t>exercise</w:t>
      </w:r>
      <w:r w:rsidR="006C6FD8" w:rsidRPr="00373592">
        <w:rPr>
          <w:rFonts w:asciiTheme="majorBidi" w:eastAsia="Times New Roman" w:hAnsiTheme="majorBidi" w:cstheme="majorBidi"/>
          <w:sz w:val="24"/>
          <w:szCs w:val="24"/>
        </w:rPr>
        <w:t>s</w:t>
      </w:r>
      <w:r w:rsidR="0067378D" w:rsidRPr="00373592">
        <w:rPr>
          <w:rFonts w:asciiTheme="majorBidi" w:eastAsia="Times New Roman" w:hAnsiTheme="majorBidi" w:cstheme="majorBidi"/>
          <w:sz w:val="24"/>
          <w:szCs w:val="24"/>
        </w:rPr>
        <w:t xml:space="preserve"> all of its human rights-related</w:t>
      </w:r>
      <w:r w:rsidR="009D27E1" w:rsidRPr="00373592">
        <w:rPr>
          <w:rFonts w:asciiTheme="majorBidi" w:eastAsia="Times New Roman" w:hAnsiTheme="majorBidi" w:cstheme="majorBidi"/>
          <w:sz w:val="24"/>
          <w:szCs w:val="24"/>
        </w:rPr>
        <w:t xml:space="preserve"> </w:t>
      </w:r>
      <w:r w:rsidR="0067378D" w:rsidRPr="00373592">
        <w:rPr>
          <w:rFonts w:asciiTheme="majorBidi" w:eastAsia="Times New Roman" w:hAnsiTheme="majorBidi" w:cstheme="majorBidi"/>
          <w:sz w:val="24"/>
          <w:szCs w:val="24"/>
        </w:rPr>
        <w:t xml:space="preserve">functions and activities, including </w:t>
      </w:r>
      <w:r w:rsidR="006671BF" w:rsidRPr="00373592">
        <w:rPr>
          <w:rFonts w:asciiTheme="majorBidi" w:eastAsia="Times New Roman" w:hAnsiTheme="majorBidi" w:cstheme="majorBidi"/>
          <w:sz w:val="24"/>
          <w:szCs w:val="24"/>
        </w:rPr>
        <w:t>monitoring,</w:t>
      </w:r>
      <w:r w:rsidR="00132722" w:rsidRPr="00373592">
        <w:rPr>
          <w:rFonts w:asciiTheme="majorBidi" w:eastAsia="Times New Roman" w:hAnsiTheme="majorBidi" w:cstheme="majorBidi"/>
          <w:sz w:val="24"/>
          <w:szCs w:val="24"/>
        </w:rPr>
        <w:t xml:space="preserve"> and receiving complaints, by virtue its Law no. (51) for the </w:t>
      </w:r>
      <w:r w:rsidR="001D6688" w:rsidRPr="00373592">
        <w:rPr>
          <w:rFonts w:asciiTheme="majorBidi" w:eastAsia="Times New Roman" w:hAnsiTheme="majorBidi" w:cstheme="majorBidi"/>
          <w:sz w:val="24"/>
          <w:szCs w:val="24"/>
        </w:rPr>
        <w:t>year of 2006 as amended, with fu</w:t>
      </w:r>
      <w:r w:rsidR="00132722" w:rsidRPr="00373592">
        <w:rPr>
          <w:rFonts w:asciiTheme="majorBidi" w:eastAsia="Times New Roman" w:hAnsiTheme="majorBidi" w:cstheme="majorBidi"/>
          <w:sz w:val="24"/>
          <w:szCs w:val="24"/>
        </w:rPr>
        <w:t xml:space="preserve">ll independence. </w:t>
      </w:r>
      <w:r w:rsidR="00374595" w:rsidRPr="00373592">
        <w:rPr>
          <w:rFonts w:asciiTheme="majorBidi" w:eastAsia="Times New Roman" w:hAnsiTheme="majorBidi" w:cstheme="majorBidi"/>
          <w:sz w:val="24"/>
          <w:szCs w:val="24"/>
        </w:rPr>
        <w:t>The Center is accredited by the Subcommittee for Accreditation (SCA) of the GANHRI with "A status".</w:t>
      </w:r>
    </w:p>
    <w:p w:rsidR="00DE1E13" w:rsidRPr="00373592" w:rsidRDefault="00937936" w:rsidP="005132FB">
      <w:pPr>
        <w:bidi w:val="0"/>
        <w:spacing w:before="120" w:after="120" w:line="240" w:lineRule="auto"/>
        <w:jc w:val="mediumKashida"/>
        <w:rPr>
          <w:rFonts w:asciiTheme="majorBidi" w:eastAsia="Times New Roman" w:hAnsiTheme="majorBidi" w:cstheme="majorBidi"/>
          <w:sz w:val="24"/>
          <w:szCs w:val="24"/>
          <w:rtl/>
          <w:lang w:bidi="ar-JO"/>
        </w:rPr>
      </w:pPr>
      <w:r w:rsidRPr="00373592">
        <w:rPr>
          <w:rFonts w:asciiTheme="majorBidi" w:eastAsia="Times New Roman" w:hAnsiTheme="majorBidi" w:cstheme="majorBidi"/>
          <w:sz w:val="24"/>
          <w:szCs w:val="24"/>
        </w:rPr>
        <w:t xml:space="preserve">The Center </w:t>
      </w:r>
      <w:r w:rsidR="005132FB" w:rsidRPr="00373592">
        <w:rPr>
          <w:rFonts w:asciiTheme="majorBidi" w:eastAsia="Times New Roman" w:hAnsiTheme="majorBidi" w:cstheme="majorBidi"/>
          <w:sz w:val="24"/>
          <w:szCs w:val="24"/>
        </w:rPr>
        <w:t>is mandated to</w:t>
      </w:r>
      <w:r w:rsidRPr="00373592">
        <w:rPr>
          <w:rFonts w:asciiTheme="majorBidi" w:eastAsia="Times New Roman" w:hAnsiTheme="majorBidi" w:cstheme="majorBidi"/>
          <w:sz w:val="24"/>
          <w:szCs w:val="24"/>
        </w:rPr>
        <w:t xml:space="preserve"> protect human rights, promote its culture, monitor its status, provide legal consultations and assistance where needed, take administrative and legal measures for</w:t>
      </w:r>
      <w:r w:rsidR="00FC28BF" w:rsidRPr="00373592">
        <w:rPr>
          <w:rFonts w:asciiTheme="majorBidi" w:hAnsiTheme="majorBidi" w:cstheme="majorBidi"/>
          <w:sz w:val="24"/>
          <w:szCs w:val="24"/>
        </w:rPr>
        <w:t xml:space="preserve"> </w:t>
      </w:r>
      <w:r w:rsidR="00FC28BF" w:rsidRPr="00373592">
        <w:rPr>
          <w:rFonts w:asciiTheme="majorBidi" w:eastAsia="Times New Roman" w:hAnsiTheme="majorBidi" w:cstheme="majorBidi"/>
          <w:sz w:val="24"/>
          <w:szCs w:val="24"/>
        </w:rPr>
        <w:t xml:space="preserve">addressing complaints relating to human rights violations and transgressions in order to bring an end to such violations and eliminate their effects, </w:t>
      </w:r>
      <w:r w:rsidR="00FC28BF" w:rsidRPr="00373592">
        <w:rPr>
          <w:rFonts w:asciiTheme="majorBidi" w:hAnsiTheme="majorBidi" w:cstheme="majorBidi"/>
          <w:sz w:val="24"/>
          <w:szCs w:val="24"/>
        </w:rPr>
        <w:t xml:space="preserve"> </w:t>
      </w:r>
      <w:r w:rsidR="00FC28BF" w:rsidRPr="00373592">
        <w:rPr>
          <w:rFonts w:asciiTheme="majorBidi" w:eastAsia="Times New Roman" w:hAnsiTheme="majorBidi" w:cstheme="majorBidi"/>
          <w:sz w:val="24"/>
          <w:szCs w:val="24"/>
        </w:rPr>
        <w:t>prepare studies and research; provide information; hold seminars and training courses; run campaigns and declare positions; publish data and printed materials; and prepare reports on the human rights situation</w:t>
      </w:r>
      <w:r w:rsidR="005132FB" w:rsidRPr="00373592">
        <w:rPr>
          <w:rFonts w:asciiTheme="majorBidi" w:eastAsia="Times New Roman" w:hAnsiTheme="majorBidi" w:cstheme="majorBidi"/>
          <w:sz w:val="24"/>
          <w:szCs w:val="24"/>
        </w:rPr>
        <w:t>, in addition to election observation and preparing shadow reports.</w:t>
      </w:r>
    </w:p>
    <w:p w:rsidR="0002544A" w:rsidRPr="00373592" w:rsidRDefault="0002544A" w:rsidP="00DE1E13">
      <w:pPr>
        <w:spacing w:before="120" w:after="120" w:line="240" w:lineRule="auto"/>
        <w:jc w:val="center"/>
        <w:rPr>
          <w:rFonts w:asciiTheme="majorBidi" w:eastAsia="Times New Roman" w:hAnsiTheme="majorBidi" w:cstheme="majorBidi"/>
          <w:b/>
          <w:bCs/>
          <w:noProof/>
          <w:sz w:val="24"/>
          <w:szCs w:val="24"/>
          <w:rtl/>
          <w:lang w:bidi="ar-JO"/>
        </w:rPr>
      </w:pPr>
      <w:r w:rsidRPr="00373592">
        <w:rPr>
          <w:rFonts w:asciiTheme="majorBidi" w:eastAsia="Times New Roman" w:hAnsiTheme="majorBidi" w:cstheme="majorBidi"/>
          <w:b/>
          <w:bCs/>
          <w:noProof/>
          <w:sz w:val="24"/>
          <w:szCs w:val="24"/>
        </w:rPr>
        <w:t>NCHR</w:t>
      </w:r>
    </w:p>
    <w:p w:rsidR="0002544A" w:rsidRPr="00373592" w:rsidRDefault="0002544A" w:rsidP="0065643D">
      <w:pPr>
        <w:bidi w:val="0"/>
        <w:spacing w:before="120" w:after="120" w:line="240" w:lineRule="auto"/>
        <w:jc w:val="center"/>
        <w:rPr>
          <w:rFonts w:asciiTheme="majorBidi" w:eastAsia="Times New Roman" w:hAnsiTheme="majorBidi" w:cstheme="majorBidi"/>
          <w:b/>
          <w:bCs/>
          <w:noProof/>
          <w:sz w:val="24"/>
          <w:szCs w:val="24"/>
        </w:rPr>
      </w:pPr>
      <w:r w:rsidRPr="00373592">
        <w:rPr>
          <w:rFonts w:asciiTheme="majorBidi" w:eastAsia="Times New Roman" w:hAnsiTheme="majorBidi" w:cstheme="majorBidi"/>
          <w:b/>
          <w:bCs/>
          <w:noProof/>
          <w:sz w:val="24"/>
          <w:szCs w:val="24"/>
        </w:rPr>
        <w:t>Telephone Number</w:t>
      </w:r>
    </w:p>
    <w:p w:rsidR="00DE1E13" w:rsidRPr="00373592" w:rsidRDefault="00DE1E13" w:rsidP="0065643D">
      <w:pPr>
        <w:bidi w:val="0"/>
        <w:spacing w:after="0" w:line="240" w:lineRule="auto"/>
        <w:jc w:val="center"/>
        <w:rPr>
          <w:rFonts w:asciiTheme="majorBidi" w:eastAsia="Times New Roman" w:hAnsiTheme="majorBidi" w:cstheme="majorBidi"/>
          <w:b/>
          <w:bCs/>
          <w:sz w:val="24"/>
          <w:szCs w:val="24"/>
          <w:rtl/>
          <w:lang w:bidi="ar-JO"/>
        </w:rPr>
      </w:pPr>
      <w:r w:rsidRPr="00373592">
        <w:rPr>
          <w:rFonts w:asciiTheme="majorBidi" w:eastAsia="Times New Roman" w:hAnsiTheme="majorBidi" w:cstheme="majorBidi"/>
          <w:b/>
          <w:bCs/>
          <w:sz w:val="24"/>
          <w:szCs w:val="24"/>
          <w:lang w:bidi="ar-JO"/>
        </w:rPr>
        <w:t xml:space="preserve"> (00962-6-5932257)</w:t>
      </w:r>
    </w:p>
    <w:p w:rsidR="0002544A" w:rsidRPr="00373592" w:rsidRDefault="0002544A" w:rsidP="0065643D">
      <w:pPr>
        <w:tabs>
          <w:tab w:val="left" w:pos="3701"/>
          <w:tab w:val="center" w:pos="4153"/>
        </w:tabs>
        <w:spacing w:after="0" w:line="240" w:lineRule="auto"/>
        <w:jc w:val="center"/>
        <w:rPr>
          <w:rFonts w:asciiTheme="majorBidi" w:eastAsia="Times New Roman" w:hAnsiTheme="majorBidi" w:cstheme="majorBidi"/>
          <w:b/>
          <w:bCs/>
          <w:sz w:val="24"/>
          <w:szCs w:val="24"/>
          <w:lang w:bidi="ar-JO"/>
        </w:rPr>
      </w:pPr>
      <w:r w:rsidRPr="00373592">
        <w:rPr>
          <w:rFonts w:asciiTheme="majorBidi" w:eastAsia="Times New Roman" w:hAnsiTheme="majorBidi" w:cstheme="majorBidi"/>
          <w:b/>
          <w:bCs/>
          <w:sz w:val="24"/>
          <w:szCs w:val="24"/>
          <w:lang w:bidi="ar-JO"/>
        </w:rPr>
        <w:t>Fax:</w:t>
      </w:r>
    </w:p>
    <w:p w:rsidR="00DE1E13" w:rsidRPr="00373592" w:rsidRDefault="00DE1E13" w:rsidP="0065643D">
      <w:pPr>
        <w:tabs>
          <w:tab w:val="left" w:pos="3701"/>
          <w:tab w:val="center" w:pos="4153"/>
        </w:tabs>
        <w:spacing w:after="0" w:line="240" w:lineRule="auto"/>
        <w:jc w:val="center"/>
        <w:rPr>
          <w:rFonts w:asciiTheme="majorBidi" w:eastAsia="Times New Roman" w:hAnsiTheme="majorBidi" w:cstheme="majorBidi"/>
          <w:b/>
          <w:bCs/>
          <w:sz w:val="24"/>
          <w:szCs w:val="24"/>
          <w:rtl/>
          <w:lang w:bidi="ar-JO"/>
        </w:rPr>
      </w:pPr>
      <w:r w:rsidRPr="00373592">
        <w:rPr>
          <w:rFonts w:asciiTheme="majorBidi" w:eastAsia="Times New Roman" w:hAnsiTheme="majorBidi" w:cstheme="majorBidi"/>
          <w:b/>
          <w:bCs/>
          <w:sz w:val="24"/>
          <w:szCs w:val="24"/>
          <w:lang w:bidi="ar-JO"/>
        </w:rPr>
        <w:t>(00962-6-5930072)</w:t>
      </w:r>
    </w:p>
    <w:p w:rsidR="0002544A" w:rsidRPr="00373592" w:rsidRDefault="0002544A" w:rsidP="0065643D">
      <w:pPr>
        <w:spacing w:after="0" w:line="240" w:lineRule="auto"/>
        <w:jc w:val="center"/>
        <w:rPr>
          <w:rFonts w:asciiTheme="majorBidi" w:eastAsia="Times New Roman" w:hAnsiTheme="majorBidi" w:cstheme="majorBidi"/>
          <w:b/>
          <w:bCs/>
          <w:sz w:val="24"/>
          <w:szCs w:val="24"/>
          <w:lang w:bidi="ar-JO"/>
        </w:rPr>
      </w:pPr>
      <w:r w:rsidRPr="00373592">
        <w:rPr>
          <w:rFonts w:asciiTheme="majorBidi" w:eastAsia="Times New Roman" w:hAnsiTheme="majorBidi" w:cstheme="majorBidi"/>
          <w:b/>
          <w:bCs/>
          <w:sz w:val="24"/>
          <w:szCs w:val="24"/>
          <w:lang w:bidi="ar-JO"/>
        </w:rPr>
        <w:t>Toll-free number</w:t>
      </w:r>
    </w:p>
    <w:p w:rsidR="00DE1E13" w:rsidRPr="00373592" w:rsidRDefault="00DE1E13" w:rsidP="0065643D">
      <w:pPr>
        <w:bidi w:val="0"/>
        <w:spacing w:after="0" w:line="240" w:lineRule="auto"/>
        <w:jc w:val="center"/>
        <w:rPr>
          <w:rFonts w:asciiTheme="majorBidi" w:eastAsia="Times New Roman" w:hAnsiTheme="majorBidi" w:cstheme="majorBidi"/>
          <w:b/>
          <w:bCs/>
          <w:sz w:val="24"/>
          <w:szCs w:val="24"/>
          <w:rtl/>
          <w:lang w:bidi="ar-JO"/>
        </w:rPr>
      </w:pPr>
      <w:r w:rsidRPr="00373592">
        <w:rPr>
          <w:rFonts w:asciiTheme="majorBidi" w:eastAsia="Times New Roman" w:hAnsiTheme="majorBidi" w:cstheme="majorBidi"/>
          <w:b/>
          <w:bCs/>
          <w:sz w:val="24"/>
          <w:szCs w:val="24"/>
          <w:lang w:bidi="ar-JO"/>
        </w:rPr>
        <w:t>(080022320)</w:t>
      </w:r>
    </w:p>
    <w:p w:rsidR="00504D8C" w:rsidRPr="00373592" w:rsidRDefault="00504D8C" w:rsidP="0065643D">
      <w:pPr>
        <w:spacing w:after="0" w:line="240" w:lineRule="auto"/>
        <w:jc w:val="center"/>
        <w:rPr>
          <w:rFonts w:asciiTheme="majorBidi" w:eastAsia="Times New Roman" w:hAnsiTheme="majorBidi" w:cstheme="majorBidi"/>
          <w:b/>
          <w:bCs/>
          <w:sz w:val="24"/>
          <w:szCs w:val="24"/>
          <w:rtl/>
          <w:lang w:bidi="ar-JO"/>
        </w:rPr>
      </w:pPr>
    </w:p>
    <w:p w:rsidR="00504D8C" w:rsidRPr="00373592" w:rsidRDefault="00504D8C" w:rsidP="0065643D">
      <w:pPr>
        <w:spacing w:after="0" w:line="240" w:lineRule="auto"/>
        <w:jc w:val="center"/>
        <w:rPr>
          <w:rFonts w:asciiTheme="majorBidi" w:eastAsia="Times New Roman" w:hAnsiTheme="majorBidi" w:cstheme="majorBidi"/>
          <w:b/>
          <w:bCs/>
          <w:sz w:val="24"/>
          <w:szCs w:val="24"/>
          <w:rtl/>
          <w:lang w:bidi="ar-JO"/>
        </w:rPr>
      </w:pPr>
    </w:p>
    <w:p w:rsidR="0002544A" w:rsidRPr="00373592" w:rsidRDefault="0002544A" w:rsidP="0065643D">
      <w:pPr>
        <w:spacing w:after="0" w:line="240" w:lineRule="auto"/>
        <w:jc w:val="center"/>
        <w:rPr>
          <w:rFonts w:asciiTheme="majorBidi" w:eastAsia="Times New Roman" w:hAnsiTheme="majorBidi" w:cstheme="majorBidi"/>
          <w:b/>
          <w:bCs/>
          <w:sz w:val="24"/>
          <w:szCs w:val="24"/>
        </w:rPr>
      </w:pPr>
      <w:r w:rsidRPr="00373592">
        <w:rPr>
          <w:rFonts w:asciiTheme="majorBidi" w:eastAsia="Times New Roman" w:hAnsiTheme="majorBidi" w:cstheme="majorBidi"/>
          <w:b/>
          <w:bCs/>
          <w:sz w:val="24"/>
          <w:szCs w:val="24"/>
        </w:rPr>
        <w:t>Website: www. Nchr.org.jo</w:t>
      </w:r>
    </w:p>
    <w:p w:rsidR="00504D8C" w:rsidRPr="00373592" w:rsidRDefault="0002544A" w:rsidP="00B02267">
      <w:pPr>
        <w:spacing w:after="0" w:line="240" w:lineRule="auto"/>
        <w:jc w:val="center"/>
        <w:rPr>
          <w:rFonts w:asciiTheme="majorBidi" w:eastAsia="Times New Roman" w:hAnsiTheme="majorBidi" w:cstheme="majorBidi"/>
          <w:b/>
          <w:bCs/>
          <w:sz w:val="24"/>
          <w:szCs w:val="24"/>
        </w:rPr>
      </w:pPr>
      <w:r w:rsidRPr="00373592">
        <w:rPr>
          <w:rFonts w:asciiTheme="majorBidi" w:eastAsia="Times New Roman" w:hAnsiTheme="majorBidi" w:cstheme="majorBidi"/>
          <w:b/>
          <w:bCs/>
          <w:sz w:val="24"/>
          <w:szCs w:val="24"/>
        </w:rPr>
        <w:t xml:space="preserve">Email: </w:t>
      </w:r>
      <w:hyperlink r:id="rId9" w:history="1">
        <w:r w:rsidR="003D22E5" w:rsidRPr="00373592">
          <w:rPr>
            <w:rStyle w:val="Hyperlink"/>
            <w:rFonts w:asciiTheme="majorBidi" w:eastAsia="Times New Roman" w:hAnsiTheme="majorBidi" w:cstheme="majorBidi"/>
            <w:b/>
            <w:bCs/>
            <w:color w:val="auto"/>
            <w:sz w:val="24"/>
            <w:szCs w:val="24"/>
          </w:rPr>
          <w:t>mail@nchr.org.jo</w:t>
        </w:r>
      </w:hyperlink>
    </w:p>
    <w:p w:rsidR="003D22E5" w:rsidRPr="00373592" w:rsidRDefault="003D22E5" w:rsidP="00B02267">
      <w:pPr>
        <w:spacing w:after="0" w:line="240" w:lineRule="auto"/>
        <w:jc w:val="center"/>
        <w:rPr>
          <w:rFonts w:asciiTheme="majorBidi" w:eastAsia="Times New Roman" w:hAnsiTheme="majorBidi" w:cstheme="majorBidi"/>
          <w:b/>
          <w:bCs/>
          <w:sz w:val="24"/>
          <w:szCs w:val="24"/>
        </w:rPr>
      </w:pPr>
    </w:p>
    <w:p w:rsidR="003D22E5" w:rsidRPr="00373592" w:rsidRDefault="003D22E5" w:rsidP="00B02267">
      <w:pPr>
        <w:spacing w:after="0" w:line="240" w:lineRule="auto"/>
        <w:jc w:val="center"/>
        <w:rPr>
          <w:rFonts w:asciiTheme="majorBidi" w:eastAsia="Times New Roman" w:hAnsiTheme="majorBidi" w:cstheme="majorBidi"/>
          <w:b/>
          <w:bCs/>
          <w:sz w:val="24"/>
          <w:szCs w:val="24"/>
        </w:rPr>
      </w:pPr>
    </w:p>
    <w:p w:rsidR="003D22E5" w:rsidRDefault="003D22E5" w:rsidP="00B02267">
      <w:pPr>
        <w:spacing w:after="0" w:line="240" w:lineRule="auto"/>
        <w:jc w:val="center"/>
        <w:rPr>
          <w:rFonts w:asciiTheme="majorBidi" w:eastAsia="Times New Roman" w:hAnsiTheme="majorBidi" w:cstheme="majorBidi"/>
          <w:b/>
          <w:bCs/>
          <w:sz w:val="24"/>
          <w:szCs w:val="24"/>
        </w:rPr>
      </w:pPr>
    </w:p>
    <w:p w:rsidR="0002535F" w:rsidRDefault="0002535F" w:rsidP="00B02267">
      <w:pPr>
        <w:spacing w:after="0" w:line="240" w:lineRule="auto"/>
        <w:jc w:val="center"/>
        <w:rPr>
          <w:rFonts w:asciiTheme="majorBidi" w:eastAsia="Times New Roman" w:hAnsiTheme="majorBidi" w:cstheme="majorBidi"/>
          <w:b/>
          <w:bCs/>
          <w:sz w:val="24"/>
          <w:szCs w:val="24"/>
        </w:rPr>
      </w:pPr>
    </w:p>
    <w:p w:rsidR="0002535F" w:rsidRPr="00373592" w:rsidRDefault="0002535F" w:rsidP="00B02267">
      <w:pPr>
        <w:spacing w:after="0" w:line="240" w:lineRule="auto"/>
        <w:jc w:val="center"/>
        <w:rPr>
          <w:rFonts w:asciiTheme="majorBidi" w:eastAsia="Times New Roman" w:hAnsiTheme="majorBidi" w:cstheme="majorBidi"/>
          <w:b/>
          <w:bCs/>
          <w:sz w:val="24"/>
          <w:szCs w:val="24"/>
        </w:rPr>
      </w:pPr>
    </w:p>
    <w:p w:rsidR="003D22E5" w:rsidRPr="00373592" w:rsidRDefault="003D22E5" w:rsidP="00B02267">
      <w:pPr>
        <w:spacing w:after="0" w:line="240" w:lineRule="auto"/>
        <w:jc w:val="center"/>
        <w:rPr>
          <w:rFonts w:asciiTheme="majorBidi" w:eastAsia="Times New Roman" w:hAnsiTheme="majorBidi" w:cstheme="majorBidi"/>
          <w:b/>
          <w:bCs/>
          <w:sz w:val="24"/>
          <w:szCs w:val="24"/>
        </w:rPr>
      </w:pPr>
    </w:p>
    <w:p w:rsidR="003D22E5" w:rsidRPr="00373592" w:rsidRDefault="003D22E5" w:rsidP="00B02267">
      <w:pPr>
        <w:spacing w:after="0" w:line="240" w:lineRule="auto"/>
        <w:jc w:val="center"/>
        <w:rPr>
          <w:rFonts w:asciiTheme="majorBidi" w:eastAsia="Times New Roman" w:hAnsiTheme="majorBidi" w:cstheme="majorBidi"/>
          <w:b/>
          <w:bCs/>
          <w:sz w:val="24"/>
          <w:szCs w:val="24"/>
          <w:rtl/>
          <w:lang w:bidi="ar-JO"/>
        </w:rPr>
      </w:pPr>
    </w:p>
    <w:p w:rsidR="0065643D" w:rsidRDefault="0065643D" w:rsidP="00442CA6">
      <w:pPr>
        <w:tabs>
          <w:tab w:val="right" w:pos="0"/>
        </w:tabs>
        <w:bidi w:val="0"/>
        <w:spacing w:after="0"/>
        <w:ind w:left="360" w:right="26"/>
        <w:contextualSpacing/>
        <w:jc w:val="both"/>
        <w:rPr>
          <w:rFonts w:asciiTheme="majorBidi" w:eastAsia="Calibri" w:hAnsiTheme="majorBidi" w:cstheme="majorBidi"/>
          <w:b/>
          <w:bCs/>
          <w:sz w:val="24"/>
          <w:szCs w:val="24"/>
        </w:rPr>
      </w:pPr>
      <w:r w:rsidRPr="00373592">
        <w:rPr>
          <w:rFonts w:asciiTheme="majorBidi" w:eastAsia="Calibri" w:hAnsiTheme="majorBidi" w:cstheme="majorBidi"/>
          <w:b/>
          <w:bCs/>
          <w:sz w:val="24"/>
          <w:szCs w:val="24"/>
        </w:rPr>
        <w:lastRenderedPageBreak/>
        <w:t>General Information:</w:t>
      </w:r>
    </w:p>
    <w:p w:rsidR="00263429" w:rsidRPr="00373592" w:rsidRDefault="00263429" w:rsidP="00263429">
      <w:pPr>
        <w:tabs>
          <w:tab w:val="right" w:pos="0"/>
        </w:tabs>
        <w:bidi w:val="0"/>
        <w:spacing w:after="0"/>
        <w:ind w:left="360" w:right="26"/>
        <w:contextualSpacing/>
        <w:jc w:val="both"/>
        <w:rPr>
          <w:rFonts w:asciiTheme="majorBidi" w:eastAsia="Calibri" w:hAnsiTheme="majorBidi" w:cstheme="majorBidi"/>
          <w:b/>
          <w:bCs/>
          <w:sz w:val="24"/>
          <w:szCs w:val="24"/>
        </w:rPr>
      </w:pPr>
    </w:p>
    <w:p w:rsidR="00927FD0" w:rsidRPr="00373592" w:rsidRDefault="00927FD0" w:rsidP="00442CA6">
      <w:pPr>
        <w:tabs>
          <w:tab w:val="right" w:pos="0"/>
        </w:tabs>
        <w:bidi w:val="0"/>
        <w:spacing w:after="0"/>
        <w:ind w:left="360" w:right="26"/>
        <w:contextualSpacing/>
        <w:jc w:val="both"/>
        <w:rPr>
          <w:rFonts w:asciiTheme="majorBidi" w:eastAsia="Calibri" w:hAnsiTheme="majorBidi" w:cstheme="majorBidi"/>
          <w:sz w:val="24"/>
          <w:szCs w:val="24"/>
          <w:lang w:bidi="ar-JO"/>
        </w:rPr>
      </w:pPr>
      <w:r w:rsidRPr="00373592">
        <w:rPr>
          <w:rFonts w:asciiTheme="majorBidi" w:eastAsia="Calibri" w:hAnsiTheme="majorBidi" w:cstheme="majorBidi"/>
          <w:sz w:val="24"/>
          <w:szCs w:val="24"/>
          <w:lang w:bidi="ar-AE"/>
        </w:rPr>
        <w:t xml:space="preserve">The National Center for Human Rights </w:t>
      </w:r>
      <w:r w:rsidR="006C6FD8" w:rsidRPr="00373592">
        <w:rPr>
          <w:rFonts w:asciiTheme="majorBidi" w:eastAsia="Calibri" w:hAnsiTheme="majorBidi" w:cstheme="majorBidi"/>
          <w:sz w:val="24"/>
          <w:szCs w:val="24"/>
          <w:lang w:bidi="ar-AE"/>
        </w:rPr>
        <w:t>in Jordan hereby</w:t>
      </w:r>
      <w:r w:rsidRPr="00373592">
        <w:rPr>
          <w:rFonts w:asciiTheme="majorBidi" w:eastAsia="Calibri" w:hAnsiTheme="majorBidi" w:cstheme="majorBidi"/>
          <w:sz w:val="24"/>
          <w:szCs w:val="24"/>
          <w:lang w:bidi="ar-AE"/>
        </w:rPr>
        <w:t xml:space="preserve"> presents to your esteemed Committee its first shadow</w:t>
      </w:r>
      <w:r w:rsidR="00287579" w:rsidRPr="00373592">
        <w:rPr>
          <w:rFonts w:asciiTheme="majorBidi" w:eastAsia="Calibri" w:hAnsiTheme="majorBidi" w:cstheme="majorBidi"/>
          <w:sz w:val="24"/>
          <w:szCs w:val="24"/>
          <w:lang w:bidi="ar-AE"/>
        </w:rPr>
        <w:t xml:space="preserve"> report</w:t>
      </w:r>
      <w:r w:rsidR="009543C3" w:rsidRPr="00373592">
        <w:rPr>
          <w:rFonts w:asciiTheme="majorBidi" w:eastAsia="Calibri" w:hAnsiTheme="majorBidi" w:cstheme="majorBidi"/>
          <w:sz w:val="24"/>
          <w:szCs w:val="24"/>
          <w:lang w:bidi="ar-AE"/>
        </w:rPr>
        <w:t xml:space="preserve"> in response to the </w:t>
      </w:r>
      <w:r w:rsidR="00B124FB" w:rsidRPr="00373592">
        <w:rPr>
          <w:rFonts w:asciiTheme="majorBidi" w:eastAsia="Calibri" w:hAnsiTheme="majorBidi" w:cstheme="majorBidi"/>
          <w:sz w:val="24"/>
          <w:szCs w:val="24"/>
          <w:lang w:bidi="ar-AE"/>
        </w:rPr>
        <w:t>l</w:t>
      </w:r>
      <w:r w:rsidR="009543C3" w:rsidRPr="00373592">
        <w:rPr>
          <w:rFonts w:asciiTheme="majorBidi" w:eastAsia="Calibri" w:hAnsiTheme="majorBidi" w:cstheme="majorBidi"/>
          <w:sz w:val="24"/>
          <w:szCs w:val="24"/>
          <w:lang w:bidi="ar-AE"/>
        </w:rPr>
        <w:t>ist of issues in relation to the fifth periodic report of Jordan adopt</w:t>
      </w:r>
      <w:r w:rsidR="003E63D4" w:rsidRPr="00373592">
        <w:rPr>
          <w:rFonts w:asciiTheme="majorBidi" w:eastAsia="Calibri" w:hAnsiTheme="majorBidi" w:cstheme="majorBidi"/>
          <w:sz w:val="24"/>
          <w:szCs w:val="24"/>
          <w:lang w:bidi="ar-AE"/>
        </w:rPr>
        <w:t xml:space="preserve">ed by the Committee at its </w:t>
      </w:r>
      <w:r w:rsidR="006C6FD8" w:rsidRPr="00373592">
        <w:rPr>
          <w:rFonts w:asciiTheme="majorBidi" w:eastAsia="Calibri" w:hAnsiTheme="majorBidi" w:cstheme="majorBidi"/>
          <w:sz w:val="24"/>
          <w:szCs w:val="24"/>
          <w:lang w:bidi="ar-AE"/>
        </w:rPr>
        <w:t>119</w:t>
      </w:r>
      <w:r w:rsidR="006C6FD8" w:rsidRPr="00373592">
        <w:rPr>
          <w:rFonts w:asciiTheme="majorBidi" w:eastAsia="Calibri" w:hAnsiTheme="majorBidi" w:cstheme="majorBidi"/>
          <w:sz w:val="24"/>
          <w:szCs w:val="24"/>
          <w:vertAlign w:val="superscript"/>
          <w:lang w:bidi="ar-AE"/>
        </w:rPr>
        <w:t>th</w:t>
      </w:r>
      <w:r w:rsidR="006C6FD8" w:rsidRPr="00373592">
        <w:rPr>
          <w:rFonts w:asciiTheme="majorBidi" w:eastAsia="Calibri" w:hAnsiTheme="majorBidi" w:cstheme="majorBidi"/>
          <w:sz w:val="24"/>
          <w:szCs w:val="24"/>
          <w:lang w:bidi="ar-AE"/>
        </w:rPr>
        <w:t xml:space="preserve"> Session</w:t>
      </w:r>
      <w:r w:rsidR="003E63D4" w:rsidRPr="00373592">
        <w:rPr>
          <w:rFonts w:asciiTheme="majorBidi" w:eastAsia="Calibri" w:hAnsiTheme="majorBidi" w:cstheme="majorBidi"/>
          <w:sz w:val="24"/>
          <w:szCs w:val="24"/>
          <w:lang w:bidi="ar-AE"/>
        </w:rPr>
        <w:t>.</w:t>
      </w:r>
      <w:r w:rsidR="009543C3" w:rsidRPr="00373592">
        <w:rPr>
          <w:rFonts w:asciiTheme="majorBidi" w:eastAsia="Calibri" w:hAnsiTheme="majorBidi" w:cstheme="majorBidi"/>
          <w:sz w:val="24"/>
          <w:szCs w:val="24"/>
          <w:lang w:bidi="ar-AE"/>
        </w:rPr>
        <w:t xml:space="preserve"> </w:t>
      </w:r>
      <w:r w:rsidRPr="00373592">
        <w:rPr>
          <w:rFonts w:asciiTheme="majorBidi" w:eastAsia="Calibri" w:hAnsiTheme="majorBidi" w:cstheme="majorBidi"/>
          <w:sz w:val="24"/>
          <w:szCs w:val="24"/>
          <w:lang w:bidi="ar-AE"/>
        </w:rPr>
        <w:t>The Report is submitted by virtue of the legal powers granted to the Center under its Law No (51) for the year 2006,</w:t>
      </w:r>
      <w:r w:rsidR="001734ED" w:rsidRPr="00373592">
        <w:rPr>
          <w:rFonts w:asciiTheme="majorBidi" w:eastAsia="Calibri" w:hAnsiTheme="majorBidi" w:cstheme="majorBidi"/>
          <w:sz w:val="24"/>
          <w:szCs w:val="24"/>
          <w:lang w:bidi="ar-AE"/>
        </w:rPr>
        <w:t xml:space="preserve"> as amended,</w:t>
      </w:r>
      <w:r w:rsidRPr="00373592">
        <w:rPr>
          <w:rFonts w:asciiTheme="majorBidi" w:eastAsia="Calibri" w:hAnsiTheme="majorBidi" w:cstheme="majorBidi"/>
          <w:sz w:val="24"/>
          <w:szCs w:val="24"/>
          <w:lang w:bidi="ar-AE"/>
        </w:rPr>
        <w:t xml:space="preserve"> which vested it with the competence to monitor, protect, and verify respect for human rights in the Kingdom, to address any abuses or violations thereof, and follow up the adoption of the necessary measures to this end, including their settlement or referral to the competent Executive, Legislative or the Judicial authority to halt them and eliminate their effects, as well as to ensure the dissemination of the culture of human rights, monitor its situation, and provide legal advice or  aid to people who could otherwise not afford it</w:t>
      </w:r>
      <w:r w:rsidRPr="00373592">
        <w:rPr>
          <w:rFonts w:asciiTheme="majorBidi" w:eastAsia="Calibri" w:hAnsiTheme="majorBidi" w:cstheme="majorBidi"/>
          <w:sz w:val="24"/>
          <w:szCs w:val="24"/>
        </w:rPr>
        <w:t>.</w:t>
      </w:r>
    </w:p>
    <w:p w:rsidR="00400050" w:rsidRPr="00373592" w:rsidRDefault="00400050" w:rsidP="00442CA6">
      <w:pPr>
        <w:tabs>
          <w:tab w:val="right" w:pos="0"/>
        </w:tabs>
        <w:bidi w:val="0"/>
        <w:spacing w:after="0"/>
        <w:ind w:left="360" w:right="26"/>
        <w:contextualSpacing/>
        <w:jc w:val="both"/>
        <w:rPr>
          <w:rFonts w:asciiTheme="majorBidi" w:eastAsia="Calibri" w:hAnsiTheme="majorBidi" w:cstheme="majorBidi"/>
          <w:sz w:val="24"/>
          <w:szCs w:val="24"/>
          <w:rtl/>
          <w:lang w:bidi="ar-JO"/>
        </w:rPr>
      </w:pPr>
    </w:p>
    <w:p w:rsidR="00927FD0" w:rsidRPr="00373592" w:rsidRDefault="000A1DE5" w:rsidP="008149FE">
      <w:pPr>
        <w:tabs>
          <w:tab w:val="right" w:pos="0"/>
        </w:tabs>
        <w:bidi w:val="0"/>
        <w:spacing w:after="0"/>
        <w:ind w:left="360" w:right="26"/>
        <w:contextualSpacing/>
        <w:jc w:val="both"/>
        <w:rPr>
          <w:rFonts w:asciiTheme="majorBidi" w:eastAsia="Calibri" w:hAnsiTheme="majorBidi" w:cstheme="majorBidi"/>
          <w:sz w:val="24"/>
          <w:szCs w:val="24"/>
          <w:lang w:bidi="ar-AE"/>
        </w:rPr>
      </w:pPr>
      <w:r w:rsidRPr="00373592">
        <w:rPr>
          <w:rFonts w:asciiTheme="majorBidi" w:eastAsia="Calibri" w:hAnsiTheme="majorBidi" w:cstheme="majorBidi"/>
          <w:sz w:val="24"/>
          <w:szCs w:val="24"/>
          <w:lang w:bidi="ar-AE"/>
        </w:rPr>
        <w:t xml:space="preserve">The Center </w:t>
      </w:r>
      <w:r w:rsidR="007D433F" w:rsidRPr="00373592">
        <w:rPr>
          <w:rFonts w:asciiTheme="majorBidi" w:eastAsia="Calibri" w:hAnsiTheme="majorBidi" w:cstheme="majorBidi"/>
          <w:sz w:val="24"/>
          <w:szCs w:val="24"/>
          <w:lang w:bidi="ar-AE"/>
        </w:rPr>
        <w:t>observed</w:t>
      </w:r>
      <w:r w:rsidR="006C6FD8" w:rsidRPr="00373592">
        <w:rPr>
          <w:rFonts w:asciiTheme="majorBidi" w:eastAsia="Calibri" w:hAnsiTheme="majorBidi" w:cstheme="majorBidi"/>
          <w:sz w:val="24"/>
          <w:szCs w:val="24"/>
          <w:lang w:bidi="ar-AE"/>
        </w:rPr>
        <w:t xml:space="preserve"> </w:t>
      </w:r>
      <w:r w:rsidRPr="00373592">
        <w:rPr>
          <w:rFonts w:asciiTheme="majorBidi" w:eastAsia="Calibri" w:hAnsiTheme="majorBidi" w:cstheme="majorBidi"/>
          <w:sz w:val="24"/>
          <w:szCs w:val="24"/>
          <w:lang w:bidi="ar-AE"/>
        </w:rPr>
        <w:t>a</w:t>
      </w:r>
      <w:r w:rsidR="00400050" w:rsidRPr="00373592">
        <w:rPr>
          <w:rFonts w:asciiTheme="majorBidi" w:eastAsia="Calibri" w:hAnsiTheme="majorBidi" w:cstheme="majorBidi"/>
          <w:sz w:val="24"/>
          <w:szCs w:val="24"/>
          <w:lang w:bidi="ar-AE"/>
        </w:rPr>
        <w:t xml:space="preserve"> </w:t>
      </w:r>
      <w:r w:rsidRPr="00373592">
        <w:rPr>
          <w:rFonts w:asciiTheme="majorBidi" w:eastAsia="Calibri" w:hAnsiTheme="majorBidi" w:cstheme="majorBidi"/>
          <w:sz w:val="24"/>
          <w:szCs w:val="24"/>
          <w:lang w:bidi="ar-AE"/>
        </w:rPr>
        <w:t>significant</w:t>
      </w:r>
      <w:r w:rsidR="00400050" w:rsidRPr="00373592">
        <w:rPr>
          <w:rFonts w:asciiTheme="majorBidi" w:eastAsia="Calibri" w:hAnsiTheme="majorBidi" w:cstheme="majorBidi"/>
          <w:sz w:val="24"/>
          <w:szCs w:val="24"/>
          <w:lang w:bidi="ar-AE"/>
        </w:rPr>
        <w:t xml:space="preserve"> change</w:t>
      </w:r>
      <w:r w:rsidRPr="00373592">
        <w:rPr>
          <w:rFonts w:asciiTheme="majorBidi" w:eastAsia="Calibri" w:hAnsiTheme="majorBidi" w:cstheme="majorBidi"/>
          <w:sz w:val="24"/>
          <w:szCs w:val="24"/>
          <w:lang w:bidi="ar-AE"/>
        </w:rPr>
        <w:t>, over the past five years, in</w:t>
      </w:r>
      <w:r w:rsidR="00DD32A8" w:rsidRPr="00373592">
        <w:rPr>
          <w:rFonts w:asciiTheme="majorBidi" w:eastAsia="Calibri" w:hAnsiTheme="majorBidi" w:cstheme="majorBidi"/>
          <w:sz w:val="24"/>
          <w:szCs w:val="24"/>
          <w:lang w:bidi="ar-AE"/>
        </w:rPr>
        <w:t xml:space="preserve"> the public </w:t>
      </w:r>
      <w:r w:rsidR="00950115" w:rsidRPr="00373592">
        <w:rPr>
          <w:rFonts w:asciiTheme="majorBidi" w:eastAsia="Calibri" w:hAnsiTheme="majorBidi" w:cstheme="majorBidi"/>
          <w:sz w:val="24"/>
          <w:szCs w:val="24"/>
          <w:lang w:bidi="ar-AE"/>
        </w:rPr>
        <w:t>authorities’</w:t>
      </w:r>
      <w:r w:rsidR="00DD32A8" w:rsidRPr="00373592">
        <w:rPr>
          <w:rFonts w:asciiTheme="majorBidi" w:eastAsia="Calibri" w:hAnsiTheme="majorBidi" w:cstheme="majorBidi"/>
          <w:sz w:val="24"/>
          <w:szCs w:val="24"/>
          <w:lang w:bidi="ar-AE"/>
        </w:rPr>
        <w:t xml:space="preserve"> </w:t>
      </w:r>
      <w:r w:rsidR="00CC5552" w:rsidRPr="00373592">
        <w:rPr>
          <w:rFonts w:asciiTheme="majorBidi" w:eastAsia="Calibri" w:hAnsiTheme="majorBidi" w:cstheme="majorBidi"/>
          <w:sz w:val="24"/>
          <w:szCs w:val="24"/>
          <w:lang w:bidi="ar-AE"/>
        </w:rPr>
        <w:t>perceptions</w:t>
      </w:r>
      <w:r w:rsidR="002E56C4" w:rsidRPr="00373592">
        <w:rPr>
          <w:rFonts w:asciiTheme="majorBidi" w:eastAsia="Calibri" w:hAnsiTheme="majorBidi" w:cstheme="majorBidi"/>
          <w:sz w:val="24"/>
          <w:szCs w:val="24"/>
          <w:lang w:bidi="ar-AE"/>
        </w:rPr>
        <w:t xml:space="preserve"> </w:t>
      </w:r>
      <w:r w:rsidR="007346F1" w:rsidRPr="00373592">
        <w:rPr>
          <w:rFonts w:asciiTheme="majorBidi" w:eastAsia="Calibri" w:hAnsiTheme="majorBidi" w:cstheme="majorBidi"/>
          <w:sz w:val="24"/>
          <w:szCs w:val="24"/>
          <w:lang w:bidi="ar-AE"/>
        </w:rPr>
        <w:t xml:space="preserve">of </w:t>
      </w:r>
      <w:r w:rsidR="00DD32A8" w:rsidRPr="00373592">
        <w:rPr>
          <w:rFonts w:asciiTheme="majorBidi" w:eastAsia="Calibri" w:hAnsiTheme="majorBidi" w:cstheme="majorBidi"/>
          <w:sz w:val="24"/>
          <w:szCs w:val="24"/>
          <w:lang w:bidi="ar-AE"/>
        </w:rPr>
        <w:t>human rights</w:t>
      </w:r>
      <w:r w:rsidR="00423B53">
        <w:rPr>
          <w:rFonts w:asciiTheme="majorBidi" w:eastAsia="Calibri" w:hAnsiTheme="majorBidi" w:cstheme="majorBidi"/>
          <w:sz w:val="24"/>
          <w:szCs w:val="24"/>
          <w:lang w:bidi="ar-AE"/>
        </w:rPr>
        <w:t xml:space="preserve"> </w:t>
      </w:r>
      <w:r w:rsidR="00D11FCF" w:rsidRPr="00373592">
        <w:rPr>
          <w:rFonts w:asciiTheme="majorBidi" w:eastAsia="Calibri" w:hAnsiTheme="majorBidi" w:cstheme="majorBidi"/>
          <w:sz w:val="24"/>
          <w:szCs w:val="24"/>
          <w:lang w:bidi="ar-AE"/>
        </w:rPr>
        <w:t xml:space="preserve">and the way </w:t>
      </w:r>
      <w:r w:rsidR="003C3B08" w:rsidRPr="00373592">
        <w:rPr>
          <w:rFonts w:asciiTheme="majorBidi" w:eastAsia="Calibri" w:hAnsiTheme="majorBidi" w:cstheme="majorBidi"/>
          <w:sz w:val="24"/>
          <w:szCs w:val="24"/>
          <w:lang w:bidi="ar-AE"/>
        </w:rPr>
        <w:t>they address</w:t>
      </w:r>
      <w:r w:rsidR="00D11FCF" w:rsidRPr="00373592">
        <w:rPr>
          <w:rFonts w:asciiTheme="majorBidi" w:eastAsia="Calibri" w:hAnsiTheme="majorBidi" w:cstheme="majorBidi"/>
          <w:sz w:val="24"/>
          <w:szCs w:val="24"/>
          <w:lang w:bidi="ar-AE"/>
        </w:rPr>
        <w:t xml:space="preserve"> these</w:t>
      </w:r>
      <w:r w:rsidR="001404C4" w:rsidRPr="00373592">
        <w:rPr>
          <w:rFonts w:asciiTheme="majorBidi" w:eastAsia="Calibri" w:hAnsiTheme="majorBidi" w:cstheme="majorBidi"/>
          <w:sz w:val="24"/>
          <w:szCs w:val="24"/>
          <w:lang w:bidi="ar-AE"/>
        </w:rPr>
        <w:t xml:space="preserve"> </w:t>
      </w:r>
      <w:r w:rsidR="002E56C4" w:rsidRPr="00373592">
        <w:rPr>
          <w:rFonts w:asciiTheme="majorBidi" w:eastAsia="Calibri" w:hAnsiTheme="majorBidi" w:cstheme="majorBidi"/>
          <w:sz w:val="24"/>
          <w:szCs w:val="24"/>
          <w:lang w:bidi="ar-AE"/>
        </w:rPr>
        <w:t>issues</w:t>
      </w:r>
      <w:r w:rsidR="001734ED" w:rsidRPr="00373592">
        <w:rPr>
          <w:rFonts w:asciiTheme="majorBidi" w:eastAsia="Calibri" w:hAnsiTheme="majorBidi" w:cstheme="majorBidi"/>
          <w:sz w:val="24"/>
          <w:szCs w:val="24"/>
          <w:lang w:bidi="ar-AE"/>
        </w:rPr>
        <w:t>, as demonstrated by the</w:t>
      </w:r>
      <w:r w:rsidR="00DD32A8" w:rsidRPr="00373592">
        <w:rPr>
          <w:rFonts w:asciiTheme="majorBidi" w:eastAsia="Calibri" w:hAnsiTheme="majorBidi" w:cstheme="majorBidi"/>
          <w:sz w:val="24"/>
          <w:szCs w:val="24"/>
          <w:lang w:bidi="ar-AE"/>
        </w:rPr>
        <w:t xml:space="preserve"> </w:t>
      </w:r>
      <w:r w:rsidR="007D433F" w:rsidRPr="00373592">
        <w:rPr>
          <w:rFonts w:asciiTheme="majorBidi" w:eastAsia="Calibri" w:hAnsiTheme="majorBidi" w:cstheme="majorBidi"/>
          <w:sz w:val="24"/>
          <w:szCs w:val="24"/>
          <w:lang w:bidi="ar-AE"/>
        </w:rPr>
        <w:t xml:space="preserve">numerous </w:t>
      </w:r>
      <w:r w:rsidR="00DD32A8" w:rsidRPr="00373592">
        <w:rPr>
          <w:rFonts w:asciiTheme="majorBidi" w:eastAsia="Calibri" w:hAnsiTheme="majorBidi" w:cstheme="majorBidi"/>
          <w:sz w:val="24"/>
          <w:szCs w:val="24"/>
          <w:lang w:bidi="ar-AE"/>
        </w:rPr>
        <w:t>positive steps</w:t>
      </w:r>
      <w:r w:rsidR="00561A80" w:rsidRPr="00373592">
        <w:rPr>
          <w:rFonts w:asciiTheme="majorBidi" w:eastAsia="Calibri" w:hAnsiTheme="majorBidi" w:cstheme="majorBidi"/>
          <w:sz w:val="24"/>
          <w:szCs w:val="24"/>
          <w:lang w:bidi="ar-AE"/>
        </w:rPr>
        <w:t xml:space="preserve"> taken by the Government within the</w:t>
      </w:r>
      <w:r w:rsidR="0076598F" w:rsidRPr="00373592">
        <w:rPr>
          <w:rFonts w:asciiTheme="majorBidi" w:eastAsia="Calibri" w:hAnsiTheme="majorBidi" w:cstheme="majorBidi"/>
          <w:sz w:val="24"/>
          <w:szCs w:val="24"/>
          <w:lang w:bidi="ar-AE"/>
        </w:rPr>
        <w:t xml:space="preserve"> framework of the protection and </w:t>
      </w:r>
      <w:r w:rsidR="00561A80" w:rsidRPr="00373592">
        <w:rPr>
          <w:rFonts w:asciiTheme="majorBidi" w:eastAsia="Calibri" w:hAnsiTheme="majorBidi" w:cstheme="majorBidi"/>
          <w:sz w:val="24"/>
          <w:szCs w:val="24"/>
          <w:lang w:bidi="ar-AE"/>
        </w:rPr>
        <w:t>promotion of human rights</w:t>
      </w:r>
      <w:r w:rsidR="00E4481E" w:rsidRPr="00373592">
        <w:rPr>
          <w:rFonts w:asciiTheme="majorBidi" w:eastAsia="Calibri" w:hAnsiTheme="majorBidi" w:cstheme="majorBidi"/>
          <w:sz w:val="24"/>
          <w:szCs w:val="24"/>
          <w:lang w:bidi="ar-AE"/>
        </w:rPr>
        <w:t xml:space="preserve">, </w:t>
      </w:r>
      <w:r w:rsidR="00480DAF">
        <w:rPr>
          <w:rFonts w:asciiTheme="majorBidi" w:eastAsia="Calibri" w:hAnsiTheme="majorBidi" w:cstheme="majorBidi"/>
          <w:sz w:val="24"/>
          <w:szCs w:val="24"/>
          <w:lang w:bidi="ar-AE"/>
        </w:rPr>
        <w:t>where</w:t>
      </w:r>
      <w:r w:rsidR="00E4481E" w:rsidRPr="00373592">
        <w:rPr>
          <w:rFonts w:asciiTheme="majorBidi" w:eastAsia="Calibri" w:hAnsiTheme="majorBidi" w:cstheme="majorBidi"/>
          <w:sz w:val="24"/>
          <w:szCs w:val="24"/>
          <w:lang w:bidi="ar-AE"/>
        </w:rPr>
        <w:t xml:space="preserve"> the </w:t>
      </w:r>
      <w:r w:rsidR="00590157" w:rsidRPr="00373592">
        <w:rPr>
          <w:rFonts w:asciiTheme="majorBidi" w:eastAsia="Calibri" w:hAnsiTheme="majorBidi" w:cstheme="majorBidi"/>
          <w:sz w:val="24"/>
          <w:szCs w:val="24"/>
          <w:lang w:bidi="ar-AE"/>
        </w:rPr>
        <w:t>period between 2013 and 2017</w:t>
      </w:r>
      <w:r w:rsidR="00E4481E" w:rsidRPr="00373592">
        <w:rPr>
          <w:rFonts w:asciiTheme="majorBidi" w:eastAsia="Calibri" w:hAnsiTheme="majorBidi" w:cstheme="majorBidi"/>
          <w:sz w:val="24"/>
          <w:szCs w:val="24"/>
          <w:lang w:bidi="ar-AE"/>
        </w:rPr>
        <w:t xml:space="preserve"> witnessed </w:t>
      </w:r>
      <w:r w:rsidR="00E55193" w:rsidRPr="00E55193">
        <w:rPr>
          <w:rFonts w:asciiTheme="majorBidi" w:eastAsia="Calibri" w:hAnsiTheme="majorBidi" w:cstheme="majorBidi"/>
          <w:sz w:val="24"/>
          <w:szCs w:val="24"/>
          <w:lang w:bidi="ar-AE"/>
        </w:rPr>
        <w:t xml:space="preserve">receptiveness </w:t>
      </w:r>
      <w:r w:rsidR="00E55193" w:rsidRPr="00373592">
        <w:rPr>
          <w:rFonts w:asciiTheme="majorBidi" w:eastAsia="Calibri" w:hAnsiTheme="majorBidi" w:cstheme="majorBidi"/>
          <w:sz w:val="24"/>
          <w:szCs w:val="24"/>
          <w:lang w:bidi="ar-AE"/>
        </w:rPr>
        <w:t>to</w:t>
      </w:r>
      <w:r w:rsidR="00E4481E" w:rsidRPr="00373592">
        <w:rPr>
          <w:rFonts w:asciiTheme="majorBidi" w:eastAsia="Calibri" w:hAnsiTheme="majorBidi" w:cstheme="majorBidi"/>
          <w:sz w:val="24"/>
          <w:szCs w:val="24"/>
          <w:lang w:bidi="ar-AE"/>
        </w:rPr>
        <w:t xml:space="preserve"> the NCHR recommendations. </w:t>
      </w:r>
      <w:r w:rsidR="00590157" w:rsidRPr="00373592">
        <w:rPr>
          <w:rFonts w:asciiTheme="majorBidi" w:eastAsia="Calibri" w:hAnsiTheme="majorBidi" w:cstheme="majorBidi"/>
          <w:sz w:val="24"/>
          <w:szCs w:val="24"/>
          <w:lang w:bidi="ar-AE"/>
        </w:rPr>
        <w:t xml:space="preserve"> </w:t>
      </w:r>
      <w:r w:rsidR="00456BFB" w:rsidRPr="00373592">
        <w:rPr>
          <w:rFonts w:asciiTheme="majorBidi" w:eastAsia="Calibri" w:hAnsiTheme="majorBidi" w:cstheme="majorBidi"/>
          <w:sz w:val="24"/>
          <w:szCs w:val="24"/>
          <w:lang w:bidi="ar-AE"/>
        </w:rPr>
        <w:t>The Center in its 19th Annual</w:t>
      </w:r>
      <w:r w:rsidR="00590157" w:rsidRPr="00373592">
        <w:rPr>
          <w:rFonts w:asciiTheme="majorBidi" w:eastAsia="Calibri" w:hAnsiTheme="majorBidi" w:cstheme="majorBidi"/>
          <w:sz w:val="24"/>
          <w:szCs w:val="24"/>
          <w:lang w:bidi="ar-AE"/>
        </w:rPr>
        <w:t xml:space="preserve"> </w:t>
      </w:r>
      <w:r w:rsidR="00456BFB" w:rsidRPr="00373592">
        <w:rPr>
          <w:rFonts w:asciiTheme="majorBidi" w:eastAsia="Calibri" w:hAnsiTheme="majorBidi" w:cstheme="majorBidi"/>
          <w:sz w:val="24"/>
          <w:szCs w:val="24"/>
          <w:lang w:bidi="ar-AE"/>
        </w:rPr>
        <w:t>R</w:t>
      </w:r>
      <w:r w:rsidR="00590157" w:rsidRPr="00373592">
        <w:rPr>
          <w:rFonts w:asciiTheme="majorBidi" w:eastAsia="Calibri" w:hAnsiTheme="majorBidi" w:cstheme="majorBidi"/>
          <w:sz w:val="24"/>
          <w:szCs w:val="24"/>
          <w:lang w:bidi="ar-AE"/>
        </w:rPr>
        <w:t>eport</w:t>
      </w:r>
      <w:r w:rsidR="00DD727B" w:rsidRPr="00373592">
        <w:rPr>
          <w:rFonts w:asciiTheme="majorBidi" w:eastAsia="Calibri" w:hAnsiTheme="majorBidi" w:cstheme="majorBidi"/>
          <w:sz w:val="24"/>
          <w:szCs w:val="24"/>
          <w:lang w:bidi="ar-AE"/>
        </w:rPr>
        <w:t xml:space="preserve"> of</w:t>
      </w:r>
      <w:r w:rsidR="001734ED" w:rsidRPr="00373592">
        <w:rPr>
          <w:rFonts w:asciiTheme="majorBidi" w:eastAsia="Calibri" w:hAnsiTheme="majorBidi" w:cstheme="majorBidi"/>
          <w:sz w:val="24"/>
          <w:szCs w:val="24"/>
          <w:lang w:bidi="ar-AE"/>
        </w:rPr>
        <w:t xml:space="preserve"> 2011</w:t>
      </w:r>
      <w:r w:rsidR="00590157" w:rsidRPr="00373592">
        <w:rPr>
          <w:rFonts w:asciiTheme="majorBidi" w:eastAsia="Calibri" w:hAnsiTheme="majorBidi" w:cstheme="majorBidi"/>
          <w:sz w:val="24"/>
          <w:szCs w:val="24"/>
          <w:lang w:bidi="ar-AE"/>
        </w:rPr>
        <w:t xml:space="preserve"> </w:t>
      </w:r>
      <w:r w:rsidR="00456BFB" w:rsidRPr="00373592">
        <w:rPr>
          <w:rFonts w:asciiTheme="majorBidi" w:eastAsia="Calibri" w:hAnsiTheme="majorBidi" w:cstheme="majorBidi"/>
          <w:sz w:val="24"/>
          <w:szCs w:val="24"/>
          <w:lang w:bidi="ar-AE"/>
        </w:rPr>
        <w:t>had</w:t>
      </w:r>
      <w:r w:rsidR="00590157" w:rsidRPr="00373592">
        <w:rPr>
          <w:rFonts w:asciiTheme="majorBidi" w:eastAsia="Calibri" w:hAnsiTheme="majorBidi" w:cstheme="majorBidi"/>
          <w:sz w:val="24"/>
          <w:szCs w:val="24"/>
          <w:lang w:bidi="ar-AE"/>
        </w:rPr>
        <w:t xml:space="preserve"> explicitly </w:t>
      </w:r>
      <w:r w:rsidR="002E50AA">
        <w:rPr>
          <w:rFonts w:asciiTheme="majorBidi" w:eastAsia="Calibri" w:hAnsiTheme="majorBidi" w:cstheme="majorBidi"/>
          <w:sz w:val="24"/>
          <w:szCs w:val="24"/>
          <w:lang w:bidi="ar-AE"/>
        </w:rPr>
        <w:t xml:space="preserve">highlighted </w:t>
      </w:r>
      <w:r w:rsidR="00ED0E6C" w:rsidRPr="00373592">
        <w:rPr>
          <w:rFonts w:asciiTheme="majorBidi" w:eastAsia="Calibri" w:hAnsiTheme="majorBidi" w:cstheme="majorBidi"/>
          <w:sz w:val="24"/>
          <w:szCs w:val="24"/>
          <w:lang w:bidi="ar-AE"/>
        </w:rPr>
        <w:t xml:space="preserve">that the </w:t>
      </w:r>
      <w:r w:rsidR="003038C9" w:rsidRPr="00373592">
        <w:rPr>
          <w:rFonts w:asciiTheme="majorBidi" w:eastAsia="Calibri" w:hAnsiTheme="majorBidi" w:cstheme="majorBidi"/>
          <w:sz w:val="24"/>
          <w:szCs w:val="24"/>
          <w:lang w:bidi="ar-AE"/>
        </w:rPr>
        <w:t>governmen</w:t>
      </w:r>
      <w:r w:rsidR="00ED0E6C" w:rsidRPr="00373592">
        <w:rPr>
          <w:rFonts w:asciiTheme="majorBidi" w:eastAsia="Calibri" w:hAnsiTheme="majorBidi" w:cstheme="majorBidi"/>
          <w:sz w:val="24"/>
          <w:szCs w:val="24"/>
          <w:lang w:bidi="ar-AE"/>
        </w:rPr>
        <w:t>t</w:t>
      </w:r>
      <w:r w:rsidR="00590157" w:rsidRPr="00373592">
        <w:rPr>
          <w:rFonts w:asciiTheme="majorBidi" w:eastAsia="Calibri" w:hAnsiTheme="majorBidi" w:cstheme="majorBidi"/>
          <w:sz w:val="24"/>
          <w:szCs w:val="24"/>
          <w:lang w:bidi="ar-AE"/>
        </w:rPr>
        <w:t xml:space="preserve"> </w:t>
      </w:r>
      <w:r w:rsidR="00EA6863">
        <w:rPr>
          <w:rFonts w:asciiTheme="majorBidi" w:eastAsia="Calibri" w:hAnsiTheme="majorBidi" w:cstheme="majorBidi"/>
          <w:sz w:val="24"/>
          <w:szCs w:val="24"/>
          <w:lang w:bidi="ar-AE"/>
        </w:rPr>
        <w:t>does not</w:t>
      </w:r>
      <w:r w:rsidR="00ED0E6C" w:rsidRPr="00373592">
        <w:rPr>
          <w:rFonts w:asciiTheme="majorBidi" w:eastAsia="Calibri" w:hAnsiTheme="majorBidi" w:cstheme="majorBidi"/>
          <w:sz w:val="24"/>
          <w:szCs w:val="24"/>
          <w:lang w:bidi="ar-AE"/>
        </w:rPr>
        <w:t xml:space="preserve"> give</w:t>
      </w:r>
      <w:r w:rsidR="00590157" w:rsidRPr="00373592">
        <w:rPr>
          <w:rFonts w:asciiTheme="majorBidi" w:eastAsia="Calibri" w:hAnsiTheme="majorBidi" w:cstheme="majorBidi"/>
          <w:sz w:val="24"/>
          <w:szCs w:val="24"/>
          <w:lang w:bidi="ar-AE"/>
        </w:rPr>
        <w:t xml:space="preserve"> </w:t>
      </w:r>
      <w:r w:rsidR="00EA6863">
        <w:rPr>
          <w:rFonts w:asciiTheme="majorBidi" w:eastAsia="Calibri" w:hAnsiTheme="majorBidi" w:cstheme="majorBidi"/>
          <w:sz w:val="24"/>
          <w:szCs w:val="24"/>
          <w:lang w:bidi="ar-AE"/>
        </w:rPr>
        <w:t>proper</w:t>
      </w:r>
      <w:r w:rsidR="00ED0E6C" w:rsidRPr="00373592">
        <w:rPr>
          <w:rFonts w:asciiTheme="majorBidi" w:eastAsia="Calibri" w:hAnsiTheme="majorBidi" w:cstheme="majorBidi"/>
          <w:sz w:val="24"/>
          <w:szCs w:val="24"/>
          <w:lang w:bidi="ar-AE"/>
        </w:rPr>
        <w:t xml:space="preserve"> attention to its</w:t>
      </w:r>
      <w:r w:rsidR="00590157" w:rsidRPr="00373592">
        <w:rPr>
          <w:rFonts w:asciiTheme="majorBidi" w:eastAsia="Calibri" w:hAnsiTheme="majorBidi" w:cstheme="majorBidi"/>
          <w:sz w:val="24"/>
          <w:szCs w:val="24"/>
          <w:lang w:bidi="ar-AE"/>
        </w:rPr>
        <w:t xml:space="preserve"> recommendations</w:t>
      </w:r>
      <w:r w:rsidR="007A3C36" w:rsidRPr="00373592">
        <w:rPr>
          <w:rFonts w:asciiTheme="majorBidi" w:eastAsia="Calibri" w:hAnsiTheme="majorBidi" w:cstheme="majorBidi"/>
          <w:sz w:val="24"/>
          <w:szCs w:val="24"/>
          <w:lang w:bidi="ar-AE"/>
        </w:rPr>
        <w:t xml:space="preserve"> contained in its</w:t>
      </w:r>
      <w:r w:rsidR="00EB48B2" w:rsidRPr="00373592">
        <w:rPr>
          <w:rFonts w:asciiTheme="majorBidi" w:eastAsia="Calibri" w:hAnsiTheme="majorBidi" w:cstheme="majorBidi"/>
          <w:sz w:val="24"/>
          <w:szCs w:val="24"/>
          <w:lang w:bidi="ar-AE"/>
        </w:rPr>
        <w:t xml:space="preserve"> pervious periodic</w:t>
      </w:r>
      <w:r w:rsidR="007A3C36" w:rsidRPr="00373592">
        <w:rPr>
          <w:rFonts w:asciiTheme="majorBidi" w:eastAsia="Calibri" w:hAnsiTheme="majorBidi" w:cstheme="majorBidi"/>
          <w:sz w:val="24"/>
          <w:szCs w:val="24"/>
          <w:lang w:bidi="ar-AE"/>
        </w:rPr>
        <w:t xml:space="preserve"> </w:t>
      </w:r>
      <w:r w:rsidR="00456BFB" w:rsidRPr="00373592">
        <w:rPr>
          <w:rFonts w:asciiTheme="majorBidi" w:eastAsia="Calibri" w:hAnsiTheme="majorBidi" w:cstheme="majorBidi"/>
          <w:sz w:val="24"/>
          <w:szCs w:val="24"/>
          <w:lang w:bidi="ar-AE"/>
        </w:rPr>
        <w:t>reports</w:t>
      </w:r>
      <w:r w:rsidR="00EB48B2" w:rsidRPr="00373592">
        <w:rPr>
          <w:rFonts w:asciiTheme="majorBidi" w:eastAsia="Calibri" w:hAnsiTheme="majorBidi" w:cstheme="majorBidi"/>
          <w:sz w:val="24"/>
          <w:szCs w:val="24"/>
          <w:lang w:bidi="ar-AE"/>
        </w:rPr>
        <w:t xml:space="preserve"> issued over the past nine years</w:t>
      </w:r>
      <w:r w:rsidR="00456BFB" w:rsidRPr="00373592">
        <w:rPr>
          <w:rFonts w:asciiTheme="majorBidi" w:eastAsia="Calibri" w:hAnsiTheme="majorBidi" w:cstheme="majorBidi"/>
          <w:sz w:val="24"/>
          <w:szCs w:val="24"/>
          <w:lang w:bidi="ar-AE"/>
        </w:rPr>
        <w:t xml:space="preserve">. </w:t>
      </w:r>
      <w:r w:rsidR="003E63D4" w:rsidRPr="00373592">
        <w:rPr>
          <w:rFonts w:asciiTheme="majorBidi" w:eastAsia="Calibri" w:hAnsiTheme="majorBidi" w:cstheme="majorBidi"/>
          <w:sz w:val="24"/>
          <w:szCs w:val="24"/>
          <w:lang w:bidi="ar-AE"/>
        </w:rPr>
        <w:t>After that R</w:t>
      </w:r>
      <w:r w:rsidR="00587BF2" w:rsidRPr="00373592">
        <w:rPr>
          <w:rFonts w:asciiTheme="majorBidi" w:eastAsia="Calibri" w:hAnsiTheme="majorBidi" w:cstheme="majorBidi"/>
          <w:sz w:val="24"/>
          <w:szCs w:val="24"/>
          <w:lang w:bidi="ar-AE"/>
        </w:rPr>
        <w:t>eport had been</w:t>
      </w:r>
      <w:r w:rsidR="00456BFB" w:rsidRPr="00373592">
        <w:rPr>
          <w:rFonts w:asciiTheme="majorBidi" w:eastAsia="Calibri" w:hAnsiTheme="majorBidi" w:cstheme="majorBidi"/>
          <w:sz w:val="24"/>
          <w:szCs w:val="24"/>
          <w:lang w:bidi="ar-AE"/>
        </w:rPr>
        <w:t xml:space="preserve"> </w:t>
      </w:r>
      <w:r w:rsidR="00993D0E" w:rsidRPr="00373592">
        <w:rPr>
          <w:rFonts w:asciiTheme="majorBidi" w:eastAsia="Calibri" w:hAnsiTheme="majorBidi" w:cstheme="majorBidi"/>
          <w:sz w:val="24"/>
          <w:szCs w:val="24"/>
          <w:lang w:bidi="ar-AE"/>
        </w:rPr>
        <w:t xml:space="preserve">submitted </w:t>
      </w:r>
      <w:r w:rsidR="00456BFB" w:rsidRPr="00373592">
        <w:rPr>
          <w:rFonts w:asciiTheme="majorBidi" w:eastAsia="Calibri" w:hAnsiTheme="majorBidi" w:cstheme="majorBidi"/>
          <w:sz w:val="24"/>
          <w:szCs w:val="24"/>
          <w:lang w:bidi="ar-AE"/>
        </w:rPr>
        <w:t xml:space="preserve">to </w:t>
      </w:r>
      <w:r w:rsidR="002C5E88" w:rsidRPr="00373592">
        <w:rPr>
          <w:rFonts w:asciiTheme="majorBidi" w:eastAsia="Calibri" w:hAnsiTheme="majorBidi" w:cstheme="majorBidi"/>
          <w:sz w:val="24"/>
          <w:szCs w:val="24"/>
          <w:lang w:bidi="ar-AE"/>
        </w:rPr>
        <w:t xml:space="preserve">His Majesty </w:t>
      </w:r>
      <w:r w:rsidR="006C6FD8" w:rsidRPr="00373592">
        <w:rPr>
          <w:rFonts w:asciiTheme="majorBidi" w:eastAsia="Calibri" w:hAnsiTheme="majorBidi" w:cstheme="majorBidi"/>
          <w:sz w:val="24"/>
          <w:szCs w:val="24"/>
          <w:lang w:bidi="ar-AE"/>
        </w:rPr>
        <w:t xml:space="preserve">the </w:t>
      </w:r>
      <w:r w:rsidR="001128D2" w:rsidRPr="00373592">
        <w:rPr>
          <w:rFonts w:asciiTheme="majorBidi" w:eastAsia="Calibri" w:hAnsiTheme="majorBidi" w:cstheme="majorBidi"/>
          <w:sz w:val="24"/>
          <w:szCs w:val="24"/>
          <w:lang w:bidi="ar-AE"/>
        </w:rPr>
        <w:t>King, t</w:t>
      </w:r>
      <w:r w:rsidR="00EF1A25" w:rsidRPr="00373592">
        <w:rPr>
          <w:rFonts w:asciiTheme="majorBidi" w:eastAsia="Calibri" w:hAnsiTheme="majorBidi" w:cstheme="majorBidi"/>
          <w:sz w:val="24"/>
          <w:szCs w:val="24"/>
          <w:lang w:bidi="ar-AE"/>
        </w:rPr>
        <w:t xml:space="preserve">he </w:t>
      </w:r>
      <w:r w:rsidR="00DD0132" w:rsidRPr="00373592">
        <w:rPr>
          <w:rFonts w:asciiTheme="majorBidi" w:eastAsia="Calibri" w:hAnsiTheme="majorBidi" w:cstheme="majorBidi"/>
          <w:sz w:val="24"/>
          <w:szCs w:val="24"/>
          <w:lang w:bidi="ar-AE"/>
        </w:rPr>
        <w:t>P</w:t>
      </w:r>
      <w:r w:rsidR="00EF1A25" w:rsidRPr="00373592">
        <w:rPr>
          <w:rFonts w:asciiTheme="majorBidi" w:eastAsia="Calibri" w:hAnsiTheme="majorBidi" w:cstheme="majorBidi"/>
          <w:sz w:val="24"/>
          <w:szCs w:val="24"/>
          <w:lang w:bidi="ar-AE"/>
        </w:rPr>
        <w:t xml:space="preserve">rime </w:t>
      </w:r>
      <w:r w:rsidR="00DD0132" w:rsidRPr="00373592">
        <w:rPr>
          <w:rFonts w:asciiTheme="majorBidi" w:eastAsia="Calibri" w:hAnsiTheme="majorBidi" w:cstheme="majorBidi"/>
          <w:sz w:val="24"/>
          <w:szCs w:val="24"/>
          <w:lang w:bidi="ar-AE"/>
        </w:rPr>
        <w:t>M</w:t>
      </w:r>
      <w:r w:rsidR="00EF1A25" w:rsidRPr="00373592">
        <w:rPr>
          <w:rFonts w:asciiTheme="majorBidi" w:eastAsia="Calibri" w:hAnsiTheme="majorBidi" w:cstheme="majorBidi"/>
          <w:sz w:val="24"/>
          <w:szCs w:val="24"/>
          <w:lang w:bidi="ar-AE"/>
        </w:rPr>
        <w:t>inister</w:t>
      </w:r>
      <w:r w:rsidR="001128D2" w:rsidRPr="00373592">
        <w:rPr>
          <w:rFonts w:asciiTheme="majorBidi" w:eastAsia="Calibri" w:hAnsiTheme="majorBidi" w:cstheme="majorBidi"/>
          <w:sz w:val="24"/>
          <w:szCs w:val="24"/>
          <w:lang w:bidi="ar-AE"/>
        </w:rPr>
        <w:t xml:space="preserve">, and the </w:t>
      </w:r>
      <w:r w:rsidR="005605D0" w:rsidRPr="00373592">
        <w:rPr>
          <w:rFonts w:asciiTheme="majorBidi" w:eastAsia="Calibri" w:hAnsiTheme="majorBidi" w:cstheme="majorBidi"/>
          <w:sz w:val="24"/>
          <w:szCs w:val="24"/>
          <w:lang w:bidi="ar-AE"/>
        </w:rPr>
        <w:t>President</w:t>
      </w:r>
      <w:r w:rsidR="005605D0">
        <w:rPr>
          <w:rFonts w:asciiTheme="majorBidi" w:eastAsia="Calibri" w:hAnsiTheme="majorBidi" w:cstheme="majorBidi"/>
          <w:sz w:val="24"/>
          <w:szCs w:val="24"/>
          <w:lang w:bidi="ar-AE"/>
        </w:rPr>
        <w:t>s</w:t>
      </w:r>
      <w:r w:rsidR="001128D2" w:rsidRPr="00373592">
        <w:rPr>
          <w:rFonts w:asciiTheme="majorBidi" w:eastAsia="Calibri" w:hAnsiTheme="majorBidi" w:cstheme="majorBidi"/>
          <w:sz w:val="24"/>
          <w:szCs w:val="24"/>
          <w:lang w:bidi="ar-AE"/>
        </w:rPr>
        <w:t xml:space="preserve"> of </w:t>
      </w:r>
      <w:r w:rsidR="00423B53">
        <w:rPr>
          <w:rFonts w:asciiTheme="majorBidi" w:eastAsia="Calibri" w:hAnsiTheme="majorBidi" w:cstheme="majorBidi"/>
          <w:sz w:val="24"/>
          <w:szCs w:val="24"/>
          <w:lang w:bidi="ar-AE"/>
        </w:rPr>
        <w:t xml:space="preserve">the tow Champers of </w:t>
      </w:r>
      <w:r w:rsidR="005605D0">
        <w:t>Parliament, and</w:t>
      </w:r>
      <w:r w:rsidR="00587BF2" w:rsidRPr="00373592">
        <w:rPr>
          <w:rFonts w:asciiTheme="majorBidi" w:eastAsia="Calibri" w:hAnsiTheme="majorBidi" w:cstheme="majorBidi"/>
          <w:sz w:val="24"/>
          <w:szCs w:val="24"/>
          <w:lang w:bidi="ar-AE"/>
        </w:rPr>
        <w:t xml:space="preserve"> heightening the government's </w:t>
      </w:r>
      <w:r w:rsidR="003E63D4" w:rsidRPr="00373592">
        <w:rPr>
          <w:rFonts w:asciiTheme="majorBidi" w:eastAsia="Calibri" w:hAnsiTheme="majorBidi" w:cstheme="majorBidi"/>
          <w:sz w:val="24"/>
          <w:szCs w:val="24"/>
          <w:lang w:bidi="ar-AE"/>
        </w:rPr>
        <w:t>disregard of</w:t>
      </w:r>
      <w:r w:rsidR="00587BF2" w:rsidRPr="00373592">
        <w:rPr>
          <w:rFonts w:asciiTheme="majorBidi" w:eastAsia="Calibri" w:hAnsiTheme="majorBidi" w:cstheme="majorBidi"/>
          <w:sz w:val="24"/>
          <w:szCs w:val="24"/>
          <w:lang w:bidi="ar-AE"/>
        </w:rPr>
        <w:t xml:space="preserve"> the NCHR recommendations</w:t>
      </w:r>
      <w:r w:rsidR="00E8115E" w:rsidRPr="00373592">
        <w:rPr>
          <w:rFonts w:asciiTheme="majorBidi" w:eastAsia="Calibri" w:hAnsiTheme="majorBidi" w:cstheme="majorBidi"/>
          <w:sz w:val="24"/>
          <w:szCs w:val="24"/>
          <w:lang w:bidi="ar-AE"/>
        </w:rPr>
        <w:t xml:space="preserve">, </w:t>
      </w:r>
      <w:r w:rsidR="001A50E1" w:rsidRPr="00373592">
        <w:rPr>
          <w:rFonts w:asciiTheme="majorBidi" w:eastAsia="Calibri" w:hAnsiTheme="majorBidi" w:cstheme="majorBidi"/>
          <w:sz w:val="24"/>
          <w:szCs w:val="24"/>
          <w:lang w:bidi="ar-AE"/>
        </w:rPr>
        <w:t>the</w:t>
      </w:r>
      <w:r w:rsidR="00E72461" w:rsidRPr="00373592">
        <w:rPr>
          <w:rFonts w:asciiTheme="majorBidi" w:eastAsia="Calibri" w:hAnsiTheme="majorBidi" w:cstheme="majorBidi"/>
          <w:sz w:val="24"/>
          <w:szCs w:val="24"/>
          <w:lang w:bidi="ar-AE"/>
        </w:rPr>
        <w:t>n</w:t>
      </w:r>
      <w:r w:rsidR="001A50E1" w:rsidRPr="00373592">
        <w:rPr>
          <w:rFonts w:asciiTheme="majorBidi" w:eastAsia="Calibri" w:hAnsiTheme="majorBidi" w:cstheme="majorBidi"/>
          <w:sz w:val="24"/>
          <w:szCs w:val="24"/>
          <w:lang w:bidi="ar-AE"/>
        </w:rPr>
        <w:t xml:space="preserve"> </w:t>
      </w:r>
      <w:r w:rsidR="005605D0">
        <w:rPr>
          <w:rFonts w:asciiTheme="majorBidi" w:eastAsia="Calibri" w:hAnsiTheme="majorBidi" w:cstheme="majorBidi"/>
          <w:sz w:val="24"/>
          <w:szCs w:val="24"/>
          <w:lang w:bidi="ar-AE"/>
        </w:rPr>
        <w:t xml:space="preserve">the </w:t>
      </w:r>
      <w:r w:rsidR="001A50E1" w:rsidRPr="00373592">
        <w:rPr>
          <w:rFonts w:asciiTheme="majorBidi" w:eastAsia="Calibri" w:hAnsiTheme="majorBidi" w:cstheme="majorBidi"/>
          <w:sz w:val="24"/>
          <w:szCs w:val="24"/>
          <w:lang w:bidi="ar-AE"/>
        </w:rPr>
        <w:t>year</w:t>
      </w:r>
      <w:r w:rsidR="00DD0132" w:rsidRPr="00373592">
        <w:rPr>
          <w:rFonts w:asciiTheme="majorBidi" w:eastAsia="Calibri" w:hAnsiTheme="majorBidi" w:cstheme="majorBidi"/>
          <w:sz w:val="24"/>
          <w:szCs w:val="24"/>
          <w:lang w:bidi="ar-AE"/>
        </w:rPr>
        <w:t>s</w:t>
      </w:r>
      <w:r w:rsidR="001A50E1" w:rsidRPr="00373592">
        <w:rPr>
          <w:rFonts w:asciiTheme="majorBidi" w:eastAsia="Calibri" w:hAnsiTheme="majorBidi" w:cstheme="majorBidi"/>
          <w:sz w:val="24"/>
          <w:szCs w:val="24"/>
          <w:lang w:bidi="ar-AE"/>
        </w:rPr>
        <w:t xml:space="preserve"> 2013-2015 witnessed </w:t>
      </w:r>
      <w:r w:rsidR="0095342A" w:rsidRPr="00373592">
        <w:rPr>
          <w:rFonts w:asciiTheme="majorBidi" w:eastAsia="Calibri" w:hAnsiTheme="majorBidi" w:cstheme="majorBidi"/>
          <w:sz w:val="24"/>
          <w:szCs w:val="24"/>
          <w:lang w:bidi="ar-AE"/>
        </w:rPr>
        <w:t>respon</w:t>
      </w:r>
      <w:r w:rsidR="00C67F4E" w:rsidRPr="00373592">
        <w:rPr>
          <w:rFonts w:asciiTheme="majorBidi" w:eastAsia="Calibri" w:hAnsiTheme="majorBidi" w:cstheme="majorBidi"/>
          <w:sz w:val="24"/>
          <w:szCs w:val="24"/>
          <w:lang w:bidi="ar-AE"/>
        </w:rPr>
        <w:t>ding</w:t>
      </w:r>
      <w:r w:rsidR="001A50E1" w:rsidRPr="00373592">
        <w:rPr>
          <w:rFonts w:asciiTheme="majorBidi" w:eastAsia="Calibri" w:hAnsiTheme="majorBidi" w:cstheme="majorBidi"/>
          <w:sz w:val="24"/>
          <w:szCs w:val="24"/>
          <w:lang w:bidi="ar-AE"/>
        </w:rPr>
        <w:t xml:space="preserve"> to the NCHR recommendation</w:t>
      </w:r>
      <w:r w:rsidR="00534966" w:rsidRPr="00373592">
        <w:rPr>
          <w:rFonts w:asciiTheme="majorBidi" w:eastAsia="Calibri" w:hAnsiTheme="majorBidi" w:cstheme="majorBidi"/>
          <w:sz w:val="24"/>
          <w:szCs w:val="24"/>
          <w:lang w:bidi="ar-AE"/>
        </w:rPr>
        <w:t xml:space="preserve">s issued in the years 2012-2014. </w:t>
      </w:r>
      <w:r w:rsidR="00E8115E" w:rsidRPr="00373592">
        <w:rPr>
          <w:rFonts w:asciiTheme="majorBidi" w:eastAsia="Calibri" w:hAnsiTheme="majorBidi" w:cstheme="majorBidi"/>
          <w:sz w:val="24"/>
          <w:szCs w:val="24"/>
          <w:lang w:bidi="ar-AE"/>
        </w:rPr>
        <w:t xml:space="preserve">One of the most prominent steps in this direction, </w:t>
      </w:r>
      <w:r w:rsidR="002815BD" w:rsidRPr="00373592">
        <w:rPr>
          <w:rFonts w:asciiTheme="majorBidi" w:eastAsia="Calibri" w:hAnsiTheme="majorBidi" w:cstheme="majorBidi"/>
          <w:sz w:val="24"/>
          <w:szCs w:val="24"/>
          <w:lang w:bidi="ar-AE"/>
        </w:rPr>
        <w:t xml:space="preserve">and </w:t>
      </w:r>
      <w:r w:rsidR="00E8115E" w:rsidRPr="00373592">
        <w:rPr>
          <w:rFonts w:asciiTheme="majorBidi" w:eastAsia="Calibri" w:hAnsiTheme="majorBidi" w:cstheme="majorBidi"/>
          <w:sz w:val="24"/>
          <w:szCs w:val="24"/>
          <w:lang w:bidi="ar-AE"/>
        </w:rPr>
        <w:t>which rectified the situation, was that the Monarch</w:t>
      </w:r>
      <w:r w:rsidR="006C6FD8" w:rsidRPr="00373592">
        <w:rPr>
          <w:rFonts w:asciiTheme="majorBidi" w:eastAsia="Calibri" w:hAnsiTheme="majorBidi" w:cstheme="majorBidi"/>
          <w:sz w:val="24"/>
          <w:szCs w:val="24"/>
          <w:lang w:bidi="ar-AE"/>
        </w:rPr>
        <w:t xml:space="preserve"> directed the</w:t>
      </w:r>
      <w:r w:rsidR="00F53135" w:rsidRPr="00373592">
        <w:rPr>
          <w:rFonts w:asciiTheme="majorBidi" w:eastAsia="Calibri" w:hAnsiTheme="majorBidi" w:cstheme="majorBidi"/>
          <w:sz w:val="24"/>
          <w:szCs w:val="24"/>
          <w:lang w:bidi="ar-AE"/>
        </w:rPr>
        <w:t xml:space="preserve"> Prime Minister and the Head of the Judicial Council</w:t>
      </w:r>
      <w:r w:rsidR="002815BD" w:rsidRPr="00373592">
        <w:rPr>
          <w:rFonts w:asciiTheme="majorBidi" w:eastAsia="Calibri" w:hAnsiTheme="majorBidi" w:cstheme="majorBidi"/>
          <w:sz w:val="24"/>
          <w:szCs w:val="24"/>
          <w:lang w:bidi="ar-AE"/>
        </w:rPr>
        <w:t>,</w:t>
      </w:r>
      <w:r w:rsidR="00F53135" w:rsidRPr="00373592">
        <w:rPr>
          <w:rFonts w:asciiTheme="majorBidi" w:eastAsia="Calibri" w:hAnsiTheme="majorBidi" w:cstheme="majorBidi"/>
          <w:sz w:val="24"/>
          <w:szCs w:val="24"/>
          <w:lang w:bidi="ar-AE"/>
        </w:rPr>
        <w:t xml:space="preserve"> at the time</w:t>
      </w:r>
      <w:r w:rsidR="002815BD" w:rsidRPr="00373592">
        <w:rPr>
          <w:rFonts w:asciiTheme="majorBidi" w:eastAsia="Calibri" w:hAnsiTheme="majorBidi" w:cstheme="majorBidi"/>
          <w:sz w:val="24"/>
          <w:szCs w:val="24"/>
          <w:lang w:bidi="ar-AE"/>
        </w:rPr>
        <w:t>,</w:t>
      </w:r>
      <w:r w:rsidR="00F53135" w:rsidRPr="00373592">
        <w:rPr>
          <w:rFonts w:asciiTheme="majorBidi" w:eastAsia="Calibri" w:hAnsiTheme="majorBidi" w:cstheme="majorBidi"/>
          <w:sz w:val="24"/>
          <w:szCs w:val="24"/>
          <w:lang w:bidi="ar-AE"/>
        </w:rPr>
        <w:t xml:space="preserve"> </w:t>
      </w:r>
      <w:r w:rsidR="000B54F9" w:rsidRPr="00373592">
        <w:rPr>
          <w:rFonts w:asciiTheme="majorBidi" w:eastAsia="Calibri" w:hAnsiTheme="majorBidi" w:cstheme="majorBidi"/>
          <w:sz w:val="24"/>
          <w:szCs w:val="24"/>
          <w:lang w:bidi="ar-AE"/>
        </w:rPr>
        <w:t>“</w:t>
      </w:r>
      <w:r w:rsidR="00F53135" w:rsidRPr="00373592">
        <w:rPr>
          <w:rFonts w:asciiTheme="majorBidi" w:eastAsia="Calibri" w:hAnsiTheme="majorBidi" w:cstheme="majorBidi"/>
          <w:sz w:val="24"/>
          <w:szCs w:val="24"/>
          <w:lang w:bidi="ar-AE"/>
        </w:rPr>
        <w:t xml:space="preserve">to examine </w:t>
      </w:r>
      <w:r w:rsidR="000B54F9" w:rsidRPr="00373592">
        <w:rPr>
          <w:rFonts w:asciiTheme="majorBidi" w:eastAsia="Calibri" w:hAnsiTheme="majorBidi" w:cstheme="majorBidi"/>
          <w:sz w:val="24"/>
          <w:szCs w:val="24"/>
          <w:lang w:bidi="ar-AE"/>
        </w:rPr>
        <w:t xml:space="preserve">the </w:t>
      </w:r>
      <w:r w:rsidR="002815BD" w:rsidRPr="00373592">
        <w:rPr>
          <w:rFonts w:asciiTheme="majorBidi" w:eastAsia="Calibri" w:hAnsiTheme="majorBidi" w:cstheme="majorBidi"/>
          <w:sz w:val="24"/>
          <w:szCs w:val="24"/>
          <w:lang w:bidi="ar-AE"/>
        </w:rPr>
        <w:t xml:space="preserve">Center's </w:t>
      </w:r>
      <w:r w:rsidR="00F53135" w:rsidRPr="00373592">
        <w:rPr>
          <w:rFonts w:asciiTheme="majorBidi" w:eastAsia="Calibri" w:hAnsiTheme="majorBidi" w:cstheme="majorBidi"/>
          <w:sz w:val="24"/>
          <w:szCs w:val="24"/>
          <w:lang w:bidi="ar-AE"/>
        </w:rPr>
        <w:t>recommendations</w:t>
      </w:r>
      <w:r w:rsidR="000B54F9" w:rsidRPr="00373592">
        <w:rPr>
          <w:rFonts w:asciiTheme="majorBidi" w:eastAsia="Calibri" w:hAnsiTheme="majorBidi" w:cstheme="majorBidi"/>
          <w:sz w:val="24"/>
          <w:szCs w:val="24"/>
          <w:lang w:bidi="ar-AE"/>
        </w:rPr>
        <w:t xml:space="preserve"> and implement them”</w:t>
      </w:r>
      <w:r w:rsidR="00F53135" w:rsidRPr="00373592">
        <w:rPr>
          <w:rFonts w:asciiTheme="majorBidi" w:eastAsia="Calibri" w:hAnsiTheme="majorBidi" w:cstheme="majorBidi"/>
          <w:sz w:val="24"/>
          <w:szCs w:val="24"/>
          <w:lang w:bidi="ar-AE"/>
        </w:rPr>
        <w:t xml:space="preserve">. Accordingly, the </w:t>
      </w:r>
      <w:r w:rsidR="006C6FD8" w:rsidRPr="00373592">
        <w:rPr>
          <w:rFonts w:asciiTheme="majorBidi" w:eastAsia="Calibri" w:hAnsiTheme="majorBidi" w:cstheme="majorBidi"/>
          <w:sz w:val="24"/>
          <w:szCs w:val="24"/>
          <w:lang w:bidi="ar-AE"/>
        </w:rPr>
        <w:t>government complied</w:t>
      </w:r>
      <w:r w:rsidR="00F53135" w:rsidRPr="00373592">
        <w:rPr>
          <w:rFonts w:asciiTheme="majorBidi" w:eastAsia="Calibri" w:hAnsiTheme="majorBidi" w:cstheme="majorBidi"/>
          <w:sz w:val="24"/>
          <w:szCs w:val="24"/>
          <w:lang w:bidi="ar-AE"/>
        </w:rPr>
        <w:t xml:space="preserve"> with this royal directive.  </w:t>
      </w:r>
      <w:r w:rsidR="00534966" w:rsidRPr="00373592">
        <w:rPr>
          <w:rFonts w:asciiTheme="majorBidi" w:eastAsia="Calibri" w:hAnsiTheme="majorBidi" w:cstheme="majorBidi"/>
          <w:sz w:val="24"/>
          <w:szCs w:val="24"/>
          <w:lang w:bidi="ar-AE"/>
        </w:rPr>
        <w:t xml:space="preserve">The most salient </w:t>
      </w:r>
      <w:r w:rsidR="00F53135" w:rsidRPr="00373592">
        <w:rPr>
          <w:rFonts w:asciiTheme="majorBidi" w:eastAsia="Calibri" w:hAnsiTheme="majorBidi" w:cstheme="majorBidi"/>
          <w:sz w:val="24"/>
          <w:szCs w:val="24"/>
          <w:lang w:bidi="ar-AE"/>
        </w:rPr>
        <w:t xml:space="preserve">manifestation of this compliance </w:t>
      </w:r>
      <w:r w:rsidR="00F55FDA" w:rsidRPr="00373592">
        <w:rPr>
          <w:rFonts w:asciiTheme="majorBidi" w:eastAsia="Calibri" w:hAnsiTheme="majorBidi" w:cstheme="majorBidi"/>
          <w:sz w:val="24"/>
          <w:szCs w:val="24"/>
          <w:lang w:bidi="ar-AE"/>
        </w:rPr>
        <w:t>was the</w:t>
      </w:r>
      <w:r w:rsidR="00534966" w:rsidRPr="00373592">
        <w:rPr>
          <w:rFonts w:asciiTheme="majorBidi" w:eastAsia="Calibri" w:hAnsiTheme="majorBidi" w:cstheme="majorBidi"/>
          <w:sz w:val="24"/>
          <w:szCs w:val="24"/>
          <w:lang w:bidi="ar-AE"/>
        </w:rPr>
        <w:t xml:space="preserve"> </w:t>
      </w:r>
      <w:r w:rsidR="001A50E1" w:rsidRPr="00373592">
        <w:rPr>
          <w:rFonts w:asciiTheme="majorBidi" w:eastAsia="Calibri" w:hAnsiTheme="majorBidi" w:cstheme="majorBidi"/>
          <w:sz w:val="24"/>
          <w:szCs w:val="24"/>
          <w:lang w:bidi="ar-AE"/>
        </w:rPr>
        <w:t>develop</w:t>
      </w:r>
      <w:r w:rsidR="00F55FDA" w:rsidRPr="00373592">
        <w:rPr>
          <w:rFonts w:asciiTheme="majorBidi" w:eastAsia="Calibri" w:hAnsiTheme="majorBidi" w:cstheme="majorBidi"/>
          <w:sz w:val="24"/>
          <w:szCs w:val="24"/>
          <w:lang w:bidi="ar-AE"/>
        </w:rPr>
        <w:t>ment of</w:t>
      </w:r>
      <w:r w:rsidR="001A50E1" w:rsidRPr="00373592">
        <w:rPr>
          <w:rFonts w:asciiTheme="majorBidi" w:eastAsia="Calibri" w:hAnsiTheme="majorBidi" w:cstheme="majorBidi"/>
          <w:sz w:val="24"/>
          <w:szCs w:val="24"/>
          <w:lang w:bidi="ar-AE"/>
        </w:rPr>
        <w:t xml:space="preserve"> a national human rights action plan</w:t>
      </w:r>
      <w:r w:rsidR="00E72461" w:rsidRPr="00373592">
        <w:rPr>
          <w:rFonts w:asciiTheme="majorBidi" w:eastAsia="Calibri" w:hAnsiTheme="majorBidi" w:cstheme="majorBidi"/>
          <w:sz w:val="24"/>
          <w:szCs w:val="24"/>
          <w:lang w:bidi="ar-AE"/>
        </w:rPr>
        <w:t xml:space="preserve">, </w:t>
      </w:r>
      <w:r w:rsidR="000D0850">
        <w:rPr>
          <w:rFonts w:asciiTheme="majorBidi" w:eastAsia="Calibri" w:hAnsiTheme="majorBidi" w:cstheme="majorBidi"/>
          <w:sz w:val="24"/>
          <w:szCs w:val="24"/>
          <w:lang w:bidi="ar-AE"/>
        </w:rPr>
        <w:t>where</w:t>
      </w:r>
      <w:r w:rsidR="001A50E1" w:rsidRPr="00373592">
        <w:rPr>
          <w:rFonts w:asciiTheme="majorBidi" w:eastAsia="Calibri" w:hAnsiTheme="majorBidi" w:cstheme="majorBidi"/>
          <w:sz w:val="24"/>
          <w:szCs w:val="24"/>
          <w:lang w:bidi="ar-AE"/>
        </w:rPr>
        <w:t xml:space="preserve"> </w:t>
      </w:r>
      <w:r w:rsidR="00CC22B5" w:rsidRPr="00373592">
        <w:rPr>
          <w:rFonts w:asciiTheme="majorBidi" w:eastAsia="Calibri" w:hAnsiTheme="majorBidi" w:cstheme="majorBidi"/>
          <w:sz w:val="24"/>
          <w:szCs w:val="24"/>
          <w:lang w:bidi="ar-AE"/>
        </w:rPr>
        <w:t>the</w:t>
      </w:r>
      <w:r w:rsidR="001A50E1" w:rsidRPr="00373592">
        <w:rPr>
          <w:rFonts w:asciiTheme="majorBidi" w:eastAsia="Calibri" w:hAnsiTheme="majorBidi" w:cstheme="majorBidi"/>
          <w:sz w:val="24"/>
          <w:szCs w:val="24"/>
          <w:lang w:bidi="ar-AE"/>
        </w:rPr>
        <w:t xml:space="preserve"> government </w:t>
      </w:r>
      <w:r w:rsidR="005A26AA">
        <w:rPr>
          <w:rFonts w:asciiTheme="majorBidi" w:eastAsia="Calibri" w:hAnsiTheme="majorBidi" w:cstheme="majorBidi"/>
          <w:sz w:val="24"/>
          <w:szCs w:val="24"/>
          <w:lang w:bidi="ar-AE"/>
        </w:rPr>
        <w:t>established</w:t>
      </w:r>
      <w:r w:rsidR="00CC22B5" w:rsidRPr="00373592">
        <w:rPr>
          <w:rFonts w:asciiTheme="majorBidi" w:eastAsia="Calibri" w:hAnsiTheme="majorBidi" w:cstheme="majorBidi"/>
          <w:sz w:val="24"/>
          <w:szCs w:val="24"/>
          <w:lang w:bidi="ar-AE"/>
        </w:rPr>
        <w:t xml:space="preserve"> a</w:t>
      </w:r>
      <w:r w:rsidR="001A50E1" w:rsidRPr="00373592">
        <w:rPr>
          <w:rFonts w:asciiTheme="majorBidi" w:eastAsia="Calibri" w:hAnsiTheme="majorBidi" w:cstheme="majorBidi"/>
          <w:sz w:val="24"/>
          <w:szCs w:val="24"/>
          <w:lang w:bidi="ar-AE"/>
        </w:rPr>
        <w:t xml:space="preserve"> committee for this purpose, </w:t>
      </w:r>
      <w:r w:rsidR="000D0850">
        <w:rPr>
          <w:rFonts w:asciiTheme="majorBidi" w:eastAsia="Calibri" w:hAnsiTheme="majorBidi" w:cstheme="majorBidi"/>
          <w:sz w:val="24"/>
          <w:szCs w:val="24"/>
          <w:lang w:bidi="ar-AE"/>
        </w:rPr>
        <w:t xml:space="preserve">entrusted with the task of </w:t>
      </w:r>
      <w:r w:rsidR="001A50E1" w:rsidRPr="00373592">
        <w:rPr>
          <w:rFonts w:asciiTheme="majorBidi" w:eastAsia="Calibri" w:hAnsiTheme="majorBidi" w:cstheme="majorBidi"/>
          <w:sz w:val="24"/>
          <w:szCs w:val="24"/>
          <w:lang w:bidi="ar-AE"/>
        </w:rPr>
        <w:t xml:space="preserve">elaborating </w:t>
      </w:r>
      <w:r w:rsidR="002815BD" w:rsidRPr="00373592">
        <w:rPr>
          <w:rFonts w:asciiTheme="majorBidi" w:eastAsia="Calibri" w:hAnsiTheme="majorBidi" w:cstheme="majorBidi"/>
          <w:sz w:val="24"/>
          <w:szCs w:val="24"/>
          <w:lang w:bidi="ar-AE"/>
        </w:rPr>
        <w:t>a</w:t>
      </w:r>
      <w:r w:rsidR="001454CC">
        <w:rPr>
          <w:rFonts w:asciiTheme="majorBidi" w:eastAsia="Calibri" w:hAnsiTheme="majorBidi" w:cstheme="majorBidi"/>
          <w:sz w:val="24"/>
          <w:szCs w:val="24"/>
          <w:lang w:bidi="ar-AE"/>
        </w:rPr>
        <w:t xml:space="preserve"> comprehensive</w:t>
      </w:r>
      <w:r w:rsidR="002815BD" w:rsidRPr="00373592">
        <w:rPr>
          <w:rFonts w:asciiTheme="majorBidi" w:eastAsia="Calibri" w:hAnsiTheme="majorBidi" w:cstheme="majorBidi"/>
          <w:sz w:val="24"/>
          <w:szCs w:val="24"/>
          <w:lang w:bidi="ar-AE"/>
        </w:rPr>
        <w:t xml:space="preserve"> </w:t>
      </w:r>
      <w:r w:rsidR="001A50E1" w:rsidRPr="00373592">
        <w:rPr>
          <w:rFonts w:asciiTheme="majorBidi" w:eastAsia="Calibri" w:hAnsiTheme="majorBidi" w:cstheme="majorBidi"/>
          <w:sz w:val="24"/>
          <w:szCs w:val="24"/>
          <w:lang w:bidi="ar-AE"/>
        </w:rPr>
        <w:t xml:space="preserve">national human rights action plan. </w:t>
      </w:r>
      <w:r w:rsidR="002D204F" w:rsidRPr="00373592">
        <w:rPr>
          <w:rFonts w:asciiTheme="majorBidi" w:eastAsia="Calibri" w:hAnsiTheme="majorBidi" w:cstheme="majorBidi"/>
          <w:sz w:val="24"/>
          <w:szCs w:val="24"/>
          <w:lang w:bidi="ar-AE"/>
        </w:rPr>
        <w:t>In this connection, it is recalled that th</w:t>
      </w:r>
      <w:r w:rsidR="00666EBE" w:rsidRPr="00373592">
        <w:rPr>
          <w:rFonts w:asciiTheme="majorBidi" w:eastAsia="Calibri" w:hAnsiTheme="majorBidi" w:cstheme="majorBidi"/>
          <w:sz w:val="24"/>
          <w:szCs w:val="24"/>
          <w:lang w:bidi="ar-AE"/>
        </w:rPr>
        <w:t xml:space="preserve">e Center had the most prominent role in </w:t>
      </w:r>
      <w:r w:rsidR="00CC22B5" w:rsidRPr="00373592">
        <w:rPr>
          <w:rFonts w:asciiTheme="majorBidi" w:eastAsia="Calibri" w:hAnsiTheme="majorBidi" w:cstheme="majorBidi"/>
          <w:sz w:val="24"/>
          <w:szCs w:val="24"/>
          <w:lang w:bidi="ar-AE"/>
        </w:rPr>
        <w:t xml:space="preserve">the </w:t>
      </w:r>
      <w:r w:rsidR="00666EBE" w:rsidRPr="00373592">
        <w:rPr>
          <w:rFonts w:asciiTheme="majorBidi" w:eastAsia="Calibri" w:hAnsiTheme="majorBidi" w:cstheme="majorBidi"/>
          <w:sz w:val="24"/>
          <w:szCs w:val="24"/>
          <w:lang w:bidi="ar-AE"/>
        </w:rPr>
        <w:t>preparation</w:t>
      </w:r>
      <w:r w:rsidR="00CC22B5" w:rsidRPr="00373592">
        <w:rPr>
          <w:rFonts w:asciiTheme="majorBidi" w:eastAsia="Calibri" w:hAnsiTheme="majorBidi" w:cstheme="majorBidi"/>
          <w:sz w:val="24"/>
          <w:szCs w:val="24"/>
          <w:lang w:bidi="ar-AE"/>
        </w:rPr>
        <w:t xml:space="preserve"> of the Plan</w:t>
      </w:r>
      <w:r w:rsidR="00666EBE" w:rsidRPr="00373592">
        <w:rPr>
          <w:rFonts w:asciiTheme="majorBidi" w:eastAsia="Calibri" w:hAnsiTheme="majorBidi" w:cstheme="majorBidi"/>
          <w:sz w:val="24"/>
          <w:szCs w:val="24"/>
          <w:lang w:bidi="ar-AE"/>
        </w:rPr>
        <w:t xml:space="preserve">, including through holding the initial consultations with the stakeholders. </w:t>
      </w:r>
      <w:r w:rsidR="00E322DB">
        <w:rPr>
          <w:rFonts w:asciiTheme="majorBidi" w:eastAsia="Calibri" w:hAnsiTheme="majorBidi" w:cstheme="majorBidi"/>
          <w:sz w:val="24"/>
          <w:szCs w:val="24"/>
          <w:lang w:bidi="ar-AE"/>
        </w:rPr>
        <w:t>Even though</w:t>
      </w:r>
      <w:r w:rsidR="00666EBE" w:rsidRPr="00373592">
        <w:rPr>
          <w:rFonts w:asciiTheme="majorBidi" w:eastAsia="Calibri" w:hAnsiTheme="majorBidi" w:cstheme="majorBidi"/>
          <w:sz w:val="24"/>
          <w:szCs w:val="24"/>
          <w:lang w:bidi="ar-AE"/>
        </w:rPr>
        <w:t xml:space="preserve"> </w:t>
      </w:r>
      <w:r w:rsidR="00E322DB">
        <w:rPr>
          <w:rFonts w:asciiTheme="majorBidi" w:eastAsia="Calibri" w:hAnsiTheme="majorBidi" w:cstheme="majorBidi"/>
          <w:sz w:val="24"/>
          <w:szCs w:val="24"/>
          <w:lang w:bidi="ar-AE"/>
        </w:rPr>
        <w:t xml:space="preserve">the </w:t>
      </w:r>
      <w:r w:rsidR="008B57C4" w:rsidRPr="00373592">
        <w:rPr>
          <w:rFonts w:asciiTheme="majorBidi" w:eastAsia="Calibri" w:hAnsiTheme="majorBidi" w:cstheme="majorBidi"/>
          <w:sz w:val="24"/>
          <w:szCs w:val="24"/>
          <w:lang w:bidi="ar-AE"/>
        </w:rPr>
        <w:t xml:space="preserve">Plan </w:t>
      </w:r>
      <w:r w:rsidR="00E322DB">
        <w:rPr>
          <w:rFonts w:asciiTheme="majorBidi" w:eastAsia="Calibri" w:hAnsiTheme="majorBidi" w:cstheme="majorBidi"/>
          <w:sz w:val="24"/>
          <w:szCs w:val="24"/>
          <w:lang w:bidi="ar-AE"/>
        </w:rPr>
        <w:t xml:space="preserve">was after all </w:t>
      </w:r>
      <w:r w:rsidR="00666EBE" w:rsidRPr="00373592">
        <w:rPr>
          <w:rFonts w:asciiTheme="majorBidi" w:eastAsia="Calibri" w:hAnsiTheme="majorBidi" w:cstheme="majorBidi"/>
          <w:sz w:val="24"/>
          <w:szCs w:val="24"/>
          <w:lang w:bidi="ar-AE"/>
        </w:rPr>
        <w:t>issued</w:t>
      </w:r>
      <w:r w:rsidR="008B57C4" w:rsidRPr="00373592">
        <w:rPr>
          <w:rFonts w:asciiTheme="majorBidi" w:eastAsia="Calibri" w:hAnsiTheme="majorBidi" w:cstheme="majorBidi"/>
          <w:sz w:val="24"/>
          <w:szCs w:val="24"/>
          <w:lang w:bidi="ar-AE"/>
        </w:rPr>
        <w:t xml:space="preserve"> as a governmental</w:t>
      </w:r>
      <w:r w:rsidR="00467C39" w:rsidRPr="00373592">
        <w:rPr>
          <w:rFonts w:asciiTheme="majorBidi" w:eastAsia="Calibri" w:hAnsiTheme="majorBidi" w:cstheme="majorBidi"/>
          <w:sz w:val="24"/>
          <w:szCs w:val="24"/>
          <w:lang w:bidi="ar-AE"/>
        </w:rPr>
        <w:t xml:space="preserve"> document</w:t>
      </w:r>
      <w:r w:rsidR="008B57C4" w:rsidRPr="00373592">
        <w:rPr>
          <w:rFonts w:asciiTheme="majorBidi" w:eastAsia="Calibri" w:hAnsiTheme="majorBidi" w:cstheme="majorBidi"/>
          <w:sz w:val="24"/>
          <w:szCs w:val="24"/>
          <w:lang w:bidi="ar-AE"/>
        </w:rPr>
        <w:t xml:space="preserve">, </w:t>
      </w:r>
      <w:r w:rsidR="00467C39" w:rsidRPr="00373592">
        <w:rPr>
          <w:rFonts w:asciiTheme="majorBidi" w:eastAsia="Calibri" w:hAnsiTheme="majorBidi" w:cstheme="majorBidi"/>
          <w:sz w:val="24"/>
          <w:szCs w:val="24"/>
          <w:lang w:bidi="ar-AE"/>
        </w:rPr>
        <w:t>one of the most</w:t>
      </w:r>
      <w:r w:rsidR="00BF19B6" w:rsidRPr="00373592">
        <w:rPr>
          <w:rFonts w:asciiTheme="majorBidi" w:eastAsia="Calibri" w:hAnsiTheme="majorBidi" w:cstheme="majorBidi"/>
          <w:sz w:val="24"/>
          <w:szCs w:val="24"/>
          <w:lang w:bidi="ar-AE"/>
        </w:rPr>
        <w:t xml:space="preserve"> </w:t>
      </w:r>
      <w:r w:rsidR="00467C39" w:rsidRPr="00373592">
        <w:rPr>
          <w:rFonts w:asciiTheme="majorBidi" w:eastAsia="Calibri" w:hAnsiTheme="majorBidi" w:cstheme="majorBidi"/>
          <w:sz w:val="24"/>
          <w:szCs w:val="24"/>
          <w:lang w:bidi="ar-AE"/>
        </w:rPr>
        <w:t xml:space="preserve">stressed in that </w:t>
      </w:r>
      <w:r w:rsidR="00B40BB2">
        <w:rPr>
          <w:rFonts w:asciiTheme="majorBidi" w:eastAsia="Calibri" w:hAnsiTheme="majorBidi" w:cstheme="majorBidi"/>
          <w:sz w:val="24"/>
          <w:szCs w:val="24"/>
          <w:lang w:bidi="ar-AE"/>
        </w:rPr>
        <w:t>P</w:t>
      </w:r>
      <w:r w:rsidR="00467C39" w:rsidRPr="00373592">
        <w:rPr>
          <w:rFonts w:asciiTheme="majorBidi" w:eastAsia="Calibri" w:hAnsiTheme="majorBidi" w:cstheme="majorBidi"/>
          <w:sz w:val="24"/>
          <w:szCs w:val="24"/>
          <w:lang w:bidi="ar-AE"/>
        </w:rPr>
        <w:t>lan is</w:t>
      </w:r>
      <w:r w:rsidR="00EC6A93" w:rsidRPr="00373592">
        <w:rPr>
          <w:rFonts w:asciiTheme="majorBidi" w:eastAsia="Calibri" w:hAnsiTheme="majorBidi" w:cstheme="majorBidi"/>
          <w:sz w:val="24"/>
          <w:szCs w:val="24"/>
          <w:lang w:bidi="ar-AE"/>
        </w:rPr>
        <w:t xml:space="preserve"> the need to</w:t>
      </w:r>
      <w:r w:rsidR="00666EBE" w:rsidRPr="00373592">
        <w:rPr>
          <w:rFonts w:asciiTheme="majorBidi" w:eastAsia="Calibri" w:hAnsiTheme="majorBidi" w:cstheme="majorBidi"/>
          <w:sz w:val="24"/>
          <w:szCs w:val="24"/>
          <w:lang w:bidi="ar-AE"/>
        </w:rPr>
        <w:t xml:space="preserve"> </w:t>
      </w:r>
      <w:r w:rsidR="00EC6A93" w:rsidRPr="00373592">
        <w:rPr>
          <w:rFonts w:asciiTheme="majorBidi" w:eastAsia="Calibri" w:hAnsiTheme="majorBidi" w:cstheme="majorBidi"/>
          <w:sz w:val="24"/>
          <w:szCs w:val="24"/>
          <w:lang w:bidi="ar-AE"/>
        </w:rPr>
        <w:t>bring national legislation into line with international con</w:t>
      </w:r>
      <w:r w:rsidR="00BF19B6" w:rsidRPr="00373592">
        <w:rPr>
          <w:rFonts w:asciiTheme="majorBidi" w:eastAsia="Calibri" w:hAnsiTheme="majorBidi" w:cstheme="majorBidi"/>
          <w:sz w:val="24"/>
          <w:szCs w:val="24"/>
          <w:lang w:bidi="ar-AE"/>
        </w:rPr>
        <w:t xml:space="preserve">ventions and treaties, and to </w:t>
      </w:r>
      <w:r w:rsidR="00444D2C" w:rsidRPr="00373592">
        <w:rPr>
          <w:rFonts w:asciiTheme="majorBidi" w:eastAsia="Calibri" w:hAnsiTheme="majorBidi" w:cstheme="majorBidi"/>
          <w:sz w:val="24"/>
          <w:szCs w:val="24"/>
          <w:lang w:bidi="ar-AE"/>
        </w:rPr>
        <w:t>reveal</w:t>
      </w:r>
      <w:r w:rsidR="00EC6A93" w:rsidRPr="00373592">
        <w:rPr>
          <w:rFonts w:asciiTheme="majorBidi" w:eastAsia="Calibri" w:hAnsiTheme="majorBidi" w:cstheme="majorBidi"/>
          <w:sz w:val="24"/>
          <w:szCs w:val="24"/>
          <w:lang w:bidi="ar-AE"/>
        </w:rPr>
        <w:t xml:space="preserve"> the gaps or shor</w:t>
      </w:r>
      <w:r w:rsidR="00DA78DC">
        <w:rPr>
          <w:rFonts w:asciiTheme="majorBidi" w:eastAsia="Calibri" w:hAnsiTheme="majorBidi" w:cstheme="majorBidi"/>
          <w:sz w:val="24"/>
          <w:szCs w:val="24"/>
          <w:lang w:bidi="ar-AE"/>
        </w:rPr>
        <w:t>tcomings</w:t>
      </w:r>
      <w:r w:rsidR="00EC6A93" w:rsidRPr="00373592">
        <w:rPr>
          <w:rFonts w:asciiTheme="majorBidi" w:eastAsia="Calibri" w:hAnsiTheme="majorBidi" w:cstheme="majorBidi"/>
          <w:sz w:val="24"/>
          <w:szCs w:val="24"/>
          <w:lang w:bidi="ar-AE"/>
        </w:rPr>
        <w:t xml:space="preserve"> in the national legislation pertaining to the fundamental rights and freedoms, compared to what is enshrined in the international </w:t>
      </w:r>
      <w:r w:rsidR="00CC22B5" w:rsidRPr="00373592">
        <w:rPr>
          <w:rFonts w:asciiTheme="majorBidi" w:eastAsia="Calibri" w:hAnsiTheme="majorBidi" w:cstheme="majorBidi"/>
          <w:sz w:val="24"/>
          <w:szCs w:val="24"/>
          <w:lang w:bidi="ar-AE"/>
        </w:rPr>
        <w:t>standards. The</w:t>
      </w:r>
      <w:r w:rsidR="006C12F6" w:rsidRPr="00373592">
        <w:rPr>
          <w:rFonts w:asciiTheme="majorBidi" w:eastAsia="Calibri" w:hAnsiTheme="majorBidi" w:cstheme="majorBidi"/>
          <w:sz w:val="24"/>
          <w:szCs w:val="24"/>
          <w:lang w:bidi="ar-AE"/>
        </w:rPr>
        <w:t xml:space="preserve"> Implementation</w:t>
      </w:r>
      <w:r w:rsidR="005E7FEE" w:rsidRPr="00373592">
        <w:rPr>
          <w:rFonts w:asciiTheme="majorBidi" w:eastAsia="Calibri" w:hAnsiTheme="majorBidi" w:cstheme="majorBidi"/>
          <w:sz w:val="24"/>
          <w:szCs w:val="24"/>
          <w:lang w:bidi="ar-AE"/>
        </w:rPr>
        <w:t xml:space="preserve"> </w:t>
      </w:r>
      <w:r w:rsidR="00F55FDA" w:rsidRPr="00373592">
        <w:rPr>
          <w:rFonts w:asciiTheme="majorBidi" w:eastAsia="Calibri" w:hAnsiTheme="majorBidi" w:cstheme="majorBidi"/>
          <w:sz w:val="24"/>
          <w:szCs w:val="24"/>
          <w:lang w:bidi="ar-AE"/>
        </w:rPr>
        <w:t>Plan</w:t>
      </w:r>
      <w:r w:rsidR="00E33575" w:rsidRPr="00373592">
        <w:rPr>
          <w:rFonts w:asciiTheme="majorBidi" w:eastAsia="Calibri" w:hAnsiTheme="majorBidi" w:cstheme="majorBidi"/>
          <w:sz w:val="24"/>
          <w:szCs w:val="24"/>
          <w:lang w:bidi="ar-AE"/>
        </w:rPr>
        <w:t xml:space="preserve"> to </w:t>
      </w:r>
      <w:r w:rsidR="00F55FDA" w:rsidRPr="00373592">
        <w:rPr>
          <w:rFonts w:asciiTheme="majorBidi" w:eastAsia="Calibri" w:hAnsiTheme="majorBidi" w:cstheme="majorBidi"/>
          <w:sz w:val="24"/>
          <w:szCs w:val="24"/>
          <w:lang w:bidi="ar-AE"/>
        </w:rPr>
        <w:t>D</w:t>
      </w:r>
      <w:r w:rsidR="00E33575" w:rsidRPr="00373592">
        <w:rPr>
          <w:rFonts w:asciiTheme="majorBidi" w:eastAsia="Calibri" w:hAnsiTheme="majorBidi" w:cstheme="majorBidi"/>
          <w:sz w:val="24"/>
          <w:szCs w:val="24"/>
          <w:lang w:bidi="ar-AE"/>
        </w:rPr>
        <w:t xml:space="preserve">isseminate a </w:t>
      </w:r>
      <w:r w:rsidR="00F55FDA" w:rsidRPr="00373592">
        <w:rPr>
          <w:rFonts w:asciiTheme="majorBidi" w:eastAsia="Calibri" w:hAnsiTheme="majorBidi" w:cstheme="majorBidi"/>
          <w:sz w:val="24"/>
          <w:szCs w:val="24"/>
          <w:lang w:bidi="ar-AE"/>
        </w:rPr>
        <w:t>H</w:t>
      </w:r>
      <w:r w:rsidR="00E33575" w:rsidRPr="00373592">
        <w:rPr>
          <w:rFonts w:asciiTheme="majorBidi" w:eastAsia="Calibri" w:hAnsiTheme="majorBidi" w:cstheme="majorBidi"/>
          <w:sz w:val="24"/>
          <w:szCs w:val="24"/>
          <w:lang w:bidi="ar-AE"/>
        </w:rPr>
        <w:t xml:space="preserve">uman </w:t>
      </w:r>
      <w:r w:rsidR="00F55FDA" w:rsidRPr="00373592">
        <w:rPr>
          <w:rFonts w:asciiTheme="majorBidi" w:eastAsia="Calibri" w:hAnsiTheme="majorBidi" w:cstheme="majorBidi"/>
          <w:sz w:val="24"/>
          <w:szCs w:val="24"/>
          <w:lang w:bidi="ar-AE"/>
        </w:rPr>
        <w:t>R</w:t>
      </w:r>
      <w:r w:rsidR="00E33575" w:rsidRPr="00373592">
        <w:rPr>
          <w:rFonts w:asciiTheme="majorBidi" w:eastAsia="Calibri" w:hAnsiTheme="majorBidi" w:cstheme="majorBidi"/>
          <w:sz w:val="24"/>
          <w:szCs w:val="24"/>
          <w:lang w:bidi="ar-AE"/>
        </w:rPr>
        <w:t xml:space="preserve">ights </w:t>
      </w:r>
      <w:r w:rsidR="006C12F6" w:rsidRPr="00373592">
        <w:rPr>
          <w:rFonts w:asciiTheme="majorBidi" w:eastAsia="Calibri" w:hAnsiTheme="majorBidi" w:cstheme="majorBidi"/>
          <w:sz w:val="24"/>
          <w:szCs w:val="24"/>
          <w:lang w:bidi="ar-AE"/>
        </w:rPr>
        <w:t>C</w:t>
      </w:r>
      <w:r w:rsidR="00E33575" w:rsidRPr="00373592">
        <w:rPr>
          <w:rFonts w:asciiTheme="majorBidi" w:eastAsia="Calibri" w:hAnsiTheme="majorBidi" w:cstheme="majorBidi"/>
          <w:sz w:val="24"/>
          <w:szCs w:val="24"/>
          <w:lang w:bidi="ar-AE"/>
        </w:rPr>
        <w:t>ulture was</w:t>
      </w:r>
      <w:r w:rsidR="00CC22B5" w:rsidRPr="00373592">
        <w:rPr>
          <w:rFonts w:asciiTheme="majorBidi" w:eastAsia="Calibri" w:hAnsiTheme="majorBidi" w:cstheme="majorBidi"/>
          <w:sz w:val="24"/>
          <w:szCs w:val="24"/>
          <w:lang w:bidi="ar-AE"/>
        </w:rPr>
        <w:t xml:space="preserve"> also</w:t>
      </w:r>
      <w:r w:rsidR="00E33575" w:rsidRPr="00373592">
        <w:rPr>
          <w:rFonts w:asciiTheme="majorBidi" w:eastAsia="Calibri" w:hAnsiTheme="majorBidi" w:cstheme="majorBidi"/>
          <w:sz w:val="24"/>
          <w:szCs w:val="24"/>
          <w:lang w:bidi="ar-AE"/>
        </w:rPr>
        <w:t xml:space="preserve"> </w:t>
      </w:r>
      <w:r w:rsidR="000616B6" w:rsidRPr="00373592">
        <w:rPr>
          <w:rFonts w:asciiTheme="majorBidi" w:eastAsia="Calibri" w:hAnsiTheme="majorBidi" w:cstheme="majorBidi"/>
          <w:sz w:val="24"/>
          <w:szCs w:val="24"/>
          <w:lang w:bidi="ar-AE"/>
        </w:rPr>
        <w:t>adopted</w:t>
      </w:r>
      <w:r w:rsidR="000424C8" w:rsidRPr="00373592">
        <w:rPr>
          <w:rFonts w:asciiTheme="majorBidi" w:eastAsia="Calibri" w:hAnsiTheme="majorBidi" w:cstheme="majorBidi"/>
          <w:sz w:val="24"/>
          <w:szCs w:val="24"/>
          <w:lang w:bidi="ar-AE"/>
        </w:rPr>
        <w:t xml:space="preserve"> in 2014.</w:t>
      </w:r>
    </w:p>
    <w:p w:rsidR="00C75CF9" w:rsidRPr="00373592" w:rsidRDefault="00C75CF9" w:rsidP="00442CA6">
      <w:pPr>
        <w:tabs>
          <w:tab w:val="right" w:pos="0"/>
        </w:tabs>
        <w:bidi w:val="0"/>
        <w:spacing w:after="0"/>
        <w:ind w:left="360" w:right="26"/>
        <w:contextualSpacing/>
        <w:jc w:val="both"/>
        <w:rPr>
          <w:rFonts w:asciiTheme="majorBidi" w:eastAsia="Calibri" w:hAnsiTheme="majorBidi" w:cstheme="majorBidi"/>
          <w:sz w:val="24"/>
          <w:szCs w:val="24"/>
          <w:lang w:bidi="ar-AE"/>
        </w:rPr>
      </w:pPr>
    </w:p>
    <w:p w:rsidR="00D507E1" w:rsidRPr="00373592" w:rsidRDefault="00F3324F" w:rsidP="002255A8">
      <w:pPr>
        <w:tabs>
          <w:tab w:val="right" w:pos="0"/>
        </w:tabs>
        <w:bidi w:val="0"/>
        <w:spacing w:after="0"/>
        <w:ind w:left="360" w:right="26"/>
        <w:contextualSpacing/>
        <w:jc w:val="both"/>
        <w:rPr>
          <w:rFonts w:asciiTheme="majorBidi" w:eastAsia="Calibri" w:hAnsiTheme="majorBidi" w:cstheme="majorBidi"/>
          <w:sz w:val="24"/>
          <w:szCs w:val="24"/>
          <w:lang w:bidi="ar-AE"/>
        </w:rPr>
      </w:pPr>
      <w:r w:rsidRPr="00373592">
        <w:rPr>
          <w:rFonts w:asciiTheme="majorBidi" w:eastAsia="Calibri" w:hAnsiTheme="majorBidi" w:cstheme="majorBidi"/>
          <w:sz w:val="24"/>
          <w:szCs w:val="24"/>
          <w:lang w:bidi="ar-AE"/>
        </w:rPr>
        <w:t>Furthermore, t</w:t>
      </w:r>
      <w:r w:rsidR="00C84AC1" w:rsidRPr="00373592">
        <w:rPr>
          <w:rFonts w:asciiTheme="majorBidi" w:eastAsia="Calibri" w:hAnsiTheme="majorBidi" w:cstheme="majorBidi"/>
          <w:sz w:val="24"/>
          <w:szCs w:val="24"/>
          <w:lang w:bidi="ar-AE"/>
        </w:rPr>
        <w:t xml:space="preserve">he creation of the Government Coordinator for Human Rights at the Prime Ministry in </w:t>
      </w:r>
      <w:r w:rsidR="00D507E1" w:rsidRPr="00373592">
        <w:rPr>
          <w:rFonts w:asciiTheme="majorBidi" w:eastAsia="Calibri" w:hAnsiTheme="majorBidi" w:cstheme="majorBidi"/>
          <w:sz w:val="24"/>
          <w:szCs w:val="24"/>
          <w:lang w:bidi="ar-AE"/>
        </w:rPr>
        <w:t>2014</w:t>
      </w:r>
      <w:r w:rsidR="00C75CF9" w:rsidRPr="00373592">
        <w:rPr>
          <w:rFonts w:asciiTheme="majorBidi" w:eastAsia="Calibri" w:hAnsiTheme="majorBidi" w:cstheme="majorBidi"/>
          <w:sz w:val="24"/>
          <w:szCs w:val="24"/>
          <w:lang w:bidi="ar-AE"/>
        </w:rPr>
        <w:t xml:space="preserve"> constitutes another instance </w:t>
      </w:r>
      <w:r w:rsidR="002815BD" w:rsidRPr="00373592">
        <w:rPr>
          <w:rFonts w:asciiTheme="majorBidi" w:eastAsia="Calibri" w:hAnsiTheme="majorBidi" w:cstheme="majorBidi"/>
          <w:sz w:val="24"/>
          <w:szCs w:val="24"/>
          <w:lang w:bidi="ar-AE"/>
        </w:rPr>
        <w:t>o</w:t>
      </w:r>
      <w:r w:rsidR="00C75CF9" w:rsidRPr="00373592">
        <w:rPr>
          <w:rFonts w:asciiTheme="majorBidi" w:eastAsia="Calibri" w:hAnsiTheme="majorBidi" w:cstheme="majorBidi"/>
          <w:sz w:val="24"/>
          <w:szCs w:val="24"/>
          <w:lang w:bidi="ar-AE"/>
        </w:rPr>
        <w:t>f the government's</w:t>
      </w:r>
      <w:r w:rsidR="001123F9" w:rsidRPr="00373592">
        <w:rPr>
          <w:rFonts w:asciiTheme="majorBidi" w:eastAsia="Calibri" w:hAnsiTheme="majorBidi" w:cstheme="majorBidi"/>
          <w:sz w:val="24"/>
          <w:szCs w:val="24"/>
          <w:lang w:bidi="ar-AE"/>
        </w:rPr>
        <w:t xml:space="preserve"> </w:t>
      </w:r>
      <w:r w:rsidR="00D507E1" w:rsidRPr="00373592">
        <w:rPr>
          <w:rFonts w:asciiTheme="majorBidi" w:eastAsia="Calibri" w:hAnsiTheme="majorBidi" w:cstheme="majorBidi"/>
          <w:sz w:val="24"/>
          <w:szCs w:val="24"/>
          <w:lang w:bidi="ar-AE"/>
        </w:rPr>
        <w:t>positive attitude</w:t>
      </w:r>
      <w:r w:rsidR="001123F9" w:rsidRPr="00373592">
        <w:rPr>
          <w:rFonts w:asciiTheme="majorBidi" w:eastAsia="Calibri" w:hAnsiTheme="majorBidi" w:cstheme="majorBidi"/>
          <w:sz w:val="24"/>
          <w:szCs w:val="24"/>
          <w:lang w:bidi="ar-AE"/>
        </w:rPr>
        <w:t xml:space="preserve"> towards the </w:t>
      </w:r>
      <w:r w:rsidR="002815BD" w:rsidRPr="00373592">
        <w:rPr>
          <w:rFonts w:asciiTheme="majorBidi" w:eastAsia="Calibri" w:hAnsiTheme="majorBidi" w:cstheme="majorBidi"/>
          <w:sz w:val="24"/>
          <w:szCs w:val="24"/>
          <w:lang w:bidi="ar-AE"/>
        </w:rPr>
        <w:t xml:space="preserve">Center's </w:t>
      </w:r>
      <w:r w:rsidR="00D507E1" w:rsidRPr="00373592">
        <w:rPr>
          <w:rFonts w:asciiTheme="majorBidi" w:eastAsia="Calibri" w:hAnsiTheme="majorBidi" w:cstheme="majorBidi"/>
          <w:sz w:val="24"/>
          <w:szCs w:val="24"/>
          <w:lang w:bidi="ar-AE"/>
        </w:rPr>
        <w:t>recommendations and</w:t>
      </w:r>
      <w:r w:rsidR="001123F9" w:rsidRPr="00373592">
        <w:rPr>
          <w:rFonts w:asciiTheme="majorBidi" w:eastAsia="Calibri" w:hAnsiTheme="majorBidi" w:cstheme="majorBidi"/>
          <w:sz w:val="24"/>
          <w:szCs w:val="24"/>
          <w:lang w:bidi="ar-AE"/>
        </w:rPr>
        <w:t xml:space="preserve"> human rights issues in general. This step has contributed to the follow up of the Center's recommendations, through the </w:t>
      </w:r>
      <w:r w:rsidR="00CB0069">
        <w:rPr>
          <w:rFonts w:asciiTheme="majorBidi" w:eastAsia="Calibri" w:hAnsiTheme="majorBidi" w:cstheme="majorBidi"/>
          <w:sz w:val="24"/>
          <w:szCs w:val="24"/>
          <w:lang w:bidi="ar-AE"/>
        </w:rPr>
        <w:t>involvement</w:t>
      </w:r>
      <w:r w:rsidR="001123F9" w:rsidRPr="00373592">
        <w:rPr>
          <w:rFonts w:asciiTheme="majorBidi" w:eastAsia="Calibri" w:hAnsiTheme="majorBidi" w:cstheme="majorBidi"/>
          <w:sz w:val="24"/>
          <w:szCs w:val="24"/>
          <w:lang w:bidi="ar-AE"/>
        </w:rPr>
        <w:t xml:space="preserve"> </w:t>
      </w:r>
      <w:r w:rsidR="001123F9" w:rsidRPr="00373592">
        <w:rPr>
          <w:rFonts w:asciiTheme="majorBidi" w:eastAsia="Calibri" w:hAnsiTheme="majorBidi" w:cstheme="majorBidi"/>
          <w:sz w:val="24"/>
          <w:szCs w:val="24"/>
          <w:lang w:bidi="ar-AE"/>
        </w:rPr>
        <w:lastRenderedPageBreak/>
        <w:t xml:space="preserve">of the competent institutions in this </w:t>
      </w:r>
      <w:r w:rsidR="00D507E1" w:rsidRPr="00373592">
        <w:rPr>
          <w:rFonts w:asciiTheme="majorBidi" w:eastAsia="Calibri" w:hAnsiTheme="majorBidi" w:cstheme="majorBidi"/>
          <w:sz w:val="24"/>
          <w:szCs w:val="24"/>
          <w:lang w:bidi="ar-AE"/>
        </w:rPr>
        <w:t xml:space="preserve">trend </w:t>
      </w:r>
      <w:r w:rsidR="001123F9" w:rsidRPr="00373592">
        <w:rPr>
          <w:rFonts w:asciiTheme="majorBidi" w:eastAsia="Calibri" w:hAnsiTheme="majorBidi" w:cstheme="majorBidi"/>
          <w:sz w:val="24"/>
          <w:szCs w:val="24"/>
          <w:lang w:bidi="ar-AE"/>
        </w:rPr>
        <w:t xml:space="preserve">and requesting them to present their achievements, initiatives </w:t>
      </w:r>
      <w:r w:rsidR="00D507E1" w:rsidRPr="00373592">
        <w:rPr>
          <w:rFonts w:asciiTheme="majorBidi" w:eastAsia="Calibri" w:hAnsiTheme="majorBidi" w:cstheme="majorBidi"/>
          <w:sz w:val="24"/>
          <w:szCs w:val="24"/>
          <w:lang w:bidi="ar-AE"/>
        </w:rPr>
        <w:t>and the</w:t>
      </w:r>
      <w:r w:rsidR="001123F9" w:rsidRPr="00373592">
        <w:rPr>
          <w:rFonts w:asciiTheme="majorBidi" w:eastAsia="Calibri" w:hAnsiTheme="majorBidi" w:cstheme="majorBidi"/>
          <w:sz w:val="24"/>
          <w:szCs w:val="24"/>
          <w:lang w:bidi="ar-AE"/>
        </w:rPr>
        <w:t xml:space="preserve"> measures taken in implementation of the royal directives.  </w:t>
      </w:r>
      <w:r w:rsidR="00BF226B" w:rsidRPr="00373592">
        <w:rPr>
          <w:rFonts w:asciiTheme="majorBidi" w:eastAsia="Calibri" w:hAnsiTheme="majorBidi" w:cstheme="majorBidi"/>
          <w:sz w:val="24"/>
          <w:szCs w:val="24"/>
          <w:lang w:bidi="ar-AE"/>
        </w:rPr>
        <w:t xml:space="preserve">The </w:t>
      </w:r>
      <w:r w:rsidR="00D507E1" w:rsidRPr="00373592">
        <w:rPr>
          <w:rFonts w:asciiTheme="majorBidi" w:eastAsia="Calibri" w:hAnsiTheme="majorBidi" w:cstheme="majorBidi"/>
          <w:sz w:val="24"/>
          <w:szCs w:val="24"/>
          <w:lang w:bidi="ar-AE"/>
        </w:rPr>
        <w:t>government issu</w:t>
      </w:r>
      <w:r w:rsidR="00F60505" w:rsidRPr="00373592">
        <w:rPr>
          <w:rFonts w:asciiTheme="majorBidi" w:eastAsia="Calibri" w:hAnsiTheme="majorBidi" w:cstheme="majorBidi"/>
          <w:sz w:val="24"/>
          <w:szCs w:val="24"/>
          <w:lang w:bidi="ar-AE"/>
        </w:rPr>
        <w:t>ed</w:t>
      </w:r>
      <w:r w:rsidR="00BF226B" w:rsidRPr="00373592">
        <w:rPr>
          <w:rFonts w:asciiTheme="majorBidi" w:eastAsia="Calibri" w:hAnsiTheme="majorBidi" w:cstheme="majorBidi"/>
          <w:sz w:val="24"/>
          <w:szCs w:val="24"/>
          <w:lang w:bidi="ar-AE"/>
        </w:rPr>
        <w:t xml:space="preserve"> their responses on the Center's recommendations in the form </w:t>
      </w:r>
      <w:r w:rsidR="0034612D">
        <w:rPr>
          <w:rFonts w:asciiTheme="majorBidi" w:eastAsia="Calibri" w:hAnsiTheme="majorBidi" w:cstheme="majorBidi"/>
          <w:sz w:val="24"/>
          <w:szCs w:val="24"/>
          <w:lang w:bidi="ar-AE"/>
        </w:rPr>
        <w:t xml:space="preserve">of </w:t>
      </w:r>
      <w:r w:rsidR="00BF226B" w:rsidRPr="00373592">
        <w:rPr>
          <w:rFonts w:asciiTheme="majorBidi" w:eastAsia="Calibri" w:hAnsiTheme="majorBidi" w:cstheme="majorBidi"/>
          <w:sz w:val="24"/>
          <w:szCs w:val="24"/>
          <w:lang w:bidi="ar-AE"/>
        </w:rPr>
        <w:t xml:space="preserve">periodic </w:t>
      </w:r>
      <w:r w:rsidR="001E1914">
        <w:rPr>
          <w:rFonts w:asciiTheme="majorBidi" w:eastAsia="Calibri" w:hAnsiTheme="majorBidi" w:cstheme="majorBidi"/>
          <w:sz w:val="24"/>
          <w:szCs w:val="24"/>
          <w:lang w:bidi="ar-AE"/>
        </w:rPr>
        <w:t xml:space="preserve">illustrative </w:t>
      </w:r>
      <w:r w:rsidR="00BF226B" w:rsidRPr="00373592">
        <w:rPr>
          <w:rFonts w:asciiTheme="majorBidi" w:eastAsia="Calibri" w:hAnsiTheme="majorBidi" w:cstheme="majorBidi"/>
          <w:sz w:val="24"/>
          <w:szCs w:val="24"/>
          <w:lang w:bidi="ar-AE"/>
        </w:rPr>
        <w:t>reports</w:t>
      </w:r>
      <w:r w:rsidR="00F60505" w:rsidRPr="00373592">
        <w:rPr>
          <w:rFonts w:asciiTheme="majorBidi" w:eastAsia="Calibri" w:hAnsiTheme="majorBidi" w:cstheme="majorBidi"/>
          <w:sz w:val="24"/>
          <w:szCs w:val="24"/>
          <w:lang w:bidi="ar-AE"/>
        </w:rPr>
        <w:t xml:space="preserve"> </w:t>
      </w:r>
      <w:r w:rsidR="001E1914">
        <w:rPr>
          <w:rFonts w:asciiTheme="majorBidi" w:eastAsia="Calibri" w:hAnsiTheme="majorBidi" w:cstheme="majorBidi"/>
          <w:sz w:val="24"/>
          <w:szCs w:val="24"/>
          <w:lang w:bidi="ar-AE"/>
        </w:rPr>
        <w:t xml:space="preserve">for the last three years, </w:t>
      </w:r>
      <w:r w:rsidR="00F60505" w:rsidRPr="00373592">
        <w:rPr>
          <w:rFonts w:asciiTheme="majorBidi" w:eastAsia="Calibri" w:hAnsiTheme="majorBidi" w:cstheme="majorBidi"/>
          <w:sz w:val="24"/>
          <w:szCs w:val="24"/>
          <w:lang w:bidi="ar-AE"/>
        </w:rPr>
        <w:t xml:space="preserve">published </w:t>
      </w:r>
      <w:r w:rsidR="0034589D" w:rsidRPr="0034589D">
        <w:rPr>
          <w:rFonts w:asciiTheme="majorBidi" w:eastAsia="Calibri" w:hAnsiTheme="majorBidi" w:cstheme="majorBidi"/>
          <w:sz w:val="24"/>
          <w:szCs w:val="24"/>
          <w:lang w:bidi="ar-AE"/>
        </w:rPr>
        <w:t>successively</w:t>
      </w:r>
      <w:r w:rsidR="00BF226B" w:rsidRPr="00373592">
        <w:rPr>
          <w:rFonts w:asciiTheme="majorBidi" w:eastAsia="Calibri" w:hAnsiTheme="majorBidi" w:cstheme="majorBidi"/>
          <w:sz w:val="24"/>
          <w:szCs w:val="24"/>
          <w:lang w:bidi="ar-AE"/>
        </w:rPr>
        <w:t>, the latest of which was issued in the second week of May, 2017</w:t>
      </w:r>
      <w:r w:rsidR="00DC0313" w:rsidRPr="00373592">
        <w:rPr>
          <w:rFonts w:asciiTheme="majorBidi" w:eastAsia="Calibri" w:hAnsiTheme="majorBidi" w:cstheme="majorBidi"/>
          <w:sz w:val="24"/>
          <w:szCs w:val="24"/>
          <w:lang w:bidi="ar-AE"/>
        </w:rPr>
        <w:t xml:space="preserve">. </w:t>
      </w:r>
    </w:p>
    <w:p w:rsidR="004960CB" w:rsidRDefault="00D507E1" w:rsidP="00661AA7">
      <w:pPr>
        <w:tabs>
          <w:tab w:val="right" w:pos="0"/>
        </w:tabs>
        <w:bidi w:val="0"/>
        <w:spacing w:after="0"/>
        <w:ind w:left="360" w:right="26"/>
        <w:contextualSpacing/>
        <w:jc w:val="both"/>
        <w:rPr>
          <w:rFonts w:asciiTheme="majorBidi" w:eastAsia="Calibri" w:hAnsiTheme="majorBidi" w:cstheme="majorBidi"/>
          <w:sz w:val="24"/>
          <w:szCs w:val="24"/>
          <w:lang w:bidi="ar-AE"/>
        </w:rPr>
      </w:pPr>
      <w:r w:rsidRPr="00373592">
        <w:rPr>
          <w:rFonts w:asciiTheme="majorBidi" w:eastAsia="Calibri" w:hAnsiTheme="majorBidi" w:cstheme="majorBidi"/>
          <w:sz w:val="24"/>
          <w:szCs w:val="24"/>
          <w:lang w:bidi="ar-AE"/>
        </w:rPr>
        <w:t xml:space="preserve"> </w:t>
      </w:r>
      <w:r w:rsidR="00DF1FDC" w:rsidRPr="00373592">
        <w:rPr>
          <w:rFonts w:asciiTheme="majorBidi" w:eastAsia="Calibri" w:hAnsiTheme="majorBidi" w:cstheme="majorBidi"/>
          <w:sz w:val="24"/>
          <w:szCs w:val="24"/>
          <w:lang w:bidi="ar-AE"/>
        </w:rPr>
        <w:t>I</w:t>
      </w:r>
      <w:r w:rsidR="00312AB2" w:rsidRPr="00373592">
        <w:rPr>
          <w:rFonts w:asciiTheme="majorBidi" w:eastAsia="Calibri" w:hAnsiTheme="majorBidi" w:cstheme="majorBidi"/>
          <w:sz w:val="24"/>
          <w:szCs w:val="24"/>
          <w:lang w:bidi="ar-AE"/>
        </w:rPr>
        <w:t>n addition</w:t>
      </w:r>
      <w:r w:rsidR="00941745" w:rsidRPr="00373592">
        <w:rPr>
          <w:rFonts w:asciiTheme="majorBidi" w:eastAsia="Calibri" w:hAnsiTheme="majorBidi" w:cstheme="majorBidi"/>
          <w:sz w:val="24"/>
          <w:szCs w:val="24"/>
          <w:lang w:bidi="ar-AE"/>
        </w:rPr>
        <w:t xml:space="preserve">, the Jordanian government took the initiative by </w:t>
      </w:r>
      <w:r w:rsidRPr="00373592">
        <w:rPr>
          <w:rFonts w:asciiTheme="majorBidi" w:eastAsia="Calibri" w:hAnsiTheme="majorBidi" w:cstheme="majorBidi"/>
          <w:sz w:val="24"/>
          <w:szCs w:val="24"/>
          <w:lang w:bidi="ar-AE"/>
        </w:rPr>
        <w:t>proposing amendments</w:t>
      </w:r>
      <w:r w:rsidR="00941745" w:rsidRPr="00373592">
        <w:rPr>
          <w:rFonts w:asciiTheme="majorBidi" w:eastAsia="Calibri" w:hAnsiTheme="majorBidi" w:cstheme="majorBidi"/>
          <w:sz w:val="24"/>
          <w:szCs w:val="24"/>
          <w:lang w:bidi="ar-AE"/>
        </w:rPr>
        <w:t xml:space="preserve"> to</w:t>
      </w:r>
      <w:r w:rsidR="00E367AB" w:rsidRPr="00373592">
        <w:rPr>
          <w:rFonts w:asciiTheme="majorBidi" w:eastAsia="Calibri" w:hAnsiTheme="majorBidi" w:cstheme="majorBidi"/>
          <w:sz w:val="24"/>
          <w:szCs w:val="24"/>
          <w:lang w:bidi="ar-AE"/>
        </w:rPr>
        <w:t xml:space="preserve"> </w:t>
      </w:r>
      <w:r w:rsidRPr="00373592">
        <w:rPr>
          <w:rFonts w:asciiTheme="majorBidi" w:eastAsia="Calibri" w:hAnsiTheme="majorBidi" w:cstheme="majorBidi"/>
          <w:sz w:val="24"/>
          <w:szCs w:val="24"/>
          <w:lang w:bidi="ar-AE"/>
        </w:rPr>
        <w:t>certain</w:t>
      </w:r>
      <w:r w:rsidR="00E367AB" w:rsidRPr="00373592">
        <w:rPr>
          <w:rFonts w:asciiTheme="majorBidi" w:eastAsia="Calibri" w:hAnsiTheme="majorBidi" w:cstheme="majorBidi"/>
          <w:sz w:val="24"/>
          <w:szCs w:val="24"/>
          <w:lang w:bidi="ar-AE"/>
        </w:rPr>
        <w:t xml:space="preserve"> </w:t>
      </w:r>
      <w:r w:rsidRPr="00373592">
        <w:rPr>
          <w:rFonts w:asciiTheme="majorBidi" w:eastAsia="Calibri" w:hAnsiTheme="majorBidi" w:cstheme="majorBidi"/>
          <w:sz w:val="24"/>
          <w:szCs w:val="24"/>
          <w:lang w:bidi="ar-AE"/>
        </w:rPr>
        <w:t>domestic</w:t>
      </w:r>
      <w:r w:rsidR="00E367AB" w:rsidRPr="00373592">
        <w:rPr>
          <w:rFonts w:asciiTheme="majorBidi" w:eastAsia="Calibri" w:hAnsiTheme="majorBidi" w:cstheme="majorBidi"/>
          <w:sz w:val="24"/>
          <w:szCs w:val="24"/>
          <w:lang w:bidi="ar-AE"/>
        </w:rPr>
        <w:t xml:space="preserve"> </w:t>
      </w:r>
      <w:r w:rsidR="008C12CE" w:rsidRPr="00373592">
        <w:rPr>
          <w:rFonts w:asciiTheme="majorBidi" w:eastAsia="Calibri" w:hAnsiTheme="majorBidi" w:cstheme="majorBidi"/>
          <w:sz w:val="24"/>
          <w:szCs w:val="24"/>
          <w:lang w:bidi="ar-AE"/>
        </w:rPr>
        <w:t xml:space="preserve">legislations that </w:t>
      </w:r>
      <w:r w:rsidR="008C12CE" w:rsidRPr="00373592">
        <w:rPr>
          <w:rFonts w:asciiTheme="majorBidi" w:hAnsiTheme="majorBidi" w:cstheme="majorBidi"/>
          <w:sz w:val="24"/>
          <w:szCs w:val="24"/>
        </w:rPr>
        <w:t>have</w:t>
      </w:r>
      <w:r w:rsidR="00C517E6" w:rsidRPr="00373592">
        <w:rPr>
          <w:rFonts w:asciiTheme="majorBidi" w:hAnsiTheme="majorBidi" w:cstheme="majorBidi"/>
          <w:sz w:val="24"/>
          <w:szCs w:val="24"/>
        </w:rPr>
        <w:t xml:space="preserve"> </w:t>
      </w:r>
      <w:r w:rsidR="00C517E6" w:rsidRPr="00373592">
        <w:rPr>
          <w:rFonts w:asciiTheme="majorBidi" w:eastAsia="Calibri" w:hAnsiTheme="majorBidi" w:cstheme="majorBidi"/>
          <w:sz w:val="24"/>
          <w:szCs w:val="24"/>
          <w:lang w:bidi="ar-AE"/>
        </w:rPr>
        <w:t xml:space="preserve">contributed to the reinforcement of human rights, in particular, those made to the Penal </w:t>
      </w:r>
      <w:r w:rsidR="00941745" w:rsidRPr="00373592">
        <w:rPr>
          <w:rFonts w:asciiTheme="majorBidi" w:eastAsia="Calibri" w:hAnsiTheme="majorBidi" w:cstheme="majorBidi"/>
          <w:sz w:val="24"/>
          <w:szCs w:val="24"/>
          <w:lang w:bidi="ar-AE"/>
        </w:rPr>
        <w:t>C</w:t>
      </w:r>
      <w:r w:rsidR="00C517E6" w:rsidRPr="00373592">
        <w:rPr>
          <w:rFonts w:asciiTheme="majorBidi" w:eastAsia="Calibri" w:hAnsiTheme="majorBidi" w:cstheme="majorBidi"/>
          <w:sz w:val="24"/>
          <w:szCs w:val="24"/>
          <w:lang w:bidi="ar-AE"/>
        </w:rPr>
        <w:t>ode</w:t>
      </w:r>
      <w:r w:rsidR="00AC1744" w:rsidRPr="00373592">
        <w:rPr>
          <w:rFonts w:asciiTheme="majorBidi" w:eastAsia="Calibri" w:hAnsiTheme="majorBidi" w:cstheme="majorBidi"/>
          <w:sz w:val="24"/>
          <w:szCs w:val="24"/>
          <w:lang w:bidi="ar-AE"/>
        </w:rPr>
        <w:t xml:space="preserve">, </w:t>
      </w:r>
      <w:r w:rsidR="00881860" w:rsidRPr="00373592">
        <w:rPr>
          <w:rFonts w:asciiTheme="majorBidi" w:eastAsia="Calibri" w:hAnsiTheme="majorBidi" w:cstheme="majorBidi"/>
          <w:sz w:val="24"/>
          <w:szCs w:val="24"/>
          <w:lang w:bidi="ar-AE"/>
        </w:rPr>
        <w:t>pursuant to</w:t>
      </w:r>
      <w:r w:rsidR="0037798D" w:rsidRPr="00373592">
        <w:rPr>
          <w:rFonts w:asciiTheme="majorBidi" w:eastAsia="Calibri" w:hAnsiTheme="majorBidi" w:cstheme="majorBidi"/>
          <w:sz w:val="24"/>
          <w:szCs w:val="24"/>
          <w:lang w:bidi="ar-AE"/>
        </w:rPr>
        <w:t xml:space="preserve"> which </w:t>
      </w:r>
      <w:r w:rsidR="004D2B44" w:rsidRPr="00373592">
        <w:rPr>
          <w:rFonts w:asciiTheme="majorBidi" w:eastAsia="Calibri" w:hAnsiTheme="majorBidi" w:cstheme="majorBidi"/>
          <w:sz w:val="24"/>
          <w:szCs w:val="24"/>
          <w:lang w:bidi="ar-AE"/>
        </w:rPr>
        <w:t>(</w:t>
      </w:r>
      <w:r w:rsidR="00E868F6" w:rsidRPr="00373592">
        <w:rPr>
          <w:rFonts w:asciiTheme="majorBidi" w:eastAsia="Calibri" w:hAnsiTheme="majorBidi" w:cstheme="majorBidi"/>
          <w:sz w:val="24"/>
          <w:szCs w:val="24"/>
          <w:lang w:bidi="ar-AE"/>
        </w:rPr>
        <w:t xml:space="preserve">Article </w:t>
      </w:r>
      <w:r w:rsidR="008C12CE" w:rsidRPr="00373592">
        <w:rPr>
          <w:rFonts w:asciiTheme="majorBidi" w:eastAsia="Calibri" w:hAnsiTheme="majorBidi" w:cstheme="majorBidi"/>
          <w:sz w:val="24"/>
          <w:szCs w:val="24"/>
          <w:lang w:bidi="ar-AE"/>
        </w:rPr>
        <w:t>308</w:t>
      </w:r>
      <w:r w:rsidR="00E868F6" w:rsidRPr="00373592">
        <w:rPr>
          <w:rFonts w:asciiTheme="majorBidi" w:eastAsia="Calibri" w:hAnsiTheme="majorBidi" w:cstheme="majorBidi"/>
          <w:sz w:val="24"/>
          <w:szCs w:val="24"/>
          <w:lang w:bidi="ar-AE"/>
        </w:rPr>
        <w:t>)</w:t>
      </w:r>
      <w:r w:rsidR="0037798D" w:rsidRPr="00373592">
        <w:rPr>
          <w:rFonts w:asciiTheme="majorBidi" w:eastAsia="Calibri" w:hAnsiTheme="majorBidi" w:cstheme="majorBidi"/>
          <w:sz w:val="24"/>
          <w:szCs w:val="24"/>
          <w:lang w:bidi="ar-AE"/>
        </w:rPr>
        <w:t xml:space="preserve"> </w:t>
      </w:r>
      <w:r w:rsidR="00F76D7F" w:rsidRPr="00373592">
        <w:rPr>
          <w:rFonts w:asciiTheme="majorBidi" w:eastAsia="Calibri" w:hAnsiTheme="majorBidi" w:cstheme="majorBidi"/>
          <w:sz w:val="24"/>
          <w:szCs w:val="24"/>
          <w:lang w:bidi="ar-AE"/>
        </w:rPr>
        <w:t xml:space="preserve">has been </w:t>
      </w:r>
      <w:r w:rsidR="00BF50A9" w:rsidRPr="00373592">
        <w:rPr>
          <w:rFonts w:asciiTheme="majorBidi" w:eastAsia="Calibri" w:hAnsiTheme="majorBidi" w:cstheme="majorBidi"/>
          <w:sz w:val="24"/>
          <w:szCs w:val="24"/>
          <w:lang w:bidi="ar-AE"/>
        </w:rPr>
        <w:t>repealed</w:t>
      </w:r>
      <w:r w:rsidR="00902B9A" w:rsidRPr="00373592">
        <w:rPr>
          <w:rFonts w:asciiTheme="majorBidi" w:eastAsia="Calibri" w:hAnsiTheme="majorBidi" w:cstheme="majorBidi"/>
          <w:sz w:val="24"/>
          <w:szCs w:val="24"/>
          <w:lang w:bidi="ar-AE"/>
        </w:rPr>
        <w:t>, and</w:t>
      </w:r>
      <w:r w:rsidR="0021435D" w:rsidRPr="00373592">
        <w:rPr>
          <w:rFonts w:asciiTheme="majorBidi" w:eastAsia="Calibri" w:hAnsiTheme="majorBidi" w:cstheme="majorBidi"/>
          <w:sz w:val="24"/>
          <w:szCs w:val="24"/>
          <w:lang w:bidi="ar-AE"/>
        </w:rPr>
        <w:t xml:space="preserve"> </w:t>
      </w:r>
      <w:r w:rsidR="00B0796E" w:rsidRPr="00373592">
        <w:rPr>
          <w:rFonts w:asciiTheme="majorBidi" w:eastAsia="Calibri" w:hAnsiTheme="majorBidi" w:cstheme="majorBidi"/>
          <w:sz w:val="24"/>
          <w:szCs w:val="24"/>
          <w:lang w:bidi="ar-AE"/>
        </w:rPr>
        <w:t xml:space="preserve">the concept of </w:t>
      </w:r>
      <w:r w:rsidR="005304C0" w:rsidRPr="00373592">
        <w:rPr>
          <w:rFonts w:asciiTheme="majorBidi" w:eastAsia="Calibri" w:hAnsiTheme="majorBidi" w:cstheme="majorBidi"/>
          <w:sz w:val="24"/>
          <w:szCs w:val="24"/>
          <w:lang w:bidi="ar-AE"/>
        </w:rPr>
        <w:t>alternative community sanction</w:t>
      </w:r>
      <w:r w:rsidR="00B0796E" w:rsidRPr="00373592">
        <w:rPr>
          <w:rFonts w:asciiTheme="majorBidi" w:eastAsia="Calibri" w:hAnsiTheme="majorBidi" w:cstheme="majorBidi"/>
          <w:sz w:val="24"/>
          <w:szCs w:val="24"/>
          <w:lang w:bidi="ar-AE"/>
        </w:rPr>
        <w:t xml:space="preserve">s </w:t>
      </w:r>
      <w:r w:rsidR="00F76D7F" w:rsidRPr="00373592">
        <w:rPr>
          <w:rFonts w:asciiTheme="majorBidi" w:eastAsia="Calibri" w:hAnsiTheme="majorBidi" w:cstheme="majorBidi"/>
          <w:sz w:val="24"/>
          <w:szCs w:val="24"/>
          <w:lang w:bidi="ar-AE"/>
        </w:rPr>
        <w:t>has been adopted</w:t>
      </w:r>
      <w:r w:rsidR="004D2B44" w:rsidRPr="00373592">
        <w:rPr>
          <w:rFonts w:asciiTheme="majorBidi" w:eastAsia="Calibri" w:hAnsiTheme="majorBidi" w:cstheme="majorBidi"/>
          <w:sz w:val="24"/>
          <w:szCs w:val="24"/>
          <w:lang w:bidi="ar-AE"/>
        </w:rPr>
        <w:t xml:space="preserve">. </w:t>
      </w:r>
      <w:r w:rsidR="005304C0" w:rsidRPr="00373592">
        <w:rPr>
          <w:rFonts w:asciiTheme="majorBidi" w:eastAsia="Calibri" w:hAnsiTheme="majorBidi" w:cstheme="majorBidi"/>
          <w:sz w:val="24"/>
          <w:szCs w:val="24"/>
          <w:lang w:bidi="ar-AE"/>
        </w:rPr>
        <w:t xml:space="preserve">These </w:t>
      </w:r>
      <w:r w:rsidR="001254DD">
        <w:rPr>
          <w:rFonts w:asciiTheme="majorBidi" w:eastAsia="Calibri" w:hAnsiTheme="majorBidi" w:cstheme="majorBidi"/>
          <w:sz w:val="24"/>
          <w:szCs w:val="24"/>
          <w:lang w:bidi="ar-AE"/>
        </w:rPr>
        <w:t>reports</w:t>
      </w:r>
      <w:r w:rsidR="005304C0" w:rsidRPr="00373592">
        <w:rPr>
          <w:rFonts w:asciiTheme="majorBidi" w:eastAsia="Calibri" w:hAnsiTheme="majorBidi" w:cstheme="majorBidi"/>
          <w:sz w:val="24"/>
          <w:szCs w:val="24"/>
          <w:lang w:bidi="ar-AE"/>
        </w:rPr>
        <w:t xml:space="preserve"> constitute in </w:t>
      </w:r>
      <w:r w:rsidR="008D6721" w:rsidRPr="00373592">
        <w:rPr>
          <w:rFonts w:asciiTheme="majorBidi" w:eastAsia="Calibri" w:hAnsiTheme="majorBidi" w:cstheme="majorBidi"/>
          <w:sz w:val="24"/>
          <w:szCs w:val="24"/>
          <w:lang w:bidi="ar-AE"/>
        </w:rPr>
        <w:t>their</w:t>
      </w:r>
      <w:r w:rsidR="005304C0" w:rsidRPr="00373592">
        <w:rPr>
          <w:rFonts w:asciiTheme="majorBidi" w:eastAsia="Calibri" w:hAnsiTheme="majorBidi" w:cstheme="majorBidi"/>
          <w:sz w:val="24"/>
          <w:szCs w:val="24"/>
          <w:lang w:bidi="ar-AE"/>
        </w:rPr>
        <w:t xml:space="preserve"> entirety </w:t>
      </w:r>
      <w:r w:rsidR="009B6C3A" w:rsidRPr="00373592">
        <w:rPr>
          <w:rFonts w:asciiTheme="majorBidi" w:eastAsia="Calibri" w:hAnsiTheme="majorBidi" w:cstheme="majorBidi"/>
          <w:sz w:val="24"/>
          <w:szCs w:val="24"/>
          <w:lang w:bidi="ar-AE"/>
        </w:rPr>
        <w:t>a highlight of the concrete actions undertaken by all governmental institutions</w:t>
      </w:r>
      <w:r w:rsidR="002F3CBB" w:rsidRPr="00373592">
        <w:rPr>
          <w:rFonts w:asciiTheme="majorBidi" w:eastAsia="Calibri" w:hAnsiTheme="majorBidi" w:cstheme="majorBidi"/>
          <w:sz w:val="24"/>
          <w:szCs w:val="24"/>
          <w:lang w:bidi="ar-AE"/>
        </w:rPr>
        <w:t>,</w:t>
      </w:r>
      <w:r w:rsidR="009B6C3A" w:rsidRPr="00373592">
        <w:rPr>
          <w:rFonts w:asciiTheme="majorBidi" w:eastAsia="Calibri" w:hAnsiTheme="majorBidi" w:cstheme="majorBidi"/>
          <w:sz w:val="24"/>
          <w:szCs w:val="24"/>
          <w:lang w:bidi="ar-AE"/>
        </w:rPr>
        <w:t xml:space="preserve"> </w:t>
      </w:r>
      <w:r w:rsidR="002F3CBB" w:rsidRPr="00373592">
        <w:rPr>
          <w:rFonts w:asciiTheme="majorBidi" w:eastAsia="Calibri" w:hAnsiTheme="majorBidi" w:cstheme="majorBidi"/>
          <w:sz w:val="24"/>
          <w:szCs w:val="24"/>
          <w:lang w:bidi="ar-AE"/>
        </w:rPr>
        <w:t xml:space="preserve">whether they relate </w:t>
      </w:r>
      <w:r w:rsidR="00F76943" w:rsidRPr="00373592">
        <w:rPr>
          <w:rFonts w:asciiTheme="majorBidi" w:eastAsia="Calibri" w:hAnsiTheme="majorBidi" w:cstheme="majorBidi"/>
          <w:sz w:val="24"/>
          <w:szCs w:val="24"/>
          <w:lang w:bidi="ar-AE"/>
        </w:rPr>
        <w:t>to policies</w:t>
      </w:r>
      <w:r w:rsidR="002F3CBB" w:rsidRPr="00373592">
        <w:rPr>
          <w:rFonts w:asciiTheme="majorBidi" w:eastAsia="Calibri" w:hAnsiTheme="majorBidi" w:cstheme="majorBidi"/>
          <w:sz w:val="24"/>
          <w:szCs w:val="24"/>
          <w:lang w:bidi="ar-AE"/>
        </w:rPr>
        <w:t>, regulations or draft bills submitted to the Lowe</w:t>
      </w:r>
      <w:r w:rsidR="001254DD">
        <w:rPr>
          <w:rFonts w:asciiTheme="majorBidi" w:eastAsia="Calibri" w:hAnsiTheme="majorBidi" w:cstheme="majorBidi"/>
          <w:sz w:val="24"/>
          <w:szCs w:val="24"/>
          <w:lang w:bidi="ar-AE"/>
        </w:rPr>
        <w:t>r</w:t>
      </w:r>
      <w:r w:rsidR="002F3CBB" w:rsidRPr="00373592">
        <w:rPr>
          <w:rFonts w:asciiTheme="majorBidi" w:eastAsia="Calibri" w:hAnsiTheme="majorBidi" w:cstheme="majorBidi"/>
          <w:sz w:val="24"/>
          <w:szCs w:val="24"/>
          <w:lang w:bidi="ar-AE"/>
        </w:rPr>
        <w:t xml:space="preserve"> House, in response to the NCHR recommendations and observations</w:t>
      </w:r>
      <w:r w:rsidR="00756516" w:rsidRPr="00373592">
        <w:rPr>
          <w:rFonts w:asciiTheme="majorBidi" w:eastAsia="Calibri" w:hAnsiTheme="majorBidi" w:cstheme="majorBidi"/>
          <w:sz w:val="24"/>
          <w:szCs w:val="24"/>
          <w:lang w:bidi="ar-AE"/>
        </w:rPr>
        <w:t xml:space="preserve">. </w:t>
      </w:r>
      <w:r w:rsidR="009B6C3A" w:rsidRPr="00373592">
        <w:rPr>
          <w:rFonts w:asciiTheme="majorBidi" w:eastAsia="Calibri" w:hAnsiTheme="majorBidi" w:cstheme="majorBidi"/>
          <w:sz w:val="24"/>
          <w:szCs w:val="24"/>
          <w:lang w:bidi="ar-AE"/>
        </w:rPr>
        <w:t xml:space="preserve"> </w:t>
      </w:r>
    </w:p>
    <w:p w:rsidR="002506B1" w:rsidRPr="00373592" w:rsidRDefault="002506B1" w:rsidP="002506B1">
      <w:pPr>
        <w:tabs>
          <w:tab w:val="right" w:pos="0"/>
        </w:tabs>
        <w:bidi w:val="0"/>
        <w:spacing w:after="0"/>
        <w:ind w:left="360" w:right="26"/>
        <w:contextualSpacing/>
        <w:jc w:val="both"/>
        <w:rPr>
          <w:rFonts w:asciiTheme="majorBidi" w:eastAsia="Calibri" w:hAnsiTheme="majorBidi" w:cstheme="majorBidi"/>
          <w:sz w:val="24"/>
          <w:szCs w:val="24"/>
          <w:lang w:bidi="ar-AE"/>
        </w:rPr>
      </w:pPr>
    </w:p>
    <w:p w:rsidR="00D30DD3" w:rsidRPr="00373592" w:rsidRDefault="001946FB" w:rsidP="00B07126">
      <w:pPr>
        <w:tabs>
          <w:tab w:val="right" w:pos="0"/>
        </w:tabs>
        <w:bidi w:val="0"/>
        <w:spacing w:after="0"/>
        <w:ind w:left="360" w:right="26"/>
        <w:contextualSpacing/>
        <w:jc w:val="both"/>
        <w:rPr>
          <w:rFonts w:asciiTheme="majorBidi" w:eastAsia="Calibri" w:hAnsiTheme="majorBidi" w:cstheme="majorBidi"/>
          <w:sz w:val="24"/>
          <w:szCs w:val="24"/>
          <w:lang w:bidi="ar-AE"/>
        </w:rPr>
      </w:pPr>
      <w:r w:rsidRPr="00373592">
        <w:rPr>
          <w:rFonts w:asciiTheme="majorBidi" w:eastAsia="Calibri" w:hAnsiTheme="majorBidi" w:cstheme="majorBidi"/>
          <w:sz w:val="24"/>
          <w:szCs w:val="24"/>
          <w:lang w:bidi="ar-AE"/>
        </w:rPr>
        <w:t>The Center is of the opinion that irrespective of its view</w:t>
      </w:r>
      <w:r w:rsidR="00D6648D" w:rsidRPr="00373592">
        <w:rPr>
          <w:rFonts w:asciiTheme="majorBidi" w:eastAsia="Calibri" w:hAnsiTheme="majorBidi" w:cstheme="majorBidi"/>
          <w:sz w:val="24"/>
          <w:szCs w:val="24"/>
          <w:lang w:bidi="ar-AE"/>
        </w:rPr>
        <w:t xml:space="preserve"> concerning the </w:t>
      </w:r>
      <w:r w:rsidR="00A025BF" w:rsidRPr="00373592">
        <w:rPr>
          <w:rFonts w:asciiTheme="majorBidi" w:eastAsia="Calibri" w:hAnsiTheme="majorBidi" w:cstheme="majorBidi"/>
          <w:sz w:val="24"/>
          <w:szCs w:val="24"/>
          <w:lang w:bidi="ar-AE"/>
        </w:rPr>
        <w:t xml:space="preserve">impact </w:t>
      </w:r>
      <w:r w:rsidR="00D6648D" w:rsidRPr="00373592">
        <w:rPr>
          <w:rFonts w:asciiTheme="majorBidi" w:eastAsia="Calibri" w:hAnsiTheme="majorBidi" w:cstheme="majorBidi"/>
          <w:sz w:val="24"/>
          <w:szCs w:val="24"/>
          <w:lang w:bidi="ar-AE"/>
        </w:rPr>
        <w:t xml:space="preserve">of these actions </w:t>
      </w:r>
      <w:r w:rsidR="00A025BF" w:rsidRPr="00373592">
        <w:rPr>
          <w:rFonts w:asciiTheme="majorBidi" w:eastAsia="Calibri" w:hAnsiTheme="majorBidi" w:cstheme="majorBidi"/>
          <w:sz w:val="24"/>
          <w:szCs w:val="24"/>
          <w:lang w:bidi="ar-AE"/>
        </w:rPr>
        <w:t xml:space="preserve">on the reality of human rights </w:t>
      </w:r>
      <w:r w:rsidR="00D6648D" w:rsidRPr="00373592">
        <w:rPr>
          <w:rFonts w:asciiTheme="majorBidi" w:eastAsia="Calibri" w:hAnsiTheme="majorBidi" w:cstheme="majorBidi"/>
          <w:sz w:val="24"/>
          <w:szCs w:val="24"/>
          <w:lang w:bidi="ar-AE"/>
        </w:rPr>
        <w:t xml:space="preserve">and the degree </w:t>
      </w:r>
      <w:r w:rsidR="002506B1">
        <w:rPr>
          <w:rFonts w:asciiTheme="majorBidi" w:eastAsia="Calibri" w:hAnsiTheme="majorBidi" w:cstheme="majorBidi"/>
          <w:sz w:val="24"/>
          <w:szCs w:val="24"/>
          <w:lang w:bidi="ar-AE"/>
        </w:rPr>
        <w:t xml:space="preserve">of </w:t>
      </w:r>
      <w:r w:rsidR="003F2B7D" w:rsidRPr="00373592">
        <w:rPr>
          <w:rFonts w:asciiTheme="majorBidi" w:eastAsia="Calibri" w:hAnsiTheme="majorBidi" w:cstheme="majorBidi"/>
          <w:sz w:val="24"/>
          <w:szCs w:val="24"/>
          <w:lang w:bidi="ar-AE"/>
        </w:rPr>
        <w:t xml:space="preserve">their compatibility </w:t>
      </w:r>
      <w:r w:rsidR="002506B1">
        <w:rPr>
          <w:rFonts w:asciiTheme="majorBidi" w:eastAsia="Calibri" w:hAnsiTheme="majorBidi" w:cstheme="majorBidi"/>
          <w:sz w:val="24"/>
          <w:szCs w:val="24"/>
          <w:lang w:bidi="ar-AE"/>
        </w:rPr>
        <w:t>with its recommendations</w:t>
      </w:r>
      <w:r w:rsidRPr="00373592">
        <w:rPr>
          <w:rFonts w:asciiTheme="majorBidi" w:eastAsia="Calibri" w:hAnsiTheme="majorBidi" w:cstheme="majorBidi"/>
          <w:sz w:val="24"/>
          <w:szCs w:val="24"/>
          <w:lang w:bidi="ar-AE"/>
        </w:rPr>
        <w:t>,</w:t>
      </w:r>
      <w:r w:rsidR="00D71866" w:rsidRPr="00373592">
        <w:rPr>
          <w:rFonts w:asciiTheme="majorBidi" w:eastAsia="Calibri" w:hAnsiTheme="majorBidi" w:cstheme="majorBidi"/>
          <w:sz w:val="24"/>
          <w:szCs w:val="24"/>
          <w:lang w:bidi="ar-AE"/>
        </w:rPr>
        <w:t xml:space="preserve"> this level of responsiveness is </w:t>
      </w:r>
      <w:r w:rsidRPr="00373592">
        <w:rPr>
          <w:rFonts w:asciiTheme="majorBidi" w:eastAsia="Calibri" w:hAnsiTheme="majorBidi" w:cstheme="majorBidi"/>
          <w:sz w:val="24"/>
          <w:szCs w:val="24"/>
          <w:lang w:bidi="ar-AE"/>
        </w:rPr>
        <w:t xml:space="preserve">deemed </w:t>
      </w:r>
      <w:r w:rsidR="00D71866" w:rsidRPr="00373592">
        <w:rPr>
          <w:rFonts w:asciiTheme="majorBidi" w:eastAsia="Calibri" w:hAnsiTheme="majorBidi" w:cstheme="majorBidi"/>
          <w:sz w:val="24"/>
          <w:szCs w:val="24"/>
          <w:lang w:bidi="ar-AE"/>
        </w:rPr>
        <w:t>more positive for dealing with Jordan's national and international obligations and in addressing human rights issues</w:t>
      </w:r>
      <w:r w:rsidR="00D6648D" w:rsidRPr="00373592">
        <w:rPr>
          <w:rFonts w:asciiTheme="majorBidi" w:eastAsia="Calibri" w:hAnsiTheme="majorBidi" w:cstheme="majorBidi"/>
          <w:sz w:val="24"/>
          <w:szCs w:val="24"/>
          <w:lang w:bidi="ar-AE"/>
        </w:rPr>
        <w:t xml:space="preserve">. </w:t>
      </w:r>
      <w:r w:rsidR="00664621">
        <w:rPr>
          <w:rFonts w:asciiTheme="majorBidi" w:eastAsia="Calibri" w:hAnsiTheme="majorBidi" w:cstheme="majorBidi"/>
          <w:sz w:val="24"/>
          <w:szCs w:val="24"/>
          <w:lang w:bidi="ar-AE"/>
        </w:rPr>
        <w:t>However, t</w:t>
      </w:r>
      <w:r w:rsidR="002F3CBB" w:rsidRPr="00373592">
        <w:rPr>
          <w:rFonts w:asciiTheme="majorBidi" w:eastAsia="Calibri" w:hAnsiTheme="majorBidi" w:cstheme="majorBidi"/>
          <w:sz w:val="24"/>
          <w:szCs w:val="24"/>
          <w:lang w:bidi="ar-AE"/>
        </w:rPr>
        <w:t>h</w:t>
      </w:r>
      <w:r w:rsidR="00815E48" w:rsidRPr="00373592">
        <w:rPr>
          <w:rFonts w:asciiTheme="majorBidi" w:eastAsia="Calibri" w:hAnsiTheme="majorBidi" w:cstheme="majorBidi"/>
          <w:sz w:val="24"/>
          <w:szCs w:val="24"/>
          <w:lang w:bidi="ar-AE"/>
        </w:rPr>
        <w:t>e</w:t>
      </w:r>
      <w:r w:rsidR="00664621">
        <w:rPr>
          <w:rFonts w:asciiTheme="majorBidi" w:eastAsia="Calibri" w:hAnsiTheme="majorBidi" w:cstheme="majorBidi"/>
          <w:sz w:val="24"/>
          <w:szCs w:val="24"/>
          <w:lang w:bidi="ar-AE"/>
        </w:rPr>
        <w:t>se</w:t>
      </w:r>
      <w:r w:rsidR="00815E48" w:rsidRPr="00373592">
        <w:rPr>
          <w:rFonts w:asciiTheme="majorBidi" w:eastAsia="Calibri" w:hAnsiTheme="majorBidi" w:cstheme="majorBidi"/>
          <w:sz w:val="24"/>
          <w:szCs w:val="24"/>
          <w:lang w:bidi="ar-AE"/>
        </w:rPr>
        <w:t xml:space="preserve"> governmental efforts being made towards human rights issues, still face c</w:t>
      </w:r>
      <w:r w:rsidR="00276481" w:rsidRPr="00373592">
        <w:rPr>
          <w:rFonts w:asciiTheme="majorBidi" w:eastAsia="Calibri" w:hAnsiTheme="majorBidi" w:cstheme="majorBidi"/>
          <w:sz w:val="24"/>
          <w:szCs w:val="24"/>
          <w:lang w:bidi="ar-AE"/>
        </w:rPr>
        <w:t>hallenges due to</w:t>
      </w:r>
      <w:r w:rsidR="00FE3CAB">
        <w:rPr>
          <w:rFonts w:asciiTheme="majorBidi" w:eastAsia="Calibri" w:hAnsiTheme="majorBidi" w:cstheme="majorBidi"/>
          <w:sz w:val="24"/>
          <w:szCs w:val="24"/>
          <w:lang w:bidi="ar-AE"/>
        </w:rPr>
        <w:t>;</w:t>
      </w:r>
      <w:r w:rsidR="00276481" w:rsidRPr="00373592">
        <w:rPr>
          <w:rFonts w:asciiTheme="majorBidi" w:eastAsia="Calibri" w:hAnsiTheme="majorBidi" w:cstheme="majorBidi"/>
          <w:sz w:val="24"/>
          <w:szCs w:val="24"/>
          <w:lang w:bidi="ar-AE"/>
        </w:rPr>
        <w:t xml:space="preserve"> the </w:t>
      </w:r>
      <w:r w:rsidR="00815E48" w:rsidRPr="00373592">
        <w:rPr>
          <w:rFonts w:asciiTheme="majorBidi" w:eastAsia="Calibri" w:hAnsiTheme="majorBidi" w:cstheme="majorBidi"/>
          <w:sz w:val="24"/>
          <w:szCs w:val="24"/>
          <w:lang w:bidi="ar-AE"/>
        </w:rPr>
        <w:t xml:space="preserve">inconsistencies </w:t>
      </w:r>
      <w:r w:rsidR="00FE3CAB">
        <w:rPr>
          <w:rFonts w:asciiTheme="majorBidi" w:eastAsia="Calibri" w:hAnsiTheme="majorBidi" w:cstheme="majorBidi"/>
          <w:sz w:val="24"/>
          <w:szCs w:val="24"/>
          <w:lang w:bidi="ar-AE"/>
        </w:rPr>
        <w:t>that exist</w:t>
      </w:r>
      <w:r w:rsidR="00FE3CAB" w:rsidRPr="00373592">
        <w:rPr>
          <w:rFonts w:asciiTheme="majorBidi" w:eastAsia="Calibri" w:hAnsiTheme="majorBidi" w:cstheme="majorBidi"/>
          <w:sz w:val="24"/>
          <w:szCs w:val="24"/>
          <w:lang w:bidi="ar-AE"/>
        </w:rPr>
        <w:t xml:space="preserve"> </w:t>
      </w:r>
      <w:r w:rsidR="00815E48" w:rsidRPr="00373592">
        <w:rPr>
          <w:rFonts w:asciiTheme="majorBidi" w:eastAsia="Calibri" w:hAnsiTheme="majorBidi" w:cstheme="majorBidi"/>
          <w:sz w:val="24"/>
          <w:szCs w:val="24"/>
          <w:lang w:bidi="ar-AE"/>
        </w:rPr>
        <w:t xml:space="preserve">between the national legislations and the international </w:t>
      </w:r>
      <w:r w:rsidR="00EA2A92" w:rsidRPr="00373592">
        <w:rPr>
          <w:rFonts w:asciiTheme="majorBidi" w:eastAsia="Calibri" w:hAnsiTheme="majorBidi" w:cstheme="majorBidi"/>
          <w:sz w:val="24"/>
          <w:szCs w:val="24"/>
          <w:lang w:bidi="ar-AE"/>
        </w:rPr>
        <w:t xml:space="preserve">human rights </w:t>
      </w:r>
      <w:r w:rsidR="00815E48" w:rsidRPr="00373592">
        <w:rPr>
          <w:rFonts w:asciiTheme="majorBidi" w:eastAsia="Calibri" w:hAnsiTheme="majorBidi" w:cstheme="majorBidi"/>
          <w:sz w:val="24"/>
          <w:szCs w:val="24"/>
          <w:lang w:bidi="ar-AE"/>
        </w:rPr>
        <w:t>conventions</w:t>
      </w:r>
      <w:r w:rsidR="00EA2A92" w:rsidRPr="00373592">
        <w:rPr>
          <w:rFonts w:asciiTheme="majorBidi" w:eastAsia="Calibri" w:hAnsiTheme="majorBidi" w:cstheme="majorBidi"/>
          <w:sz w:val="24"/>
          <w:szCs w:val="24"/>
          <w:lang w:bidi="ar-AE"/>
        </w:rPr>
        <w:t xml:space="preserve">, </w:t>
      </w:r>
      <w:r w:rsidR="00386BF6">
        <w:rPr>
          <w:rFonts w:asciiTheme="majorBidi" w:eastAsia="Calibri" w:hAnsiTheme="majorBidi" w:cstheme="majorBidi"/>
          <w:sz w:val="24"/>
          <w:szCs w:val="24"/>
          <w:lang w:bidi="ar-AE"/>
        </w:rPr>
        <w:t xml:space="preserve">as well as </w:t>
      </w:r>
      <w:r w:rsidR="00D83F32" w:rsidRPr="00373592">
        <w:rPr>
          <w:rFonts w:asciiTheme="majorBidi" w:eastAsia="Calibri" w:hAnsiTheme="majorBidi" w:cstheme="majorBidi"/>
          <w:sz w:val="24"/>
          <w:szCs w:val="24"/>
          <w:lang w:bidi="ar-AE"/>
        </w:rPr>
        <w:t>the</w:t>
      </w:r>
      <w:r w:rsidR="00EA2A92" w:rsidRPr="00373592">
        <w:rPr>
          <w:rFonts w:asciiTheme="majorBidi" w:eastAsia="Calibri" w:hAnsiTheme="majorBidi" w:cstheme="majorBidi"/>
          <w:sz w:val="24"/>
          <w:szCs w:val="24"/>
          <w:lang w:bidi="ar-AE"/>
        </w:rPr>
        <w:t xml:space="preserve"> existence of </w:t>
      </w:r>
      <w:r w:rsidR="006915C5" w:rsidRPr="00373592">
        <w:rPr>
          <w:rFonts w:asciiTheme="majorBidi" w:eastAsia="Calibri" w:hAnsiTheme="majorBidi" w:cstheme="majorBidi"/>
          <w:sz w:val="24"/>
          <w:szCs w:val="24"/>
          <w:lang w:bidi="ar-AE"/>
        </w:rPr>
        <w:t>evident</w:t>
      </w:r>
      <w:r w:rsidR="00EA2A92" w:rsidRPr="00373592">
        <w:rPr>
          <w:rFonts w:asciiTheme="majorBidi" w:eastAsia="Calibri" w:hAnsiTheme="majorBidi" w:cstheme="majorBidi"/>
          <w:sz w:val="24"/>
          <w:szCs w:val="24"/>
          <w:lang w:bidi="ar-AE"/>
        </w:rPr>
        <w:t xml:space="preserve"> practices</w:t>
      </w:r>
      <w:r w:rsidR="00376AF5" w:rsidRPr="00373592">
        <w:rPr>
          <w:rFonts w:asciiTheme="majorBidi" w:eastAsia="Calibri" w:hAnsiTheme="majorBidi" w:cstheme="majorBidi"/>
          <w:sz w:val="24"/>
          <w:szCs w:val="24"/>
          <w:lang w:bidi="ar-AE"/>
        </w:rPr>
        <w:t xml:space="preserve">, which have resulted in </w:t>
      </w:r>
      <w:r w:rsidR="003F2B7D" w:rsidRPr="00373592">
        <w:rPr>
          <w:rFonts w:asciiTheme="majorBidi" w:eastAsia="Calibri" w:hAnsiTheme="majorBidi" w:cstheme="majorBidi"/>
          <w:sz w:val="24"/>
          <w:szCs w:val="24"/>
          <w:lang w:bidi="ar-AE"/>
        </w:rPr>
        <w:t>remarkable increase in the number of</w:t>
      </w:r>
      <w:r w:rsidR="00376AF5" w:rsidRPr="00373592">
        <w:rPr>
          <w:rFonts w:asciiTheme="majorBidi" w:eastAsia="Calibri" w:hAnsiTheme="majorBidi" w:cstheme="majorBidi"/>
          <w:sz w:val="24"/>
          <w:szCs w:val="24"/>
          <w:lang w:bidi="ar-AE"/>
        </w:rPr>
        <w:t xml:space="preserve"> complaints, in particular against law-enforcement </w:t>
      </w:r>
      <w:r w:rsidR="00484135" w:rsidRPr="00373592">
        <w:rPr>
          <w:rFonts w:asciiTheme="majorBidi" w:eastAsia="Calibri" w:hAnsiTheme="majorBidi" w:cstheme="majorBidi"/>
          <w:sz w:val="24"/>
          <w:szCs w:val="24"/>
          <w:lang w:bidi="ar-AE"/>
        </w:rPr>
        <w:t>authorities</w:t>
      </w:r>
      <w:r w:rsidR="00386BF6">
        <w:rPr>
          <w:rFonts w:asciiTheme="majorBidi" w:eastAsia="Calibri" w:hAnsiTheme="majorBidi" w:cstheme="majorBidi"/>
          <w:sz w:val="24"/>
          <w:szCs w:val="24"/>
          <w:lang w:bidi="ar-AE"/>
        </w:rPr>
        <w:t>. This is in addition to the</w:t>
      </w:r>
      <w:r w:rsidR="00376AF5" w:rsidRPr="00373592">
        <w:rPr>
          <w:rFonts w:asciiTheme="majorBidi" w:eastAsia="Calibri" w:hAnsiTheme="majorBidi" w:cstheme="majorBidi"/>
          <w:sz w:val="24"/>
          <w:szCs w:val="24"/>
          <w:lang w:bidi="ar-AE"/>
        </w:rPr>
        <w:t xml:space="preserve"> policies pursued by the authorities towards issues of public </w:t>
      </w:r>
      <w:r w:rsidR="00601599" w:rsidRPr="00373592">
        <w:rPr>
          <w:rFonts w:asciiTheme="majorBidi" w:eastAsia="Calibri" w:hAnsiTheme="majorBidi" w:cstheme="majorBidi"/>
          <w:sz w:val="24"/>
          <w:szCs w:val="24"/>
          <w:lang w:bidi="ar-AE"/>
        </w:rPr>
        <w:t xml:space="preserve">freedoms, particularly, the freedom of opinion and expression, </w:t>
      </w:r>
      <w:r w:rsidR="006915C5" w:rsidRPr="00373592">
        <w:rPr>
          <w:rFonts w:asciiTheme="majorBidi" w:eastAsia="Calibri" w:hAnsiTheme="majorBidi" w:cstheme="majorBidi"/>
          <w:sz w:val="24"/>
          <w:szCs w:val="24"/>
          <w:lang w:bidi="ar-AE"/>
        </w:rPr>
        <w:t>the freedom of assembly and of association</w:t>
      </w:r>
      <w:r w:rsidR="008B0E7E" w:rsidRPr="00373592">
        <w:rPr>
          <w:rFonts w:asciiTheme="majorBidi" w:eastAsia="Calibri" w:hAnsiTheme="majorBidi" w:cstheme="majorBidi"/>
          <w:sz w:val="24"/>
          <w:szCs w:val="24"/>
          <w:lang w:bidi="ar-AE"/>
        </w:rPr>
        <w:t xml:space="preserve">. </w:t>
      </w:r>
      <w:r w:rsidR="006915C5" w:rsidRPr="00373592">
        <w:rPr>
          <w:rFonts w:asciiTheme="majorBidi" w:eastAsia="Calibri" w:hAnsiTheme="majorBidi" w:cstheme="majorBidi"/>
          <w:sz w:val="24"/>
          <w:szCs w:val="24"/>
          <w:lang w:bidi="ar-AE"/>
        </w:rPr>
        <w:t xml:space="preserve"> </w:t>
      </w:r>
      <w:r w:rsidR="00386BF6">
        <w:rPr>
          <w:rFonts w:asciiTheme="majorBidi" w:eastAsia="Calibri" w:hAnsiTheme="majorBidi" w:cstheme="majorBidi"/>
          <w:sz w:val="24"/>
          <w:szCs w:val="24"/>
          <w:lang w:bidi="ar-AE"/>
        </w:rPr>
        <w:t xml:space="preserve">Also </w:t>
      </w:r>
      <w:r w:rsidR="00386BF6" w:rsidRPr="00373592">
        <w:rPr>
          <w:rFonts w:asciiTheme="majorBidi" w:eastAsia="Calibri" w:hAnsiTheme="majorBidi" w:cstheme="majorBidi"/>
          <w:sz w:val="24"/>
          <w:szCs w:val="24"/>
          <w:lang w:bidi="ar-AE"/>
        </w:rPr>
        <w:t>sometimes</w:t>
      </w:r>
      <w:r w:rsidR="008B0E7E" w:rsidRPr="00373592">
        <w:rPr>
          <w:rFonts w:asciiTheme="majorBidi" w:eastAsia="Calibri" w:hAnsiTheme="majorBidi" w:cstheme="majorBidi"/>
          <w:sz w:val="24"/>
          <w:szCs w:val="24"/>
          <w:lang w:bidi="ar-AE"/>
        </w:rPr>
        <w:t xml:space="preserve"> the </w:t>
      </w:r>
      <w:r w:rsidR="006915C5" w:rsidRPr="00373592">
        <w:rPr>
          <w:rFonts w:asciiTheme="majorBidi" w:eastAsia="Calibri" w:hAnsiTheme="majorBidi" w:cstheme="majorBidi"/>
          <w:sz w:val="24"/>
          <w:szCs w:val="24"/>
          <w:lang w:bidi="ar-AE"/>
        </w:rPr>
        <w:t xml:space="preserve">official </w:t>
      </w:r>
      <w:r w:rsidR="00B92A7E" w:rsidRPr="00373592">
        <w:rPr>
          <w:rFonts w:asciiTheme="majorBidi" w:eastAsia="Calibri" w:hAnsiTheme="majorBidi" w:cstheme="majorBidi"/>
          <w:sz w:val="24"/>
          <w:szCs w:val="24"/>
          <w:lang w:bidi="ar-AE"/>
        </w:rPr>
        <w:t>handling of the</w:t>
      </w:r>
      <w:r w:rsidR="006915C5" w:rsidRPr="00373592">
        <w:rPr>
          <w:rFonts w:asciiTheme="majorBidi" w:eastAsia="Calibri" w:hAnsiTheme="majorBidi" w:cstheme="majorBidi"/>
          <w:sz w:val="24"/>
          <w:szCs w:val="24"/>
          <w:lang w:bidi="ar-AE"/>
        </w:rPr>
        <w:t xml:space="preserve"> </w:t>
      </w:r>
      <w:r w:rsidR="00D05115" w:rsidRPr="00373592">
        <w:rPr>
          <w:rFonts w:asciiTheme="majorBidi" w:eastAsia="Calibri" w:hAnsiTheme="majorBidi" w:cstheme="majorBidi"/>
          <w:sz w:val="24"/>
          <w:szCs w:val="24"/>
          <w:lang w:bidi="ar-AE"/>
        </w:rPr>
        <w:t xml:space="preserve">complaints </w:t>
      </w:r>
      <w:r w:rsidR="00B92A7E" w:rsidRPr="00373592">
        <w:rPr>
          <w:rFonts w:asciiTheme="majorBidi" w:eastAsia="Calibri" w:hAnsiTheme="majorBidi" w:cstheme="majorBidi"/>
          <w:sz w:val="24"/>
          <w:szCs w:val="24"/>
          <w:lang w:bidi="ar-AE"/>
        </w:rPr>
        <w:t xml:space="preserve">submitted to the Center and referred to the relevant official institutions </w:t>
      </w:r>
      <w:r w:rsidR="00D05115" w:rsidRPr="00373592">
        <w:rPr>
          <w:rFonts w:asciiTheme="majorBidi" w:eastAsia="Calibri" w:hAnsiTheme="majorBidi" w:cstheme="majorBidi"/>
          <w:sz w:val="24"/>
          <w:szCs w:val="24"/>
          <w:lang w:bidi="ar-AE"/>
        </w:rPr>
        <w:t>h</w:t>
      </w:r>
      <w:r w:rsidR="00595EEA" w:rsidRPr="00373592">
        <w:rPr>
          <w:rFonts w:asciiTheme="majorBidi" w:eastAsia="Calibri" w:hAnsiTheme="majorBidi" w:cstheme="majorBidi"/>
          <w:sz w:val="24"/>
          <w:szCs w:val="24"/>
          <w:lang w:bidi="ar-AE"/>
        </w:rPr>
        <w:t>as</w:t>
      </w:r>
      <w:r w:rsidR="00D05115" w:rsidRPr="00373592">
        <w:rPr>
          <w:rFonts w:asciiTheme="majorBidi" w:eastAsia="Calibri" w:hAnsiTheme="majorBidi" w:cstheme="majorBidi"/>
          <w:sz w:val="24"/>
          <w:szCs w:val="24"/>
          <w:lang w:bidi="ar-AE"/>
        </w:rPr>
        <w:t xml:space="preserve"> some shortcomings</w:t>
      </w:r>
      <w:r w:rsidR="00595EEA" w:rsidRPr="00373592">
        <w:rPr>
          <w:rFonts w:asciiTheme="majorBidi" w:eastAsia="Calibri" w:hAnsiTheme="majorBidi" w:cstheme="majorBidi"/>
          <w:sz w:val="24"/>
          <w:szCs w:val="24"/>
          <w:lang w:bidi="ar-AE"/>
        </w:rPr>
        <w:t>, such as the lack of commitment by some official institution</w:t>
      </w:r>
      <w:r w:rsidR="00AA105E" w:rsidRPr="00373592">
        <w:rPr>
          <w:rFonts w:asciiTheme="majorBidi" w:eastAsia="Calibri" w:hAnsiTheme="majorBidi" w:cstheme="majorBidi"/>
          <w:sz w:val="24"/>
          <w:szCs w:val="24"/>
          <w:lang w:bidi="ar-AE"/>
        </w:rPr>
        <w:t>s</w:t>
      </w:r>
      <w:r w:rsidR="00595EEA" w:rsidRPr="00373592">
        <w:rPr>
          <w:rFonts w:asciiTheme="majorBidi" w:eastAsia="Calibri" w:hAnsiTheme="majorBidi" w:cstheme="majorBidi"/>
          <w:sz w:val="24"/>
          <w:szCs w:val="24"/>
          <w:lang w:bidi="ar-AE"/>
        </w:rPr>
        <w:t xml:space="preserve"> to responding</w:t>
      </w:r>
      <w:r w:rsidR="005125C0" w:rsidRPr="00373592">
        <w:rPr>
          <w:rFonts w:asciiTheme="majorBidi" w:eastAsia="Calibri" w:hAnsiTheme="majorBidi" w:cstheme="majorBidi"/>
          <w:sz w:val="24"/>
          <w:szCs w:val="24"/>
          <w:lang w:bidi="ar-AE"/>
        </w:rPr>
        <w:t xml:space="preserve"> </w:t>
      </w:r>
      <w:r w:rsidR="00D30DD3" w:rsidRPr="00373592">
        <w:rPr>
          <w:rFonts w:asciiTheme="majorBidi" w:eastAsia="Calibri" w:hAnsiTheme="majorBidi" w:cstheme="majorBidi"/>
          <w:sz w:val="24"/>
          <w:szCs w:val="24"/>
          <w:lang w:bidi="ar-AE"/>
        </w:rPr>
        <w:t xml:space="preserve">to the Center's correspondences, </w:t>
      </w:r>
      <w:r w:rsidR="00C662D6" w:rsidRPr="00373592">
        <w:rPr>
          <w:rFonts w:asciiTheme="majorBidi" w:eastAsia="Calibri" w:hAnsiTheme="majorBidi" w:cstheme="majorBidi"/>
          <w:sz w:val="24"/>
          <w:szCs w:val="24"/>
          <w:lang w:bidi="ar-JO"/>
        </w:rPr>
        <w:t xml:space="preserve">the delayed arrival of such responses, </w:t>
      </w:r>
      <w:r w:rsidR="00AA105E" w:rsidRPr="00373592">
        <w:rPr>
          <w:rFonts w:asciiTheme="majorBidi" w:eastAsia="Calibri" w:hAnsiTheme="majorBidi" w:cstheme="majorBidi"/>
          <w:sz w:val="24"/>
          <w:szCs w:val="24"/>
          <w:lang w:bidi="ar-JO"/>
        </w:rPr>
        <w:t xml:space="preserve"> </w:t>
      </w:r>
      <w:r w:rsidR="00D30DD3" w:rsidRPr="00373592">
        <w:rPr>
          <w:rFonts w:asciiTheme="majorBidi" w:eastAsia="Calibri" w:hAnsiTheme="majorBidi" w:cstheme="majorBidi"/>
          <w:sz w:val="24"/>
          <w:szCs w:val="24"/>
          <w:lang w:bidi="ar-JO"/>
        </w:rPr>
        <w:t xml:space="preserve"> or </w:t>
      </w:r>
      <w:r w:rsidR="004B0F29" w:rsidRPr="00373592">
        <w:rPr>
          <w:rFonts w:asciiTheme="majorBidi" w:eastAsia="Calibri" w:hAnsiTheme="majorBidi" w:cstheme="majorBidi"/>
          <w:sz w:val="24"/>
          <w:szCs w:val="24"/>
          <w:lang w:bidi="ar-JO"/>
        </w:rPr>
        <w:t>receiving partial response</w:t>
      </w:r>
      <w:r w:rsidR="007F05A0" w:rsidRPr="00373592">
        <w:rPr>
          <w:rFonts w:asciiTheme="majorBidi" w:eastAsia="Calibri" w:hAnsiTheme="majorBidi" w:cstheme="majorBidi"/>
          <w:sz w:val="24"/>
          <w:szCs w:val="24"/>
          <w:lang w:bidi="ar-JO"/>
        </w:rPr>
        <w:t>s</w:t>
      </w:r>
      <w:r w:rsidR="00D30DD3" w:rsidRPr="00373592">
        <w:rPr>
          <w:rFonts w:asciiTheme="majorBidi" w:eastAsia="Calibri" w:hAnsiTheme="majorBidi" w:cstheme="majorBidi"/>
          <w:sz w:val="24"/>
          <w:szCs w:val="24"/>
          <w:lang w:bidi="ar-JO"/>
        </w:rPr>
        <w:t>.</w:t>
      </w:r>
      <w:r w:rsidR="00067DFC" w:rsidRPr="00373592">
        <w:rPr>
          <w:rFonts w:asciiTheme="majorBidi" w:eastAsia="Calibri" w:hAnsiTheme="majorBidi" w:cstheme="majorBidi"/>
          <w:sz w:val="24"/>
          <w:szCs w:val="24"/>
          <w:lang w:bidi="ar-JO"/>
        </w:rPr>
        <w:t xml:space="preserve"> Key areas of poor </w:t>
      </w:r>
      <w:r w:rsidR="00304FD8" w:rsidRPr="00373592">
        <w:rPr>
          <w:rFonts w:asciiTheme="majorBidi" w:eastAsia="Calibri" w:hAnsiTheme="majorBidi" w:cstheme="majorBidi"/>
          <w:sz w:val="24"/>
          <w:szCs w:val="24"/>
          <w:lang w:bidi="ar-JO"/>
        </w:rPr>
        <w:t>response</w:t>
      </w:r>
      <w:r w:rsidR="00067DFC" w:rsidRPr="00373592">
        <w:rPr>
          <w:rFonts w:asciiTheme="majorBidi" w:eastAsia="Calibri" w:hAnsiTheme="majorBidi" w:cstheme="majorBidi"/>
          <w:sz w:val="24"/>
          <w:szCs w:val="24"/>
          <w:lang w:bidi="ar-JO"/>
        </w:rPr>
        <w:t xml:space="preserve"> are sometimes, </w:t>
      </w:r>
      <w:r w:rsidR="00B33479" w:rsidRPr="00373592">
        <w:rPr>
          <w:rFonts w:asciiTheme="majorBidi" w:eastAsia="Calibri" w:hAnsiTheme="majorBidi" w:cstheme="majorBidi"/>
          <w:sz w:val="24"/>
          <w:szCs w:val="24"/>
          <w:lang w:bidi="ar-JO"/>
        </w:rPr>
        <w:t>those relat</w:t>
      </w:r>
      <w:r w:rsidR="00304FD8" w:rsidRPr="00373592">
        <w:rPr>
          <w:rFonts w:asciiTheme="majorBidi" w:eastAsia="Calibri" w:hAnsiTheme="majorBidi" w:cstheme="majorBidi"/>
          <w:sz w:val="24"/>
          <w:szCs w:val="24"/>
          <w:lang w:bidi="ar-JO"/>
        </w:rPr>
        <w:t>ing</w:t>
      </w:r>
      <w:r w:rsidR="00B33479" w:rsidRPr="00373592">
        <w:rPr>
          <w:rFonts w:asciiTheme="majorBidi" w:eastAsia="Calibri" w:hAnsiTheme="majorBidi" w:cstheme="majorBidi"/>
          <w:sz w:val="24"/>
          <w:szCs w:val="24"/>
          <w:lang w:bidi="ar-JO"/>
        </w:rPr>
        <w:t xml:space="preserve"> to </w:t>
      </w:r>
      <w:r w:rsidR="00007042" w:rsidRPr="00373592">
        <w:rPr>
          <w:rFonts w:asciiTheme="majorBidi" w:eastAsia="Calibri" w:hAnsiTheme="majorBidi" w:cstheme="majorBidi"/>
          <w:sz w:val="24"/>
          <w:szCs w:val="24"/>
          <w:lang w:bidi="ar-JO"/>
        </w:rPr>
        <w:t>the achievement of a balance</w:t>
      </w:r>
      <w:r w:rsidR="00B33479" w:rsidRPr="00373592">
        <w:rPr>
          <w:rFonts w:asciiTheme="majorBidi" w:eastAsia="Calibri" w:hAnsiTheme="majorBidi" w:cstheme="majorBidi"/>
          <w:sz w:val="24"/>
          <w:szCs w:val="24"/>
          <w:lang w:bidi="ar-JO"/>
        </w:rPr>
        <w:t xml:space="preserve"> </w:t>
      </w:r>
      <w:r w:rsidR="009C3AC2" w:rsidRPr="00373592">
        <w:rPr>
          <w:rFonts w:asciiTheme="majorBidi" w:eastAsia="Calibri" w:hAnsiTheme="majorBidi" w:cstheme="majorBidi"/>
          <w:sz w:val="24"/>
          <w:szCs w:val="24"/>
          <w:lang w:bidi="ar-JO"/>
        </w:rPr>
        <w:t>between</w:t>
      </w:r>
      <w:r w:rsidR="00B33479" w:rsidRPr="00373592">
        <w:rPr>
          <w:rFonts w:asciiTheme="majorBidi" w:eastAsia="Calibri" w:hAnsiTheme="majorBidi" w:cstheme="majorBidi"/>
          <w:sz w:val="24"/>
          <w:szCs w:val="24"/>
          <w:lang w:bidi="ar-JO"/>
        </w:rPr>
        <w:t xml:space="preserve"> national security considerations and respect for human rights.</w:t>
      </w:r>
      <w:r w:rsidR="00304FD8" w:rsidRPr="00373592">
        <w:rPr>
          <w:rFonts w:asciiTheme="majorBidi" w:eastAsia="Calibri" w:hAnsiTheme="majorBidi" w:cstheme="majorBidi"/>
          <w:sz w:val="24"/>
          <w:szCs w:val="24"/>
          <w:lang w:bidi="ar-JO"/>
        </w:rPr>
        <w:t xml:space="preserve"> As</w:t>
      </w:r>
      <w:r w:rsidR="00B33479" w:rsidRPr="00373592">
        <w:rPr>
          <w:rFonts w:asciiTheme="majorBidi" w:eastAsia="Calibri" w:hAnsiTheme="majorBidi" w:cstheme="majorBidi"/>
          <w:sz w:val="24"/>
          <w:szCs w:val="24"/>
          <w:lang w:bidi="ar-JO"/>
        </w:rPr>
        <w:t xml:space="preserve"> a result, combating terrorism and extremism </w:t>
      </w:r>
      <w:r w:rsidR="00304FD8" w:rsidRPr="00373592">
        <w:rPr>
          <w:rFonts w:asciiTheme="majorBidi" w:eastAsia="Calibri" w:hAnsiTheme="majorBidi" w:cstheme="majorBidi"/>
          <w:sz w:val="24"/>
          <w:szCs w:val="24"/>
          <w:lang w:bidi="ar-JO"/>
        </w:rPr>
        <w:t>has</w:t>
      </w:r>
      <w:r w:rsidR="00B33479" w:rsidRPr="00373592">
        <w:rPr>
          <w:rFonts w:asciiTheme="majorBidi" w:eastAsia="Calibri" w:hAnsiTheme="majorBidi" w:cstheme="majorBidi"/>
          <w:sz w:val="24"/>
          <w:szCs w:val="24"/>
          <w:lang w:bidi="ar-JO"/>
        </w:rPr>
        <w:t xml:space="preserve"> become a serious challenge to guaranteeing the right to freedom of opinion and expression, and to the right to respect for privacy</w:t>
      </w:r>
      <w:r w:rsidR="00C70D78">
        <w:rPr>
          <w:rFonts w:asciiTheme="majorBidi" w:eastAsia="Calibri" w:hAnsiTheme="majorBidi" w:cstheme="majorBidi"/>
          <w:sz w:val="24"/>
          <w:szCs w:val="24"/>
          <w:lang w:bidi="ar-JO"/>
        </w:rPr>
        <w:t xml:space="preserve">. </w:t>
      </w:r>
      <w:r w:rsidR="00C1025F" w:rsidRPr="00373592">
        <w:rPr>
          <w:rFonts w:asciiTheme="majorBidi" w:eastAsia="Calibri" w:hAnsiTheme="majorBidi" w:cstheme="majorBidi"/>
          <w:sz w:val="24"/>
          <w:szCs w:val="24"/>
          <w:lang w:bidi="ar-JO"/>
        </w:rPr>
        <w:t xml:space="preserve"> </w:t>
      </w:r>
      <w:r w:rsidR="00C70D78">
        <w:rPr>
          <w:rFonts w:asciiTheme="majorBidi" w:eastAsia="Calibri" w:hAnsiTheme="majorBidi" w:cstheme="majorBidi"/>
          <w:sz w:val="24"/>
          <w:szCs w:val="24"/>
          <w:lang w:bidi="ar-JO"/>
        </w:rPr>
        <w:t>On the other hand, t</w:t>
      </w:r>
      <w:r w:rsidR="00B33479" w:rsidRPr="00373592">
        <w:rPr>
          <w:rFonts w:asciiTheme="majorBidi" w:eastAsia="Calibri" w:hAnsiTheme="majorBidi" w:cstheme="majorBidi"/>
          <w:sz w:val="24"/>
          <w:szCs w:val="24"/>
          <w:lang w:bidi="ar-JO"/>
        </w:rPr>
        <w:t>here is an increase in complaints of torture and ill-</w:t>
      </w:r>
      <w:r w:rsidR="00E260A0" w:rsidRPr="00373592">
        <w:rPr>
          <w:rFonts w:asciiTheme="majorBidi" w:eastAsia="Calibri" w:hAnsiTheme="majorBidi" w:cstheme="majorBidi"/>
          <w:sz w:val="24"/>
          <w:szCs w:val="24"/>
          <w:lang w:bidi="ar-JO"/>
        </w:rPr>
        <w:t>treatment;</w:t>
      </w:r>
      <w:r w:rsidR="00C203CB" w:rsidRPr="00373592">
        <w:rPr>
          <w:rFonts w:asciiTheme="majorBidi" w:eastAsia="Calibri" w:hAnsiTheme="majorBidi" w:cstheme="majorBidi"/>
          <w:sz w:val="24"/>
          <w:szCs w:val="24"/>
          <w:lang w:bidi="ar-JO"/>
        </w:rPr>
        <w:t xml:space="preserve"> this is in addition </w:t>
      </w:r>
      <w:r w:rsidR="00230BDC" w:rsidRPr="00373592">
        <w:rPr>
          <w:rFonts w:asciiTheme="majorBidi" w:eastAsia="Calibri" w:hAnsiTheme="majorBidi" w:cstheme="majorBidi"/>
          <w:sz w:val="24"/>
          <w:szCs w:val="24"/>
          <w:lang w:bidi="ar-JO"/>
        </w:rPr>
        <w:t>to the</w:t>
      </w:r>
      <w:r w:rsidR="00C203CB" w:rsidRPr="00373592">
        <w:rPr>
          <w:rFonts w:asciiTheme="majorBidi" w:eastAsia="Calibri" w:hAnsiTheme="majorBidi" w:cstheme="majorBidi"/>
          <w:sz w:val="24"/>
          <w:szCs w:val="24"/>
          <w:lang w:bidi="ar-JO"/>
        </w:rPr>
        <w:t xml:space="preserve"> nonobservance of the fair trail guarantees, as the Center noted, through monitoring prisons and temporary detention facilities, that there are cases, albeit in limited numbers, indicate that this had occurred.  </w:t>
      </w:r>
      <w:r w:rsidR="00B33479" w:rsidRPr="00373592">
        <w:rPr>
          <w:rFonts w:asciiTheme="majorBidi" w:eastAsia="Calibri" w:hAnsiTheme="majorBidi" w:cstheme="majorBidi"/>
          <w:sz w:val="24"/>
          <w:szCs w:val="24"/>
          <w:lang w:bidi="ar-JO"/>
        </w:rPr>
        <w:t xml:space="preserve"> </w:t>
      </w:r>
      <w:r w:rsidR="00C203CB" w:rsidRPr="00373592">
        <w:rPr>
          <w:rFonts w:asciiTheme="majorBidi" w:eastAsia="Calibri" w:hAnsiTheme="majorBidi" w:cstheme="majorBidi"/>
          <w:sz w:val="24"/>
          <w:szCs w:val="24"/>
          <w:lang w:bidi="ar-JO"/>
        </w:rPr>
        <w:t>Nonetheless, it needs to be stressed that such cases are limited and do not constitute a common</w:t>
      </w:r>
      <w:r w:rsidR="00014F93" w:rsidRPr="00373592">
        <w:rPr>
          <w:rFonts w:asciiTheme="majorBidi" w:eastAsia="Calibri" w:hAnsiTheme="majorBidi" w:cstheme="majorBidi"/>
          <w:sz w:val="24"/>
          <w:szCs w:val="24"/>
          <w:lang w:bidi="ar-JO"/>
        </w:rPr>
        <w:t xml:space="preserve"> and </w:t>
      </w:r>
      <w:r w:rsidR="00A050EC" w:rsidRPr="00373592">
        <w:rPr>
          <w:rFonts w:asciiTheme="majorBidi" w:eastAsia="Calibri" w:hAnsiTheme="majorBidi" w:cstheme="majorBidi"/>
          <w:sz w:val="24"/>
          <w:szCs w:val="24"/>
          <w:lang w:bidi="ar-JO"/>
        </w:rPr>
        <w:t>systematic practice</w:t>
      </w:r>
      <w:r w:rsidR="00C203CB" w:rsidRPr="00373592">
        <w:rPr>
          <w:rFonts w:asciiTheme="majorBidi" w:eastAsia="Calibri" w:hAnsiTheme="majorBidi" w:cstheme="majorBidi"/>
          <w:sz w:val="24"/>
          <w:szCs w:val="24"/>
          <w:lang w:bidi="ar-JO"/>
        </w:rPr>
        <w:t xml:space="preserve"> or an approach </w:t>
      </w:r>
      <w:r w:rsidR="00014F93" w:rsidRPr="00373592">
        <w:rPr>
          <w:rFonts w:asciiTheme="majorBidi" w:eastAsia="Calibri" w:hAnsiTheme="majorBidi" w:cstheme="majorBidi"/>
          <w:sz w:val="24"/>
          <w:szCs w:val="24"/>
          <w:lang w:bidi="ar-JO"/>
        </w:rPr>
        <w:t>of security institutions, which have</w:t>
      </w:r>
      <w:r w:rsidR="00014F93" w:rsidRPr="00373592">
        <w:t xml:space="preserve"> </w:t>
      </w:r>
      <w:r w:rsidR="00014F93" w:rsidRPr="00373592">
        <w:rPr>
          <w:rFonts w:asciiTheme="majorBidi" w:eastAsia="Calibri" w:hAnsiTheme="majorBidi" w:cstheme="majorBidi"/>
          <w:sz w:val="24"/>
          <w:szCs w:val="24"/>
          <w:lang w:bidi="ar-JO"/>
        </w:rPr>
        <w:t xml:space="preserve">taken, in many cases, decisive measures to hold the perpetrators </w:t>
      </w:r>
      <w:r w:rsidR="00230BDC" w:rsidRPr="00373592">
        <w:rPr>
          <w:rFonts w:asciiTheme="majorBidi" w:eastAsia="Calibri" w:hAnsiTheme="majorBidi" w:cstheme="majorBidi"/>
          <w:sz w:val="24"/>
          <w:szCs w:val="24"/>
          <w:lang w:bidi="ar-JO"/>
        </w:rPr>
        <w:t xml:space="preserve">accountable. These procedures, however, </w:t>
      </w:r>
      <w:r w:rsidR="005C1F57">
        <w:rPr>
          <w:rFonts w:asciiTheme="majorBidi" w:eastAsia="Calibri" w:hAnsiTheme="majorBidi" w:cstheme="majorBidi"/>
          <w:sz w:val="24"/>
          <w:szCs w:val="24"/>
          <w:lang w:bidi="ar-JO"/>
        </w:rPr>
        <w:t>suffer</w:t>
      </w:r>
      <w:r w:rsidR="004C2B42" w:rsidRPr="00373592">
        <w:rPr>
          <w:rFonts w:asciiTheme="majorBidi" w:eastAsia="Calibri" w:hAnsiTheme="majorBidi" w:cstheme="majorBidi"/>
          <w:sz w:val="24"/>
          <w:szCs w:val="24"/>
          <w:lang w:bidi="ar-JO"/>
        </w:rPr>
        <w:t xml:space="preserve"> </w:t>
      </w:r>
      <w:r w:rsidR="005C1F57">
        <w:rPr>
          <w:rFonts w:asciiTheme="majorBidi" w:eastAsia="Calibri" w:hAnsiTheme="majorBidi" w:cstheme="majorBidi"/>
          <w:sz w:val="24"/>
          <w:szCs w:val="24"/>
          <w:lang w:bidi="ar-JO"/>
        </w:rPr>
        <w:t>from</w:t>
      </w:r>
      <w:r w:rsidR="005C1F57" w:rsidRPr="00373592">
        <w:rPr>
          <w:rFonts w:asciiTheme="majorBidi" w:eastAsia="Calibri" w:hAnsiTheme="majorBidi" w:cstheme="majorBidi"/>
          <w:sz w:val="24"/>
          <w:szCs w:val="24"/>
          <w:lang w:bidi="ar-JO"/>
        </w:rPr>
        <w:t xml:space="preserve"> the</w:t>
      </w:r>
      <w:r w:rsidR="004C2B42" w:rsidRPr="00373592">
        <w:rPr>
          <w:rFonts w:asciiTheme="majorBidi" w:eastAsia="Calibri" w:hAnsiTheme="majorBidi" w:cstheme="majorBidi"/>
          <w:sz w:val="24"/>
          <w:szCs w:val="24"/>
          <w:lang w:bidi="ar-JO"/>
        </w:rPr>
        <w:t xml:space="preserve"> fact that they are being done by a judicial body within </w:t>
      </w:r>
      <w:r w:rsidR="00C3622F" w:rsidRPr="00373592">
        <w:rPr>
          <w:rFonts w:asciiTheme="majorBidi" w:eastAsia="Calibri" w:hAnsiTheme="majorBidi" w:cstheme="majorBidi"/>
          <w:sz w:val="24"/>
          <w:szCs w:val="24"/>
          <w:lang w:bidi="ar-JO"/>
        </w:rPr>
        <w:t>a</w:t>
      </w:r>
      <w:r w:rsidR="004C2B42" w:rsidRPr="00373592">
        <w:rPr>
          <w:rFonts w:asciiTheme="majorBidi" w:eastAsia="Calibri" w:hAnsiTheme="majorBidi" w:cstheme="majorBidi"/>
          <w:sz w:val="24"/>
          <w:szCs w:val="24"/>
          <w:lang w:bidi="ar-JO"/>
        </w:rPr>
        <w:t xml:space="preserve"> system </w:t>
      </w:r>
      <w:r w:rsidR="004C2B42" w:rsidRPr="00373592">
        <w:rPr>
          <w:rFonts w:asciiTheme="majorBidi" w:hAnsiTheme="majorBidi" w:cstheme="majorBidi"/>
          <w:sz w:val="24"/>
          <w:szCs w:val="24"/>
          <w:lang w:bidi="ar-JO"/>
        </w:rPr>
        <w:t xml:space="preserve">which </w:t>
      </w:r>
      <w:r w:rsidR="00B07126">
        <w:rPr>
          <w:rFonts w:asciiTheme="majorBidi" w:hAnsiTheme="majorBidi" w:cstheme="majorBidi"/>
          <w:sz w:val="24"/>
          <w:szCs w:val="24"/>
          <w:lang w:bidi="ar-JO"/>
        </w:rPr>
        <w:t>serves as</w:t>
      </w:r>
      <w:r w:rsidR="004C2B42" w:rsidRPr="00373592">
        <w:rPr>
          <w:rFonts w:asciiTheme="majorBidi" w:hAnsiTheme="majorBidi" w:cstheme="majorBidi"/>
          <w:sz w:val="24"/>
          <w:szCs w:val="24"/>
          <w:lang w:bidi="ar-JO"/>
        </w:rPr>
        <w:t xml:space="preserve"> both </w:t>
      </w:r>
      <w:hyperlink r:id="rId10" w:history="1">
        <w:r w:rsidR="004C2B42" w:rsidRPr="00373592">
          <w:rPr>
            <w:rFonts w:asciiTheme="majorBidi" w:hAnsiTheme="majorBidi" w:cstheme="majorBidi"/>
            <w:sz w:val="24"/>
            <w:szCs w:val="24"/>
            <w:lang w:bidi="ar-JO"/>
          </w:rPr>
          <w:t>judge and interested party</w:t>
        </w:r>
      </w:hyperlink>
      <w:r w:rsidR="00B07126">
        <w:rPr>
          <w:rFonts w:asciiTheme="majorBidi" w:eastAsia="Calibri" w:hAnsiTheme="majorBidi" w:cstheme="majorBidi"/>
          <w:sz w:val="24"/>
          <w:szCs w:val="24"/>
          <w:lang w:bidi="ar-JO"/>
        </w:rPr>
        <w:t>.</w:t>
      </w:r>
    </w:p>
    <w:p w:rsidR="00331EDC" w:rsidRPr="000C5899" w:rsidRDefault="00331EDC" w:rsidP="00014F93">
      <w:pPr>
        <w:suppressAutoHyphens/>
        <w:spacing w:after="120" w:line="240" w:lineRule="atLeast"/>
        <w:ind w:right="-426"/>
        <w:jc w:val="both"/>
        <w:rPr>
          <w:rFonts w:asciiTheme="majorBidi" w:eastAsia="Calibri" w:hAnsiTheme="majorBidi" w:cstheme="majorBidi"/>
          <w:b/>
          <w:bCs/>
          <w:sz w:val="24"/>
          <w:szCs w:val="24"/>
          <w:rtl/>
          <w:lang w:bidi="ar-JO"/>
        </w:rPr>
      </w:pPr>
    </w:p>
    <w:p w:rsidR="00331EDC" w:rsidRPr="00373592" w:rsidRDefault="00331EDC" w:rsidP="00442CA6">
      <w:pPr>
        <w:suppressAutoHyphens/>
        <w:bidi w:val="0"/>
        <w:spacing w:after="120" w:line="240" w:lineRule="atLeast"/>
        <w:ind w:right="116"/>
        <w:jc w:val="both"/>
        <w:rPr>
          <w:rFonts w:asciiTheme="majorBidi" w:eastAsia="Calibri" w:hAnsiTheme="majorBidi" w:cstheme="majorBidi"/>
          <w:b/>
          <w:bCs/>
          <w:sz w:val="24"/>
          <w:szCs w:val="24"/>
          <w:rtl/>
          <w:lang w:bidi="ar-JO"/>
        </w:rPr>
      </w:pPr>
      <w:r w:rsidRPr="00373592">
        <w:rPr>
          <w:rFonts w:asciiTheme="majorBidi" w:eastAsia="Times New Roman" w:hAnsiTheme="majorBidi" w:cstheme="majorBidi"/>
          <w:b/>
          <w:bCs/>
          <w:sz w:val="24"/>
          <w:szCs w:val="24"/>
        </w:rPr>
        <w:lastRenderedPageBreak/>
        <w:t>(NCHR)  response to the Human Rights Committee List of issues in relation to the fifth periodic report of Jordan</w:t>
      </w:r>
    </w:p>
    <w:p w:rsidR="00564675" w:rsidRPr="00373592" w:rsidRDefault="007B3508" w:rsidP="00442CA6">
      <w:pPr>
        <w:pStyle w:val="H1G"/>
        <w:ind w:left="0" w:right="26" w:firstLine="0"/>
        <w:jc w:val="both"/>
        <w:rPr>
          <w:rFonts w:asciiTheme="majorBidi" w:eastAsia="MS Mincho" w:hAnsiTheme="majorBidi" w:cstheme="majorBidi"/>
          <w:szCs w:val="24"/>
          <w:rtl/>
        </w:rPr>
      </w:pPr>
      <w:r w:rsidRPr="00373592">
        <w:rPr>
          <w:rFonts w:asciiTheme="majorBidi" w:eastAsia="MS Mincho" w:hAnsiTheme="majorBidi" w:cstheme="majorBidi"/>
          <w:szCs w:val="24"/>
        </w:rPr>
        <w:t>Constitutional and legal framewo</w:t>
      </w:r>
      <w:r w:rsidR="00C537D1" w:rsidRPr="00373592">
        <w:rPr>
          <w:rFonts w:asciiTheme="majorBidi" w:eastAsia="MS Mincho" w:hAnsiTheme="majorBidi" w:cstheme="majorBidi"/>
          <w:szCs w:val="24"/>
        </w:rPr>
        <w:t xml:space="preserve">rk within which the Covenant is </w:t>
      </w:r>
      <w:r w:rsidRPr="00373592">
        <w:rPr>
          <w:rFonts w:asciiTheme="majorBidi" w:eastAsia="MS Mincho" w:hAnsiTheme="majorBidi" w:cstheme="majorBidi"/>
          <w:szCs w:val="24"/>
        </w:rPr>
        <w:t>implemented (art. 2)</w:t>
      </w:r>
    </w:p>
    <w:p w:rsidR="00792E4A" w:rsidRPr="00373592" w:rsidRDefault="00E817CD" w:rsidP="00CA7A36">
      <w:pPr>
        <w:pStyle w:val="ListParagraph"/>
        <w:numPr>
          <w:ilvl w:val="0"/>
          <w:numId w:val="13"/>
        </w:numPr>
        <w:suppressAutoHyphens/>
        <w:bidi w:val="0"/>
        <w:spacing w:after="120" w:line="240" w:lineRule="atLeast"/>
        <w:ind w:right="26"/>
        <w:jc w:val="both"/>
        <w:rPr>
          <w:rFonts w:asciiTheme="majorBidi" w:eastAsia="Calibri" w:hAnsiTheme="majorBidi" w:cstheme="majorBidi"/>
          <w:lang w:bidi="ar-JO"/>
        </w:rPr>
      </w:pPr>
      <w:r>
        <w:rPr>
          <w:rFonts w:asciiTheme="majorBidi" w:eastAsia="Calibri" w:hAnsiTheme="majorBidi" w:cstheme="majorBidi"/>
          <w:lang w:bidi="ar-JO"/>
        </w:rPr>
        <w:t>There is</w:t>
      </w:r>
      <w:r w:rsidRPr="00373592">
        <w:rPr>
          <w:rFonts w:asciiTheme="majorBidi" w:eastAsia="Calibri" w:hAnsiTheme="majorBidi" w:cstheme="majorBidi"/>
          <w:lang w:bidi="ar-JO"/>
        </w:rPr>
        <w:t xml:space="preserve"> </w:t>
      </w:r>
      <w:r>
        <w:rPr>
          <w:rFonts w:asciiTheme="majorBidi" w:eastAsia="Calibri" w:hAnsiTheme="majorBidi" w:cstheme="majorBidi"/>
          <w:lang w:bidi="ar-JO"/>
        </w:rPr>
        <w:t xml:space="preserve">a </w:t>
      </w:r>
      <w:r w:rsidRPr="00373592">
        <w:rPr>
          <w:rFonts w:asciiTheme="majorBidi" w:eastAsia="Calibri" w:hAnsiTheme="majorBidi" w:cstheme="majorBidi"/>
          <w:lang w:bidi="ar-JO"/>
        </w:rPr>
        <w:t>limited application of the provisions of the ICCPR in the domestic courts</w:t>
      </w:r>
      <w:r>
        <w:rPr>
          <w:rFonts w:asciiTheme="majorBidi" w:eastAsia="Calibri" w:hAnsiTheme="majorBidi" w:cstheme="majorBidi"/>
          <w:lang w:bidi="ar-JO"/>
        </w:rPr>
        <w:t>. This is</w:t>
      </w:r>
      <w:r w:rsidRPr="00373592">
        <w:rPr>
          <w:rFonts w:asciiTheme="majorBidi" w:eastAsia="Calibri" w:hAnsiTheme="majorBidi" w:cstheme="majorBidi"/>
          <w:lang w:bidi="ar-JO"/>
        </w:rPr>
        <w:t xml:space="preserve"> </w:t>
      </w:r>
      <w:r>
        <w:rPr>
          <w:rFonts w:asciiTheme="majorBidi" w:eastAsia="Calibri" w:hAnsiTheme="majorBidi" w:cstheme="majorBidi"/>
          <w:lang w:bidi="ar-JO"/>
        </w:rPr>
        <w:t>d</w:t>
      </w:r>
      <w:r w:rsidR="00D36145" w:rsidRPr="00373592">
        <w:rPr>
          <w:rFonts w:asciiTheme="majorBidi" w:eastAsia="Calibri" w:hAnsiTheme="majorBidi" w:cstheme="majorBidi"/>
          <w:lang w:bidi="ar-JO"/>
        </w:rPr>
        <w:t>espite the publication of the core human rights conventions ratified by Jordan in the Official Gazette in 21/6/2006, thus making them part of the national legal system</w:t>
      </w:r>
      <w:r w:rsidR="00D36145">
        <w:rPr>
          <w:rFonts w:asciiTheme="majorBidi" w:eastAsia="Calibri" w:hAnsiTheme="majorBidi" w:cstheme="majorBidi"/>
          <w:lang w:bidi="ar-JO"/>
        </w:rPr>
        <w:t xml:space="preserve">, </w:t>
      </w:r>
      <w:r w:rsidR="00D36145" w:rsidRPr="00373592">
        <w:rPr>
          <w:rFonts w:asciiTheme="majorBidi" w:eastAsia="Calibri" w:hAnsiTheme="majorBidi" w:cstheme="majorBidi"/>
          <w:lang w:bidi="ar-JO"/>
        </w:rPr>
        <w:t xml:space="preserve">and the Jordanian </w:t>
      </w:r>
      <w:r w:rsidR="00606EC3">
        <w:rPr>
          <w:rFonts w:asciiTheme="majorBidi" w:eastAsia="Calibri" w:hAnsiTheme="majorBidi" w:cstheme="majorBidi"/>
          <w:lang w:bidi="ar-JO"/>
        </w:rPr>
        <w:t xml:space="preserve">Court of </w:t>
      </w:r>
      <w:r w:rsidR="00D36145" w:rsidRPr="00373592">
        <w:rPr>
          <w:rFonts w:asciiTheme="majorBidi" w:eastAsia="Calibri" w:hAnsiTheme="majorBidi" w:cstheme="majorBidi"/>
          <w:lang w:bidi="ar-JO"/>
        </w:rPr>
        <w:t xml:space="preserve">Cassation </w:t>
      </w:r>
      <w:r w:rsidR="00CA7A36">
        <w:rPr>
          <w:rFonts w:asciiTheme="majorBidi" w:eastAsia="Calibri" w:hAnsiTheme="majorBidi" w:cstheme="majorBidi"/>
          <w:lang w:bidi="ar-JO"/>
        </w:rPr>
        <w:t>case-law</w:t>
      </w:r>
      <w:r w:rsidR="00D36145" w:rsidRPr="00373592">
        <w:rPr>
          <w:rFonts w:asciiTheme="majorBidi" w:eastAsia="Calibri" w:hAnsiTheme="majorBidi" w:cstheme="majorBidi"/>
          <w:lang w:bidi="ar-JO"/>
        </w:rPr>
        <w:t>, which has established that international conventions take precedence over domestic law and that they have priority of application in the event of any incompatibility</w:t>
      </w:r>
      <w:r>
        <w:rPr>
          <w:rFonts w:asciiTheme="majorBidi" w:eastAsia="Calibri" w:hAnsiTheme="majorBidi" w:cstheme="majorBidi"/>
          <w:lang w:bidi="ar-JO"/>
        </w:rPr>
        <w:t>.</w:t>
      </w:r>
      <w:r w:rsidR="00D36145">
        <w:rPr>
          <w:rFonts w:asciiTheme="majorBidi" w:eastAsia="Calibri" w:hAnsiTheme="majorBidi" w:cstheme="majorBidi"/>
          <w:lang w:bidi="ar-JO"/>
        </w:rPr>
        <w:t xml:space="preserve"> </w:t>
      </w:r>
      <w:r w:rsidR="00D36145" w:rsidRPr="00373592">
        <w:rPr>
          <w:rFonts w:asciiTheme="majorBidi" w:eastAsia="Calibri" w:hAnsiTheme="majorBidi" w:cstheme="majorBidi"/>
          <w:lang w:bidi="ar-JO"/>
        </w:rPr>
        <w:t>The</w:t>
      </w:r>
      <w:r w:rsidR="00626A51" w:rsidRPr="00373592">
        <w:rPr>
          <w:rFonts w:asciiTheme="majorBidi" w:eastAsia="Calibri" w:hAnsiTheme="majorBidi" w:cstheme="majorBidi"/>
          <w:lang w:bidi="ar-JO"/>
        </w:rPr>
        <w:t xml:space="preserve"> </w:t>
      </w:r>
      <w:r w:rsidR="008258AA" w:rsidRPr="00373592">
        <w:rPr>
          <w:rFonts w:asciiTheme="majorBidi" w:eastAsia="Calibri" w:hAnsiTheme="majorBidi" w:cstheme="majorBidi"/>
          <w:lang w:bidi="ar-JO"/>
        </w:rPr>
        <w:t xml:space="preserve">level of </w:t>
      </w:r>
      <w:r w:rsidR="00626A51" w:rsidRPr="00373592">
        <w:rPr>
          <w:rFonts w:asciiTheme="majorBidi" w:eastAsia="Calibri" w:hAnsiTheme="majorBidi" w:cstheme="majorBidi"/>
          <w:lang w:bidi="ar-JO"/>
        </w:rPr>
        <w:t xml:space="preserve">application </w:t>
      </w:r>
      <w:r w:rsidR="00FE02A9" w:rsidRPr="00373592">
        <w:rPr>
          <w:rFonts w:asciiTheme="majorBidi" w:eastAsia="Calibri" w:hAnsiTheme="majorBidi" w:cstheme="majorBidi"/>
          <w:lang w:bidi="ar-JO"/>
        </w:rPr>
        <w:t xml:space="preserve">of the provisions of the ICCPR </w:t>
      </w:r>
      <w:r w:rsidR="008E0704" w:rsidRPr="00373592">
        <w:rPr>
          <w:rFonts w:asciiTheme="majorBidi" w:eastAsia="Calibri" w:hAnsiTheme="majorBidi" w:cstheme="majorBidi"/>
          <w:lang w:bidi="ar-JO"/>
        </w:rPr>
        <w:t xml:space="preserve">in the Jordanian </w:t>
      </w:r>
      <w:r w:rsidR="009A4191" w:rsidRPr="00373592">
        <w:rPr>
          <w:rFonts w:asciiTheme="majorBidi" w:eastAsia="Calibri" w:hAnsiTheme="majorBidi" w:cstheme="majorBidi"/>
          <w:lang w:bidi="ar-JO"/>
        </w:rPr>
        <w:t>courts</w:t>
      </w:r>
      <w:r w:rsidR="00626A51" w:rsidRPr="00373592">
        <w:rPr>
          <w:rFonts w:asciiTheme="majorBidi" w:eastAsia="Calibri" w:hAnsiTheme="majorBidi" w:cstheme="majorBidi"/>
          <w:lang w:bidi="ar-JO"/>
        </w:rPr>
        <w:t xml:space="preserve"> </w:t>
      </w:r>
      <w:r w:rsidR="00FE02A9" w:rsidRPr="00373592">
        <w:rPr>
          <w:rFonts w:asciiTheme="majorBidi" w:eastAsia="Calibri" w:hAnsiTheme="majorBidi" w:cstheme="majorBidi"/>
          <w:lang w:bidi="ar-JO"/>
        </w:rPr>
        <w:t xml:space="preserve">is </w:t>
      </w:r>
      <w:r w:rsidR="00D76D1A" w:rsidRPr="00373592">
        <w:rPr>
          <w:rFonts w:asciiTheme="majorBidi" w:eastAsia="Calibri" w:hAnsiTheme="majorBidi" w:cstheme="majorBidi"/>
          <w:lang w:bidi="ar-JO"/>
        </w:rPr>
        <w:t xml:space="preserve">either </w:t>
      </w:r>
      <w:r w:rsidR="00FE02A9" w:rsidRPr="00373592">
        <w:rPr>
          <w:rFonts w:asciiTheme="majorBidi" w:eastAsia="Calibri" w:hAnsiTheme="majorBidi" w:cstheme="majorBidi"/>
          <w:lang w:bidi="ar-JO"/>
        </w:rPr>
        <w:t xml:space="preserve">very limited </w:t>
      </w:r>
      <w:r w:rsidR="00D76D1A" w:rsidRPr="00373592">
        <w:rPr>
          <w:rFonts w:asciiTheme="majorBidi" w:eastAsia="Calibri" w:hAnsiTheme="majorBidi" w:cstheme="majorBidi"/>
          <w:lang w:bidi="ar-JO"/>
        </w:rPr>
        <w:t>or</w:t>
      </w:r>
      <w:r w:rsidR="00FE02A9" w:rsidRPr="00373592">
        <w:rPr>
          <w:rFonts w:asciiTheme="majorBidi" w:eastAsia="Calibri" w:hAnsiTheme="majorBidi" w:cstheme="majorBidi"/>
          <w:lang w:bidi="ar-JO"/>
        </w:rPr>
        <w:t xml:space="preserve"> rare</w:t>
      </w:r>
      <w:r w:rsidR="00F911FE" w:rsidRPr="00373592">
        <w:rPr>
          <w:rFonts w:asciiTheme="majorBidi" w:eastAsia="Calibri" w:hAnsiTheme="majorBidi" w:cstheme="majorBidi"/>
          <w:lang w:bidi="ar-JO"/>
        </w:rPr>
        <w:t xml:space="preserve">. </w:t>
      </w:r>
      <w:r w:rsidR="00792E4A" w:rsidRPr="00373592">
        <w:rPr>
          <w:rFonts w:asciiTheme="majorBidi" w:eastAsia="Calibri" w:hAnsiTheme="majorBidi" w:cstheme="majorBidi"/>
          <w:lang w:bidi="ar-JO"/>
        </w:rPr>
        <w:t>Except for</w:t>
      </w:r>
      <w:r w:rsidR="008E0704" w:rsidRPr="00373592">
        <w:rPr>
          <w:rFonts w:asciiTheme="majorBidi" w:eastAsia="Calibri" w:hAnsiTheme="majorBidi" w:cstheme="majorBidi"/>
          <w:lang w:bidi="ar-JO"/>
        </w:rPr>
        <w:t xml:space="preserve"> </w:t>
      </w:r>
      <w:r w:rsidR="006A5473" w:rsidRPr="00373592">
        <w:rPr>
          <w:rFonts w:asciiTheme="majorBidi" w:eastAsia="Calibri" w:hAnsiTheme="majorBidi" w:cstheme="majorBidi"/>
          <w:lang w:bidi="ar-JO"/>
        </w:rPr>
        <w:t xml:space="preserve">the </w:t>
      </w:r>
      <w:r w:rsidR="008E0704" w:rsidRPr="00373592">
        <w:rPr>
          <w:rFonts w:asciiTheme="majorBidi" w:eastAsia="Calibri" w:hAnsiTheme="majorBidi" w:cstheme="majorBidi"/>
          <w:lang w:bidi="ar-JO"/>
        </w:rPr>
        <w:t xml:space="preserve">issuance of Amman </w:t>
      </w:r>
      <w:r w:rsidR="00D43398" w:rsidRPr="00373592">
        <w:rPr>
          <w:rFonts w:asciiTheme="majorBidi" w:eastAsia="Calibri" w:hAnsiTheme="majorBidi" w:cstheme="majorBidi"/>
          <w:lang w:bidi="ar-JO"/>
        </w:rPr>
        <w:t>Implementation</w:t>
      </w:r>
      <w:r w:rsidR="008E0704" w:rsidRPr="00373592">
        <w:rPr>
          <w:rFonts w:asciiTheme="majorBidi" w:eastAsia="Calibri" w:hAnsiTheme="majorBidi" w:cstheme="majorBidi"/>
          <w:lang w:bidi="ar-JO"/>
        </w:rPr>
        <w:t xml:space="preserve"> Judge </w:t>
      </w:r>
      <w:r w:rsidR="006A5473" w:rsidRPr="00373592">
        <w:rPr>
          <w:rFonts w:asciiTheme="majorBidi" w:eastAsia="Calibri" w:hAnsiTheme="majorBidi" w:cstheme="majorBidi"/>
          <w:lang w:bidi="ar-JO"/>
        </w:rPr>
        <w:t>decision</w:t>
      </w:r>
      <w:r w:rsidR="00792E4A" w:rsidRPr="00373592">
        <w:rPr>
          <w:rFonts w:asciiTheme="majorBidi" w:eastAsia="Calibri" w:hAnsiTheme="majorBidi" w:cstheme="majorBidi"/>
          <w:lang w:bidi="ar-JO"/>
        </w:rPr>
        <w:t xml:space="preserve"> on </w:t>
      </w:r>
      <w:r w:rsidR="0044596E" w:rsidRPr="00373592">
        <w:rPr>
          <w:rFonts w:asciiTheme="majorBidi" w:eastAsia="Calibri" w:hAnsiTheme="majorBidi" w:cstheme="majorBidi"/>
          <w:lang w:bidi="ar-JO"/>
        </w:rPr>
        <w:t>30</w:t>
      </w:r>
      <w:r w:rsidR="0044596E">
        <w:rPr>
          <w:rFonts w:asciiTheme="majorBidi" w:eastAsia="Calibri" w:hAnsiTheme="majorBidi" w:cstheme="majorBidi"/>
          <w:lang w:bidi="ar-JO"/>
        </w:rPr>
        <w:t xml:space="preserve"> </w:t>
      </w:r>
      <w:r w:rsidR="0044596E" w:rsidRPr="00373592">
        <w:rPr>
          <w:rFonts w:asciiTheme="majorBidi" w:eastAsia="Calibri" w:hAnsiTheme="majorBidi" w:cstheme="majorBidi"/>
          <w:lang w:bidi="ar-JO"/>
        </w:rPr>
        <w:t>March</w:t>
      </w:r>
      <w:r w:rsidR="00792E4A" w:rsidRPr="00373592">
        <w:rPr>
          <w:rFonts w:asciiTheme="majorBidi" w:eastAsia="Calibri" w:hAnsiTheme="majorBidi" w:cstheme="majorBidi"/>
          <w:lang w:bidi="ar-JO"/>
        </w:rPr>
        <w:t xml:space="preserve"> 2014</w:t>
      </w:r>
      <w:r w:rsidR="0044596E">
        <w:rPr>
          <w:rFonts w:asciiTheme="majorBidi" w:eastAsia="Calibri" w:hAnsiTheme="majorBidi" w:cstheme="majorBidi"/>
          <w:lang w:bidi="ar-JO"/>
        </w:rPr>
        <w:t xml:space="preserve">, </w:t>
      </w:r>
      <w:r w:rsidR="006A5473" w:rsidRPr="00373592">
        <w:rPr>
          <w:rFonts w:asciiTheme="majorBidi" w:eastAsia="Calibri" w:hAnsiTheme="majorBidi" w:cstheme="majorBidi"/>
          <w:lang w:bidi="ar-JO"/>
        </w:rPr>
        <w:t>whereby he refused the request of the jud</w:t>
      </w:r>
      <w:r w:rsidR="003110F9" w:rsidRPr="00373592">
        <w:rPr>
          <w:rFonts w:asciiTheme="majorBidi" w:eastAsia="Calibri" w:hAnsiTheme="majorBidi" w:cstheme="majorBidi"/>
          <w:lang w:bidi="ar-JO"/>
        </w:rPr>
        <w:t xml:space="preserve">gment creditor to imprison the </w:t>
      </w:r>
      <w:r w:rsidR="006A5473" w:rsidRPr="00373592">
        <w:rPr>
          <w:rFonts w:asciiTheme="majorBidi" w:eastAsia="Calibri" w:hAnsiTheme="majorBidi" w:cstheme="majorBidi"/>
          <w:lang w:bidi="ar-JO"/>
        </w:rPr>
        <w:t>judgment debtor</w:t>
      </w:r>
      <w:r w:rsidR="002B7A11" w:rsidRPr="00373592">
        <w:rPr>
          <w:rFonts w:asciiTheme="majorBidi" w:eastAsia="Calibri" w:hAnsiTheme="majorBidi" w:cstheme="majorBidi"/>
          <w:lang w:bidi="ar-JO"/>
        </w:rPr>
        <w:t xml:space="preserve">, on the grounds that </w:t>
      </w:r>
      <w:r w:rsidR="00792E4A" w:rsidRPr="00373592">
        <w:rPr>
          <w:rFonts w:asciiTheme="majorBidi" w:eastAsia="Calibri" w:hAnsiTheme="majorBidi" w:cstheme="majorBidi"/>
          <w:lang w:bidi="ar-JO"/>
        </w:rPr>
        <w:t xml:space="preserve">this </w:t>
      </w:r>
      <w:r w:rsidR="002B7A11" w:rsidRPr="00373592">
        <w:rPr>
          <w:rFonts w:asciiTheme="majorBidi" w:eastAsia="Calibri" w:hAnsiTheme="majorBidi" w:cstheme="majorBidi"/>
          <w:lang w:bidi="ar-JO"/>
        </w:rPr>
        <w:t xml:space="preserve">violates article </w:t>
      </w:r>
      <w:r w:rsidR="0040164B">
        <w:rPr>
          <w:rFonts w:asciiTheme="majorBidi" w:eastAsia="Calibri" w:hAnsiTheme="majorBidi" w:cstheme="majorBidi"/>
          <w:lang w:bidi="ar-JO"/>
        </w:rPr>
        <w:t>(</w:t>
      </w:r>
      <w:r w:rsidR="002B7A11" w:rsidRPr="00373592">
        <w:rPr>
          <w:rFonts w:asciiTheme="majorBidi" w:eastAsia="Calibri" w:hAnsiTheme="majorBidi" w:cstheme="majorBidi"/>
          <w:lang w:bidi="ar-JO"/>
        </w:rPr>
        <w:t>11</w:t>
      </w:r>
      <w:r w:rsidR="0040164B">
        <w:rPr>
          <w:rFonts w:asciiTheme="majorBidi" w:eastAsia="Calibri" w:hAnsiTheme="majorBidi" w:cstheme="majorBidi"/>
          <w:lang w:bidi="ar-JO"/>
        </w:rPr>
        <w:t>)</w:t>
      </w:r>
      <w:r w:rsidR="002B7A11" w:rsidRPr="00373592">
        <w:rPr>
          <w:rFonts w:asciiTheme="majorBidi" w:eastAsia="Calibri" w:hAnsiTheme="majorBidi" w:cstheme="majorBidi"/>
          <w:lang w:bidi="ar-JO"/>
        </w:rPr>
        <w:t xml:space="preserve"> of the International Covenant on Civil and Political Rights</w:t>
      </w:r>
      <w:r w:rsidR="00441CE5" w:rsidRPr="00373592">
        <w:rPr>
          <w:rFonts w:asciiTheme="majorBidi" w:eastAsia="Calibri" w:hAnsiTheme="majorBidi" w:cstheme="majorBidi"/>
          <w:lang w:bidi="ar-JO"/>
        </w:rPr>
        <w:t>,</w:t>
      </w:r>
      <w:r w:rsidR="00792E4A" w:rsidRPr="00373592">
        <w:rPr>
          <w:rFonts w:asciiTheme="majorBidi" w:eastAsia="Calibri" w:hAnsiTheme="majorBidi" w:cstheme="majorBidi"/>
          <w:lang w:bidi="ar-JO"/>
        </w:rPr>
        <w:t xml:space="preserve"> there have been no similar court decisions but only in very limited cases over the last year.   </w:t>
      </w:r>
    </w:p>
    <w:p w:rsidR="00792E4A" w:rsidRPr="00373592" w:rsidRDefault="00792E4A" w:rsidP="00E817CD">
      <w:pPr>
        <w:pStyle w:val="ListParagraph"/>
        <w:suppressAutoHyphens/>
        <w:bidi w:val="0"/>
        <w:spacing w:after="120" w:line="240" w:lineRule="atLeast"/>
        <w:ind w:right="26"/>
        <w:jc w:val="both"/>
        <w:rPr>
          <w:rFonts w:asciiTheme="majorBidi" w:eastAsia="Calibri" w:hAnsiTheme="majorBidi" w:cstheme="majorBidi"/>
          <w:lang w:bidi="ar-JO"/>
        </w:rPr>
      </w:pPr>
      <w:r w:rsidRPr="00373592">
        <w:rPr>
          <w:rFonts w:asciiTheme="majorBidi" w:eastAsia="Calibri" w:hAnsiTheme="majorBidi" w:cstheme="majorBidi"/>
          <w:lang w:bidi="ar-JO"/>
        </w:rPr>
        <w:t xml:space="preserve">The Judge concerned, explained in its </w:t>
      </w:r>
      <w:r w:rsidR="009F782F" w:rsidRPr="00373592">
        <w:rPr>
          <w:rFonts w:asciiTheme="majorBidi" w:eastAsia="Calibri" w:hAnsiTheme="majorBidi" w:cstheme="majorBidi"/>
          <w:lang w:bidi="ar-JO"/>
        </w:rPr>
        <w:t>appealable decision that</w:t>
      </w:r>
      <w:r w:rsidRPr="00373592">
        <w:rPr>
          <w:rFonts w:asciiTheme="majorBidi" w:eastAsia="Calibri" w:hAnsiTheme="majorBidi" w:cstheme="majorBidi"/>
          <w:lang w:bidi="ar-JO"/>
        </w:rPr>
        <w:t xml:space="preserve"> </w:t>
      </w:r>
      <w:r w:rsidR="009F782F" w:rsidRPr="00373592">
        <w:rPr>
          <w:rFonts w:asciiTheme="majorBidi" w:eastAsia="Calibri" w:hAnsiTheme="majorBidi" w:cstheme="majorBidi"/>
          <w:lang w:bidi="ar-JO"/>
        </w:rPr>
        <w:t>the international</w:t>
      </w:r>
      <w:r w:rsidRPr="00373592">
        <w:rPr>
          <w:rFonts w:asciiTheme="majorBidi" w:eastAsia="Calibri" w:hAnsiTheme="majorBidi" w:cstheme="majorBidi"/>
          <w:lang w:bidi="ar-JO"/>
        </w:rPr>
        <w:t xml:space="preserve"> conventions </w:t>
      </w:r>
      <w:r w:rsidR="009F782F" w:rsidRPr="00373592">
        <w:rPr>
          <w:rFonts w:asciiTheme="majorBidi" w:eastAsia="Calibri" w:hAnsiTheme="majorBidi" w:cstheme="majorBidi"/>
          <w:lang w:bidi="ar-JO"/>
        </w:rPr>
        <w:t>take precedence over</w:t>
      </w:r>
      <w:r w:rsidRPr="00373592">
        <w:rPr>
          <w:rFonts w:asciiTheme="majorBidi" w:eastAsia="Calibri" w:hAnsiTheme="majorBidi" w:cstheme="majorBidi"/>
          <w:lang w:bidi="ar-JO"/>
        </w:rPr>
        <w:t xml:space="preserve"> dom</w:t>
      </w:r>
      <w:r w:rsidR="00E817CD">
        <w:rPr>
          <w:rFonts w:asciiTheme="majorBidi" w:eastAsia="Calibri" w:hAnsiTheme="majorBidi" w:cstheme="majorBidi"/>
          <w:lang w:bidi="ar-JO"/>
        </w:rPr>
        <w:t>estic laws.  Although</w:t>
      </w:r>
      <w:r w:rsidR="009F782F" w:rsidRPr="00373592">
        <w:rPr>
          <w:rFonts w:asciiTheme="majorBidi" w:eastAsia="Calibri" w:hAnsiTheme="majorBidi" w:cstheme="majorBidi"/>
          <w:lang w:bidi="ar-JO"/>
        </w:rPr>
        <w:t xml:space="preserve"> </w:t>
      </w:r>
      <w:r w:rsidRPr="00373592">
        <w:rPr>
          <w:rFonts w:asciiTheme="majorBidi" w:eastAsia="Calibri" w:hAnsiTheme="majorBidi" w:cstheme="majorBidi"/>
          <w:lang w:bidi="ar-JO"/>
        </w:rPr>
        <w:t xml:space="preserve">article </w:t>
      </w:r>
      <w:r w:rsidR="0040164B">
        <w:rPr>
          <w:rFonts w:asciiTheme="majorBidi" w:eastAsia="Calibri" w:hAnsiTheme="majorBidi" w:cstheme="majorBidi"/>
          <w:lang w:bidi="ar-JO"/>
        </w:rPr>
        <w:t>(</w:t>
      </w:r>
      <w:r w:rsidRPr="00373592">
        <w:rPr>
          <w:rFonts w:asciiTheme="majorBidi" w:eastAsia="Calibri" w:hAnsiTheme="majorBidi" w:cstheme="majorBidi"/>
          <w:lang w:bidi="ar-JO"/>
        </w:rPr>
        <w:t>22</w:t>
      </w:r>
      <w:r w:rsidR="0040164B">
        <w:rPr>
          <w:rFonts w:asciiTheme="majorBidi" w:eastAsia="Calibri" w:hAnsiTheme="majorBidi" w:cstheme="majorBidi"/>
          <w:lang w:bidi="ar-JO"/>
        </w:rPr>
        <w:t>)</w:t>
      </w:r>
      <w:r w:rsidRPr="00373592">
        <w:rPr>
          <w:rFonts w:asciiTheme="majorBidi" w:eastAsia="Calibri" w:hAnsiTheme="majorBidi" w:cstheme="majorBidi"/>
          <w:lang w:bidi="ar-JO"/>
        </w:rPr>
        <w:t xml:space="preserve"> of the Implementation Law permits a creditor to request for the imprisonment of a debtor in certain circumstances, such as in cases of failure to reimburse a debt or offer a settlement in accordance with his financial capabilities, nevertheless, this domestic </w:t>
      </w:r>
      <w:r w:rsidR="00826694" w:rsidRPr="00373592">
        <w:rPr>
          <w:rFonts w:asciiTheme="majorBidi" w:eastAsia="Calibri" w:hAnsiTheme="majorBidi" w:cstheme="majorBidi"/>
          <w:lang w:bidi="ar-JO"/>
        </w:rPr>
        <w:t>Law which</w:t>
      </w:r>
      <w:r w:rsidR="009F782F" w:rsidRPr="00373592">
        <w:rPr>
          <w:rFonts w:asciiTheme="majorBidi" w:eastAsia="Calibri" w:hAnsiTheme="majorBidi" w:cstheme="majorBidi"/>
          <w:lang w:bidi="ar-JO"/>
        </w:rPr>
        <w:t xml:space="preserve"> </w:t>
      </w:r>
      <w:r w:rsidR="00B10A06">
        <w:rPr>
          <w:rFonts w:asciiTheme="majorBidi" w:eastAsia="Calibri" w:hAnsiTheme="majorBidi" w:cstheme="majorBidi"/>
          <w:lang w:bidi="ar-JO"/>
        </w:rPr>
        <w:t xml:space="preserve">is </w:t>
      </w:r>
      <w:r w:rsidRPr="00373592">
        <w:rPr>
          <w:rFonts w:asciiTheme="majorBidi" w:eastAsia="Calibri" w:hAnsiTheme="majorBidi" w:cstheme="majorBidi"/>
          <w:lang w:bidi="ar-JO"/>
        </w:rPr>
        <w:t>lower in rank than the international agreements</w:t>
      </w:r>
      <w:r w:rsidR="00826694" w:rsidRPr="00373592">
        <w:rPr>
          <w:rFonts w:asciiTheme="majorBidi" w:eastAsia="Calibri" w:hAnsiTheme="majorBidi" w:cstheme="majorBidi"/>
          <w:lang w:bidi="ar-JO"/>
        </w:rPr>
        <w:t xml:space="preserve">, failed to convince the </w:t>
      </w:r>
      <w:r w:rsidR="00B10A06">
        <w:rPr>
          <w:rFonts w:asciiTheme="majorBidi" w:eastAsia="Calibri" w:hAnsiTheme="majorBidi" w:cstheme="majorBidi"/>
          <w:lang w:bidi="ar-JO"/>
        </w:rPr>
        <w:t>J</w:t>
      </w:r>
      <w:r w:rsidR="00826694" w:rsidRPr="00373592">
        <w:rPr>
          <w:rFonts w:asciiTheme="majorBidi" w:eastAsia="Calibri" w:hAnsiTheme="majorBidi" w:cstheme="majorBidi"/>
          <w:lang w:bidi="ar-JO"/>
        </w:rPr>
        <w:t xml:space="preserve">udge to </w:t>
      </w:r>
      <w:r w:rsidR="00364502" w:rsidRPr="00373592">
        <w:rPr>
          <w:rFonts w:asciiTheme="majorBidi" w:eastAsia="Calibri" w:hAnsiTheme="majorBidi" w:cstheme="majorBidi"/>
          <w:lang w:bidi="ar-JO"/>
        </w:rPr>
        <w:t xml:space="preserve">grant the plaintiff’s </w:t>
      </w:r>
      <w:r w:rsidR="0032744B">
        <w:rPr>
          <w:rFonts w:asciiTheme="majorBidi" w:eastAsia="Calibri" w:hAnsiTheme="majorBidi" w:cstheme="majorBidi"/>
          <w:lang w:bidi="ar-JO"/>
        </w:rPr>
        <w:t>request</w:t>
      </w:r>
      <w:r w:rsidR="00364502" w:rsidRPr="00373592">
        <w:rPr>
          <w:rFonts w:asciiTheme="majorBidi" w:eastAsia="Calibri" w:hAnsiTheme="majorBidi" w:cstheme="majorBidi"/>
          <w:lang w:bidi="ar-JO"/>
        </w:rPr>
        <w:t xml:space="preserve"> based on t</w:t>
      </w:r>
      <w:r w:rsidR="00E817CD">
        <w:rPr>
          <w:rFonts w:asciiTheme="majorBidi" w:eastAsia="Calibri" w:hAnsiTheme="majorBidi" w:cstheme="majorBidi"/>
          <w:lang w:bidi="ar-JO"/>
        </w:rPr>
        <w:t>his article, which contravenes</w:t>
      </w:r>
      <w:r w:rsidR="00826694" w:rsidRPr="00373592">
        <w:rPr>
          <w:rFonts w:asciiTheme="majorBidi" w:eastAsia="Calibri" w:hAnsiTheme="majorBidi" w:cstheme="majorBidi"/>
          <w:lang w:bidi="ar-JO"/>
        </w:rPr>
        <w:t xml:space="preserve"> </w:t>
      </w:r>
      <w:r w:rsidR="00364502" w:rsidRPr="00373592">
        <w:rPr>
          <w:rFonts w:asciiTheme="majorBidi" w:eastAsia="Calibri" w:hAnsiTheme="majorBidi" w:cstheme="majorBidi"/>
          <w:lang w:bidi="ar-JO"/>
        </w:rPr>
        <w:t xml:space="preserve">article </w:t>
      </w:r>
      <w:r w:rsidR="0032744B">
        <w:rPr>
          <w:rFonts w:asciiTheme="majorBidi" w:eastAsia="Calibri" w:hAnsiTheme="majorBidi" w:cstheme="majorBidi"/>
          <w:lang w:bidi="ar-JO"/>
        </w:rPr>
        <w:t>(</w:t>
      </w:r>
      <w:r w:rsidR="00364502" w:rsidRPr="00373592">
        <w:rPr>
          <w:rFonts w:asciiTheme="majorBidi" w:eastAsia="Calibri" w:hAnsiTheme="majorBidi" w:cstheme="majorBidi"/>
          <w:lang w:bidi="ar-JO"/>
        </w:rPr>
        <w:t>11</w:t>
      </w:r>
      <w:r w:rsidR="0032744B">
        <w:rPr>
          <w:rFonts w:asciiTheme="majorBidi" w:eastAsia="Calibri" w:hAnsiTheme="majorBidi" w:cstheme="majorBidi"/>
          <w:lang w:bidi="ar-JO"/>
        </w:rPr>
        <w:t>)</w:t>
      </w:r>
      <w:r w:rsidR="00364502" w:rsidRPr="00373592">
        <w:rPr>
          <w:rFonts w:asciiTheme="majorBidi" w:eastAsia="Calibri" w:hAnsiTheme="majorBidi" w:cstheme="majorBidi"/>
          <w:lang w:bidi="ar-JO"/>
        </w:rPr>
        <w:t xml:space="preserve"> of the </w:t>
      </w:r>
      <w:r w:rsidR="0032744B">
        <w:rPr>
          <w:rFonts w:asciiTheme="majorBidi" w:eastAsia="Calibri" w:hAnsiTheme="majorBidi" w:cstheme="majorBidi"/>
          <w:lang w:bidi="ar-JO"/>
        </w:rPr>
        <w:t>ICCPR</w:t>
      </w:r>
      <w:r w:rsidR="00364502" w:rsidRPr="00373592">
        <w:rPr>
          <w:rFonts w:asciiTheme="majorBidi" w:eastAsia="Calibri" w:hAnsiTheme="majorBidi" w:cstheme="majorBidi"/>
          <w:lang w:bidi="ar-JO"/>
        </w:rPr>
        <w:t>, which stipulates "No one shall be imprisoned merely on the ground of inability to fulfill a contractual obligation".</w:t>
      </w:r>
    </w:p>
    <w:p w:rsidR="006F29C1" w:rsidRPr="00373592" w:rsidRDefault="00981EB3" w:rsidP="00447F03">
      <w:pPr>
        <w:suppressAutoHyphens/>
        <w:bidi w:val="0"/>
        <w:spacing w:after="120" w:line="240" w:lineRule="atLeast"/>
        <w:ind w:right="26"/>
        <w:jc w:val="both"/>
        <w:rPr>
          <w:rFonts w:asciiTheme="majorBidi" w:eastAsia="Calibri" w:hAnsiTheme="majorBidi" w:cstheme="majorBidi"/>
          <w:sz w:val="24"/>
          <w:szCs w:val="24"/>
          <w:lang w:bidi="ar-JO"/>
        </w:rPr>
      </w:pPr>
      <w:r w:rsidRPr="00373592">
        <w:rPr>
          <w:rFonts w:asciiTheme="majorBidi" w:eastAsia="Calibri" w:hAnsiTheme="majorBidi" w:cstheme="majorBidi"/>
          <w:sz w:val="24"/>
          <w:szCs w:val="24"/>
          <w:lang w:bidi="ar-JO"/>
        </w:rPr>
        <w:t>As for the</w:t>
      </w:r>
      <w:r w:rsidR="00197CF3" w:rsidRPr="00373592">
        <w:rPr>
          <w:rFonts w:asciiTheme="majorBidi" w:eastAsia="Calibri" w:hAnsiTheme="majorBidi" w:cstheme="majorBidi"/>
          <w:sz w:val="24"/>
          <w:szCs w:val="24"/>
          <w:lang w:bidi="ar-JO"/>
        </w:rPr>
        <w:t xml:space="preserve"> provisions of the Islamic Sharia</w:t>
      </w:r>
      <w:r w:rsidR="006B2AF6" w:rsidRPr="00373592">
        <w:rPr>
          <w:rFonts w:asciiTheme="majorBidi" w:eastAsia="Calibri" w:hAnsiTheme="majorBidi" w:cstheme="majorBidi"/>
          <w:sz w:val="24"/>
          <w:szCs w:val="24"/>
          <w:lang w:bidi="ar-JO"/>
        </w:rPr>
        <w:t xml:space="preserve">, </w:t>
      </w:r>
      <w:r w:rsidR="00693EED">
        <w:rPr>
          <w:rFonts w:asciiTheme="majorBidi" w:eastAsia="Calibri" w:hAnsiTheme="majorBidi" w:cstheme="majorBidi"/>
          <w:sz w:val="24"/>
          <w:szCs w:val="24"/>
          <w:lang w:bidi="ar-JO"/>
        </w:rPr>
        <w:t>it is</w:t>
      </w:r>
      <w:r w:rsidR="00197CF3" w:rsidRPr="00373592">
        <w:rPr>
          <w:rFonts w:asciiTheme="majorBidi" w:eastAsia="Calibri" w:hAnsiTheme="majorBidi" w:cstheme="majorBidi"/>
          <w:sz w:val="24"/>
          <w:szCs w:val="24"/>
          <w:lang w:bidi="ar-JO"/>
        </w:rPr>
        <w:t xml:space="preserve"> </w:t>
      </w:r>
      <w:r w:rsidR="006B2AF6" w:rsidRPr="00373592">
        <w:rPr>
          <w:rFonts w:asciiTheme="majorBidi" w:eastAsia="Calibri" w:hAnsiTheme="majorBidi" w:cstheme="majorBidi"/>
          <w:sz w:val="24"/>
          <w:szCs w:val="24"/>
          <w:lang w:bidi="ar-JO"/>
        </w:rPr>
        <w:t>applicable</w:t>
      </w:r>
      <w:r w:rsidR="00197CF3" w:rsidRPr="00373592">
        <w:rPr>
          <w:rFonts w:asciiTheme="majorBidi" w:eastAsia="Calibri" w:hAnsiTheme="majorBidi" w:cstheme="majorBidi"/>
          <w:sz w:val="24"/>
          <w:szCs w:val="24"/>
          <w:lang w:bidi="ar-JO"/>
        </w:rPr>
        <w:t xml:space="preserve"> on </w:t>
      </w:r>
      <w:r w:rsidR="006B2AF6" w:rsidRPr="00373592">
        <w:rPr>
          <w:rFonts w:asciiTheme="majorBidi" w:eastAsia="Calibri" w:hAnsiTheme="majorBidi" w:cstheme="majorBidi"/>
          <w:sz w:val="24"/>
          <w:szCs w:val="24"/>
          <w:lang w:bidi="ar-JO"/>
        </w:rPr>
        <w:t>adherents of Islam and Christianity at the desire of the Christian churches</w:t>
      </w:r>
      <w:r w:rsidR="00447F03">
        <w:rPr>
          <w:rFonts w:asciiTheme="majorBidi" w:eastAsia="Calibri" w:hAnsiTheme="majorBidi" w:cstheme="majorBidi"/>
          <w:sz w:val="24"/>
          <w:szCs w:val="24"/>
          <w:lang w:bidi="ar-JO"/>
        </w:rPr>
        <w:t xml:space="preserve"> </w:t>
      </w:r>
      <w:r w:rsidR="000A7B5A" w:rsidRPr="00373592">
        <w:rPr>
          <w:rFonts w:asciiTheme="majorBidi" w:eastAsia="Calibri" w:hAnsiTheme="majorBidi" w:cstheme="majorBidi"/>
          <w:sz w:val="24"/>
          <w:szCs w:val="24"/>
          <w:lang w:bidi="ar-JO"/>
        </w:rPr>
        <w:t xml:space="preserve">in respect of the inheritance issues only, while </w:t>
      </w:r>
      <w:r w:rsidR="00160D10" w:rsidRPr="00373592">
        <w:rPr>
          <w:rFonts w:asciiTheme="majorBidi" w:eastAsia="Calibri" w:hAnsiTheme="majorBidi" w:cstheme="majorBidi"/>
          <w:sz w:val="24"/>
          <w:szCs w:val="24"/>
          <w:lang w:bidi="ar-JO"/>
        </w:rPr>
        <w:t xml:space="preserve">the ecclesiastical courts </w:t>
      </w:r>
      <w:r w:rsidR="006B2AF6" w:rsidRPr="00373592">
        <w:rPr>
          <w:rFonts w:asciiTheme="majorBidi" w:eastAsia="Calibri" w:hAnsiTheme="majorBidi" w:cstheme="majorBidi"/>
          <w:sz w:val="24"/>
          <w:szCs w:val="24"/>
          <w:lang w:bidi="ar-JO"/>
        </w:rPr>
        <w:t>adjudicate the</w:t>
      </w:r>
      <w:r w:rsidR="00160D10" w:rsidRPr="00373592">
        <w:rPr>
          <w:rFonts w:asciiTheme="majorBidi" w:eastAsia="Calibri" w:hAnsiTheme="majorBidi" w:cstheme="majorBidi"/>
          <w:sz w:val="24"/>
          <w:szCs w:val="24"/>
          <w:lang w:bidi="ar-JO"/>
        </w:rPr>
        <w:t xml:space="preserve"> personal status matters of non-muslins.</w:t>
      </w:r>
    </w:p>
    <w:p w:rsidR="005C62BD" w:rsidRPr="00373592" w:rsidRDefault="000B0006" w:rsidP="002A7911">
      <w:pPr>
        <w:pStyle w:val="ListParagraph"/>
        <w:numPr>
          <w:ilvl w:val="0"/>
          <w:numId w:val="13"/>
        </w:numPr>
        <w:suppressAutoHyphens/>
        <w:bidi w:val="0"/>
        <w:spacing w:after="120" w:line="240" w:lineRule="atLeast"/>
        <w:ind w:right="-426"/>
        <w:jc w:val="both"/>
        <w:rPr>
          <w:rFonts w:asciiTheme="majorBidi" w:hAnsiTheme="majorBidi" w:cstheme="majorBidi"/>
          <w:b/>
          <w:bCs/>
          <w:shd w:val="clear" w:color="auto" w:fill="FFFFFF"/>
        </w:rPr>
      </w:pPr>
      <w:r w:rsidRPr="00373592">
        <w:rPr>
          <w:rFonts w:asciiTheme="majorBidi" w:hAnsiTheme="majorBidi" w:cstheme="majorBidi"/>
          <w:b/>
          <w:bCs/>
          <w:shd w:val="clear" w:color="auto" w:fill="FFFFFF"/>
          <w:lang w:bidi="ar-JO"/>
        </w:rPr>
        <w:t>The NCHR Budget is divided into 2 major sections:</w:t>
      </w:r>
    </w:p>
    <w:p w:rsidR="000B0006" w:rsidRPr="00373592" w:rsidRDefault="000B0006" w:rsidP="00281C62">
      <w:pPr>
        <w:pStyle w:val="ListParagraph"/>
        <w:numPr>
          <w:ilvl w:val="0"/>
          <w:numId w:val="4"/>
        </w:numPr>
        <w:tabs>
          <w:tab w:val="right" w:pos="0"/>
        </w:tabs>
        <w:bidi w:val="0"/>
        <w:ind w:right="-540"/>
        <w:jc w:val="both"/>
        <w:rPr>
          <w:rFonts w:asciiTheme="majorBidi" w:hAnsiTheme="majorBidi" w:cstheme="majorBidi"/>
          <w:shd w:val="clear" w:color="auto" w:fill="FFFFFF"/>
          <w:lang w:bidi="ar-JO"/>
        </w:rPr>
      </w:pPr>
      <w:r w:rsidRPr="00373592">
        <w:rPr>
          <w:rFonts w:asciiTheme="majorBidi" w:hAnsiTheme="majorBidi" w:cstheme="majorBidi"/>
          <w:shd w:val="clear" w:color="auto" w:fill="FFFFFF"/>
          <w:lang w:bidi="ar-JO"/>
        </w:rPr>
        <w:t>Operational costs: salaries, wages, premiums, supplies, purchases, maintenance services, utilities, activities</w:t>
      </w:r>
      <w:r w:rsidR="00E0420A" w:rsidRPr="00373592">
        <w:rPr>
          <w:rFonts w:asciiTheme="majorBidi" w:hAnsiTheme="majorBidi" w:cstheme="majorBidi"/>
          <w:shd w:val="clear" w:color="auto" w:fill="FFFFFF"/>
          <w:lang w:bidi="ar-JO"/>
        </w:rPr>
        <w:t>, contributions, participation in conferences, holding of workshops</w:t>
      </w:r>
      <w:r w:rsidR="00281C62" w:rsidRPr="00281C62">
        <w:rPr>
          <w:rFonts w:asciiTheme="majorBidi" w:hAnsiTheme="majorBidi" w:cstheme="majorBidi"/>
          <w:shd w:val="clear" w:color="auto" w:fill="FFFFFF"/>
          <w:lang w:bidi="ar-JO"/>
        </w:rPr>
        <w:t xml:space="preserve"> </w:t>
      </w:r>
      <w:r w:rsidR="00281C62" w:rsidRPr="00373592">
        <w:rPr>
          <w:rFonts w:asciiTheme="majorBidi" w:hAnsiTheme="majorBidi" w:cstheme="majorBidi"/>
          <w:shd w:val="clear" w:color="auto" w:fill="FFFFFF"/>
          <w:lang w:bidi="ar-JO"/>
        </w:rPr>
        <w:t>and</w:t>
      </w:r>
      <w:r w:rsidR="00281C62">
        <w:rPr>
          <w:rFonts w:asciiTheme="majorBidi" w:hAnsiTheme="majorBidi" w:cstheme="majorBidi"/>
          <w:shd w:val="clear" w:color="auto" w:fill="FFFFFF"/>
          <w:lang w:bidi="ar-JO"/>
        </w:rPr>
        <w:t xml:space="preserve"> delegations’ activities</w:t>
      </w:r>
      <w:r w:rsidRPr="00373592">
        <w:rPr>
          <w:rFonts w:asciiTheme="majorBidi" w:hAnsiTheme="majorBidi" w:cstheme="majorBidi"/>
          <w:shd w:val="clear" w:color="auto" w:fill="FFFFFF"/>
          <w:lang w:bidi="ar-JO"/>
        </w:rPr>
        <w:t>).</w:t>
      </w:r>
    </w:p>
    <w:p w:rsidR="000B0006" w:rsidRPr="00373592" w:rsidRDefault="000B0006" w:rsidP="002A7911">
      <w:pPr>
        <w:pStyle w:val="ListParagraph"/>
        <w:numPr>
          <w:ilvl w:val="0"/>
          <w:numId w:val="4"/>
        </w:numPr>
        <w:tabs>
          <w:tab w:val="right" w:pos="0"/>
        </w:tabs>
        <w:bidi w:val="0"/>
        <w:ind w:right="-540"/>
        <w:jc w:val="both"/>
        <w:rPr>
          <w:rFonts w:asciiTheme="majorBidi" w:hAnsiTheme="majorBidi" w:cstheme="majorBidi"/>
          <w:shd w:val="clear" w:color="auto" w:fill="FFFFFF"/>
          <w:rtl/>
          <w:lang w:val="en-GB"/>
        </w:rPr>
      </w:pPr>
      <w:r w:rsidRPr="00373592">
        <w:rPr>
          <w:rFonts w:asciiTheme="majorBidi" w:hAnsiTheme="majorBidi" w:cstheme="majorBidi"/>
          <w:shd w:val="clear" w:color="auto" w:fill="FFFFFF"/>
          <w:lang w:bidi="ar-JO"/>
        </w:rPr>
        <w:t xml:space="preserve">Capital costs: </w:t>
      </w:r>
      <w:r w:rsidR="00FD0CDC" w:rsidRPr="00373592">
        <w:rPr>
          <w:rFonts w:asciiTheme="majorBidi" w:hAnsiTheme="majorBidi" w:cstheme="majorBidi"/>
          <w:shd w:val="clear" w:color="auto" w:fill="FFFFFF"/>
          <w:lang w:bidi="ar-JO"/>
        </w:rPr>
        <w:t>(technical</w:t>
      </w:r>
      <w:r w:rsidRPr="00373592">
        <w:rPr>
          <w:rFonts w:asciiTheme="majorBidi" w:hAnsiTheme="majorBidi" w:cstheme="majorBidi"/>
          <w:shd w:val="clear" w:color="auto" w:fill="FFFFFF"/>
          <w:lang w:bidi="ar-JO"/>
        </w:rPr>
        <w:t xml:space="preserve"> and office supplies, books, journals, documents, seminars supplies, seminars and workshops, funding projects. </w:t>
      </w:r>
    </w:p>
    <w:p w:rsidR="00504D8C" w:rsidRPr="00373592" w:rsidRDefault="00504D8C" w:rsidP="00504D8C">
      <w:pPr>
        <w:spacing w:after="0"/>
        <w:jc w:val="both"/>
        <w:rPr>
          <w:rFonts w:asciiTheme="majorBidi" w:eastAsia="Times New Roman" w:hAnsiTheme="majorBidi" w:cstheme="majorBidi"/>
          <w:sz w:val="24"/>
          <w:szCs w:val="24"/>
          <w:shd w:val="clear" w:color="auto" w:fill="FFFFFF"/>
          <w:rtl/>
          <w:lang w:val="en-GB"/>
        </w:rPr>
      </w:pPr>
    </w:p>
    <w:p w:rsidR="000B0006" w:rsidRPr="00373592" w:rsidRDefault="000C612F" w:rsidP="00B0351D">
      <w:pPr>
        <w:bidi w:val="0"/>
        <w:spacing w:after="0"/>
        <w:jc w:val="both"/>
        <w:rPr>
          <w:rFonts w:asciiTheme="majorBidi" w:eastAsia="Times New Roman" w:hAnsiTheme="majorBidi" w:cstheme="majorBidi"/>
          <w:bCs/>
          <w:sz w:val="24"/>
          <w:szCs w:val="24"/>
          <w:lang w:bidi="ar-JO"/>
        </w:rPr>
      </w:pPr>
      <w:r w:rsidRPr="00373592">
        <w:rPr>
          <w:rFonts w:asciiTheme="majorBidi" w:eastAsia="Times New Roman" w:hAnsiTheme="majorBidi" w:cstheme="majorBidi"/>
          <w:bCs/>
          <w:sz w:val="24"/>
          <w:szCs w:val="24"/>
          <w:lang w:bidi="ar-JO"/>
        </w:rPr>
        <w:t>It</w:t>
      </w:r>
      <w:r w:rsidR="00B377F3" w:rsidRPr="00373592">
        <w:rPr>
          <w:rFonts w:asciiTheme="majorBidi" w:eastAsia="Times New Roman" w:hAnsiTheme="majorBidi" w:cstheme="majorBidi"/>
          <w:bCs/>
          <w:sz w:val="24"/>
          <w:szCs w:val="24"/>
          <w:lang w:bidi="ar-JO"/>
        </w:rPr>
        <w:t xml:space="preserve"> is worth highlighting that the NCHR budget has increased by (36%) in 2017</w:t>
      </w:r>
      <w:r w:rsidR="00BC6223" w:rsidRPr="00373592">
        <w:rPr>
          <w:rFonts w:asciiTheme="majorBidi" w:eastAsia="Times New Roman" w:hAnsiTheme="majorBidi" w:cstheme="majorBidi"/>
          <w:bCs/>
          <w:sz w:val="24"/>
          <w:szCs w:val="24"/>
          <w:lang w:bidi="ar-JO"/>
        </w:rPr>
        <w:t xml:space="preserve">, amounting to (750.000) JD while it was previously (550.000) JD during the period 2014-2016. The NCHR Board of Trustees adopts the Center’s draft general budget and financial statements and </w:t>
      </w:r>
      <w:r w:rsidR="002419D3" w:rsidRPr="00373592">
        <w:rPr>
          <w:rFonts w:asciiTheme="majorBidi" w:eastAsia="Times New Roman" w:hAnsiTheme="majorBidi" w:cstheme="majorBidi"/>
          <w:bCs/>
          <w:sz w:val="24"/>
          <w:szCs w:val="24"/>
          <w:lang w:bidi="ar-JO"/>
        </w:rPr>
        <w:t>appoints</w:t>
      </w:r>
      <w:r w:rsidR="00BC6223" w:rsidRPr="00373592">
        <w:rPr>
          <w:rFonts w:asciiTheme="majorBidi" w:eastAsia="Times New Roman" w:hAnsiTheme="majorBidi" w:cstheme="majorBidi"/>
          <w:bCs/>
          <w:sz w:val="24"/>
          <w:szCs w:val="24"/>
          <w:lang w:bidi="ar-JO"/>
        </w:rPr>
        <w:t xml:space="preserve"> an auditor for the Center</w:t>
      </w:r>
      <w:r w:rsidR="009F4EE1" w:rsidRPr="00373592">
        <w:rPr>
          <w:rFonts w:asciiTheme="majorBidi" w:eastAsia="Times New Roman" w:hAnsiTheme="majorBidi" w:cstheme="majorBidi"/>
          <w:bCs/>
          <w:sz w:val="24"/>
          <w:szCs w:val="24"/>
          <w:lang w:bidi="ar-JO"/>
        </w:rPr>
        <w:t>, pursuant to Article (14/H)</w:t>
      </w:r>
      <w:r w:rsidR="00BC6223" w:rsidRPr="00373592">
        <w:rPr>
          <w:rFonts w:asciiTheme="majorBidi" w:eastAsia="Times New Roman" w:hAnsiTheme="majorBidi" w:cstheme="majorBidi"/>
          <w:bCs/>
          <w:sz w:val="24"/>
          <w:szCs w:val="24"/>
          <w:lang w:bidi="ar-JO"/>
        </w:rPr>
        <w:t xml:space="preserve">. </w:t>
      </w:r>
      <w:r w:rsidR="00AD1DCB" w:rsidRPr="00373592">
        <w:rPr>
          <w:rFonts w:asciiTheme="majorBidi" w:eastAsia="Times New Roman" w:hAnsiTheme="majorBidi" w:cstheme="majorBidi"/>
          <w:bCs/>
          <w:sz w:val="24"/>
          <w:szCs w:val="24"/>
          <w:lang w:bidi="ar-JO"/>
        </w:rPr>
        <w:t>According to the</w:t>
      </w:r>
      <w:r w:rsidR="00BC6223" w:rsidRPr="00373592">
        <w:rPr>
          <w:rFonts w:asciiTheme="majorBidi" w:eastAsia="Times New Roman" w:hAnsiTheme="majorBidi" w:cstheme="majorBidi"/>
          <w:bCs/>
          <w:sz w:val="24"/>
          <w:szCs w:val="24"/>
          <w:lang w:bidi="ar-JO"/>
        </w:rPr>
        <w:t xml:space="preserve"> </w:t>
      </w:r>
      <w:r w:rsidR="002419D3" w:rsidRPr="00373592">
        <w:rPr>
          <w:rFonts w:asciiTheme="majorBidi" w:eastAsia="Times New Roman" w:hAnsiTheme="majorBidi" w:cstheme="majorBidi"/>
          <w:bCs/>
          <w:sz w:val="24"/>
          <w:szCs w:val="24"/>
          <w:lang w:bidi="ar-JO"/>
        </w:rPr>
        <w:t xml:space="preserve">decision no (3) of 2009, issued by the </w:t>
      </w:r>
      <w:r w:rsidR="00BC6223" w:rsidRPr="00373592">
        <w:rPr>
          <w:rFonts w:asciiTheme="majorBidi" w:eastAsia="Times New Roman" w:hAnsiTheme="majorBidi" w:cstheme="majorBidi"/>
          <w:bCs/>
          <w:sz w:val="24"/>
          <w:szCs w:val="24"/>
          <w:lang w:bidi="ar-JO"/>
        </w:rPr>
        <w:t>Law Interpretation Bureau</w:t>
      </w:r>
      <w:r w:rsidR="00AD1DCB" w:rsidRPr="00373592">
        <w:rPr>
          <w:rFonts w:asciiTheme="majorBidi" w:eastAsia="Times New Roman" w:hAnsiTheme="majorBidi" w:cstheme="majorBidi"/>
          <w:bCs/>
          <w:sz w:val="24"/>
          <w:szCs w:val="24"/>
          <w:lang w:bidi="ar-JO"/>
        </w:rPr>
        <w:t xml:space="preserve">, the Center's accounts and expenses are not </w:t>
      </w:r>
      <w:r w:rsidR="0014503B" w:rsidRPr="00373592">
        <w:rPr>
          <w:rFonts w:asciiTheme="majorBidi" w:eastAsia="Times New Roman" w:hAnsiTheme="majorBidi" w:cstheme="majorBidi"/>
          <w:bCs/>
          <w:sz w:val="24"/>
          <w:szCs w:val="24"/>
          <w:lang w:bidi="ar-JO"/>
        </w:rPr>
        <w:t>subject to the control of the</w:t>
      </w:r>
      <w:r w:rsidR="00AD1DCB" w:rsidRPr="00373592">
        <w:rPr>
          <w:rFonts w:asciiTheme="majorBidi" w:hAnsiTheme="majorBidi" w:cstheme="majorBidi"/>
          <w:bCs/>
          <w:sz w:val="24"/>
          <w:szCs w:val="24"/>
        </w:rPr>
        <w:t xml:space="preserve"> </w:t>
      </w:r>
      <w:r w:rsidR="00AD1DCB" w:rsidRPr="00373592">
        <w:rPr>
          <w:rFonts w:asciiTheme="majorBidi" w:eastAsia="Times New Roman" w:hAnsiTheme="majorBidi" w:cstheme="majorBidi"/>
          <w:bCs/>
          <w:sz w:val="24"/>
          <w:szCs w:val="24"/>
          <w:lang w:bidi="ar-JO"/>
        </w:rPr>
        <w:t>Audit Bureau,</w:t>
      </w:r>
      <w:r w:rsidR="00AD1DCB" w:rsidRPr="00373592">
        <w:rPr>
          <w:rFonts w:asciiTheme="majorBidi" w:hAnsiTheme="majorBidi" w:cstheme="majorBidi"/>
          <w:bCs/>
          <w:sz w:val="24"/>
          <w:szCs w:val="24"/>
        </w:rPr>
        <w:t xml:space="preserve"> </w:t>
      </w:r>
      <w:r w:rsidR="00AD1DCB" w:rsidRPr="00373592">
        <w:rPr>
          <w:rFonts w:asciiTheme="majorBidi" w:eastAsia="Times New Roman" w:hAnsiTheme="majorBidi" w:cstheme="majorBidi"/>
          <w:bCs/>
          <w:sz w:val="24"/>
          <w:szCs w:val="24"/>
          <w:lang w:bidi="ar-JO"/>
        </w:rPr>
        <w:t>which is responsible for auditing all public institutions. In addition to this, Article (19/ D &amp;E) of its Law provides that " the Supervise the Center’s organizational, administrative and financial affairs, including personnel affairs</w:t>
      </w:r>
      <w:r w:rsidR="005E7F16" w:rsidRPr="00373592">
        <w:rPr>
          <w:rFonts w:asciiTheme="majorBidi" w:eastAsia="Times New Roman" w:hAnsiTheme="majorBidi" w:cstheme="majorBidi"/>
          <w:bCs/>
          <w:sz w:val="24"/>
          <w:szCs w:val="24"/>
          <w:lang w:bidi="ar-JO"/>
        </w:rPr>
        <w:t>, and m</w:t>
      </w:r>
      <w:r w:rsidR="00AD1DCB" w:rsidRPr="00373592">
        <w:rPr>
          <w:rFonts w:asciiTheme="majorBidi" w:eastAsia="Times New Roman" w:hAnsiTheme="majorBidi" w:cstheme="majorBidi"/>
          <w:bCs/>
          <w:sz w:val="24"/>
          <w:szCs w:val="24"/>
          <w:lang w:bidi="ar-JO"/>
        </w:rPr>
        <w:t>anag</w:t>
      </w:r>
      <w:r w:rsidR="005E7F16" w:rsidRPr="00373592">
        <w:rPr>
          <w:rFonts w:asciiTheme="majorBidi" w:eastAsia="Times New Roman" w:hAnsiTheme="majorBidi" w:cstheme="majorBidi"/>
          <w:bCs/>
          <w:sz w:val="24"/>
          <w:szCs w:val="24"/>
          <w:lang w:bidi="ar-JO"/>
        </w:rPr>
        <w:t>ing</w:t>
      </w:r>
      <w:r w:rsidR="00AD1DCB" w:rsidRPr="00373592">
        <w:rPr>
          <w:rFonts w:asciiTheme="majorBidi" w:eastAsia="Times New Roman" w:hAnsiTheme="majorBidi" w:cstheme="majorBidi"/>
          <w:bCs/>
          <w:sz w:val="24"/>
          <w:szCs w:val="24"/>
          <w:lang w:bidi="ar-JO"/>
        </w:rPr>
        <w:t xml:space="preserve"> and invest</w:t>
      </w:r>
      <w:r w:rsidR="005E7F16" w:rsidRPr="00373592">
        <w:rPr>
          <w:rFonts w:asciiTheme="majorBidi" w:eastAsia="Times New Roman" w:hAnsiTheme="majorBidi" w:cstheme="majorBidi"/>
          <w:bCs/>
          <w:sz w:val="24"/>
          <w:szCs w:val="24"/>
          <w:lang w:bidi="ar-JO"/>
        </w:rPr>
        <w:t xml:space="preserve">ing </w:t>
      </w:r>
      <w:r w:rsidR="00AD1DCB" w:rsidRPr="00373592">
        <w:rPr>
          <w:rFonts w:asciiTheme="majorBidi" w:eastAsia="Times New Roman" w:hAnsiTheme="majorBidi" w:cstheme="majorBidi"/>
          <w:bCs/>
          <w:sz w:val="24"/>
          <w:szCs w:val="24"/>
          <w:lang w:bidi="ar-JO"/>
        </w:rPr>
        <w:t xml:space="preserve"> the Center’s funds and movable and immovable assets </w:t>
      </w:r>
      <w:r w:rsidR="005E7F16" w:rsidRPr="00373592">
        <w:rPr>
          <w:rFonts w:asciiTheme="majorBidi" w:eastAsia="Times New Roman" w:hAnsiTheme="majorBidi" w:cstheme="majorBidi"/>
          <w:bCs/>
          <w:sz w:val="24"/>
          <w:szCs w:val="24"/>
          <w:lang w:bidi="ar-JO"/>
        </w:rPr>
        <w:t xml:space="preserve">all falls within the responsibility of the NCHR Secretariat </w:t>
      </w:r>
      <w:r w:rsidR="00AD1DCB" w:rsidRPr="00373592">
        <w:rPr>
          <w:rFonts w:asciiTheme="majorBidi" w:eastAsia="Times New Roman" w:hAnsiTheme="majorBidi" w:cstheme="majorBidi"/>
          <w:bCs/>
          <w:sz w:val="24"/>
          <w:szCs w:val="24"/>
          <w:lang w:bidi="ar-JO"/>
        </w:rPr>
        <w:t>in accordance with the bases approved by the Board of Trustees.</w:t>
      </w:r>
      <w:r w:rsidR="0014503B" w:rsidRPr="00373592">
        <w:rPr>
          <w:rFonts w:asciiTheme="majorBidi" w:eastAsia="Times New Roman" w:hAnsiTheme="majorBidi" w:cstheme="majorBidi"/>
          <w:bCs/>
          <w:sz w:val="24"/>
          <w:szCs w:val="24"/>
          <w:lang w:bidi="ar-JO"/>
        </w:rPr>
        <w:t xml:space="preserve"> This degree of the financial and the administrate </w:t>
      </w:r>
      <w:r w:rsidR="00B0351D" w:rsidRPr="00373592">
        <w:rPr>
          <w:rFonts w:asciiTheme="majorBidi" w:eastAsia="Times New Roman" w:hAnsiTheme="majorBidi" w:cstheme="majorBidi"/>
          <w:bCs/>
          <w:sz w:val="24"/>
          <w:szCs w:val="24"/>
          <w:lang w:bidi="ar-JO"/>
        </w:rPr>
        <w:t>autonomy is</w:t>
      </w:r>
      <w:r w:rsidR="0014503B" w:rsidRPr="00373592">
        <w:rPr>
          <w:rFonts w:asciiTheme="majorBidi" w:eastAsia="Times New Roman" w:hAnsiTheme="majorBidi" w:cstheme="majorBidi"/>
          <w:bCs/>
          <w:sz w:val="24"/>
          <w:szCs w:val="24"/>
          <w:lang w:bidi="ar-JO"/>
        </w:rPr>
        <w:t xml:space="preserve"> </w:t>
      </w:r>
      <w:r w:rsidR="0014503B" w:rsidRPr="00373592">
        <w:rPr>
          <w:rFonts w:asciiTheme="majorBidi" w:eastAsia="Times New Roman" w:hAnsiTheme="majorBidi" w:cstheme="majorBidi"/>
          <w:bCs/>
          <w:sz w:val="24"/>
          <w:szCs w:val="24"/>
          <w:lang w:bidi="ar-JO"/>
        </w:rPr>
        <w:lastRenderedPageBreak/>
        <w:t xml:space="preserve">considered </w:t>
      </w:r>
      <w:r w:rsidR="00B0351D" w:rsidRPr="00373592">
        <w:rPr>
          <w:rFonts w:asciiTheme="majorBidi" w:eastAsia="Times New Roman" w:hAnsiTheme="majorBidi" w:cstheme="majorBidi"/>
          <w:bCs/>
          <w:sz w:val="24"/>
          <w:szCs w:val="24"/>
          <w:lang w:bidi="ar-JO"/>
        </w:rPr>
        <w:t>a</w:t>
      </w:r>
      <w:r w:rsidR="0014503B" w:rsidRPr="00373592">
        <w:rPr>
          <w:rFonts w:asciiTheme="majorBidi" w:eastAsia="Times New Roman" w:hAnsiTheme="majorBidi" w:cstheme="majorBidi"/>
          <w:bCs/>
          <w:sz w:val="24"/>
          <w:szCs w:val="24"/>
          <w:lang w:bidi="ar-JO"/>
        </w:rPr>
        <w:t xml:space="preserve"> unique privilege of the Center that sets it apart from </w:t>
      </w:r>
      <w:r w:rsidR="00B0351D" w:rsidRPr="00373592">
        <w:rPr>
          <w:rFonts w:asciiTheme="majorBidi" w:eastAsia="Times New Roman" w:hAnsiTheme="majorBidi" w:cstheme="majorBidi"/>
          <w:bCs/>
          <w:sz w:val="24"/>
          <w:szCs w:val="24"/>
          <w:lang w:bidi="ar-JO"/>
        </w:rPr>
        <w:t xml:space="preserve">other </w:t>
      </w:r>
      <w:r w:rsidR="0014503B" w:rsidRPr="00373592">
        <w:rPr>
          <w:rFonts w:asciiTheme="majorBidi" w:eastAsia="Times New Roman" w:hAnsiTheme="majorBidi" w:cstheme="majorBidi"/>
          <w:bCs/>
          <w:sz w:val="24"/>
          <w:szCs w:val="24"/>
          <w:lang w:bidi="ar-JO"/>
        </w:rPr>
        <w:t>similar national human rights institutions.</w:t>
      </w:r>
    </w:p>
    <w:p w:rsidR="00837009" w:rsidRPr="00373592" w:rsidRDefault="00837009" w:rsidP="00504D8C">
      <w:pPr>
        <w:spacing w:after="0"/>
        <w:jc w:val="both"/>
        <w:rPr>
          <w:rFonts w:asciiTheme="majorBidi" w:eastAsia="Times New Roman" w:hAnsiTheme="majorBidi" w:cstheme="majorBidi"/>
          <w:b/>
          <w:sz w:val="24"/>
          <w:szCs w:val="24"/>
          <w:rtl/>
          <w:lang w:bidi="ar-JO"/>
        </w:rPr>
      </w:pPr>
    </w:p>
    <w:p w:rsidR="006110E1" w:rsidRPr="00373592" w:rsidRDefault="008203C8" w:rsidP="00A30D97">
      <w:pPr>
        <w:bidi w:val="0"/>
        <w:spacing w:after="0"/>
        <w:jc w:val="both"/>
        <w:rPr>
          <w:rFonts w:asciiTheme="majorBidi" w:eastAsia="Times New Roman" w:hAnsiTheme="majorBidi" w:cstheme="majorBidi"/>
          <w:bCs/>
          <w:sz w:val="24"/>
          <w:szCs w:val="24"/>
          <w:lang w:bidi="ar-JO"/>
        </w:rPr>
      </w:pPr>
      <w:r w:rsidRPr="00373592">
        <w:rPr>
          <w:rFonts w:asciiTheme="majorBidi" w:eastAsia="Times New Roman" w:hAnsiTheme="majorBidi" w:cstheme="majorBidi"/>
          <w:bCs/>
          <w:sz w:val="24"/>
          <w:szCs w:val="24"/>
          <w:lang w:bidi="ar-JO"/>
        </w:rPr>
        <w:t xml:space="preserve">At present, the NCHR has an overall staffing of (44), (57%) </w:t>
      </w:r>
      <w:r w:rsidR="005B6E9E" w:rsidRPr="00373592">
        <w:rPr>
          <w:rFonts w:asciiTheme="majorBidi" w:eastAsia="Times New Roman" w:hAnsiTheme="majorBidi" w:cstheme="majorBidi"/>
          <w:bCs/>
          <w:sz w:val="24"/>
          <w:szCs w:val="24"/>
          <w:lang w:bidi="ar-JO"/>
        </w:rPr>
        <w:t xml:space="preserve">out of them </w:t>
      </w:r>
      <w:r w:rsidRPr="00373592">
        <w:rPr>
          <w:rFonts w:asciiTheme="majorBidi" w:eastAsia="Times New Roman" w:hAnsiTheme="majorBidi" w:cstheme="majorBidi"/>
          <w:bCs/>
          <w:sz w:val="24"/>
          <w:szCs w:val="24"/>
          <w:lang w:bidi="ar-JO"/>
        </w:rPr>
        <w:t>hold</w:t>
      </w:r>
      <w:r w:rsidR="005B6E9E" w:rsidRPr="00373592">
        <w:rPr>
          <w:rFonts w:asciiTheme="majorBidi" w:eastAsia="Times New Roman" w:hAnsiTheme="majorBidi" w:cstheme="majorBidi"/>
          <w:bCs/>
          <w:sz w:val="24"/>
          <w:szCs w:val="24"/>
          <w:lang w:bidi="ar-JO"/>
        </w:rPr>
        <w:t xml:space="preserve"> </w:t>
      </w:r>
      <w:r w:rsidRPr="00373592">
        <w:rPr>
          <w:rFonts w:asciiTheme="majorBidi" w:eastAsia="Times New Roman" w:hAnsiTheme="majorBidi" w:cstheme="majorBidi"/>
          <w:bCs/>
          <w:sz w:val="24"/>
          <w:szCs w:val="24"/>
          <w:lang w:bidi="ar-JO"/>
        </w:rPr>
        <w:t xml:space="preserve"> professi</w:t>
      </w:r>
      <w:r w:rsidR="00286D7E" w:rsidRPr="00373592">
        <w:rPr>
          <w:rFonts w:asciiTheme="majorBidi" w:eastAsia="Times New Roman" w:hAnsiTheme="majorBidi" w:cstheme="majorBidi"/>
          <w:bCs/>
          <w:sz w:val="24"/>
          <w:szCs w:val="24"/>
          <w:lang w:bidi="ar-JO"/>
        </w:rPr>
        <w:t>onal level posts</w:t>
      </w:r>
      <w:r w:rsidR="00A30D97" w:rsidRPr="00373592">
        <w:rPr>
          <w:rFonts w:asciiTheme="majorBidi" w:eastAsia="Times New Roman" w:hAnsiTheme="majorBidi" w:cstheme="majorBidi"/>
          <w:bCs/>
          <w:sz w:val="24"/>
          <w:szCs w:val="24"/>
          <w:lang w:bidi="ar-JO"/>
        </w:rPr>
        <w:t xml:space="preserve"> specialized in human rights</w:t>
      </w:r>
      <w:r w:rsidR="00286D7E" w:rsidRPr="00373592">
        <w:rPr>
          <w:rFonts w:asciiTheme="majorBidi" w:eastAsia="Times New Roman" w:hAnsiTheme="majorBidi" w:cstheme="majorBidi"/>
          <w:bCs/>
          <w:sz w:val="24"/>
          <w:szCs w:val="24"/>
          <w:lang w:bidi="ar-JO"/>
        </w:rPr>
        <w:t>, which include</w:t>
      </w:r>
      <w:r w:rsidRPr="00373592">
        <w:rPr>
          <w:rFonts w:asciiTheme="majorBidi" w:eastAsia="Times New Roman" w:hAnsiTheme="majorBidi" w:cstheme="majorBidi"/>
          <w:bCs/>
          <w:sz w:val="24"/>
          <w:szCs w:val="24"/>
          <w:lang w:bidi="ar-JO"/>
        </w:rPr>
        <w:t xml:space="preserve"> monitoring and verifying respect of human rights, follow up complaints, </w:t>
      </w:r>
      <w:r w:rsidR="00A30D97" w:rsidRPr="00373592">
        <w:rPr>
          <w:rFonts w:asciiTheme="majorBidi" w:eastAsia="Times New Roman" w:hAnsiTheme="majorBidi" w:cstheme="majorBidi"/>
          <w:bCs/>
          <w:sz w:val="24"/>
          <w:szCs w:val="24"/>
          <w:lang w:bidi="ar-JO"/>
        </w:rPr>
        <w:t xml:space="preserve">studying and analyzing </w:t>
      </w:r>
      <w:r w:rsidRPr="00373592">
        <w:rPr>
          <w:rFonts w:asciiTheme="majorBidi" w:eastAsia="Times New Roman" w:hAnsiTheme="majorBidi" w:cstheme="majorBidi"/>
          <w:bCs/>
          <w:sz w:val="24"/>
          <w:szCs w:val="24"/>
          <w:lang w:bidi="ar-JO"/>
        </w:rPr>
        <w:t>legislations</w:t>
      </w:r>
      <w:r w:rsidR="00006289" w:rsidRPr="00373592">
        <w:rPr>
          <w:rFonts w:asciiTheme="majorBidi" w:eastAsia="Times New Roman" w:hAnsiTheme="majorBidi" w:cstheme="majorBidi"/>
          <w:bCs/>
          <w:sz w:val="24"/>
          <w:szCs w:val="24"/>
          <w:lang w:bidi="ar-JO"/>
        </w:rPr>
        <w:t xml:space="preserve"> </w:t>
      </w:r>
      <w:r w:rsidRPr="00373592">
        <w:rPr>
          <w:rFonts w:asciiTheme="majorBidi" w:eastAsia="Times New Roman" w:hAnsiTheme="majorBidi" w:cstheme="majorBidi"/>
          <w:bCs/>
          <w:sz w:val="24"/>
          <w:szCs w:val="24"/>
          <w:lang w:bidi="ar-JO"/>
        </w:rPr>
        <w:t>,</w:t>
      </w:r>
      <w:r w:rsidR="00006289" w:rsidRPr="00373592">
        <w:rPr>
          <w:rFonts w:asciiTheme="majorBidi" w:eastAsia="Times New Roman" w:hAnsiTheme="majorBidi" w:cstheme="majorBidi"/>
          <w:bCs/>
          <w:sz w:val="24"/>
          <w:szCs w:val="24"/>
          <w:lang w:bidi="ar-JO"/>
        </w:rPr>
        <w:t>awareness</w:t>
      </w:r>
      <w:r w:rsidR="00A30D97" w:rsidRPr="00373592">
        <w:rPr>
          <w:rFonts w:asciiTheme="majorBidi" w:eastAsia="Times New Roman" w:hAnsiTheme="majorBidi" w:cstheme="majorBidi"/>
          <w:bCs/>
          <w:sz w:val="24"/>
          <w:szCs w:val="24"/>
          <w:lang w:bidi="ar-JO"/>
        </w:rPr>
        <w:t xml:space="preserve"> training and</w:t>
      </w:r>
      <w:r w:rsidR="00006289" w:rsidRPr="00373592">
        <w:rPr>
          <w:rFonts w:asciiTheme="majorBidi" w:eastAsia="Times New Roman" w:hAnsiTheme="majorBidi" w:cstheme="majorBidi"/>
          <w:bCs/>
          <w:sz w:val="24"/>
          <w:szCs w:val="24"/>
          <w:lang w:bidi="ar-JO"/>
        </w:rPr>
        <w:t xml:space="preserve"> education, </w:t>
      </w:r>
      <w:r w:rsidRPr="00373592">
        <w:rPr>
          <w:rFonts w:asciiTheme="majorBidi" w:eastAsia="Times New Roman" w:hAnsiTheme="majorBidi" w:cstheme="majorBidi"/>
          <w:bCs/>
          <w:sz w:val="24"/>
          <w:szCs w:val="24"/>
          <w:lang w:bidi="ar-JO"/>
        </w:rPr>
        <w:t xml:space="preserve">, </w:t>
      </w:r>
      <w:r w:rsidR="00A30D97" w:rsidRPr="00373592">
        <w:rPr>
          <w:rFonts w:asciiTheme="majorBidi" w:eastAsia="Times New Roman" w:hAnsiTheme="majorBidi" w:cstheme="majorBidi"/>
          <w:bCs/>
          <w:sz w:val="24"/>
          <w:szCs w:val="24"/>
          <w:lang w:bidi="ar-JO"/>
        </w:rPr>
        <w:t xml:space="preserve">as well as </w:t>
      </w:r>
      <w:r w:rsidR="00B778A6" w:rsidRPr="00373592">
        <w:rPr>
          <w:rFonts w:asciiTheme="majorBidi" w:eastAsia="Times New Roman" w:hAnsiTheme="majorBidi" w:cstheme="majorBidi"/>
          <w:bCs/>
          <w:sz w:val="24"/>
          <w:szCs w:val="24"/>
          <w:lang w:bidi="ar-JO"/>
        </w:rPr>
        <w:t>conducting studies. The majority of the professional staff are lawyers and human rights activists, and many of them had previously worked in CBOs and gained a wide experience in monitoring, verifications and complaints handling</w:t>
      </w:r>
      <w:r w:rsidR="00B02267" w:rsidRPr="00373592">
        <w:rPr>
          <w:rFonts w:asciiTheme="majorBidi" w:eastAsia="Times New Roman" w:hAnsiTheme="majorBidi" w:cstheme="majorBidi"/>
          <w:bCs/>
          <w:sz w:val="24"/>
          <w:szCs w:val="24"/>
          <w:lang w:bidi="ar-JO"/>
        </w:rPr>
        <w:t>.</w:t>
      </w:r>
    </w:p>
    <w:p w:rsidR="006110E1" w:rsidRPr="00373592" w:rsidRDefault="006110E1" w:rsidP="002941F8">
      <w:pPr>
        <w:bidi w:val="0"/>
        <w:spacing w:after="0"/>
        <w:jc w:val="both"/>
        <w:rPr>
          <w:rFonts w:asciiTheme="majorBidi" w:eastAsia="Times New Roman" w:hAnsiTheme="majorBidi" w:cstheme="majorBidi"/>
          <w:bCs/>
          <w:sz w:val="24"/>
          <w:szCs w:val="24"/>
          <w:rtl/>
          <w:lang w:bidi="ar-JO"/>
        </w:rPr>
      </w:pPr>
      <w:r w:rsidRPr="00373592">
        <w:rPr>
          <w:rFonts w:asciiTheme="majorBidi" w:eastAsia="Times New Roman" w:hAnsiTheme="majorBidi" w:cstheme="majorBidi"/>
          <w:bCs/>
          <w:sz w:val="24"/>
          <w:szCs w:val="24"/>
          <w:lang w:bidi="ar-JO"/>
        </w:rPr>
        <w:t xml:space="preserve">The </w:t>
      </w:r>
      <w:r w:rsidR="00286D7E" w:rsidRPr="00373592">
        <w:rPr>
          <w:rFonts w:asciiTheme="majorBidi" w:eastAsia="Times New Roman" w:hAnsiTheme="majorBidi" w:cstheme="majorBidi"/>
          <w:bCs/>
          <w:sz w:val="24"/>
          <w:szCs w:val="24"/>
          <w:lang w:bidi="ar-JO"/>
        </w:rPr>
        <w:t xml:space="preserve">remaining staff </w:t>
      </w:r>
      <w:r w:rsidR="00A30D97" w:rsidRPr="00373592">
        <w:rPr>
          <w:rFonts w:asciiTheme="majorBidi" w:eastAsia="Times New Roman" w:hAnsiTheme="majorBidi" w:cstheme="majorBidi"/>
          <w:bCs/>
          <w:sz w:val="24"/>
          <w:szCs w:val="24"/>
          <w:lang w:bidi="ar-JO"/>
        </w:rPr>
        <w:t>members provide</w:t>
      </w:r>
      <w:r w:rsidR="00286D7E" w:rsidRPr="00373592">
        <w:rPr>
          <w:rFonts w:asciiTheme="majorBidi" w:eastAsia="Times New Roman" w:hAnsiTheme="majorBidi" w:cstheme="majorBidi"/>
          <w:bCs/>
          <w:sz w:val="24"/>
          <w:szCs w:val="24"/>
          <w:lang w:bidi="ar-JO"/>
        </w:rPr>
        <w:t xml:space="preserve"> </w:t>
      </w:r>
      <w:r w:rsidRPr="00373592">
        <w:rPr>
          <w:rFonts w:asciiTheme="majorBidi" w:eastAsia="Times New Roman" w:hAnsiTheme="majorBidi" w:cstheme="majorBidi"/>
          <w:bCs/>
          <w:sz w:val="24"/>
          <w:szCs w:val="24"/>
          <w:lang w:bidi="ar-JO"/>
        </w:rPr>
        <w:t xml:space="preserve">administrative backstopping and secretarial support for the above-mentioned activities. </w:t>
      </w:r>
      <w:r w:rsidR="00286D7E" w:rsidRPr="00373592">
        <w:rPr>
          <w:rFonts w:asciiTheme="majorBidi" w:eastAsia="Times New Roman" w:hAnsiTheme="majorBidi" w:cstheme="majorBidi"/>
          <w:bCs/>
          <w:sz w:val="24"/>
          <w:szCs w:val="24"/>
          <w:lang w:bidi="ar-JO"/>
        </w:rPr>
        <w:t>In 2014, in response to the increased workload in the field of the promotion and the protection of human rights in the Kingdom,  t</w:t>
      </w:r>
      <w:r w:rsidRPr="00373592">
        <w:rPr>
          <w:rFonts w:asciiTheme="majorBidi" w:eastAsia="Times New Roman" w:hAnsiTheme="majorBidi" w:cstheme="majorBidi"/>
          <w:bCs/>
          <w:sz w:val="24"/>
          <w:szCs w:val="24"/>
          <w:lang w:bidi="ar-JO"/>
        </w:rPr>
        <w:t>he professional level staff members increased compared to the year 2010</w:t>
      </w:r>
      <w:r w:rsidR="00286D7E" w:rsidRPr="00373592">
        <w:rPr>
          <w:rFonts w:asciiTheme="majorBidi" w:eastAsia="Times New Roman" w:hAnsiTheme="majorBidi" w:cstheme="majorBidi"/>
          <w:bCs/>
          <w:sz w:val="24"/>
          <w:szCs w:val="24"/>
          <w:lang w:bidi="ar-JO"/>
        </w:rPr>
        <w:t>, by the</w:t>
      </w:r>
      <w:r w:rsidRPr="00373592">
        <w:rPr>
          <w:rFonts w:asciiTheme="majorBidi" w:eastAsia="Times New Roman" w:hAnsiTheme="majorBidi" w:cstheme="majorBidi"/>
          <w:bCs/>
          <w:sz w:val="24"/>
          <w:szCs w:val="24"/>
          <w:lang w:bidi="ar-JO"/>
        </w:rPr>
        <w:t xml:space="preserve"> appointment of 7 new</w:t>
      </w:r>
      <w:r w:rsidR="00286D7E" w:rsidRPr="00373592">
        <w:rPr>
          <w:rFonts w:asciiTheme="majorBidi" w:eastAsia="Times New Roman" w:hAnsiTheme="majorBidi" w:cstheme="majorBidi"/>
          <w:bCs/>
          <w:sz w:val="24"/>
          <w:szCs w:val="24"/>
          <w:lang w:bidi="ar-JO"/>
        </w:rPr>
        <w:t xml:space="preserve"> </w:t>
      </w:r>
      <w:r w:rsidRPr="00373592">
        <w:rPr>
          <w:rFonts w:asciiTheme="majorBidi" w:eastAsia="Times New Roman" w:hAnsiTheme="majorBidi" w:cstheme="majorBidi"/>
          <w:bCs/>
          <w:sz w:val="24"/>
          <w:szCs w:val="24"/>
          <w:lang w:bidi="ar-JO"/>
        </w:rPr>
        <w:t>staff members</w:t>
      </w:r>
      <w:r w:rsidR="00ED6F99" w:rsidRPr="00373592">
        <w:rPr>
          <w:rFonts w:asciiTheme="majorBidi" w:eastAsia="Times New Roman" w:hAnsiTheme="majorBidi" w:cstheme="majorBidi"/>
          <w:bCs/>
          <w:sz w:val="24"/>
          <w:szCs w:val="24"/>
          <w:lang w:bidi="ar-JO"/>
        </w:rPr>
        <w:t>.</w:t>
      </w:r>
      <w:r w:rsidR="00D725CF" w:rsidRPr="00373592">
        <w:rPr>
          <w:rFonts w:asciiTheme="majorBidi" w:eastAsia="Times New Roman" w:hAnsiTheme="majorBidi" w:cstheme="majorBidi"/>
          <w:bCs/>
          <w:sz w:val="24"/>
          <w:szCs w:val="24"/>
          <w:lang w:bidi="ar-JO"/>
        </w:rPr>
        <w:t xml:space="preserve"> The Center, during the last four years has been pursuing a recruitment policy that take due regard of the standard rules of the equalization of opportunities </w:t>
      </w:r>
      <w:r w:rsidR="00443FA8" w:rsidRPr="00373592">
        <w:rPr>
          <w:rFonts w:asciiTheme="majorBidi" w:eastAsia="Times New Roman" w:hAnsiTheme="majorBidi" w:cstheme="majorBidi"/>
          <w:bCs/>
          <w:sz w:val="24"/>
          <w:szCs w:val="24"/>
          <w:lang w:bidi="ar-JO"/>
        </w:rPr>
        <w:t xml:space="preserve">and </w:t>
      </w:r>
      <w:r w:rsidR="00443FA8" w:rsidRPr="00373592">
        <w:rPr>
          <w:rFonts w:asciiTheme="majorBidi" w:hAnsiTheme="majorBidi" w:cstheme="majorBidi"/>
          <w:sz w:val="24"/>
          <w:szCs w:val="24"/>
        </w:rPr>
        <w:t>transparency</w:t>
      </w:r>
      <w:r w:rsidR="00D725CF" w:rsidRPr="00373592">
        <w:rPr>
          <w:rFonts w:asciiTheme="majorBidi" w:eastAsia="Times New Roman" w:hAnsiTheme="majorBidi" w:cstheme="majorBidi"/>
          <w:bCs/>
          <w:sz w:val="24"/>
          <w:szCs w:val="24"/>
          <w:lang w:bidi="ar-JO"/>
        </w:rPr>
        <w:t xml:space="preserve"> in the procedures. </w:t>
      </w:r>
      <w:r w:rsidR="009E4F3F" w:rsidRPr="00373592">
        <w:rPr>
          <w:rFonts w:asciiTheme="majorBidi" w:eastAsia="Times New Roman" w:hAnsiTheme="majorBidi" w:cstheme="majorBidi"/>
          <w:bCs/>
          <w:sz w:val="24"/>
          <w:szCs w:val="24"/>
          <w:lang w:bidi="ar-JO"/>
        </w:rPr>
        <w:t xml:space="preserve"> </w:t>
      </w:r>
      <w:r w:rsidR="00443FA8" w:rsidRPr="00373592">
        <w:rPr>
          <w:rFonts w:asciiTheme="majorBidi" w:eastAsia="Times New Roman" w:hAnsiTheme="majorBidi" w:cstheme="majorBidi"/>
          <w:bCs/>
          <w:sz w:val="24"/>
          <w:szCs w:val="24"/>
          <w:lang w:bidi="ar-JO"/>
        </w:rPr>
        <w:t>Vacancy</w:t>
      </w:r>
      <w:r w:rsidR="00D725CF" w:rsidRPr="00373592">
        <w:rPr>
          <w:rFonts w:asciiTheme="majorBidi" w:eastAsia="Times New Roman" w:hAnsiTheme="majorBidi" w:cstheme="majorBidi"/>
          <w:bCs/>
          <w:sz w:val="24"/>
          <w:szCs w:val="24"/>
          <w:lang w:bidi="ar-JO"/>
        </w:rPr>
        <w:t xml:space="preserve"> announcements </w:t>
      </w:r>
      <w:r w:rsidR="00443FA8" w:rsidRPr="00373592">
        <w:rPr>
          <w:rFonts w:asciiTheme="majorBidi" w:eastAsia="Times New Roman" w:hAnsiTheme="majorBidi" w:cstheme="majorBidi"/>
          <w:bCs/>
          <w:sz w:val="24"/>
          <w:szCs w:val="24"/>
          <w:lang w:bidi="ar-JO"/>
        </w:rPr>
        <w:t>are posted</w:t>
      </w:r>
      <w:r w:rsidR="00D725CF" w:rsidRPr="00373592">
        <w:rPr>
          <w:rFonts w:asciiTheme="majorBidi" w:eastAsia="Times New Roman" w:hAnsiTheme="majorBidi" w:cstheme="majorBidi"/>
          <w:bCs/>
          <w:sz w:val="24"/>
          <w:szCs w:val="24"/>
          <w:lang w:bidi="ar-JO"/>
        </w:rPr>
        <w:t xml:space="preserve"> in the local newspapers, while the recruitment was carried out by an independent committee where only the Commissioner General </w:t>
      </w:r>
      <w:r w:rsidR="00B206CB" w:rsidRPr="00373592">
        <w:rPr>
          <w:rFonts w:asciiTheme="majorBidi" w:eastAsia="Times New Roman" w:hAnsiTheme="majorBidi" w:cstheme="majorBidi"/>
          <w:bCs/>
          <w:sz w:val="24"/>
          <w:szCs w:val="24"/>
          <w:lang w:bidi="ar-JO"/>
        </w:rPr>
        <w:t xml:space="preserve">from the Center </w:t>
      </w:r>
      <w:r w:rsidR="00D725CF" w:rsidRPr="00373592">
        <w:rPr>
          <w:rFonts w:asciiTheme="majorBidi" w:eastAsia="Times New Roman" w:hAnsiTheme="majorBidi" w:cstheme="majorBidi"/>
          <w:bCs/>
          <w:sz w:val="24"/>
          <w:szCs w:val="24"/>
          <w:lang w:bidi="ar-JO"/>
        </w:rPr>
        <w:t xml:space="preserve">participated </w:t>
      </w:r>
      <w:r w:rsidR="00B206CB" w:rsidRPr="00373592">
        <w:rPr>
          <w:rFonts w:asciiTheme="majorBidi" w:eastAsia="Times New Roman" w:hAnsiTheme="majorBidi" w:cstheme="majorBidi"/>
          <w:bCs/>
          <w:sz w:val="24"/>
          <w:szCs w:val="24"/>
          <w:lang w:bidi="ar-JO"/>
        </w:rPr>
        <w:t xml:space="preserve">in its work. </w:t>
      </w:r>
      <w:r w:rsidR="00D725CF" w:rsidRPr="00373592">
        <w:rPr>
          <w:rFonts w:asciiTheme="majorBidi" w:eastAsia="Times New Roman" w:hAnsiTheme="majorBidi" w:cstheme="majorBidi"/>
          <w:bCs/>
          <w:sz w:val="24"/>
          <w:szCs w:val="24"/>
          <w:lang w:bidi="ar-JO"/>
        </w:rPr>
        <w:t xml:space="preserve">  </w:t>
      </w:r>
      <w:r w:rsidR="00B206CB" w:rsidRPr="00373592">
        <w:rPr>
          <w:rFonts w:asciiTheme="majorBidi" w:eastAsia="Times New Roman" w:hAnsiTheme="majorBidi" w:cstheme="majorBidi"/>
          <w:bCs/>
          <w:sz w:val="24"/>
          <w:szCs w:val="24"/>
          <w:lang w:bidi="ar-JO"/>
        </w:rPr>
        <w:t>The new staff members were employed on the basis of merit, and according to written tests results and personal interviews. The budget is deemed s</w:t>
      </w:r>
      <w:r w:rsidR="00286D7E" w:rsidRPr="00373592">
        <w:rPr>
          <w:rFonts w:asciiTheme="majorBidi" w:eastAsia="Times New Roman" w:hAnsiTheme="majorBidi" w:cstheme="majorBidi"/>
          <w:bCs/>
          <w:sz w:val="24"/>
          <w:szCs w:val="24"/>
          <w:lang w:bidi="ar-JO"/>
        </w:rPr>
        <w:t xml:space="preserve">ufficient to cover all of the </w:t>
      </w:r>
      <w:r w:rsidR="00B206CB" w:rsidRPr="00373592">
        <w:rPr>
          <w:rFonts w:asciiTheme="majorBidi" w:eastAsia="Times New Roman" w:hAnsiTheme="majorBidi" w:cstheme="majorBidi"/>
          <w:bCs/>
          <w:sz w:val="24"/>
          <w:szCs w:val="24"/>
          <w:lang w:bidi="ar-JO"/>
        </w:rPr>
        <w:t>running and the salary expenses etc.,  however,  the Center aims for increasing its budget in order to be able to implemen</w:t>
      </w:r>
      <w:r w:rsidR="00286D7E" w:rsidRPr="00373592">
        <w:rPr>
          <w:rFonts w:asciiTheme="majorBidi" w:eastAsia="Times New Roman" w:hAnsiTheme="majorBidi" w:cstheme="majorBidi"/>
          <w:bCs/>
          <w:sz w:val="24"/>
          <w:szCs w:val="24"/>
          <w:lang w:bidi="ar-JO"/>
        </w:rPr>
        <w:t>t</w:t>
      </w:r>
      <w:r w:rsidR="00B206CB" w:rsidRPr="00373592">
        <w:rPr>
          <w:rFonts w:asciiTheme="majorBidi" w:eastAsia="Times New Roman" w:hAnsiTheme="majorBidi" w:cstheme="majorBidi"/>
          <w:bCs/>
          <w:sz w:val="24"/>
          <w:szCs w:val="24"/>
          <w:lang w:bidi="ar-JO"/>
        </w:rPr>
        <w:t xml:space="preserve"> awareness-raising  and </w:t>
      </w:r>
      <w:r w:rsidR="0055546B" w:rsidRPr="00373592">
        <w:rPr>
          <w:rFonts w:asciiTheme="majorBidi" w:eastAsia="Times New Roman" w:hAnsiTheme="majorBidi" w:cstheme="majorBidi"/>
          <w:bCs/>
          <w:sz w:val="24"/>
          <w:szCs w:val="24"/>
          <w:lang w:bidi="ar-JO"/>
        </w:rPr>
        <w:t xml:space="preserve">education human rights programs, </w:t>
      </w:r>
      <w:r w:rsidR="00B206CB" w:rsidRPr="00373592">
        <w:rPr>
          <w:rFonts w:asciiTheme="majorBidi" w:eastAsia="Times New Roman" w:hAnsiTheme="majorBidi" w:cstheme="majorBidi"/>
          <w:bCs/>
          <w:sz w:val="24"/>
          <w:szCs w:val="24"/>
          <w:lang w:bidi="ar-JO"/>
        </w:rPr>
        <w:t>open branches in other governorates</w:t>
      </w:r>
      <w:r w:rsidR="0055546B" w:rsidRPr="00373592">
        <w:rPr>
          <w:rFonts w:asciiTheme="majorBidi" w:eastAsia="Times New Roman" w:hAnsiTheme="majorBidi" w:cstheme="majorBidi"/>
          <w:bCs/>
          <w:sz w:val="24"/>
          <w:szCs w:val="24"/>
          <w:lang w:bidi="ar-JO"/>
        </w:rPr>
        <w:t>, build networks and alliances to perform its functions,  and enhance the capacities of its own staff as well as of its partners</w:t>
      </w:r>
      <w:r w:rsidR="00EC3394" w:rsidRPr="00373592">
        <w:rPr>
          <w:rFonts w:asciiTheme="majorBidi" w:eastAsia="Times New Roman" w:hAnsiTheme="majorBidi" w:cstheme="majorBidi"/>
          <w:bCs/>
          <w:sz w:val="24"/>
          <w:szCs w:val="24"/>
          <w:lang w:bidi="ar-JO"/>
        </w:rPr>
        <w:t xml:space="preserve"> from among the civil society, judges, lawyers and media personnel, </w:t>
      </w:r>
      <w:r w:rsidR="0055546B" w:rsidRPr="00373592">
        <w:rPr>
          <w:rFonts w:asciiTheme="majorBidi" w:eastAsia="Times New Roman" w:hAnsiTheme="majorBidi" w:cstheme="majorBidi"/>
          <w:bCs/>
          <w:sz w:val="24"/>
          <w:szCs w:val="24"/>
          <w:lang w:bidi="ar-JO"/>
        </w:rPr>
        <w:t xml:space="preserve"> in the area of </w:t>
      </w:r>
      <w:r w:rsidR="00286D7E" w:rsidRPr="00373592">
        <w:rPr>
          <w:rFonts w:asciiTheme="majorBidi" w:eastAsia="Times New Roman" w:hAnsiTheme="majorBidi" w:cstheme="majorBidi"/>
          <w:bCs/>
          <w:sz w:val="24"/>
          <w:szCs w:val="24"/>
          <w:lang w:bidi="ar-JO"/>
        </w:rPr>
        <w:t xml:space="preserve">promoting </w:t>
      </w:r>
      <w:r w:rsidR="0055546B" w:rsidRPr="00373592">
        <w:rPr>
          <w:rFonts w:asciiTheme="majorBidi" w:eastAsia="Times New Roman" w:hAnsiTheme="majorBidi" w:cstheme="majorBidi"/>
          <w:bCs/>
          <w:sz w:val="24"/>
          <w:szCs w:val="24"/>
          <w:lang w:bidi="ar-JO"/>
        </w:rPr>
        <w:t xml:space="preserve">monitoring and human rights. </w:t>
      </w:r>
    </w:p>
    <w:p w:rsidR="00B96B08" w:rsidRPr="00373592" w:rsidRDefault="00B96B08" w:rsidP="00DA377D">
      <w:pPr>
        <w:bidi w:val="0"/>
        <w:ind w:right="26"/>
        <w:jc w:val="both"/>
        <w:rPr>
          <w:rFonts w:asciiTheme="majorBidi" w:hAnsiTheme="majorBidi" w:cstheme="majorBidi"/>
          <w:sz w:val="24"/>
          <w:szCs w:val="24"/>
        </w:rPr>
      </w:pPr>
      <w:r w:rsidRPr="00373592">
        <w:rPr>
          <w:rFonts w:asciiTheme="majorBidi" w:hAnsiTheme="majorBidi" w:cstheme="majorBidi"/>
          <w:sz w:val="24"/>
          <w:szCs w:val="24"/>
        </w:rPr>
        <w:t xml:space="preserve">In relation to the NCHR recommendations, it is to be noted that the Jordanian government follows up these recommendations and responds to </w:t>
      </w:r>
      <w:r w:rsidR="00C65717" w:rsidRPr="00373592">
        <w:rPr>
          <w:rFonts w:asciiTheme="majorBidi" w:hAnsiTheme="majorBidi" w:cstheme="majorBidi"/>
          <w:sz w:val="24"/>
          <w:szCs w:val="24"/>
        </w:rPr>
        <w:t>Center's</w:t>
      </w:r>
      <w:r w:rsidRPr="00373592">
        <w:rPr>
          <w:rFonts w:asciiTheme="majorBidi" w:hAnsiTheme="majorBidi" w:cstheme="majorBidi"/>
          <w:sz w:val="24"/>
          <w:szCs w:val="24"/>
        </w:rPr>
        <w:t xml:space="preserve"> reports </w:t>
      </w:r>
      <w:r w:rsidR="00C65717" w:rsidRPr="00373592">
        <w:rPr>
          <w:rFonts w:asciiTheme="majorBidi" w:hAnsiTheme="majorBidi" w:cstheme="majorBidi"/>
          <w:sz w:val="24"/>
          <w:szCs w:val="24"/>
        </w:rPr>
        <w:t xml:space="preserve">directly or </w:t>
      </w:r>
      <w:r w:rsidRPr="00373592">
        <w:rPr>
          <w:rFonts w:asciiTheme="majorBidi" w:hAnsiTheme="majorBidi" w:cstheme="majorBidi"/>
          <w:sz w:val="24"/>
          <w:szCs w:val="24"/>
        </w:rPr>
        <w:t>through the Human Rights Coordinator Office at the Prime Ministry</w:t>
      </w:r>
      <w:r w:rsidR="00FF6C08" w:rsidRPr="00373592">
        <w:rPr>
          <w:rFonts w:asciiTheme="majorBidi" w:hAnsiTheme="majorBidi" w:cstheme="majorBidi"/>
          <w:sz w:val="24"/>
          <w:szCs w:val="24"/>
        </w:rPr>
        <w:t xml:space="preserve">, </w:t>
      </w:r>
      <w:r w:rsidR="00250E5B" w:rsidRPr="00373592">
        <w:rPr>
          <w:rFonts w:asciiTheme="majorBidi" w:hAnsiTheme="majorBidi" w:cstheme="majorBidi"/>
          <w:sz w:val="24"/>
          <w:szCs w:val="24"/>
        </w:rPr>
        <w:t>at the direction of</w:t>
      </w:r>
      <w:r w:rsidR="00FF6C08" w:rsidRPr="00373592">
        <w:rPr>
          <w:rFonts w:asciiTheme="majorBidi" w:hAnsiTheme="majorBidi" w:cstheme="majorBidi"/>
          <w:sz w:val="24"/>
          <w:szCs w:val="24"/>
        </w:rPr>
        <w:t xml:space="preserve"> the Prime Minister to all ministers and official institutions</w:t>
      </w:r>
      <w:r w:rsidRPr="00373592">
        <w:rPr>
          <w:rFonts w:asciiTheme="majorBidi" w:hAnsiTheme="majorBidi" w:cstheme="majorBidi"/>
          <w:sz w:val="24"/>
          <w:szCs w:val="24"/>
        </w:rPr>
        <w:t xml:space="preserve"> and the Government Coordination Team, </w:t>
      </w:r>
      <w:r w:rsidR="00FF6C08" w:rsidRPr="00373592">
        <w:rPr>
          <w:rFonts w:asciiTheme="majorBidi" w:hAnsiTheme="majorBidi" w:cstheme="majorBidi"/>
          <w:sz w:val="24"/>
          <w:szCs w:val="24"/>
        </w:rPr>
        <w:t xml:space="preserve">which is </w:t>
      </w:r>
      <w:r w:rsidRPr="00373592">
        <w:rPr>
          <w:rFonts w:asciiTheme="majorBidi" w:hAnsiTheme="majorBidi" w:cstheme="majorBidi"/>
          <w:sz w:val="24"/>
          <w:szCs w:val="24"/>
        </w:rPr>
        <w:t xml:space="preserve">comprised of </w:t>
      </w:r>
      <w:r w:rsidR="005B50EB" w:rsidRPr="00373592">
        <w:rPr>
          <w:rFonts w:asciiTheme="majorBidi" w:hAnsiTheme="majorBidi" w:cstheme="majorBidi"/>
          <w:sz w:val="24"/>
          <w:szCs w:val="24"/>
        </w:rPr>
        <w:t>liaison</w:t>
      </w:r>
      <w:r w:rsidRPr="00373592">
        <w:rPr>
          <w:rFonts w:asciiTheme="majorBidi" w:hAnsiTheme="majorBidi" w:cstheme="majorBidi"/>
          <w:sz w:val="24"/>
          <w:szCs w:val="24"/>
        </w:rPr>
        <w:t xml:space="preserve"> officers working in the ministries and </w:t>
      </w:r>
      <w:r w:rsidR="00760D91" w:rsidRPr="00373592">
        <w:rPr>
          <w:rFonts w:asciiTheme="majorBidi" w:hAnsiTheme="majorBidi" w:cstheme="majorBidi"/>
          <w:sz w:val="24"/>
          <w:szCs w:val="24"/>
        </w:rPr>
        <w:t xml:space="preserve">other </w:t>
      </w:r>
      <w:r w:rsidRPr="00373592">
        <w:rPr>
          <w:rFonts w:asciiTheme="majorBidi" w:hAnsiTheme="majorBidi" w:cstheme="majorBidi"/>
          <w:sz w:val="24"/>
          <w:szCs w:val="24"/>
        </w:rPr>
        <w:t>official institutions</w:t>
      </w:r>
      <w:r w:rsidR="005B50EB" w:rsidRPr="00373592">
        <w:rPr>
          <w:rFonts w:asciiTheme="majorBidi" w:hAnsiTheme="majorBidi" w:cstheme="majorBidi"/>
          <w:sz w:val="24"/>
          <w:szCs w:val="24"/>
        </w:rPr>
        <w:t>. The</w:t>
      </w:r>
      <w:r w:rsidR="00486440" w:rsidRPr="00373592">
        <w:rPr>
          <w:rFonts w:asciiTheme="majorBidi" w:hAnsiTheme="majorBidi" w:cstheme="majorBidi"/>
          <w:sz w:val="24"/>
          <w:szCs w:val="24"/>
        </w:rPr>
        <w:t xml:space="preserve"> team has issued three “explanatory reports</w:t>
      </w:r>
      <w:r w:rsidR="00F866B5" w:rsidRPr="00373592">
        <w:rPr>
          <w:rFonts w:asciiTheme="majorBidi" w:hAnsiTheme="majorBidi" w:cstheme="majorBidi"/>
          <w:sz w:val="24"/>
          <w:szCs w:val="24"/>
        </w:rPr>
        <w:t>”. The</w:t>
      </w:r>
      <w:r w:rsidR="00CF697A" w:rsidRPr="00373592">
        <w:rPr>
          <w:rFonts w:asciiTheme="majorBidi" w:hAnsiTheme="majorBidi" w:cstheme="majorBidi"/>
          <w:sz w:val="24"/>
          <w:szCs w:val="24"/>
        </w:rPr>
        <w:t xml:space="preserve"> reports indicated the procedures taken by the Jordanian Government with regard to the implementation of the recommendations in the areas of legislation, policies, and procedures</w:t>
      </w:r>
      <w:r w:rsidR="00512B4F" w:rsidRPr="00373592">
        <w:rPr>
          <w:rFonts w:asciiTheme="majorBidi" w:hAnsiTheme="majorBidi" w:cstheme="majorBidi"/>
          <w:sz w:val="24"/>
          <w:szCs w:val="24"/>
        </w:rPr>
        <w:t>, as well as in addressing the recommendations issued by the international governmental, non-governmental, and treaty-based committees</w:t>
      </w:r>
      <w:r w:rsidR="00BE67DC" w:rsidRPr="00373592">
        <w:rPr>
          <w:rFonts w:asciiTheme="majorBidi" w:hAnsiTheme="majorBidi" w:cstheme="majorBidi"/>
          <w:sz w:val="24"/>
          <w:szCs w:val="24"/>
        </w:rPr>
        <w:t>. In addition, in March, 2016 the Jordanian Government launched the C</w:t>
      </w:r>
      <w:r w:rsidR="00512B4F" w:rsidRPr="00373592">
        <w:rPr>
          <w:rFonts w:asciiTheme="majorBidi" w:hAnsiTheme="majorBidi" w:cstheme="majorBidi"/>
          <w:sz w:val="24"/>
          <w:szCs w:val="24"/>
        </w:rPr>
        <w:t xml:space="preserve">omprehensive human Rights Plan </w:t>
      </w:r>
      <w:r w:rsidR="00BE67DC" w:rsidRPr="00373592">
        <w:rPr>
          <w:rFonts w:asciiTheme="majorBidi" w:hAnsiTheme="majorBidi" w:cstheme="majorBidi"/>
          <w:sz w:val="24"/>
          <w:szCs w:val="24"/>
        </w:rPr>
        <w:t>for</w:t>
      </w:r>
      <w:r w:rsidR="00760D91" w:rsidRPr="00373592">
        <w:rPr>
          <w:rFonts w:asciiTheme="majorBidi" w:hAnsiTheme="majorBidi" w:cstheme="majorBidi"/>
          <w:sz w:val="24"/>
          <w:szCs w:val="24"/>
        </w:rPr>
        <w:t xml:space="preserve"> the period (2016-2025), which could be</w:t>
      </w:r>
      <w:r w:rsidR="00BE67DC" w:rsidRPr="00373592">
        <w:rPr>
          <w:rFonts w:asciiTheme="majorBidi" w:hAnsiTheme="majorBidi" w:cstheme="majorBidi"/>
          <w:sz w:val="24"/>
          <w:szCs w:val="24"/>
        </w:rPr>
        <w:t xml:space="preserve"> deemed</w:t>
      </w:r>
      <w:r w:rsidR="00512B4F" w:rsidRPr="00373592">
        <w:rPr>
          <w:rFonts w:asciiTheme="majorBidi" w:hAnsiTheme="majorBidi" w:cstheme="majorBidi"/>
          <w:sz w:val="24"/>
          <w:szCs w:val="24"/>
        </w:rPr>
        <w:t>, despite its length</w:t>
      </w:r>
      <w:r w:rsidR="002941F8" w:rsidRPr="00373592">
        <w:rPr>
          <w:rFonts w:asciiTheme="majorBidi" w:hAnsiTheme="majorBidi" w:cstheme="majorBidi"/>
          <w:sz w:val="24"/>
          <w:szCs w:val="24"/>
        </w:rPr>
        <w:t>, a</w:t>
      </w:r>
      <w:r w:rsidR="00BE67DC" w:rsidRPr="00373592">
        <w:rPr>
          <w:rFonts w:asciiTheme="majorBidi" w:hAnsiTheme="majorBidi" w:cstheme="majorBidi"/>
          <w:sz w:val="24"/>
          <w:szCs w:val="24"/>
        </w:rPr>
        <w:t xml:space="preserve"> </w:t>
      </w:r>
      <w:r w:rsidR="00760D91" w:rsidRPr="00373592">
        <w:rPr>
          <w:rFonts w:asciiTheme="majorBidi" w:hAnsiTheme="majorBidi" w:cstheme="majorBidi"/>
          <w:sz w:val="24"/>
          <w:szCs w:val="24"/>
        </w:rPr>
        <w:t xml:space="preserve">road map </w:t>
      </w:r>
      <w:r w:rsidR="00942E9F" w:rsidRPr="00373592">
        <w:rPr>
          <w:rFonts w:asciiTheme="majorBidi" w:hAnsiTheme="majorBidi" w:cstheme="majorBidi"/>
          <w:sz w:val="24"/>
          <w:szCs w:val="24"/>
        </w:rPr>
        <w:t>to</w:t>
      </w:r>
      <w:r w:rsidR="00760D91" w:rsidRPr="00373592">
        <w:rPr>
          <w:rFonts w:asciiTheme="majorBidi" w:hAnsiTheme="majorBidi" w:cstheme="majorBidi"/>
          <w:sz w:val="24"/>
          <w:szCs w:val="24"/>
        </w:rPr>
        <w:t>wards</w:t>
      </w:r>
      <w:r w:rsidR="00942E9F" w:rsidRPr="00373592">
        <w:rPr>
          <w:rFonts w:asciiTheme="majorBidi" w:hAnsiTheme="majorBidi" w:cstheme="majorBidi"/>
          <w:sz w:val="24"/>
          <w:szCs w:val="24"/>
        </w:rPr>
        <w:t xml:space="preserve"> </w:t>
      </w:r>
      <w:r w:rsidR="00760D91" w:rsidRPr="00373592">
        <w:rPr>
          <w:rFonts w:asciiTheme="majorBidi" w:hAnsiTheme="majorBidi" w:cstheme="majorBidi"/>
          <w:sz w:val="24"/>
          <w:szCs w:val="24"/>
        </w:rPr>
        <w:t xml:space="preserve">operationalizing </w:t>
      </w:r>
      <w:r w:rsidR="00942E9F" w:rsidRPr="00373592">
        <w:rPr>
          <w:rFonts w:asciiTheme="majorBidi" w:hAnsiTheme="majorBidi" w:cstheme="majorBidi"/>
          <w:sz w:val="24"/>
          <w:szCs w:val="24"/>
        </w:rPr>
        <w:t>the human rights system in Jordan, as it includes a concrete framework that oblig</w:t>
      </w:r>
      <w:r w:rsidR="00F866B5" w:rsidRPr="00373592">
        <w:rPr>
          <w:rFonts w:asciiTheme="majorBidi" w:hAnsiTheme="majorBidi" w:cstheme="majorBidi"/>
          <w:sz w:val="24"/>
          <w:szCs w:val="24"/>
        </w:rPr>
        <w:t xml:space="preserve">ates the government to attain </w:t>
      </w:r>
      <w:r w:rsidR="00942E9F" w:rsidRPr="00373592">
        <w:rPr>
          <w:rFonts w:asciiTheme="majorBidi" w:hAnsiTheme="majorBidi" w:cstheme="majorBidi"/>
          <w:sz w:val="24"/>
          <w:szCs w:val="24"/>
        </w:rPr>
        <w:t xml:space="preserve">a </w:t>
      </w:r>
      <w:r w:rsidR="00512B4F" w:rsidRPr="00373592">
        <w:rPr>
          <w:rFonts w:asciiTheme="majorBidi" w:hAnsiTheme="majorBidi" w:cstheme="majorBidi"/>
          <w:sz w:val="24"/>
          <w:szCs w:val="24"/>
        </w:rPr>
        <w:t>series</w:t>
      </w:r>
      <w:r w:rsidR="00942E9F" w:rsidRPr="00373592">
        <w:rPr>
          <w:rFonts w:asciiTheme="majorBidi" w:hAnsiTheme="majorBidi" w:cstheme="majorBidi"/>
          <w:sz w:val="24"/>
          <w:szCs w:val="24"/>
        </w:rPr>
        <w:t xml:space="preserve"> of </w:t>
      </w:r>
      <w:r w:rsidR="00156057" w:rsidRPr="00373592">
        <w:rPr>
          <w:rFonts w:asciiTheme="majorBidi" w:hAnsiTheme="majorBidi" w:cstheme="majorBidi"/>
          <w:sz w:val="24"/>
          <w:szCs w:val="24"/>
        </w:rPr>
        <w:t xml:space="preserve">key </w:t>
      </w:r>
      <w:r w:rsidR="00942E9F" w:rsidRPr="00373592">
        <w:rPr>
          <w:rFonts w:asciiTheme="majorBidi" w:hAnsiTheme="majorBidi" w:cstheme="majorBidi"/>
          <w:sz w:val="24"/>
          <w:szCs w:val="24"/>
        </w:rPr>
        <w:t xml:space="preserve">objectives related to human rights. </w:t>
      </w:r>
      <w:r w:rsidR="00B468C4" w:rsidRPr="00373592">
        <w:rPr>
          <w:rFonts w:asciiTheme="majorBidi" w:hAnsiTheme="majorBidi" w:cstheme="majorBidi"/>
          <w:sz w:val="24"/>
          <w:szCs w:val="24"/>
        </w:rPr>
        <w:t xml:space="preserve"> The Plan </w:t>
      </w:r>
      <w:r w:rsidR="00510874" w:rsidRPr="00373592">
        <w:rPr>
          <w:rFonts w:asciiTheme="majorBidi" w:hAnsiTheme="majorBidi" w:cstheme="majorBidi"/>
          <w:sz w:val="24"/>
          <w:szCs w:val="24"/>
        </w:rPr>
        <w:t>includes the following main components:</w:t>
      </w:r>
      <w:r w:rsidR="00B468C4" w:rsidRPr="00373592">
        <w:rPr>
          <w:rFonts w:asciiTheme="majorBidi" w:hAnsiTheme="majorBidi" w:cstheme="majorBidi"/>
          <w:sz w:val="24"/>
          <w:szCs w:val="24"/>
        </w:rPr>
        <w:t xml:space="preserve"> the political, civil, </w:t>
      </w:r>
      <w:r w:rsidR="00156057" w:rsidRPr="00373592">
        <w:rPr>
          <w:rFonts w:asciiTheme="majorBidi" w:hAnsiTheme="majorBidi" w:cstheme="majorBidi"/>
          <w:sz w:val="24"/>
          <w:szCs w:val="24"/>
        </w:rPr>
        <w:t>economic,</w:t>
      </w:r>
      <w:r w:rsidR="00B468C4" w:rsidRPr="00373592">
        <w:rPr>
          <w:rFonts w:asciiTheme="majorBidi" w:hAnsiTheme="majorBidi" w:cstheme="majorBidi"/>
          <w:sz w:val="24"/>
          <w:szCs w:val="24"/>
        </w:rPr>
        <w:t xml:space="preserve"> social, and cultural rights as well the right</w:t>
      </w:r>
      <w:r w:rsidR="00DA377D" w:rsidRPr="00373592">
        <w:rPr>
          <w:rFonts w:asciiTheme="majorBidi" w:hAnsiTheme="majorBidi" w:cstheme="majorBidi"/>
          <w:sz w:val="24"/>
          <w:szCs w:val="24"/>
        </w:rPr>
        <w:t>s</w:t>
      </w:r>
      <w:r w:rsidR="00B468C4" w:rsidRPr="00373592">
        <w:rPr>
          <w:rFonts w:asciiTheme="majorBidi" w:hAnsiTheme="majorBidi" w:cstheme="majorBidi"/>
          <w:sz w:val="24"/>
          <w:szCs w:val="24"/>
        </w:rPr>
        <w:t xml:space="preserve"> of the most vulnerable groups.</w:t>
      </w:r>
      <w:r w:rsidR="00942E9F" w:rsidRPr="00373592">
        <w:rPr>
          <w:rFonts w:asciiTheme="majorBidi" w:hAnsiTheme="majorBidi" w:cstheme="majorBidi"/>
          <w:sz w:val="24"/>
          <w:szCs w:val="24"/>
        </w:rPr>
        <w:t xml:space="preserve"> </w:t>
      </w:r>
      <w:r w:rsidR="00CF697A" w:rsidRPr="00373592">
        <w:rPr>
          <w:rFonts w:asciiTheme="majorBidi" w:hAnsiTheme="majorBidi" w:cstheme="majorBidi"/>
          <w:sz w:val="24"/>
          <w:szCs w:val="24"/>
        </w:rPr>
        <w:t xml:space="preserve"> </w:t>
      </w:r>
      <w:r w:rsidR="00261ACB" w:rsidRPr="00373592">
        <w:rPr>
          <w:rFonts w:asciiTheme="majorBidi" w:hAnsiTheme="majorBidi" w:cstheme="majorBidi"/>
          <w:sz w:val="24"/>
          <w:szCs w:val="24"/>
        </w:rPr>
        <w:t xml:space="preserve">The NCHR reports and recommendations </w:t>
      </w:r>
      <w:r w:rsidR="00510874" w:rsidRPr="00373592">
        <w:rPr>
          <w:rFonts w:asciiTheme="majorBidi" w:hAnsiTheme="majorBidi" w:cstheme="majorBidi"/>
          <w:sz w:val="24"/>
          <w:szCs w:val="24"/>
        </w:rPr>
        <w:t>were</w:t>
      </w:r>
      <w:r w:rsidR="00261ACB" w:rsidRPr="00373592">
        <w:rPr>
          <w:rFonts w:asciiTheme="majorBidi" w:hAnsiTheme="majorBidi" w:cstheme="majorBidi"/>
          <w:sz w:val="24"/>
          <w:szCs w:val="24"/>
        </w:rPr>
        <w:t xml:space="preserve"> considered as one of the </w:t>
      </w:r>
      <w:r w:rsidR="00934646" w:rsidRPr="00373592">
        <w:rPr>
          <w:rFonts w:asciiTheme="majorBidi" w:hAnsiTheme="majorBidi" w:cstheme="majorBidi"/>
          <w:sz w:val="24"/>
          <w:szCs w:val="24"/>
        </w:rPr>
        <w:t>key</w:t>
      </w:r>
      <w:r w:rsidR="00261ACB" w:rsidRPr="00373592">
        <w:rPr>
          <w:rFonts w:asciiTheme="majorBidi" w:hAnsiTheme="majorBidi" w:cstheme="majorBidi"/>
          <w:sz w:val="24"/>
          <w:szCs w:val="24"/>
        </w:rPr>
        <w:t xml:space="preserve"> reference </w:t>
      </w:r>
      <w:r w:rsidR="00934646" w:rsidRPr="00373592">
        <w:rPr>
          <w:rFonts w:asciiTheme="majorBidi" w:hAnsiTheme="majorBidi" w:cstheme="majorBidi"/>
          <w:sz w:val="24"/>
          <w:szCs w:val="24"/>
        </w:rPr>
        <w:t xml:space="preserve">documents </w:t>
      </w:r>
      <w:r w:rsidR="00156057" w:rsidRPr="00373592">
        <w:rPr>
          <w:rFonts w:asciiTheme="majorBidi" w:hAnsiTheme="majorBidi" w:cstheme="majorBidi"/>
          <w:sz w:val="24"/>
          <w:szCs w:val="24"/>
        </w:rPr>
        <w:t>for the elaboration of the Plan.</w:t>
      </w:r>
      <w:r w:rsidR="00261ACB" w:rsidRPr="00373592">
        <w:rPr>
          <w:rFonts w:asciiTheme="majorBidi" w:hAnsiTheme="majorBidi" w:cstheme="majorBidi"/>
          <w:sz w:val="24"/>
          <w:szCs w:val="24"/>
        </w:rPr>
        <w:t xml:space="preserve"> </w:t>
      </w:r>
      <w:r w:rsidRPr="00373592">
        <w:rPr>
          <w:rFonts w:asciiTheme="majorBidi" w:hAnsiTheme="majorBidi" w:cstheme="majorBidi"/>
          <w:sz w:val="24"/>
          <w:szCs w:val="24"/>
        </w:rPr>
        <w:t xml:space="preserve"> </w:t>
      </w:r>
    </w:p>
    <w:p w:rsidR="00D90099" w:rsidRPr="00373592" w:rsidRDefault="000B2BB6" w:rsidP="000B2BB6">
      <w:pPr>
        <w:bidi w:val="0"/>
        <w:spacing w:after="0" w:line="240" w:lineRule="auto"/>
        <w:rPr>
          <w:rFonts w:asciiTheme="majorBidi" w:hAnsiTheme="majorBidi" w:cstheme="majorBidi"/>
          <w:b/>
          <w:bCs/>
          <w:sz w:val="24"/>
          <w:szCs w:val="24"/>
        </w:rPr>
      </w:pPr>
      <w:r w:rsidRPr="00373592">
        <w:rPr>
          <w:rFonts w:asciiTheme="majorBidi" w:hAnsiTheme="majorBidi" w:cstheme="majorBidi"/>
          <w:b/>
          <w:bCs/>
          <w:sz w:val="24"/>
          <w:szCs w:val="24"/>
        </w:rPr>
        <w:t>Amendments on the NCHR Law No (51) for the Year 2006</w:t>
      </w:r>
    </w:p>
    <w:p w:rsidR="00D90099" w:rsidRPr="00373592" w:rsidRDefault="0092573F" w:rsidP="00965F3E">
      <w:pPr>
        <w:bidi w:val="0"/>
        <w:jc w:val="both"/>
        <w:rPr>
          <w:rFonts w:asciiTheme="majorBidi" w:hAnsiTheme="majorBidi" w:cstheme="majorBidi"/>
          <w:sz w:val="24"/>
          <w:szCs w:val="24"/>
        </w:rPr>
      </w:pPr>
      <w:r w:rsidRPr="00373592">
        <w:rPr>
          <w:rFonts w:asciiTheme="majorBidi" w:hAnsiTheme="majorBidi" w:cstheme="majorBidi"/>
          <w:sz w:val="24"/>
          <w:szCs w:val="24"/>
        </w:rPr>
        <w:lastRenderedPageBreak/>
        <w:br/>
      </w:r>
      <w:r w:rsidR="00D90099" w:rsidRPr="00373592">
        <w:rPr>
          <w:rFonts w:asciiTheme="majorBidi" w:hAnsiTheme="majorBidi" w:cstheme="majorBidi"/>
          <w:sz w:val="24"/>
          <w:szCs w:val="24"/>
          <w:lang w:bidi="ar-JO"/>
        </w:rPr>
        <w:t xml:space="preserve">In 2017 the </w:t>
      </w:r>
      <w:r w:rsidR="00D90099" w:rsidRPr="00373592">
        <w:rPr>
          <w:rFonts w:asciiTheme="majorBidi" w:hAnsiTheme="majorBidi" w:cstheme="majorBidi"/>
          <w:sz w:val="24"/>
          <w:szCs w:val="24"/>
        </w:rPr>
        <w:t xml:space="preserve">NCHR Law No (51) for the Year 2006 has been amended, </w:t>
      </w:r>
      <w:r w:rsidR="00965F3E" w:rsidRPr="00373592">
        <w:rPr>
          <w:rFonts w:asciiTheme="majorBidi" w:hAnsiTheme="majorBidi" w:cstheme="majorBidi"/>
          <w:sz w:val="24"/>
          <w:szCs w:val="24"/>
        </w:rPr>
        <w:t>as a</w:t>
      </w:r>
      <w:r w:rsidR="00D90099" w:rsidRPr="00373592">
        <w:rPr>
          <w:rFonts w:asciiTheme="majorBidi" w:hAnsiTheme="majorBidi" w:cstheme="majorBidi"/>
          <w:sz w:val="24"/>
          <w:szCs w:val="24"/>
        </w:rPr>
        <w:t xml:space="preserve"> response </w:t>
      </w:r>
      <w:r w:rsidR="00965F3E" w:rsidRPr="00373592">
        <w:rPr>
          <w:rFonts w:asciiTheme="majorBidi" w:hAnsiTheme="majorBidi" w:cstheme="majorBidi"/>
          <w:sz w:val="24"/>
          <w:szCs w:val="24"/>
        </w:rPr>
        <w:t>from the Government</w:t>
      </w:r>
      <w:r w:rsidR="00D90099" w:rsidRPr="00373592">
        <w:rPr>
          <w:rFonts w:asciiTheme="majorBidi" w:hAnsiTheme="majorBidi" w:cstheme="majorBidi"/>
          <w:sz w:val="24"/>
          <w:szCs w:val="24"/>
        </w:rPr>
        <w:t xml:space="preserve"> </w:t>
      </w:r>
      <w:r w:rsidR="00965F3E" w:rsidRPr="00373592">
        <w:rPr>
          <w:rFonts w:asciiTheme="majorBidi" w:hAnsiTheme="majorBidi" w:cstheme="majorBidi"/>
          <w:sz w:val="24"/>
          <w:szCs w:val="24"/>
        </w:rPr>
        <w:t xml:space="preserve">to the recommendations of </w:t>
      </w:r>
      <w:r w:rsidR="00D90099" w:rsidRPr="00373592">
        <w:rPr>
          <w:rFonts w:asciiTheme="majorBidi" w:hAnsiTheme="majorBidi" w:cstheme="majorBidi"/>
          <w:sz w:val="24"/>
          <w:szCs w:val="24"/>
        </w:rPr>
        <w:t xml:space="preserve">the GANHRI Sub-Committee on </w:t>
      </w:r>
      <w:r w:rsidR="000B59E7" w:rsidRPr="00373592">
        <w:rPr>
          <w:rFonts w:asciiTheme="majorBidi" w:hAnsiTheme="majorBidi" w:cstheme="majorBidi"/>
          <w:sz w:val="24"/>
          <w:szCs w:val="24"/>
        </w:rPr>
        <w:t xml:space="preserve">Accreditation. </w:t>
      </w:r>
      <w:r w:rsidR="00D90099" w:rsidRPr="00373592">
        <w:rPr>
          <w:rFonts w:asciiTheme="majorBidi" w:hAnsiTheme="majorBidi" w:cstheme="majorBidi"/>
          <w:sz w:val="24"/>
          <w:szCs w:val="24"/>
        </w:rPr>
        <w:t>The Law amending the National Centre for Human Rights Law Number (4) for the Year 2007 was published in Page (1593) of the Official Gazette No. (5447) on 01/03/2017.</w:t>
      </w:r>
      <w:r w:rsidR="005110D2" w:rsidRPr="00373592">
        <w:rPr>
          <w:rFonts w:asciiTheme="majorBidi" w:hAnsiTheme="majorBidi" w:cstheme="majorBidi"/>
          <w:sz w:val="24"/>
          <w:szCs w:val="24"/>
        </w:rPr>
        <w:t xml:space="preserve"> The below table shows the amendments </w:t>
      </w:r>
    </w:p>
    <w:p w:rsidR="00D90099" w:rsidRPr="00373592" w:rsidRDefault="00D90099" w:rsidP="00D90099">
      <w:pPr>
        <w:bidi w:val="0"/>
        <w:spacing w:after="0" w:line="240" w:lineRule="auto"/>
        <w:rPr>
          <w:rFonts w:asciiTheme="majorBidi" w:hAnsiTheme="majorBidi" w:cstheme="majorBidi"/>
          <w:sz w:val="24"/>
          <w:szCs w:val="24"/>
          <w:lang w:bidi="ar-JO"/>
        </w:rPr>
      </w:pPr>
    </w:p>
    <w:tbl>
      <w:tblPr>
        <w:tblStyle w:val="TableGrid2"/>
        <w:tblW w:w="0" w:type="auto"/>
        <w:tblLook w:val="04A0" w:firstRow="1" w:lastRow="0" w:firstColumn="1" w:lastColumn="0" w:noHBand="0" w:noVBand="1"/>
      </w:tblPr>
      <w:tblGrid>
        <w:gridCol w:w="4098"/>
        <w:gridCol w:w="4198"/>
      </w:tblGrid>
      <w:tr w:rsidR="00373592" w:rsidRPr="00373592" w:rsidTr="005C7F67">
        <w:trPr>
          <w:trHeight w:val="690"/>
        </w:trPr>
        <w:tc>
          <w:tcPr>
            <w:tcW w:w="4098" w:type="dxa"/>
          </w:tcPr>
          <w:p w:rsidR="00AA159D" w:rsidRPr="00373592" w:rsidRDefault="005C7F67" w:rsidP="00D90099">
            <w:pPr>
              <w:bidi w:val="0"/>
              <w:jc w:val="both"/>
              <w:rPr>
                <w:rFonts w:asciiTheme="majorBidi" w:hAnsiTheme="majorBidi" w:cstheme="majorBidi"/>
                <w:b/>
                <w:bCs/>
                <w:sz w:val="24"/>
                <w:szCs w:val="24"/>
              </w:rPr>
            </w:pPr>
            <w:r w:rsidRPr="00373592">
              <w:rPr>
                <w:rFonts w:asciiTheme="majorBidi" w:hAnsiTheme="majorBidi" w:cstheme="majorBidi"/>
                <w:b/>
                <w:bCs/>
                <w:sz w:val="24"/>
                <w:szCs w:val="24"/>
              </w:rPr>
              <w:t>Text after amendment</w:t>
            </w:r>
            <w:r w:rsidR="006D2E51" w:rsidRPr="00373592">
              <w:rPr>
                <w:rFonts w:asciiTheme="majorBidi" w:hAnsiTheme="majorBidi" w:cstheme="majorBidi"/>
                <w:b/>
                <w:bCs/>
                <w:sz w:val="24"/>
                <w:szCs w:val="24"/>
              </w:rPr>
              <w:t>:</w:t>
            </w:r>
            <w:r w:rsidRPr="00373592">
              <w:rPr>
                <w:rFonts w:asciiTheme="majorBidi" w:hAnsiTheme="majorBidi" w:cstheme="majorBidi"/>
                <w:b/>
                <w:bCs/>
                <w:sz w:val="24"/>
                <w:szCs w:val="24"/>
              </w:rPr>
              <w:t xml:space="preserve"> </w:t>
            </w:r>
            <w:r w:rsidR="006D2E51" w:rsidRPr="00373592">
              <w:rPr>
                <w:rFonts w:asciiTheme="majorBidi" w:hAnsiTheme="majorBidi" w:cstheme="majorBidi"/>
                <w:b/>
                <w:bCs/>
                <w:sz w:val="24"/>
                <w:szCs w:val="24"/>
              </w:rPr>
              <w:t>(Articles</w:t>
            </w:r>
            <w:r w:rsidR="00AA159D" w:rsidRPr="00373592">
              <w:rPr>
                <w:rFonts w:asciiTheme="majorBidi" w:hAnsiTheme="majorBidi" w:cstheme="majorBidi"/>
                <w:b/>
                <w:bCs/>
                <w:sz w:val="24"/>
                <w:szCs w:val="24"/>
              </w:rPr>
              <w:t xml:space="preserve"> amended pursuant to the Law amending the National Centre for Human Rights Law Number (4) for the Year 2007 Published in Page (1593) of </w:t>
            </w:r>
            <w:r w:rsidR="00D90099" w:rsidRPr="00373592">
              <w:rPr>
                <w:rFonts w:asciiTheme="majorBidi" w:hAnsiTheme="majorBidi" w:cstheme="majorBidi"/>
                <w:b/>
                <w:bCs/>
                <w:sz w:val="24"/>
                <w:szCs w:val="24"/>
              </w:rPr>
              <w:t>t</w:t>
            </w:r>
            <w:r w:rsidR="00AA159D" w:rsidRPr="00373592">
              <w:rPr>
                <w:rFonts w:asciiTheme="majorBidi" w:hAnsiTheme="majorBidi" w:cstheme="majorBidi"/>
                <w:b/>
                <w:bCs/>
                <w:sz w:val="24"/>
                <w:szCs w:val="24"/>
              </w:rPr>
              <w:t>he Official Gazette No. (5447) on 01/03/2017</w:t>
            </w:r>
          </w:p>
          <w:p w:rsidR="005C7F67" w:rsidRPr="00373592" w:rsidRDefault="005C7F67" w:rsidP="00AA159D">
            <w:pPr>
              <w:bidi w:val="0"/>
              <w:rPr>
                <w:rFonts w:asciiTheme="majorBidi" w:hAnsiTheme="majorBidi" w:cstheme="majorBidi"/>
                <w:b/>
                <w:bCs/>
                <w:sz w:val="24"/>
                <w:szCs w:val="24"/>
              </w:rPr>
            </w:pPr>
          </w:p>
        </w:tc>
        <w:tc>
          <w:tcPr>
            <w:tcW w:w="4198" w:type="dxa"/>
          </w:tcPr>
          <w:p w:rsidR="005C7F67" w:rsidRPr="00373592" w:rsidRDefault="005C7F67" w:rsidP="00AA159D">
            <w:pPr>
              <w:bidi w:val="0"/>
              <w:jc w:val="both"/>
              <w:rPr>
                <w:rFonts w:asciiTheme="majorBidi" w:hAnsiTheme="majorBidi" w:cstheme="majorBidi"/>
                <w:b/>
                <w:bCs/>
                <w:sz w:val="24"/>
                <w:szCs w:val="24"/>
                <w:rtl/>
              </w:rPr>
            </w:pPr>
            <w:r w:rsidRPr="00373592">
              <w:rPr>
                <w:rFonts w:asciiTheme="majorBidi" w:hAnsiTheme="majorBidi" w:cstheme="majorBidi"/>
                <w:b/>
                <w:bCs/>
                <w:sz w:val="24"/>
                <w:szCs w:val="24"/>
              </w:rPr>
              <w:t xml:space="preserve">Text </w:t>
            </w:r>
            <w:r w:rsidR="00F53A1E" w:rsidRPr="00373592">
              <w:rPr>
                <w:rFonts w:asciiTheme="majorBidi" w:hAnsiTheme="majorBidi" w:cstheme="majorBidi"/>
                <w:b/>
                <w:bCs/>
                <w:sz w:val="24"/>
                <w:szCs w:val="24"/>
              </w:rPr>
              <w:t xml:space="preserve">before </w:t>
            </w:r>
            <w:r w:rsidRPr="00373592">
              <w:rPr>
                <w:rFonts w:asciiTheme="majorBidi" w:hAnsiTheme="majorBidi" w:cstheme="majorBidi"/>
                <w:b/>
                <w:bCs/>
                <w:sz w:val="24"/>
                <w:szCs w:val="24"/>
              </w:rPr>
              <w:t xml:space="preserve">amendment </w:t>
            </w:r>
            <w:r w:rsidR="00C8192C" w:rsidRPr="00373592">
              <w:rPr>
                <w:rFonts w:asciiTheme="majorBidi" w:hAnsiTheme="majorBidi" w:cstheme="majorBidi"/>
                <w:b/>
                <w:bCs/>
                <w:sz w:val="24"/>
                <w:szCs w:val="24"/>
              </w:rPr>
              <w:t>(based</w:t>
            </w:r>
            <w:r w:rsidRPr="00373592">
              <w:rPr>
                <w:rFonts w:asciiTheme="majorBidi" w:hAnsiTheme="majorBidi" w:cstheme="majorBidi"/>
                <w:b/>
                <w:bCs/>
                <w:sz w:val="24"/>
                <w:szCs w:val="24"/>
              </w:rPr>
              <w:t xml:space="preserve"> on</w:t>
            </w:r>
            <w:r w:rsidR="00C8192C" w:rsidRPr="00373592">
              <w:rPr>
                <w:rFonts w:asciiTheme="majorBidi" w:hAnsiTheme="majorBidi" w:cstheme="majorBidi"/>
                <w:b/>
                <w:bCs/>
                <w:sz w:val="24"/>
                <w:szCs w:val="24"/>
              </w:rPr>
              <w:t xml:space="preserve"> the</w:t>
            </w:r>
            <w:r w:rsidRPr="00373592">
              <w:rPr>
                <w:rFonts w:asciiTheme="majorBidi" w:hAnsiTheme="majorBidi" w:cstheme="majorBidi"/>
                <w:b/>
                <w:bCs/>
                <w:sz w:val="24"/>
                <w:szCs w:val="24"/>
              </w:rPr>
              <w:t xml:space="preserve"> NCHR Law No. (51) for the Year 2006) </w:t>
            </w:r>
          </w:p>
        </w:tc>
      </w:tr>
      <w:tr w:rsidR="00373592" w:rsidRPr="00373592" w:rsidTr="005C7F67">
        <w:trPr>
          <w:trHeight w:val="690"/>
        </w:trPr>
        <w:tc>
          <w:tcPr>
            <w:tcW w:w="4098" w:type="dxa"/>
          </w:tcPr>
          <w:p w:rsidR="006C07AF" w:rsidRPr="00373592" w:rsidRDefault="006C07AF" w:rsidP="006C07AF">
            <w:pPr>
              <w:bidi w:val="0"/>
              <w:rPr>
                <w:rFonts w:asciiTheme="majorBidi" w:hAnsiTheme="majorBidi" w:cstheme="majorBidi"/>
                <w:b/>
                <w:bCs/>
                <w:sz w:val="24"/>
                <w:szCs w:val="24"/>
              </w:rPr>
            </w:pPr>
            <w:r w:rsidRPr="00373592">
              <w:rPr>
                <w:rFonts w:asciiTheme="majorBidi" w:hAnsiTheme="majorBidi" w:cstheme="majorBidi"/>
                <w:b/>
                <w:bCs/>
                <w:sz w:val="24"/>
                <w:szCs w:val="24"/>
              </w:rPr>
              <w:t>Article 4</w:t>
            </w:r>
            <w:r w:rsidRPr="00373592">
              <w:rPr>
                <w:rFonts w:asciiTheme="majorBidi" w:hAnsiTheme="majorBidi" w:cstheme="majorBidi"/>
                <w:b/>
                <w:bCs/>
                <w:sz w:val="24"/>
                <w:szCs w:val="24"/>
                <w:rtl/>
              </w:rPr>
              <w:t xml:space="preserve">: </w:t>
            </w:r>
          </w:p>
          <w:p w:rsidR="006C07AF" w:rsidRPr="00373592" w:rsidRDefault="006C07AF" w:rsidP="006C07AF">
            <w:pPr>
              <w:bidi w:val="0"/>
              <w:rPr>
                <w:rFonts w:asciiTheme="majorBidi" w:hAnsiTheme="majorBidi" w:cstheme="majorBidi"/>
                <w:b/>
                <w:bCs/>
                <w:sz w:val="24"/>
                <w:szCs w:val="24"/>
              </w:rPr>
            </w:pPr>
          </w:p>
          <w:p w:rsidR="006C07AF" w:rsidRPr="00373592" w:rsidRDefault="006C07AF" w:rsidP="00D9083E">
            <w:pPr>
              <w:bidi w:val="0"/>
              <w:jc w:val="both"/>
              <w:rPr>
                <w:rFonts w:asciiTheme="majorBidi" w:hAnsiTheme="majorBidi" w:cstheme="majorBidi"/>
                <w:sz w:val="24"/>
                <w:szCs w:val="24"/>
              </w:rPr>
            </w:pPr>
            <w:r w:rsidRPr="00373592">
              <w:rPr>
                <w:rFonts w:asciiTheme="majorBidi" w:hAnsiTheme="majorBidi" w:cstheme="majorBidi"/>
                <w:sz w:val="24"/>
                <w:szCs w:val="24"/>
              </w:rPr>
              <w:t>The Center shall aim to achieve the following</w:t>
            </w:r>
            <w:r w:rsidRPr="00373592">
              <w:rPr>
                <w:rFonts w:asciiTheme="majorBidi" w:hAnsiTheme="majorBidi" w:cstheme="majorBidi"/>
                <w:sz w:val="24"/>
                <w:szCs w:val="24"/>
                <w:rtl/>
              </w:rPr>
              <w:t>:</w:t>
            </w:r>
          </w:p>
          <w:p w:rsidR="00F83C21" w:rsidRPr="00373592" w:rsidRDefault="00417B97" w:rsidP="002A7911">
            <w:pPr>
              <w:pStyle w:val="ListParagraph"/>
              <w:numPr>
                <w:ilvl w:val="0"/>
                <w:numId w:val="8"/>
              </w:numPr>
              <w:bidi w:val="0"/>
              <w:jc w:val="both"/>
              <w:rPr>
                <w:rFonts w:asciiTheme="majorBidi" w:hAnsiTheme="majorBidi" w:cstheme="majorBidi"/>
              </w:rPr>
            </w:pPr>
            <w:r w:rsidRPr="00373592">
              <w:rPr>
                <w:rFonts w:asciiTheme="majorBidi" w:hAnsiTheme="majorBidi" w:cstheme="majorBidi"/>
              </w:rPr>
              <w:t>Promote</w:t>
            </w:r>
            <w:r w:rsidR="00F83C21" w:rsidRPr="00373592">
              <w:rPr>
                <w:rFonts w:asciiTheme="majorBidi" w:hAnsiTheme="majorBidi" w:cstheme="majorBidi"/>
              </w:rPr>
              <w:t xml:space="preserve"> the principles of human rights in the Kingdom and shall be inspired in doing so by the tolerant message of Islam, and the values inherent in the Arab-Islamic heritage.</w:t>
            </w:r>
          </w:p>
          <w:p w:rsidR="007046F1" w:rsidRPr="00373592" w:rsidRDefault="007046F1" w:rsidP="002A7911">
            <w:pPr>
              <w:pStyle w:val="ListParagraph"/>
              <w:numPr>
                <w:ilvl w:val="0"/>
                <w:numId w:val="8"/>
              </w:numPr>
              <w:bidi w:val="0"/>
              <w:jc w:val="both"/>
              <w:rPr>
                <w:rFonts w:asciiTheme="majorBidi" w:hAnsiTheme="majorBidi" w:cstheme="majorBidi"/>
              </w:rPr>
            </w:pPr>
            <w:r w:rsidRPr="00373592">
              <w:rPr>
                <w:rFonts w:asciiTheme="majorBidi" w:hAnsiTheme="majorBidi" w:cstheme="majorBidi"/>
              </w:rPr>
              <w:t xml:space="preserve">Promote and </w:t>
            </w:r>
            <w:r w:rsidR="00417B97" w:rsidRPr="00373592">
              <w:rPr>
                <w:rFonts w:asciiTheme="majorBidi" w:hAnsiTheme="majorBidi" w:cstheme="majorBidi"/>
              </w:rPr>
              <w:t>protect</w:t>
            </w:r>
            <w:r w:rsidRPr="00373592">
              <w:rPr>
                <w:rFonts w:asciiTheme="majorBidi" w:hAnsiTheme="majorBidi" w:cstheme="majorBidi"/>
              </w:rPr>
              <w:t xml:space="preserve"> human rights in the Kingdom based on the rights and obligations stipulated in the Constitution and the commitments enshrined in international covenants and conventions.</w:t>
            </w:r>
          </w:p>
          <w:p w:rsidR="00C8192C" w:rsidRPr="00373592" w:rsidRDefault="00C8192C" w:rsidP="007046F1">
            <w:pPr>
              <w:pStyle w:val="ListParagraph"/>
              <w:bidi w:val="0"/>
              <w:ind w:left="750"/>
              <w:rPr>
                <w:rFonts w:asciiTheme="majorBidi" w:hAnsiTheme="majorBidi" w:cstheme="majorBidi"/>
                <w:b/>
                <w:bCs/>
              </w:rPr>
            </w:pPr>
          </w:p>
        </w:tc>
        <w:tc>
          <w:tcPr>
            <w:tcW w:w="4198" w:type="dxa"/>
          </w:tcPr>
          <w:p w:rsidR="00EC6A90" w:rsidRPr="00373592" w:rsidRDefault="00EC6A90" w:rsidP="00EC6A90">
            <w:pPr>
              <w:bidi w:val="0"/>
              <w:spacing w:after="100" w:afterAutospacing="1"/>
              <w:rPr>
                <w:rFonts w:asciiTheme="majorBidi" w:hAnsiTheme="majorBidi" w:cstheme="majorBidi"/>
                <w:b/>
                <w:bCs/>
                <w:sz w:val="24"/>
                <w:szCs w:val="24"/>
              </w:rPr>
            </w:pPr>
            <w:r w:rsidRPr="00373592">
              <w:rPr>
                <w:rFonts w:asciiTheme="majorBidi" w:hAnsiTheme="majorBidi" w:cstheme="majorBidi"/>
                <w:b/>
                <w:bCs/>
                <w:sz w:val="24"/>
                <w:szCs w:val="24"/>
              </w:rPr>
              <w:t>Article 4: </w:t>
            </w:r>
          </w:p>
          <w:p w:rsidR="00EC6A90" w:rsidRPr="00373592" w:rsidRDefault="00EC6A90" w:rsidP="00FE05C9">
            <w:pPr>
              <w:bidi w:val="0"/>
              <w:spacing w:after="100" w:afterAutospacing="1"/>
              <w:jc w:val="both"/>
              <w:rPr>
                <w:rFonts w:asciiTheme="majorBidi" w:hAnsiTheme="majorBidi" w:cstheme="majorBidi"/>
                <w:sz w:val="24"/>
                <w:szCs w:val="24"/>
              </w:rPr>
            </w:pPr>
            <w:r w:rsidRPr="00373592">
              <w:rPr>
                <w:rFonts w:asciiTheme="majorBidi" w:hAnsiTheme="majorBidi" w:cstheme="majorBidi"/>
                <w:sz w:val="24"/>
                <w:szCs w:val="24"/>
              </w:rPr>
              <w:t>The Centre aims to achieve the following:</w:t>
            </w:r>
          </w:p>
          <w:p w:rsidR="00EC6A90" w:rsidRPr="00373592" w:rsidRDefault="00EC6A90" w:rsidP="002867ED">
            <w:pPr>
              <w:bidi w:val="0"/>
              <w:spacing w:after="100" w:afterAutospacing="1"/>
              <w:jc w:val="both"/>
              <w:rPr>
                <w:rFonts w:asciiTheme="majorBidi" w:hAnsiTheme="majorBidi" w:cstheme="majorBidi"/>
                <w:sz w:val="24"/>
                <w:szCs w:val="24"/>
              </w:rPr>
            </w:pPr>
            <w:r w:rsidRPr="00373592">
              <w:rPr>
                <w:rFonts w:asciiTheme="majorBidi" w:hAnsiTheme="majorBidi" w:cstheme="majorBidi"/>
                <w:sz w:val="24"/>
                <w:szCs w:val="24"/>
              </w:rPr>
              <w:t xml:space="preserve">(A) </w:t>
            </w:r>
            <w:r w:rsidR="002867ED" w:rsidRPr="00373592">
              <w:rPr>
                <w:rFonts w:asciiTheme="majorBidi" w:hAnsiTheme="majorBidi" w:cstheme="majorBidi"/>
                <w:sz w:val="24"/>
                <w:szCs w:val="24"/>
              </w:rPr>
              <w:t>Enhance</w:t>
            </w:r>
            <w:r w:rsidR="00417B97" w:rsidRPr="00373592">
              <w:rPr>
                <w:rFonts w:asciiTheme="majorBidi" w:hAnsiTheme="majorBidi" w:cstheme="majorBidi"/>
                <w:sz w:val="24"/>
                <w:szCs w:val="24"/>
              </w:rPr>
              <w:t xml:space="preserve"> </w:t>
            </w:r>
            <w:r w:rsidRPr="00373592">
              <w:rPr>
                <w:rFonts w:asciiTheme="majorBidi" w:hAnsiTheme="majorBidi" w:cstheme="majorBidi"/>
                <w:sz w:val="24"/>
                <w:szCs w:val="24"/>
              </w:rPr>
              <w:t>the principles of human rights in the Kingdom and shall be inspired in doing so by the tolerant message of Islam, and the values inherent in the Arab-Islamic heritage</w:t>
            </w:r>
            <w:r w:rsidR="002867ED" w:rsidRPr="00373592">
              <w:rPr>
                <w:rFonts w:asciiTheme="majorBidi" w:hAnsiTheme="majorBidi" w:cstheme="majorBidi"/>
                <w:sz w:val="24"/>
                <w:szCs w:val="24"/>
              </w:rPr>
              <w:t>, the rights stipulated in the Constitution, and the principles emphasized in international charters and covenants.</w:t>
            </w:r>
          </w:p>
          <w:p w:rsidR="00C8192C" w:rsidRPr="00373592" w:rsidRDefault="00C8192C" w:rsidP="005C7F67">
            <w:pPr>
              <w:bidi w:val="0"/>
              <w:jc w:val="center"/>
              <w:rPr>
                <w:rFonts w:asciiTheme="majorBidi" w:hAnsiTheme="majorBidi" w:cstheme="majorBidi"/>
                <w:b/>
                <w:bCs/>
                <w:sz w:val="24"/>
                <w:szCs w:val="24"/>
              </w:rPr>
            </w:pPr>
          </w:p>
        </w:tc>
      </w:tr>
      <w:tr w:rsidR="00373592" w:rsidRPr="00373592" w:rsidTr="005C7F67">
        <w:trPr>
          <w:trHeight w:val="690"/>
        </w:trPr>
        <w:tc>
          <w:tcPr>
            <w:tcW w:w="4098" w:type="dxa"/>
          </w:tcPr>
          <w:p w:rsidR="00107CCF" w:rsidRPr="00373592" w:rsidRDefault="00107CCF" w:rsidP="00107CCF">
            <w:pPr>
              <w:pStyle w:val="NormalWeb"/>
              <w:shd w:val="clear" w:color="auto" w:fill="F5F5F7"/>
              <w:spacing w:before="0" w:beforeAutospacing="0"/>
              <w:jc w:val="both"/>
              <w:rPr>
                <w:rFonts w:asciiTheme="majorBidi" w:hAnsiTheme="majorBidi" w:cstheme="majorBidi"/>
              </w:rPr>
            </w:pPr>
            <w:r w:rsidRPr="00373592">
              <w:rPr>
                <w:b/>
                <w:bCs/>
              </w:rPr>
              <w:t>Article 5: </w:t>
            </w:r>
          </w:p>
          <w:p w:rsidR="00107CCF" w:rsidRPr="00373592" w:rsidRDefault="00107CCF" w:rsidP="00903731">
            <w:pPr>
              <w:pStyle w:val="NormalWeb"/>
              <w:shd w:val="clear" w:color="auto" w:fill="F5F5F7"/>
              <w:spacing w:before="0" w:beforeAutospacing="0"/>
              <w:jc w:val="both"/>
              <w:rPr>
                <w:rFonts w:asciiTheme="majorBidi" w:hAnsiTheme="majorBidi" w:cstheme="majorBidi"/>
              </w:rPr>
            </w:pPr>
            <w:r w:rsidRPr="00373592">
              <w:rPr>
                <w:rFonts w:asciiTheme="majorBidi" w:hAnsiTheme="majorBidi" w:cstheme="majorBidi"/>
              </w:rPr>
              <w:t>The Center shall employ the following means and methods in its quest to achieve its objectives: </w:t>
            </w:r>
            <w:r w:rsidRPr="00373592">
              <w:rPr>
                <w:rFonts w:asciiTheme="majorBidi" w:hAnsiTheme="majorBidi" w:cstheme="majorBidi"/>
              </w:rPr>
              <w:br/>
              <w:t xml:space="preserve">(A) </w:t>
            </w:r>
            <w:r w:rsidR="00903731" w:rsidRPr="00373592">
              <w:rPr>
                <w:rFonts w:asciiTheme="majorBidi" w:hAnsiTheme="majorBidi" w:cstheme="majorBidi"/>
              </w:rPr>
              <w:t>Monitor</w:t>
            </w:r>
            <w:r w:rsidRPr="00373592">
              <w:rPr>
                <w:rFonts w:asciiTheme="majorBidi" w:hAnsiTheme="majorBidi" w:cstheme="majorBidi"/>
              </w:rPr>
              <w:t xml:space="preserve"> human rights </w:t>
            </w:r>
            <w:r w:rsidR="00903731" w:rsidRPr="00373592">
              <w:rPr>
                <w:rFonts w:asciiTheme="majorBidi" w:hAnsiTheme="majorBidi" w:cstheme="majorBidi"/>
              </w:rPr>
              <w:t>in the Kingdom to</w:t>
            </w:r>
            <w:r w:rsidRPr="00373592">
              <w:rPr>
                <w:rFonts w:asciiTheme="majorBidi" w:hAnsiTheme="majorBidi" w:cstheme="majorBidi"/>
              </w:rPr>
              <w:t xml:space="preserve"> addres</w:t>
            </w:r>
            <w:r w:rsidR="00903731" w:rsidRPr="00373592">
              <w:rPr>
                <w:rFonts w:asciiTheme="majorBidi" w:hAnsiTheme="majorBidi" w:cstheme="majorBidi"/>
              </w:rPr>
              <w:t>s</w:t>
            </w:r>
            <w:r w:rsidRPr="00373592">
              <w:rPr>
                <w:rFonts w:asciiTheme="majorBidi" w:hAnsiTheme="majorBidi" w:cstheme="majorBidi"/>
              </w:rPr>
              <w:t xml:space="preserve"> any transgressions o</w:t>
            </w:r>
            <w:r w:rsidR="00903731" w:rsidRPr="00373592">
              <w:rPr>
                <w:rFonts w:asciiTheme="majorBidi" w:hAnsiTheme="majorBidi" w:cstheme="majorBidi"/>
              </w:rPr>
              <w:t>r violations thereof and follow</w:t>
            </w:r>
            <w:r w:rsidRPr="00373592">
              <w:rPr>
                <w:rFonts w:asciiTheme="majorBidi" w:hAnsiTheme="majorBidi" w:cstheme="majorBidi"/>
              </w:rPr>
              <w:t xml:space="preserve"> up on the adoption of the necessary measures for that purpose, including settlement of said transgressions or violations or referral to the Executive or Legislative Power or the competent legal authority in order to put an end thereto and eliminate the effects thereof.</w:t>
            </w:r>
          </w:p>
          <w:p w:rsidR="00107CCF" w:rsidRPr="00373592" w:rsidRDefault="00107CCF" w:rsidP="006C07AF">
            <w:pPr>
              <w:bidi w:val="0"/>
              <w:rPr>
                <w:rFonts w:asciiTheme="majorBidi" w:hAnsiTheme="majorBidi" w:cstheme="majorBidi"/>
                <w:b/>
                <w:bCs/>
                <w:sz w:val="24"/>
                <w:szCs w:val="24"/>
              </w:rPr>
            </w:pPr>
          </w:p>
        </w:tc>
        <w:tc>
          <w:tcPr>
            <w:tcW w:w="4198" w:type="dxa"/>
          </w:tcPr>
          <w:p w:rsidR="00107CCF" w:rsidRPr="00373592" w:rsidRDefault="00107CCF" w:rsidP="007953D6">
            <w:pPr>
              <w:pStyle w:val="NormalWeb"/>
              <w:shd w:val="clear" w:color="auto" w:fill="F5F5F7"/>
              <w:spacing w:before="0" w:beforeAutospacing="0"/>
              <w:jc w:val="both"/>
              <w:rPr>
                <w:rFonts w:asciiTheme="majorBidi" w:hAnsiTheme="majorBidi" w:cstheme="majorBidi"/>
              </w:rPr>
            </w:pPr>
            <w:r w:rsidRPr="00373592">
              <w:rPr>
                <w:rFonts w:asciiTheme="majorBidi" w:hAnsiTheme="majorBidi" w:cstheme="majorBidi"/>
                <w:b/>
                <w:bCs/>
              </w:rPr>
              <w:lastRenderedPageBreak/>
              <w:t>Article 5: </w:t>
            </w:r>
          </w:p>
          <w:p w:rsidR="00107CCF" w:rsidRPr="00373592" w:rsidRDefault="00107CCF" w:rsidP="002902B5">
            <w:pPr>
              <w:bidi w:val="0"/>
              <w:spacing w:after="100" w:afterAutospacing="1"/>
              <w:jc w:val="both"/>
              <w:rPr>
                <w:rFonts w:asciiTheme="majorBidi" w:hAnsiTheme="majorBidi" w:cstheme="majorBidi"/>
                <w:sz w:val="24"/>
                <w:szCs w:val="24"/>
              </w:rPr>
            </w:pPr>
            <w:r w:rsidRPr="00373592">
              <w:rPr>
                <w:rFonts w:asciiTheme="majorBidi" w:hAnsiTheme="majorBidi" w:cstheme="majorBidi"/>
                <w:sz w:val="24"/>
                <w:szCs w:val="24"/>
              </w:rPr>
              <w:t>The Centre shall employ the following means and methods in its quest to achieve its objectives: </w:t>
            </w:r>
            <w:r w:rsidRPr="00373592">
              <w:rPr>
                <w:rFonts w:asciiTheme="majorBidi" w:hAnsiTheme="majorBidi" w:cstheme="majorBidi"/>
                <w:sz w:val="24"/>
                <w:szCs w:val="24"/>
              </w:rPr>
              <w:br/>
              <w:t xml:space="preserve">(A) Verifying that human rights are being observed in the Kingdom when addressing any transgressions or violations thereof and following up on the adoption of the necessary measures for that purpose, including settlement of said transgressions or violations or referral to the Executive or Legislative Power or the competent legal authority in order to put an end thereto and </w:t>
            </w:r>
            <w:r w:rsidRPr="00373592">
              <w:rPr>
                <w:rFonts w:asciiTheme="majorBidi" w:hAnsiTheme="majorBidi" w:cstheme="majorBidi"/>
                <w:sz w:val="24"/>
                <w:szCs w:val="24"/>
              </w:rPr>
              <w:lastRenderedPageBreak/>
              <w:t>eliminate the effects thereof.</w:t>
            </w:r>
            <w:r w:rsidRPr="00373592">
              <w:rPr>
                <w:rFonts w:asciiTheme="majorBidi" w:hAnsiTheme="majorBidi" w:cstheme="majorBidi"/>
                <w:sz w:val="24"/>
                <w:szCs w:val="24"/>
                <w:vertAlign w:val="superscript"/>
              </w:rPr>
              <w:footnoteReference w:id="1"/>
            </w:r>
          </w:p>
          <w:p w:rsidR="00107CCF" w:rsidRPr="00373592" w:rsidRDefault="00107CCF" w:rsidP="00EC6A90">
            <w:pPr>
              <w:bidi w:val="0"/>
              <w:spacing w:after="100" w:afterAutospacing="1"/>
              <w:rPr>
                <w:rFonts w:asciiTheme="majorBidi" w:hAnsiTheme="majorBidi" w:cstheme="majorBidi"/>
                <w:b/>
                <w:bCs/>
                <w:sz w:val="24"/>
                <w:szCs w:val="24"/>
              </w:rPr>
            </w:pPr>
          </w:p>
        </w:tc>
      </w:tr>
      <w:tr w:rsidR="00373592" w:rsidRPr="00373592" w:rsidTr="005C7F67">
        <w:trPr>
          <w:trHeight w:val="690"/>
        </w:trPr>
        <w:tc>
          <w:tcPr>
            <w:tcW w:w="4098" w:type="dxa"/>
          </w:tcPr>
          <w:p w:rsidR="00F72A6A" w:rsidRPr="00373592" w:rsidRDefault="00F72A6A" w:rsidP="00F72A6A">
            <w:pPr>
              <w:pStyle w:val="NormalWeb"/>
              <w:shd w:val="clear" w:color="auto" w:fill="F5F5F7"/>
              <w:spacing w:before="0" w:beforeAutospacing="0"/>
              <w:rPr>
                <w:rFonts w:asciiTheme="majorBidi" w:hAnsiTheme="majorBidi" w:cstheme="majorBidi"/>
              </w:rPr>
            </w:pPr>
            <w:r w:rsidRPr="00373592">
              <w:rPr>
                <w:rFonts w:asciiTheme="majorBidi" w:hAnsiTheme="majorBidi" w:cstheme="majorBidi"/>
                <w:b/>
                <w:bCs/>
              </w:rPr>
              <w:lastRenderedPageBreak/>
              <w:t>Article 6: </w:t>
            </w:r>
          </w:p>
          <w:p w:rsidR="00F72A6A" w:rsidRPr="00373592" w:rsidRDefault="00F72A6A" w:rsidP="00F72A6A">
            <w:pPr>
              <w:pStyle w:val="NormalWeb"/>
              <w:shd w:val="clear" w:color="auto" w:fill="F5F5F7"/>
              <w:spacing w:before="0" w:beforeAutospacing="0"/>
              <w:jc w:val="both"/>
              <w:rPr>
                <w:rFonts w:asciiTheme="majorBidi" w:hAnsiTheme="majorBidi" w:cstheme="majorBidi"/>
              </w:rPr>
            </w:pPr>
            <w:r w:rsidRPr="00373592">
              <w:rPr>
                <w:rFonts w:asciiTheme="majorBidi" w:hAnsiTheme="majorBidi" w:cstheme="majorBidi"/>
              </w:rPr>
              <w:t>(A) The Center shall enjoy complete independence in undertaking its human rights-related intellectual, political and humanitarian activities and functions. Furthermore, the Board, any of its members, or the Commissioner General shall not be held accountable for the measures taken within the Center’s competences specified herein.</w:t>
            </w:r>
          </w:p>
          <w:p w:rsidR="00F72A6A" w:rsidRPr="00373592" w:rsidRDefault="00F72A6A" w:rsidP="00F72A6A">
            <w:pPr>
              <w:pStyle w:val="NormalWeb"/>
              <w:shd w:val="clear" w:color="auto" w:fill="F5F5F7"/>
              <w:spacing w:before="0" w:beforeAutospacing="0"/>
              <w:jc w:val="both"/>
              <w:rPr>
                <w:rFonts w:asciiTheme="majorBidi" w:hAnsiTheme="majorBidi" w:cstheme="majorBidi"/>
              </w:rPr>
            </w:pPr>
          </w:p>
          <w:p w:rsidR="00F72A6A" w:rsidRPr="00373592" w:rsidRDefault="00F72A6A" w:rsidP="00F72A6A">
            <w:pPr>
              <w:pStyle w:val="NormalWeb"/>
              <w:shd w:val="clear" w:color="auto" w:fill="F5F5F7"/>
              <w:spacing w:before="0" w:beforeAutospacing="0"/>
              <w:jc w:val="both"/>
              <w:rPr>
                <w:rFonts w:asciiTheme="majorBidi" w:hAnsiTheme="majorBidi" w:cstheme="majorBidi"/>
                <w:rtl/>
              </w:rPr>
            </w:pPr>
          </w:p>
        </w:tc>
        <w:tc>
          <w:tcPr>
            <w:tcW w:w="4198" w:type="dxa"/>
          </w:tcPr>
          <w:p w:rsidR="00F72A6A" w:rsidRPr="00373592" w:rsidRDefault="00F72A6A" w:rsidP="00F72A6A">
            <w:pPr>
              <w:bidi w:val="0"/>
              <w:spacing w:after="100" w:afterAutospacing="1"/>
              <w:rPr>
                <w:rFonts w:asciiTheme="majorBidi" w:hAnsiTheme="majorBidi" w:cstheme="majorBidi"/>
                <w:b/>
                <w:bCs/>
                <w:sz w:val="24"/>
                <w:szCs w:val="24"/>
              </w:rPr>
            </w:pPr>
            <w:r w:rsidRPr="00373592">
              <w:rPr>
                <w:rFonts w:asciiTheme="majorBidi" w:hAnsiTheme="majorBidi" w:cstheme="majorBidi"/>
                <w:b/>
                <w:bCs/>
                <w:sz w:val="24"/>
                <w:szCs w:val="24"/>
              </w:rPr>
              <w:t>Article 6: </w:t>
            </w:r>
          </w:p>
          <w:p w:rsidR="00F72A6A" w:rsidRPr="00373592" w:rsidRDefault="00F72A6A" w:rsidP="002A7911">
            <w:pPr>
              <w:pStyle w:val="NormalWeb"/>
              <w:numPr>
                <w:ilvl w:val="0"/>
                <w:numId w:val="6"/>
              </w:numPr>
              <w:shd w:val="clear" w:color="auto" w:fill="F5F5F7"/>
              <w:spacing w:before="0" w:beforeAutospacing="0"/>
              <w:jc w:val="both"/>
              <w:rPr>
                <w:rFonts w:asciiTheme="majorBidi" w:hAnsiTheme="majorBidi" w:cstheme="majorBidi"/>
              </w:rPr>
            </w:pPr>
            <w:r w:rsidRPr="00373592">
              <w:rPr>
                <w:rFonts w:asciiTheme="majorBidi" w:hAnsiTheme="majorBidi" w:cstheme="majorBidi"/>
              </w:rPr>
              <w:t>The Centre shall enjoy complete independence in undertaking its human rights-related intellectual, political and humanitarian activities and functions. Furthermore, the Board or any of its members shall not be held accountable for the measures taken within the Centre’s competences specified herein.</w:t>
            </w:r>
          </w:p>
          <w:p w:rsidR="00107CCF" w:rsidRPr="00373592" w:rsidRDefault="00107CCF" w:rsidP="00F72A6A">
            <w:pPr>
              <w:pStyle w:val="NormalWeb"/>
              <w:shd w:val="clear" w:color="auto" w:fill="F5F5F7"/>
              <w:spacing w:before="0" w:beforeAutospacing="0"/>
              <w:jc w:val="both"/>
              <w:rPr>
                <w:rFonts w:asciiTheme="majorBidi" w:hAnsiTheme="majorBidi" w:cstheme="majorBidi"/>
                <w:rtl/>
              </w:rPr>
            </w:pPr>
          </w:p>
        </w:tc>
      </w:tr>
      <w:tr w:rsidR="00373592" w:rsidRPr="00373592" w:rsidTr="005C7F67">
        <w:trPr>
          <w:trHeight w:val="690"/>
        </w:trPr>
        <w:tc>
          <w:tcPr>
            <w:tcW w:w="4098" w:type="dxa"/>
          </w:tcPr>
          <w:p w:rsidR="00235821" w:rsidRPr="00373592" w:rsidRDefault="00235821" w:rsidP="003209A3">
            <w:pPr>
              <w:bidi w:val="0"/>
              <w:spacing w:before="120" w:after="120"/>
              <w:jc w:val="both"/>
              <w:rPr>
                <w:rFonts w:asciiTheme="majorBidi" w:hAnsiTheme="majorBidi" w:cstheme="majorBidi"/>
                <w:b/>
                <w:bCs/>
                <w:sz w:val="24"/>
                <w:szCs w:val="24"/>
                <w:shd w:val="clear" w:color="auto" w:fill="F5F5F7"/>
              </w:rPr>
            </w:pPr>
            <w:r w:rsidRPr="00373592">
              <w:rPr>
                <w:rFonts w:asciiTheme="majorBidi" w:hAnsiTheme="majorBidi" w:cstheme="majorBidi"/>
                <w:b/>
                <w:bCs/>
                <w:sz w:val="24"/>
                <w:szCs w:val="24"/>
                <w:shd w:val="clear" w:color="auto" w:fill="F5F5F7"/>
              </w:rPr>
              <w:t>Article 7:</w:t>
            </w:r>
          </w:p>
          <w:p w:rsidR="00235821" w:rsidRPr="00373592" w:rsidRDefault="00235821" w:rsidP="003209A3">
            <w:pPr>
              <w:bidi w:val="0"/>
              <w:jc w:val="both"/>
              <w:rPr>
                <w:rFonts w:asciiTheme="majorBidi" w:hAnsiTheme="majorBidi" w:cstheme="majorBidi"/>
                <w:sz w:val="24"/>
                <w:szCs w:val="24"/>
                <w:vertAlign w:val="superscript"/>
              </w:rPr>
            </w:pPr>
          </w:p>
          <w:p w:rsidR="000C52A8" w:rsidRPr="00373592" w:rsidRDefault="0092573F" w:rsidP="007B402B">
            <w:pPr>
              <w:bidi w:val="0"/>
              <w:jc w:val="both"/>
              <w:rPr>
                <w:rFonts w:asciiTheme="majorBidi" w:hAnsiTheme="majorBidi" w:cstheme="majorBidi"/>
                <w:sz w:val="24"/>
                <w:szCs w:val="24"/>
                <w:lang w:bidi="ar-JO"/>
              </w:rPr>
            </w:pPr>
            <w:r w:rsidRPr="00373592">
              <w:rPr>
                <w:rFonts w:asciiTheme="majorBidi" w:hAnsiTheme="majorBidi" w:cstheme="majorBidi"/>
                <w:sz w:val="24"/>
                <w:szCs w:val="24"/>
                <w:rtl/>
              </w:rPr>
              <w:t xml:space="preserve">  </w:t>
            </w:r>
            <w:r w:rsidR="000C52A8" w:rsidRPr="00373592">
              <w:rPr>
                <w:rFonts w:asciiTheme="majorBidi" w:hAnsiTheme="majorBidi" w:cstheme="majorBidi"/>
                <w:sz w:val="24"/>
                <w:szCs w:val="24"/>
                <w:lang w:bidi="ar-JO"/>
              </w:rPr>
              <w:t xml:space="preserve">The Center </w:t>
            </w:r>
            <w:r w:rsidR="005C3E26" w:rsidRPr="00373592">
              <w:rPr>
                <w:rFonts w:asciiTheme="majorBidi" w:hAnsiTheme="majorBidi" w:cstheme="majorBidi"/>
                <w:sz w:val="24"/>
                <w:szCs w:val="24"/>
                <w:lang w:bidi="ar-JO"/>
              </w:rPr>
              <w:t>shall monitor</w:t>
            </w:r>
            <w:r w:rsidR="000C52A8" w:rsidRPr="00373592">
              <w:rPr>
                <w:rFonts w:asciiTheme="majorBidi" w:hAnsiTheme="majorBidi" w:cstheme="majorBidi"/>
                <w:sz w:val="24"/>
                <w:szCs w:val="24"/>
                <w:lang w:bidi="ar-JO"/>
              </w:rPr>
              <w:t xml:space="preserve"> violations on human rights and public freedoms, </w:t>
            </w:r>
            <w:r w:rsidR="005C3E26" w:rsidRPr="00373592">
              <w:rPr>
                <w:rFonts w:asciiTheme="majorBidi" w:hAnsiTheme="majorBidi" w:cstheme="majorBidi"/>
                <w:sz w:val="24"/>
                <w:szCs w:val="24"/>
                <w:lang w:bidi="ar-JO"/>
              </w:rPr>
              <w:t>and strive</w:t>
            </w:r>
            <w:r w:rsidR="000C52A8" w:rsidRPr="00373592">
              <w:rPr>
                <w:rFonts w:asciiTheme="majorBidi" w:hAnsiTheme="majorBidi" w:cstheme="majorBidi"/>
                <w:sz w:val="24"/>
                <w:szCs w:val="24"/>
                <w:lang w:bidi="ar-JO"/>
              </w:rPr>
              <w:t xml:space="preserve"> to halt any transgressions on them, and </w:t>
            </w:r>
            <w:r w:rsidR="005C3E26" w:rsidRPr="00373592">
              <w:rPr>
                <w:rFonts w:asciiTheme="majorBidi" w:hAnsiTheme="majorBidi" w:cstheme="majorBidi"/>
                <w:sz w:val="24"/>
                <w:szCs w:val="24"/>
                <w:lang w:bidi="ar-JO"/>
              </w:rPr>
              <w:t>it may follow</w:t>
            </w:r>
            <w:r w:rsidR="000C52A8" w:rsidRPr="00373592">
              <w:rPr>
                <w:rFonts w:asciiTheme="majorBidi" w:hAnsiTheme="majorBidi" w:cstheme="majorBidi"/>
                <w:sz w:val="24"/>
                <w:szCs w:val="24"/>
                <w:lang w:bidi="ar-JO"/>
              </w:rPr>
              <w:t xml:space="preserve"> up the compensation of those who </w:t>
            </w:r>
            <w:r w:rsidR="004876FF" w:rsidRPr="00373592">
              <w:rPr>
                <w:rFonts w:asciiTheme="majorBidi" w:hAnsiTheme="majorBidi" w:cstheme="majorBidi"/>
                <w:sz w:val="24"/>
                <w:szCs w:val="24"/>
                <w:lang w:bidi="ar-JO"/>
              </w:rPr>
              <w:t>were</w:t>
            </w:r>
            <w:r w:rsidR="000C52A8" w:rsidRPr="00373592">
              <w:rPr>
                <w:rFonts w:asciiTheme="majorBidi" w:hAnsiTheme="majorBidi" w:cstheme="majorBidi"/>
                <w:sz w:val="24"/>
                <w:szCs w:val="24"/>
                <w:lang w:bidi="ar-JO"/>
              </w:rPr>
              <w:t xml:space="preserve"> adversely affected, in accordance with the provisions of the legislations in force.</w:t>
            </w:r>
          </w:p>
          <w:p w:rsidR="0092573F" w:rsidRPr="00373592" w:rsidRDefault="0092573F" w:rsidP="003209A3">
            <w:pPr>
              <w:bidi w:val="0"/>
              <w:jc w:val="both"/>
              <w:rPr>
                <w:rFonts w:asciiTheme="majorBidi" w:hAnsiTheme="majorBidi" w:cstheme="majorBidi"/>
                <w:sz w:val="24"/>
                <w:szCs w:val="24"/>
                <w:rtl/>
                <w:lang w:bidi="ar-JO"/>
              </w:rPr>
            </w:pPr>
            <w:r w:rsidRPr="00373592">
              <w:rPr>
                <w:rFonts w:asciiTheme="majorBidi" w:hAnsiTheme="majorBidi" w:cstheme="majorBidi"/>
                <w:sz w:val="24"/>
                <w:szCs w:val="24"/>
                <w:rtl/>
                <w:lang w:bidi="ar-JO"/>
              </w:rPr>
              <w:t>"</w:t>
            </w:r>
          </w:p>
        </w:tc>
        <w:tc>
          <w:tcPr>
            <w:tcW w:w="4198" w:type="dxa"/>
          </w:tcPr>
          <w:p w:rsidR="00140901" w:rsidRPr="00373592" w:rsidRDefault="000C52A8" w:rsidP="003209A3">
            <w:pPr>
              <w:bidi w:val="0"/>
              <w:spacing w:before="120" w:after="120"/>
              <w:jc w:val="both"/>
              <w:rPr>
                <w:rFonts w:asciiTheme="majorBidi" w:hAnsiTheme="majorBidi" w:cstheme="majorBidi"/>
                <w:b/>
                <w:bCs/>
                <w:sz w:val="24"/>
                <w:szCs w:val="24"/>
                <w:shd w:val="clear" w:color="auto" w:fill="F5F5F7"/>
              </w:rPr>
            </w:pPr>
            <w:r w:rsidRPr="00373592">
              <w:rPr>
                <w:rFonts w:asciiTheme="majorBidi" w:hAnsiTheme="majorBidi" w:cstheme="majorBidi"/>
                <w:b/>
                <w:bCs/>
                <w:sz w:val="24"/>
                <w:szCs w:val="24"/>
                <w:shd w:val="clear" w:color="auto" w:fill="F5F5F7"/>
              </w:rPr>
              <w:t>Article 7:</w:t>
            </w:r>
          </w:p>
          <w:p w:rsidR="000C52A8" w:rsidRPr="00373592" w:rsidRDefault="000C52A8" w:rsidP="005C3E26">
            <w:pPr>
              <w:bidi w:val="0"/>
              <w:spacing w:before="120" w:after="120"/>
              <w:jc w:val="both"/>
              <w:rPr>
                <w:rFonts w:asciiTheme="majorBidi" w:hAnsiTheme="majorBidi" w:cstheme="majorBidi"/>
                <w:sz w:val="24"/>
                <w:szCs w:val="24"/>
                <w:rtl/>
                <w:lang w:bidi="ar-JO"/>
              </w:rPr>
            </w:pPr>
            <w:r w:rsidRPr="00373592">
              <w:rPr>
                <w:rFonts w:asciiTheme="majorBidi" w:hAnsiTheme="majorBidi" w:cstheme="majorBidi"/>
                <w:sz w:val="24"/>
                <w:szCs w:val="24"/>
                <w:lang w:bidi="ar-JO"/>
              </w:rPr>
              <w:t xml:space="preserve">The </w:t>
            </w:r>
            <w:r w:rsidR="005C3E26" w:rsidRPr="00373592">
              <w:rPr>
                <w:rFonts w:asciiTheme="majorBidi" w:hAnsiTheme="majorBidi" w:cstheme="majorBidi"/>
                <w:sz w:val="24"/>
                <w:szCs w:val="24"/>
                <w:lang w:bidi="ar-JO"/>
              </w:rPr>
              <w:t>Center shall monitor</w:t>
            </w:r>
            <w:r w:rsidRPr="00373592">
              <w:rPr>
                <w:rFonts w:asciiTheme="majorBidi" w:hAnsiTheme="majorBidi" w:cstheme="majorBidi"/>
                <w:sz w:val="24"/>
                <w:szCs w:val="24"/>
                <w:lang w:bidi="ar-JO"/>
              </w:rPr>
              <w:t xml:space="preserve"> violations on human rights and public freedoms and </w:t>
            </w:r>
            <w:r w:rsidR="005C3E26" w:rsidRPr="00373592">
              <w:rPr>
                <w:rFonts w:asciiTheme="majorBidi" w:hAnsiTheme="majorBidi" w:cstheme="majorBidi"/>
                <w:sz w:val="24"/>
                <w:szCs w:val="24"/>
                <w:lang w:bidi="ar-JO"/>
              </w:rPr>
              <w:t>shall strive</w:t>
            </w:r>
            <w:r w:rsidRPr="00373592">
              <w:rPr>
                <w:rFonts w:asciiTheme="majorBidi" w:hAnsiTheme="majorBidi" w:cstheme="majorBidi"/>
                <w:sz w:val="24"/>
                <w:szCs w:val="24"/>
                <w:lang w:bidi="ar-JO"/>
              </w:rPr>
              <w:t xml:space="preserve"> to halt any </w:t>
            </w:r>
            <w:r w:rsidR="005C3E26" w:rsidRPr="00373592">
              <w:rPr>
                <w:rFonts w:asciiTheme="majorBidi" w:hAnsiTheme="majorBidi" w:cstheme="majorBidi"/>
                <w:sz w:val="24"/>
                <w:szCs w:val="24"/>
                <w:lang w:bidi="ar-JO"/>
              </w:rPr>
              <w:t>such violations.</w:t>
            </w:r>
          </w:p>
        </w:tc>
      </w:tr>
      <w:tr w:rsidR="00373592" w:rsidRPr="00373592" w:rsidTr="005C7F67">
        <w:trPr>
          <w:trHeight w:val="690"/>
        </w:trPr>
        <w:tc>
          <w:tcPr>
            <w:tcW w:w="4098" w:type="dxa"/>
          </w:tcPr>
          <w:p w:rsidR="00F905E4" w:rsidRPr="00373592" w:rsidRDefault="00892242" w:rsidP="00F905E4">
            <w:pPr>
              <w:bidi w:val="0"/>
              <w:spacing w:after="100" w:afterAutospacing="1"/>
              <w:jc w:val="both"/>
              <w:rPr>
                <w:rFonts w:asciiTheme="majorBidi" w:hAnsiTheme="majorBidi" w:cstheme="majorBidi"/>
                <w:sz w:val="24"/>
                <w:szCs w:val="24"/>
              </w:rPr>
            </w:pPr>
            <w:r w:rsidRPr="00373592">
              <w:rPr>
                <w:rFonts w:asciiTheme="majorBidi" w:hAnsiTheme="majorBidi" w:cstheme="majorBidi"/>
                <w:sz w:val="24"/>
                <w:szCs w:val="24"/>
              </w:rPr>
              <w:t xml:space="preserve"> </w:t>
            </w:r>
            <w:r w:rsidR="00F905E4" w:rsidRPr="00373592">
              <w:rPr>
                <w:rFonts w:asciiTheme="majorBidi" w:hAnsiTheme="majorBidi" w:cstheme="majorBidi"/>
                <w:sz w:val="24"/>
                <w:szCs w:val="24"/>
              </w:rPr>
              <w:t>Article 13</w:t>
            </w:r>
            <w:r w:rsidR="00F905E4" w:rsidRPr="00373592">
              <w:rPr>
                <w:rFonts w:asciiTheme="majorBidi" w:hAnsiTheme="majorBidi" w:cstheme="majorBidi"/>
                <w:sz w:val="24"/>
                <w:szCs w:val="24"/>
                <w:rtl/>
              </w:rPr>
              <w:t xml:space="preserve">:  </w:t>
            </w:r>
          </w:p>
          <w:p w:rsidR="00F905E4" w:rsidRPr="00373592" w:rsidRDefault="00F905E4" w:rsidP="002A7911">
            <w:pPr>
              <w:pStyle w:val="ListParagraph"/>
              <w:numPr>
                <w:ilvl w:val="0"/>
                <w:numId w:val="9"/>
              </w:numPr>
              <w:bidi w:val="0"/>
              <w:spacing w:after="100" w:afterAutospacing="1"/>
              <w:jc w:val="both"/>
              <w:rPr>
                <w:rFonts w:asciiTheme="majorBidi" w:hAnsiTheme="majorBidi" w:cstheme="majorBidi"/>
              </w:rPr>
            </w:pPr>
            <w:r w:rsidRPr="00373592">
              <w:rPr>
                <w:rFonts w:asciiTheme="majorBidi" w:hAnsiTheme="majorBidi" w:cstheme="majorBidi"/>
              </w:rPr>
              <w:t>The Centre shall be supervised and managed by a Board of Trustees of no more than 21 members, whose Chairman and members are appointed by Royal Decree at the recommendation of the Prime Minister for a renewable term of four years</w:t>
            </w:r>
            <w:r w:rsidRPr="00373592">
              <w:rPr>
                <w:rFonts w:asciiTheme="majorBidi" w:hAnsiTheme="majorBidi" w:cstheme="majorBidi"/>
                <w:rtl/>
              </w:rPr>
              <w:t>.</w:t>
            </w:r>
          </w:p>
          <w:p w:rsidR="00F905E4" w:rsidRPr="00373592" w:rsidRDefault="00F905E4" w:rsidP="002A7911">
            <w:pPr>
              <w:pStyle w:val="ListParagraph"/>
              <w:numPr>
                <w:ilvl w:val="0"/>
                <w:numId w:val="9"/>
              </w:numPr>
              <w:bidi w:val="0"/>
              <w:spacing w:after="100" w:afterAutospacing="1"/>
              <w:jc w:val="both"/>
              <w:rPr>
                <w:rFonts w:asciiTheme="majorBidi" w:hAnsiTheme="majorBidi" w:cstheme="majorBidi"/>
              </w:rPr>
            </w:pPr>
            <w:r w:rsidRPr="00373592">
              <w:rPr>
                <w:rFonts w:asciiTheme="majorBidi" w:hAnsiTheme="majorBidi" w:cstheme="majorBidi"/>
              </w:rPr>
              <w:t xml:space="preserve"> The Board shall elect from among its members a Deputy Chairman who deputizes for the Chairman during his absence</w:t>
            </w:r>
            <w:r w:rsidRPr="00373592">
              <w:rPr>
                <w:rFonts w:asciiTheme="majorBidi" w:hAnsiTheme="majorBidi" w:cstheme="majorBidi"/>
                <w:rtl/>
              </w:rPr>
              <w:t>.</w:t>
            </w:r>
          </w:p>
          <w:p w:rsidR="00F905E4" w:rsidRPr="00373592" w:rsidRDefault="00F905E4" w:rsidP="002A7911">
            <w:pPr>
              <w:pStyle w:val="ListParagraph"/>
              <w:numPr>
                <w:ilvl w:val="0"/>
                <w:numId w:val="9"/>
              </w:numPr>
              <w:bidi w:val="0"/>
              <w:spacing w:after="100" w:afterAutospacing="1"/>
              <w:jc w:val="both"/>
              <w:rPr>
                <w:rFonts w:asciiTheme="majorBidi" w:hAnsiTheme="majorBidi" w:cstheme="majorBidi"/>
              </w:rPr>
            </w:pPr>
            <w:r w:rsidRPr="00373592">
              <w:rPr>
                <w:rFonts w:asciiTheme="majorBidi" w:hAnsiTheme="majorBidi" w:cstheme="majorBidi"/>
              </w:rPr>
              <w:t>The Board shall serve for a term of four years.</w:t>
            </w:r>
          </w:p>
          <w:p w:rsidR="00F905E4" w:rsidRPr="00373592" w:rsidRDefault="00F905E4" w:rsidP="002A7911">
            <w:pPr>
              <w:pStyle w:val="ListParagraph"/>
              <w:numPr>
                <w:ilvl w:val="0"/>
                <w:numId w:val="9"/>
              </w:numPr>
              <w:bidi w:val="0"/>
              <w:spacing w:after="100" w:afterAutospacing="1"/>
              <w:jc w:val="both"/>
              <w:rPr>
                <w:rFonts w:asciiTheme="majorBidi" w:hAnsiTheme="majorBidi" w:cstheme="majorBidi"/>
              </w:rPr>
            </w:pPr>
            <w:r w:rsidRPr="00373592">
              <w:rPr>
                <w:rFonts w:asciiTheme="majorBidi" w:hAnsiTheme="majorBidi" w:cstheme="majorBidi"/>
              </w:rPr>
              <w:t xml:space="preserve">Membership of the Board shall end in any of the following </w:t>
            </w:r>
            <w:r w:rsidRPr="00373592">
              <w:rPr>
                <w:rFonts w:asciiTheme="majorBidi" w:hAnsiTheme="majorBidi" w:cstheme="majorBidi"/>
              </w:rPr>
              <w:lastRenderedPageBreak/>
              <w:t>cases</w:t>
            </w:r>
            <w:r w:rsidRPr="00373592">
              <w:rPr>
                <w:rFonts w:asciiTheme="majorBidi" w:hAnsiTheme="majorBidi" w:cstheme="majorBidi"/>
                <w:rtl/>
              </w:rPr>
              <w:t xml:space="preserve">: </w:t>
            </w:r>
          </w:p>
          <w:p w:rsidR="00F905E4" w:rsidRPr="00373592" w:rsidRDefault="00F905E4" w:rsidP="002A7911">
            <w:pPr>
              <w:pStyle w:val="ListParagraph"/>
              <w:numPr>
                <w:ilvl w:val="0"/>
                <w:numId w:val="10"/>
              </w:numPr>
              <w:bidi w:val="0"/>
              <w:spacing w:after="100" w:afterAutospacing="1"/>
              <w:jc w:val="both"/>
              <w:rPr>
                <w:rFonts w:asciiTheme="majorBidi" w:hAnsiTheme="majorBidi" w:cstheme="majorBidi"/>
              </w:rPr>
            </w:pPr>
            <w:r w:rsidRPr="00373592">
              <w:rPr>
                <w:rFonts w:asciiTheme="majorBidi" w:hAnsiTheme="majorBidi" w:cstheme="majorBidi"/>
              </w:rPr>
              <w:t>Death</w:t>
            </w:r>
            <w:r w:rsidRPr="00373592">
              <w:rPr>
                <w:rFonts w:asciiTheme="majorBidi" w:hAnsiTheme="majorBidi" w:cstheme="majorBidi"/>
                <w:rtl/>
              </w:rPr>
              <w:t>.</w:t>
            </w:r>
          </w:p>
          <w:p w:rsidR="00F905E4" w:rsidRPr="00373592" w:rsidRDefault="00F905E4" w:rsidP="002A7911">
            <w:pPr>
              <w:pStyle w:val="ListParagraph"/>
              <w:numPr>
                <w:ilvl w:val="0"/>
                <w:numId w:val="10"/>
              </w:numPr>
              <w:bidi w:val="0"/>
              <w:spacing w:after="100" w:afterAutospacing="1"/>
              <w:jc w:val="both"/>
              <w:rPr>
                <w:rFonts w:asciiTheme="majorBidi" w:hAnsiTheme="majorBidi" w:cstheme="majorBidi"/>
              </w:rPr>
            </w:pPr>
            <w:r w:rsidRPr="00373592">
              <w:rPr>
                <w:rFonts w:asciiTheme="majorBidi" w:hAnsiTheme="majorBidi" w:cstheme="majorBidi"/>
              </w:rPr>
              <w:t>Resignation</w:t>
            </w:r>
            <w:r w:rsidRPr="00373592">
              <w:rPr>
                <w:rFonts w:asciiTheme="majorBidi" w:hAnsiTheme="majorBidi" w:cstheme="majorBidi"/>
                <w:rtl/>
              </w:rPr>
              <w:t xml:space="preserve">. </w:t>
            </w:r>
          </w:p>
          <w:p w:rsidR="00F905E4" w:rsidRPr="00373592" w:rsidRDefault="00F905E4" w:rsidP="002A7911">
            <w:pPr>
              <w:pStyle w:val="ListParagraph"/>
              <w:numPr>
                <w:ilvl w:val="0"/>
                <w:numId w:val="10"/>
              </w:numPr>
              <w:bidi w:val="0"/>
              <w:spacing w:after="100" w:afterAutospacing="1"/>
              <w:jc w:val="both"/>
              <w:rPr>
                <w:rFonts w:asciiTheme="majorBidi" w:hAnsiTheme="majorBidi" w:cstheme="majorBidi"/>
              </w:rPr>
            </w:pPr>
            <w:r w:rsidRPr="00373592">
              <w:rPr>
                <w:rFonts w:asciiTheme="majorBidi" w:hAnsiTheme="majorBidi" w:cstheme="majorBidi"/>
              </w:rPr>
              <w:t>A categorical court decision convicting the member of a felony or misdemeanor in violation of honor</w:t>
            </w:r>
            <w:r w:rsidRPr="00373592">
              <w:rPr>
                <w:rFonts w:asciiTheme="majorBidi" w:hAnsiTheme="majorBidi" w:cstheme="majorBidi"/>
                <w:rtl/>
              </w:rPr>
              <w:t>.</w:t>
            </w:r>
          </w:p>
          <w:p w:rsidR="00F905E4" w:rsidRPr="00373592" w:rsidRDefault="00F905E4" w:rsidP="002A7911">
            <w:pPr>
              <w:pStyle w:val="ListParagraph"/>
              <w:numPr>
                <w:ilvl w:val="0"/>
                <w:numId w:val="10"/>
              </w:numPr>
              <w:bidi w:val="0"/>
              <w:spacing w:after="100" w:afterAutospacing="1"/>
              <w:jc w:val="both"/>
              <w:rPr>
                <w:rFonts w:asciiTheme="majorBidi" w:hAnsiTheme="majorBidi" w:cstheme="majorBidi"/>
              </w:rPr>
            </w:pPr>
            <w:r w:rsidRPr="00373592">
              <w:rPr>
                <w:rFonts w:asciiTheme="majorBidi" w:hAnsiTheme="majorBidi" w:cstheme="majorBidi"/>
              </w:rPr>
              <w:t>Loss of civil capacity</w:t>
            </w:r>
            <w:r w:rsidRPr="00373592">
              <w:rPr>
                <w:rFonts w:asciiTheme="majorBidi" w:hAnsiTheme="majorBidi" w:cstheme="majorBidi"/>
                <w:rtl/>
              </w:rPr>
              <w:t xml:space="preserve">. </w:t>
            </w:r>
          </w:p>
          <w:p w:rsidR="00F905E4" w:rsidRPr="00373592" w:rsidRDefault="00F905E4" w:rsidP="002A7911">
            <w:pPr>
              <w:pStyle w:val="ListParagraph"/>
              <w:numPr>
                <w:ilvl w:val="0"/>
                <w:numId w:val="10"/>
              </w:numPr>
              <w:bidi w:val="0"/>
              <w:spacing w:after="100" w:afterAutospacing="1"/>
              <w:jc w:val="both"/>
              <w:rPr>
                <w:rFonts w:asciiTheme="majorBidi" w:hAnsiTheme="majorBidi" w:cstheme="majorBidi"/>
              </w:rPr>
            </w:pPr>
            <w:r w:rsidRPr="00373592">
              <w:rPr>
                <w:rFonts w:asciiTheme="majorBidi" w:hAnsiTheme="majorBidi" w:cstheme="majorBidi"/>
              </w:rPr>
              <w:t>Physical incapacitation preventing the member from performing his work tasks by virtue of the decision of the competent medical committee</w:t>
            </w:r>
            <w:r w:rsidRPr="00373592">
              <w:rPr>
                <w:rFonts w:asciiTheme="majorBidi" w:hAnsiTheme="majorBidi" w:cstheme="majorBidi"/>
                <w:rtl/>
              </w:rPr>
              <w:t>.</w:t>
            </w:r>
          </w:p>
          <w:p w:rsidR="00F905E4" w:rsidRPr="00373592" w:rsidRDefault="00F905E4" w:rsidP="002A7911">
            <w:pPr>
              <w:pStyle w:val="ListParagraph"/>
              <w:numPr>
                <w:ilvl w:val="0"/>
                <w:numId w:val="10"/>
              </w:numPr>
              <w:bidi w:val="0"/>
              <w:spacing w:after="100" w:afterAutospacing="1"/>
              <w:jc w:val="both"/>
              <w:rPr>
                <w:rFonts w:asciiTheme="majorBidi" w:hAnsiTheme="majorBidi" w:cstheme="majorBidi"/>
              </w:rPr>
            </w:pPr>
            <w:r w:rsidRPr="00373592">
              <w:rPr>
                <w:rFonts w:asciiTheme="majorBidi" w:hAnsiTheme="majorBidi" w:cstheme="majorBidi"/>
              </w:rPr>
              <w:t>Absence from the sessions of the Board for three consecutive times without an excuse acceptable to the Board</w:t>
            </w:r>
            <w:r w:rsidRPr="00373592">
              <w:rPr>
                <w:rFonts w:asciiTheme="majorBidi" w:hAnsiTheme="majorBidi" w:cstheme="majorBidi"/>
                <w:rtl/>
              </w:rPr>
              <w:t>.</w:t>
            </w:r>
          </w:p>
          <w:p w:rsidR="00F905E4" w:rsidRPr="00373592" w:rsidRDefault="00F905E4" w:rsidP="002A7911">
            <w:pPr>
              <w:pStyle w:val="ListParagraph"/>
              <w:numPr>
                <w:ilvl w:val="0"/>
                <w:numId w:val="10"/>
              </w:numPr>
              <w:bidi w:val="0"/>
              <w:spacing w:after="100" w:afterAutospacing="1"/>
              <w:jc w:val="both"/>
              <w:rPr>
                <w:rFonts w:asciiTheme="majorBidi" w:hAnsiTheme="majorBidi" w:cstheme="majorBidi"/>
              </w:rPr>
            </w:pPr>
            <w:r w:rsidRPr="00373592">
              <w:rPr>
                <w:rFonts w:asciiTheme="majorBidi" w:hAnsiTheme="majorBidi" w:cstheme="majorBidi"/>
              </w:rPr>
              <w:t>Expiry of the term of the Board</w:t>
            </w:r>
            <w:r w:rsidRPr="00373592">
              <w:rPr>
                <w:rFonts w:asciiTheme="majorBidi" w:hAnsiTheme="majorBidi" w:cstheme="majorBidi"/>
                <w:rtl/>
              </w:rPr>
              <w:t>.</w:t>
            </w:r>
          </w:p>
          <w:p w:rsidR="00F905E4" w:rsidRPr="00373592" w:rsidRDefault="00F905E4" w:rsidP="00F905E4">
            <w:pPr>
              <w:pStyle w:val="ListParagraph"/>
              <w:bidi w:val="0"/>
              <w:spacing w:after="100" w:afterAutospacing="1"/>
              <w:jc w:val="both"/>
              <w:rPr>
                <w:rFonts w:asciiTheme="majorBidi" w:hAnsiTheme="majorBidi" w:cstheme="majorBidi"/>
              </w:rPr>
            </w:pPr>
          </w:p>
          <w:p w:rsidR="00F905E4" w:rsidRPr="00373592" w:rsidRDefault="00F905E4" w:rsidP="002A7911">
            <w:pPr>
              <w:pStyle w:val="ListParagraph"/>
              <w:numPr>
                <w:ilvl w:val="0"/>
                <w:numId w:val="9"/>
              </w:numPr>
              <w:bidi w:val="0"/>
              <w:spacing w:after="100" w:afterAutospacing="1"/>
              <w:jc w:val="both"/>
              <w:rPr>
                <w:rFonts w:asciiTheme="majorBidi" w:hAnsiTheme="majorBidi" w:cstheme="majorBidi"/>
              </w:rPr>
            </w:pPr>
            <w:r w:rsidRPr="00373592">
              <w:rPr>
                <w:rFonts w:asciiTheme="majorBidi" w:hAnsiTheme="majorBidi" w:cstheme="majorBidi"/>
              </w:rPr>
              <w:t>It is necessary for a person appointed as Chairman or member of the Board to</w:t>
            </w:r>
            <w:r w:rsidRPr="00373592">
              <w:rPr>
                <w:rFonts w:asciiTheme="majorBidi" w:hAnsiTheme="majorBidi" w:cstheme="majorBidi"/>
                <w:rtl/>
              </w:rPr>
              <w:t>:</w:t>
            </w:r>
          </w:p>
          <w:p w:rsidR="00F905E4" w:rsidRPr="00373592" w:rsidRDefault="00F905E4" w:rsidP="00F905E4">
            <w:pPr>
              <w:pStyle w:val="ListParagraph"/>
              <w:bidi w:val="0"/>
              <w:spacing w:after="100" w:afterAutospacing="1"/>
              <w:ind w:left="780"/>
              <w:jc w:val="both"/>
              <w:rPr>
                <w:rFonts w:asciiTheme="majorBidi" w:hAnsiTheme="majorBidi" w:cstheme="majorBidi"/>
              </w:rPr>
            </w:pPr>
          </w:p>
          <w:p w:rsidR="00F905E4" w:rsidRPr="00373592" w:rsidRDefault="00F905E4" w:rsidP="002A7911">
            <w:pPr>
              <w:pStyle w:val="ListParagraph"/>
              <w:numPr>
                <w:ilvl w:val="0"/>
                <w:numId w:val="11"/>
              </w:numPr>
              <w:bidi w:val="0"/>
              <w:spacing w:after="100" w:afterAutospacing="1"/>
              <w:jc w:val="both"/>
              <w:rPr>
                <w:rFonts w:asciiTheme="majorBidi" w:hAnsiTheme="majorBidi" w:cstheme="majorBidi"/>
              </w:rPr>
            </w:pPr>
            <w:r w:rsidRPr="00373592">
              <w:rPr>
                <w:rFonts w:asciiTheme="majorBidi" w:hAnsiTheme="majorBidi" w:cstheme="majorBidi"/>
              </w:rPr>
              <w:t>Follow up on the concerns and aspirations of society as well as the issues of the citizens</w:t>
            </w:r>
            <w:r w:rsidRPr="00373592">
              <w:rPr>
                <w:rFonts w:asciiTheme="majorBidi" w:hAnsiTheme="majorBidi" w:cstheme="majorBidi"/>
                <w:rtl/>
              </w:rPr>
              <w:t xml:space="preserve">. </w:t>
            </w:r>
          </w:p>
          <w:p w:rsidR="00F905E4" w:rsidRPr="00373592" w:rsidRDefault="00F905E4" w:rsidP="002A7911">
            <w:pPr>
              <w:pStyle w:val="ListParagraph"/>
              <w:numPr>
                <w:ilvl w:val="0"/>
                <w:numId w:val="11"/>
              </w:numPr>
              <w:bidi w:val="0"/>
              <w:spacing w:after="100" w:afterAutospacing="1"/>
              <w:jc w:val="both"/>
              <w:rPr>
                <w:rFonts w:asciiTheme="majorBidi" w:hAnsiTheme="majorBidi" w:cstheme="majorBidi"/>
              </w:rPr>
            </w:pPr>
            <w:r w:rsidRPr="00373592">
              <w:rPr>
                <w:rFonts w:asciiTheme="majorBidi" w:hAnsiTheme="majorBidi" w:cstheme="majorBidi"/>
              </w:rPr>
              <w:t>To be well versed in the principles of human rights and fundamental freedoms guaranteed by the Constitution and international charters and conventions related to human rights</w:t>
            </w:r>
            <w:r w:rsidRPr="00373592">
              <w:rPr>
                <w:rFonts w:asciiTheme="majorBidi" w:hAnsiTheme="majorBidi" w:cstheme="majorBidi"/>
                <w:rtl/>
              </w:rPr>
              <w:t xml:space="preserve">. </w:t>
            </w:r>
          </w:p>
          <w:p w:rsidR="00FD29B1" w:rsidRPr="00373592" w:rsidRDefault="00F905E4" w:rsidP="002A7911">
            <w:pPr>
              <w:pStyle w:val="ListParagraph"/>
              <w:numPr>
                <w:ilvl w:val="0"/>
                <w:numId w:val="9"/>
              </w:numPr>
              <w:bidi w:val="0"/>
              <w:spacing w:after="100" w:afterAutospacing="1"/>
              <w:jc w:val="both"/>
              <w:rPr>
                <w:rFonts w:asciiTheme="majorBidi" w:hAnsiTheme="majorBidi" w:cstheme="majorBidi"/>
              </w:rPr>
            </w:pPr>
            <w:r w:rsidRPr="00373592">
              <w:rPr>
                <w:rFonts w:asciiTheme="majorBidi" w:hAnsiTheme="majorBidi" w:cstheme="majorBidi"/>
              </w:rPr>
              <w:t>Due regard shall be given upon appointing the members of the Board to broad representation of the segments of society and the quarters concerned with human rights, including the representation of woman and the relevant civil society organizations.</w:t>
            </w:r>
          </w:p>
        </w:tc>
        <w:tc>
          <w:tcPr>
            <w:tcW w:w="4198" w:type="dxa"/>
          </w:tcPr>
          <w:p w:rsidR="002B6D39" w:rsidRPr="00373592" w:rsidRDefault="002B6D39" w:rsidP="002B6D39">
            <w:pPr>
              <w:bidi w:val="0"/>
              <w:spacing w:after="100" w:afterAutospacing="1"/>
              <w:rPr>
                <w:rFonts w:asciiTheme="majorBidi" w:hAnsiTheme="majorBidi" w:cstheme="majorBidi"/>
                <w:sz w:val="24"/>
                <w:szCs w:val="24"/>
                <w:lang w:bidi="ar-JO"/>
              </w:rPr>
            </w:pPr>
            <w:r w:rsidRPr="00373592">
              <w:rPr>
                <w:rFonts w:asciiTheme="majorBidi" w:hAnsiTheme="majorBidi" w:cstheme="majorBidi"/>
                <w:sz w:val="24"/>
                <w:szCs w:val="24"/>
                <w:lang w:bidi="ar-JO"/>
              </w:rPr>
              <w:lastRenderedPageBreak/>
              <w:t>Article 13:</w:t>
            </w:r>
          </w:p>
          <w:p w:rsidR="002E039D" w:rsidRPr="00373592" w:rsidRDefault="002B6D39" w:rsidP="002A7911">
            <w:pPr>
              <w:pStyle w:val="ListParagraph"/>
              <w:numPr>
                <w:ilvl w:val="0"/>
                <w:numId w:val="7"/>
              </w:numPr>
              <w:bidi w:val="0"/>
              <w:spacing w:after="100" w:afterAutospacing="1"/>
              <w:jc w:val="both"/>
              <w:rPr>
                <w:rFonts w:asciiTheme="majorBidi" w:hAnsiTheme="majorBidi" w:cstheme="majorBidi"/>
                <w:lang w:bidi="ar-JO"/>
              </w:rPr>
            </w:pPr>
            <w:r w:rsidRPr="00373592">
              <w:rPr>
                <w:rFonts w:asciiTheme="majorBidi" w:hAnsiTheme="majorBidi" w:cstheme="majorBidi"/>
                <w:lang w:bidi="ar-JO"/>
              </w:rPr>
              <w:t>The Centre shall be supervised and managed by a Board of Trustees of no more than 21 members, whose Chairman and members are appointed by Royal Decree at the recommendation of the Prime Minister</w:t>
            </w:r>
            <w:r w:rsidR="000E5117" w:rsidRPr="00373592">
              <w:rPr>
                <w:rFonts w:asciiTheme="majorBidi" w:hAnsiTheme="majorBidi" w:cstheme="majorBidi"/>
                <w:lang w:bidi="ar-JO"/>
              </w:rPr>
              <w:t>. The same applies to the termination of the membership of anyone of them, by appointing replacement to him for the remainder of his membership.</w:t>
            </w:r>
          </w:p>
          <w:p w:rsidR="002E039D" w:rsidRPr="00373592" w:rsidRDefault="00FD29B1" w:rsidP="002A7911">
            <w:pPr>
              <w:pStyle w:val="ListParagraph"/>
              <w:numPr>
                <w:ilvl w:val="0"/>
                <w:numId w:val="7"/>
              </w:numPr>
              <w:bidi w:val="0"/>
              <w:spacing w:after="100" w:afterAutospacing="1"/>
              <w:jc w:val="both"/>
              <w:rPr>
                <w:rFonts w:asciiTheme="majorBidi" w:hAnsiTheme="majorBidi" w:cstheme="majorBidi"/>
                <w:lang w:bidi="ar-JO"/>
              </w:rPr>
            </w:pPr>
            <w:r w:rsidRPr="00373592">
              <w:rPr>
                <w:rFonts w:asciiTheme="majorBidi" w:hAnsiTheme="majorBidi" w:cstheme="majorBidi"/>
                <w:lang w:bidi="ar-JO"/>
              </w:rPr>
              <w:t>The Board shall elect from among its members a Deputy Chairman who deputizes for the Chairman during his absence.</w:t>
            </w:r>
          </w:p>
          <w:p w:rsidR="00256171" w:rsidRPr="00373592" w:rsidRDefault="00FD29B1" w:rsidP="002A7911">
            <w:pPr>
              <w:pStyle w:val="ListParagraph"/>
              <w:numPr>
                <w:ilvl w:val="0"/>
                <w:numId w:val="7"/>
              </w:numPr>
              <w:bidi w:val="0"/>
              <w:spacing w:after="100" w:afterAutospacing="1"/>
              <w:jc w:val="both"/>
              <w:rPr>
                <w:rFonts w:asciiTheme="majorBidi" w:hAnsiTheme="majorBidi" w:cstheme="majorBidi"/>
                <w:rtl/>
                <w:lang w:bidi="ar-JO"/>
              </w:rPr>
            </w:pPr>
            <w:r w:rsidRPr="00373592">
              <w:rPr>
                <w:rFonts w:asciiTheme="majorBidi" w:hAnsiTheme="majorBidi" w:cstheme="majorBidi"/>
                <w:lang w:bidi="ar-JO"/>
              </w:rPr>
              <w:t>The Board shall</w:t>
            </w:r>
            <w:r w:rsidR="000A1C99" w:rsidRPr="00373592">
              <w:rPr>
                <w:rFonts w:asciiTheme="majorBidi" w:hAnsiTheme="majorBidi" w:cstheme="majorBidi"/>
                <w:lang w:bidi="ar-JO"/>
              </w:rPr>
              <w:t xml:space="preserve"> serve for a term of </w:t>
            </w:r>
            <w:r w:rsidR="000A1C99" w:rsidRPr="00373592">
              <w:rPr>
                <w:rFonts w:asciiTheme="majorBidi" w:hAnsiTheme="majorBidi" w:cstheme="majorBidi"/>
                <w:lang w:bidi="ar-JO"/>
              </w:rPr>
              <w:lastRenderedPageBreak/>
              <w:t>four years.</w:t>
            </w:r>
            <w:r w:rsidRPr="00373592">
              <w:rPr>
                <w:rFonts w:asciiTheme="majorBidi" w:hAnsiTheme="majorBidi" w:cstheme="majorBidi"/>
                <w:lang w:bidi="ar-JO"/>
              </w:rPr>
              <w:t xml:space="preserve"> </w:t>
            </w:r>
          </w:p>
        </w:tc>
      </w:tr>
      <w:tr w:rsidR="000E798C" w:rsidRPr="00373592" w:rsidTr="00FF57D1">
        <w:trPr>
          <w:trHeight w:val="889"/>
        </w:trPr>
        <w:tc>
          <w:tcPr>
            <w:tcW w:w="4098" w:type="dxa"/>
          </w:tcPr>
          <w:p w:rsidR="000E798C" w:rsidRPr="00373592" w:rsidRDefault="00A41040" w:rsidP="00A41040">
            <w:pPr>
              <w:bidi w:val="0"/>
              <w:jc w:val="both"/>
              <w:rPr>
                <w:rFonts w:asciiTheme="majorBidi" w:hAnsiTheme="majorBidi" w:cstheme="majorBidi"/>
                <w:sz w:val="24"/>
                <w:szCs w:val="24"/>
              </w:rPr>
            </w:pPr>
            <w:r w:rsidRPr="00373592">
              <w:rPr>
                <w:rFonts w:asciiTheme="majorBidi" w:hAnsiTheme="majorBidi" w:cstheme="majorBidi"/>
                <w:sz w:val="24"/>
                <w:szCs w:val="24"/>
              </w:rPr>
              <w:lastRenderedPageBreak/>
              <w:t xml:space="preserve">Only </w:t>
            </w:r>
            <w:r w:rsidR="00AA159D" w:rsidRPr="00373592">
              <w:rPr>
                <w:rFonts w:asciiTheme="majorBidi" w:hAnsiTheme="majorBidi" w:cstheme="majorBidi"/>
                <w:sz w:val="24"/>
                <w:szCs w:val="24"/>
              </w:rPr>
              <w:t>Paragraph</w:t>
            </w:r>
            <w:r w:rsidR="00AD6A5E" w:rsidRPr="00373592">
              <w:rPr>
                <w:rFonts w:asciiTheme="majorBidi" w:hAnsiTheme="majorBidi" w:cstheme="majorBidi"/>
                <w:sz w:val="24"/>
                <w:szCs w:val="24"/>
              </w:rPr>
              <w:t xml:space="preserve"> </w:t>
            </w:r>
            <w:r w:rsidR="00AA159D" w:rsidRPr="00373592">
              <w:rPr>
                <w:rFonts w:asciiTheme="majorBidi" w:hAnsiTheme="majorBidi" w:cstheme="majorBidi"/>
                <w:sz w:val="24"/>
                <w:szCs w:val="24"/>
              </w:rPr>
              <w:t>(</w:t>
            </w:r>
            <w:r w:rsidR="00AD6A5E" w:rsidRPr="00373592">
              <w:rPr>
                <w:rFonts w:asciiTheme="majorBidi" w:hAnsiTheme="majorBidi" w:cstheme="majorBidi"/>
                <w:sz w:val="24"/>
                <w:szCs w:val="24"/>
              </w:rPr>
              <w:t>D</w:t>
            </w:r>
            <w:r w:rsidR="00AA159D" w:rsidRPr="00373592">
              <w:rPr>
                <w:rFonts w:asciiTheme="majorBidi" w:hAnsiTheme="majorBidi" w:cstheme="majorBidi"/>
                <w:sz w:val="24"/>
                <w:szCs w:val="24"/>
              </w:rPr>
              <w:t>)</w:t>
            </w:r>
            <w:r w:rsidR="00AD6A5E" w:rsidRPr="00373592">
              <w:rPr>
                <w:rFonts w:asciiTheme="majorBidi" w:hAnsiTheme="majorBidi" w:cstheme="majorBidi"/>
                <w:sz w:val="24"/>
                <w:szCs w:val="24"/>
              </w:rPr>
              <w:t xml:space="preserve"> </w:t>
            </w:r>
            <w:r w:rsidR="00772B80" w:rsidRPr="00373592">
              <w:rPr>
                <w:rFonts w:asciiTheme="majorBidi" w:hAnsiTheme="majorBidi" w:cstheme="majorBidi"/>
                <w:sz w:val="24"/>
                <w:szCs w:val="24"/>
              </w:rPr>
              <w:t xml:space="preserve">of Article (15) </w:t>
            </w:r>
            <w:r w:rsidR="005B5723" w:rsidRPr="00373592">
              <w:rPr>
                <w:rFonts w:asciiTheme="majorBidi" w:hAnsiTheme="majorBidi" w:cstheme="majorBidi"/>
                <w:sz w:val="24"/>
                <w:szCs w:val="24"/>
              </w:rPr>
              <w:t>was amended</w:t>
            </w:r>
            <w:r w:rsidR="00AA159D" w:rsidRPr="00373592">
              <w:rPr>
                <w:rFonts w:asciiTheme="majorBidi" w:hAnsiTheme="majorBidi" w:cstheme="majorBidi"/>
                <w:sz w:val="24"/>
                <w:szCs w:val="24"/>
              </w:rPr>
              <w:t xml:space="preserve"> by adding the phrase (non-recurrent capital expenditures) after the phrase (on the payment vouchers) stated therein</w:t>
            </w:r>
            <w:r w:rsidR="005B5723" w:rsidRPr="00373592">
              <w:rPr>
                <w:rFonts w:asciiTheme="majorBidi" w:hAnsiTheme="majorBidi" w:cstheme="majorBidi"/>
                <w:sz w:val="24"/>
                <w:szCs w:val="24"/>
              </w:rPr>
              <w:t xml:space="preserve">,  so </w:t>
            </w:r>
            <w:r w:rsidRPr="00373592">
              <w:rPr>
                <w:rFonts w:asciiTheme="majorBidi" w:hAnsiTheme="majorBidi" w:cstheme="majorBidi"/>
                <w:sz w:val="24"/>
                <w:szCs w:val="24"/>
              </w:rPr>
              <w:t>the</w:t>
            </w:r>
            <w:r w:rsidR="005B5723" w:rsidRPr="00373592">
              <w:rPr>
                <w:rFonts w:asciiTheme="majorBidi" w:hAnsiTheme="majorBidi" w:cstheme="majorBidi"/>
                <w:sz w:val="24"/>
                <w:szCs w:val="24"/>
              </w:rPr>
              <w:t xml:space="preserve"> </w:t>
            </w:r>
            <w:r w:rsidRPr="00373592">
              <w:rPr>
                <w:rFonts w:asciiTheme="majorBidi" w:hAnsiTheme="majorBidi" w:cstheme="majorBidi"/>
                <w:sz w:val="24"/>
                <w:szCs w:val="24"/>
              </w:rPr>
              <w:t>Paragraph (</w:t>
            </w:r>
            <w:r w:rsidR="005B5723" w:rsidRPr="00373592">
              <w:rPr>
                <w:rFonts w:asciiTheme="majorBidi" w:hAnsiTheme="majorBidi" w:cstheme="majorBidi"/>
                <w:sz w:val="24"/>
                <w:szCs w:val="24"/>
              </w:rPr>
              <w:t>would read as follows:</w:t>
            </w:r>
          </w:p>
          <w:p w:rsidR="000E798C" w:rsidRPr="00373592" w:rsidRDefault="00060B68" w:rsidP="00FF57D1">
            <w:pPr>
              <w:bidi w:val="0"/>
              <w:spacing w:after="100" w:afterAutospacing="1"/>
              <w:jc w:val="both"/>
              <w:rPr>
                <w:rFonts w:asciiTheme="majorBidi" w:hAnsiTheme="majorBidi" w:cstheme="majorBidi"/>
                <w:b/>
                <w:bCs/>
                <w:sz w:val="24"/>
                <w:szCs w:val="24"/>
                <w:lang w:bidi="ar-JO"/>
              </w:rPr>
            </w:pPr>
            <w:r w:rsidRPr="00373592">
              <w:rPr>
                <w:rFonts w:asciiTheme="majorBidi" w:hAnsiTheme="majorBidi" w:cstheme="majorBidi"/>
                <w:b/>
                <w:bCs/>
                <w:sz w:val="24"/>
                <w:szCs w:val="24"/>
              </w:rPr>
              <w:t xml:space="preserve">Article 15/ </w:t>
            </w:r>
            <w:r w:rsidR="000E798C" w:rsidRPr="00373592">
              <w:rPr>
                <w:rFonts w:asciiTheme="majorBidi" w:hAnsiTheme="majorBidi" w:cstheme="majorBidi"/>
                <w:b/>
                <w:bCs/>
                <w:sz w:val="24"/>
                <w:szCs w:val="24"/>
              </w:rPr>
              <w:t>D</w:t>
            </w:r>
            <w:r w:rsidRPr="00373592">
              <w:rPr>
                <w:rFonts w:asciiTheme="majorBidi" w:hAnsiTheme="majorBidi" w:cstheme="majorBidi"/>
                <w:b/>
                <w:bCs/>
                <w:sz w:val="24"/>
                <w:szCs w:val="24"/>
                <w:lang w:bidi="ar-JO"/>
              </w:rPr>
              <w:t>:</w:t>
            </w:r>
            <w:r w:rsidR="00FF57D1" w:rsidRPr="00373592">
              <w:rPr>
                <w:rFonts w:asciiTheme="majorBidi" w:hAnsiTheme="majorBidi" w:cstheme="majorBidi"/>
                <w:b/>
                <w:bCs/>
                <w:sz w:val="24"/>
                <w:szCs w:val="24"/>
                <w:lang w:bidi="ar-JO"/>
              </w:rPr>
              <w:t xml:space="preserve"> </w:t>
            </w:r>
            <w:r w:rsidR="000E798C" w:rsidRPr="00373592">
              <w:rPr>
                <w:rFonts w:asciiTheme="majorBidi" w:hAnsiTheme="majorBidi" w:cstheme="majorBidi"/>
                <w:sz w:val="24"/>
                <w:szCs w:val="24"/>
                <w:lang w:bidi="ar-JO"/>
              </w:rPr>
              <w:t xml:space="preserve">The Board shall select from among its members a Treasurer, </w:t>
            </w:r>
            <w:r w:rsidR="000E798C" w:rsidRPr="00373592">
              <w:rPr>
                <w:rFonts w:asciiTheme="majorBidi" w:hAnsiTheme="majorBidi" w:cstheme="majorBidi"/>
                <w:sz w:val="24"/>
                <w:szCs w:val="24"/>
                <w:lang w:bidi="ar-JO"/>
              </w:rPr>
              <w:lastRenderedPageBreak/>
              <w:t>who shall supervise financial records and accounts, organize payment and receipt vouchers, and sign payment</w:t>
            </w:r>
            <w:r w:rsidR="00844634" w:rsidRPr="00373592">
              <w:rPr>
                <w:rFonts w:asciiTheme="majorBidi" w:hAnsiTheme="majorBidi" w:cstheme="majorBidi"/>
                <w:sz w:val="24"/>
                <w:szCs w:val="24"/>
                <w:lang w:bidi="ar-JO"/>
              </w:rPr>
              <w:t xml:space="preserve"> vouchers,</w:t>
            </w:r>
            <w:r w:rsidR="000E798C" w:rsidRPr="00373592">
              <w:rPr>
                <w:rFonts w:asciiTheme="majorBidi" w:hAnsiTheme="majorBidi" w:cstheme="majorBidi"/>
                <w:sz w:val="24"/>
                <w:szCs w:val="24"/>
                <w:lang w:bidi="ar-JO"/>
              </w:rPr>
              <w:t xml:space="preserve"> </w:t>
            </w:r>
            <w:r w:rsidR="00844634" w:rsidRPr="00373592">
              <w:rPr>
                <w:rFonts w:asciiTheme="majorBidi" w:hAnsiTheme="majorBidi" w:cstheme="majorBidi"/>
                <w:sz w:val="24"/>
                <w:szCs w:val="24"/>
                <w:lang w:bidi="ar-JO"/>
              </w:rPr>
              <w:t xml:space="preserve">related to the non-recurrent capital expenditures, </w:t>
            </w:r>
            <w:r w:rsidR="000E798C" w:rsidRPr="00373592">
              <w:rPr>
                <w:rFonts w:asciiTheme="majorBidi" w:hAnsiTheme="majorBidi" w:cstheme="majorBidi"/>
                <w:sz w:val="24"/>
                <w:szCs w:val="24"/>
                <w:lang w:bidi="ar-JO"/>
              </w:rPr>
              <w:t>together with the Chairman or the Commissioner General.</w:t>
            </w:r>
          </w:p>
          <w:p w:rsidR="000E798C" w:rsidRPr="00373592" w:rsidRDefault="000E798C" w:rsidP="00F905E4">
            <w:pPr>
              <w:bidi w:val="0"/>
              <w:spacing w:before="120" w:after="120"/>
              <w:ind w:left="720"/>
              <w:contextualSpacing/>
              <w:jc w:val="both"/>
              <w:rPr>
                <w:rFonts w:asciiTheme="majorBidi" w:hAnsiTheme="majorBidi" w:cstheme="majorBidi"/>
                <w:sz w:val="24"/>
                <w:szCs w:val="24"/>
                <w:lang w:bidi="ar-JO"/>
              </w:rPr>
            </w:pPr>
          </w:p>
          <w:p w:rsidR="000E798C" w:rsidRPr="00373592" w:rsidRDefault="000E798C" w:rsidP="00F905E4">
            <w:pPr>
              <w:bidi w:val="0"/>
              <w:jc w:val="both"/>
              <w:rPr>
                <w:rFonts w:asciiTheme="majorBidi" w:hAnsiTheme="majorBidi" w:cstheme="majorBidi"/>
                <w:sz w:val="24"/>
                <w:szCs w:val="24"/>
                <w:rtl/>
                <w:lang w:bidi="ar-JO"/>
              </w:rPr>
            </w:pPr>
          </w:p>
        </w:tc>
        <w:tc>
          <w:tcPr>
            <w:tcW w:w="4198" w:type="dxa"/>
          </w:tcPr>
          <w:p w:rsidR="000E798C" w:rsidRPr="00373592" w:rsidRDefault="000E798C" w:rsidP="000E798C">
            <w:pPr>
              <w:bidi w:val="0"/>
              <w:spacing w:after="100" w:afterAutospacing="1"/>
              <w:rPr>
                <w:rFonts w:asciiTheme="majorBidi" w:hAnsiTheme="majorBidi" w:cstheme="majorBidi"/>
                <w:b/>
                <w:bCs/>
                <w:sz w:val="24"/>
                <w:szCs w:val="24"/>
                <w:lang w:bidi="ar-JO"/>
              </w:rPr>
            </w:pPr>
            <w:r w:rsidRPr="00373592">
              <w:rPr>
                <w:rFonts w:asciiTheme="majorBidi" w:hAnsiTheme="majorBidi" w:cstheme="majorBidi"/>
                <w:b/>
                <w:bCs/>
                <w:sz w:val="24"/>
                <w:szCs w:val="24"/>
                <w:lang w:bidi="ar-JO"/>
              </w:rPr>
              <w:lastRenderedPageBreak/>
              <w:t>Article 15:</w:t>
            </w:r>
          </w:p>
          <w:p w:rsidR="000E798C" w:rsidRPr="00373592" w:rsidRDefault="000E798C" w:rsidP="00DA3F3F">
            <w:pPr>
              <w:bidi w:val="0"/>
              <w:spacing w:after="100" w:afterAutospacing="1"/>
              <w:jc w:val="both"/>
              <w:rPr>
                <w:rFonts w:asciiTheme="majorBidi" w:hAnsiTheme="majorBidi" w:cstheme="majorBidi"/>
                <w:sz w:val="24"/>
                <w:szCs w:val="24"/>
                <w:lang w:bidi="ar-JO"/>
              </w:rPr>
            </w:pPr>
            <w:r w:rsidRPr="00373592">
              <w:rPr>
                <w:rFonts w:asciiTheme="majorBidi" w:hAnsiTheme="majorBidi" w:cstheme="majorBidi"/>
                <w:sz w:val="24"/>
                <w:szCs w:val="24"/>
                <w:lang w:bidi="ar-JO"/>
              </w:rPr>
              <w:t xml:space="preserve">(A) The Board meets once a month at the invitation of the Chairman or, in his absence, of his Deputy. The meeting shall have quorum in the presence of at least two thirds of the Board members, provided the Chairman or his deputy is </w:t>
            </w:r>
            <w:r w:rsidRPr="00373592">
              <w:rPr>
                <w:rFonts w:asciiTheme="majorBidi" w:hAnsiTheme="majorBidi" w:cstheme="majorBidi"/>
                <w:sz w:val="24"/>
                <w:szCs w:val="24"/>
                <w:lang w:bidi="ar-JO"/>
              </w:rPr>
              <w:lastRenderedPageBreak/>
              <w:t>present. The Board adopts its decisions by the votes of at least two thirds of those present.</w:t>
            </w:r>
          </w:p>
          <w:p w:rsidR="000E798C" w:rsidRPr="00373592" w:rsidRDefault="000E798C" w:rsidP="00DA3F3F">
            <w:pPr>
              <w:bidi w:val="0"/>
              <w:spacing w:after="100" w:afterAutospacing="1"/>
              <w:jc w:val="both"/>
              <w:rPr>
                <w:rFonts w:asciiTheme="majorBidi" w:hAnsiTheme="majorBidi" w:cstheme="majorBidi"/>
                <w:sz w:val="24"/>
                <w:szCs w:val="24"/>
                <w:lang w:bidi="ar-JO"/>
              </w:rPr>
            </w:pPr>
            <w:r w:rsidRPr="00373592">
              <w:rPr>
                <w:rFonts w:asciiTheme="majorBidi" w:hAnsiTheme="majorBidi" w:cstheme="majorBidi"/>
                <w:sz w:val="24"/>
                <w:szCs w:val="24"/>
                <w:lang w:bidi="ar-JO"/>
              </w:rPr>
              <w:t>(B) The Board of Trustees may delegate any of its competences to the Chairman or any of the Board’s committees or members.</w:t>
            </w:r>
          </w:p>
          <w:p w:rsidR="000E798C" w:rsidRPr="00373592" w:rsidRDefault="000E798C" w:rsidP="000E798C">
            <w:pPr>
              <w:bidi w:val="0"/>
              <w:spacing w:after="100" w:afterAutospacing="1"/>
              <w:rPr>
                <w:rFonts w:asciiTheme="majorBidi" w:hAnsiTheme="majorBidi" w:cstheme="majorBidi"/>
                <w:sz w:val="24"/>
                <w:szCs w:val="24"/>
                <w:lang w:bidi="ar-JO"/>
              </w:rPr>
            </w:pPr>
            <w:r w:rsidRPr="00373592">
              <w:rPr>
                <w:rFonts w:asciiTheme="majorBidi" w:hAnsiTheme="majorBidi" w:cstheme="majorBidi"/>
                <w:sz w:val="24"/>
                <w:szCs w:val="24"/>
                <w:lang w:bidi="ar-JO"/>
              </w:rPr>
              <w:t>(C) At the recommendation of the Chairman, the Board shall appoint a Secretary, who shall organize the Board’s meetings, record its decisions and file its documents and other legal papers.</w:t>
            </w:r>
          </w:p>
          <w:p w:rsidR="000E798C" w:rsidRPr="00373592" w:rsidRDefault="000E798C" w:rsidP="00235821">
            <w:pPr>
              <w:bidi w:val="0"/>
              <w:spacing w:after="100" w:afterAutospacing="1"/>
              <w:rPr>
                <w:rFonts w:asciiTheme="majorBidi" w:hAnsiTheme="majorBidi" w:cstheme="majorBidi"/>
                <w:sz w:val="24"/>
                <w:szCs w:val="24"/>
                <w:rtl/>
                <w:lang w:bidi="ar-JO"/>
              </w:rPr>
            </w:pPr>
            <w:r w:rsidRPr="00373592">
              <w:rPr>
                <w:rFonts w:asciiTheme="majorBidi" w:hAnsiTheme="majorBidi" w:cstheme="majorBidi"/>
                <w:sz w:val="24"/>
                <w:szCs w:val="24"/>
                <w:lang w:bidi="ar-JO"/>
              </w:rPr>
              <w:t>(D) The Board shall select from among its members a Treasurer, who shall supervise financial records and accounts, organize payment and receipt vouchers, and sign payment vouchers together with the Chairman or the Commissioner General.</w:t>
            </w:r>
            <w:r w:rsidRPr="00373592">
              <w:rPr>
                <w:rFonts w:asciiTheme="majorBidi" w:hAnsiTheme="majorBidi" w:cstheme="majorBidi"/>
                <w:sz w:val="24"/>
                <w:szCs w:val="24"/>
                <w:lang w:bidi="ar-JO"/>
              </w:rPr>
              <w:footnoteReference w:id="2"/>
            </w:r>
          </w:p>
        </w:tc>
      </w:tr>
    </w:tbl>
    <w:p w:rsidR="00504D8C" w:rsidRPr="00373592" w:rsidRDefault="00504D8C" w:rsidP="003A097A">
      <w:pPr>
        <w:keepNext/>
        <w:keepLines/>
        <w:tabs>
          <w:tab w:val="right" w:pos="1021"/>
        </w:tabs>
        <w:suppressAutoHyphens/>
        <w:spacing w:before="240" w:after="240" w:line="400" w:lineRule="exact"/>
        <w:ind w:right="1247"/>
        <w:jc w:val="lowKashida"/>
        <w:rPr>
          <w:rFonts w:asciiTheme="majorBidi" w:eastAsia="Times New Roman" w:hAnsiTheme="majorBidi" w:cstheme="majorBidi"/>
          <w:b/>
          <w:bCs/>
          <w:spacing w:val="-5"/>
          <w:sz w:val="24"/>
          <w:szCs w:val="24"/>
          <w:rtl/>
          <w:lang w:bidi="ar-JO"/>
        </w:rPr>
      </w:pPr>
    </w:p>
    <w:p w:rsidR="007200EA" w:rsidRPr="00373592" w:rsidRDefault="007200EA" w:rsidP="00BD3845">
      <w:pPr>
        <w:pStyle w:val="H1G"/>
        <w:ind w:left="0" w:right="84" w:firstLine="0"/>
        <w:rPr>
          <w:rFonts w:asciiTheme="majorBidi" w:hAnsiTheme="majorBidi" w:cstheme="majorBidi"/>
          <w:szCs w:val="24"/>
        </w:rPr>
      </w:pPr>
      <w:r w:rsidRPr="00373592">
        <w:rPr>
          <w:rFonts w:asciiTheme="majorBidi" w:hAnsiTheme="majorBidi" w:cstheme="majorBidi"/>
          <w:szCs w:val="24"/>
        </w:rPr>
        <w:t>Non-discrimination and equality between men and women (arts. 2-3, 23-24 and 26)</w:t>
      </w:r>
    </w:p>
    <w:p w:rsidR="00504D8C" w:rsidRPr="00373592" w:rsidRDefault="00A90117" w:rsidP="00E01B2D">
      <w:pPr>
        <w:pStyle w:val="ListParagraph"/>
        <w:numPr>
          <w:ilvl w:val="0"/>
          <w:numId w:val="13"/>
        </w:numPr>
        <w:bidi w:val="0"/>
        <w:spacing w:after="120"/>
        <w:ind w:left="90" w:right="26" w:firstLine="0"/>
        <w:jc w:val="both"/>
        <w:rPr>
          <w:rFonts w:asciiTheme="majorBidi" w:hAnsiTheme="majorBidi" w:cstheme="majorBidi"/>
          <w:lang w:bidi="ar-JO"/>
        </w:rPr>
      </w:pPr>
      <w:r w:rsidRPr="00373592">
        <w:rPr>
          <w:rFonts w:asciiTheme="majorBidi" w:eastAsia="Calibri" w:hAnsiTheme="majorBidi" w:cstheme="majorBidi"/>
          <w:lang w:bidi="ar-AE"/>
        </w:rPr>
        <w:t>Article</w:t>
      </w:r>
      <w:r w:rsidR="00A95773" w:rsidRPr="00373592">
        <w:rPr>
          <w:rFonts w:asciiTheme="majorBidi" w:eastAsia="Calibri" w:hAnsiTheme="majorBidi" w:cstheme="majorBidi"/>
          <w:lang w:bidi="ar-AE"/>
        </w:rPr>
        <w:t xml:space="preserve"> (6) of the Jordanian Constitution</w:t>
      </w:r>
      <w:r w:rsidR="00A95773" w:rsidRPr="00373592">
        <w:rPr>
          <w:rFonts w:asciiTheme="majorBidi" w:hAnsiTheme="majorBidi" w:cstheme="majorBidi"/>
        </w:rPr>
        <w:t xml:space="preserve"> </w:t>
      </w:r>
      <w:r w:rsidR="00A95773" w:rsidRPr="00373592">
        <w:rPr>
          <w:rFonts w:asciiTheme="majorBidi" w:eastAsia="Calibri" w:hAnsiTheme="majorBidi" w:cstheme="majorBidi"/>
          <w:lang w:bidi="ar-AE"/>
        </w:rPr>
        <w:t>provides for equality before the law and that there shall be no distinction between them in rights and obligations,</w:t>
      </w:r>
      <w:r w:rsidR="00A95773" w:rsidRPr="00373592">
        <w:rPr>
          <w:rFonts w:asciiTheme="majorBidi" w:hAnsiTheme="majorBidi" w:cstheme="majorBidi"/>
        </w:rPr>
        <w:t xml:space="preserve"> </w:t>
      </w:r>
      <w:r w:rsidR="00A95773" w:rsidRPr="00373592">
        <w:rPr>
          <w:rFonts w:asciiTheme="majorBidi" w:eastAsia="Calibri" w:hAnsiTheme="majorBidi" w:cstheme="majorBidi"/>
          <w:lang w:bidi="ar-AE"/>
        </w:rPr>
        <w:t>irrespective of their race, language or religion".</w:t>
      </w:r>
      <w:r w:rsidR="004F5606" w:rsidRPr="00373592">
        <w:rPr>
          <w:rFonts w:asciiTheme="majorBidi" w:eastAsia="Calibri" w:hAnsiTheme="majorBidi" w:cstheme="majorBidi"/>
          <w:lang w:bidi="ar-AE"/>
        </w:rPr>
        <w:t xml:space="preserve"> In </w:t>
      </w:r>
      <w:r w:rsidR="00575131" w:rsidRPr="00373592">
        <w:rPr>
          <w:rFonts w:asciiTheme="majorBidi" w:eastAsia="Calibri" w:hAnsiTheme="majorBidi" w:cstheme="majorBidi"/>
          <w:lang w:bidi="ar-AE"/>
        </w:rPr>
        <w:t>addition,</w:t>
      </w:r>
      <w:r w:rsidR="004F5606" w:rsidRPr="00373592">
        <w:rPr>
          <w:rFonts w:asciiTheme="majorBidi" w:eastAsia="Calibri" w:hAnsiTheme="majorBidi" w:cstheme="majorBidi"/>
          <w:lang w:bidi="ar-AE"/>
        </w:rPr>
        <w:t xml:space="preserve"> Jordan has ratified </w:t>
      </w:r>
      <w:r w:rsidR="004F5606" w:rsidRPr="00373592">
        <w:rPr>
          <w:rFonts w:asciiTheme="majorBidi" w:eastAsia="Calibri" w:hAnsiTheme="majorBidi" w:cstheme="majorBidi"/>
          <w:lang w:val="en-GB" w:bidi="ar-AE"/>
        </w:rPr>
        <w:t>the Convention on the Elimination of All Forms of Discrimination against Women (CEDAW) and published it in the Official Gazette in 2007.</w:t>
      </w:r>
      <w:r w:rsidR="004F5606" w:rsidRPr="00373592">
        <w:rPr>
          <w:rFonts w:asciiTheme="majorBidi" w:eastAsia="Calibri" w:hAnsiTheme="majorBidi" w:cstheme="majorBidi"/>
          <w:lang w:bidi="ar-AE"/>
        </w:rPr>
        <w:t xml:space="preserve"> </w:t>
      </w:r>
      <w:r w:rsidR="009300D3" w:rsidRPr="00373592">
        <w:rPr>
          <w:rFonts w:asciiTheme="majorBidi" w:eastAsia="Calibri" w:hAnsiTheme="majorBidi" w:cstheme="majorBidi"/>
          <w:lang w:bidi="ar-AE"/>
        </w:rPr>
        <w:t>In addition, m</w:t>
      </w:r>
      <w:r w:rsidR="004F5606" w:rsidRPr="00373592">
        <w:rPr>
          <w:rFonts w:asciiTheme="majorBidi" w:eastAsia="Calibri" w:hAnsiTheme="majorBidi" w:cstheme="majorBidi"/>
          <w:lang w:bidi="ar-AE"/>
        </w:rPr>
        <w:t xml:space="preserve">any </w:t>
      </w:r>
      <w:r w:rsidR="009300D3" w:rsidRPr="00373592">
        <w:rPr>
          <w:rFonts w:asciiTheme="majorBidi" w:eastAsia="Calibri" w:hAnsiTheme="majorBidi" w:cstheme="majorBidi"/>
          <w:lang w:bidi="ar-AE"/>
        </w:rPr>
        <w:t xml:space="preserve">relevant </w:t>
      </w:r>
      <w:r w:rsidR="004F5606" w:rsidRPr="00373592">
        <w:rPr>
          <w:rFonts w:asciiTheme="majorBidi" w:eastAsia="Calibri" w:hAnsiTheme="majorBidi" w:cstheme="majorBidi"/>
          <w:lang w:bidi="ar-AE"/>
        </w:rPr>
        <w:t xml:space="preserve">legislations were amended to </w:t>
      </w:r>
      <w:r w:rsidR="008213A0" w:rsidRPr="00373592">
        <w:rPr>
          <w:rFonts w:asciiTheme="majorBidi" w:eastAsia="Calibri" w:hAnsiTheme="majorBidi" w:cstheme="majorBidi"/>
          <w:lang w:bidi="ar-AE"/>
        </w:rPr>
        <w:t>align</w:t>
      </w:r>
      <w:r w:rsidR="004F5606" w:rsidRPr="00373592">
        <w:rPr>
          <w:rFonts w:asciiTheme="majorBidi" w:eastAsia="Calibri" w:hAnsiTheme="majorBidi" w:cstheme="majorBidi"/>
          <w:lang w:bidi="ar-AE"/>
        </w:rPr>
        <w:t xml:space="preserve"> them with the </w:t>
      </w:r>
      <w:r w:rsidR="00575131" w:rsidRPr="00373592">
        <w:rPr>
          <w:rFonts w:asciiTheme="majorBidi" w:eastAsia="Calibri" w:hAnsiTheme="majorBidi" w:cstheme="majorBidi"/>
          <w:lang w:bidi="ar-AE"/>
        </w:rPr>
        <w:t>C</w:t>
      </w:r>
      <w:r w:rsidR="004F5606" w:rsidRPr="00373592">
        <w:rPr>
          <w:rFonts w:asciiTheme="majorBidi" w:eastAsia="Calibri" w:hAnsiTheme="majorBidi" w:cstheme="majorBidi"/>
          <w:lang w:bidi="ar-AE"/>
        </w:rPr>
        <w:t>onvention, nonetheless</w:t>
      </w:r>
      <w:r w:rsidR="005A6316" w:rsidRPr="00373592">
        <w:rPr>
          <w:rFonts w:asciiTheme="majorBidi" w:eastAsia="Calibri" w:hAnsiTheme="majorBidi" w:cstheme="majorBidi"/>
          <w:lang w:bidi="ar-AE"/>
        </w:rPr>
        <w:t xml:space="preserve">, </w:t>
      </w:r>
      <w:r w:rsidR="00B21511" w:rsidRPr="00373592">
        <w:rPr>
          <w:rFonts w:asciiTheme="majorBidi" w:eastAsia="Calibri" w:hAnsiTheme="majorBidi" w:cstheme="majorBidi"/>
          <w:lang w:val="en-GB" w:bidi="ar-AE"/>
        </w:rPr>
        <w:t xml:space="preserve">this does not mean that </w:t>
      </w:r>
      <w:r w:rsidR="00372407" w:rsidRPr="00373592">
        <w:rPr>
          <w:rFonts w:asciiTheme="majorBidi" w:eastAsia="Calibri" w:hAnsiTheme="majorBidi" w:cstheme="majorBidi"/>
          <w:lang w:val="en-GB" w:bidi="ar-AE"/>
        </w:rPr>
        <w:t>these</w:t>
      </w:r>
      <w:r w:rsidR="00B21511" w:rsidRPr="00373592">
        <w:rPr>
          <w:rFonts w:asciiTheme="majorBidi" w:eastAsia="Calibri" w:hAnsiTheme="majorBidi" w:cstheme="majorBidi"/>
          <w:lang w:val="en-GB" w:bidi="ar-AE"/>
        </w:rPr>
        <w:t xml:space="preserve"> modification</w:t>
      </w:r>
      <w:r w:rsidR="00C43267">
        <w:rPr>
          <w:rFonts w:asciiTheme="majorBidi" w:eastAsia="Calibri" w:hAnsiTheme="majorBidi" w:cstheme="majorBidi"/>
          <w:lang w:val="en-GB" w:bidi="ar-AE"/>
        </w:rPr>
        <w:t>s</w:t>
      </w:r>
      <w:r w:rsidR="00B21511" w:rsidRPr="00373592">
        <w:rPr>
          <w:rFonts w:asciiTheme="majorBidi" w:eastAsia="Calibri" w:hAnsiTheme="majorBidi" w:cstheme="majorBidi"/>
          <w:lang w:val="en-GB" w:bidi="ar-AE"/>
        </w:rPr>
        <w:t xml:space="preserve"> have</w:t>
      </w:r>
      <w:r w:rsidR="004F5606" w:rsidRPr="00373592">
        <w:rPr>
          <w:rFonts w:asciiTheme="majorBidi" w:eastAsia="Calibri" w:hAnsiTheme="majorBidi" w:cstheme="majorBidi"/>
          <w:lang w:val="en-GB" w:bidi="ar-AE"/>
        </w:rPr>
        <w:t xml:space="preserve"> </w:t>
      </w:r>
      <w:r w:rsidR="00B21511" w:rsidRPr="00373592">
        <w:rPr>
          <w:rFonts w:asciiTheme="majorBidi" w:eastAsia="Calibri" w:hAnsiTheme="majorBidi" w:cstheme="majorBidi"/>
          <w:lang w:val="en-GB" w:bidi="ar-AE"/>
        </w:rPr>
        <w:t>affected all</w:t>
      </w:r>
      <w:r w:rsidR="009D15EF" w:rsidRPr="00373592">
        <w:rPr>
          <w:rFonts w:asciiTheme="majorBidi" w:eastAsia="Calibri" w:hAnsiTheme="majorBidi" w:cstheme="majorBidi"/>
          <w:lang w:val="en-GB" w:bidi="ar-AE"/>
        </w:rPr>
        <w:t xml:space="preserve"> legislations that contain </w:t>
      </w:r>
      <w:r w:rsidR="004F5606" w:rsidRPr="00373592">
        <w:rPr>
          <w:rFonts w:asciiTheme="majorBidi" w:eastAsia="Calibri" w:hAnsiTheme="majorBidi" w:cstheme="majorBidi"/>
          <w:lang w:val="en-GB" w:bidi="ar-AE"/>
        </w:rPr>
        <w:t xml:space="preserve">discriminatory </w:t>
      </w:r>
      <w:r w:rsidR="009D15EF" w:rsidRPr="00373592">
        <w:rPr>
          <w:rFonts w:asciiTheme="majorBidi" w:eastAsia="Calibri" w:hAnsiTheme="majorBidi" w:cstheme="majorBidi"/>
          <w:lang w:val="en-GB" w:bidi="ar-AE"/>
        </w:rPr>
        <w:t xml:space="preserve">provisions </w:t>
      </w:r>
      <w:r w:rsidR="004F5606" w:rsidRPr="00373592">
        <w:rPr>
          <w:rFonts w:asciiTheme="majorBidi" w:eastAsia="Calibri" w:hAnsiTheme="majorBidi" w:cstheme="majorBidi"/>
          <w:lang w:val="en-GB" w:bidi="ar-AE"/>
        </w:rPr>
        <w:t xml:space="preserve">against women, inter </w:t>
      </w:r>
      <w:r w:rsidR="005A6316" w:rsidRPr="00373592">
        <w:rPr>
          <w:rFonts w:asciiTheme="majorBidi" w:eastAsia="Calibri" w:hAnsiTheme="majorBidi" w:cstheme="majorBidi"/>
          <w:lang w:val="en-GB" w:bidi="ar-AE"/>
        </w:rPr>
        <w:t>alia (Penal</w:t>
      </w:r>
      <w:r w:rsidR="004F5606" w:rsidRPr="00373592">
        <w:rPr>
          <w:rFonts w:asciiTheme="majorBidi" w:eastAsia="Calibri" w:hAnsiTheme="majorBidi" w:cstheme="majorBidi"/>
          <w:lang w:val="en-GB" w:bidi="ar-AE"/>
        </w:rPr>
        <w:t xml:space="preserve"> Code, </w:t>
      </w:r>
      <w:r w:rsidR="004F5606" w:rsidRPr="00373592">
        <w:rPr>
          <w:rFonts w:asciiTheme="majorBidi" w:eastAsia="Calibri" w:hAnsiTheme="majorBidi" w:cstheme="majorBidi"/>
          <w:lang w:bidi="ar-AE"/>
        </w:rPr>
        <w:t xml:space="preserve">Citizenship Law, Personal Status Code, Social Security Law, Labor Law, </w:t>
      </w:r>
      <w:r w:rsidR="00575131" w:rsidRPr="00373592">
        <w:rPr>
          <w:rFonts w:asciiTheme="majorBidi" w:eastAsia="Calibri" w:hAnsiTheme="majorBidi" w:cstheme="majorBidi"/>
          <w:lang w:bidi="ar-JO"/>
        </w:rPr>
        <w:t>t</w:t>
      </w:r>
      <w:r w:rsidR="004F5606" w:rsidRPr="00373592">
        <w:rPr>
          <w:rFonts w:asciiTheme="majorBidi" w:eastAsia="Calibri" w:hAnsiTheme="majorBidi" w:cstheme="majorBidi"/>
          <w:lang w:bidi="ar-JO"/>
        </w:rPr>
        <w:t>he Civil Service By-law</w:t>
      </w:r>
      <w:r w:rsidR="004F5606" w:rsidRPr="00373592">
        <w:rPr>
          <w:rFonts w:asciiTheme="majorBidi" w:eastAsia="Calibri" w:hAnsiTheme="majorBidi" w:cstheme="majorBidi"/>
          <w:lang w:bidi="ar-AE"/>
        </w:rPr>
        <w:t xml:space="preserve">.. etc.), in </w:t>
      </w:r>
      <w:r w:rsidR="009D15EF" w:rsidRPr="00373592">
        <w:rPr>
          <w:rFonts w:asciiTheme="majorBidi" w:eastAsia="Calibri" w:hAnsiTheme="majorBidi" w:cstheme="majorBidi"/>
          <w:lang w:bidi="ar-AE"/>
        </w:rPr>
        <w:t>addition,</w:t>
      </w:r>
      <w:r w:rsidR="004F5606" w:rsidRPr="00373592">
        <w:rPr>
          <w:rFonts w:asciiTheme="majorBidi" w:eastAsia="Calibri" w:hAnsiTheme="majorBidi" w:cstheme="majorBidi"/>
          <w:lang w:bidi="ar-AE"/>
        </w:rPr>
        <w:t xml:space="preserve"> th</w:t>
      </w:r>
      <w:r w:rsidR="00E01B2D">
        <w:rPr>
          <w:rFonts w:asciiTheme="majorBidi" w:eastAsia="Calibri" w:hAnsiTheme="majorBidi" w:cstheme="majorBidi"/>
          <w:lang w:bidi="ar-AE"/>
        </w:rPr>
        <w:t>ere</w:t>
      </w:r>
      <w:r w:rsidR="004F5606" w:rsidRPr="00373592">
        <w:rPr>
          <w:rFonts w:asciiTheme="majorBidi" w:eastAsia="Calibri" w:hAnsiTheme="majorBidi" w:cstheme="majorBidi"/>
          <w:lang w:bidi="ar-AE"/>
        </w:rPr>
        <w:t xml:space="preserve"> is no </w:t>
      </w:r>
      <w:r w:rsidR="0019065D" w:rsidRPr="00373592">
        <w:rPr>
          <w:rFonts w:asciiTheme="majorBidi" w:eastAsia="Calibri" w:hAnsiTheme="majorBidi" w:cstheme="majorBidi"/>
          <w:lang w:bidi="ar-AE"/>
        </w:rPr>
        <w:t xml:space="preserve">specific </w:t>
      </w:r>
      <w:r w:rsidR="009D15EF" w:rsidRPr="00373592">
        <w:rPr>
          <w:rFonts w:asciiTheme="majorBidi" w:eastAsia="Calibri" w:hAnsiTheme="majorBidi" w:cstheme="majorBidi"/>
          <w:lang w:bidi="ar-AE"/>
        </w:rPr>
        <w:t>law for</w:t>
      </w:r>
      <w:r w:rsidR="004F5606" w:rsidRPr="00373592">
        <w:rPr>
          <w:rFonts w:asciiTheme="majorBidi" w:eastAsia="Calibri" w:hAnsiTheme="majorBidi" w:cstheme="majorBidi"/>
          <w:lang w:bidi="ar-AE"/>
        </w:rPr>
        <w:t xml:space="preserve"> combating </w:t>
      </w:r>
      <w:r w:rsidR="0019065D" w:rsidRPr="00373592">
        <w:rPr>
          <w:rFonts w:asciiTheme="majorBidi" w:eastAsia="Calibri" w:hAnsiTheme="majorBidi" w:cstheme="majorBidi"/>
          <w:lang w:bidi="ar-AE"/>
        </w:rPr>
        <w:t>discrimination</w:t>
      </w:r>
      <w:r w:rsidR="004F5606" w:rsidRPr="00373592">
        <w:rPr>
          <w:rFonts w:asciiTheme="majorBidi" w:eastAsia="Calibri" w:hAnsiTheme="majorBidi" w:cstheme="majorBidi"/>
          <w:lang w:bidi="ar-AE"/>
        </w:rPr>
        <w:t xml:space="preserve"> against women</w:t>
      </w:r>
      <w:r w:rsidR="00A74191" w:rsidRPr="00373592">
        <w:rPr>
          <w:rFonts w:asciiTheme="majorBidi" w:eastAsia="Calibri" w:hAnsiTheme="majorBidi" w:cstheme="majorBidi"/>
          <w:lang w:bidi="ar-AE"/>
        </w:rPr>
        <w:t xml:space="preserve">, </w:t>
      </w:r>
      <w:r w:rsidR="00E01B2D">
        <w:rPr>
          <w:rFonts w:asciiTheme="majorBidi" w:eastAsia="Calibri" w:hAnsiTheme="majorBidi" w:cstheme="majorBidi"/>
          <w:lang w:bidi="ar-AE"/>
        </w:rPr>
        <w:t>and</w:t>
      </w:r>
      <w:r w:rsidR="0019065D" w:rsidRPr="00373592">
        <w:rPr>
          <w:rFonts w:asciiTheme="majorBidi" w:eastAsia="Calibri" w:hAnsiTheme="majorBidi" w:cstheme="majorBidi"/>
          <w:lang w:bidi="ar-AE"/>
        </w:rPr>
        <w:t xml:space="preserve"> </w:t>
      </w:r>
      <w:r w:rsidR="00A74191" w:rsidRPr="00373592">
        <w:rPr>
          <w:rFonts w:asciiTheme="majorBidi" w:eastAsia="Calibri" w:hAnsiTheme="majorBidi" w:cstheme="majorBidi"/>
          <w:lang w:bidi="ar-AE"/>
        </w:rPr>
        <w:t>women's unequal access to opportunities to hold senior positions</w:t>
      </w:r>
      <w:r w:rsidR="00575131" w:rsidRPr="00373592">
        <w:rPr>
          <w:rFonts w:asciiTheme="majorBidi" w:eastAsia="Calibri" w:hAnsiTheme="majorBidi" w:cstheme="majorBidi"/>
          <w:lang w:bidi="ar-AE"/>
        </w:rPr>
        <w:t xml:space="preserve"> is still low</w:t>
      </w:r>
      <w:r w:rsidR="00A74191" w:rsidRPr="00373592">
        <w:rPr>
          <w:rFonts w:asciiTheme="majorBidi" w:eastAsia="Calibri" w:hAnsiTheme="majorBidi" w:cstheme="majorBidi"/>
          <w:lang w:bidi="ar-AE"/>
        </w:rPr>
        <w:t xml:space="preserve">. </w:t>
      </w:r>
      <w:r w:rsidR="00575131" w:rsidRPr="00373592">
        <w:rPr>
          <w:rFonts w:asciiTheme="majorBidi" w:eastAsia="Calibri" w:hAnsiTheme="majorBidi" w:cstheme="majorBidi"/>
          <w:lang w:bidi="ar-AE"/>
        </w:rPr>
        <w:t xml:space="preserve">Jordan </w:t>
      </w:r>
      <w:r w:rsidR="0019065D" w:rsidRPr="00373592">
        <w:rPr>
          <w:rFonts w:asciiTheme="majorBidi" w:eastAsia="Calibri" w:hAnsiTheme="majorBidi" w:cstheme="majorBidi"/>
          <w:lang w:bidi="ar-AE"/>
        </w:rPr>
        <w:t>is making serious efforts t</w:t>
      </w:r>
      <w:r w:rsidR="00A74191" w:rsidRPr="00373592">
        <w:rPr>
          <w:rFonts w:asciiTheme="majorBidi" w:eastAsia="Calibri" w:hAnsiTheme="majorBidi" w:cstheme="majorBidi"/>
          <w:lang w:bidi="ar-AE"/>
        </w:rPr>
        <w:t xml:space="preserve">o fulfill </w:t>
      </w:r>
      <w:r w:rsidR="00B72783" w:rsidRPr="00373592">
        <w:rPr>
          <w:rFonts w:asciiTheme="majorBidi" w:eastAsia="Calibri" w:hAnsiTheme="majorBidi" w:cstheme="majorBidi"/>
          <w:lang w:bidi="ar-AE"/>
        </w:rPr>
        <w:t>its</w:t>
      </w:r>
      <w:r w:rsidR="00A74191" w:rsidRPr="00373592">
        <w:rPr>
          <w:rFonts w:asciiTheme="majorBidi" w:eastAsia="Calibri" w:hAnsiTheme="majorBidi" w:cstheme="majorBidi"/>
          <w:lang w:bidi="ar-AE"/>
        </w:rPr>
        <w:t xml:space="preserve"> obligations </w:t>
      </w:r>
      <w:r w:rsidR="00B72783" w:rsidRPr="00373592">
        <w:rPr>
          <w:rFonts w:asciiTheme="majorBidi" w:eastAsia="Calibri" w:hAnsiTheme="majorBidi" w:cstheme="majorBidi"/>
          <w:lang w:bidi="ar-AE"/>
        </w:rPr>
        <w:t>arising</w:t>
      </w:r>
      <w:r w:rsidR="00A74191" w:rsidRPr="00373592">
        <w:rPr>
          <w:rFonts w:asciiTheme="majorBidi" w:eastAsia="Calibri" w:hAnsiTheme="majorBidi" w:cstheme="majorBidi"/>
          <w:lang w:bidi="ar-AE"/>
        </w:rPr>
        <w:t xml:space="preserve"> from </w:t>
      </w:r>
      <w:r w:rsidR="0019065D" w:rsidRPr="00373592">
        <w:rPr>
          <w:rFonts w:asciiTheme="majorBidi" w:eastAsia="Calibri" w:hAnsiTheme="majorBidi" w:cstheme="majorBidi"/>
          <w:lang w:bidi="ar-AE"/>
        </w:rPr>
        <w:t>international c</w:t>
      </w:r>
      <w:r w:rsidR="00A74191" w:rsidRPr="00373592">
        <w:rPr>
          <w:rFonts w:asciiTheme="majorBidi" w:eastAsia="Calibri" w:hAnsiTheme="majorBidi" w:cstheme="majorBidi"/>
          <w:lang w:bidi="ar-AE"/>
        </w:rPr>
        <w:t>onventio</w:t>
      </w:r>
      <w:r w:rsidR="00575131" w:rsidRPr="00373592">
        <w:rPr>
          <w:rFonts w:asciiTheme="majorBidi" w:eastAsia="Calibri" w:hAnsiTheme="majorBidi" w:cstheme="majorBidi"/>
          <w:lang w:bidi="ar-AE"/>
        </w:rPr>
        <w:t>n</w:t>
      </w:r>
      <w:r w:rsidR="0019065D" w:rsidRPr="00373592">
        <w:rPr>
          <w:rFonts w:asciiTheme="majorBidi" w:eastAsia="Calibri" w:hAnsiTheme="majorBidi" w:cstheme="majorBidi"/>
          <w:lang w:bidi="ar-AE"/>
        </w:rPr>
        <w:t>s</w:t>
      </w:r>
      <w:r w:rsidR="003A097A" w:rsidRPr="00373592">
        <w:rPr>
          <w:rFonts w:asciiTheme="majorBidi" w:eastAsia="Calibri" w:hAnsiTheme="majorBidi" w:cstheme="majorBidi"/>
          <w:lang w:bidi="ar-AE"/>
        </w:rPr>
        <w:t xml:space="preserve"> in its domestic legal system. </w:t>
      </w:r>
      <w:r w:rsidR="0019065D" w:rsidRPr="00373592">
        <w:rPr>
          <w:rFonts w:asciiTheme="majorBidi" w:eastAsia="Calibri" w:hAnsiTheme="majorBidi" w:cstheme="majorBidi"/>
          <w:lang w:bidi="ar-AE"/>
        </w:rPr>
        <w:t>As a result, a</w:t>
      </w:r>
      <w:r w:rsidR="003A097A" w:rsidRPr="00373592">
        <w:rPr>
          <w:rFonts w:asciiTheme="majorBidi" w:eastAsia="Calibri" w:hAnsiTheme="majorBidi" w:cstheme="majorBidi"/>
          <w:lang w:bidi="ar-AE"/>
        </w:rPr>
        <w:t>l</w:t>
      </w:r>
      <w:r w:rsidR="0019065D" w:rsidRPr="00373592">
        <w:rPr>
          <w:rFonts w:asciiTheme="majorBidi" w:eastAsia="Calibri" w:hAnsiTheme="majorBidi" w:cstheme="majorBidi"/>
          <w:lang w:bidi="ar-AE"/>
        </w:rPr>
        <w:t>l</w:t>
      </w:r>
      <w:r w:rsidR="003A097A" w:rsidRPr="00373592">
        <w:rPr>
          <w:rFonts w:asciiTheme="majorBidi" w:eastAsia="Calibri" w:hAnsiTheme="majorBidi" w:cstheme="majorBidi"/>
          <w:lang w:bidi="ar-AE"/>
        </w:rPr>
        <w:t xml:space="preserve"> authorities</w:t>
      </w:r>
      <w:r w:rsidR="0019065D" w:rsidRPr="00373592">
        <w:rPr>
          <w:rFonts w:asciiTheme="majorBidi" w:eastAsia="Calibri" w:hAnsiTheme="majorBidi" w:cstheme="majorBidi"/>
          <w:lang w:bidi="ar-AE"/>
        </w:rPr>
        <w:t xml:space="preserve">, including the Judiciary, </w:t>
      </w:r>
      <w:r w:rsidR="0019065D" w:rsidRPr="00373592">
        <w:rPr>
          <w:rFonts w:asciiTheme="majorBidi" w:hAnsiTheme="majorBidi" w:cstheme="majorBidi"/>
        </w:rPr>
        <w:t>apply</w:t>
      </w:r>
      <w:r w:rsidR="003A097A" w:rsidRPr="00373592">
        <w:rPr>
          <w:rFonts w:asciiTheme="majorBidi" w:eastAsia="Calibri" w:hAnsiTheme="majorBidi" w:cstheme="majorBidi"/>
          <w:lang w:bidi="ar-AE"/>
        </w:rPr>
        <w:t xml:space="preserve"> </w:t>
      </w:r>
      <w:r w:rsidR="00FA610D" w:rsidRPr="00373592">
        <w:rPr>
          <w:rFonts w:asciiTheme="majorBidi" w:eastAsia="Calibri" w:hAnsiTheme="majorBidi" w:cstheme="majorBidi"/>
          <w:lang w:bidi="ar-AE"/>
        </w:rPr>
        <w:t xml:space="preserve">the provisions of this </w:t>
      </w:r>
      <w:r w:rsidR="0019065D" w:rsidRPr="00373592">
        <w:rPr>
          <w:rFonts w:asciiTheme="majorBidi" w:eastAsia="Calibri" w:hAnsiTheme="majorBidi" w:cstheme="majorBidi"/>
          <w:lang w:bidi="ar-AE"/>
        </w:rPr>
        <w:t>Convention; where in many times the provisions of the Convention had been taken into considerations.</w:t>
      </w:r>
    </w:p>
    <w:p w:rsidR="0019065D" w:rsidRPr="00373592" w:rsidRDefault="0019065D" w:rsidP="0019065D">
      <w:pPr>
        <w:pStyle w:val="ListParagraph"/>
        <w:bidi w:val="0"/>
        <w:spacing w:after="120"/>
        <w:ind w:left="90" w:right="26"/>
        <w:jc w:val="both"/>
        <w:rPr>
          <w:rFonts w:asciiTheme="majorBidi" w:hAnsiTheme="majorBidi" w:cstheme="majorBidi"/>
          <w:rtl/>
          <w:lang w:bidi="ar-JO"/>
        </w:rPr>
      </w:pPr>
    </w:p>
    <w:p w:rsidR="00D533B5" w:rsidRPr="00373592" w:rsidRDefault="00D533B5" w:rsidP="0017490B">
      <w:pPr>
        <w:pStyle w:val="ListParagraph"/>
        <w:numPr>
          <w:ilvl w:val="0"/>
          <w:numId w:val="13"/>
        </w:numPr>
        <w:bidi w:val="0"/>
        <w:ind w:left="90" w:right="26" w:firstLine="0"/>
        <w:jc w:val="both"/>
        <w:rPr>
          <w:rFonts w:asciiTheme="majorBidi" w:eastAsia="Calibri" w:hAnsiTheme="majorBidi" w:cstheme="majorBidi"/>
          <w:lang w:bidi="ar-AE"/>
        </w:rPr>
      </w:pPr>
      <w:r w:rsidRPr="00373592">
        <w:rPr>
          <w:rFonts w:asciiTheme="majorBidi" w:eastAsia="Calibri" w:hAnsiTheme="majorBidi" w:cstheme="majorBidi"/>
          <w:lang w:bidi="ar-AE"/>
        </w:rPr>
        <w:t xml:space="preserve">As for the </w:t>
      </w:r>
      <w:r w:rsidR="0017490B" w:rsidRPr="00373592">
        <w:rPr>
          <w:rFonts w:asciiTheme="majorBidi" w:eastAsia="Calibri" w:hAnsiTheme="majorBidi" w:cstheme="majorBidi"/>
          <w:lang w:bidi="ar-AE"/>
        </w:rPr>
        <w:t>personal status</w:t>
      </w:r>
      <w:r w:rsidRPr="00373592">
        <w:rPr>
          <w:rFonts w:asciiTheme="majorBidi" w:eastAsia="Calibri" w:hAnsiTheme="majorBidi" w:cstheme="majorBidi"/>
          <w:lang w:bidi="ar-AE"/>
        </w:rPr>
        <w:t xml:space="preserve">, the Jordanian Law of Personal Status No 61 for the year 1976 was repealed, and the Temporary Personal Status Law No. 36 was enacted which added sections and chapters, inter alia: Capacity and incapacity, guardianship (wilaya) of individuals and property, curatorship (wisayah), will, inheritance and takharuj, in addition to the detailed provisions related thereto. Besides that, the Law contained a number of thematic issues, which are considered a qualitative improvement in relation to the rights of </w:t>
      </w:r>
      <w:r w:rsidRPr="00373592">
        <w:rPr>
          <w:rFonts w:asciiTheme="majorBidi" w:eastAsia="Calibri" w:hAnsiTheme="majorBidi" w:cstheme="majorBidi"/>
          <w:lang w:bidi="ar-AE"/>
        </w:rPr>
        <w:lastRenderedPageBreak/>
        <w:t xml:space="preserve">women and children, such as the rights of custody, visitation and the ability to take the child being cared of out of the country, among other issues which were the cause of the suffering of many women and children in particular. </w:t>
      </w:r>
    </w:p>
    <w:p w:rsidR="00D533B5" w:rsidRPr="00373592" w:rsidRDefault="00D533B5" w:rsidP="00442CA6">
      <w:pPr>
        <w:tabs>
          <w:tab w:val="right" w:pos="0"/>
        </w:tabs>
        <w:bidi w:val="0"/>
        <w:spacing w:after="0"/>
        <w:ind w:left="90" w:right="26"/>
        <w:contextualSpacing/>
        <w:jc w:val="both"/>
        <w:rPr>
          <w:rFonts w:asciiTheme="majorBidi" w:eastAsia="Calibri" w:hAnsiTheme="majorBidi" w:cstheme="majorBidi"/>
          <w:sz w:val="24"/>
          <w:szCs w:val="24"/>
          <w:lang w:bidi="ar-AE"/>
        </w:rPr>
      </w:pPr>
      <w:r w:rsidRPr="00373592">
        <w:rPr>
          <w:rFonts w:asciiTheme="majorBidi" w:eastAsia="Calibri" w:hAnsiTheme="majorBidi" w:cstheme="majorBidi"/>
          <w:sz w:val="24"/>
          <w:szCs w:val="24"/>
          <w:lang w:bidi="ar-AE"/>
        </w:rPr>
        <w:t xml:space="preserve">However the NCHR believes that this law falls short in some points, such as: </w:t>
      </w:r>
    </w:p>
    <w:p w:rsidR="00D533B5" w:rsidRPr="00373592" w:rsidRDefault="00D533B5" w:rsidP="002A7911">
      <w:pPr>
        <w:numPr>
          <w:ilvl w:val="0"/>
          <w:numId w:val="1"/>
        </w:numPr>
        <w:bidi w:val="0"/>
        <w:spacing w:after="0" w:line="240" w:lineRule="auto"/>
        <w:ind w:left="90" w:right="26" w:firstLine="0"/>
        <w:contextualSpacing/>
        <w:jc w:val="both"/>
        <w:rPr>
          <w:rFonts w:asciiTheme="majorBidi" w:eastAsia="Calibri" w:hAnsiTheme="majorBidi" w:cstheme="majorBidi"/>
          <w:sz w:val="24"/>
          <w:szCs w:val="24"/>
          <w:lang w:bidi="ar-AE"/>
        </w:rPr>
      </w:pPr>
      <w:r w:rsidRPr="00373592">
        <w:rPr>
          <w:rFonts w:asciiTheme="majorBidi" w:eastAsia="Calibri" w:hAnsiTheme="majorBidi" w:cstheme="majorBidi"/>
          <w:sz w:val="24"/>
          <w:szCs w:val="24"/>
          <w:lang w:bidi="ar-AE"/>
        </w:rPr>
        <w:t>Article (10/B), grants the judge, with the consent of the Chief Islamic Judge, the right to allow the marriage of girls aged 15 years old, pursuant to special instructions issued by the Chief Islamic Judge Department. In this connection, the Center affirms the need to bring domestic civil status- related legislations in conformity with the international standards and the Kingdom’s obligations in this regard as well as to limit the exceptions.</w:t>
      </w:r>
    </w:p>
    <w:p w:rsidR="00843981" w:rsidRPr="00373592" w:rsidRDefault="00D533B5" w:rsidP="009F5B0B">
      <w:pPr>
        <w:numPr>
          <w:ilvl w:val="0"/>
          <w:numId w:val="1"/>
        </w:numPr>
        <w:bidi w:val="0"/>
        <w:spacing w:after="0" w:line="240" w:lineRule="auto"/>
        <w:ind w:left="90" w:right="26" w:firstLine="0"/>
        <w:contextualSpacing/>
        <w:jc w:val="both"/>
        <w:rPr>
          <w:rFonts w:asciiTheme="majorBidi" w:eastAsia="Times New Roman" w:hAnsiTheme="majorBidi" w:cstheme="majorBidi"/>
          <w:sz w:val="24"/>
          <w:szCs w:val="24"/>
          <w:rtl/>
          <w:lang w:bidi="ar-JO"/>
        </w:rPr>
      </w:pPr>
      <w:r w:rsidRPr="00373592">
        <w:rPr>
          <w:rFonts w:asciiTheme="majorBidi" w:eastAsia="Calibri" w:hAnsiTheme="majorBidi" w:cstheme="majorBidi"/>
          <w:sz w:val="24"/>
          <w:szCs w:val="24"/>
          <w:lang w:bidi="ar-AE"/>
        </w:rPr>
        <w:t>Article (61/B)</w:t>
      </w:r>
      <w:r w:rsidR="00212E8C">
        <w:rPr>
          <w:rFonts w:asciiTheme="majorBidi" w:eastAsia="Calibri" w:hAnsiTheme="majorBidi" w:cstheme="majorBidi"/>
          <w:sz w:val="24"/>
          <w:szCs w:val="24"/>
          <w:lang w:bidi="ar-AE"/>
        </w:rPr>
        <w:t xml:space="preserve"> retains the idea that </w:t>
      </w:r>
      <w:r w:rsidRPr="00373592">
        <w:rPr>
          <w:rFonts w:asciiTheme="majorBidi" w:eastAsia="Calibri" w:hAnsiTheme="majorBidi" w:cstheme="majorBidi"/>
          <w:sz w:val="24"/>
          <w:szCs w:val="24"/>
          <w:lang w:bidi="ar-AE"/>
        </w:rPr>
        <w:t xml:space="preserve">it is not allowed for the husband to withdraw his consent for the work of his wife, unless there is a legitimate justification that does not negatively affect the wife. JNCHR deems necessary to repeal this </w:t>
      </w:r>
      <w:r w:rsidR="00383865" w:rsidRPr="00373592">
        <w:rPr>
          <w:rFonts w:asciiTheme="majorBidi" w:eastAsia="Calibri" w:hAnsiTheme="majorBidi" w:cstheme="majorBidi"/>
          <w:sz w:val="24"/>
          <w:szCs w:val="24"/>
          <w:lang w:bidi="ar-AE"/>
        </w:rPr>
        <w:t>A</w:t>
      </w:r>
      <w:r w:rsidRPr="00373592">
        <w:rPr>
          <w:rFonts w:asciiTheme="majorBidi" w:eastAsia="Calibri" w:hAnsiTheme="majorBidi" w:cstheme="majorBidi"/>
          <w:sz w:val="24"/>
          <w:szCs w:val="24"/>
          <w:lang w:bidi="ar-AE"/>
        </w:rPr>
        <w:t>rticle in order to preserve the rights of women and increase women's participation in the labor market</w:t>
      </w:r>
      <w:r w:rsidRPr="00373592">
        <w:rPr>
          <w:rFonts w:asciiTheme="majorBidi" w:eastAsia="Times New Roman" w:hAnsiTheme="majorBidi" w:cstheme="majorBidi"/>
          <w:sz w:val="24"/>
          <w:szCs w:val="24"/>
          <w:lang w:bidi="ar-JO"/>
        </w:rPr>
        <w:t>.</w:t>
      </w:r>
    </w:p>
    <w:p w:rsidR="006A461C" w:rsidRPr="00373592" w:rsidRDefault="003105EC" w:rsidP="00F45834">
      <w:pPr>
        <w:pStyle w:val="ListParagraph"/>
        <w:numPr>
          <w:ilvl w:val="0"/>
          <w:numId w:val="18"/>
        </w:numPr>
        <w:tabs>
          <w:tab w:val="right" w:pos="0"/>
        </w:tabs>
        <w:bidi w:val="0"/>
        <w:ind w:left="90" w:right="26" w:firstLine="0"/>
        <w:jc w:val="both"/>
        <w:rPr>
          <w:rFonts w:asciiTheme="majorBidi" w:eastAsia="Calibri" w:hAnsiTheme="majorBidi" w:cstheme="majorBidi"/>
          <w:rtl/>
          <w:lang w:bidi="ar-AE"/>
        </w:rPr>
      </w:pPr>
      <w:r w:rsidRPr="00373592">
        <w:rPr>
          <w:rFonts w:asciiTheme="majorBidi" w:eastAsia="Calibri" w:hAnsiTheme="majorBidi" w:cstheme="majorBidi"/>
          <w:lang w:bidi="ar-AE"/>
        </w:rPr>
        <w:t xml:space="preserve">With regard to the nationality law, Article </w:t>
      </w:r>
      <w:r w:rsidR="00F45834">
        <w:rPr>
          <w:rFonts w:asciiTheme="majorBidi" w:eastAsia="Calibri" w:hAnsiTheme="majorBidi" w:cstheme="majorBidi"/>
          <w:lang w:bidi="ar-AE"/>
        </w:rPr>
        <w:t>(</w:t>
      </w:r>
      <w:r w:rsidRPr="00373592">
        <w:rPr>
          <w:rFonts w:asciiTheme="majorBidi" w:eastAsia="Calibri" w:hAnsiTheme="majorBidi" w:cstheme="majorBidi"/>
          <w:lang w:bidi="ar-AE"/>
        </w:rPr>
        <w:t>9</w:t>
      </w:r>
      <w:r w:rsidR="00F45834">
        <w:rPr>
          <w:rFonts w:asciiTheme="majorBidi" w:eastAsia="Calibri" w:hAnsiTheme="majorBidi" w:cstheme="majorBidi"/>
          <w:lang w:bidi="ar-AE"/>
        </w:rPr>
        <w:t xml:space="preserve">) </w:t>
      </w:r>
      <w:r w:rsidRPr="00373592">
        <w:rPr>
          <w:rFonts w:asciiTheme="majorBidi" w:eastAsia="Calibri" w:hAnsiTheme="majorBidi" w:cstheme="majorBidi"/>
          <w:lang w:bidi="ar-AE"/>
        </w:rPr>
        <w:t xml:space="preserve">of Nationality Law No. 6 for the year 1954 stipulates that “the children of a Jordanian are Jordanians wherever they are born”. In accordance with the recognized principles of interpretation of laws, this should be construed to imply that the children of a female Jordanian are Jordanian too. On the basis of the implication of the operative text “the children of a Jordanian are Jordanians”; the word "Jordanians" refers to both genders without discrimination between them. </w:t>
      </w:r>
      <w:r w:rsidR="006A461C" w:rsidRPr="00373592">
        <w:rPr>
          <w:rFonts w:asciiTheme="majorBidi" w:eastAsia="Calibri" w:hAnsiTheme="majorBidi" w:cstheme="majorBidi"/>
          <w:lang w:bidi="ar-AE"/>
        </w:rPr>
        <w:t xml:space="preserve">The Center </w:t>
      </w:r>
      <w:r w:rsidR="004C67AF" w:rsidRPr="00373592">
        <w:rPr>
          <w:rFonts w:asciiTheme="majorBidi" w:eastAsia="Calibri" w:hAnsiTheme="majorBidi" w:cstheme="majorBidi"/>
          <w:lang w:bidi="ar-AE"/>
        </w:rPr>
        <w:t xml:space="preserve">previously </w:t>
      </w:r>
      <w:r w:rsidR="006A461C" w:rsidRPr="00373592">
        <w:rPr>
          <w:rFonts w:asciiTheme="majorBidi" w:eastAsia="Calibri" w:hAnsiTheme="majorBidi" w:cstheme="majorBidi"/>
          <w:lang w:bidi="ar-AE"/>
        </w:rPr>
        <w:t>recommended in its annual reports to lift t</w:t>
      </w:r>
      <w:r w:rsidR="00FA6D70" w:rsidRPr="00373592">
        <w:rPr>
          <w:rFonts w:asciiTheme="majorBidi" w:eastAsia="Calibri" w:hAnsiTheme="majorBidi" w:cstheme="majorBidi"/>
          <w:lang w:bidi="ar-AE"/>
        </w:rPr>
        <w:t xml:space="preserve">he reservation on article (9/2). In this connection, it worth mentioning that the NCHR repeated recommendations contributed in the issuance of </w:t>
      </w:r>
      <w:r w:rsidR="006A461C" w:rsidRPr="00373592">
        <w:rPr>
          <w:rFonts w:asciiTheme="majorBidi" w:eastAsia="Calibri" w:hAnsiTheme="majorBidi" w:cstheme="majorBidi"/>
          <w:lang w:bidi="ar-AE"/>
        </w:rPr>
        <w:t xml:space="preserve">the Jordanian Council of Ministers decision No. 6415 dated 11.9.2014 that includes the approval to grant children of Jordanian women and non-Jordanian fathers a number of privilege which </w:t>
      </w:r>
      <w:r w:rsidR="007D2FB5">
        <w:rPr>
          <w:rStyle w:val="FootnoteReference"/>
          <w:rFonts w:asciiTheme="majorBidi" w:eastAsia="Calibri" w:hAnsiTheme="majorBidi" w:cstheme="majorBidi"/>
          <w:lang w:bidi="ar-AE"/>
        </w:rPr>
        <w:footnoteReference w:id="3"/>
      </w:r>
      <w:r w:rsidR="006A461C" w:rsidRPr="00373592">
        <w:rPr>
          <w:rFonts w:asciiTheme="majorBidi" w:eastAsia="Calibri" w:hAnsiTheme="majorBidi" w:cstheme="majorBidi"/>
          <w:lang w:bidi="ar-AE"/>
        </w:rPr>
        <w:t>includes services such as primary and secondary education, health care, work, own property and invest in Jordan and obtain identification cards</w:t>
      </w:r>
      <w:r w:rsidR="006E6D24" w:rsidRPr="00373592">
        <w:rPr>
          <w:rFonts w:asciiTheme="majorBidi" w:eastAsia="Calibri" w:hAnsiTheme="majorBidi" w:cstheme="majorBidi"/>
          <w:lang w:bidi="ar-AE"/>
        </w:rPr>
        <w:t xml:space="preserve">, and the allocation of quota for them in the public universities </w:t>
      </w:r>
      <w:r w:rsidR="006A461C" w:rsidRPr="00373592">
        <w:rPr>
          <w:rFonts w:asciiTheme="majorBidi" w:eastAsia="Calibri" w:hAnsiTheme="majorBidi" w:cstheme="majorBidi"/>
          <w:lang w:bidi="ar-AE"/>
        </w:rPr>
        <w:t>. The Cabinet issued the instructions in implementation of the above mentioned decision with a set of conditions, and stressed on the competent departments and institutions to ensure that those</w:t>
      </w:r>
      <w:r w:rsidR="00527D95" w:rsidRPr="00373592">
        <w:rPr>
          <w:rFonts w:asciiTheme="majorBidi" w:eastAsia="Calibri" w:hAnsiTheme="majorBidi" w:cstheme="majorBidi"/>
          <w:lang w:bidi="ar-AE"/>
        </w:rPr>
        <w:t xml:space="preserve"> instructions are implemented</w:t>
      </w:r>
      <w:r w:rsidR="006A461C" w:rsidRPr="00373592">
        <w:rPr>
          <w:rFonts w:asciiTheme="majorBidi" w:eastAsia="Calibri" w:hAnsiTheme="majorBidi" w:cstheme="majorBidi"/>
          <w:lang w:bidi="ar-AE"/>
        </w:rPr>
        <w:t>.</w:t>
      </w:r>
    </w:p>
    <w:p w:rsidR="001710F0" w:rsidRPr="00373592" w:rsidRDefault="001710F0" w:rsidP="00B02267">
      <w:pPr>
        <w:pStyle w:val="H1G"/>
        <w:ind w:left="0" w:firstLine="0"/>
        <w:rPr>
          <w:rFonts w:asciiTheme="majorBidi" w:hAnsiTheme="majorBidi" w:cstheme="majorBidi"/>
          <w:szCs w:val="24"/>
          <w:lang w:val="en-US"/>
        </w:rPr>
      </w:pPr>
      <w:r w:rsidRPr="00373592">
        <w:rPr>
          <w:rFonts w:asciiTheme="majorBidi" w:hAnsiTheme="majorBidi" w:cstheme="majorBidi"/>
          <w:szCs w:val="24"/>
        </w:rPr>
        <w:t>Violence against women, including domestic violence (arts. 2-3, 7 and 26)</w:t>
      </w:r>
    </w:p>
    <w:p w:rsidR="0024272D" w:rsidRPr="00373592" w:rsidRDefault="00395D5D" w:rsidP="00CF1E97">
      <w:pPr>
        <w:tabs>
          <w:tab w:val="right" w:pos="0"/>
        </w:tabs>
        <w:bidi w:val="0"/>
        <w:ind w:right="26"/>
        <w:jc w:val="both"/>
        <w:rPr>
          <w:rFonts w:asciiTheme="majorBidi" w:eastAsia="Calibri" w:hAnsiTheme="majorBidi" w:cstheme="majorBidi"/>
          <w:lang w:bidi="ar-AE"/>
        </w:rPr>
      </w:pPr>
      <w:r w:rsidRPr="00373592">
        <w:rPr>
          <w:rFonts w:asciiTheme="majorBidi" w:eastAsia="Calibri" w:hAnsiTheme="majorBidi" w:cstheme="majorBidi"/>
          <w:lang w:bidi="ar-AE"/>
        </w:rPr>
        <w:t xml:space="preserve">The measures taken to protect women from </w:t>
      </w:r>
      <w:r w:rsidR="005A6316" w:rsidRPr="00373592">
        <w:rPr>
          <w:rFonts w:asciiTheme="majorBidi" w:eastAsia="Calibri" w:hAnsiTheme="majorBidi" w:cstheme="majorBidi"/>
          <w:lang w:bidi="ar-AE"/>
        </w:rPr>
        <w:t>violence consist</w:t>
      </w:r>
      <w:r w:rsidRPr="00373592">
        <w:rPr>
          <w:rFonts w:asciiTheme="majorBidi" w:eastAsia="Calibri" w:hAnsiTheme="majorBidi" w:cstheme="majorBidi"/>
          <w:lang w:bidi="ar-AE"/>
        </w:rPr>
        <w:t xml:space="preserve"> </w:t>
      </w:r>
      <w:r w:rsidR="005A6316" w:rsidRPr="00373592">
        <w:rPr>
          <w:rFonts w:asciiTheme="majorBidi" w:eastAsia="Calibri" w:hAnsiTheme="majorBidi" w:cstheme="majorBidi"/>
          <w:lang w:bidi="ar-AE"/>
        </w:rPr>
        <w:t>of providing</w:t>
      </w:r>
      <w:r w:rsidRPr="00373592">
        <w:rPr>
          <w:rFonts w:asciiTheme="majorBidi" w:eastAsia="Calibri" w:hAnsiTheme="majorBidi" w:cstheme="majorBidi"/>
          <w:lang w:bidi="ar-AE"/>
        </w:rPr>
        <w:t xml:space="preserve"> legal protection and awareness-raising </w:t>
      </w:r>
      <w:r w:rsidR="004174B9" w:rsidRPr="00373592">
        <w:rPr>
          <w:rFonts w:asciiTheme="majorBidi" w:eastAsia="Calibri" w:hAnsiTheme="majorBidi" w:cstheme="majorBidi"/>
          <w:lang w:bidi="ar-AE"/>
        </w:rPr>
        <w:t>efforts</w:t>
      </w:r>
      <w:r w:rsidR="004174B9">
        <w:rPr>
          <w:rFonts w:asciiTheme="majorBidi" w:eastAsia="Calibri" w:hAnsiTheme="majorBidi" w:cstheme="majorBidi"/>
          <w:lang w:bidi="ar-AE"/>
        </w:rPr>
        <w:t xml:space="preserve"> and initiatives</w:t>
      </w:r>
      <w:r w:rsidRPr="00373592">
        <w:rPr>
          <w:rFonts w:asciiTheme="majorBidi" w:eastAsia="Calibri" w:hAnsiTheme="majorBidi" w:cstheme="majorBidi"/>
          <w:lang w:bidi="ar-AE"/>
        </w:rPr>
        <w:t xml:space="preserve">. </w:t>
      </w:r>
      <w:r w:rsidR="006F4E7A" w:rsidRPr="00373592">
        <w:rPr>
          <w:rFonts w:asciiTheme="majorBidi" w:eastAsia="Calibri" w:hAnsiTheme="majorBidi" w:cstheme="majorBidi"/>
          <w:lang w:bidi="ar-AE"/>
        </w:rPr>
        <w:t xml:space="preserve">The government, the Center and CSOs exert extensive efforts </w:t>
      </w:r>
      <w:r w:rsidR="004174B9">
        <w:rPr>
          <w:rFonts w:asciiTheme="majorBidi" w:eastAsia="Calibri" w:hAnsiTheme="majorBidi" w:cstheme="majorBidi"/>
          <w:lang w:bidi="ar-AE"/>
        </w:rPr>
        <w:t xml:space="preserve">in this regards by </w:t>
      </w:r>
      <w:r w:rsidR="00125B60" w:rsidRPr="00373592">
        <w:rPr>
          <w:rFonts w:asciiTheme="majorBidi" w:eastAsia="Calibri" w:hAnsiTheme="majorBidi" w:cstheme="majorBidi"/>
          <w:lang w:bidi="ar-AE"/>
        </w:rPr>
        <w:t>implementing awareness</w:t>
      </w:r>
      <w:r w:rsidRPr="00373592">
        <w:rPr>
          <w:rFonts w:asciiTheme="majorBidi" w:eastAsia="Calibri" w:hAnsiTheme="majorBidi" w:cstheme="majorBidi"/>
          <w:lang w:bidi="ar-AE"/>
        </w:rPr>
        <w:t>-raising programs</w:t>
      </w:r>
      <w:r w:rsidR="00125B60" w:rsidRPr="00125B60">
        <w:rPr>
          <w:rFonts w:asciiTheme="majorBidi" w:eastAsia="Calibri" w:hAnsiTheme="majorBidi" w:cstheme="majorBidi"/>
          <w:lang w:bidi="ar-AE"/>
        </w:rPr>
        <w:t xml:space="preserve"> </w:t>
      </w:r>
      <w:r w:rsidR="00125B60" w:rsidRPr="00373592">
        <w:rPr>
          <w:rFonts w:asciiTheme="majorBidi" w:eastAsia="Calibri" w:hAnsiTheme="majorBidi" w:cstheme="majorBidi"/>
          <w:lang w:bidi="ar-AE"/>
        </w:rPr>
        <w:t>to protect women from violence</w:t>
      </w:r>
      <w:r w:rsidR="00125B60">
        <w:rPr>
          <w:rFonts w:asciiTheme="majorBidi" w:eastAsia="Calibri" w:hAnsiTheme="majorBidi" w:cstheme="majorBidi"/>
          <w:lang w:bidi="ar-AE"/>
        </w:rPr>
        <w:t xml:space="preserve"> that target </w:t>
      </w:r>
      <w:r w:rsidR="00125B60" w:rsidRPr="00373592">
        <w:rPr>
          <w:rFonts w:asciiTheme="majorBidi" w:eastAsia="Calibri" w:hAnsiTheme="majorBidi" w:cstheme="majorBidi"/>
          <w:lang w:bidi="ar-AE"/>
        </w:rPr>
        <w:t>different categories of the society</w:t>
      </w:r>
      <w:r w:rsidRPr="00373592">
        <w:rPr>
          <w:rFonts w:asciiTheme="majorBidi" w:eastAsia="Calibri" w:hAnsiTheme="majorBidi" w:cstheme="majorBidi"/>
          <w:lang w:bidi="ar-AE"/>
        </w:rPr>
        <w:t xml:space="preserve">, yet there still remains </w:t>
      </w:r>
      <w:r w:rsidR="00125B60">
        <w:rPr>
          <w:rFonts w:asciiTheme="majorBidi" w:eastAsia="Calibri" w:hAnsiTheme="majorBidi" w:cstheme="majorBidi"/>
          <w:lang w:bidi="ar-AE"/>
        </w:rPr>
        <w:t xml:space="preserve">a compelling </w:t>
      </w:r>
      <w:r w:rsidRPr="00373592">
        <w:rPr>
          <w:rFonts w:asciiTheme="majorBidi" w:eastAsia="Calibri" w:hAnsiTheme="majorBidi" w:cstheme="majorBidi"/>
          <w:lang w:bidi="ar-AE"/>
        </w:rPr>
        <w:t xml:space="preserve">need </w:t>
      </w:r>
      <w:r w:rsidR="00CF1E97">
        <w:rPr>
          <w:rFonts w:asciiTheme="majorBidi" w:eastAsia="Calibri" w:hAnsiTheme="majorBidi" w:cstheme="majorBidi"/>
          <w:lang w:bidi="ar-AE"/>
        </w:rPr>
        <w:t xml:space="preserve">to increase education programs </w:t>
      </w:r>
      <w:r w:rsidRPr="00373592">
        <w:rPr>
          <w:rFonts w:asciiTheme="majorBidi" w:eastAsia="Calibri" w:hAnsiTheme="majorBidi" w:cstheme="majorBidi"/>
          <w:lang w:bidi="ar-AE"/>
        </w:rPr>
        <w:t xml:space="preserve"> to both genders</w:t>
      </w:r>
      <w:r w:rsidR="00621205" w:rsidRPr="00373592">
        <w:rPr>
          <w:rFonts w:asciiTheme="majorBidi" w:eastAsia="Calibri" w:hAnsiTheme="majorBidi" w:cstheme="majorBidi"/>
          <w:lang w:bidi="ar-AE"/>
        </w:rPr>
        <w:t xml:space="preserve">, </w:t>
      </w:r>
      <w:r w:rsidRPr="00373592">
        <w:rPr>
          <w:rFonts w:asciiTheme="majorBidi" w:eastAsia="Calibri" w:hAnsiTheme="majorBidi" w:cstheme="majorBidi"/>
          <w:lang w:bidi="ar-AE"/>
        </w:rPr>
        <w:t xml:space="preserve"> </w:t>
      </w:r>
      <w:r w:rsidR="00CF1E97">
        <w:rPr>
          <w:rFonts w:asciiTheme="majorBidi" w:eastAsia="Calibri" w:hAnsiTheme="majorBidi" w:cstheme="majorBidi"/>
          <w:lang w:bidi="ar-AE"/>
        </w:rPr>
        <w:t>especially</w:t>
      </w:r>
      <w:r w:rsidRPr="00373592">
        <w:rPr>
          <w:rFonts w:asciiTheme="majorBidi" w:eastAsia="Calibri" w:hAnsiTheme="majorBidi" w:cstheme="majorBidi"/>
          <w:lang w:bidi="ar-AE"/>
        </w:rPr>
        <w:t xml:space="preserve"> in remote and underserved areas, in schools, universities and shelters for victims of violence.</w:t>
      </w:r>
      <w:r w:rsidR="00621205" w:rsidRPr="00373592">
        <w:rPr>
          <w:rFonts w:asciiTheme="majorBidi" w:eastAsia="Calibri" w:hAnsiTheme="majorBidi" w:cstheme="majorBidi"/>
          <w:lang w:bidi="ar-AE"/>
        </w:rPr>
        <w:t xml:space="preserve"> in this regards, it is to be recalled, that the Center has implemented, over the last five years, wide awareness raising programs in all governorates</w:t>
      </w:r>
      <w:r w:rsidR="00E921F1" w:rsidRPr="00373592">
        <w:rPr>
          <w:rFonts w:asciiTheme="majorBidi" w:eastAsia="Calibri" w:hAnsiTheme="majorBidi" w:cstheme="majorBidi"/>
          <w:lang w:bidi="ar-AE"/>
        </w:rPr>
        <w:t xml:space="preserve"> in collaboration with Care International targeting the youth categories (males and females), with a view to enhance awareness of the risks of violence against women and girls, where hundreds of people, of various age groups and professions, benefited from these programs. </w:t>
      </w:r>
    </w:p>
    <w:p w:rsidR="0024272D" w:rsidRPr="00373592" w:rsidRDefault="0024272D" w:rsidP="00576417">
      <w:pPr>
        <w:tabs>
          <w:tab w:val="right" w:pos="0"/>
        </w:tabs>
        <w:bidi w:val="0"/>
        <w:ind w:right="26"/>
        <w:jc w:val="both"/>
        <w:rPr>
          <w:rFonts w:asciiTheme="majorBidi" w:eastAsia="Calibri" w:hAnsiTheme="majorBidi" w:cstheme="majorBidi"/>
          <w:sz w:val="24"/>
          <w:szCs w:val="24"/>
          <w:lang w:bidi="ar-AE"/>
        </w:rPr>
      </w:pPr>
      <w:r w:rsidRPr="00373592">
        <w:rPr>
          <w:rFonts w:asciiTheme="majorBidi" w:eastAsia="Calibri" w:hAnsiTheme="majorBidi" w:cstheme="majorBidi"/>
          <w:lang w:bidi="ar-AE"/>
        </w:rPr>
        <w:lastRenderedPageBreak/>
        <w:t xml:space="preserve">NCHR, however, is of the view that </w:t>
      </w:r>
      <w:r w:rsidRPr="00373592">
        <w:rPr>
          <w:rFonts w:asciiTheme="majorBidi" w:eastAsia="Calibri" w:hAnsiTheme="majorBidi" w:cstheme="majorBidi"/>
          <w:sz w:val="24"/>
          <w:szCs w:val="24"/>
          <w:lang w:bidi="ar-AE"/>
        </w:rPr>
        <w:t>some traditional notions and cultural heritage make it considerably more difficult to overcome</w:t>
      </w:r>
      <w:r w:rsidR="00395D5D" w:rsidRPr="00373592">
        <w:rPr>
          <w:rFonts w:asciiTheme="majorBidi" w:eastAsia="Calibri" w:hAnsiTheme="majorBidi" w:cstheme="majorBidi"/>
          <w:sz w:val="24"/>
          <w:szCs w:val="24"/>
          <w:lang w:bidi="ar-AE"/>
        </w:rPr>
        <w:t xml:space="preserve"> violence against women</w:t>
      </w:r>
      <w:r w:rsidRPr="00373592">
        <w:rPr>
          <w:rFonts w:asciiTheme="majorBidi" w:eastAsia="Calibri" w:hAnsiTheme="majorBidi" w:cstheme="majorBidi"/>
          <w:sz w:val="24"/>
          <w:szCs w:val="24"/>
          <w:lang w:bidi="ar-AE"/>
        </w:rPr>
        <w:t>, as customs</w:t>
      </w:r>
      <w:r w:rsidR="00CF1E97">
        <w:rPr>
          <w:rFonts w:asciiTheme="majorBidi" w:eastAsia="Calibri" w:hAnsiTheme="majorBidi" w:cstheme="majorBidi"/>
          <w:sz w:val="24"/>
          <w:szCs w:val="24"/>
          <w:lang w:bidi="ar-AE"/>
        </w:rPr>
        <w:t>, in certain cases,</w:t>
      </w:r>
      <w:r w:rsidRPr="00373592">
        <w:rPr>
          <w:rFonts w:asciiTheme="majorBidi" w:eastAsia="Calibri" w:hAnsiTheme="majorBidi" w:cstheme="majorBidi"/>
          <w:sz w:val="24"/>
          <w:szCs w:val="24"/>
          <w:lang w:bidi="ar-AE"/>
        </w:rPr>
        <w:t xml:space="preserve"> condone violence against women and consider it </w:t>
      </w:r>
      <w:r w:rsidR="00CF1E97">
        <w:rPr>
          <w:rFonts w:asciiTheme="majorBidi" w:eastAsia="Calibri" w:hAnsiTheme="majorBidi" w:cstheme="majorBidi"/>
          <w:sz w:val="24"/>
          <w:szCs w:val="24"/>
          <w:lang w:bidi="ar-AE"/>
        </w:rPr>
        <w:t xml:space="preserve">socially </w:t>
      </w:r>
      <w:r w:rsidRPr="00373592">
        <w:rPr>
          <w:rFonts w:asciiTheme="majorBidi" w:eastAsia="Calibri" w:hAnsiTheme="majorBidi" w:cstheme="majorBidi"/>
          <w:sz w:val="24"/>
          <w:szCs w:val="24"/>
          <w:lang w:bidi="ar-AE"/>
        </w:rPr>
        <w:t>acceptable</w:t>
      </w:r>
      <w:r w:rsidR="00CF1E97">
        <w:rPr>
          <w:rFonts w:asciiTheme="majorBidi" w:eastAsia="Calibri" w:hAnsiTheme="majorBidi" w:cstheme="majorBidi"/>
          <w:sz w:val="24"/>
          <w:szCs w:val="24"/>
          <w:lang w:bidi="ar-AE"/>
        </w:rPr>
        <w:t>, this is in</w:t>
      </w:r>
      <w:r w:rsidR="00C1698A" w:rsidRPr="00373592">
        <w:rPr>
          <w:rFonts w:asciiTheme="majorBidi" w:eastAsia="Calibri" w:hAnsiTheme="majorBidi" w:cstheme="majorBidi"/>
          <w:sz w:val="24"/>
          <w:szCs w:val="24"/>
          <w:lang w:bidi="ar-AE"/>
        </w:rPr>
        <w:t xml:space="preserve"> addition </w:t>
      </w:r>
      <w:r w:rsidR="00CF1E97">
        <w:rPr>
          <w:rFonts w:asciiTheme="majorBidi" w:eastAsia="Calibri" w:hAnsiTheme="majorBidi" w:cstheme="majorBidi"/>
          <w:sz w:val="24"/>
          <w:szCs w:val="24"/>
          <w:lang w:bidi="ar-AE"/>
        </w:rPr>
        <w:t>to the</w:t>
      </w:r>
      <w:r w:rsidR="00C1698A" w:rsidRPr="00373592">
        <w:rPr>
          <w:rFonts w:asciiTheme="majorBidi" w:eastAsia="Calibri" w:hAnsiTheme="majorBidi" w:cstheme="majorBidi"/>
          <w:sz w:val="24"/>
          <w:szCs w:val="24"/>
          <w:lang w:bidi="ar-AE"/>
        </w:rPr>
        <w:t xml:space="preserve"> existence of some discriminatory laws that are used to justify violence against women, </w:t>
      </w:r>
      <w:r w:rsidR="00CF1E97">
        <w:rPr>
          <w:rFonts w:asciiTheme="majorBidi" w:eastAsia="Calibri" w:hAnsiTheme="majorBidi" w:cstheme="majorBidi"/>
          <w:sz w:val="24"/>
          <w:szCs w:val="24"/>
          <w:lang w:bidi="ar-AE"/>
        </w:rPr>
        <w:t>besides the</w:t>
      </w:r>
      <w:r w:rsidR="00C1698A" w:rsidRPr="00373592">
        <w:rPr>
          <w:rFonts w:asciiTheme="majorBidi" w:eastAsia="Calibri" w:hAnsiTheme="majorBidi" w:cstheme="majorBidi"/>
          <w:sz w:val="24"/>
          <w:szCs w:val="24"/>
          <w:lang w:bidi="ar-AE"/>
        </w:rPr>
        <w:t xml:space="preserve"> failure </w:t>
      </w:r>
      <w:r w:rsidR="003F1F8D" w:rsidRPr="00373592">
        <w:rPr>
          <w:rFonts w:asciiTheme="majorBidi" w:eastAsia="Calibri" w:hAnsiTheme="majorBidi" w:cstheme="majorBidi"/>
          <w:sz w:val="24"/>
          <w:szCs w:val="24"/>
          <w:lang w:bidi="ar-AE"/>
        </w:rPr>
        <w:t xml:space="preserve">of the </w:t>
      </w:r>
      <w:r w:rsidR="00576417">
        <w:rPr>
          <w:rFonts w:asciiTheme="majorBidi" w:eastAsia="Calibri" w:hAnsiTheme="majorBidi" w:cstheme="majorBidi"/>
          <w:sz w:val="24"/>
          <w:szCs w:val="24"/>
          <w:lang w:bidi="ar-AE"/>
        </w:rPr>
        <w:t>line</w:t>
      </w:r>
      <w:r w:rsidR="003F1F8D" w:rsidRPr="00373592">
        <w:rPr>
          <w:rFonts w:asciiTheme="majorBidi" w:eastAsia="Calibri" w:hAnsiTheme="majorBidi" w:cstheme="majorBidi"/>
          <w:sz w:val="24"/>
          <w:szCs w:val="24"/>
          <w:lang w:bidi="ar-AE"/>
        </w:rPr>
        <w:t xml:space="preserve"> institutions to give a clear indication of the magnitude</w:t>
      </w:r>
      <w:r w:rsidR="00C1698A" w:rsidRPr="00373592">
        <w:rPr>
          <w:rFonts w:asciiTheme="majorBidi" w:eastAsia="Calibri" w:hAnsiTheme="majorBidi" w:cstheme="majorBidi"/>
          <w:sz w:val="24"/>
          <w:szCs w:val="24"/>
          <w:lang w:bidi="ar-AE"/>
        </w:rPr>
        <w:t xml:space="preserve"> </w:t>
      </w:r>
      <w:r w:rsidR="003F1F8D" w:rsidRPr="00373592">
        <w:rPr>
          <w:rFonts w:asciiTheme="majorBidi" w:eastAsia="Calibri" w:hAnsiTheme="majorBidi" w:cstheme="majorBidi"/>
          <w:sz w:val="24"/>
          <w:szCs w:val="24"/>
          <w:lang w:bidi="ar-AE"/>
        </w:rPr>
        <w:t>of violence against women in Jordan</w:t>
      </w:r>
      <w:r w:rsidR="003F719A" w:rsidRPr="00373592">
        <w:rPr>
          <w:rFonts w:asciiTheme="majorBidi" w:eastAsia="Calibri" w:hAnsiTheme="majorBidi" w:cstheme="majorBidi"/>
          <w:sz w:val="24"/>
          <w:szCs w:val="24"/>
          <w:lang w:bidi="ar-AE"/>
        </w:rPr>
        <w:t xml:space="preserve">, as there are uneven figures at these institutions </w:t>
      </w:r>
      <w:r w:rsidR="00576417">
        <w:rPr>
          <w:rFonts w:asciiTheme="majorBidi" w:eastAsia="Calibri" w:hAnsiTheme="majorBidi" w:cstheme="majorBidi"/>
          <w:sz w:val="24"/>
          <w:szCs w:val="24"/>
          <w:lang w:bidi="ar-AE"/>
        </w:rPr>
        <w:t>for</w:t>
      </w:r>
      <w:r w:rsidR="003F719A" w:rsidRPr="00373592">
        <w:rPr>
          <w:rFonts w:asciiTheme="majorBidi" w:eastAsia="Calibri" w:hAnsiTheme="majorBidi" w:cstheme="majorBidi"/>
          <w:sz w:val="24"/>
          <w:szCs w:val="24"/>
          <w:lang w:bidi="ar-AE"/>
        </w:rPr>
        <w:t xml:space="preserve"> cases </w:t>
      </w:r>
      <w:r w:rsidR="00683943">
        <w:rPr>
          <w:rFonts w:asciiTheme="majorBidi" w:eastAsia="Calibri" w:hAnsiTheme="majorBidi" w:cstheme="majorBidi"/>
          <w:sz w:val="24"/>
          <w:szCs w:val="24"/>
          <w:lang w:bidi="ar-AE"/>
        </w:rPr>
        <w:t>of</w:t>
      </w:r>
      <w:r w:rsidR="003F719A" w:rsidRPr="00373592">
        <w:rPr>
          <w:rFonts w:asciiTheme="majorBidi" w:eastAsia="Calibri" w:hAnsiTheme="majorBidi" w:cstheme="majorBidi"/>
          <w:sz w:val="24"/>
          <w:szCs w:val="24"/>
          <w:lang w:bidi="ar-AE"/>
        </w:rPr>
        <w:t xml:space="preserve"> violence against women</w:t>
      </w:r>
      <w:r w:rsidR="00683943">
        <w:rPr>
          <w:rFonts w:asciiTheme="majorBidi" w:eastAsia="Calibri" w:hAnsiTheme="majorBidi" w:cstheme="majorBidi"/>
          <w:sz w:val="24"/>
          <w:szCs w:val="24"/>
          <w:lang w:bidi="ar-AE"/>
        </w:rPr>
        <w:t xml:space="preserve"> they monitored, or </w:t>
      </w:r>
      <w:r w:rsidR="00576417">
        <w:rPr>
          <w:rFonts w:asciiTheme="majorBidi" w:eastAsia="Calibri" w:hAnsiTheme="majorBidi" w:cstheme="majorBidi"/>
          <w:sz w:val="24"/>
          <w:szCs w:val="24"/>
          <w:lang w:bidi="ar-AE"/>
        </w:rPr>
        <w:t xml:space="preserve">the number of </w:t>
      </w:r>
      <w:r w:rsidR="00683943">
        <w:rPr>
          <w:rFonts w:asciiTheme="majorBidi" w:eastAsia="Calibri" w:hAnsiTheme="majorBidi" w:cstheme="majorBidi"/>
          <w:sz w:val="24"/>
          <w:szCs w:val="24"/>
          <w:lang w:bidi="ar-AE"/>
        </w:rPr>
        <w:t xml:space="preserve"> </w:t>
      </w:r>
      <w:r w:rsidR="00576417">
        <w:rPr>
          <w:rFonts w:asciiTheme="majorBidi" w:eastAsia="Calibri" w:hAnsiTheme="majorBidi" w:cstheme="majorBidi"/>
          <w:sz w:val="24"/>
          <w:szCs w:val="24"/>
          <w:lang w:bidi="ar-AE"/>
        </w:rPr>
        <w:t>women victims of violence they received.</w:t>
      </w:r>
    </w:p>
    <w:p w:rsidR="0085499A" w:rsidRPr="00373592" w:rsidRDefault="00395D5D" w:rsidP="007B1EA2">
      <w:pPr>
        <w:pStyle w:val="ListParagraph"/>
        <w:numPr>
          <w:ilvl w:val="0"/>
          <w:numId w:val="27"/>
        </w:numPr>
        <w:tabs>
          <w:tab w:val="right" w:pos="0"/>
          <w:tab w:val="left" w:pos="180"/>
          <w:tab w:val="left" w:pos="270"/>
        </w:tabs>
        <w:bidi w:val="0"/>
        <w:ind w:right="26"/>
        <w:jc w:val="both"/>
        <w:rPr>
          <w:rFonts w:asciiTheme="majorBidi" w:eastAsia="Calibri" w:hAnsiTheme="majorBidi" w:cstheme="majorBidi"/>
          <w:lang w:bidi="ar-AE"/>
        </w:rPr>
      </w:pPr>
      <w:r w:rsidRPr="00373592">
        <w:rPr>
          <w:rFonts w:asciiTheme="majorBidi" w:eastAsia="Calibri" w:hAnsiTheme="majorBidi" w:cstheme="majorBidi"/>
          <w:lang w:bidi="ar-AE"/>
        </w:rPr>
        <w:t>With regards to the legal protection, it is to be noted that the Protection from Domestic Violence Law</w:t>
      </w:r>
      <w:r w:rsidR="00A50D77" w:rsidRPr="00373592">
        <w:rPr>
          <w:rFonts w:asciiTheme="majorBidi" w:eastAsia="Calibri" w:hAnsiTheme="majorBidi" w:cstheme="majorBidi"/>
          <w:lang w:bidi="ar-AE"/>
        </w:rPr>
        <w:t xml:space="preserve"> no 15 for the year </w:t>
      </w:r>
      <w:r w:rsidR="00D51D34" w:rsidRPr="00373592">
        <w:rPr>
          <w:rFonts w:asciiTheme="majorBidi" w:eastAsia="Calibri" w:hAnsiTheme="majorBidi" w:cstheme="majorBidi"/>
          <w:lang w:bidi="ar-AE"/>
        </w:rPr>
        <w:t>2017 was</w:t>
      </w:r>
      <w:r w:rsidRPr="00373592">
        <w:rPr>
          <w:rFonts w:asciiTheme="majorBidi" w:eastAsia="Calibri" w:hAnsiTheme="majorBidi" w:cstheme="majorBidi"/>
          <w:lang w:bidi="ar-AE"/>
        </w:rPr>
        <w:t xml:space="preserve"> </w:t>
      </w:r>
      <w:r w:rsidR="00A50D77" w:rsidRPr="00373592">
        <w:rPr>
          <w:rFonts w:asciiTheme="majorBidi" w:eastAsia="Calibri" w:hAnsiTheme="majorBidi" w:cstheme="majorBidi"/>
          <w:lang w:bidi="ar-AE"/>
        </w:rPr>
        <w:t>promulgated and published in the Official Gazette on 16/5/</w:t>
      </w:r>
      <w:r w:rsidR="0085499A" w:rsidRPr="00373592">
        <w:rPr>
          <w:rFonts w:asciiTheme="majorBidi" w:eastAsia="Calibri" w:hAnsiTheme="majorBidi" w:cstheme="majorBidi"/>
          <w:lang w:bidi="ar-AE"/>
        </w:rPr>
        <w:t xml:space="preserve">2017. </w:t>
      </w:r>
      <w:r w:rsidRPr="00373592">
        <w:rPr>
          <w:rFonts w:asciiTheme="majorBidi" w:eastAsia="Calibri" w:hAnsiTheme="majorBidi" w:cstheme="majorBidi"/>
          <w:lang w:bidi="ar-AE"/>
        </w:rPr>
        <w:t>The Law aims to preserve the family and promote the application of alternative penalties in place of the deprivation of liberty</w:t>
      </w:r>
      <w:r w:rsidR="00A50D77" w:rsidRPr="00373592">
        <w:rPr>
          <w:rFonts w:asciiTheme="majorBidi" w:eastAsia="Calibri" w:hAnsiTheme="majorBidi" w:cstheme="majorBidi"/>
          <w:lang w:bidi="ar-AE"/>
        </w:rPr>
        <w:t xml:space="preserve">. </w:t>
      </w:r>
      <w:r w:rsidR="00C0353D" w:rsidRPr="00373592">
        <w:rPr>
          <w:rFonts w:asciiTheme="majorBidi" w:eastAsia="Calibri" w:hAnsiTheme="majorBidi" w:cstheme="majorBidi"/>
          <w:lang w:bidi="ar-AE"/>
        </w:rPr>
        <w:t>Also article (92) of the Penal Code states that rape is the sexual intercourse with a woman (other than his wife) without her consent</w:t>
      </w:r>
      <w:r w:rsidR="00A95435" w:rsidRPr="00373592">
        <w:rPr>
          <w:rFonts w:asciiTheme="majorBidi" w:eastAsia="Calibri" w:hAnsiTheme="majorBidi" w:cstheme="majorBidi"/>
          <w:lang w:bidi="ar-AE"/>
        </w:rPr>
        <w:t xml:space="preserve"> etc.</w:t>
      </w:r>
    </w:p>
    <w:p w:rsidR="00395D5D" w:rsidRPr="00373592" w:rsidRDefault="003030DD" w:rsidP="007B1EA2">
      <w:pPr>
        <w:pStyle w:val="ListParagraph"/>
        <w:numPr>
          <w:ilvl w:val="0"/>
          <w:numId w:val="27"/>
        </w:numPr>
        <w:tabs>
          <w:tab w:val="right" w:pos="0"/>
          <w:tab w:val="left" w:pos="180"/>
          <w:tab w:val="left" w:pos="270"/>
        </w:tabs>
        <w:bidi w:val="0"/>
        <w:ind w:right="26"/>
        <w:jc w:val="both"/>
        <w:rPr>
          <w:rFonts w:asciiTheme="majorBidi" w:eastAsia="Calibri" w:hAnsiTheme="majorBidi" w:cstheme="majorBidi"/>
          <w:lang w:bidi="ar-AE"/>
        </w:rPr>
      </w:pPr>
      <w:r w:rsidRPr="00373592">
        <w:rPr>
          <w:rFonts w:asciiTheme="majorBidi" w:eastAsia="Calibri" w:hAnsiTheme="majorBidi" w:cstheme="majorBidi"/>
          <w:lang w:bidi="ar-AE"/>
        </w:rPr>
        <w:t>Recently Article (308) of the Jordanian Penal Code for the Year 1960, and its amendments, was repealed</w:t>
      </w:r>
      <w:r w:rsidR="006101D3" w:rsidRPr="00373592">
        <w:rPr>
          <w:rFonts w:asciiTheme="majorBidi" w:eastAsia="Calibri" w:hAnsiTheme="majorBidi" w:cstheme="majorBidi"/>
          <w:lang w:bidi="ar-AE"/>
        </w:rPr>
        <w:t>, allow rapists to escape punishment if they marry their victims, in response to the NCHR, the civil society and the treaty-based bodies recommendations.</w:t>
      </w:r>
    </w:p>
    <w:p w:rsidR="00B940A6" w:rsidRPr="00373592" w:rsidRDefault="00B940A6" w:rsidP="00B04D65">
      <w:pPr>
        <w:pStyle w:val="ListParagraph"/>
        <w:numPr>
          <w:ilvl w:val="0"/>
          <w:numId w:val="27"/>
        </w:numPr>
        <w:bidi w:val="0"/>
        <w:ind w:right="26"/>
        <w:jc w:val="both"/>
        <w:rPr>
          <w:rFonts w:asciiTheme="majorBidi" w:eastAsia="Calibri" w:hAnsiTheme="majorBidi" w:cstheme="majorBidi"/>
          <w:lang w:bidi="ar-AE"/>
        </w:rPr>
      </w:pPr>
      <w:r w:rsidRPr="00373592">
        <w:rPr>
          <w:rFonts w:asciiTheme="majorBidi" w:eastAsia="Calibri" w:hAnsiTheme="majorBidi" w:cstheme="majorBidi"/>
          <w:lang w:bidi="ar-AE"/>
        </w:rPr>
        <w:t xml:space="preserve">A Regulation for </w:t>
      </w:r>
      <w:r w:rsidR="00B04D65">
        <w:rPr>
          <w:rFonts w:asciiTheme="majorBidi" w:eastAsia="Calibri" w:hAnsiTheme="majorBidi" w:cstheme="majorBidi"/>
          <w:lang w:bidi="ar-AE"/>
        </w:rPr>
        <w:t>S</w:t>
      </w:r>
      <w:r w:rsidRPr="00373592">
        <w:rPr>
          <w:rFonts w:asciiTheme="majorBidi" w:eastAsia="Calibri" w:hAnsiTheme="majorBidi" w:cstheme="majorBidi"/>
          <w:lang w:bidi="ar-AE"/>
        </w:rPr>
        <w:t xml:space="preserve">helters of </w:t>
      </w:r>
      <w:r w:rsidR="00B04D65">
        <w:rPr>
          <w:rFonts w:asciiTheme="majorBidi" w:eastAsia="Calibri" w:hAnsiTheme="majorBidi" w:cstheme="majorBidi"/>
          <w:lang w:bidi="ar-AE"/>
        </w:rPr>
        <w:t>V</w:t>
      </w:r>
      <w:r w:rsidRPr="00373592">
        <w:rPr>
          <w:rFonts w:asciiTheme="majorBidi" w:eastAsia="Calibri" w:hAnsiTheme="majorBidi" w:cstheme="majorBidi"/>
          <w:lang w:bidi="ar-AE"/>
        </w:rPr>
        <w:t xml:space="preserve">ulnerable </w:t>
      </w:r>
      <w:r w:rsidR="00B04D65">
        <w:rPr>
          <w:rFonts w:asciiTheme="majorBidi" w:eastAsia="Calibri" w:hAnsiTheme="majorBidi" w:cstheme="majorBidi"/>
          <w:lang w:bidi="ar-AE"/>
        </w:rPr>
        <w:t>W</w:t>
      </w:r>
      <w:r w:rsidR="00D51D34" w:rsidRPr="00373592">
        <w:rPr>
          <w:rFonts w:asciiTheme="majorBidi" w:eastAsia="Calibri" w:hAnsiTheme="majorBidi" w:cstheme="majorBidi"/>
          <w:lang w:bidi="ar-AE"/>
        </w:rPr>
        <w:t>omen No.</w:t>
      </w:r>
      <w:r w:rsidRPr="00373592">
        <w:rPr>
          <w:rFonts w:asciiTheme="majorBidi" w:eastAsia="Calibri" w:hAnsiTheme="majorBidi" w:cstheme="majorBidi"/>
          <w:lang w:bidi="ar-AE"/>
        </w:rPr>
        <w:t xml:space="preserve"> 171 for the year 2016 was enacted and published in the Official Gazette. </w:t>
      </w:r>
      <w:r w:rsidR="004F2BF6" w:rsidRPr="00373592">
        <w:rPr>
          <w:rFonts w:asciiTheme="majorBidi" w:eastAsia="Calibri" w:hAnsiTheme="majorBidi" w:cstheme="majorBidi"/>
          <w:lang w:bidi="ar-AE"/>
        </w:rPr>
        <w:t xml:space="preserve">Also shelters were established in in more than one governorate.  </w:t>
      </w:r>
    </w:p>
    <w:p w:rsidR="00395D5D" w:rsidRPr="00373592" w:rsidRDefault="00395D5D" w:rsidP="00442CA6">
      <w:pPr>
        <w:spacing w:after="0"/>
        <w:ind w:left="90" w:right="26"/>
        <w:jc w:val="both"/>
        <w:rPr>
          <w:rFonts w:asciiTheme="majorBidi" w:eastAsia="Times New Roman" w:hAnsiTheme="majorBidi" w:cstheme="majorBidi"/>
          <w:sz w:val="24"/>
          <w:szCs w:val="24"/>
          <w:rtl/>
          <w:lang w:bidi="ar-JO"/>
        </w:rPr>
      </w:pPr>
    </w:p>
    <w:p w:rsidR="00504D8C" w:rsidRPr="00373592" w:rsidRDefault="00D56EEE" w:rsidP="00CF10DE">
      <w:pPr>
        <w:pStyle w:val="ListParagraph"/>
        <w:numPr>
          <w:ilvl w:val="0"/>
          <w:numId w:val="27"/>
        </w:numPr>
        <w:bidi w:val="0"/>
        <w:ind w:right="26"/>
        <w:jc w:val="both"/>
        <w:rPr>
          <w:rFonts w:asciiTheme="majorBidi" w:eastAsia="Calibri" w:hAnsiTheme="majorBidi" w:cstheme="majorBidi"/>
          <w:rtl/>
          <w:lang w:bidi="ar-AE"/>
        </w:rPr>
      </w:pPr>
      <w:r w:rsidRPr="00373592">
        <w:rPr>
          <w:rFonts w:asciiTheme="majorBidi" w:eastAsia="Calibri" w:hAnsiTheme="majorBidi" w:cstheme="majorBidi"/>
          <w:lang w:bidi="ar-AE"/>
        </w:rPr>
        <w:t xml:space="preserve">With respect to the </w:t>
      </w:r>
      <w:r w:rsidR="00395D5D" w:rsidRPr="00373592">
        <w:rPr>
          <w:rFonts w:asciiTheme="majorBidi" w:eastAsia="Calibri" w:hAnsiTheme="majorBidi" w:cstheme="majorBidi"/>
          <w:lang w:bidi="ar-AE"/>
        </w:rPr>
        <w:t xml:space="preserve">crimes </w:t>
      </w:r>
      <w:r w:rsidRPr="00373592">
        <w:rPr>
          <w:rFonts w:asciiTheme="majorBidi" w:eastAsia="Calibri" w:hAnsiTheme="majorBidi" w:cstheme="majorBidi"/>
          <w:lang w:bidi="ar-AE"/>
        </w:rPr>
        <w:t xml:space="preserve">perpetrated </w:t>
      </w:r>
      <w:r w:rsidR="00395D5D" w:rsidRPr="00373592">
        <w:rPr>
          <w:rFonts w:asciiTheme="majorBidi" w:eastAsia="Calibri" w:hAnsiTheme="majorBidi" w:cstheme="majorBidi"/>
          <w:lang w:bidi="ar-AE"/>
        </w:rPr>
        <w:t>under the pretext of the so-called honor- killing</w:t>
      </w:r>
      <w:r w:rsidRPr="00373592">
        <w:rPr>
          <w:rFonts w:asciiTheme="majorBidi" w:eastAsia="Calibri" w:hAnsiTheme="majorBidi" w:cstheme="majorBidi"/>
          <w:lang w:bidi="ar-AE"/>
        </w:rPr>
        <w:t xml:space="preserve">, </w:t>
      </w:r>
      <w:r w:rsidR="00A548F6">
        <w:rPr>
          <w:rFonts w:asciiTheme="majorBidi" w:eastAsia="Calibri" w:hAnsiTheme="majorBidi" w:cstheme="majorBidi"/>
          <w:lang w:bidi="ar-AE"/>
        </w:rPr>
        <w:t xml:space="preserve">it is to be noted that </w:t>
      </w:r>
      <w:r w:rsidRPr="00373592">
        <w:rPr>
          <w:rFonts w:asciiTheme="majorBidi" w:eastAsia="Calibri" w:hAnsiTheme="majorBidi" w:cstheme="majorBidi"/>
          <w:lang w:bidi="ar-AE"/>
        </w:rPr>
        <w:t xml:space="preserve">they were excluded </w:t>
      </w:r>
      <w:r w:rsidR="00395D5D" w:rsidRPr="00373592">
        <w:rPr>
          <w:rFonts w:asciiTheme="majorBidi" w:eastAsia="Calibri" w:hAnsiTheme="majorBidi" w:cstheme="majorBidi"/>
          <w:lang w:bidi="ar-AE"/>
        </w:rPr>
        <w:t xml:space="preserve">from the mitigation granted under articles (97) and (98) of the Jordanian Penal Code if </w:t>
      </w:r>
      <w:r w:rsidR="00A548F6">
        <w:rPr>
          <w:rFonts w:asciiTheme="majorBidi" w:eastAsia="Calibri" w:hAnsiTheme="majorBidi" w:cstheme="majorBidi"/>
          <w:lang w:bidi="ar-AE"/>
        </w:rPr>
        <w:t>they were</w:t>
      </w:r>
      <w:r w:rsidR="00395D5D" w:rsidRPr="00373592">
        <w:rPr>
          <w:rFonts w:asciiTheme="majorBidi" w:eastAsia="Calibri" w:hAnsiTheme="majorBidi" w:cstheme="majorBidi"/>
          <w:lang w:bidi="ar-AE"/>
        </w:rPr>
        <w:t xml:space="preserve"> inflicted on who did not complete fifteen years old, male or female. </w:t>
      </w:r>
      <w:r w:rsidR="00B60322" w:rsidRPr="00373592">
        <w:rPr>
          <w:rFonts w:asciiTheme="majorBidi" w:eastAsia="Calibri" w:hAnsiTheme="majorBidi" w:cstheme="majorBidi"/>
          <w:lang w:bidi="ar-AE"/>
        </w:rPr>
        <w:t xml:space="preserve">This was upheld by the Court of Cassation, that considered the application of Article (98) of the Penal Code to offences committed in the name of so-called honor crimes is unlawful, if was done without the verification of the availability of the </w:t>
      </w:r>
      <w:r w:rsidR="00C61D3A" w:rsidRPr="00373592">
        <w:rPr>
          <w:rFonts w:asciiTheme="majorBidi" w:eastAsia="Calibri" w:hAnsiTheme="majorBidi" w:cstheme="majorBidi"/>
          <w:lang w:bidi="ar-AE"/>
        </w:rPr>
        <w:t>requirements</w:t>
      </w:r>
      <w:r w:rsidR="00B60322" w:rsidRPr="00373592">
        <w:rPr>
          <w:rFonts w:asciiTheme="majorBidi" w:eastAsia="Calibri" w:hAnsiTheme="majorBidi" w:cstheme="majorBidi"/>
          <w:lang w:bidi="ar-AE"/>
        </w:rPr>
        <w:t xml:space="preserve"> of Article (340) that follows the principle</w:t>
      </w:r>
      <w:r w:rsidR="002115CB" w:rsidRPr="00373592">
        <w:rPr>
          <w:rFonts w:asciiTheme="majorBidi" w:eastAsia="Calibri" w:hAnsiTheme="majorBidi" w:cstheme="majorBidi"/>
          <w:lang w:bidi="ar-AE"/>
        </w:rPr>
        <w:t xml:space="preserve"> that special law derogated from general</w:t>
      </w:r>
      <w:r w:rsidR="00786E61" w:rsidRPr="00373592">
        <w:rPr>
          <w:rFonts w:asciiTheme="majorBidi" w:eastAsia="Calibri" w:hAnsiTheme="majorBidi" w:cstheme="majorBidi"/>
          <w:lang w:bidi="ar-AE"/>
        </w:rPr>
        <w:t xml:space="preserve"> law</w:t>
      </w:r>
      <w:r w:rsidR="00CD37F0" w:rsidRPr="00373592">
        <w:rPr>
          <w:rFonts w:asciiTheme="majorBidi" w:eastAsia="Calibri" w:hAnsiTheme="majorBidi" w:cstheme="majorBidi"/>
          <w:lang w:bidi="ar-AE"/>
        </w:rPr>
        <w:t>.</w:t>
      </w:r>
    </w:p>
    <w:p w:rsidR="001F55F8" w:rsidRPr="00373592" w:rsidRDefault="000C2FF8" w:rsidP="001F55F8">
      <w:pPr>
        <w:pStyle w:val="H1G"/>
        <w:rPr>
          <w:rFonts w:asciiTheme="majorBidi" w:hAnsiTheme="majorBidi" w:cstheme="majorBidi"/>
          <w:szCs w:val="24"/>
        </w:rPr>
      </w:pPr>
      <w:r w:rsidRPr="00373592">
        <w:rPr>
          <w:rFonts w:asciiTheme="majorBidi" w:hAnsiTheme="majorBidi" w:cstheme="majorBidi"/>
          <w:szCs w:val="24"/>
        </w:rPr>
        <w:tab/>
      </w:r>
      <w:r w:rsidR="006212B1" w:rsidRPr="00373592">
        <w:rPr>
          <w:rFonts w:asciiTheme="majorBidi" w:hAnsiTheme="majorBidi" w:cstheme="majorBidi"/>
          <w:szCs w:val="24"/>
          <w:lang w:val="en-US"/>
        </w:rPr>
        <w:t xml:space="preserve">8- </w:t>
      </w:r>
      <w:r w:rsidR="001F55F8" w:rsidRPr="00373592">
        <w:rPr>
          <w:rFonts w:asciiTheme="majorBidi" w:hAnsiTheme="majorBidi" w:cstheme="majorBidi"/>
          <w:szCs w:val="24"/>
        </w:rPr>
        <w:t>Counter-terrorism measures (arts. 4 and 9)</w:t>
      </w:r>
    </w:p>
    <w:p w:rsidR="002F28E5" w:rsidRPr="00373592" w:rsidRDefault="00D57C17" w:rsidP="00062E90">
      <w:pPr>
        <w:suppressAutoHyphens/>
        <w:bidi w:val="0"/>
        <w:spacing w:after="120"/>
        <w:ind w:right="26"/>
        <w:jc w:val="both"/>
        <w:rPr>
          <w:rFonts w:asciiTheme="majorBidi" w:eastAsia="Times New Roman" w:hAnsiTheme="majorBidi" w:cstheme="majorBidi"/>
          <w:kern w:val="36"/>
          <w:sz w:val="24"/>
          <w:szCs w:val="24"/>
          <w:lang w:bidi="ar-JO"/>
        </w:rPr>
      </w:pPr>
      <w:r w:rsidRPr="00373592">
        <w:rPr>
          <w:rFonts w:asciiTheme="majorBidi" w:eastAsia="Times New Roman" w:hAnsiTheme="majorBidi" w:cstheme="majorBidi"/>
          <w:kern w:val="36"/>
          <w:sz w:val="24"/>
          <w:szCs w:val="24"/>
          <w:lang w:bidi="ar-JO"/>
        </w:rPr>
        <w:t xml:space="preserve">The definition of terrorism is characterized by being </w:t>
      </w:r>
      <w:r w:rsidR="002F28E5" w:rsidRPr="00373592">
        <w:rPr>
          <w:rFonts w:asciiTheme="majorBidi" w:eastAsia="Times New Roman" w:hAnsiTheme="majorBidi" w:cstheme="majorBidi"/>
          <w:kern w:val="36"/>
          <w:sz w:val="24"/>
          <w:szCs w:val="24"/>
          <w:lang w:bidi="ar-JO"/>
        </w:rPr>
        <w:t xml:space="preserve">cumbersome, </w:t>
      </w:r>
      <w:r w:rsidR="00687A01">
        <w:rPr>
          <w:rFonts w:asciiTheme="majorBidi" w:eastAsia="Times New Roman" w:hAnsiTheme="majorBidi" w:cstheme="majorBidi"/>
          <w:kern w:val="36"/>
          <w:sz w:val="24"/>
          <w:szCs w:val="24"/>
          <w:lang w:bidi="ar-JO"/>
        </w:rPr>
        <w:t>and far away from clarity and conciseness</w:t>
      </w:r>
      <w:r w:rsidR="00C77F6B">
        <w:rPr>
          <w:rFonts w:asciiTheme="majorBidi" w:eastAsia="Times New Roman" w:hAnsiTheme="majorBidi" w:cstheme="majorBidi"/>
          <w:kern w:val="36"/>
          <w:sz w:val="24"/>
          <w:szCs w:val="24"/>
          <w:lang w:bidi="ar-JO"/>
        </w:rPr>
        <w:t xml:space="preserve">. </w:t>
      </w:r>
      <w:r w:rsidR="00690FFC" w:rsidRPr="00373592">
        <w:rPr>
          <w:rFonts w:asciiTheme="majorBidi" w:eastAsia="Times New Roman" w:hAnsiTheme="majorBidi" w:cstheme="majorBidi"/>
          <w:kern w:val="36"/>
          <w:sz w:val="24"/>
          <w:szCs w:val="24"/>
          <w:lang w:bidi="ar-JO"/>
        </w:rPr>
        <w:t xml:space="preserve"> </w:t>
      </w:r>
      <w:r w:rsidR="00C77F6B" w:rsidRPr="00373592">
        <w:rPr>
          <w:rFonts w:asciiTheme="majorBidi" w:eastAsia="Times New Roman" w:hAnsiTheme="majorBidi" w:cstheme="majorBidi"/>
          <w:kern w:val="36"/>
          <w:sz w:val="24"/>
          <w:szCs w:val="24"/>
          <w:lang w:bidi="ar-JO"/>
        </w:rPr>
        <w:t>The</w:t>
      </w:r>
      <w:r w:rsidR="002F28E5" w:rsidRPr="00373592">
        <w:rPr>
          <w:rFonts w:asciiTheme="majorBidi" w:eastAsia="Times New Roman" w:hAnsiTheme="majorBidi" w:cstheme="majorBidi"/>
          <w:kern w:val="36"/>
          <w:sz w:val="24"/>
          <w:szCs w:val="24"/>
          <w:lang w:bidi="ar-JO"/>
        </w:rPr>
        <w:t xml:space="preserve"> legislator used a number of synonymous </w:t>
      </w:r>
      <w:r w:rsidR="000C2FF8" w:rsidRPr="00373592">
        <w:rPr>
          <w:rFonts w:asciiTheme="majorBidi" w:eastAsia="Times New Roman" w:hAnsiTheme="majorBidi" w:cstheme="majorBidi"/>
          <w:kern w:val="36"/>
          <w:sz w:val="24"/>
          <w:szCs w:val="24"/>
          <w:lang w:bidi="ar-JO"/>
        </w:rPr>
        <w:t>words that</w:t>
      </w:r>
      <w:r w:rsidR="002F28E5" w:rsidRPr="00373592">
        <w:rPr>
          <w:rFonts w:asciiTheme="majorBidi" w:eastAsia="Times New Roman" w:hAnsiTheme="majorBidi" w:cstheme="majorBidi"/>
          <w:kern w:val="36"/>
          <w:sz w:val="24"/>
          <w:szCs w:val="24"/>
          <w:lang w:bidi="ar-JO"/>
        </w:rPr>
        <w:t xml:space="preserve"> are </w:t>
      </w:r>
      <w:r w:rsidR="004E65F5" w:rsidRPr="00373592">
        <w:rPr>
          <w:rFonts w:asciiTheme="majorBidi" w:eastAsia="Times New Roman" w:hAnsiTheme="majorBidi" w:cstheme="majorBidi"/>
          <w:kern w:val="36"/>
          <w:sz w:val="24"/>
          <w:szCs w:val="24"/>
          <w:lang w:bidi="ar-JO"/>
        </w:rPr>
        <w:t xml:space="preserve">generic and </w:t>
      </w:r>
      <w:r w:rsidR="002F28E5" w:rsidRPr="00373592">
        <w:rPr>
          <w:rFonts w:asciiTheme="majorBidi" w:eastAsia="Times New Roman" w:hAnsiTheme="majorBidi" w:cstheme="majorBidi"/>
          <w:kern w:val="36"/>
          <w:sz w:val="24"/>
          <w:szCs w:val="24"/>
          <w:lang w:bidi="ar-JO"/>
        </w:rPr>
        <w:t>broad</w:t>
      </w:r>
      <w:r w:rsidR="00D51D34" w:rsidRPr="00373592">
        <w:rPr>
          <w:rFonts w:asciiTheme="majorBidi" w:eastAsia="Times New Roman" w:hAnsiTheme="majorBidi" w:cstheme="majorBidi"/>
          <w:kern w:val="36"/>
          <w:sz w:val="24"/>
          <w:szCs w:val="24"/>
          <w:lang w:bidi="ar-JO"/>
        </w:rPr>
        <w:t xml:space="preserve">, </w:t>
      </w:r>
      <w:r w:rsidR="00690FFC" w:rsidRPr="00373592">
        <w:rPr>
          <w:rFonts w:asciiTheme="majorBidi" w:eastAsia="Times New Roman" w:hAnsiTheme="majorBidi" w:cstheme="majorBidi"/>
          <w:kern w:val="36"/>
          <w:sz w:val="24"/>
          <w:szCs w:val="24"/>
          <w:lang w:bidi="ar-JO"/>
        </w:rPr>
        <w:t xml:space="preserve">which </w:t>
      </w:r>
      <w:r w:rsidR="00A72727">
        <w:rPr>
          <w:rFonts w:asciiTheme="majorBidi" w:eastAsia="Times New Roman" w:hAnsiTheme="majorBidi" w:cstheme="majorBidi"/>
          <w:kern w:val="36"/>
          <w:sz w:val="24"/>
          <w:szCs w:val="24"/>
          <w:lang w:bidi="ar-JO"/>
        </w:rPr>
        <w:t xml:space="preserve">broadens </w:t>
      </w:r>
      <w:r w:rsidR="00A72727" w:rsidRPr="00373592">
        <w:rPr>
          <w:rFonts w:asciiTheme="majorBidi" w:eastAsia="Times New Roman" w:hAnsiTheme="majorBidi" w:cstheme="majorBidi"/>
          <w:kern w:val="36"/>
          <w:sz w:val="24"/>
          <w:szCs w:val="24"/>
          <w:lang w:bidi="ar-JO"/>
        </w:rPr>
        <w:t>crimi</w:t>
      </w:r>
      <w:r w:rsidR="00A72727">
        <w:rPr>
          <w:rFonts w:asciiTheme="majorBidi" w:eastAsia="Times New Roman" w:hAnsiTheme="majorBidi" w:cstheme="majorBidi"/>
          <w:kern w:val="36"/>
          <w:sz w:val="24"/>
          <w:szCs w:val="24"/>
          <w:lang w:bidi="ar-JO"/>
        </w:rPr>
        <w:t>nalization</w:t>
      </w:r>
      <w:r w:rsidR="00690FFC" w:rsidRPr="00373592">
        <w:rPr>
          <w:rFonts w:asciiTheme="majorBidi" w:eastAsia="Times New Roman" w:hAnsiTheme="majorBidi" w:cstheme="majorBidi"/>
          <w:kern w:val="36"/>
          <w:sz w:val="24"/>
          <w:szCs w:val="24"/>
          <w:lang w:bidi="ar-JO"/>
        </w:rPr>
        <w:t xml:space="preserve"> </w:t>
      </w:r>
      <w:r w:rsidR="00A72727">
        <w:rPr>
          <w:rFonts w:asciiTheme="majorBidi" w:eastAsia="Times New Roman" w:hAnsiTheme="majorBidi" w:cstheme="majorBidi"/>
          <w:kern w:val="36"/>
          <w:sz w:val="24"/>
          <w:szCs w:val="24"/>
          <w:lang w:bidi="ar-JO"/>
        </w:rPr>
        <w:t xml:space="preserve">by attributing the terrorism crime </w:t>
      </w:r>
      <w:r w:rsidR="00A72727" w:rsidRPr="00373592">
        <w:rPr>
          <w:rFonts w:asciiTheme="majorBidi" w:eastAsia="Times New Roman" w:hAnsiTheme="majorBidi" w:cstheme="majorBidi"/>
          <w:kern w:val="36"/>
          <w:sz w:val="24"/>
          <w:szCs w:val="24"/>
          <w:lang w:bidi="ar-JO"/>
        </w:rPr>
        <w:t>to</w:t>
      </w:r>
      <w:r w:rsidR="00A72727">
        <w:rPr>
          <w:rFonts w:asciiTheme="majorBidi" w:eastAsia="Times New Roman" w:hAnsiTheme="majorBidi" w:cstheme="majorBidi"/>
          <w:kern w:val="36"/>
          <w:sz w:val="24"/>
          <w:szCs w:val="24"/>
          <w:lang w:bidi="ar-JO"/>
        </w:rPr>
        <w:t xml:space="preserve"> offences that do not </w:t>
      </w:r>
      <w:r w:rsidR="00690FFC" w:rsidRPr="00373592">
        <w:rPr>
          <w:rFonts w:asciiTheme="majorBidi" w:eastAsia="Times New Roman" w:hAnsiTheme="majorBidi" w:cstheme="majorBidi"/>
          <w:kern w:val="36"/>
          <w:sz w:val="24"/>
          <w:szCs w:val="24"/>
          <w:lang w:bidi="ar-JO"/>
        </w:rPr>
        <w:t xml:space="preserve">fall within </w:t>
      </w:r>
      <w:r w:rsidR="00A72727">
        <w:rPr>
          <w:rFonts w:asciiTheme="majorBidi" w:eastAsia="Times New Roman" w:hAnsiTheme="majorBidi" w:cstheme="majorBidi"/>
          <w:kern w:val="36"/>
          <w:sz w:val="24"/>
          <w:szCs w:val="24"/>
          <w:lang w:bidi="ar-JO"/>
        </w:rPr>
        <w:t>this</w:t>
      </w:r>
      <w:r w:rsidR="00690FFC" w:rsidRPr="00373592">
        <w:rPr>
          <w:rFonts w:asciiTheme="majorBidi" w:eastAsia="Times New Roman" w:hAnsiTheme="majorBidi" w:cstheme="majorBidi"/>
          <w:kern w:val="36"/>
          <w:sz w:val="24"/>
          <w:szCs w:val="24"/>
          <w:lang w:bidi="ar-JO"/>
        </w:rPr>
        <w:t xml:space="preserve"> scope, contrary </w:t>
      </w:r>
      <w:r w:rsidR="00A72727">
        <w:rPr>
          <w:rFonts w:asciiTheme="majorBidi" w:eastAsia="Times New Roman" w:hAnsiTheme="majorBidi" w:cstheme="majorBidi"/>
          <w:kern w:val="36"/>
          <w:sz w:val="24"/>
          <w:szCs w:val="24"/>
          <w:lang w:bidi="ar-JO"/>
        </w:rPr>
        <w:t>to</w:t>
      </w:r>
      <w:r w:rsidR="00F22DA1" w:rsidRPr="00373592">
        <w:rPr>
          <w:rFonts w:asciiTheme="majorBidi" w:eastAsia="Times New Roman" w:hAnsiTheme="majorBidi" w:cstheme="majorBidi"/>
          <w:kern w:val="36"/>
          <w:sz w:val="24"/>
          <w:szCs w:val="24"/>
          <w:lang w:bidi="ar-JO"/>
        </w:rPr>
        <w:t xml:space="preserve"> the legislative drafting principles.</w:t>
      </w:r>
    </w:p>
    <w:p w:rsidR="00CE546E" w:rsidRPr="00373592" w:rsidRDefault="00722FA4" w:rsidP="0098306D">
      <w:pPr>
        <w:suppressAutoHyphens/>
        <w:bidi w:val="0"/>
        <w:spacing w:after="120"/>
        <w:ind w:right="26"/>
        <w:jc w:val="both"/>
        <w:rPr>
          <w:rFonts w:asciiTheme="majorBidi" w:eastAsia="Times New Roman" w:hAnsiTheme="majorBidi" w:cstheme="majorBidi"/>
          <w:kern w:val="36"/>
          <w:sz w:val="24"/>
          <w:szCs w:val="24"/>
          <w:lang w:bidi="ar-JO"/>
        </w:rPr>
      </w:pPr>
      <w:r w:rsidRPr="00373592">
        <w:rPr>
          <w:rFonts w:asciiTheme="majorBidi" w:eastAsia="Times New Roman" w:hAnsiTheme="majorBidi" w:cstheme="majorBidi"/>
          <w:kern w:val="36"/>
          <w:sz w:val="24"/>
          <w:szCs w:val="24"/>
          <w:lang w:bidi="ar-JO"/>
        </w:rPr>
        <w:t xml:space="preserve">The legislator after having </w:t>
      </w:r>
      <w:r w:rsidR="00FF3695" w:rsidRPr="00373592">
        <w:rPr>
          <w:rFonts w:asciiTheme="majorBidi" w:eastAsia="Times New Roman" w:hAnsiTheme="majorBidi" w:cstheme="majorBidi"/>
          <w:kern w:val="36"/>
          <w:sz w:val="24"/>
          <w:szCs w:val="24"/>
          <w:lang w:bidi="ar-JO"/>
        </w:rPr>
        <w:t xml:space="preserve">provided </w:t>
      </w:r>
      <w:r w:rsidR="00CE546E" w:rsidRPr="00373592">
        <w:rPr>
          <w:rFonts w:asciiTheme="majorBidi" w:eastAsia="Times New Roman" w:hAnsiTheme="majorBidi" w:cstheme="majorBidi"/>
          <w:kern w:val="36"/>
          <w:sz w:val="24"/>
          <w:szCs w:val="24"/>
          <w:lang w:bidi="ar-JO"/>
        </w:rPr>
        <w:t>the</w:t>
      </w:r>
      <w:r w:rsidR="00FF3695" w:rsidRPr="00373592">
        <w:rPr>
          <w:rFonts w:asciiTheme="majorBidi" w:eastAsia="Times New Roman" w:hAnsiTheme="majorBidi" w:cstheme="majorBidi"/>
          <w:kern w:val="36"/>
          <w:sz w:val="24"/>
          <w:szCs w:val="24"/>
          <w:lang w:bidi="ar-JO"/>
        </w:rPr>
        <w:t xml:space="preserve"> definition of this crime,</w:t>
      </w:r>
      <w:r w:rsidR="00CE546E" w:rsidRPr="00373592">
        <w:rPr>
          <w:rFonts w:asciiTheme="majorBidi" w:eastAsia="Times New Roman" w:hAnsiTheme="majorBidi" w:cstheme="majorBidi"/>
          <w:kern w:val="36"/>
          <w:sz w:val="24"/>
          <w:szCs w:val="24"/>
          <w:lang w:bidi="ar-JO"/>
        </w:rPr>
        <w:t xml:space="preserve"> it </w:t>
      </w:r>
      <w:r w:rsidR="0098306D">
        <w:rPr>
          <w:rFonts w:asciiTheme="majorBidi" w:eastAsia="Times New Roman" w:hAnsiTheme="majorBidi" w:cstheme="majorBidi"/>
          <w:kern w:val="36"/>
          <w:sz w:val="24"/>
          <w:szCs w:val="24"/>
          <w:lang w:bidi="ar-JO"/>
        </w:rPr>
        <w:t>stated</w:t>
      </w:r>
      <w:r w:rsidR="00CE546E" w:rsidRPr="00373592">
        <w:rPr>
          <w:rFonts w:asciiTheme="majorBidi" w:eastAsia="Times New Roman" w:hAnsiTheme="majorBidi" w:cstheme="majorBidi"/>
          <w:kern w:val="36"/>
          <w:sz w:val="24"/>
          <w:szCs w:val="24"/>
          <w:lang w:bidi="ar-JO"/>
        </w:rPr>
        <w:t xml:space="preserve"> the acts that constitute crimes of terrorism as engaging in acts that would expose the Kingdom to the risk of acts of aggression or disrupt its relations with a foreign state</w:t>
      </w:r>
      <w:r w:rsidR="00CE546E" w:rsidRPr="00373592">
        <w:rPr>
          <w:rFonts w:asciiTheme="majorBidi" w:eastAsia="Times New Roman" w:hAnsiTheme="majorBidi" w:cstheme="majorBidi"/>
          <w:kern w:val="36"/>
          <w:sz w:val="24"/>
          <w:szCs w:val="24"/>
          <w:rtl/>
          <w:lang w:bidi="ar-JO"/>
        </w:rPr>
        <w:t>,</w:t>
      </w:r>
      <w:r w:rsidR="00CE546E" w:rsidRPr="00373592">
        <w:rPr>
          <w:rFonts w:asciiTheme="majorBidi" w:hAnsiTheme="majorBidi" w:cstheme="majorBidi"/>
          <w:sz w:val="24"/>
          <w:szCs w:val="24"/>
        </w:rPr>
        <w:t xml:space="preserve"> </w:t>
      </w:r>
      <w:r w:rsidR="00CE546E" w:rsidRPr="00373592">
        <w:rPr>
          <w:rFonts w:asciiTheme="majorBidi" w:eastAsia="Times New Roman" w:hAnsiTheme="majorBidi" w:cstheme="majorBidi"/>
          <w:kern w:val="36"/>
          <w:sz w:val="24"/>
          <w:szCs w:val="24"/>
          <w:lang w:bidi="ar-JO"/>
        </w:rPr>
        <w:t>or exposes Jordanians to reprisals against their person or their property.</w:t>
      </w:r>
    </w:p>
    <w:p w:rsidR="00921E05" w:rsidRPr="00373592" w:rsidRDefault="00F449FA" w:rsidP="00BD7A1E">
      <w:pPr>
        <w:suppressAutoHyphens/>
        <w:bidi w:val="0"/>
        <w:spacing w:after="120"/>
        <w:ind w:right="26"/>
        <w:jc w:val="both"/>
        <w:rPr>
          <w:rFonts w:asciiTheme="majorBidi" w:eastAsia="Times New Roman" w:hAnsiTheme="majorBidi" w:cstheme="majorBidi"/>
          <w:kern w:val="36"/>
          <w:sz w:val="24"/>
          <w:szCs w:val="24"/>
          <w:lang w:bidi="ar-JO"/>
        </w:rPr>
      </w:pPr>
      <w:r w:rsidRPr="00373592">
        <w:rPr>
          <w:rFonts w:asciiTheme="majorBidi" w:eastAsia="Times New Roman" w:hAnsiTheme="majorBidi" w:cstheme="majorBidi"/>
          <w:kern w:val="36"/>
          <w:sz w:val="24"/>
          <w:szCs w:val="24"/>
          <w:lang w:bidi="ar-JO"/>
        </w:rPr>
        <w:t xml:space="preserve"> S</w:t>
      </w:r>
      <w:r w:rsidR="009F5AC1" w:rsidRPr="00373592">
        <w:rPr>
          <w:rFonts w:asciiTheme="majorBidi" w:eastAsia="Times New Roman" w:hAnsiTheme="majorBidi" w:cstheme="majorBidi"/>
          <w:kern w:val="36"/>
          <w:sz w:val="24"/>
          <w:szCs w:val="24"/>
          <w:lang w:bidi="ar-JO"/>
        </w:rPr>
        <w:t xml:space="preserve">ince that the legal basis (the legal text) is considered the legal rule that determines the statutory model of the crime, this model should, in accordance to the general principles of the legislative drafting, </w:t>
      </w:r>
      <w:r w:rsidR="009F4035" w:rsidRPr="00373592">
        <w:rPr>
          <w:rFonts w:asciiTheme="majorBidi" w:eastAsia="Times New Roman" w:hAnsiTheme="majorBidi" w:cstheme="majorBidi"/>
          <w:kern w:val="36"/>
          <w:sz w:val="24"/>
          <w:szCs w:val="24"/>
          <w:lang w:bidi="ar-JO"/>
        </w:rPr>
        <w:t xml:space="preserve"> be </w:t>
      </w:r>
      <w:r w:rsidR="009F5AC1" w:rsidRPr="00373592">
        <w:rPr>
          <w:rFonts w:asciiTheme="majorBidi" w:eastAsia="Times New Roman" w:hAnsiTheme="majorBidi" w:cstheme="majorBidi"/>
          <w:kern w:val="36"/>
          <w:sz w:val="24"/>
          <w:szCs w:val="24"/>
          <w:lang w:bidi="ar-JO"/>
        </w:rPr>
        <w:t xml:space="preserve">clear so as to ensure </w:t>
      </w:r>
      <w:r w:rsidR="009F4035" w:rsidRPr="00373592">
        <w:rPr>
          <w:rFonts w:asciiTheme="majorBidi" w:eastAsia="Times New Roman" w:hAnsiTheme="majorBidi" w:cstheme="majorBidi"/>
          <w:kern w:val="36"/>
          <w:sz w:val="24"/>
          <w:szCs w:val="24"/>
          <w:lang w:bidi="ar-JO"/>
        </w:rPr>
        <w:t>the precise determination of its elements</w:t>
      </w:r>
      <w:r w:rsidR="009F4035" w:rsidRPr="00373592">
        <w:rPr>
          <w:rFonts w:asciiTheme="majorBidi" w:hAnsiTheme="majorBidi" w:cstheme="majorBidi"/>
          <w:sz w:val="24"/>
          <w:szCs w:val="24"/>
        </w:rPr>
        <w:t xml:space="preserve"> </w:t>
      </w:r>
      <w:r w:rsidR="009F4035" w:rsidRPr="00373592">
        <w:rPr>
          <w:rFonts w:asciiTheme="majorBidi" w:eastAsia="Times New Roman" w:hAnsiTheme="majorBidi" w:cstheme="majorBidi"/>
          <w:kern w:val="36"/>
          <w:sz w:val="24"/>
          <w:szCs w:val="24"/>
          <w:lang w:bidi="ar-JO"/>
        </w:rPr>
        <w:t>to enable individuals to regulate their conduct accordingly</w:t>
      </w:r>
      <w:r w:rsidR="00AF2A60" w:rsidRPr="00373592">
        <w:rPr>
          <w:rFonts w:asciiTheme="majorBidi" w:eastAsia="Times New Roman" w:hAnsiTheme="majorBidi" w:cstheme="majorBidi"/>
          <w:kern w:val="36"/>
          <w:sz w:val="24"/>
          <w:szCs w:val="24"/>
          <w:lang w:bidi="ar-JO"/>
        </w:rPr>
        <w:t xml:space="preserve">. </w:t>
      </w:r>
      <w:r w:rsidR="009F4035" w:rsidRPr="00373592">
        <w:rPr>
          <w:rFonts w:asciiTheme="majorBidi" w:eastAsia="Times New Roman" w:hAnsiTheme="majorBidi" w:cstheme="majorBidi"/>
          <w:kern w:val="36"/>
          <w:sz w:val="24"/>
          <w:szCs w:val="24"/>
          <w:lang w:bidi="ar-JO"/>
        </w:rPr>
        <w:t xml:space="preserve"> </w:t>
      </w:r>
      <w:r w:rsidR="0083094A">
        <w:rPr>
          <w:rFonts w:asciiTheme="majorBidi" w:eastAsia="Times New Roman" w:hAnsiTheme="majorBidi" w:cstheme="majorBidi"/>
          <w:kern w:val="36"/>
          <w:sz w:val="24"/>
          <w:szCs w:val="24"/>
          <w:lang w:bidi="ar-JO"/>
        </w:rPr>
        <w:t xml:space="preserve">Also this violates </w:t>
      </w:r>
      <w:r w:rsidR="00AF2A60" w:rsidRPr="00373592">
        <w:rPr>
          <w:rFonts w:asciiTheme="majorBidi" w:eastAsia="Times New Roman" w:hAnsiTheme="majorBidi" w:cstheme="majorBidi"/>
          <w:kern w:val="36"/>
          <w:sz w:val="24"/>
          <w:szCs w:val="24"/>
          <w:lang w:bidi="ar-JO"/>
        </w:rPr>
        <w:t>the</w:t>
      </w:r>
      <w:r w:rsidR="009F4035" w:rsidRPr="00373592">
        <w:rPr>
          <w:rFonts w:asciiTheme="majorBidi" w:eastAsia="Times New Roman" w:hAnsiTheme="majorBidi" w:cstheme="majorBidi"/>
          <w:kern w:val="36"/>
          <w:sz w:val="24"/>
          <w:szCs w:val="24"/>
          <w:lang w:bidi="ar-JO"/>
        </w:rPr>
        <w:t xml:space="preserve"> principle of legality</w:t>
      </w:r>
      <w:r w:rsidR="0083094A">
        <w:rPr>
          <w:rFonts w:asciiTheme="majorBidi" w:eastAsia="Times New Roman" w:hAnsiTheme="majorBidi" w:cstheme="majorBidi"/>
          <w:kern w:val="36"/>
          <w:sz w:val="24"/>
          <w:szCs w:val="24"/>
          <w:lang w:bidi="ar-JO"/>
        </w:rPr>
        <w:t>, which states that</w:t>
      </w:r>
      <w:r w:rsidR="009F4035" w:rsidRPr="00373592">
        <w:rPr>
          <w:rFonts w:asciiTheme="majorBidi" w:eastAsia="Times New Roman" w:hAnsiTheme="majorBidi" w:cstheme="majorBidi"/>
          <w:kern w:val="36"/>
          <w:sz w:val="24"/>
          <w:szCs w:val="24"/>
          <w:lang w:bidi="ar-JO"/>
        </w:rPr>
        <w:t xml:space="preserve"> </w:t>
      </w:r>
      <w:r w:rsidR="00AF2A60" w:rsidRPr="00373592">
        <w:rPr>
          <w:rFonts w:asciiTheme="majorBidi" w:eastAsia="Times New Roman" w:hAnsiTheme="majorBidi" w:cstheme="majorBidi"/>
          <w:kern w:val="36"/>
          <w:sz w:val="24"/>
          <w:szCs w:val="24"/>
          <w:lang w:bidi="ar-JO"/>
        </w:rPr>
        <w:t>“There</w:t>
      </w:r>
      <w:r w:rsidR="009F4035" w:rsidRPr="00373592">
        <w:rPr>
          <w:rFonts w:asciiTheme="majorBidi" w:eastAsia="Times New Roman" w:hAnsiTheme="majorBidi" w:cstheme="majorBidi"/>
          <w:kern w:val="36"/>
          <w:sz w:val="24"/>
          <w:szCs w:val="24"/>
          <w:lang w:bidi="ar-JO"/>
        </w:rPr>
        <w:t xml:space="preserve"> is no crime and no punishment without a law"</w:t>
      </w:r>
      <w:r w:rsidR="00320DE4" w:rsidRPr="00373592">
        <w:rPr>
          <w:rFonts w:asciiTheme="majorBidi" w:eastAsia="Times New Roman" w:hAnsiTheme="majorBidi" w:cstheme="majorBidi"/>
          <w:kern w:val="36"/>
          <w:sz w:val="24"/>
          <w:szCs w:val="24"/>
          <w:lang w:bidi="ar-JO"/>
        </w:rPr>
        <w:t xml:space="preserve">, and the </w:t>
      </w:r>
      <w:r w:rsidR="00320DE4" w:rsidRPr="00373592">
        <w:rPr>
          <w:rFonts w:asciiTheme="majorBidi" w:eastAsia="Times New Roman" w:hAnsiTheme="majorBidi" w:cstheme="majorBidi"/>
          <w:kern w:val="36"/>
          <w:sz w:val="24"/>
          <w:szCs w:val="24"/>
          <w:lang w:bidi="ar-JO"/>
        </w:rPr>
        <w:lastRenderedPageBreak/>
        <w:t xml:space="preserve">principle of acquiring knowledge of laws.  </w:t>
      </w:r>
      <w:r w:rsidR="0048346B" w:rsidRPr="00373592">
        <w:rPr>
          <w:rFonts w:asciiTheme="majorBidi" w:eastAsia="Times New Roman" w:hAnsiTheme="majorBidi" w:cstheme="majorBidi"/>
          <w:kern w:val="36"/>
          <w:sz w:val="24"/>
          <w:szCs w:val="24"/>
          <w:lang w:bidi="ar-JO"/>
        </w:rPr>
        <w:t xml:space="preserve">Thus the Law is flawed, namely; Article (3), because </w:t>
      </w:r>
      <w:r w:rsidR="0083094A" w:rsidRPr="00373592">
        <w:rPr>
          <w:rFonts w:asciiTheme="majorBidi" w:eastAsia="Times New Roman" w:hAnsiTheme="majorBidi" w:cstheme="majorBidi"/>
          <w:kern w:val="36"/>
          <w:sz w:val="24"/>
          <w:szCs w:val="24"/>
          <w:lang w:bidi="ar-JO"/>
        </w:rPr>
        <w:t>of broadness</w:t>
      </w:r>
      <w:r w:rsidR="000C5D1D" w:rsidRPr="00373592">
        <w:rPr>
          <w:rFonts w:asciiTheme="majorBidi" w:eastAsia="Times New Roman" w:hAnsiTheme="majorBidi" w:cstheme="majorBidi"/>
          <w:kern w:val="36"/>
          <w:sz w:val="24"/>
          <w:szCs w:val="24"/>
          <w:lang w:bidi="ar-JO"/>
        </w:rPr>
        <w:t xml:space="preserve"> of the criminal element of the offences stipulated in the Law and the possibility of adapting the </w:t>
      </w:r>
      <w:r w:rsidR="00FF3695" w:rsidRPr="00373592">
        <w:rPr>
          <w:rFonts w:asciiTheme="majorBidi" w:eastAsia="Times New Roman" w:hAnsiTheme="majorBidi" w:cstheme="majorBidi"/>
          <w:kern w:val="36"/>
          <w:sz w:val="24"/>
          <w:szCs w:val="24"/>
          <w:lang w:bidi="ar-JO"/>
        </w:rPr>
        <w:t>legal text to suite personal trends and whims.</w:t>
      </w:r>
      <w:r w:rsidR="0048346B" w:rsidRPr="00373592">
        <w:rPr>
          <w:rFonts w:asciiTheme="majorBidi" w:eastAsia="Times New Roman" w:hAnsiTheme="majorBidi" w:cstheme="majorBidi"/>
          <w:kern w:val="36"/>
          <w:sz w:val="24"/>
          <w:szCs w:val="24"/>
          <w:lang w:bidi="ar-JO"/>
        </w:rPr>
        <w:t xml:space="preserve"> Also it is </w:t>
      </w:r>
      <w:r w:rsidR="009A5746" w:rsidRPr="00373592">
        <w:rPr>
          <w:rFonts w:asciiTheme="majorBidi" w:eastAsia="Times New Roman" w:hAnsiTheme="majorBidi" w:cstheme="majorBidi"/>
          <w:kern w:val="36"/>
          <w:sz w:val="24"/>
          <w:szCs w:val="24"/>
          <w:lang w:bidi="ar-JO"/>
        </w:rPr>
        <w:t xml:space="preserve">criticized </w:t>
      </w:r>
      <w:r w:rsidR="0048346B" w:rsidRPr="00373592">
        <w:rPr>
          <w:rFonts w:asciiTheme="majorBidi" w:eastAsia="Times New Roman" w:hAnsiTheme="majorBidi" w:cstheme="majorBidi"/>
          <w:kern w:val="36"/>
          <w:sz w:val="24"/>
          <w:szCs w:val="24"/>
          <w:lang w:bidi="ar-JO"/>
        </w:rPr>
        <w:t xml:space="preserve"> </w:t>
      </w:r>
      <w:r w:rsidR="009A5746" w:rsidRPr="00373592">
        <w:rPr>
          <w:rFonts w:asciiTheme="majorBidi" w:eastAsia="Times New Roman" w:hAnsiTheme="majorBidi" w:cstheme="majorBidi"/>
          <w:kern w:val="36"/>
          <w:sz w:val="24"/>
          <w:szCs w:val="24"/>
          <w:lang w:bidi="ar-JO"/>
        </w:rPr>
        <w:t xml:space="preserve">for the </w:t>
      </w:r>
      <w:r w:rsidR="0048346B" w:rsidRPr="00373592">
        <w:rPr>
          <w:rFonts w:asciiTheme="majorBidi" w:eastAsia="Times New Roman" w:hAnsiTheme="majorBidi" w:cstheme="majorBidi"/>
          <w:kern w:val="36"/>
          <w:sz w:val="24"/>
          <w:szCs w:val="24"/>
          <w:lang w:bidi="ar-JO"/>
        </w:rPr>
        <w:t xml:space="preserve"> dual </w:t>
      </w:r>
      <w:r w:rsidR="009A5746" w:rsidRPr="00373592">
        <w:rPr>
          <w:rFonts w:asciiTheme="majorBidi" w:eastAsia="Times New Roman" w:hAnsiTheme="majorBidi" w:cstheme="majorBidi"/>
          <w:kern w:val="36"/>
          <w:sz w:val="24"/>
          <w:szCs w:val="24"/>
          <w:lang w:bidi="ar-JO"/>
        </w:rPr>
        <w:t xml:space="preserve">of </w:t>
      </w:r>
      <w:r w:rsidR="0048346B" w:rsidRPr="00373592">
        <w:rPr>
          <w:rFonts w:asciiTheme="majorBidi" w:eastAsia="Times New Roman" w:hAnsiTheme="majorBidi" w:cstheme="majorBidi"/>
          <w:kern w:val="36"/>
          <w:sz w:val="24"/>
          <w:szCs w:val="24"/>
          <w:lang w:bidi="ar-JO"/>
        </w:rPr>
        <w:t>criminality</w:t>
      </w:r>
      <w:r w:rsidR="009A5746" w:rsidRPr="00373592">
        <w:rPr>
          <w:rFonts w:asciiTheme="majorBidi" w:eastAsia="Times New Roman" w:hAnsiTheme="majorBidi" w:cstheme="majorBidi"/>
          <w:kern w:val="36"/>
          <w:sz w:val="24"/>
          <w:szCs w:val="24"/>
          <w:lang w:bidi="ar-JO"/>
        </w:rPr>
        <w:t xml:space="preserve">, because </w:t>
      </w:r>
      <w:r w:rsidR="005F036E" w:rsidRPr="00373592">
        <w:rPr>
          <w:rFonts w:asciiTheme="majorBidi" w:eastAsia="Times New Roman" w:hAnsiTheme="majorBidi" w:cstheme="majorBidi"/>
          <w:kern w:val="36"/>
          <w:sz w:val="24"/>
          <w:szCs w:val="24"/>
          <w:lang w:bidi="ar-JO"/>
        </w:rPr>
        <w:t>the Jordanian Penal C</w:t>
      </w:r>
      <w:r w:rsidR="00470FCE" w:rsidRPr="00373592">
        <w:rPr>
          <w:rFonts w:asciiTheme="majorBidi" w:eastAsia="Times New Roman" w:hAnsiTheme="majorBidi" w:cstheme="majorBidi"/>
          <w:kern w:val="36"/>
          <w:sz w:val="24"/>
          <w:szCs w:val="24"/>
          <w:lang w:bidi="ar-JO"/>
        </w:rPr>
        <w:t xml:space="preserve">ode in the First Section prescribed this </w:t>
      </w:r>
      <w:r w:rsidR="00BD7A1E">
        <w:rPr>
          <w:rFonts w:asciiTheme="majorBidi" w:eastAsia="Times New Roman" w:hAnsiTheme="majorBidi" w:cstheme="majorBidi"/>
          <w:kern w:val="36"/>
          <w:sz w:val="24"/>
          <w:szCs w:val="24"/>
          <w:lang w:bidi="ar-JO"/>
        </w:rPr>
        <w:t>offense</w:t>
      </w:r>
      <w:r w:rsidR="003C28A9" w:rsidRPr="00373592">
        <w:rPr>
          <w:rFonts w:asciiTheme="majorBidi" w:eastAsia="Times New Roman" w:hAnsiTheme="majorBidi" w:cstheme="majorBidi"/>
          <w:kern w:val="36"/>
          <w:sz w:val="24"/>
          <w:szCs w:val="24"/>
          <w:lang w:bidi="ar-JO"/>
        </w:rPr>
        <w:t xml:space="preserve"> within the crimes which affect the foreign national securi</w:t>
      </w:r>
      <w:r w:rsidR="009A5746" w:rsidRPr="00373592">
        <w:rPr>
          <w:rFonts w:asciiTheme="majorBidi" w:eastAsia="Times New Roman" w:hAnsiTheme="majorBidi" w:cstheme="majorBidi"/>
          <w:kern w:val="36"/>
          <w:sz w:val="24"/>
          <w:szCs w:val="24"/>
          <w:lang w:bidi="ar-JO"/>
        </w:rPr>
        <w:t>ty, namely in article (118/2).</w:t>
      </w:r>
    </w:p>
    <w:p w:rsidR="00B269A9" w:rsidRPr="00373592" w:rsidRDefault="00FD0084" w:rsidP="00220474">
      <w:pPr>
        <w:suppressAutoHyphens/>
        <w:bidi w:val="0"/>
        <w:spacing w:after="120"/>
        <w:ind w:right="26"/>
        <w:jc w:val="both"/>
        <w:rPr>
          <w:rFonts w:asciiTheme="majorBidi" w:eastAsia="Times New Roman" w:hAnsiTheme="majorBidi" w:cstheme="majorBidi"/>
          <w:kern w:val="36"/>
          <w:sz w:val="24"/>
          <w:szCs w:val="24"/>
          <w:rtl/>
          <w:lang w:bidi="ar-JO"/>
        </w:rPr>
      </w:pPr>
      <w:r>
        <w:rPr>
          <w:rFonts w:asciiTheme="majorBidi" w:eastAsia="Times New Roman" w:hAnsiTheme="majorBidi" w:cstheme="majorBidi"/>
          <w:kern w:val="36"/>
          <w:sz w:val="24"/>
          <w:szCs w:val="24"/>
          <w:lang w:bidi="ar-JO"/>
        </w:rPr>
        <w:t>As a result, t</w:t>
      </w:r>
      <w:r w:rsidRPr="00373592">
        <w:rPr>
          <w:rFonts w:asciiTheme="majorBidi" w:eastAsia="Times New Roman" w:hAnsiTheme="majorBidi" w:cstheme="majorBidi"/>
          <w:kern w:val="36"/>
          <w:sz w:val="24"/>
          <w:szCs w:val="24"/>
          <w:lang w:bidi="ar-JO"/>
        </w:rPr>
        <w:t>he</w:t>
      </w:r>
      <w:r w:rsidR="00DA2CEA" w:rsidRPr="00373592">
        <w:rPr>
          <w:rFonts w:asciiTheme="majorBidi" w:eastAsia="Times New Roman" w:hAnsiTheme="majorBidi" w:cstheme="majorBidi"/>
          <w:kern w:val="36"/>
          <w:sz w:val="24"/>
          <w:szCs w:val="24"/>
          <w:lang w:bidi="ar-JO"/>
        </w:rPr>
        <w:t xml:space="preserve"> legislator</w:t>
      </w:r>
      <w:r w:rsidR="00FC1B0E" w:rsidRPr="00373592">
        <w:rPr>
          <w:rFonts w:asciiTheme="majorBidi" w:eastAsia="Times New Roman" w:hAnsiTheme="majorBidi" w:cstheme="majorBidi"/>
          <w:kern w:val="36"/>
          <w:sz w:val="24"/>
          <w:szCs w:val="24"/>
          <w:lang w:bidi="ar-JO"/>
        </w:rPr>
        <w:t>’s</w:t>
      </w:r>
      <w:r w:rsidR="00DA2CEA" w:rsidRPr="00373592">
        <w:rPr>
          <w:rFonts w:asciiTheme="majorBidi" w:eastAsia="Times New Roman" w:hAnsiTheme="majorBidi" w:cstheme="majorBidi"/>
          <w:kern w:val="36"/>
          <w:sz w:val="24"/>
          <w:szCs w:val="24"/>
          <w:lang w:bidi="ar-JO"/>
        </w:rPr>
        <w:t xml:space="preserve"> </w:t>
      </w:r>
      <w:r w:rsidR="00FC1B0E" w:rsidRPr="00373592">
        <w:rPr>
          <w:rFonts w:asciiTheme="majorBidi" w:eastAsia="Times New Roman" w:hAnsiTheme="majorBidi" w:cstheme="majorBidi"/>
          <w:kern w:val="36"/>
          <w:sz w:val="24"/>
          <w:szCs w:val="24"/>
          <w:lang w:bidi="ar-JO"/>
        </w:rPr>
        <w:t>expansion</w:t>
      </w:r>
      <w:r w:rsidR="00DA2CEA" w:rsidRPr="00373592">
        <w:rPr>
          <w:rFonts w:asciiTheme="majorBidi" w:eastAsia="Times New Roman" w:hAnsiTheme="majorBidi" w:cstheme="majorBidi"/>
          <w:kern w:val="36"/>
          <w:sz w:val="24"/>
          <w:szCs w:val="24"/>
          <w:lang w:bidi="ar-JO"/>
        </w:rPr>
        <w:t xml:space="preserve"> </w:t>
      </w:r>
      <w:r w:rsidR="00FC1B0E" w:rsidRPr="00373592">
        <w:rPr>
          <w:rFonts w:asciiTheme="majorBidi" w:eastAsia="Times New Roman" w:hAnsiTheme="majorBidi" w:cstheme="majorBidi"/>
          <w:kern w:val="36"/>
          <w:sz w:val="24"/>
          <w:szCs w:val="24"/>
          <w:lang w:bidi="ar-JO"/>
        </w:rPr>
        <w:t xml:space="preserve">of </w:t>
      </w:r>
      <w:r w:rsidR="00DA2CEA" w:rsidRPr="00373592">
        <w:rPr>
          <w:rFonts w:asciiTheme="majorBidi" w:eastAsia="Times New Roman" w:hAnsiTheme="majorBidi" w:cstheme="majorBidi"/>
          <w:kern w:val="36"/>
          <w:sz w:val="24"/>
          <w:szCs w:val="24"/>
          <w:lang w:bidi="ar-JO"/>
        </w:rPr>
        <w:t xml:space="preserve">the </w:t>
      </w:r>
      <w:r w:rsidR="00104946" w:rsidRPr="00373592">
        <w:rPr>
          <w:rFonts w:asciiTheme="majorBidi" w:eastAsia="Times New Roman" w:hAnsiTheme="majorBidi" w:cstheme="majorBidi"/>
          <w:kern w:val="36"/>
          <w:sz w:val="24"/>
          <w:szCs w:val="24"/>
          <w:lang w:bidi="ar-JO"/>
        </w:rPr>
        <w:t>connotations</w:t>
      </w:r>
      <w:r w:rsidR="00DA2CEA" w:rsidRPr="00373592">
        <w:rPr>
          <w:rFonts w:asciiTheme="majorBidi" w:eastAsia="Times New Roman" w:hAnsiTheme="majorBidi" w:cstheme="majorBidi"/>
          <w:kern w:val="36"/>
          <w:sz w:val="24"/>
          <w:szCs w:val="24"/>
          <w:lang w:bidi="ar-JO"/>
        </w:rPr>
        <w:t xml:space="preserve"> of this crime </w:t>
      </w:r>
      <w:r w:rsidR="00FC1B0E" w:rsidRPr="00373592">
        <w:rPr>
          <w:rFonts w:asciiTheme="majorBidi" w:eastAsia="Times New Roman" w:hAnsiTheme="majorBidi" w:cstheme="majorBidi"/>
          <w:kern w:val="36"/>
          <w:sz w:val="24"/>
          <w:szCs w:val="24"/>
          <w:lang w:bidi="ar-JO"/>
        </w:rPr>
        <w:t>and making</w:t>
      </w:r>
      <w:r w:rsidR="00104946" w:rsidRPr="00373592">
        <w:rPr>
          <w:rFonts w:asciiTheme="majorBidi" w:eastAsia="Times New Roman" w:hAnsiTheme="majorBidi" w:cstheme="majorBidi"/>
          <w:kern w:val="36"/>
          <w:sz w:val="24"/>
          <w:szCs w:val="24"/>
          <w:lang w:bidi="ar-JO"/>
        </w:rPr>
        <w:t xml:space="preserve"> them </w:t>
      </w:r>
      <w:r w:rsidR="008F22BA" w:rsidRPr="00373592">
        <w:rPr>
          <w:rFonts w:asciiTheme="majorBidi" w:eastAsia="Times New Roman" w:hAnsiTheme="majorBidi" w:cstheme="majorBidi"/>
          <w:kern w:val="36"/>
          <w:sz w:val="24"/>
          <w:szCs w:val="24"/>
          <w:lang w:bidi="ar-JO"/>
        </w:rPr>
        <w:t>unrestrained</w:t>
      </w:r>
      <w:r w:rsidR="00104946" w:rsidRPr="00373592">
        <w:rPr>
          <w:rFonts w:asciiTheme="majorBidi" w:eastAsia="Times New Roman" w:hAnsiTheme="majorBidi" w:cstheme="majorBidi"/>
          <w:kern w:val="36"/>
          <w:sz w:val="24"/>
          <w:szCs w:val="24"/>
          <w:lang w:bidi="ar-JO"/>
        </w:rPr>
        <w:t xml:space="preserve"> without </w:t>
      </w:r>
      <w:r w:rsidR="002072B2" w:rsidRPr="00373592">
        <w:rPr>
          <w:rFonts w:asciiTheme="majorBidi" w:eastAsia="Times New Roman" w:hAnsiTheme="majorBidi" w:cstheme="majorBidi"/>
          <w:kern w:val="36"/>
          <w:sz w:val="24"/>
          <w:szCs w:val="24"/>
          <w:lang w:bidi="ar-JO"/>
        </w:rPr>
        <w:t>stating</w:t>
      </w:r>
      <w:r w:rsidR="009C772A" w:rsidRPr="00373592">
        <w:rPr>
          <w:rFonts w:asciiTheme="majorBidi" w:eastAsia="Times New Roman" w:hAnsiTheme="majorBidi" w:cstheme="majorBidi"/>
          <w:kern w:val="36"/>
          <w:sz w:val="24"/>
          <w:szCs w:val="24"/>
          <w:lang w:bidi="ar-JO"/>
        </w:rPr>
        <w:t xml:space="preserve"> its descriptions or implications whatever; </w:t>
      </w:r>
      <w:r w:rsidR="00F42903">
        <w:rPr>
          <w:rFonts w:asciiTheme="majorBidi" w:eastAsia="Times New Roman" w:hAnsiTheme="majorBidi" w:cstheme="majorBidi"/>
          <w:kern w:val="36"/>
          <w:sz w:val="24"/>
          <w:szCs w:val="24"/>
          <w:lang w:bidi="ar-JO"/>
        </w:rPr>
        <w:t>may</w:t>
      </w:r>
      <w:r w:rsidR="00220474">
        <w:rPr>
          <w:rFonts w:asciiTheme="majorBidi" w:eastAsia="Times New Roman" w:hAnsiTheme="majorBidi" w:cstheme="majorBidi"/>
          <w:kern w:val="36"/>
          <w:sz w:val="24"/>
          <w:szCs w:val="24"/>
          <w:lang w:bidi="ar-JO"/>
        </w:rPr>
        <w:t xml:space="preserve"> entails</w:t>
      </w:r>
      <w:r w:rsidR="00F42903">
        <w:rPr>
          <w:rFonts w:asciiTheme="majorBidi" w:eastAsia="Times New Roman" w:hAnsiTheme="majorBidi" w:cstheme="majorBidi"/>
          <w:kern w:val="36"/>
          <w:sz w:val="24"/>
          <w:szCs w:val="24"/>
          <w:lang w:bidi="ar-JO"/>
        </w:rPr>
        <w:t xml:space="preserve"> the possibility of </w:t>
      </w:r>
      <w:r>
        <w:rPr>
          <w:rFonts w:asciiTheme="majorBidi" w:eastAsia="Times New Roman" w:hAnsiTheme="majorBidi" w:cstheme="majorBidi"/>
          <w:kern w:val="36"/>
          <w:sz w:val="24"/>
          <w:szCs w:val="24"/>
          <w:lang w:bidi="ar-JO"/>
        </w:rPr>
        <w:t>consider</w:t>
      </w:r>
      <w:r w:rsidR="00F42903">
        <w:rPr>
          <w:rFonts w:asciiTheme="majorBidi" w:eastAsia="Times New Roman" w:hAnsiTheme="majorBidi" w:cstheme="majorBidi"/>
          <w:kern w:val="36"/>
          <w:sz w:val="24"/>
          <w:szCs w:val="24"/>
          <w:lang w:bidi="ar-JO"/>
        </w:rPr>
        <w:t>ing</w:t>
      </w:r>
      <w:r w:rsidR="009C772A" w:rsidRPr="00373592">
        <w:rPr>
          <w:rFonts w:asciiTheme="majorBidi" w:eastAsia="Times New Roman" w:hAnsiTheme="majorBidi" w:cstheme="majorBidi"/>
          <w:kern w:val="36"/>
          <w:sz w:val="24"/>
          <w:szCs w:val="24"/>
          <w:lang w:bidi="ar-JO"/>
        </w:rPr>
        <w:t xml:space="preserve"> </w:t>
      </w:r>
      <w:r w:rsidR="0083094A">
        <w:rPr>
          <w:rFonts w:asciiTheme="majorBidi" w:eastAsia="Times New Roman" w:hAnsiTheme="majorBidi" w:cstheme="majorBidi"/>
          <w:kern w:val="36"/>
          <w:sz w:val="24"/>
          <w:szCs w:val="24"/>
          <w:lang w:bidi="ar-JO"/>
        </w:rPr>
        <w:t xml:space="preserve">any act </w:t>
      </w:r>
      <w:r w:rsidR="009C772A" w:rsidRPr="00373592">
        <w:rPr>
          <w:rFonts w:asciiTheme="majorBidi" w:eastAsia="Times New Roman" w:hAnsiTheme="majorBidi" w:cstheme="majorBidi"/>
          <w:kern w:val="36"/>
          <w:sz w:val="24"/>
          <w:szCs w:val="24"/>
          <w:lang w:bidi="ar-JO"/>
        </w:rPr>
        <w:t xml:space="preserve">to be </w:t>
      </w:r>
      <w:r w:rsidR="00DA2CEA" w:rsidRPr="00373592">
        <w:rPr>
          <w:rFonts w:asciiTheme="majorBidi" w:eastAsia="Times New Roman" w:hAnsiTheme="majorBidi" w:cstheme="majorBidi"/>
          <w:kern w:val="36"/>
          <w:sz w:val="24"/>
          <w:szCs w:val="24"/>
          <w:lang w:bidi="ar-JO"/>
        </w:rPr>
        <w:t>as an act of terrorism</w:t>
      </w:r>
      <w:r w:rsidR="00985EA5" w:rsidRPr="00373592">
        <w:rPr>
          <w:rFonts w:asciiTheme="majorBidi" w:eastAsia="Times New Roman" w:hAnsiTheme="majorBidi" w:cstheme="majorBidi"/>
          <w:kern w:val="36"/>
          <w:sz w:val="24"/>
          <w:szCs w:val="24"/>
          <w:lang w:bidi="ar-JO"/>
        </w:rPr>
        <w:t>.</w:t>
      </w:r>
      <w:r w:rsidR="001C67D1" w:rsidRPr="00373592">
        <w:rPr>
          <w:rFonts w:asciiTheme="majorBidi" w:eastAsia="Times New Roman" w:hAnsiTheme="majorBidi" w:cstheme="majorBidi"/>
          <w:kern w:val="36"/>
          <w:sz w:val="24"/>
          <w:szCs w:val="24"/>
          <w:lang w:bidi="ar-JO"/>
        </w:rPr>
        <w:t xml:space="preserve"> </w:t>
      </w:r>
      <w:r w:rsidR="00410E0C" w:rsidRPr="00373592">
        <w:rPr>
          <w:rFonts w:asciiTheme="majorBidi" w:eastAsia="Times New Roman" w:hAnsiTheme="majorBidi" w:cstheme="majorBidi"/>
          <w:kern w:val="36"/>
          <w:sz w:val="24"/>
          <w:szCs w:val="24"/>
          <w:lang w:bidi="ar-JO"/>
        </w:rPr>
        <w:t xml:space="preserve">This </w:t>
      </w:r>
      <w:r w:rsidR="001C67D1" w:rsidRPr="00373592">
        <w:rPr>
          <w:rFonts w:asciiTheme="majorBidi" w:eastAsia="Times New Roman" w:hAnsiTheme="majorBidi" w:cstheme="majorBidi"/>
          <w:kern w:val="36"/>
          <w:sz w:val="24"/>
          <w:szCs w:val="24"/>
          <w:lang w:bidi="ar-JO"/>
        </w:rPr>
        <w:t xml:space="preserve">unfettered expansion </w:t>
      </w:r>
      <w:r w:rsidR="00410E0C" w:rsidRPr="00373592">
        <w:rPr>
          <w:rFonts w:asciiTheme="majorBidi" w:eastAsia="Times New Roman" w:hAnsiTheme="majorBidi" w:cstheme="majorBidi"/>
          <w:kern w:val="36"/>
          <w:sz w:val="24"/>
          <w:szCs w:val="24"/>
          <w:lang w:bidi="ar-JO"/>
        </w:rPr>
        <w:t xml:space="preserve">is </w:t>
      </w:r>
      <w:r w:rsidR="0083094A">
        <w:rPr>
          <w:rFonts w:asciiTheme="majorBidi" w:eastAsia="Times New Roman" w:hAnsiTheme="majorBidi" w:cstheme="majorBidi"/>
          <w:kern w:val="36"/>
          <w:sz w:val="24"/>
          <w:szCs w:val="24"/>
          <w:lang w:bidi="ar-JO"/>
        </w:rPr>
        <w:t>deemed</w:t>
      </w:r>
      <w:r w:rsidR="00410E0C" w:rsidRPr="00373592">
        <w:rPr>
          <w:rFonts w:asciiTheme="majorBidi" w:eastAsia="Times New Roman" w:hAnsiTheme="majorBidi" w:cstheme="majorBidi"/>
          <w:kern w:val="36"/>
          <w:sz w:val="24"/>
          <w:szCs w:val="24"/>
          <w:lang w:bidi="ar-JO"/>
        </w:rPr>
        <w:t xml:space="preserve"> </w:t>
      </w:r>
      <w:r w:rsidR="00802FC0" w:rsidRPr="00373592">
        <w:rPr>
          <w:rFonts w:asciiTheme="majorBidi" w:eastAsia="Times New Roman" w:hAnsiTheme="majorBidi" w:cstheme="majorBidi"/>
          <w:kern w:val="36"/>
          <w:sz w:val="24"/>
          <w:szCs w:val="24"/>
          <w:lang w:bidi="ar-JO"/>
        </w:rPr>
        <w:t>regrettable</w:t>
      </w:r>
      <w:r w:rsidR="0083094A">
        <w:rPr>
          <w:rFonts w:asciiTheme="majorBidi" w:eastAsia="Times New Roman" w:hAnsiTheme="majorBidi" w:cstheme="majorBidi"/>
          <w:kern w:val="36"/>
          <w:sz w:val="24"/>
          <w:szCs w:val="24"/>
          <w:lang w:bidi="ar-JO"/>
        </w:rPr>
        <w:t>, especially that</w:t>
      </w:r>
      <w:r w:rsidR="0014739A" w:rsidRPr="00373592">
        <w:rPr>
          <w:rFonts w:asciiTheme="majorBidi" w:eastAsia="Times New Roman" w:hAnsiTheme="majorBidi" w:cstheme="majorBidi"/>
          <w:kern w:val="36"/>
          <w:sz w:val="24"/>
          <w:szCs w:val="24"/>
          <w:lang w:bidi="ar-JO"/>
        </w:rPr>
        <w:t xml:space="preserve"> the terrorism crime is considered </w:t>
      </w:r>
      <w:r w:rsidR="00410E0C" w:rsidRPr="00373592">
        <w:rPr>
          <w:rFonts w:asciiTheme="majorBidi" w:eastAsia="Times New Roman" w:hAnsiTheme="majorBidi" w:cstheme="majorBidi"/>
          <w:kern w:val="36"/>
          <w:sz w:val="24"/>
          <w:szCs w:val="24"/>
          <w:lang w:bidi="ar-JO"/>
        </w:rPr>
        <w:t xml:space="preserve">as one </w:t>
      </w:r>
      <w:r w:rsidR="0014739A" w:rsidRPr="00373592">
        <w:rPr>
          <w:rFonts w:asciiTheme="majorBidi" w:eastAsia="Times New Roman" w:hAnsiTheme="majorBidi" w:cstheme="majorBidi"/>
          <w:kern w:val="36"/>
          <w:sz w:val="24"/>
          <w:szCs w:val="24"/>
          <w:lang w:bidi="ar-JO"/>
        </w:rPr>
        <w:t xml:space="preserve">of grave crimes, </w:t>
      </w:r>
      <w:r w:rsidR="0083094A">
        <w:rPr>
          <w:rFonts w:asciiTheme="majorBidi" w:eastAsia="Times New Roman" w:hAnsiTheme="majorBidi" w:cstheme="majorBidi"/>
          <w:kern w:val="36"/>
          <w:sz w:val="24"/>
          <w:szCs w:val="24"/>
          <w:lang w:bidi="ar-JO"/>
        </w:rPr>
        <w:t>which</w:t>
      </w:r>
      <w:r w:rsidR="0014739A" w:rsidRPr="00373592">
        <w:rPr>
          <w:rFonts w:asciiTheme="majorBidi" w:eastAsia="Times New Roman" w:hAnsiTheme="majorBidi" w:cstheme="majorBidi"/>
          <w:kern w:val="36"/>
          <w:sz w:val="24"/>
          <w:szCs w:val="24"/>
          <w:lang w:bidi="ar-JO"/>
        </w:rPr>
        <w:t xml:space="preserve"> the legislator </w:t>
      </w:r>
      <w:r w:rsidR="00410E0C" w:rsidRPr="00373592">
        <w:rPr>
          <w:rFonts w:asciiTheme="majorBidi" w:eastAsia="Times New Roman" w:hAnsiTheme="majorBidi" w:cstheme="majorBidi"/>
          <w:kern w:val="36"/>
          <w:sz w:val="24"/>
          <w:szCs w:val="24"/>
          <w:lang w:bidi="ar-JO"/>
        </w:rPr>
        <w:t>would not</w:t>
      </w:r>
      <w:r w:rsidR="0014739A" w:rsidRPr="00373592">
        <w:rPr>
          <w:rFonts w:asciiTheme="majorBidi" w:eastAsia="Times New Roman" w:hAnsiTheme="majorBidi" w:cstheme="majorBidi"/>
          <w:kern w:val="36"/>
          <w:sz w:val="24"/>
          <w:szCs w:val="24"/>
          <w:lang w:bidi="ar-JO"/>
        </w:rPr>
        <w:t xml:space="preserve"> require the achievement of the criminal result to convict persons charged under this Law, which would </w:t>
      </w:r>
      <w:r w:rsidR="007D07D9">
        <w:rPr>
          <w:rFonts w:asciiTheme="majorBidi" w:eastAsia="Times New Roman" w:hAnsiTheme="majorBidi" w:cstheme="majorBidi"/>
          <w:kern w:val="36"/>
          <w:sz w:val="24"/>
          <w:szCs w:val="24"/>
          <w:lang w:bidi="ar-JO"/>
        </w:rPr>
        <w:t xml:space="preserve">entail </w:t>
      </w:r>
      <w:r w:rsidR="0014739A" w:rsidRPr="00373592">
        <w:rPr>
          <w:rFonts w:asciiTheme="majorBidi" w:eastAsia="Times New Roman" w:hAnsiTheme="majorBidi" w:cstheme="majorBidi"/>
          <w:kern w:val="36"/>
          <w:sz w:val="24"/>
          <w:szCs w:val="24"/>
          <w:lang w:bidi="ar-JO"/>
        </w:rPr>
        <w:t>expand</w:t>
      </w:r>
      <w:r w:rsidR="007D07D9">
        <w:rPr>
          <w:rFonts w:asciiTheme="majorBidi" w:eastAsia="Times New Roman" w:hAnsiTheme="majorBidi" w:cstheme="majorBidi"/>
          <w:kern w:val="36"/>
          <w:sz w:val="24"/>
          <w:szCs w:val="24"/>
          <w:lang w:bidi="ar-JO"/>
        </w:rPr>
        <w:t>ing</w:t>
      </w:r>
      <w:r w:rsidR="0014739A" w:rsidRPr="00373592">
        <w:rPr>
          <w:rFonts w:asciiTheme="majorBidi" w:eastAsia="Times New Roman" w:hAnsiTheme="majorBidi" w:cstheme="majorBidi"/>
          <w:kern w:val="36"/>
          <w:sz w:val="24"/>
          <w:szCs w:val="24"/>
          <w:lang w:bidi="ar-JO"/>
        </w:rPr>
        <w:t xml:space="preserve"> the</w:t>
      </w:r>
      <w:r w:rsidR="007D07D9">
        <w:rPr>
          <w:rFonts w:asciiTheme="majorBidi" w:eastAsia="Times New Roman" w:hAnsiTheme="majorBidi" w:cstheme="majorBidi"/>
          <w:kern w:val="36"/>
          <w:sz w:val="24"/>
          <w:szCs w:val="24"/>
          <w:lang w:bidi="ar-JO"/>
        </w:rPr>
        <w:t xml:space="preserve"> scope if</w:t>
      </w:r>
      <w:r w:rsidR="0014739A" w:rsidRPr="00373592">
        <w:rPr>
          <w:rFonts w:asciiTheme="majorBidi" w:eastAsia="Times New Roman" w:hAnsiTheme="majorBidi" w:cstheme="majorBidi"/>
          <w:kern w:val="36"/>
          <w:sz w:val="24"/>
          <w:szCs w:val="24"/>
          <w:lang w:bidi="ar-JO"/>
        </w:rPr>
        <w:t xml:space="preserve"> criminalization</w:t>
      </w:r>
      <w:r w:rsidR="007D07D9">
        <w:rPr>
          <w:rFonts w:asciiTheme="majorBidi" w:eastAsia="Times New Roman" w:hAnsiTheme="majorBidi" w:cstheme="majorBidi"/>
          <w:kern w:val="36"/>
          <w:sz w:val="24"/>
          <w:szCs w:val="24"/>
          <w:lang w:bidi="ar-JO"/>
        </w:rPr>
        <w:t>, and</w:t>
      </w:r>
      <w:r w:rsidR="007D07D9" w:rsidRPr="007D07D9">
        <w:rPr>
          <w:rFonts w:asciiTheme="majorBidi" w:eastAsia="Times New Roman" w:hAnsiTheme="majorBidi" w:cstheme="majorBidi"/>
          <w:kern w:val="36"/>
          <w:sz w:val="24"/>
          <w:szCs w:val="24"/>
          <w:lang w:bidi="ar-JO"/>
        </w:rPr>
        <w:t xml:space="preserve"> </w:t>
      </w:r>
      <w:r w:rsidR="007D07D9" w:rsidRPr="007D07D9">
        <w:rPr>
          <w:rFonts w:asciiTheme="majorBidi" w:eastAsia="Times New Roman" w:hAnsiTheme="majorBidi" w:cstheme="majorBidi" w:hint="cs"/>
          <w:kern w:val="36"/>
          <w:sz w:val="24"/>
          <w:szCs w:val="24"/>
          <w:lang w:bidi="ar-JO"/>
        </w:rPr>
        <w:t>compromising the requirements of fair trials</w:t>
      </w:r>
      <w:r w:rsidR="00C05A46">
        <w:rPr>
          <w:rFonts w:asciiTheme="majorBidi" w:eastAsia="Times New Roman" w:hAnsiTheme="majorBidi" w:cstheme="majorBidi"/>
          <w:kern w:val="36"/>
          <w:sz w:val="24"/>
          <w:szCs w:val="24"/>
          <w:lang w:bidi="ar-JO"/>
        </w:rPr>
        <w:t xml:space="preserve">, which involves not </w:t>
      </w:r>
      <w:r w:rsidR="00C05A46" w:rsidRPr="00C05A46">
        <w:rPr>
          <w:rFonts w:asciiTheme="majorBidi" w:eastAsia="Times New Roman" w:hAnsiTheme="majorBidi" w:cstheme="majorBidi"/>
          <w:kern w:val="36"/>
          <w:sz w:val="24"/>
          <w:szCs w:val="24"/>
          <w:lang w:bidi="ar-JO"/>
        </w:rPr>
        <w:t xml:space="preserve">punishing </w:t>
      </w:r>
      <w:r w:rsidR="002E3110">
        <w:rPr>
          <w:rFonts w:asciiTheme="majorBidi" w:eastAsia="Times New Roman" w:hAnsiTheme="majorBidi" w:cstheme="majorBidi"/>
          <w:kern w:val="36"/>
          <w:sz w:val="24"/>
          <w:szCs w:val="24"/>
          <w:lang w:bidi="ar-JO"/>
        </w:rPr>
        <w:t>any person</w:t>
      </w:r>
      <w:r w:rsidR="00C05A46" w:rsidRPr="00C05A46">
        <w:rPr>
          <w:rFonts w:asciiTheme="majorBidi" w:eastAsia="Times New Roman" w:hAnsiTheme="majorBidi" w:cstheme="majorBidi"/>
          <w:kern w:val="36"/>
          <w:sz w:val="24"/>
          <w:szCs w:val="24"/>
          <w:lang w:bidi="ar-JO"/>
        </w:rPr>
        <w:t xml:space="preserve"> for </w:t>
      </w:r>
      <w:r w:rsidR="002E3110">
        <w:rPr>
          <w:rFonts w:asciiTheme="majorBidi" w:eastAsia="Times New Roman" w:hAnsiTheme="majorBidi" w:cstheme="majorBidi"/>
          <w:kern w:val="36"/>
          <w:sz w:val="24"/>
          <w:szCs w:val="24"/>
          <w:lang w:bidi="ar-JO"/>
        </w:rPr>
        <w:t xml:space="preserve">a </w:t>
      </w:r>
      <w:r w:rsidR="00C05A46" w:rsidRPr="00C05A46">
        <w:rPr>
          <w:rFonts w:asciiTheme="majorBidi" w:eastAsia="Times New Roman" w:hAnsiTheme="majorBidi" w:cstheme="majorBidi"/>
          <w:kern w:val="36"/>
          <w:sz w:val="24"/>
          <w:szCs w:val="24"/>
          <w:lang w:bidi="ar-JO"/>
        </w:rPr>
        <w:t xml:space="preserve">crime </w:t>
      </w:r>
      <w:r w:rsidR="002E3110">
        <w:rPr>
          <w:rFonts w:asciiTheme="majorBidi" w:eastAsia="Times New Roman" w:hAnsiTheme="majorBidi" w:cstheme="majorBidi"/>
          <w:kern w:val="36"/>
          <w:sz w:val="24"/>
          <w:szCs w:val="24"/>
          <w:lang w:bidi="ar-JO"/>
        </w:rPr>
        <w:t>he</w:t>
      </w:r>
      <w:r w:rsidR="00C05A46" w:rsidRPr="00C05A46">
        <w:rPr>
          <w:rFonts w:asciiTheme="majorBidi" w:eastAsia="Times New Roman" w:hAnsiTheme="majorBidi" w:cstheme="majorBidi"/>
          <w:kern w:val="36"/>
          <w:sz w:val="24"/>
          <w:szCs w:val="24"/>
          <w:lang w:bidi="ar-JO"/>
        </w:rPr>
        <w:t xml:space="preserve"> did</w:t>
      </w:r>
      <w:r w:rsidR="002E3110">
        <w:rPr>
          <w:rFonts w:asciiTheme="majorBidi" w:eastAsia="Times New Roman" w:hAnsiTheme="majorBidi" w:cstheme="majorBidi"/>
          <w:kern w:val="36"/>
          <w:sz w:val="24"/>
          <w:szCs w:val="24"/>
          <w:lang w:bidi="ar-JO"/>
        </w:rPr>
        <w:t xml:space="preserve"> </w:t>
      </w:r>
      <w:r w:rsidR="00C05A46" w:rsidRPr="00C05A46">
        <w:rPr>
          <w:rFonts w:asciiTheme="majorBidi" w:eastAsia="Times New Roman" w:hAnsiTheme="majorBidi" w:cstheme="majorBidi"/>
          <w:kern w:val="36"/>
          <w:sz w:val="24"/>
          <w:szCs w:val="24"/>
          <w:lang w:bidi="ar-JO"/>
        </w:rPr>
        <w:t>n</w:t>
      </w:r>
      <w:r w:rsidR="002E3110">
        <w:rPr>
          <w:rFonts w:asciiTheme="majorBidi" w:eastAsia="Times New Roman" w:hAnsiTheme="majorBidi" w:cstheme="majorBidi"/>
          <w:kern w:val="36"/>
          <w:sz w:val="24"/>
          <w:szCs w:val="24"/>
          <w:lang w:bidi="ar-JO"/>
        </w:rPr>
        <w:t>o</w:t>
      </w:r>
      <w:r w:rsidR="00C05A46" w:rsidRPr="00C05A46">
        <w:rPr>
          <w:rFonts w:asciiTheme="majorBidi" w:eastAsia="Times New Roman" w:hAnsiTheme="majorBidi" w:cstheme="majorBidi"/>
          <w:kern w:val="36"/>
          <w:sz w:val="24"/>
          <w:szCs w:val="24"/>
          <w:lang w:bidi="ar-JO"/>
        </w:rPr>
        <w:t>t commit.</w:t>
      </w:r>
    </w:p>
    <w:p w:rsidR="00FB2957" w:rsidRPr="00FB2957" w:rsidRDefault="00765120" w:rsidP="00CF10DE">
      <w:pPr>
        <w:suppressAutoHyphens/>
        <w:bidi w:val="0"/>
        <w:spacing w:after="120"/>
        <w:ind w:right="26"/>
        <w:jc w:val="both"/>
        <w:rPr>
          <w:rFonts w:asciiTheme="majorBidi" w:eastAsia="Times New Roman" w:hAnsiTheme="majorBidi" w:cstheme="majorBidi"/>
          <w:kern w:val="36"/>
          <w:sz w:val="24"/>
          <w:szCs w:val="24"/>
          <w:rtl/>
          <w:lang w:bidi="ar-JO"/>
        </w:rPr>
      </w:pPr>
      <w:r w:rsidRPr="00373592">
        <w:rPr>
          <w:rFonts w:asciiTheme="majorBidi" w:eastAsia="Times New Roman" w:hAnsiTheme="majorBidi" w:cstheme="majorBidi"/>
          <w:kern w:val="36"/>
          <w:sz w:val="24"/>
          <w:szCs w:val="24"/>
          <w:lang w:bidi="ar-JO"/>
        </w:rPr>
        <w:t xml:space="preserve">In terms of the procedural rules, </w:t>
      </w:r>
      <w:r w:rsidR="008A4D29" w:rsidRPr="00373592">
        <w:rPr>
          <w:rFonts w:asciiTheme="majorBidi" w:eastAsia="Times New Roman" w:hAnsiTheme="majorBidi" w:cstheme="majorBidi"/>
          <w:kern w:val="36"/>
          <w:sz w:val="24"/>
          <w:szCs w:val="24"/>
          <w:lang w:bidi="ar-JO"/>
        </w:rPr>
        <w:t>the Law contain</w:t>
      </w:r>
      <w:r w:rsidR="00410E0C" w:rsidRPr="00373592">
        <w:rPr>
          <w:rFonts w:asciiTheme="majorBidi" w:eastAsia="Times New Roman" w:hAnsiTheme="majorBidi" w:cstheme="majorBidi"/>
          <w:kern w:val="36"/>
          <w:sz w:val="24"/>
          <w:szCs w:val="24"/>
          <w:lang w:bidi="ar-JO"/>
        </w:rPr>
        <w:t>s</w:t>
      </w:r>
      <w:r w:rsidR="008A4D29" w:rsidRPr="00373592">
        <w:rPr>
          <w:rFonts w:asciiTheme="majorBidi" w:eastAsia="Times New Roman" w:hAnsiTheme="majorBidi" w:cstheme="majorBidi"/>
          <w:kern w:val="36"/>
          <w:sz w:val="24"/>
          <w:szCs w:val="24"/>
          <w:lang w:bidi="ar-JO"/>
        </w:rPr>
        <w:t xml:space="preserve"> a departure from the general </w:t>
      </w:r>
      <w:r w:rsidR="00EA0924" w:rsidRPr="00373592">
        <w:rPr>
          <w:rFonts w:asciiTheme="majorBidi" w:eastAsia="Times New Roman" w:hAnsiTheme="majorBidi" w:cstheme="majorBidi"/>
          <w:kern w:val="36"/>
          <w:sz w:val="24"/>
          <w:szCs w:val="24"/>
          <w:lang w:bidi="ar-JO"/>
        </w:rPr>
        <w:t>principles of the procedural norms; since the Public Prosecutor has the right, in case of a well - founded information that a person being related to a terrorist activity</w:t>
      </w:r>
      <w:r w:rsidR="00964290" w:rsidRPr="00373592">
        <w:rPr>
          <w:rFonts w:asciiTheme="majorBidi" w:eastAsia="Times New Roman" w:hAnsiTheme="majorBidi" w:cstheme="majorBidi"/>
          <w:kern w:val="36"/>
          <w:sz w:val="24"/>
          <w:szCs w:val="24"/>
          <w:lang w:bidi="ar-JO"/>
        </w:rPr>
        <w:t>, to impose censorship on the communication</w:t>
      </w:r>
      <w:r w:rsidR="00EA0924" w:rsidRPr="00373592">
        <w:rPr>
          <w:rFonts w:asciiTheme="majorBidi" w:eastAsia="Times New Roman" w:hAnsiTheme="majorBidi" w:cstheme="majorBidi"/>
          <w:kern w:val="36"/>
          <w:sz w:val="24"/>
          <w:szCs w:val="24"/>
          <w:lang w:bidi="ar-JO"/>
        </w:rPr>
        <w:t xml:space="preserve"> </w:t>
      </w:r>
      <w:r w:rsidR="00964290" w:rsidRPr="00373592">
        <w:rPr>
          <w:rFonts w:asciiTheme="majorBidi" w:eastAsia="Times New Roman" w:hAnsiTheme="majorBidi" w:cstheme="majorBidi"/>
          <w:kern w:val="36"/>
          <w:sz w:val="24"/>
          <w:szCs w:val="24"/>
          <w:lang w:bidi="ar-JO"/>
        </w:rPr>
        <w:t>of that person and prevent him from traveling</w:t>
      </w:r>
      <w:r w:rsidR="00996BC7">
        <w:rPr>
          <w:rFonts w:asciiTheme="majorBidi" w:eastAsia="Times New Roman" w:hAnsiTheme="majorBidi" w:cstheme="majorBidi"/>
          <w:kern w:val="36"/>
          <w:sz w:val="24"/>
          <w:szCs w:val="24"/>
          <w:lang w:bidi="ar-JO"/>
        </w:rPr>
        <w:t xml:space="preserve">. </w:t>
      </w:r>
      <w:r w:rsidR="00BB4A10" w:rsidRPr="00373592">
        <w:rPr>
          <w:rFonts w:asciiTheme="majorBidi" w:eastAsia="Times New Roman" w:hAnsiTheme="majorBidi" w:cstheme="majorBidi"/>
          <w:kern w:val="36"/>
          <w:sz w:val="24"/>
          <w:szCs w:val="24"/>
          <w:lang w:bidi="ar-JO"/>
        </w:rPr>
        <w:t xml:space="preserve">However, </w:t>
      </w:r>
      <w:r w:rsidR="00996BC7">
        <w:rPr>
          <w:rFonts w:asciiTheme="majorBidi" w:eastAsia="Times New Roman" w:hAnsiTheme="majorBidi" w:cstheme="majorBidi"/>
          <w:kern w:val="36"/>
          <w:sz w:val="24"/>
          <w:szCs w:val="24"/>
          <w:lang w:bidi="ar-JO"/>
        </w:rPr>
        <w:t>he should not take</w:t>
      </w:r>
      <w:r w:rsidR="00BB4A10" w:rsidRPr="00373592">
        <w:rPr>
          <w:rFonts w:asciiTheme="majorBidi" w:eastAsia="Times New Roman" w:hAnsiTheme="majorBidi" w:cstheme="majorBidi"/>
          <w:kern w:val="36"/>
          <w:sz w:val="24"/>
          <w:szCs w:val="24"/>
          <w:lang w:bidi="ar-JO"/>
        </w:rPr>
        <w:t xml:space="preserve"> </w:t>
      </w:r>
      <w:r w:rsidR="00996BC7">
        <w:rPr>
          <w:rFonts w:asciiTheme="majorBidi" w:eastAsia="Times New Roman" w:hAnsiTheme="majorBidi" w:cstheme="majorBidi"/>
          <w:kern w:val="36"/>
          <w:sz w:val="24"/>
          <w:szCs w:val="24"/>
          <w:lang w:bidi="ar-JO"/>
        </w:rPr>
        <w:t xml:space="preserve">such </w:t>
      </w:r>
      <w:r w:rsidR="00BB4A10" w:rsidRPr="00373592">
        <w:rPr>
          <w:rFonts w:asciiTheme="majorBidi" w:eastAsia="Times New Roman" w:hAnsiTheme="majorBidi" w:cstheme="majorBidi"/>
          <w:kern w:val="36"/>
          <w:sz w:val="24"/>
          <w:szCs w:val="24"/>
          <w:lang w:bidi="ar-JO"/>
        </w:rPr>
        <w:t xml:space="preserve">measures that infringe on the individuals' rights to privacy life and their right to freedom of </w:t>
      </w:r>
      <w:r w:rsidR="00207B81" w:rsidRPr="00373592">
        <w:rPr>
          <w:rFonts w:asciiTheme="majorBidi" w:eastAsia="Times New Roman" w:hAnsiTheme="majorBidi" w:cstheme="majorBidi"/>
          <w:kern w:val="36"/>
          <w:sz w:val="24"/>
          <w:szCs w:val="24"/>
          <w:lang w:bidi="ar-JO"/>
        </w:rPr>
        <w:t>movement,</w:t>
      </w:r>
      <w:r w:rsidR="00996BC7">
        <w:rPr>
          <w:rFonts w:asciiTheme="majorBidi" w:eastAsia="Times New Roman" w:hAnsiTheme="majorBidi" w:cstheme="majorBidi"/>
          <w:kern w:val="36"/>
          <w:sz w:val="24"/>
          <w:szCs w:val="24"/>
          <w:lang w:bidi="ar-JO"/>
        </w:rPr>
        <w:t xml:space="preserve"> provided that there are</w:t>
      </w:r>
      <w:r w:rsidR="00BB4A10" w:rsidRPr="00373592">
        <w:rPr>
          <w:rFonts w:asciiTheme="majorBidi" w:eastAsia="Times New Roman" w:hAnsiTheme="majorBidi" w:cstheme="majorBidi"/>
          <w:kern w:val="36"/>
          <w:sz w:val="24"/>
          <w:szCs w:val="24"/>
          <w:lang w:bidi="ar-JO"/>
        </w:rPr>
        <w:t xml:space="preserve"> </w:t>
      </w:r>
      <w:r w:rsidR="00665B52">
        <w:rPr>
          <w:rFonts w:asciiTheme="majorBidi" w:eastAsia="Times New Roman" w:hAnsiTheme="majorBidi" w:cstheme="majorBidi"/>
          <w:kern w:val="36"/>
          <w:sz w:val="24"/>
          <w:szCs w:val="24"/>
          <w:lang w:bidi="ar-JO"/>
        </w:rPr>
        <w:t>genuine evidences</w:t>
      </w:r>
      <w:r w:rsidR="00996BC7">
        <w:rPr>
          <w:rFonts w:asciiTheme="majorBidi" w:eastAsia="Times New Roman" w:hAnsiTheme="majorBidi" w:cstheme="majorBidi"/>
          <w:kern w:val="36"/>
          <w:sz w:val="24"/>
          <w:szCs w:val="24"/>
          <w:lang w:bidi="ar-JO"/>
        </w:rPr>
        <w:t xml:space="preserve"> and clues</w:t>
      </w:r>
      <w:r w:rsidR="00BB4A10" w:rsidRPr="00373592">
        <w:rPr>
          <w:rFonts w:asciiTheme="majorBidi" w:eastAsia="Times New Roman" w:hAnsiTheme="majorBidi" w:cstheme="majorBidi"/>
          <w:kern w:val="36"/>
          <w:sz w:val="24"/>
          <w:szCs w:val="24"/>
          <w:lang w:bidi="ar-JO"/>
        </w:rPr>
        <w:t xml:space="preserve"> that </w:t>
      </w:r>
      <w:r w:rsidR="00207B81">
        <w:rPr>
          <w:rFonts w:asciiTheme="majorBidi" w:eastAsia="Times New Roman" w:hAnsiTheme="majorBidi" w:cstheme="majorBidi"/>
          <w:kern w:val="36"/>
          <w:sz w:val="24"/>
          <w:szCs w:val="24"/>
          <w:lang w:bidi="ar-JO"/>
        </w:rPr>
        <w:t>indicate the</w:t>
      </w:r>
      <w:r w:rsidR="00BB4A10" w:rsidRPr="00373592">
        <w:rPr>
          <w:rFonts w:asciiTheme="majorBidi" w:eastAsia="Times New Roman" w:hAnsiTheme="majorBidi" w:cstheme="majorBidi"/>
          <w:kern w:val="36"/>
          <w:sz w:val="24"/>
          <w:szCs w:val="24"/>
          <w:lang w:bidi="ar-JO"/>
        </w:rPr>
        <w:t xml:space="preserve"> commission of terrorist acts</w:t>
      </w:r>
      <w:r w:rsidR="00207B81">
        <w:rPr>
          <w:rFonts w:asciiTheme="majorBidi" w:eastAsia="Times New Roman" w:hAnsiTheme="majorBidi" w:cstheme="majorBidi"/>
          <w:kern w:val="36"/>
          <w:sz w:val="24"/>
          <w:szCs w:val="24"/>
          <w:lang w:bidi="ar-JO"/>
        </w:rPr>
        <w:t>, or that was reasonably imminent. Accordingly the vague text providing that "</w:t>
      </w:r>
      <w:r w:rsidR="00586D1C" w:rsidRPr="00373592">
        <w:rPr>
          <w:rFonts w:asciiTheme="majorBidi" w:eastAsia="Times New Roman" w:hAnsiTheme="majorBidi" w:cstheme="majorBidi"/>
          <w:kern w:val="36"/>
          <w:sz w:val="24"/>
          <w:szCs w:val="24"/>
          <w:lang w:bidi="ar-JO"/>
        </w:rPr>
        <w:t>the existenc</w:t>
      </w:r>
      <w:r w:rsidR="00207B81">
        <w:rPr>
          <w:rFonts w:asciiTheme="majorBidi" w:eastAsia="Times New Roman" w:hAnsiTheme="majorBidi" w:cstheme="majorBidi"/>
          <w:kern w:val="36"/>
          <w:sz w:val="24"/>
          <w:szCs w:val="24"/>
          <w:lang w:bidi="ar-JO"/>
        </w:rPr>
        <w:t xml:space="preserve">e of </w:t>
      </w:r>
      <w:r w:rsidR="00665B52">
        <w:rPr>
          <w:rFonts w:asciiTheme="majorBidi" w:eastAsia="Times New Roman" w:hAnsiTheme="majorBidi" w:cstheme="majorBidi"/>
          <w:kern w:val="36"/>
          <w:sz w:val="24"/>
          <w:szCs w:val="24"/>
          <w:lang w:bidi="ar-JO"/>
        </w:rPr>
        <w:t>well</w:t>
      </w:r>
      <w:r w:rsidR="00207B81">
        <w:rPr>
          <w:rFonts w:asciiTheme="majorBidi" w:eastAsia="Times New Roman" w:hAnsiTheme="majorBidi" w:cstheme="majorBidi"/>
          <w:kern w:val="36"/>
          <w:sz w:val="24"/>
          <w:szCs w:val="24"/>
          <w:lang w:bidi="ar-JO"/>
        </w:rPr>
        <w:t>-founded information", should not only be used.</w:t>
      </w:r>
      <w:r w:rsidR="00586D1C" w:rsidRPr="00373592">
        <w:rPr>
          <w:rFonts w:asciiTheme="majorBidi" w:eastAsia="Times New Roman" w:hAnsiTheme="majorBidi" w:cstheme="majorBidi"/>
          <w:kern w:val="36"/>
          <w:sz w:val="24"/>
          <w:szCs w:val="24"/>
          <w:lang w:bidi="ar-JO"/>
        </w:rPr>
        <w:t xml:space="preserve"> </w:t>
      </w:r>
    </w:p>
    <w:p w:rsidR="00FB2957" w:rsidRDefault="00FB2957" w:rsidP="00FB2957">
      <w:pPr>
        <w:pStyle w:val="H1G"/>
        <w:tabs>
          <w:tab w:val="left" w:pos="720"/>
        </w:tabs>
        <w:ind w:left="0" w:right="84" w:firstLine="0"/>
        <w:jc w:val="both"/>
        <w:rPr>
          <w:rFonts w:asciiTheme="majorBidi" w:hAnsiTheme="majorBidi" w:cstheme="majorBidi"/>
          <w:szCs w:val="24"/>
          <w:rtl/>
        </w:rPr>
      </w:pPr>
      <w:r>
        <w:rPr>
          <w:rFonts w:asciiTheme="majorBidi" w:hAnsiTheme="majorBidi" w:cstheme="majorBidi"/>
          <w:szCs w:val="24"/>
        </w:rPr>
        <w:t>Right to life, prohibition of torture and other cruel, inhuman or degrading treatment or punishment, and the right to an effective remedy (arts. 2 and 6-7)</w:t>
      </w:r>
    </w:p>
    <w:p w:rsidR="00FB2957" w:rsidRDefault="00FB2957" w:rsidP="00FB2957">
      <w:pPr>
        <w:pStyle w:val="ListParagraph"/>
        <w:numPr>
          <w:ilvl w:val="0"/>
          <w:numId w:val="19"/>
        </w:numPr>
        <w:suppressAutoHyphens/>
        <w:bidi w:val="0"/>
        <w:spacing w:after="120"/>
        <w:ind w:right="84"/>
        <w:jc w:val="both"/>
        <w:rPr>
          <w:rFonts w:asciiTheme="majorBidi" w:hAnsiTheme="majorBidi" w:cstheme="majorBidi"/>
          <w:color w:val="000000" w:themeColor="text1"/>
          <w:lang w:bidi="ar-JO"/>
        </w:rPr>
      </w:pPr>
      <w:r>
        <w:rPr>
          <w:rFonts w:asciiTheme="majorBidi" w:hAnsiTheme="majorBidi" w:cstheme="majorBidi"/>
          <w:b/>
          <w:bCs/>
          <w:color w:val="000000" w:themeColor="text1"/>
        </w:rPr>
        <w:t>The legal problematic areas in the  field of criminalization</w:t>
      </w:r>
      <w:r>
        <w:rPr>
          <w:rFonts w:asciiTheme="majorBidi" w:hAnsiTheme="majorBidi" w:cstheme="majorBidi"/>
          <w:color w:val="000000" w:themeColor="text1"/>
        </w:rPr>
        <w:t>: Despite that a draft bill amending the Jordanian Penal Code no (16) of 1960  and its amendments, had been completed and published in  5/5/2016, article (208 that</w:t>
      </w:r>
      <w:r>
        <w:rPr>
          <w:rFonts w:asciiTheme="majorBidi" w:hAnsiTheme="majorBidi" w:cstheme="majorBidi"/>
          <w:noProof/>
        </w:rPr>
        <w:t xml:space="preserve"> criminalizes torture, but in a piecemeal way, since it limits the definition of torture to extracting confession or acquiring information</w:t>
      </w:r>
      <w:r>
        <w:rPr>
          <w:rFonts w:asciiTheme="majorBidi" w:hAnsiTheme="majorBidi" w:cstheme="majorBidi"/>
          <w:color w:val="000000" w:themeColor="text1"/>
        </w:rPr>
        <w:t xml:space="preserve">,  was not included under that amendment, despite the frequent NCHR recommendations enshrined in its previous reports, which underscores the need to amend the said article to ensure that it is compatible with  the international conventions. </w:t>
      </w:r>
    </w:p>
    <w:p w:rsidR="00FB2957" w:rsidRDefault="00FB2957" w:rsidP="00FB2957">
      <w:pPr>
        <w:pStyle w:val="ListParagraph"/>
        <w:numPr>
          <w:ilvl w:val="0"/>
          <w:numId w:val="19"/>
        </w:numPr>
        <w:suppressAutoHyphens/>
        <w:bidi w:val="0"/>
        <w:spacing w:after="120"/>
        <w:rPr>
          <w:rFonts w:asciiTheme="majorBidi" w:hAnsiTheme="majorBidi" w:cstheme="majorBidi"/>
          <w:noProof/>
          <w:lang w:bidi="ar-JO"/>
        </w:rPr>
      </w:pPr>
      <w:r>
        <w:rPr>
          <w:rFonts w:asciiTheme="majorBidi" w:hAnsiTheme="majorBidi" w:cstheme="majorBidi"/>
          <w:b/>
          <w:bCs/>
          <w:color w:val="000000" w:themeColor="text1"/>
        </w:rPr>
        <w:t xml:space="preserve">The legal problematic areas in the field of the criminal prosecution of torture complaints: </w:t>
      </w:r>
    </w:p>
    <w:p w:rsidR="00FB2957" w:rsidRDefault="00FB2957" w:rsidP="00FB2957">
      <w:pPr>
        <w:suppressAutoHyphens/>
        <w:bidi w:val="0"/>
        <w:spacing w:after="120"/>
        <w:ind w:right="-58"/>
        <w:jc w:val="both"/>
        <w:rPr>
          <w:rFonts w:asciiTheme="majorBidi" w:hAnsiTheme="majorBidi" w:cstheme="majorBidi"/>
          <w:color w:val="000000" w:themeColor="text1"/>
          <w:sz w:val="24"/>
          <w:szCs w:val="24"/>
          <w:lang w:bidi="ar-JO"/>
        </w:rPr>
      </w:pPr>
      <w:r>
        <w:rPr>
          <w:rFonts w:asciiTheme="majorBidi" w:hAnsiTheme="majorBidi" w:cstheme="majorBidi"/>
          <w:color w:val="000000" w:themeColor="text1"/>
          <w:sz w:val="24"/>
          <w:szCs w:val="24"/>
          <w:lang w:bidi="ar-JO"/>
        </w:rPr>
        <w:t>The enhancement of the principle of effective prosecution of the torture crime requires the prosecution of defendants and conducting independent and effective investigations on torture complaints.  All investigations undertaken by the law-enforcement entities, however, are criticized for the lack of independence, which is required by the international standards.  Attribution of the subject matter jurisdiction (competence</w:t>
      </w:r>
      <w:r>
        <w:rPr>
          <w:rFonts w:asciiTheme="majorBidi" w:hAnsiTheme="majorBidi" w:cstheme="majorBidi"/>
          <w:sz w:val="24"/>
          <w:szCs w:val="24"/>
        </w:rPr>
        <w:t xml:space="preserve"> </w:t>
      </w:r>
      <w:r>
        <w:rPr>
          <w:rFonts w:asciiTheme="majorBidi" w:hAnsiTheme="majorBidi" w:cstheme="majorBidi"/>
          <w:color w:val="000000" w:themeColor="text1"/>
          <w:sz w:val="24"/>
          <w:szCs w:val="24"/>
          <w:lang w:bidi="ar-JO"/>
        </w:rPr>
        <w:t xml:space="preserve">ratione materiae) to investigate and prosecute torture cases to special courts (namely, the Police Court), may results in the failure to effectively prosecute perpetrators of crimes of torture. This entails the continuing pattern of the seldom prosecution of those who commit torture are under article 208 of the Penal Code. The way how the law-enforcement authorities, including the Police Justice, handle the </w:t>
      </w:r>
      <w:r>
        <w:rPr>
          <w:rFonts w:asciiTheme="majorBidi" w:hAnsiTheme="majorBidi" w:cstheme="majorBidi"/>
          <w:color w:val="000000" w:themeColor="text1"/>
          <w:sz w:val="24"/>
          <w:szCs w:val="24"/>
          <w:lang w:bidi="ar-JO"/>
        </w:rPr>
        <w:lastRenderedPageBreak/>
        <w:t xml:space="preserve">committed acts, mainly as being mere behavioral breaches that does not trigger the application of Article (208) of the Penal Code,  and  giving another characterization of the facts of the torture crime, such as abuse in all of its forms.  Despite that the NCHR recorded sentences rendered by the Police Courts on cases of beating and ill-treatment, nonetheless, the Center considers that these rulings are open to challenge and criticism because they were issued by one entity, which is considered as being both  </w:t>
      </w:r>
      <w:hyperlink r:id="rId11" w:history="1">
        <w:r>
          <w:rPr>
            <w:rStyle w:val="Hyperlink"/>
            <w:rFonts w:asciiTheme="majorBidi" w:hAnsiTheme="majorBidi" w:cstheme="majorBidi"/>
            <w:color w:val="000000" w:themeColor="text1"/>
            <w:sz w:val="24"/>
            <w:szCs w:val="24"/>
            <w:lang w:bidi="ar-JO"/>
          </w:rPr>
          <w:t>judge and party</w:t>
        </w:r>
      </w:hyperlink>
      <w:r>
        <w:rPr>
          <w:rFonts w:asciiTheme="majorBidi" w:hAnsiTheme="majorBidi" w:cstheme="majorBidi"/>
          <w:color w:val="222222"/>
          <w:sz w:val="24"/>
          <w:szCs w:val="24"/>
          <w:shd w:val="clear" w:color="auto" w:fill="F5F5F5"/>
        </w:rPr>
        <w:t>.</w:t>
      </w:r>
      <w:r>
        <w:rPr>
          <w:rFonts w:asciiTheme="majorBidi" w:hAnsiTheme="majorBidi" w:cstheme="majorBidi"/>
          <w:color w:val="000000" w:themeColor="text1"/>
          <w:sz w:val="24"/>
          <w:szCs w:val="24"/>
          <w:lang w:bidi="ar-JO"/>
        </w:rPr>
        <w:t xml:space="preserve">  </w:t>
      </w:r>
    </w:p>
    <w:p w:rsidR="00FB2957" w:rsidRDefault="00FB2957" w:rsidP="00FB2957">
      <w:pPr>
        <w:suppressAutoHyphens/>
        <w:bidi w:val="0"/>
        <w:spacing w:after="120"/>
        <w:ind w:right="-567"/>
        <w:rPr>
          <w:rFonts w:asciiTheme="majorBidi" w:eastAsia="Times New Roman" w:hAnsiTheme="majorBidi" w:cstheme="majorBidi"/>
          <w:noProof/>
          <w:sz w:val="24"/>
          <w:szCs w:val="24"/>
        </w:rPr>
      </w:pPr>
    </w:p>
    <w:p w:rsidR="00FB2957" w:rsidRDefault="00FB2957" w:rsidP="00FB2957">
      <w:pPr>
        <w:bidi w:val="0"/>
        <w:jc w:val="both"/>
        <w:rPr>
          <w:rFonts w:asciiTheme="majorBidi" w:hAnsiTheme="majorBidi" w:cstheme="majorBidi"/>
          <w:b/>
          <w:bCs/>
          <w:sz w:val="24"/>
          <w:szCs w:val="24"/>
          <w:lang w:bidi="ar-JO"/>
        </w:rPr>
      </w:pPr>
      <w:r>
        <w:rPr>
          <w:rFonts w:asciiTheme="majorBidi" w:hAnsiTheme="majorBidi" w:cstheme="majorBidi"/>
          <w:b/>
          <w:bCs/>
          <w:sz w:val="24"/>
          <w:szCs w:val="24"/>
          <w:lang w:bidi="ar-JO"/>
        </w:rPr>
        <w:t>The most important developments in the field of combating torture during the year 2016, are as follows:</w:t>
      </w:r>
    </w:p>
    <w:p w:rsidR="00FB2957" w:rsidRDefault="00FB2957" w:rsidP="00FB2957">
      <w:pPr>
        <w:numPr>
          <w:ilvl w:val="0"/>
          <w:numId w:val="20"/>
        </w:numPr>
        <w:bidi w:val="0"/>
        <w:spacing w:before="240" w:after="240"/>
        <w:ind w:left="375"/>
        <w:contextualSpacing/>
        <w:jc w:val="both"/>
        <w:rPr>
          <w:rFonts w:asciiTheme="majorBidi" w:hAnsiTheme="majorBidi" w:cstheme="majorBidi"/>
          <w:color w:val="000000" w:themeColor="text1"/>
          <w:sz w:val="24"/>
          <w:szCs w:val="24"/>
          <w:rtl/>
          <w:lang w:bidi="ar-JO"/>
        </w:rPr>
      </w:pPr>
      <w:r>
        <w:rPr>
          <w:rFonts w:asciiTheme="majorBidi" w:hAnsiTheme="majorBidi" w:cstheme="majorBidi"/>
          <w:sz w:val="24"/>
          <w:szCs w:val="24"/>
          <w:lang w:bidi="ar-JO"/>
        </w:rPr>
        <w:t>The Office of the Public Prosecution continued in investigating allegations of torture. It received (23) complaints of torture and ill-treatment in 2016, as compared to (7) cases in 2015, and (29) cases in 2014.</w:t>
      </w:r>
    </w:p>
    <w:p w:rsidR="00FB2957" w:rsidRDefault="00FB2957" w:rsidP="00FB2957">
      <w:pPr>
        <w:numPr>
          <w:ilvl w:val="0"/>
          <w:numId w:val="20"/>
        </w:numPr>
        <w:bidi w:val="0"/>
        <w:spacing w:before="240" w:after="240"/>
        <w:ind w:left="375"/>
        <w:contextualSpacing/>
        <w:jc w:val="both"/>
        <w:rPr>
          <w:rFonts w:asciiTheme="majorBidi" w:hAnsiTheme="majorBidi" w:cstheme="majorBidi"/>
          <w:color w:val="000000" w:themeColor="text1"/>
          <w:sz w:val="24"/>
          <w:szCs w:val="24"/>
          <w:lang w:bidi="ar-JO"/>
        </w:rPr>
      </w:pPr>
      <w:r>
        <w:rPr>
          <w:rFonts w:asciiTheme="majorBidi" w:hAnsiTheme="majorBidi" w:cstheme="majorBidi"/>
          <w:sz w:val="24"/>
          <w:szCs w:val="24"/>
          <w:lang w:bidi="ar-JO"/>
        </w:rPr>
        <w:t xml:space="preserve"> </w:t>
      </w:r>
      <w:r>
        <w:rPr>
          <w:rFonts w:asciiTheme="majorBidi" w:eastAsia="Times New Roman" w:hAnsiTheme="majorBidi" w:cstheme="majorBidi"/>
          <w:color w:val="000000" w:themeColor="text1"/>
          <w:sz w:val="24"/>
          <w:szCs w:val="24"/>
          <w:lang w:bidi="ar-JO"/>
        </w:rPr>
        <w:t>The First National Encounter for Combating Torture, under the theme " Partners in combating torture" was held  on 16/7/2016. During the meeting, a number of topics, and problematic areas pertain to torture  were discussed, with a view to create an environment that rejects torture, ensuring the protection of the rights of detained persons, and urge the Jordanian Government to accede to the Optional Protocol to the Convention against Torture (OP-CAT).</w:t>
      </w:r>
    </w:p>
    <w:p w:rsidR="00FB2957" w:rsidRDefault="00FB2957" w:rsidP="00FB2957">
      <w:pPr>
        <w:numPr>
          <w:ilvl w:val="0"/>
          <w:numId w:val="20"/>
        </w:numPr>
        <w:bidi w:val="0"/>
        <w:spacing w:before="240" w:after="240"/>
        <w:ind w:left="375"/>
        <w:contextualSpacing/>
        <w:jc w:val="both"/>
        <w:rPr>
          <w:rFonts w:asciiTheme="majorBidi" w:hAnsiTheme="majorBidi" w:cstheme="majorBidi"/>
          <w:color w:val="000000" w:themeColor="text1"/>
          <w:sz w:val="24"/>
          <w:szCs w:val="24"/>
          <w:lang w:bidi="ar-JO"/>
        </w:rPr>
      </w:pPr>
      <w:r>
        <w:rPr>
          <w:rFonts w:asciiTheme="majorBidi" w:eastAsia="Times New Roman" w:hAnsiTheme="majorBidi" w:cstheme="majorBidi"/>
          <w:color w:val="000000" w:themeColor="text1"/>
          <w:sz w:val="24"/>
          <w:szCs w:val="24"/>
          <w:lang w:bidi="ar-JO"/>
        </w:rPr>
        <w:t xml:space="preserve">The Public Prosecution trend towards instituting  proceedings on behalf of public authorities of the facts included in the Court of Cassation decisions indicate that the  interrogation measures shall be deemed null and void as a result of torture. </w:t>
      </w:r>
    </w:p>
    <w:p w:rsidR="00FB2957" w:rsidRDefault="00FB2957" w:rsidP="00FB2957">
      <w:pPr>
        <w:bidi w:val="0"/>
        <w:spacing w:before="240" w:after="240"/>
        <w:contextualSpacing/>
        <w:jc w:val="both"/>
        <w:rPr>
          <w:rFonts w:asciiTheme="majorBidi" w:hAnsiTheme="majorBidi" w:cstheme="majorBidi"/>
          <w:color w:val="000000" w:themeColor="text1"/>
          <w:sz w:val="24"/>
          <w:szCs w:val="24"/>
          <w:lang w:bidi="ar-JO"/>
        </w:rPr>
      </w:pPr>
      <w:r>
        <w:rPr>
          <w:rFonts w:asciiTheme="majorBidi" w:hAnsiTheme="majorBidi" w:cstheme="majorBidi"/>
          <w:color w:val="000000" w:themeColor="text1"/>
          <w:sz w:val="24"/>
          <w:szCs w:val="24"/>
          <w:lang w:bidi="ar-JO"/>
        </w:rPr>
        <w:t xml:space="preserve">With regards to the widespread of torture and ill-treatment cases, it is to be noted </w:t>
      </w:r>
      <w:r w:rsidR="004903F7">
        <w:rPr>
          <w:rFonts w:asciiTheme="majorBidi" w:hAnsiTheme="majorBidi" w:cstheme="majorBidi"/>
          <w:color w:val="000000" w:themeColor="text1"/>
          <w:sz w:val="24"/>
          <w:szCs w:val="24"/>
          <w:lang w:bidi="ar-JO"/>
        </w:rPr>
        <w:t>that</w:t>
      </w:r>
      <w:r>
        <w:rPr>
          <w:rFonts w:asciiTheme="majorBidi" w:hAnsiTheme="majorBidi" w:cstheme="majorBidi"/>
          <w:color w:val="000000" w:themeColor="text1"/>
          <w:sz w:val="24"/>
          <w:szCs w:val="24"/>
          <w:lang w:bidi="ar-JO"/>
        </w:rPr>
        <w:t xml:space="preserve"> the number of the registered cases against agents of the Public Security Directorate totalled (269) </w:t>
      </w:r>
      <w:r>
        <w:rPr>
          <w:rFonts w:asciiTheme="majorBidi" w:hAnsiTheme="majorBidi" w:cstheme="majorBidi"/>
          <w:color w:val="000000" w:themeColor="text1"/>
          <w:sz w:val="24"/>
          <w:szCs w:val="24"/>
          <w:rtl/>
          <w:lang w:bidi="ar-JO"/>
        </w:rPr>
        <w:t xml:space="preserve"> </w:t>
      </w:r>
      <w:r>
        <w:rPr>
          <w:rFonts w:asciiTheme="majorBidi" w:hAnsiTheme="majorBidi" w:cstheme="majorBidi"/>
          <w:color w:val="000000" w:themeColor="text1"/>
          <w:sz w:val="24"/>
          <w:szCs w:val="24"/>
          <w:lang w:bidi="ar-JO"/>
        </w:rPr>
        <w:t>cases in 2016, (29) cases of them referred to unit commander for trial before the, and (18) cases for which it was determined to prevent the defendants to be tried before the Police Prosecutor, (14) cases were referred to the Police Court, whereas (59) cases are under consideration.  In comparison</w:t>
      </w:r>
      <w:r w:rsidR="004903F7">
        <w:rPr>
          <w:rFonts w:asciiTheme="majorBidi" w:hAnsiTheme="majorBidi" w:cstheme="majorBidi"/>
          <w:color w:val="000000" w:themeColor="text1"/>
          <w:sz w:val="24"/>
          <w:szCs w:val="24"/>
          <w:lang w:bidi="ar-JO"/>
        </w:rPr>
        <w:t xml:space="preserve">, </w:t>
      </w:r>
      <w:r w:rsidR="004903F7">
        <w:rPr>
          <w:rFonts w:asciiTheme="majorBidi" w:hAnsiTheme="majorBidi" w:cstheme="majorBidi" w:hint="cs"/>
          <w:color w:val="000000" w:themeColor="text1"/>
          <w:sz w:val="24"/>
          <w:szCs w:val="24"/>
          <w:lang w:bidi="ar-JO"/>
        </w:rPr>
        <w:t>the</w:t>
      </w:r>
      <w:r>
        <w:rPr>
          <w:rFonts w:asciiTheme="majorBidi" w:hAnsiTheme="majorBidi" w:cstheme="majorBidi"/>
          <w:color w:val="000000" w:themeColor="text1"/>
          <w:sz w:val="24"/>
          <w:szCs w:val="24"/>
          <w:lang w:bidi="ar-JO"/>
        </w:rPr>
        <w:t xml:space="preserve"> total number of torture and ill-treatment cases registered against agents of the Public Security Directorate in the year 2015 was (239); (45) cases of them were referred to unit commander for trial, and (147) cases in which it was decided </w:t>
      </w:r>
      <w:r w:rsidR="004903F7">
        <w:rPr>
          <w:rFonts w:asciiTheme="majorBidi" w:hAnsiTheme="majorBidi" w:cstheme="majorBidi"/>
          <w:color w:val="000000" w:themeColor="text1"/>
          <w:sz w:val="24"/>
          <w:szCs w:val="24"/>
          <w:lang w:bidi="ar-JO"/>
        </w:rPr>
        <w:t>preventing defendants</w:t>
      </w:r>
      <w:r>
        <w:rPr>
          <w:rFonts w:asciiTheme="majorBidi" w:hAnsiTheme="majorBidi" w:cstheme="majorBidi"/>
          <w:color w:val="000000" w:themeColor="text1"/>
          <w:sz w:val="24"/>
          <w:szCs w:val="24"/>
          <w:lang w:bidi="ar-JO"/>
        </w:rPr>
        <w:t xml:space="preserve"> from </w:t>
      </w:r>
      <w:r w:rsidR="004903F7">
        <w:rPr>
          <w:rFonts w:asciiTheme="majorBidi" w:hAnsiTheme="majorBidi" w:cstheme="majorBidi"/>
          <w:color w:val="000000" w:themeColor="text1"/>
          <w:sz w:val="24"/>
          <w:szCs w:val="24"/>
          <w:lang w:bidi="ar-JO"/>
        </w:rPr>
        <w:t>being tried</w:t>
      </w:r>
      <w:r>
        <w:rPr>
          <w:rFonts w:asciiTheme="majorBidi" w:hAnsiTheme="majorBidi" w:cstheme="majorBidi"/>
          <w:color w:val="000000" w:themeColor="text1"/>
          <w:sz w:val="24"/>
          <w:szCs w:val="24"/>
          <w:lang w:bidi="ar-JO"/>
        </w:rPr>
        <w:t xml:space="preserve"> before the Police Prosecutor, (20) cases were referred to the Police Court, and (27) cases are still under consideration.  Whereas the ill-treatment cases committed against inmates of Rehabilitation and Reform Centers (RRCs) in 2016 amounted to (40) cases, (8) persons were convicted, whereas the trail of (14) persons was prevented to be carried out before the Police Prosecutor. In 2015, these kind of cases reached (38) cases, of which (12) persons were found guilty, whereas the trial of (26) persons were prevented. On the other hand, as compared to 204 figures, we found that the number of cases reached (61) case, of which (31) persons were convicted, and the trial of (30) persons were prevented.   </w:t>
      </w:r>
    </w:p>
    <w:p w:rsidR="00FB2957" w:rsidRDefault="00FB2957" w:rsidP="00FB2957">
      <w:pPr>
        <w:bidi w:val="0"/>
        <w:spacing w:before="240" w:after="240" w:line="240" w:lineRule="auto"/>
        <w:ind w:firstLine="15"/>
        <w:jc w:val="both"/>
        <w:rPr>
          <w:rFonts w:asciiTheme="majorBidi" w:eastAsia="Times New Roman" w:hAnsiTheme="majorBidi" w:cstheme="majorBidi"/>
          <w:color w:val="000000" w:themeColor="text1"/>
          <w:sz w:val="24"/>
          <w:szCs w:val="24"/>
          <w:lang w:bidi="ar-JO"/>
        </w:rPr>
      </w:pPr>
      <w:r>
        <w:rPr>
          <w:rFonts w:asciiTheme="majorBidi" w:eastAsia="Times New Roman" w:hAnsiTheme="majorBidi" w:cstheme="majorBidi"/>
          <w:color w:val="000000" w:themeColor="text1"/>
          <w:sz w:val="24"/>
          <w:szCs w:val="24"/>
          <w:lang w:bidi="ar-JO"/>
        </w:rPr>
        <w:t xml:space="preserve"> The Center received frequently complaints from citizens of allegations of torture and ill-treatment by law-enforcement officials and the security directorates.  Table no (2) indicates  NCHR handing of the torture complaints it received during the period (2012-2016).  The Center, noted, that a decrease in the number of complaints have been seen this year in comparison with the year 2015. </w:t>
      </w:r>
    </w:p>
    <w:tbl>
      <w:tblPr>
        <w:tblpPr w:leftFromText="180" w:rightFromText="180" w:bottomFromText="155" w:vertAnchor="text" w:horzAnchor="margin" w:tblpY="126"/>
        <w:bidiVisual/>
        <w:tblW w:w="9825" w:type="dxa"/>
        <w:tblLayout w:type="fixed"/>
        <w:tblCellMar>
          <w:left w:w="0" w:type="dxa"/>
          <w:right w:w="0" w:type="dxa"/>
        </w:tblCellMar>
        <w:tblLook w:val="04A0" w:firstRow="1" w:lastRow="0" w:firstColumn="1" w:lastColumn="0" w:noHBand="0" w:noVBand="1"/>
      </w:tblPr>
      <w:tblGrid>
        <w:gridCol w:w="20"/>
        <w:gridCol w:w="169"/>
        <w:gridCol w:w="9636"/>
      </w:tblGrid>
      <w:tr w:rsidR="00FB2957" w:rsidTr="00FB2957">
        <w:trPr>
          <w:trHeight w:val="351"/>
        </w:trPr>
        <w:tc>
          <w:tcPr>
            <w:tcW w:w="189" w:type="dxa"/>
            <w:gridSpan w:val="2"/>
          </w:tcPr>
          <w:p w:rsidR="00FB2957" w:rsidRDefault="00FB2957">
            <w:pPr>
              <w:autoSpaceDE w:val="0"/>
              <w:autoSpaceDN w:val="0"/>
              <w:spacing w:after="0" w:line="240" w:lineRule="auto"/>
              <w:rPr>
                <w:rFonts w:asciiTheme="majorBidi" w:eastAsia="Times New Roman" w:hAnsiTheme="majorBidi" w:cstheme="majorBidi"/>
                <w:color w:val="000000" w:themeColor="text1"/>
                <w:sz w:val="24"/>
                <w:szCs w:val="24"/>
                <w:lang w:bidi="ar-JO"/>
              </w:rPr>
            </w:pPr>
          </w:p>
        </w:tc>
        <w:tc>
          <w:tcPr>
            <w:tcW w:w="9631" w:type="dxa"/>
            <w:tcMar>
              <w:top w:w="0" w:type="dxa"/>
              <w:left w:w="108" w:type="dxa"/>
              <w:bottom w:w="0" w:type="dxa"/>
              <w:right w:w="108" w:type="dxa"/>
            </w:tcMar>
          </w:tcPr>
          <w:p w:rsidR="00FB2957" w:rsidRDefault="00FB2957">
            <w:pPr>
              <w:autoSpaceDE w:val="0"/>
              <w:autoSpaceDN w:val="0"/>
              <w:spacing w:after="0" w:line="240" w:lineRule="auto"/>
              <w:rPr>
                <w:rFonts w:asciiTheme="majorBidi" w:eastAsia="Times New Roman" w:hAnsiTheme="majorBidi" w:cstheme="majorBidi"/>
                <w:color w:val="000000" w:themeColor="text1"/>
                <w:sz w:val="24"/>
                <w:szCs w:val="24"/>
                <w:rtl/>
                <w:lang w:bidi="ar-JO"/>
              </w:rPr>
            </w:pPr>
          </w:p>
          <w:tbl>
            <w:tblPr>
              <w:tblStyle w:val="TableGrid"/>
              <w:bidiVisual/>
              <w:tblW w:w="0" w:type="auto"/>
              <w:tblLayout w:type="fixed"/>
              <w:tblLook w:val="04A0" w:firstRow="1" w:lastRow="0" w:firstColumn="1" w:lastColumn="0" w:noHBand="0" w:noVBand="1"/>
            </w:tblPr>
            <w:tblGrid>
              <w:gridCol w:w="1567"/>
              <w:gridCol w:w="1567"/>
              <w:gridCol w:w="1567"/>
              <w:gridCol w:w="1568"/>
              <w:gridCol w:w="1568"/>
              <w:gridCol w:w="1568"/>
            </w:tblGrid>
            <w:tr w:rsidR="00FB2957">
              <w:tc>
                <w:tcPr>
                  <w:tcW w:w="9405" w:type="dxa"/>
                  <w:gridSpan w:val="6"/>
                  <w:tcBorders>
                    <w:top w:val="single" w:sz="4" w:space="0" w:color="auto"/>
                    <w:left w:val="single" w:sz="4" w:space="0" w:color="auto"/>
                    <w:bottom w:val="single" w:sz="4" w:space="0" w:color="auto"/>
                    <w:right w:val="single" w:sz="4" w:space="0" w:color="auto"/>
                  </w:tcBorders>
                  <w:hideMark/>
                </w:tcPr>
                <w:p w:rsidR="00FB2957" w:rsidRDefault="00FB2957" w:rsidP="009C5795">
                  <w:pPr>
                    <w:framePr w:hSpace="180" w:wrap="around" w:vAnchor="text" w:hAnchor="margin" w:y="126"/>
                    <w:autoSpaceDE w:val="0"/>
                    <w:autoSpaceDN w:val="0"/>
                    <w:jc w:val="center"/>
                    <w:rPr>
                      <w:rFonts w:asciiTheme="majorBidi" w:hAnsiTheme="majorBidi" w:cstheme="majorBidi"/>
                      <w:b/>
                      <w:bCs/>
                      <w:color w:val="000000" w:themeColor="text1"/>
                      <w:sz w:val="24"/>
                      <w:szCs w:val="24"/>
                      <w:lang w:bidi="ar-JO"/>
                    </w:rPr>
                  </w:pPr>
                  <w:r>
                    <w:rPr>
                      <w:rFonts w:asciiTheme="majorBidi" w:hAnsiTheme="majorBidi" w:cstheme="majorBidi"/>
                      <w:b/>
                      <w:bCs/>
                      <w:color w:val="000000" w:themeColor="text1"/>
                      <w:sz w:val="24"/>
                      <w:szCs w:val="24"/>
                      <w:lang w:bidi="ar-JO"/>
                    </w:rPr>
                    <w:t>Table no (2) : indicates  NCHR handing of the torture complaints it received between the period (2013-2016)</w:t>
                  </w:r>
                </w:p>
              </w:tc>
            </w:tr>
            <w:tr w:rsidR="00FB2957">
              <w:tc>
                <w:tcPr>
                  <w:tcW w:w="1567" w:type="dxa"/>
                  <w:tcBorders>
                    <w:top w:val="single" w:sz="4" w:space="0" w:color="auto"/>
                    <w:left w:val="single" w:sz="4" w:space="0" w:color="auto"/>
                    <w:bottom w:val="single" w:sz="4" w:space="0" w:color="auto"/>
                    <w:right w:val="single" w:sz="4" w:space="0" w:color="auto"/>
                  </w:tcBorders>
                </w:tcPr>
                <w:p w:rsidR="00FB2957" w:rsidRDefault="00FB2957" w:rsidP="009C5795">
                  <w:pPr>
                    <w:framePr w:hSpace="180" w:wrap="around" w:vAnchor="text" w:hAnchor="margin" w:y="126"/>
                    <w:autoSpaceDE w:val="0"/>
                    <w:autoSpaceDN w:val="0"/>
                    <w:jc w:val="center"/>
                    <w:rPr>
                      <w:rFonts w:asciiTheme="majorBidi" w:hAnsiTheme="majorBidi" w:cstheme="majorBidi"/>
                      <w:color w:val="000000" w:themeColor="text1"/>
                      <w:sz w:val="24"/>
                      <w:szCs w:val="24"/>
                      <w:lang w:bidi="ar-JO"/>
                    </w:rPr>
                  </w:pPr>
                </w:p>
              </w:tc>
              <w:tc>
                <w:tcPr>
                  <w:tcW w:w="1567" w:type="dxa"/>
                  <w:tcBorders>
                    <w:top w:val="single" w:sz="4" w:space="0" w:color="auto"/>
                    <w:left w:val="single" w:sz="4" w:space="0" w:color="auto"/>
                    <w:bottom w:val="single" w:sz="4" w:space="0" w:color="auto"/>
                    <w:right w:val="single" w:sz="4" w:space="0" w:color="auto"/>
                  </w:tcBorders>
                  <w:hideMark/>
                </w:tcPr>
                <w:p w:rsidR="00FB2957" w:rsidRDefault="00FB2957" w:rsidP="009C5795">
                  <w:pPr>
                    <w:framePr w:hSpace="180" w:wrap="around" w:vAnchor="text" w:hAnchor="margin" w:y="126"/>
                    <w:autoSpaceDE w:val="0"/>
                    <w:autoSpaceDN w:val="0"/>
                    <w:jc w:val="center"/>
                    <w:rPr>
                      <w:rFonts w:asciiTheme="majorBidi" w:hAnsiTheme="majorBidi" w:cstheme="majorBidi"/>
                      <w:color w:val="000000" w:themeColor="text1"/>
                      <w:sz w:val="24"/>
                      <w:szCs w:val="24"/>
                      <w:lang w:bidi="ar-JO"/>
                    </w:rPr>
                  </w:pPr>
                  <w:r>
                    <w:rPr>
                      <w:rFonts w:asciiTheme="majorBidi" w:hAnsiTheme="majorBidi" w:cstheme="majorBidi"/>
                      <w:color w:val="000000" w:themeColor="text1"/>
                      <w:sz w:val="24"/>
                      <w:szCs w:val="24"/>
                      <w:lang w:bidi="ar-JO"/>
                    </w:rPr>
                    <w:t xml:space="preserve">The result </w:t>
                  </w:r>
                </w:p>
              </w:tc>
              <w:tc>
                <w:tcPr>
                  <w:tcW w:w="1567" w:type="dxa"/>
                  <w:tcBorders>
                    <w:top w:val="single" w:sz="4" w:space="0" w:color="auto"/>
                    <w:left w:val="single" w:sz="4" w:space="0" w:color="auto"/>
                    <w:bottom w:val="single" w:sz="4" w:space="0" w:color="auto"/>
                    <w:right w:val="single" w:sz="4" w:space="0" w:color="auto"/>
                  </w:tcBorders>
                  <w:hideMark/>
                </w:tcPr>
                <w:p w:rsidR="00FB2957" w:rsidRDefault="00FB2957" w:rsidP="009C5795">
                  <w:pPr>
                    <w:framePr w:hSpace="180" w:wrap="around" w:vAnchor="text" w:hAnchor="margin" w:y="126"/>
                    <w:autoSpaceDE w:val="0"/>
                    <w:autoSpaceDN w:val="0"/>
                    <w:jc w:val="center"/>
                    <w:rPr>
                      <w:rFonts w:asciiTheme="majorBidi" w:hAnsiTheme="majorBidi" w:cstheme="majorBidi"/>
                      <w:color w:val="000000" w:themeColor="text1"/>
                      <w:sz w:val="24"/>
                      <w:szCs w:val="24"/>
                      <w:lang w:bidi="ar-JO"/>
                    </w:rPr>
                  </w:pPr>
                  <w:r>
                    <w:rPr>
                      <w:rFonts w:asciiTheme="majorBidi" w:hAnsiTheme="majorBidi" w:cstheme="majorBidi"/>
                      <w:color w:val="000000" w:themeColor="text1"/>
                      <w:sz w:val="24"/>
                      <w:szCs w:val="24"/>
                      <w:lang w:bidi="ar-JO"/>
                    </w:rPr>
                    <w:t>Year 2016</w:t>
                  </w:r>
                </w:p>
              </w:tc>
              <w:tc>
                <w:tcPr>
                  <w:tcW w:w="1568" w:type="dxa"/>
                  <w:tcBorders>
                    <w:top w:val="single" w:sz="4" w:space="0" w:color="auto"/>
                    <w:left w:val="single" w:sz="4" w:space="0" w:color="auto"/>
                    <w:bottom w:val="single" w:sz="4" w:space="0" w:color="auto"/>
                    <w:right w:val="single" w:sz="4" w:space="0" w:color="auto"/>
                  </w:tcBorders>
                  <w:hideMark/>
                </w:tcPr>
                <w:p w:rsidR="00FB2957" w:rsidRDefault="00FB2957" w:rsidP="009C5795">
                  <w:pPr>
                    <w:framePr w:hSpace="180" w:wrap="around" w:vAnchor="text" w:hAnchor="margin" w:y="126"/>
                    <w:autoSpaceDE w:val="0"/>
                    <w:autoSpaceDN w:val="0"/>
                    <w:jc w:val="center"/>
                    <w:rPr>
                      <w:rFonts w:asciiTheme="majorBidi" w:hAnsiTheme="majorBidi" w:cstheme="majorBidi"/>
                      <w:color w:val="000000" w:themeColor="text1"/>
                      <w:sz w:val="24"/>
                      <w:szCs w:val="24"/>
                      <w:lang w:bidi="ar-JO"/>
                    </w:rPr>
                  </w:pPr>
                  <w:r>
                    <w:rPr>
                      <w:rFonts w:asciiTheme="majorBidi" w:hAnsiTheme="majorBidi" w:cstheme="majorBidi"/>
                      <w:color w:val="000000" w:themeColor="text1"/>
                      <w:sz w:val="24"/>
                      <w:szCs w:val="24"/>
                      <w:lang w:bidi="ar-JO"/>
                    </w:rPr>
                    <w:t>Year 2015</w:t>
                  </w:r>
                </w:p>
              </w:tc>
              <w:tc>
                <w:tcPr>
                  <w:tcW w:w="1568" w:type="dxa"/>
                  <w:tcBorders>
                    <w:top w:val="single" w:sz="4" w:space="0" w:color="auto"/>
                    <w:left w:val="single" w:sz="4" w:space="0" w:color="auto"/>
                    <w:bottom w:val="single" w:sz="4" w:space="0" w:color="auto"/>
                    <w:right w:val="single" w:sz="4" w:space="0" w:color="auto"/>
                  </w:tcBorders>
                  <w:hideMark/>
                </w:tcPr>
                <w:p w:rsidR="00FB2957" w:rsidRDefault="00FB2957" w:rsidP="009C5795">
                  <w:pPr>
                    <w:framePr w:hSpace="180" w:wrap="around" w:vAnchor="text" w:hAnchor="margin" w:y="126"/>
                    <w:autoSpaceDE w:val="0"/>
                    <w:autoSpaceDN w:val="0"/>
                    <w:jc w:val="center"/>
                    <w:rPr>
                      <w:rFonts w:asciiTheme="majorBidi" w:hAnsiTheme="majorBidi" w:cstheme="majorBidi"/>
                      <w:color w:val="000000" w:themeColor="text1"/>
                      <w:sz w:val="24"/>
                      <w:szCs w:val="24"/>
                      <w:lang w:bidi="ar-JO"/>
                    </w:rPr>
                  </w:pPr>
                  <w:r>
                    <w:rPr>
                      <w:rFonts w:asciiTheme="majorBidi" w:hAnsiTheme="majorBidi" w:cstheme="majorBidi"/>
                      <w:color w:val="000000" w:themeColor="text1"/>
                      <w:sz w:val="24"/>
                      <w:szCs w:val="24"/>
                      <w:lang w:bidi="ar-JO"/>
                    </w:rPr>
                    <w:t>Year 2014</w:t>
                  </w:r>
                </w:p>
              </w:tc>
              <w:tc>
                <w:tcPr>
                  <w:tcW w:w="1568" w:type="dxa"/>
                  <w:tcBorders>
                    <w:top w:val="single" w:sz="4" w:space="0" w:color="auto"/>
                    <w:left w:val="single" w:sz="4" w:space="0" w:color="auto"/>
                    <w:bottom w:val="single" w:sz="4" w:space="0" w:color="auto"/>
                    <w:right w:val="single" w:sz="4" w:space="0" w:color="auto"/>
                  </w:tcBorders>
                  <w:hideMark/>
                </w:tcPr>
                <w:p w:rsidR="00FB2957" w:rsidRDefault="00FB2957" w:rsidP="009C5795">
                  <w:pPr>
                    <w:framePr w:hSpace="180" w:wrap="around" w:vAnchor="text" w:hAnchor="margin" w:y="126"/>
                    <w:autoSpaceDE w:val="0"/>
                    <w:autoSpaceDN w:val="0"/>
                    <w:jc w:val="center"/>
                    <w:rPr>
                      <w:rFonts w:asciiTheme="majorBidi" w:hAnsiTheme="majorBidi" w:cstheme="majorBidi"/>
                      <w:color w:val="000000" w:themeColor="text1"/>
                      <w:sz w:val="24"/>
                      <w:szCs w:val="24"/>
                      <w:lang w:bidi="ar-JO"/>
                    </w:rPr>
                  </w:pPr>
                  <w:r>
                    <w:rPr>
                      <w:rFonts w:asciiTheme="majorBidi" w:hAnsiTheme="majorBidi" w:cstheme="majorBidi"/>
                      <w:color w:val="000000" w:themeColor="text1"/>
                      <w:sz w:val="24"/>
                      <w:szCs w:val="24"/>
                      <w:lang w:bidi="ar-JO"/>
                    </w:rPr>
                    <w:t>Year 2013</w:t>
                  </w:r>
                </w:p>
              </w:tc>
            </w:tr>
            <w:tr w:rsidR="00FB2957">
              <w:trPr>
                <w:trHeight w:val="2477"/>
              </w:trPr>
              <w:tc>
                <w:tcPr>
                  <w:tcW w:w="1567" w:type="dxa"/>
                  <w:vMerge w:val="restart"/>
                  <w:tcBorders>
                    <w:top w:val="single" w:sz="4" w:space="0" w:color="auto"/>
                    <w:left w:val="single" w:sz="4" w:space="0" w:color="auto"/>
                    <w:bottom w:val="single" w:sz="4" w:space="0" w:color="auto"/>
                    <w:right w:val="single" w:sz="4" w:space="0" w:color="auto"/>
                  </w:tcBorders>
                  <w:textDirection w:val="tbRl"/>
                  <w:hideMark/>
                </w:tcPr>
                <w:p w:rsidR="00FB2957" w:rsidRDefault="00FB2957" w:rsidP="009C5795">
                  <w:pPr>
                    <w:framePr w:hSpace="180" w:wrap="around" w:vAnchor="text" w:hAnchor="margin" w:y="126"/>
                    <w:autoSpaceDE w:val="0"/>
                    <w:autoSpaceDN w:val="0"/>
                    <w:ind w:left="113" w:right="113"/>
                    <w:jc w:val="center"/>
                    <w:rPr>
                      <w:rFonts w:asciiTheme="majorBidi" w:hAnsiTheme="majorBidi" w:cstheme="majorBidi"/>
                      <w:b/>
                      <w:bCs/>
                      <w:color w:val="000000" w:themeColor="text1"/>
                      <w:sz w:val="24"/>
                      <w:szCs w:val="24"/>
                      <w:lang w:bidi="ar-JO"/>
                    </w:rPr>
                  </w:pPr>
                  <w:r>
                    <w:rPr>
                      <w:rFonts w:asciiTheme="majorBidi" w:hAnsiTheme="majorBidi" w:cstheme="majorBidi"/>
                      <w:b/>
                      <w:bCs/>
                      <w:color w:val="000000" w:themeColor="text1"/>
                      <w:sz w:val="24"/>
                      <w:szCs w:val="24"/>
                      <w:lang w:bidi="ar-JO"/>
                    </w:rPr>
                    <w:t xml:space="preserve">Number of complaints against the different police and security departments </w:t>
                  </w:r>
                </w:p>
              </w:tc>
              <w:tc>
                <w:tcPr>
                  <w:tcW w:w="1567" w:type="dxa"/>
                  <w:tcBorders>
                    <w:top w:val="single" w:sz="4" w:space="0" w:color="auto"/>
                    <w:left w:val="single" w:sz="4" w:space="0" w:color="auto"/>
                    <w:bottom w:val="single" w:sz="4" w:space="0" w:color="auto"/>
                    <w:right w:val="single" w:sz="4" w:space="0" w:color="auto"/>
                  </w:tcBorders>
                  <w:hideMark/>
                </w:tcPr>
                <w:p w:rsidR="00FB2957" w:rsidRDefault="00FB2957" w:rsidP="009C5795">
                  <w:pPr>
                    <w:framePr w:hSpace="180" w:wrap="around" w:vAnchor="text" w:hAnchor="margin" w:y="126"/>
                    <w:autoSpaceDE w:val="0"/>
                    <w:autoSpaceDN w:val="0"/>
                    <w:jc w:val="center"/>
                    <w:rPr>
                      <w:rFonts w:asciiTheme="majorBidi" w:hAnsiTheme="majorBidi" w:cstheme="majorBidi"/>
                      <w:color w:val="000000" w:themeColor="text1"/>
                      <w:sz w:val="24"/>
                      <w:szCs w:val="24"/>
                      <w:lang w:bidi="ar-JO"/>
                    </w:rPr>
                  </w:pPr>
                  <w:r>
                    <w:rPr>
                      <w:rFonts w:asciiTheme="majorBidi" w:hAnsiTheme="majorBidi" w:cstheme="majorBidi"/>
                      <w:color w:val="000000" w:themeColor="text1"/>
                      <w:sz w:val="24"/>
                      <w:szCs w:val="24"/>
                      <w:lang w:bidi="ar-JO"/>
                    </w:rPr>
                    <w:t>Number of complaints kept upon the request of the complainant</w:t>
                  </w:r>
                </w:p>
              </w:tc>
              <w:tc>
                <w:tcPr>
                  <w:tcW w:w="1567" w:type="dxa"/>
                  <w:tcBorders>
                    <w:top w:val="single" w:sz="4" w:space="0" w:color="auto"/>
                    <w:left w:val="single" w:sz="4" w:space="0" w:color="auto"/>
                    <w:bottom w:val="single" w:sz="4" w:space="0" w:color="auto"/>
                    <w:right w:val="single" w:sz="4" w:space="0" w:color="auto"/>
                  </w:tcBorders>
                  <w:hideMark/>
                </w:tcPr>
                <w:p w:rsidR="00FB2957" w:rsidRDefault="00FB2957" w:rsidP="009C5795">
                  <w:pPr>
                    <w:framePr w:hSpace="180" w:wrap="around" w:vAnchor="text" w:hAnchor="margin" w:y="126"/>
                    <w:autoSpaceDE w:val="0"/>
                    <w:autoSpaceDN w:val="0"/>
                    <w:jc w:val="center"/>
                    <w:rPr>
                      <w:rFonts w:asciiTheme="majorBidi" w:hAnsiTheme="majorBidi" w:cstheme="majorBidi"/>
                      <w:color w:val="000000" w:themeColor="text1"/>
                      <w:sz w:val="24"/>
                      <w:szCs w:val="24"/>
                      <w:lang w:bidi="ar-JO"/>
                    </w:rPr>
                  </w:pPr>
                  <w:r>
                    <w:rPr>
                      <w:rFonts w:asciiTheme="majorBidi" w:hAnsiTheme="majorBidi" w:cstheme="majorBidi"/>
                      <w:color w:val="000000" w:themeColor="text1"/>
                      <w:sz w:val="24"/>
                      <w:szCs w:val="24"/>
                      <w:lang w:bidi="ar-JO"/>
                    </w:rPr>
                    <w:t>3</w:t>
                  </w:r>
                </w:p>
              </w:tc>
              <w:tc>
                <w:tcPr>
                  <w:tcW w:w="1568" w:type="dxa"/>
                  <w:tcBorders>
                    <w:top w:val="single" w:sz="4" w:space="0" w:color="auto"/>
                    <w:left w:val="single" w:sz="4" w:space="0" w:color="auto"/>
                    <w:bottom w:val="single" w:sz="4" w:space="0" w:color="auto"/>
                    <w:right w:val="single" w:sz="4" w:space="0" w:color="auto"/>
                  </w:tcBorders>
                  <w:hideMark/>
                </w:tcPr>
                <w:p w:rsidR="00FB2957" w:rsidRDefault="00FB2957" w:rsidP="009C5795">
                  <w:pPr>
                    <w:framePr w:hSpace="180" w:wrap="around" w:vAnchor="text" w:hAnchor="margin" w:y="126"/>
                    <w:autoSpaceDE w:val="0"/>
                    <w:autoSpaceDN w:val="0"/>
                    <w:jc w:val="center"/>
                    <w:rPr>
                      <w:rFonts w:asciiTheme="majorBidi" w:hAnsiTheme="majorBidi" w:cstheme="majorBidi"/>
                      <w:color w:val="000000" w:themeColor="text1"/>
                      <w:sz w:val="24"/>
                      <w:szCs w:val="24"/>
                      <w:lang w:bidi="ar-JO"/>
                    </w:rPr>
                  </w:pPr>
                  <w:r>
                    <w:rPr>
                      <w:rFonts w:asciiTheme="majorBidi" w:hAnsiTheme="majorBidi" w:cstheme="majorBidi"/>
                      <w:color w:val="000000" w:themeColor="text1"/>
                      <w:sz w:val="24"/>
                      <w:szCs w:val="24"/>
                      <w:lang w:bidi="ar-JO"/>
                    </w:rPr>
                    <w:t>22</w:t>
                  </w:r>
                </w:p>
              </w:tc>
              <w:tc>
                <w:tcPr>
                  <w:tcW w:w="1568" w:type="dxa"/>
                  <w:tcBorders>
                    <w:top w:val="single" w:sz="4" w:space="0" w:color="auto"/>
                    <w:left w:val="single" w:sz="4" w:space="0" w:color="auto"/>
                    <w:bottom w:val="single" w:sz="4" w:space="0" w:color="auto"/>
                    <w:right w:val="single" w:sz="4" w:space="0" w:color="auto"/>
                  </w:tcBorders>
                  <w:hideMark/>
                </w:tcPr>
                <w:p w:rsidR="00FB2957" w:rsidRDefault="00FB2957" w:rsidP="009C5795">
                  <w:pPr>
                    <w:framePr w:hSpace="180" w:wrap="around" w:vAnchor="text" w:hAnchor="margin" w:y="126"/>
                    <w:autoSpaceDE w:val="0"/>
                    <w:autoSpaceDN w:val="0"/>
                    <w:jc w:val="center"/>
                    <w:rPr>
                      <w:rFonts w:asciiTheme="majorBidi" w:hAnsiTheme="majorBidi" w:cstheme="majorBidi"/>
                      <w:color w:val="000000" w:themeColor="text1"/>
                      <w:sz w:val="24"/>
                      <w:szCs w:val="24"/>
                      <w:lang w:bidi="ar-JO"/>
                    </w:rPr>
                  </w:pPr>
                  <w:r>
                    <w:rPr>
                      <w:rFonts w:asciiTheme="majorBidi" w:hAnsiTheme="majorBidi" w:cstheme="majorBidi"/>
                      <w:color w:val="000000" w:themeColor="text1"/>
                      <w:sz w:val="24"/>
                      <w:szCs w:val="24"/>
                      <w:lang w:bidi="ar-JO"/>
                    </w:rPr>
                    <w:t>11</w:t>
                  </w:r>
                </w:p>
              </w:tc>
              <w:tc>
                <w:tcPr>
                  <w:tcW w:w="1568" w:type="dxa"/>
                  <w:tcBorders>
                    <w:top w:val="single" w:sz="4" w:space="0" w:color="auto"/>
                    <w:left w:val="single" w:sz="4" w:space="0" w:color="auto"/>
                    <w:bottom w:val="single" w:sz="4" w:space="0" w:color="auto"/>
                    <w:right w:val="single" w:sz="4" w:space="0" w:color="auto"/>
                  </w:tcBorders>
                  <w:hideMark/>
                </w:tcPr>
                <w:p w:rsidR="00FB2957" w:rsidRDefault="00FB2957" w:rsidP="009C5795">
                  <w:pPr>
                    <w:framePr w:hSpace="180" w:wrap="around" w:vAnchor="text" w:hAnchor="margin" w:y="126"/>
                    <w:autoSpaceDE w:val="0"/>
                    <w:autoSpaceDN w:val="0"/>
                    <w:jc w:val="center"/>
                    <w:rPr>
                      <w:rFonts w:asciiTheme="majorBidi" w:hAnsiTheme="majorBidi" w:cstheme="majorBidi"/>
                      <w:color w:val="000000" w:themeColor="text1"/>
                      <w:sz w:val="24"/>
                      <w:szCs w:val="24"/>
                      <w:lang w:bidi="ar-JO"/>
                    </w:rPr>
                  </w:pPr>
                  <w:r>
                    <w:rPr>
                      <w:rFonts w:asciiTheme="majorBidi" w:hAnsiTheme="majorBidi" w:cstheme="majorBidi"/>
                      <w:color w:val="000000" w:themeColor="text1"/>
                      <w:sz w:val="24"/>
                      <w:szCs w:val="24"/>
                      <w:lang w:bidi="ar-JO"/>
                    </w:rPr>
                    <w:t>13</w:t>
                  </w:r>
                </w:p>
              </w:tc>
            </w:tr>
            <w:tr w:rsidR="00FB2957">
              <w:tc>
                <w:tcPr>
                  <w:tcW w:w="9405" w:type="dxa"/>
                  <w:vMerge/>
                  <w:tcBorders>
                    <w:top w:val="single" w:sz="4" w:space="0" w:color="auto"/>
                    <w:left w:val="single" w:sz="4" w:space="0" w:color="auto"/>
                    <w:bottom w:val="single" w:sz="4" w:space="0" w:color="auto"/>
                    <w:right w:val="single" w:sz="4" w:space="0" w:color="auto"/>
                  </w:tcBorders>
                  <w:vAlign w:val="center"/>
                  <w:hideMark/>
                </w:tcPr>
                <w:p w:rsidR="00FB2957" w:rsidRDefault="00FB2957" w:rsidP="009C5795">
                  <w:pPr>
                    <w:framePr w:hSpace="180" w:wrap="around" w:vAnchor="text" w:hAnchor="margin" w:y="126"/>
                    <w:bidi w:val="0"/>
                    <w:rPr>
                      <w:rFonts w:asciiTheme="majorBidi" w:hAnsiTheme="majorBidi" w:cstheme="majorBidi"/>
                      <w:b/>
                      <w:bCs/>
                      <w:color w:val="000000" w:themeColor="text1"/>
                      <w:sz w:val="24"/>
                      <w:szCs w:val="24"/>
                      <w:lang w:bidi="ar-JO"/>
                    </w:rPr>
                  </w:pPr>
                </w:p>
              </w:tc>
              <w:tc>
                <w:tcPr>
                  <w:tcW w:w="1567" w:type="dxa"/>
                  <w:tcBorders>
                    <w:top w:val="single" w:sz="4" w:space="0" w:color="auto"/>
                    <w:left w:val="single" w:sz="4" w:space="0" w:color="auto"/>
                    <w:bottom w:val="single" w:sz="4" w:space="0" w:color="auto"/>
                    <w:right w:val="single" w:sz="4" w:space="0" w:color="auto"/>
                  </w:tcBorders>
                  <w:hideMark/>
                </w:tcPr>
                <w:p w:rsidR="00FB2957" w:rsidRDefault="00FB2957" w:rsidP="009C5795">
                  <w:pPr>
                    <w:framePr w:hSpace="180" w:wrap="around" w:vAnchor="text" w:hAnchor="margin" w:y="126"/>
                    <w:autoSpaceDE w:val="0"/>
                    <w:autoSpaceDN w:val="0"/>
                    <w:jc w:val="center"/>
                    <w:rPr>
                      <w:rFonts w:asciiTheme="majorBidi" w:hAnsiTheme="majorBidi" w:cstheme="majorBidi"/>
                      <w:color w:val="000000" w:themeColor="text1"/>
                      <w:sz w:val="24"/>
                      <w:szCs w:val="24"/>
                      <w:lang w:bidi="ar-JO"/>
                    </w:rPr>
                  </w:pPr>
                  <w:r>
                    <w:rPr>
                      <w:rFonts w:asciiTheme="majorBidi" w:hAnsiTheme="majorBidi" w:cstheme="majorBidi"/>
                      <w:color w:val="000000" w:themeColor="text1"/>
                      <w:sz w:val="24"/>
                      <w:szCs w:val="24"/>
                      <w:lang w:bidi="ar-JO"/>
                    </w:rPr>
                    <w:t xml:space="preserve">Number of complaints closed   for the lack of proof of violation </w:t>
                  </w:r>
                </w:p>
              </w:tc>
              <w:tc>
                <w:tcPr>
                  <w:tcW w:w="1567" w:type="dxa"/>
                  <w:tcBorders>
                    <w:top w:val="single" w:sz="4" w:space="0" w:color="auto"/>
                    <w:left w:val="single" w:sz="4" w:space="0" w:color="auto"/>
                    <w:bottom w:val="single" w:sz="4" w:space="0" w:color="auto"/>
                    <w:right w:val="single" w:sz="4" w:space="0" w:color="auto"/>
                  </w:tcBorders>
                  <w:hideMark/>
                </w:tcPr>
                <w:p w:rsidR="00FB2957" w:rsidRDefault="00FB2957" w:rsidP="009C5795">
                  <w:pPr>
                    <w:framePr w:hSpace="180" w:wrap="around" w:vAnchor="text" w:hAnchor="margin" w:y="126"/>
                    <w:autoSpaceDE w:val="0"/>
                    <w:autoSpaceDN w:val="0"/>
                    <w:jc w:val="center"/>
                    <w:rPr>
                      <w:rFonts w:asciiTheme="majorBidi" w:hAnsiTheme="majorBidi" w:cstheme="majorBidi"/>
                      <w:color w:val="000000" w:themeColor="text1"/>
                      <w:sz w:val="24"/>
                      <w:szCs w:val="24"/>
                      <w:lang w:bidi="ar-JO"/>
                    </w:rPr>
                  </w:pPr>
                  <w:r>
                    <w:rPr>
                      <w:rFonts w:asciiTheme="majorBidi" w:hAnsiTheme="majorBidi" w:cstheme="majorBidi"/>
                      <w:color w:val="000000" w:themeColor="text1"/>
                      <w:sz w:val="24"/>
                      <w:szCs w:val="24"/>
                      <w:lang w:bidi="ar-JO"/>
                    </w:rPr>
                    <w:t>20</w:t>
                  </w:r>
                </w:p>
              </w:tc>
              <w:tc>
                <w:tcPr>
                  <w:tcW w:w="1568" w:type="dxa"/>
                  <w:tcBorders>
                    <w:top w:val="single" w:sz="4" w:space="0" w:color="auto"/>
                    <w:left w:val="single" w:sz="4" w:space="0" w:color="auto"/>
                    <w:bottom w:val="single" w:sz="4" w:space="0" w:color="auto"/>
                    <w:right w:val="single" w:sz="4" w:space="0" w:color="auto"/>
                  </w:tcBorders>
                  <w:hideMark/>
                </w:tcPr>
                <w:p w:rsidR="00FB2957" w:rsidRDefault="00FB2957" w:rsidP="009C5795">
                  <w:pPr>
                    <w:framePr w:hSpace="180" w:wrap="around" w:vAnchor="text" w:hAnchor="margin" w:y="126"/>
                    <w:autoSpaceDE w:val="0"/>
                    <w:autoSpaceDN w:val="0"/>
                    <w:jc w:val="center"/>
                    <w:rPr>
                      <w:rFonts w:asciiTheme="majorBidi" w:hAnsiTheme="majorBidi" w:cstheme="majorBidi"/>
                      <w:color w:val="000000" w:themeColor="text1"/>
                      <w:sz w:val="24"/>
                      <w:szCs w:val="24"/>
                      <w:lang w:bidi="ar-JO"/>
                    </w:rPr>
                  </w:pPr>
                  <w:r>
                    <w:rPr>
                      <w:rFonts w:asciiTheme="majorBidi" w:hAnsiTheme="majorBidi" w:cstheme="majorBidi"/>
                      <w:color w:val="000000" w:themeColor="text1"/>
                      <w:sz w:val="24"/>
                      <w:szCs w:val="24"/>
                      <w:lang w:bidi="ar-JO"/>
                    </w:rPr>
                    <w:t>25</w:t>
                  </w:r>
                </w:p>
              </w:tc>
              <w:tc>
                <w:tcPr>
                  <w:tcW w:w="1568" w:type="dxa"/>
                  <w:tcBorders>
                    <w:top w:val="single" w:sz="4" w:space="0" w:color="auto"/>
                    <w:left w:val="single" w:sz="4" w:space="0" w:color="auto"/>
                    <w:bottom w:val="single" w:sz="4" w:space="0" w:color="auto"/>
                    <w:right w:val="single" w:sz="4" w:space="0" w:color="auto"/>
                  </w:tcBorders>
                  <w:hideMark/>
                </w:tcPr>
                <w:p w:rsidR="00FB2957" w:rsidRDefault="00FB2957" w:rsidP="009C5795">
                  <w:pPr>
                    <w:framePr w:hSpace="180" w:wrap="around" w:vAnchor="text" w:hAnchor="margin" w:y="126"/>
                    <w:autoSpaceDE w:val="0"/>
                    <w:autoSpaceDN w:val="0"/>
                    <w:jc w:val="center"/>
                    <w:rPr>
                      <w:rFonts w:asciiTheme="majorBidi" w:hAnsiTheme="majorBidi" w:cstheme="majorBidi"/>
                      <w:color w:val="000000" w:themeColor="text1"/>
                      <w:sz w:val="24"/>
                      <w:szCs w:val="24"/>
                      <w:lang w:bidi="ar-JO"/>
                    </w:rPr>
                  </w:pPr>
                  <w:r>
                    <w:rPr>
                      <w:rFonts w:asciiTheme="majorBidi" w:hAnsiTheme="majorBidi" w:cstheme="majorBidi"/>
                      <w:color w:val="000000" w:themeColor="text1"/>
                      <w:sz w:val="24"/>
                      <w:szCs w:val="24"/>
                      <w:lang w:bidi="ar-JO"/>
                    </w:rPr>
                    <w:t>14</w:t>
                  </w:r>
                </w:p>
              </w:tc>
              <w:tc>
                <w:tcPr>
                  <w:tcW w:w="1568" w:type="dxa"/>
                  <w:tcBorders>
                    <w:top w:val="single" w:sz="4" w:space="0" w:color="auto"/>
                    <w:left w:val="single" w:sz="4" w:space="0" w:color="auto"/>
                    <w:bottom w:val="single" w:sz="4" w:space="0" w:color="auto"/>
                    <w:right w:val="single" w:sz="4" w:space="0" w:color="auto"/>
                  </w:tcBorders>
                  <w:hideMark/>
                </w:tcPr>
                <w:p w:rsidR="00FB2957" w:rsidRDefault="00FB2957" w:rsidP="009C5795">
                  <w:pPr>
                    <w:framePr w:hSpace="180" w:wrap="around" w:vAnchor="text" w:hAnchor="margin" w:y="126"/>
                    <w:autoSpaceDE w:val="0"/>
                    <w:autoSpaceDN w:val="0"/>
                    <w:jc w:val="center"/>
                    <w:rPr>
                      <w:rFonts w:asciiTheme="majorBidi" w:hAnsiTheme="majorBidi" w:cstheme="majorBidi"/>
                      <w:color w:val="000000" w:themeColor="text1"/>
                      <w:sz w:val="24"/>
                      <w:szCs w:val="24"/>
                      <w:lang w:bidi="ar-JO"/>
                    </w:rPr>
                  </w:pPr>
                  <w:r>
                    <w:rPr>
                      <w:rFonts w:asciiTheme="majorBidi" w:hAnsiTheme="majorBidi" w:cstheme="majorBidi"/>
                      <w:color w:val="000000" w:themeColor="text1"/>
                      <w:sz w:val="24"/>
                      <w:szCs w:val="24"/>
                      <w:lang w:bidi="ar-JO"/>
                    </w:rPr>
                    <w:t>15</w:t>
                  </w:r>
                </w:p>
              </w:tc>
            </w:tr>
            <w:tr w:rsidR="00FB2957">
              <w:tc>
                <w:tcPr>
                  <w:tcW w:w="9405" w:type="dxa"/>
                  <w:vMerge/>
                  <w:tcBorders>
                    <w:top w:val="single" w:sz="4" w:space="0" w:color="auto"/>
                    <w:left w:val="single" w:sz="4" w:space="0" w:color="auto"/>
                    <w:bottom w:val="single" w:sz="4" w:space="0" w:color="auto"/>
                    <w:right w:val="single" w:sz="4" w:space="0" w:color="auto"/>
                  </w:tcBorders>
                  <w:vAlign w:val="center"/>
                  <w:hideMark/>
                </w:tcPr>
                <w:p w:rsidR="00FB2957" w:rsidRDefault="00FB2957" w:rsidP="009C5795">
                  <w:pPr>
                    <w:framePr w:hSpace="180" w:wrap="around" w:vAnchor="text" w:hAnchor="margin" w:y="126"/>
                    <w:bidi w:val="0"/>
                    <w:rPr>
                      <w:rFonts w:asciiTheme="majorBidi" w:hAnsiTheme="majorBidi" w:cstheme="majorBidi"/>
                      <w:b/>
                      <w:bCs/>
                      <w:color w:val="000000" w:themeColor="text1"/>
                      <w:sz w:val="24"/>
                      <w:szCs w:val="24"/>
                      <w:lang w:bidi="ar-JO"/>
                    </w:rPr>
                  </w:pPr>
                </w:p>
              </w:tc>
              <w:tc>
                <w:tcPr>
                  <w:tcW w:w="1567" w:type="dxa"/>
                  <w:tcBorders>
                    <w:top w:val="single" w:sz="4" w:space="0" w:color="auto"/>
                    <w:left w:val="single" w:sz="4" w:space="0" w:color="auto"/>
                    <w:bottom w:val="single" w:sz="4" w:space="0" w:color="auto"/>
                    <w:right w:val="single" w:sz="4" w:space="0" w:color="auto"/>
                  </w:tcBorders>
                </w:tcPr>
                <w:p w:rsidR="00FB2957" w:rsidRDefault="00FB2957" w:rsidP="009C5795">
                  <w:pPr>
                    <w:framePr w:hSpace="180" w:wrap="around" w:vAnchor="text" w:hAnchor="margin" w:y="126"/>
                    <w:autoSpaceDE w:val="0"/>
                    <w:autoSpaceDN w:val="0"/>
                    <w:jc w:val="center"/>
                    <w:rPr>
                      <w:rFonts w:asciiTheme="majorBidi" w:hAnsiTheme="majorBidi" w:cstheme="majorBidi"/>
                      <w:color w:val="000000" w:themeColor="text1"/>
                      <w:sz w:val="24"/>
                      <w:szCs w:val="24"/>
                      <w:lang w:bidi="ar-JO"/>
                    </w:rPr>
                  </w:pPr>
                </w:p>
              </w:tc>
              <w:tc>
                <w:tcPr>
                  <w:tcW w:w="1567" w:type="dxa"/>
                  <w:tcBorders>
                    <w:top w:val="single" w:sz="4" w:space="0" w:color="auto"/>
                    <w:left w:val="single" w:sz="4" w:space="0" w:color="auto"/>
                    <w:bottom w:val="single" w:sz="4" w:space="0" w:color="auto"/>
                    <w:right w:val="single" w:sz="4" w:space="0" w:color="auto"/>
                  </w:tcBorders>
                  <w:hideMark/>
                </w:tcPr>
                <w:p w:rsidR="00FB2957" w:rsidRDefault="00FB2957" w:rsidP="009C5795">
                  <w:pPr>
                    <w:framePr w:hSpace="180" w:wrap="around" w:vAnchor="text" w:hAnchor="margin" w:y="126"/>
                    <w:autoSpaceDE w:val="0"/>
                    <w:autoSpaceDN w:val="0"/>
                    <w:jc w:val="center"/>
                    <w:rPr>
                      <w:rFonts w:asciiTheme="majorBidi" w:hAnsiTheme="majorBidi" w:cstheme="majorBidi"/>
                      <w:color w:val="000000" w:themeColor="text1"/>
                      <w:sz w:val="24"/>
                      <w:szCs w:val="24"/>
                      <w:lang w:bidi="ar-JO"/>
                    </w:rPr>
                  </w:pPr>
                  <w:r>
                    <w:rPr>
                      <w:rFonts w:asciiTheme="majorBidi" w:hAnsiTheme="majorBidi" w:cstheme="majorBidi"/>
                      <w:color w:val="000000" w:themeColor="text1"/>
                      <w:sz w:val="24"/>
                      <w:szCs w:val="24"/>
                      <w:lang w:bidi="ar-JO"/>
                    </w:rPr>
                    <w:t>1</w:t>
                  </w:r>
                </w:p>
              </w:tc>
              <w:tc>
                <w:tcPr>
                  <w:tcW w:w="1568" w:type="dxa"/>
                  <w:tcBorders>
                    <w:top w:val="single" w:sz="4" w:space="0" w:color="auto"/>
                    <w:left w:val="single" w:sz="4" w:space="0" w:color="auto"/>
                    <w:bottom w:val="single" w:sz="4" w:space="0" w:color="auto"/>
                    <w:right w:val="single" w:sz="4" w:space="0" w:color="auto"/>
                  </w:tcBorders>
                  <w:hideMark/>
                </w:tcPr>
                <w:p w:rsidR="00FB2957" w:rsidRDefault="00FB2957" w:rsidP="009C5795">
                  <w:pPr>
                    <w:framePr w:hSpace="180" w:wrap="around" w:vAnchor="text" w:hAnchor="margin" w:y="126"/>
                    <w:autoSpaceDE w:val="0"/>
                    <w:autoSpaceDN w:val="0"/>
                    <w:jc w:val="center"/>
                    <w:rPr>
                      <w:rFonts w:asciiTheme="majorBidi" w:hAnsiTheme="majorBidi" w:cstheme="majorBidi"/>
                      <w:color w:val="000000" w:themeColor="text1"/>
                      <w:sz w:val="24"/>
                      <w:szCs w:val="24"/>
                      <w:lang w:bidi="ar-JO"/>
                    </w:rPr>
                  </w:pPr>
                  <w:r>
                    <w:rPr>
                      <w:rFonts w:asciiTheme="majorBidi" w:hAnsiTheme="majorBidi" w:cstheme="majorBidi"/>
                      <w:color w:val="000000" w:themeColor="text1"/>
                      <w:sz w:val="24"/>
                      <w:szCs w:val="24"/>
                      <w:lang w:bidi="ar-JO"/>
                    </w:rPr>
                    <w:t>2</w:t>
                  </w:r>
                </w:p>
              </w:tc>
              <w:tc>
                <w:tcPr>
                  <w:tcW w:w="1568" w:type="dxa"/>
                  <w:tcBorders>
                    <w:top w:val="single" w:sz="4" w:space="0" w:color="auto"/>
                    <w:left w:val="single" w:sz="4" w:space="0" w:color="auto"/>
                    <w:bottom w:val="single" w:sz="4" w:space="0" w:color="auto"/>
                    <w:right w:val="single" w:sz="4" w:space="0" w:color="auto"/>
                  </w:tcBorders>
                  <w:hideMark/>
                </w:tcPr>
                <w:p w:rsidR="00FB2957" w:rsidRDefault="00FB2957" w:rsidP="009C5795">
                  <w:pPr>
                    <w:framePr w:hSpace="180" w:wrap="around" w:vAnchor="text" w:hAnchor="margin" w:y="126"/>
                    <w:autoSpaceDE w:val="0"/>
                    <w:autoSpaceDN w:val="0"/>
                    <w:jc w:val="center"/>
                    <w:rPr>
                      <w:rFonts w:asciiTheme="majorBidi" w:hAnsiTheme="majorBidi" w:cstheme="majorBidi"/>
                      <w:color w:val="000000" w:themeColor="text1"/>
                      <w:sz w:val="24"/>
                      <w:szCs w:val="24"/>
                      <w:lang w:bidi="ar-JO"/>
                    </w:rPr>
                  </w:pPr>
                  <w:r>
                    <w:rPr>
                      <w:rFonts w:asciiTheme="majorBidi" w:hAnsiTheme="majorBidi" w:cstheme="majorBidi"/>
                      <w:color w:val="000000" w:themeColor="text1"/>
                      <w:sz w:val="24"/>
                      <w:szCs w:val="24"/>
                      <w:lang w:bidi="ar-JO"/>
                    </w:rPr>
                    <w:t>-</w:t>
                  </w:r>
                </w:p>
              </w:tc>
              <w:tc>
                <w:tcPr>
                  <w:tcW w:w="1568" w:type="dxa"/>
                  <w:tcBorders>
                    <w:top w:val="single" w:sz="4" w:space="0" w:color="auto"/>
                    <w:left w:val="single" w:sz="4" w:space="0" w:color="auto"/>
                    <w:bottom w:val="single" w:sz="4" w:space="0" w:color="auto"/>
                    <w:right w:val="single" w:sz="4" w:space="0" w:color="auto"/>
                  </w:tcBorders>
                  <w:hideMark/>
                </w:tcPr>
                <w:p w:rsidR="00FB2957" w:rsidRDefault="00FB2957" w:rsidP="009C5795">
                  <w:pPr>
                    <w:framePr w:hSpace="180" w:wrap="around" w:vAnchor="text" w:hAnchor="margin" w:y="126"/>
                    <w:autoSpaceDE w:val="0"/>
                    <w:autoSpaceDN w:val="0"/>
                    <w:jc w:val="center"/>
                    <w:rPr>
                      <w:rFonts w:asciiTheme="majorBidi" w:hAnsiTheme="majorBidi" w:cstheme="majorBidi"/>
                      <w:color w:val="000000" w:themeColor="text1"/>
                      <w:sz w:val="24"/>
                      <w:szCs w:val="24"/>
                      <w:lang w:bidi="ar-JO"/>
                    </w:rPr>
                  </w:pPr>
                  <w:r>
                    <w:rPr>
                      <w:rFonts w:asciiTheme="majorBidi" w:hAnsiTheme="majorBidi" w:cstheme="majorBidi"/>
                      <w:color w:val="000000" w:themeColor="text1"/>
                      <w:sz w:val="24"/>
                      <w:szCs w:val="24"/>
                      <w:lang w:bidi="ar-JO"/>
                    </w:rPr>
                    <w:t>1</w:t>
                  </w:r>
                </w:p>
              </w:tc>
            </w:tr>
            <w:tr w:rsidR="00FB2957">
              <w:tc>
                <w:tcPr>
                  <w:tcW w:w="9405" w:type="dxa"/>
                  <w:vMerge/>
                  <w:tcBorders>
                    <w:top w:val="single" w:sz="4" w:space="0" w:color="auto"/>
                    <w:left w:val="single" w:sz="4" w:space="0" w:color="auto"/>
                    <w:bottom w:val="single" w:sz="4" w:space="0" w:color="auto"/>
                    <w:right w:val="single" w:sz="4" w:space="0" w:color="auto"/>
                  </w:tcBorders>
                  <w:vAlign w:val="center"/>
                  <w:hideMark/>
                </w:tcPr>
                <w:p w:rsidR="00FB2957" w:rsidRDefault="00FB2957" w:rsidP="009C5795">
                  <w:pPr>
                    <w:framePr w:hSpace="180" w:wrap="around" w:vAnchor="text" w:hAnchor="margin" w:y="126"/>
                    <w:bidi w:val="0"/>
                    <w:rPr>
                      <w:rFonts w:asciiTheme="majorBidi" w:hAnsiTheme="majorBidi" w:cstheme="majorBidi"/>
                      <w:b/>
                      <w:bCs/>
                      <w:color w:val="000000" w:themeColor="text1"/>
                      <w:sz w:val="24"/>
                      <w:szCs w:val="24"/>
                      <w:lang w:bidi="ar-JO"/>
                    </w:rPr>
                  </w:pPr>
                </w:p>
              </w:tc>
              <w:tc>
                <w:tcPr>
                  <w:tcW w:w="1567" w:type="dxa"/>
                  <w:tcBorders>
                    <w:top w:val="single" w:sz="4" w:space="0" w:color="auto"/>
                    <w:left w:val="single" w:sz="4" w:space="0" w:color="auto"/>
                    <w:bottom w:val="single" w:sz="4" w:space="0" w:color="auto"/>
                    <w:right w:val="single" w:sz="4" w:space="0" w:color="auto"/>
                  </w:tcBorders>
                  <w:hideMark/>
                </w:tcPr>
                <w:p w:rsidR="00FB2957" w:rsidRDefault="00FB2957" w:rsidP="009C5795">
                  <w:pPr>
                    <w:framePr w:hSpace="180" w:wrap="around" w:vAnchor="text" w:hAnchor="margin" w:y="126"/>
                    <w:autoSpaceDE w:val="0"/>
                    <w:autoSpaceDN w:val="0"/>
                    <w:jc w:val="center"/>
                    <w:rPr>
                      <w:rFonts w:asciiTheme="majorBidi" w:hAnsiTheme="majorBidi" w:cstheme="majorBidi"/>
                      <w:color w:val="000000" w:themeColor="text1"/>
                      <w:sz w:val="24"/>
                      <w:szCs w:val="24"/>
                      <w:lang w:bidi="ar-JO"/>
                    </w:rPr>
                  </w:pPr>
                  <w:r>
                    <w:rPr>
                      <w:rFonts w:asciiTheme="majorBidi" w:hAnsiTheme="majorBidi" w:cstheme="majorBidi"/>
                      <w:color w:val="000000" w:themeColor="text1"/>
                      <w:sz w:val="24"/>
                      <w:szCs w:val="24"/>
                      <w:lang w:bidi="ar-JO"/>
                    </w:rPr>
                    <w:t xml:space="preserve">Number of complaints referred to the Police Court </w:t>
                  </w:r>
                </w:p>
              </w:tc>
              <w:tc>
                <w:tcPr>
                  <w:tcW w:w="1567" w:type="dxa"/>
                  <w:tcBorders>
                    <w:top w:val="single" w:sz="4" w:space="0" w:color="auto"/>
                    <w:left w:val="single" w:sz="4" w:space="0" w:color="auto"/>
                    <w:bottom w:val="single" w:sz="4" w:space="0" w:color="auto"/>
                    <w:right w:val="single" w:sz="4" w:space="0" w:color="auto"/>
                  </w:tcBorders>
                  <w:hideMark/>
                </w:tcPr>
                <w:p w:rsidR="00FB2957" w:rsidRDefault="00FB2957" w:rsidP="009C5795">
                  <w:pPr>
                    <w:framePr w:hSpace="180" w:wrap="around" w:vAnchor="text" w:hAnchor="margin" w:y="126"/>
                    <w:autoSpaceDE w:val="0"/>
                    <w:autoSpaceDN w:val="0"/>
                    <w:jc w:val="center"/>
                    <w:rPr>
                      <w:rFonts w:asciiTheme="majorBidi" w:hAnsiTheme="majorBidi" w:cstheme="majorBidi"/>
                      <w:color w:val="000000" w:themeColor="text1"/>
                      <w:sz w:val="24"/>
                      <w:szCs w:val="24"/>
                      <w:lang w:bidi="ar-JO"/>
                    </w:rPr>
                  </w:pPr>
                  <w:r>
                    <w:rPr>
                      <w:rFonts w:asciiTheme="majorBidi" w:hAnsiTheme="majorBidi" w:cstheme="majorBidi"/>
                      <w:color w:val="000000" w:themeColor="text1"/>
                      <w:sz w:val="24"/>
                      <w:szCs w:val="24"/>
                      <w:lang w:bidi="ar-JO"/>
                    </w:rPr>
                    <w:t>40</w:t>
                  </w:r>
                </w:p>
              </w:tc>
              <w:tc>
                <w:tcPr>
                  <w:tcW w:w="1568" w:type="dxa"/>
                  <w:tcBorders>
                    <w:top w:val="single" w:sz="4" w:space="0" w:color="auto"/>
                    <w:left w:val="single" w:sz="4" w:space="0" w:color="auto"/>
                    <w:bottom w:val="single" w:sz="4" w:space="0" w:color="auto"/>
                    <w:right w:val="single" w:sz="4" w:space="0" w:color="auto"/>
                  </w:tcBorders>
                  <w:hideMark/>
                </w:tcPr>
                <w:p w:rsidR="00FB2957" w:rsidRDefault="00FB2957" w:rsidP="009C5795">
                  <w:pPr>
                    <w:framePr w:hSpace="180" w:wrap="around" w:vAnchor="text" w:hAnchor="margin" w:y="126"/>
                    <w:autoSpaceDE w:val="0"/>
                    <w:autoSpaceDN w:val="0"/>
                    <w:jc w:val="center"/>
                    <w:rPr>
                      <w:rFonts w:asciiTheme="majorBidi" w:hAnsiTheme="majorBidi" w:cstheme="majorBidi"/>
                      <w:color w:val="000000" w:themeColor="text1"/>
                      <w:sz w:val="24"/>
                      <w:szCs w:val="24"/>
                      <w:lang w:bidi="ar-JO"/>
                    </w:rPr>
                  </w:pPr>
                  <w:r>
                    <w:rPr>
                      <w:rFonts w:asciiTheme="majorBidi" w:hAnsiTheme="majorBidi" w:cstheme="majorBidi"/>
                      <w:color w:val="000000" w:themeColor="text1"/>
                      <w:sz w:val="24"/>
                      <w:szCs w:val="24"/>
                      <w:lang w:bidi="ar-JO"/>
                    </w:rPr>
                    <w:t>43</w:t>
                  </w:r>
                </w:p>
              </w:tc>
              <w:tc>
                <w:tcPr>
                  <w:tcW w:w="1568" w:type="dxa"/>
                  <w:tcBorders>
                    <w:top w:val="single" w:sz="4" w:space="0" w:color="auto"/>
                    <w:left w:val="single" w:sz="4" w:space="0" w:color="auto"/>
                    <w:bottom w:val="single" w:sz="4" w:space="0" w:color="auto"/>
                    <w:right w:val="single" w:sz="4" w:space="0" w:color="auto"/>
                  </w:tcBorders>
                  <w:hideMark/>
                </w:tcPr>
                <w:p w:rsidR="00FB2957" w:rsidRDefault="00FB2957" w:rsidP="009C5795">
                  <w:pPr>
                    <w:framePr w:hSpace="180" w:wrap="around" w:vAnchor="text" w:hAnchor="margin" w:y="126"/>
                    <w:autoSpaceDE w:val="0"/>
                    <w:autoSpaceDN w:val="0"/>
                    <w:jc w:val="center"/>
                    <w:rPr>
                      <w:rFonts w:asciiTheme="majorBidi" w:hAnsiTheme="majorBidi" w:cstheme="majorBidi"/>
                      <w:color w:val="000000" w:themeColor="text1"/>
                      <w:sz w:val="24"/>
                      <w:szCs w:val="24"/>
                      <w:lang w:bidi="ar-JO"/>
                    </w:rPr>
                  </w:pPr>
                  <w:r>
                    <w:rPr>
                      <w:rFonts w:asciiTheme="majorBidi" w:hAnsiTheme="majorBidi" w:cstheme="majorBidi"/>
                      <w:color w:val="000000" w:themeColor="text1"/>
                      <w:sz w:val="24"/>
                      <w:szCs w:val="24"/>
                      <w:lang w:bidi="ar-JO"/>
                    </w:rPr>
                    <w:t>62</w:t>
                  </w:r>
                </w:p>
              </w:tc>
              <w:tc>
                <w:tcPr>
                  <w:tcW w:w="1568" w:type="dxa"/>
                  <w:tcBorders>
                    <w:top w:val="single" w:sz="4" w:space="0" w:color="auto"/>
                    <w:left w:val="single" w:sz="4" w:space="0" w:color="auto"/>
                    <w:bottom w:val="single" w:sz="4" w:space="0" w:color="auto"/>
                    <w:right w:val="single" w:sz="4" w:space="0" w:color="auto"/>
                  </w:tcBorders>
                  <w:hideMark/>
                </w:tcPr>
                <w:p w:rsidR="00FB2957" w:rsidRDefault="00FB2957" w:rsidP="009C5795">
                  <w:pPr>
                    <w:framePr w:hSpace="180" w:wrap="around" w:vAnchor="text" w:hAnchor="margin" w:y="126"/>
                    <w:autoSpaceDE w:val="0"/>
                    <w:autoSpaceDN w:val="0"/>
                    <w:jc w:val="center"/>
                    <w:rPr>
                      <w:rFonts w:asciiTheme="majorBidi" w:hAnsiTheme="majorBidi" w:cstheme="majorBidi"/>
                      <w:color w:val="000000" w:themeColor="text1"/>
                      <w:sz w:val="24"/>
                      <w:szCs w:val="24"/>
                      <w:lang w:bidi="ar-JO"/>
                    </w:rPr>
                  </w:pPr>
                  <w:r>
                    <w:rPr>
                      <w:rFonts w:asciiTheme="majorBidi" w:hAnsiTheme="majorBidi" w:cstheme="majorBidi"/>
                      <w:color w:val="000000" w:themeColor="text1"/>
                      <w:sz w:val="24"/>
                      <w:szCs w:val="24"/>
                      <w:lang w:bidi="ar-JO"/>
                    </w:rPr>
                    <w:t>48</w:t>
                  </w:r>
                </w:p>
              </w:tc>
            </w:tr>
            <w:tr w:rsidR="00FB2957">
              <w:tc>
                <w:tcPr>
                  <w:tcW w:w="9405" w:type="dxa"/>
                  <w:vMerge/>
                  <w:tcBorders>
                    <w:top w:val="single" w:sz="4" w:space="0" w:color="auto"/>
                    <w:left w:val="single" w:sz="4" w:space="0" w:color="auto"/>
                    <w:bottom w:val="single" w:sz="4" w:space="0" w:color="auto"/>
                    <w:right w:val="single" w:sz="4" w:space="0" w:color="auto"/>
                  </w:tcBorders>
                  <w:vAlign w:val="center"/>
                  <w:hideMark/>
                </w:tcPr>
                <w:p w:rsidR="00FB2957" w:rsidRDefault="00FB2957" w:rsidP="009C5795">
                  <w:pPr>
                    <w:framePr w:hSpace="180" w:wrap="around" w:vAnchor="text" w:hAnchor="margin" w:y="126"/>
                    <w:bidi w:val="0"/>
                    <w:rPr>
                      <w:rFonts w:asciiTheme="majorBidi" w:hAnsiTheme="majorBidi" w:cstheme="majorBidi"/>
                      <w:b/>
                      <w:bCs/>
                      <w:color w:val="000000" w:themeColor="text1"/>
                      <w:sz w:val="24"/>
                      <w:szCs w:val="24"/>
                      <w:lang w:bidi="ar-JO"/>
                    </w:rPr>
                  </w:pPr>
                </w:p>
              </w:tc>
              <w:tc>
                <w:tcPr>
                  <w:tcW w:w="1567" w:type="dxa"/>
                  <w:tcBorders>
                    <w:top w:val="single" w:sz="4" w:space="0" w:color="auto"/>
                    <w:left w:val="single" w:sz="4" w:space="0" w:color="auto"/>
                    <w:bottom w:val="single" w:sz="4" w:space="0" w:color="auto"/>
                    <w:right w:val="single" w:sz="4" w:space="0" w:color="auto"/>
                  </w:tcBorders>
                  <w:hideMark/>
                </w:tcPr>
                <w:p w:rsidR="00FB2957" w:rsidRDefault="00FB2957" w:rsidP="009C5795">
                  <w:pPr>
                    <w:framePr w:hSpace="180" w:wrap="around" w:vAnchor="text" w:hAnchor="margin" w:y="126"/>
                    <w:autoSpaceDE w:val="0"/>
                    <w:autoSpaceDN w:val="0"/>
                    <w:jc w:val="center"/>
                    <w:rPr>
                      <w:rFonts w:asciiTheme="majorBidi" w:hAnsiTheme="majorBidi" w:cstheme="majorBidi"/>
                      <w:color w:val="000000" w:themeColor="text1"/>
                      <w:sz w:val="24"/>
                      <w:szCs w:val="24"/>
                      <w:lang w:bidi="ar-JO"/>
                    </w:rPr>
                  </w:pPr>
                  <w:r>
                    <w:rPr>
                      <w:rFonts w:asciiTheme="majorBidi" w:hAnsiTheme="majorBidi" w:cstheme="majorBidi"/>
                      <w:color w:val="000000" w:themeColor="text1"/>
                      <w:sz w:val="24"/>
                      <w:szCs w:val="24"/>
                      <w:lang w:bidi="ar-JO"/>
                    </w:rPr>
                    <w:t>Number of complaints under consideration</w:t>
                  </w:r>
                </w:p>
              </w:tc>
              <w:tc>
                <w:tcPr>
                  <w:tcW w:w="1567" w:type="dxa"/>
                  <w:tcBorders>
                    <w:top w:val="single" w:sz="4" w:space="0" w:color="auto"/>
                    <w:left w:val="single" w:sz="4" w:space="0" w:color="auto"/>
                    <w:bottom w:val="single" w:sz="4" w:space="0" w:color="auto"/>
                    <w:right w:val="single" w:sz="4" w:space="0" w:color="auto"/>
                  </w:tcBorders>
                  <w:hideMark/>
                </w:tcPr>
                <w:p w:rsidR="00FB2957" w:rsidRDefault="00FB2957" w:rsidP="009C5795">
                  <w:pPr>
                    <w:framePr w:hSpace="180" w:wrap="around" w:vAnchor="text" w:hAnchor="margin" w:y="126"/>
                    <w:autoSpaceDE w:val="0"/>
                    <w:autoSpaceDN w:val="0"/>
                    <w:jc w:val="center"/>
                    <w:rPr>
                      <w:rFonts w:asciiTheme="majorBidi" w:hAnsiTheme="majorBidi" w:cstheme="majorBidi"/>
                      <w:color w:val="000000" w:themeColor="text1"/>
                      <w:sz w:val="24"/>
                      <w:szCs w:val="24"/>
                      <w:lang w:bidi="ar-JO"/>
                    </w:rPr>
                  </w:pPr>
                  <w:r>
                    <w:rPr>
                      <w:rFonts w:asciiTheme="majorBidi" w:hAnsiTheme="majorBidi" w:cstheme="majorBidi"/>
                      <w:color w:val="000000" w:themeColor="text1"/>
                      <w:sz w:val="24"/>
                      <w:szCs w:val="24"/>
                      <w:lang w:bidi="ar-JO"/>
                    </w:rPr>
                    <w:t>63</w:t>
                  </w:r>
                </w:p>
              </w:tc>
              <w:tc>
                <w:tcPr>
                  <w:tcW w:w="1568" w:type="dxa"/>
                  <w:tcBorders>
                    <w:top w:val="single" w:sz="4" w:space="0" w:color="auto"/>
                    <w:left w:val="single" w:sz="4" w:space="0" w:color="auto"/>
                    <w:bottom w:val="single" w:sz="4" w:space="0" w:color="auto"/>
                    <w:right w:val="single" w:sz="4" w:space="0" w:color="auto"/>
                  </w:tcBorders>
                  <w:hideMark/>
                </w:tcPr>
                <w:p w:rsidR="00FB2957" w:rsidRDefault="00FB2957" w:rsidP="009C5795">
                  <w:pPr>
                    <w:framePr w:hSpace="180" w:wrap="around" w:vAnchor="text" w:hAnchor="margin" w:y="126"/>
                    <w:autoSpaceDE w:val="0"/>
                    <w:autoSpaceDN w:val="0"/>
                    <w:jc w:val="center"/>
                    <w:rPr>
                      <w:rFonts w:asciiTheme="majorBidi" w:hAnsiTheme="majorBidi" w:cstheme="majorBidi"/>
                      <w:color w:val="000000" w:themeColor="text1"/>
                      <w:sz w:val="24"/>
                      <w:szCs w:val="24"/>
                      <w:lang w:bidi="ar-JO"/>
                    </w:rPr>
                  </w:pPr>
                  <w:r>
                    <w:rPr>
                      <w:rFonts w:asciiTheme="majorBidi" w:hAnsiTheme="majorBidi" w:cstheme="majorBidi"/>
                      <w:color w:val="000000" w:themeColor="text1"/>
                      <w:sz w:val="24"/>
                      <w:szCs w:val="24"/>
                      <w:lang w:bidi="ar-JO"/>
                    </w:rPr>
                    <w:t>92</w:t>
                  </w:r>
                </w:p>
              </w:tc>
              <w:tc>
                <w:tcPr>
                  <w:tcW w:w="1568" w:type="dxa"/>
                  <w:tcBorders>
                    <w:top w:val="single" w:sz="4" w:space="0" w:color="auto"/>
                    <w:left w:val="single" w:sz="4" w:space="0" w:color="auto"/>
                    <w:bottom w:val="single" w:sz="4" w:space="0" w:color="auto"/>
                    <w:right w:val="single" w:sz="4" w:space="0" w:color="auto"/>
                  </w:tcBorders>
                  <w:hideMark/>
                </w:tcPr>
                <w:p w:rsidR="00FB2957" w:rsidRDefault="00FB2957" w:rsidP="009C5795">
                  <w:pPr>
                    <w:framePr w:hSpace="180" w:wrap="around" w:vAnchor="text" w:hAnchor="margin" w:y="126"/>
                    <w:autoSpaceDE w:val="0"/>
                    <w:autoSpaceDN w:val="0"/>
                    <w:jc w:val="center"/>
                    <w:rPr>
                      <w:rFonts w:asciiTheme="majorBidi" w:hAnsiTheme="majorBidi" w:cstheme="majorBidi"/>
                      <w:color w:val="000000" w:themeColor="text1"/>
                      <w:sz w:val="24"/>
                      <w:szCs w:val="24"/>
                      <w:lang w:bidi="ar-JO"/>
                    </w:rPr>
                  </w:pPr>
                  <w:r>
                    <w:rPr>
                      <w:rFonts w:asciiTheme="majorBidi" w:hAnsiTheme="majorBidi" w:cstheme="majorBidi"/>
                      <w:color w:val="000000" w:themeColor="text1"/>
                      <w:sz w:val="24"/>
                      <w:szCs w:val="24"/>
                      <w:lang w:bidi="ar-JO"/>
                    </w:rPr>
                    <w:t>87</w:t>
                  </w:r>
                </w:p>
              </w:tc>
              <w:tc>
                <w:tcPr>
                  <w:tcW w:w="1568" w:type="dxa"/>
                  <w:tcBorders>
                    <w:top w:val="single" w:sz="4" w:space="0" w:color="auto"/>
                    <w:left w:val="single" w:sz="4" w:space="0" w:color="auto"/>
                    <w:bottom w:val="single" w:sz="4" w:space="0" w:color="auto"/>
                    <w:right w:val="single" w:sz="4" w:space="0" w:color="auto"/>
                  </w:tcBorders>
                  <w:hideMark/>
                </w:tcPr>
                <w:p w:rsidR="00FB2957" w:rsidRDefault="00FB2957" w:rsidP="009C5795">
                  <w:pPr>
                    <w:framePr w:hSpace="180" w:wrap="around" w:vAnchor="text" w:hAnchor="margin" w:y="126"/>
                    <w:autoSpaceDE w:val="0"/>
                    <w:autoSpaceDN w:val="0"/>
                    <w:jc w:val="center"/>
                    <w:rPr>
                      <w:rFonts w:asciiTheme="majorBidi" w:hAnsiTheme="majorBidi" w:cstheme="majorBidi"/>
                      <w:color w:val="000000" w:themeColor="text1"/>
                      <w:sz w:val="24"/>
                      <w:szCs w:val="24"/>
                      <w:lang w:bidi="ar-JO"/>
                    </w:rPr>
                  </w:pPr>
                  <w:r>
                    <w:rPr>
                      <w:rFonts w:asciiTheme="majorBidi" w:hAnsiTheme="majorBidi" w:cstheme="majorBidi"/>
                      <w:color w:val="000000" w:themeColor="text1"/>
                      <w:sz w:val="24"/>
                      <w:szCs w:val="24"/>
                      <w:lang w:bidi="ar-JO"/>
                    </w:rPr>
                    <w:t>77</w:t>
                  </w:r>
                </w:p>
              </w:tc>
            </w:tr>
            <w:tr w:rsidR="00FB2957">
              <w:tc>
                <w:tcPr>
                  <w:tcW w:w="1567" w:type="dxa"/>
                  <w:tcBorders>
                    <w:top w:val="single" w:sz="4" w:space="0" w:color="auto"/>
                    <w:left w:val="single" w:sz="4" w:space="0" w:color="auto"/>
                    <w:bottom w:val="single" w:sz="4" w:space="0" w:color="auto"/>
                    <w:right w:val="single" w:sz="4" w:space="0" w:color="auto"/>
                  </w:tcBorders>
                </w:tcPr>
                <w:p w:rsidR="00FB2957" w:rsidRDefault="00FB2957" w:rsidP="009C5795">
                  <w:pPr>
                    <w:framePr w:hSpace="180" w:wrap="around" w:vAnchor="text" w:hAnchor="margin" w:y="126"/>
                    <w:autoSpaceDE w:val="0"/>
                    <w:autoSpaceDN w:val="0"/>
                    <w:jc w:val="center"/>
                    <w:rPr>
                      <w:rFonts w:asciiTheme="majorBidi" w:hAnsiTheme="majorBidi" w:cstheme="majorBidi"/>
                      <w:color w:val="000000" w:themeColor="text1"/>
                      <w:sz w:val="24"/>
                      <w:szCs w:val="24"/>
                      <w:lang w:bidi="ar-JO"/>
                    </w:rPr>
                  </w:pPr>
                </w:p>
              </w:tc>
              <w:tc>
                <w:tcPr>
                  <w:tcW w:w="1567" w:type="dxa"/>
                  <w:tcBorders>
                    <w:top w:val="single" w:sz="4" w:space="0" w:color="auto"/>
                    <w:left w:val="single" w:sz="4" w:space="0" w:color="auto"/>
                    <w:bottom w:val="single" w:sz="4" w:space="0" w:color="auto"/>
                    <w:right w:val="single" w:sz="4" w:space="0" w:color="auto"/>
                  </w:tcBorders>
                  <w:hideMark/>
                </w:tcPr>
                <w:p w:rsidR="00FB2957" w:rsidRDefault="00FB2957" w:rsidP="009C5795">
                  <w:pPr>
                    <w:framePr w:hSpace="180" w:wrap="around" w:vAnchor="text" w:hAnchor="margin" w:y="126"/>
                    <w:autoSpaceDE w:val="0"/>
                    <w:autoSpaceDN w:val="0"/>
                    <w:jc w:val="center"/>
                    <w:rPr>
                      <w:rFonts w:asciiTheme="majorBidi" w:hAnsiTheme="majorBidi" w:cstheme="majorBidi"/>
                      <w:b/>
                      <w:bCs/>
                      <w:color w:val="000000" w:themeColor="text1"/>
                      <w:sz w:val="24"/>
                      <w:szCs w:val="24"/>
                      <w:lang w:bidi="ar-JO"/>
                    </w:rPr>
                  </w:pPr>
                  <w:r>
                    <w:rPr>
                      <w:rFonts w:asciiTheme="majorBidi" w:hAnsiTheme="majorBidi" w:cstheme="majorBidi"/>
                      <w:b/>
                      <w:bCs/>
                      <w:color w:val="000000" w:themeColor="text1"/>
                      <w:sz w:val="24"/>
                      <w:szCs w:val="24"/>
                      <w:lang w:bidi="ar-JO"/>
                    </w:rPr>
                    <w:t xml:space="preserve">Total </w:t>
                  </w:r>
                </w:p>
              </w:tc>
              <w:tc>
                <w:tcPr>
                  <w:tcW w:w="1567" w:type="dxa"/>
                  <w:tcBorders>
                    <w:top w:val="single" w:sz="4" w:space="0" w:color="auto"/>
                    <w:left w:val="single" w:sz="4" w:space="0" w:color="auto"/>
                    <w:bottom w:val="single" w:sz="4" w:space="0" w:color="auto"/>
                    <w:right w:val="single" w:sz="4" w:space="0" w:color="auto"/>
                  </w:tcBorders>
                  <w:hideMark/>
                </w:tcPr>
                <w:p w:rsidR="00FB2957" w:rsidRDefault="00FB2957" w:rsidP="009C5795">
                  <w:pPr>
                    <w:framePr w:hSpace="180" w:wrap="around" w:vAnchor="text" w:hAnchor="margin" w:y="126"/>
                    <w:autoSpaceDE w:val="0"/>
                    <w:autoSpaceDN w:val="0"/>
                    <w:jc w:val="center"/>
                    <w:rPr>
                      <w:rFonts w:asciiTheme="majorBidi" w:hAnsiTheme="majorBidi" w:cstheme="majorBidi"/>
                      <w:b/>
                      <w:bCs/>
                      <w:color w:val="000000" w:themeColor="text1"/>
                      <w:sz w:val="24"/>
                      <w:szCs w:val="24"/>
                      <w:lang w:bidi="ar-JO"/>
                    </w:rPr>
                  </w:pPr>
                  <w:r>
                    <w:rPr>
                      <w:rFonts w:asciiTheme="majorBidi" w:hAnsiTheme="majorBidi" w:cstheme="majorBidi"/>
                      <w:b/>
                      <w:bCs/>
                      <w:color w:val="000000" w:themeColor="text1"/>
                      <w:sz w:val="24"/>
                      <w:szCs w:val="24"/>
                      <w:lang w:bidi="ar-JO"/>
                    </w:rPr>
                    <w:t>3</w:t>
                  </w:r>
                </w:p>
              </w:tc>
              <w:tc>
                <w:tcPr>
                  <w:tcW w:w="1568" w:type="dxa"/>
                  <w:tcBorders>
                    <w:top w:val="single" w:sz="4" w:space="0" w:color="auto"/>
                    <w:left w:val="single" w:sz="4" w:space="0" w:color="auto"/>
                    <w:bottom w:val="single" w:sz="4" w:space="0" w:color="auto"/>
                    <w:right w:val="single" w:sz="4" w:space="0" w:color="auto"/>
                  </w:tcBorders>
                  <w:hideMark/>
                </w:tcPr>
                <w:p w:rsidR="00FB2957" w:rsidRDefault="00FB2957" w:rsidP="009C5795">
                  <w:pPr>
                    <w:framePr w:hSpace="180" w:wrap="around" w:vAnchor="text" w:hAnchor="margin" w:y="126"/>
                    <w:autoSpaceDE w:val="0"/>
                    <w:autoSpaceDN w:val="0"/>
                    <w:jc w:val="center"/>
                    <w:rPr>
                      <w:rFonts w:asciiTheme="majorBidi" w:hAnsiTheme="majorBidi" w:cstheme="majorBidi"/>
                      <w:b/>
                      <w:bCs/>
                      <w:color w:val="000000" w:themeColor="text1"/>
                      <w:sz w:val="24"/>
                      <w:szCs w:val="24"/>
                      <w:lang w:bidi="ar-JO"/>
                    </w:rPr>
                  </w:pPr>
                  <w:r>
                    <w:rPr>
                      <w:rFonts w:asciiTheme="majorBidi" w:hAnsiTheme="majorBidi" w:cstheme="majorBidi"/>
                      <w:b/>
                      <w:bCs/>
                      <w:color w:val="000000" w:themeColor="text1"/>
                      <w:sz w:val="24"/>
                      <w:szCs w:val="24"/>
                      <w:lang w:bidi="ar-JO"/>
                    </w:rPr>
                    <w:t>-</w:t>
                  </w:r>
                </w:p>
              </w:tc>
              <w:tc>
                <w:tcPr>
                  <w:tcW w:w="1568" w:type="dxa"/>
                  <w:tcBorders>
                    <w:top w:val="single" w:sz="4" w:space="0" w:color="auto"/>
                    <w:left w:val="single" w:sz="4" w:space="0" w:color="auto"/>
                    <w:bottom w:val="single" w:sz="4" w:space="0" w:color="auto"/>
                    <w:right w:val="single" w:sz="4" w:space="0" w:color="auto"/>
                  </w:tcBorders>
                  <w:hideMark/>
                </w:tcPr>
                <w:p w:rsidR="00FB2957" w:rsidRDefault="00FB2957" w:rsidP="009C5795">
                  <w:pPr>
                    <w:framePr w:hSpace="180" w:wrap="around" w:vAnchor="text" w:hAnchor="margin" w:y="126"/>
                    <w:autoSpaceDE w:val="0"/>
                    <w:autoSpaceDN w:val="0"/>
                    <w:jc w:val="center"/>
                    <w:rPr>
                      <w:rFonts w:asciiTheme="majorBidi" w:hAnsiTheme="majorBidi" w:cstheme="majorBidi"/>
                      <w:b/>
                      <w:bCs/>
                      <w:color w:val="000000" w:themeColor="text1"/>
                      <w:sz w:val="24"/>
                      <w:szCs w:val="24"/>
                      <w:lang w:bidi="ar-JO"/>
                    </w:rPr>
                  </w:pPr>
                  <w:r>
                    <w:rPr>
                      <w:rFonts w:asciiTheme="majorBidi" w:hAnsiTheme="majorBidi" w:cstheme="majorBidi"/>
                      <w:b/>
                      <w:bCs/>
                      <w:color w:val="000000" w:themeColor="text1"/>
                      <w:sz w:val="24"/>
                      <w:szCs w:val="24"/>
                      <w:lang w:bidi="ar-JO"/>
                    </w:rPr>
                    <w:t>5</w:t>
                  </w:r>
                </w:p>
              </w:tc>
              <w:tc>
                <w:tcPr>
                  <w:tcW w:w="1568" w:type="dxa"/>
                  <w:tcBorders>
                    <w:top w:val="single" w:sz="4" w:space="0" w:color="auto"/>
                    <w:left w:val="single" w:sz="4" w:space="0" w:color="auto"/>
                    <w:bottom w:val="single" w:sz="4" w:space="0" w:color="auto"/>
                    <w:right w:val="single" w:sz="4" w:space="0" w:color="auto"/>
                  </w:tcBorders>
                  <w:hideMark/>
                </w:tcPr>
                <w:p w:rsidR="00FB2957" w:rsidRDefault="00FB2957" w:rsidP="009C5795">
                  <w:pPr>
                    <w:framePr w:hSpace="180" w:wrap="around" w:vAnchor="text" w:hAnchor="margin" w:y="126"/>
                    <w:autoSpaceDE w:val="0"/>
                    <w:autoSpaceDN w:val="0"/>
                    <w:jc w:val="center"/>
                    <w:rPr>
                      <w:rFonts w:asciiTheme="majorBidi" w:hAnsiTheme="majorBidi" w:cstheme="majorBidi"/>
                      <w:b/>
                      <w:bCs/>
                      <w:color w:val="000000" w:themeColor="text1"/>
                      <w:sz w:val="24"/>
                      <w:szCs w:val="24"/>
                      <w:lang w:bidi="ar-JO"/>
                    </w:rPr>
                  </w:pPr>
                  <w:r>
                    <w:rPr>
                      <w:rFonts w:asciiTheme="majorBidi" w:hAnsiTheme="majorBidi" w:cstheme="majorBidi"/>
                      <w:b/>
                      <w:bCs/>
                      <w:color w:val="000000" w:themeColor="text1"/>
                      <w:sz w:val="24"/>
                      <w:szCs w:val="24"/>
                      <w:lang w:bidi="ar-JO"/>
                    </w:rPr>
                    <w:t>4</w:t>
                  </w:r>
                </w:p>
              </w:tc>
            </w:tr>
            <w:tr w:rsidR="00FB2957">
              <w:tc>
                <w:tcPr>
                  <w:tcW w:w="1567" w:type="dxa"/>
                  <w:vMerge w:val="restart"/>
                  <w:tcBorders>
                    <w:top w:val="single" w:sz="4" w:space="0" w:color="auto"/>
                    <w:left w:val="single" w:sz="4" w:space="0" w:color="auto"/>
                    <w:bottom w:val="single" w:sz="4" w:space="0" w:color="auto"/>
                    <w:right w:val="single" w:sz="4" w:space="0" w:color="auto"/>
                  </w:tcBorders>
                  <w:textDirection w:val="btLr"/>
                  <w:hideMark/>
                </w:tcPr>
                <w:p w:rsidR="00FB2957" w:rsidRDefault="00FB2957" w:rsidP="009C5795">
                  <w:pPr>
                    <w:framePr w:hSpace="180" w:wrap="around" w:vAnchor="text" w:hAnchor="margin" w:y="126"/>
                    <w:autoSpaceDE w:val="0"/>
                    <w:autoSpaceDN w:val="0"/>
                    <w:ind w:left="113" w:right="113"/>
                    <w:jc w:val="center"/>
                    <w:rPr>
                      <w:rFonts w:asciiTheme="majorBidi" w:hAnsiTheme="majorBidi" w:cstheme="majorBidi"/>
                      <w:b/>
                      <w:bCs/>
                      <w:color w:val="000000" w:themeColor="text1"/>
                      <w:sz w:val="24"/>
                      <w:szCs w:val="24"/>
                      <w:lang w:bidi="ar-JO"/>
                    </w:rPr>
                  </w:pPr>
                  <w:r>
                    <w:rPr>
                      <w:rFonts w:asciiTheme="majorBidi" w:hAnsiTheme="majorBidi" w:cstheme="majorBidi"/>
                      <w:b/>
                      <w:bCs/>
                      <w:color w:val="000000" w:themeColor="text1"/>
                      <w:sz w:val="24"/>
                      <w:szCs w:val="24"/>
                      <w:lang w:bidi="ar-JO"/>
                    </w:rPr>
                    <w:t>Number of complaints of beating and torture in Reform and  Rehabilitation Centers</w:t>
                  </w:r>
                </w:p>
              </w:tc>
              <w:tc>
                <w:tcPr>
                  <w:tcW w:w="1567" w:type="dxa"/>
                  <w:tcBorders>
                    <w:top w:val="single" w:sz="4" w:space="0" w:color="auto"/>
                    <w:left w:val="single" w:sz="4" w:space="0" w:color="auto"/>
                    <w:bottom w:val="single" w:sz="4" w:space="0" w:color="auto"/>
                    <w:right w:val="single" w:sz="4" w:space="0" w:color="auto"/>
                  </w:tcBorders>
                  <w:hideMark/>
                </w:tcPr>
                <w:p w:rsidR="00FB2957" w:rsidRDefault="00FB2957" w:rsidP="009C5795">
                  <w:pPr>
                    <w:framePr w:hSpace="180" w:wrap="around" w:vAnchor="text" w:hAnchor="margin" w:y="126"/>
                    <w:autoSpaceDE w:val="0"/>
                    <w:autoSpaceDN w:val="0"/>
                    <w:jc w:val="center"/>
                    <w:rPr>
                      <w:rFonts w:asciiTheme="majorBidi" w:hAnsiTheme="majorBidi" w:cstheme="majorBidi"/>
                      <w:color w:val="000000" w:themeColor="text1"/>
                      <w:sz w:val="24"/>
                      <w:szCs w:val="24"/>
                      <w:lang w:bidi="ar-JO"/>
                    </w:rPr>
                  </w:pPr>
                  <w:r>
                    <w:rPr>
                      <w:rFonts w:asciiTheme="majorBidi" w:hAnsiTheme="majorBidi" w:cstheme="majorBidi"/>
                      <w:color w:val="000000" w:themeColor="text1"/>
                      <w:sz w:val="24"/>
                      <w:szCs w:val="24"/>
                      <w:lang w:bidi="ar-JO"/>
                    </w:rPr>
                    <w:t>Number of complaints kept upon the request of the complainant</w:t>
                  </w:r>
                </w:p>
              </w:tc>
              <w:tc>
                <w:tcPr>
                  <w:tcW w:w="1567" w:type="dxa"/>
                  <w:tcBorders>
                    <w:top w:val="single" w:sz="4" w:space="0" w:color="auto"/>
                    <w:left w:val="single" w:sz="4" w:space="0" w:color="auto"/>
                    <w:bottom w:val="single" w:sz="4" w:space="0" w:color="auto"/>
                    <w:right w:val="single" w:sz="4" w:space="0" w:color="auto"/>
                  </w:tcBorders>
                  <w:hideMark/>
                </w:tcPr>
                <w:p w:rsidR="00FB2957" w:rsidRDefault="00FB2957" w:rsidP="009C5795">
                  <w:pPr>
                    <w:framePr w:hSpace="180" w:wrap="around" w:vAnchor="text" w:hAnchor="margin" w:y="126"/>
                    <w:autoSpaceDE w:val="0"/>
                    <w:autoSpaceDN w:val="0"/>
                    <w:jc w:val="center"/>
                    <w:rPr>
                      <w:rFonts w:asciiTheme="majorBidi" w:hAnsiTheme="majorBidi" w:cstheme="majorBidi"/>
                      <w:color w:val="000000" w:themeColor="text1"/>
                      <w:sz w:val="24"/>
                      <w:szCs w:val="24"/>
                      <w:lang w:bidi="ar-JO"/>
                    </w:rPr>
                  </w:pPr>
                  <w:r>
                    <w:rPr>
                      <w:rFonts w:asciiTheme="majorBidi" w:hAnsiTheme="majorBidi" w:cstheme="majorBidi"/>
                      <w:color w:val="000000" w:themeColor="text1"/>
                      <w:sz w:val="24"/>
                      <w:szCs w:val="24"/>
                      <w:lang w:bidi="ar-JO"/>
                    </w:rPr>
                    <w:t>40</w:t>
                  </w:r>
                </w:p>
              </w:tc>
              <w:tc>
                <w:tcPr>
                  <w:tcW w:w="1568" w:type="dxa"/>
                  <w:tcBorders>
                    <w:top w:val="single" w:sz="4" w:space="0" w:color="auto"/>
                    <w:left w:val="single" w:sz="4" w:space="0" w:color="auto"/>
                    <w:bottom w:val="single" w:sz="4" w:space="0" w:color="auto"/>
                    <w:right w:val="single" w:sz="4" w:space="0" w:color="auto"/>
                  </w:tcBorders>
                  <w:hideMark/>
                </w:tcPr>
                <w:p w:rsidR="00FB2957" w:rsidRDefault="00FB2957" w:rsidP="009C5795">
                  <w:pPr>
                    <w:framePr w:hSpace="180" w:wrap="around" w:vAnchor="text" w:hAnchor="margin" w:y="126"/>
                    <w:autoSpaceDE w:val="0"/>
                    <w:autoSpaceDN w:val="0"/>
                    <w:jc w:val="center"/>
                    <w:rPr>
                      <w:rFonts w:asciiTheme="majorBidi" w:hAnsiTheme="majorBidi" w:cstheme="majorBidi"/>
                      <w:color w:val="000000" w:themeColor="text1"/>
                      <w:sz w:val="24"/>
                      <w:szCs w:val="24"/>
                      <w:lang w:bidi="ar-JO"/>
                    </w:rPr>
                  </w:pPr>
                  <w:r>
                    <w:rPr>
                      <w:rFonts w:asciiTheme="majorBidi" w:hAnsiTheme="majorBidi" w:cstheme="majorBidi"/>
                      <w:color w:val="000000" w:themeColor="text1"/>
                      <w:sz w:val="24"/>
                      <w:szCs w:val="24"/>
                      <w:lang w:bidi="ar-JO"/>
                    </w:rPr>
                    <w:t>5</w:t>
                  </w:r>
                </w:p>
              </w:tc>
              <w:tc>
                <w:tcPr>
                  <w:tcW w:w="1568" w:type="dxa"/>
                  <w:tcBorders>
                    <w:top w:val="single" w:sz="4" w:space="0" w:color="auto"/>
                    <w:left w:val="single" w:sz="4" w:space="0" w:color="auto"/>
                    <w:bottom w:val="single" w:sz="4" w:space="0" w:color="auto"/>
                    <w:right w:val="single" w:sz="4" w:space="0" w:color="auto"/>
                  </w:tcBorders>
                </w:tcPr>
                <w:p w:rsidR="00FB2957" w:rsidRDefault="00FB2957" w:rsidP="009C5795">
                  <w:pPr>
                    <w:framePr w:hSpace="180" w:wrap="around" w:vAnchor="text" w:hAnchor="margin" w:y="126"/>
                    <w:autoSpaceDE w:val="0"/>
                    <w:autoSpaceDN w:val="0"/>
                    <w:jc w:val="center"/>
                    <w:rPr>
                      <w:rFonts w:asciiTheme="majorBidi" w:hAnsiTheme="majorBidi" w:cstheme="majorBidi"/>
                      <w:color w:val="000000" w:themeColor="text1"/>
                      <w:sz w:val="24"/>
                      <w:szCs w:val="24"/>
                      <w:lang w:bidi="ar-JO"/>
                    </w:rPr>
                  </w:pPr>
                </w:p>
              </w:tc>
              <w:tc>
                <w:tcPr>
                  <w:tcW w:w="1568" w:type="dxa"/>
                  <w:tcBorders>
                    <w:top w:val="single" w:sz="4" w:space="0" w:color="auto"/>
                    <w:left w:val="single" w:sz="4" w:space="0" w:color="auto"/>
                    <w:bottom w:val="single" w:sz="4" w:space="0" w:color="auto"/>
                    <w:right w:val="single" w:sz="4" w:space="0" w:color="auto"/>
                  </w:tcBorders>
                  <w:hideMark/>
                </w:tcPr>
                <w:p w:rsidR="00FB2957" w:rsidRDefault="00FB2957" w:rsidP="009C5795">
                  <w:pPr>
                    <w:framePr w:hSpace="180" w:wrap="around" w:vAnchor="text" w:hAnchor="margin" w:y="126"/>
                    <w:autoSpaceDE w:val="0"/>
                    <w:autoSpaceDN w:val="0"/>
                    <w:jc w:val="center"/>
                    <w:rPr>
                      <w:rFonts w:asciiTheme="majorBidi" w:hAnsiTheme="majorBidi" w:cstheme="majorBidi"/>
                      <w:color w:val="000000" w:themeColor="text1"/>
                      <w:sz w:val="24"/>
                      <w:szCs w:val="24"/>
                      <w:lang w:bidi="ar-JO"/>
                    </w:rPr>
                  </w:pPr>
                  <w:r>
                    <w:rPr>
                      <w:rFonts w:asciiTheme="majorBidi" w:hAnsiTheme="majorBidi" w:cstheme="majorBidi"/>
                      <w:color w:val="000000" w:themeColor="text1"/>
                      <w:sz w:val="24"/>
                      <w:szCs w:val="24"/>
                      <w:lang w:bidi="ar-JO"/>
                    </w:rPr>
                    <w:t>5</w:t>
                  </w:r>
                </w:p>
              </w:tc>
            </w:tr>
            <w:tr w:rsidR="00FB2957">
              <w:tc>
                <w:tcPr>
                  <w:tcW w:w="9405" w:type="dxa"/>
                  <w:vMerge/>
                  <w:tcBorders>
                    <w:top w:val="single" w:sz="4" w:space="0" w:color="auto"/>
                    <w:left w:val="single" w:sz="4" w:space="0" w:color="auto"/>
                    <w:bottom w:val="single" w:sz="4" w:space="0" w:color="auto"/>
                    <w:right w:val="single" w:sz="4" w:space="0" w:color="auto"/>
                  </w:tcBorders>
                  <w:vAlign w:val="center"/>
                  <w:hideMark/>
                </w:tcPr>
                <w:p w:rsidR="00FB2957" w:rsidRDefault="00FB2957" w:rsidP="009C5795">
                  <w:pPr>
                    <w:framePr w:hSpace="180" w:wrap="around" w:vAnchor="text" w:hAnchor="margin" w:y="126"/>
                    <w:bidi w:val="0"/>
                    <w:rPr>
                      <w:rFonts w:asciiTheme="majorBidi" w:hAnsiTheme="majorBidi" w:cstheme="majorBidi"/>
                      <w:b/>
                      <w:bCs/>
                      <w:color w:val="000000" w:themeColor="text1"/>
                      <w:sz w:val="24"/>
                      <w:szCs w:val="24"/>
                      <w:lang w:bidi="ar-JO"/>
                    </w:rPr>
                  </w:pPr>
                </w:p>
              </w:tc>
              <w:tc>
                <w:tcPr>
                  <w:tcW w:w="1567" w:type="dxa"/>
                  <w:tcBorders>
                    <w:top w:val="single" w:sz="4" w:space="0" w:color="auto"/>
                    <w:left w:val="single" w:sz="4" w:space="0" w:color="auto"/>
                    <w:bottom w:val="single" w:sz="4" w:space="0" w:color="auto"/>
                    <w:right w:val="single" w:sz="4" w:space="0" w:color="auto"/>
                  </w:tcBorders>
                  <w:hideMark/>
                </w:tcPr>
                <w:p w:rsidR="00FB2957" w:rsidRDefault="00FB2957" w:rsidP="009C5795">
                  <w:pPr>
                    <w:framePr w:hSpace="180" w:wrap="around" w:vAnchor="text" w:hAnchor="margin" w:y="126"/>
                    <w:autoSpaceDE w:val="0"/>
                    <w:autoSpaceDN w:val="0"/>
                    <w:jc w:val="center"/>
                    <w:rPr>
                      <w:rFonts w:asciiTheme="majorBidi" w:hAnsiTheme="majorBidi" w:cstheme="majorBidi"/>
                      <w:color w:val="000000" w:themeColor="text1"/>
                      <w:sz w:val="24"/>
                      <w:szCs w:val="24"/>
                      <w:lang w:bidi="ar-JO"/>
                    </w:rPr>
                  </w:pPr>
                  <w:r>
                    <w:rPr>
                      <w:rFonts w:asciiTheme="majorBidi" w:hAnsiTheme="majorBidi" w:cstheme="majorBidi"/>
                      <w:color w:val="000000" w:themeColor="text1"/>
                      <w:sz w:val="24"/>
                      <w:szCs w:val="24"/>
                      <w:lang w:bidi="ar-JO"/>
                    </w:rPr>
                    <w:t xml:space="preserve">Number of complaints closed   for the lack of proof of violation </w:t>
                  </w:r>
                </w:p>
              </w:tc>
              <w:tc>
                <w:tcPr>
                  <w:tcW w:w="1567" w:type="dxa"/>
                  <w:tcBorders>
                    <w:top w:val="single" w:sz="4" w:space="0" w:color="auto"/>
                    <w:left w:val="single" w:sz="4" w:space="0" w:color="auto"/>
                    <w:bottom w:val="single" w:sz="4" w:space="0" w:color="auto"/>
                    <w:right w:val="single" w:sz="4" w:space="0" w:color="auto"/>
                  </w:tcBorders>
                  <w:hideMark/>
                </w:tcPr>
                <w:p w:rsidR="00FB2957" w:rsidRDefault="00FB2957" w:rsidP="009C5795">
                  <w:pPr>
                    <w:framePr w:hSpace="180" w:wrap="around" w:vAnchor="text" w:hAnchor="margin" w:y="126"/>
                    <w:autoSpaceDE w:val="0"/>
                    <w:autoSpaceDN w:val="0"/>
                    <w:jc w:val="center"/>
                    <w:rPr>
                      <w:rFonts w:asciiTheme="majorBidi" w:hAnsiTheme="majorBidi" w:cstheme="majorBidi"/>
                      <w:color w:val="000000" w:themeColor="text1"/>
                      <w:sz w:val="24"/>
                      <w:szCs w:val="24"/>
                      <w:lang w:bidi="ar-JO"/>
                    </w:rPr>
                  </w:pPr>
                  <w:r>
                    <w:rPr>
                      <w:rFonts w:asciiTheme="majorBidi" w:hAnsiTheme="majorBidi" w:cstheme="majorBidi"/>
                      <w:color w:val="000000" w:themeColor="text1"/>
                      <w:sz w:val="24"/>
                      <w:szCs w:val="24"/>
                      <w:lang w:bidi="ar-JO"/>
                    </w:rPr>
                    <w:t>-</w:t>
                  </w:r>
                </w:p>
              </w:tc>
              <w:tc>
                <w:tcPr>
                  <w:tcW w:w="1568" w:type="dxa"/>
                  <w:tcBorders>
                    <w:top w:val="single" w:sz="4" w:space="0" w:color="auto"/>
                    <w:left w:val="single" w:sz="4" w:space="0" w:color="auto"/>
                    <w:bottom w:val="single" w:sz="4" w:space="0" w:color="auto"/>
                    <w:right w:val="single" w:sz="4" w:space="0" w:color="auto"/>
                  </w:tcBorders>
                  <w:hideMark/>
                </w:tcPr>
                <w:p w:rsidR="00FB2957" w:rsidRDefault="00FB2957" w:rsidP="009C5795">
                  <w:pPr>
                    <w:framePr w:hSpace="180" w:wrap="around" w:vAnchor="text" w:hAnchor="margin" w:y="126"/>
                    <w:autoSpaceDE w:val="0"/>
                    <w:autoSpaceDN w:val="0"/>
                    <w:jc w:val="center"/>
                    <w:rPr>
                      <w:rFonts w:asciiTheme="majorBidi" w:hAnsiTheme="majorBidi" w:cstheme="majorBidi"/>
                      <w:color w:val="000000" w:themeColor="text1"/>
                      <w:sz w:val="24"/>
                      <w:szCs w:val="24"/>
                      <w:lang w:bidi="ar-JO"/>
                    </w:rPr>
                  </w:pPr>
                  <w:r>
                    <w:rPr>
                      <w:rFonts w:asciiTheme="majorBidi" w:hAnsiTheme="majorBidi" w:cstheme="majorBidi"/>
                      <w:color w:val="000000" w:themeColor="text1"/>
                      <w:sz w:val="24"/>
                      <w:szCs w:val="24"/>
                      <w:lang w:bidi="ar-JO"/>
                    </w:rPr>
                    <w:t>-</w:t>
                  </w:r>
                </w:p>
              </w:tc>
              <w:tc>
                <w:tcPr>
                  <w:tcW w:w="1568" w:type="dxa"/>
                  <w:tcBorders>
                    <w:top w:val="single" w:sz="4" w:space="0" w:color="auto"/>
                    <w:left w:val="single" w:sz="4" w:space="0" w:color="auto"/>
                    <w:bottom w:val="single" w:sz="4" w:space="0" w:color="auto"/>
                    <w:right w:val="single" w:sz="4" w:space="0" w:color="auto"/>
                  </w:tcBorders>
                  <w:hideMark/>
                </w:tcPr>
                <w:p w:rsidR="00FB2957" w:rsidRDefault="00FB2957" w:rsidP="009C5795">
                  <w:pPr>
                    <w:framePr w:hSpace="180" w:wrap="around" w:vAnchor="text" w:hAnchor="margin" w:y="126"/>
                    <w:autoSpaceDE w:val="0"/>
                    <w:autoSpaceDN w:val="0"/>
                    <w:jc w:val="center"/>
                    <w:rPr>
                      <w:rFonts w:asciiTheme="majorBidi" w:hAnsiTheme="majorBidi" w:cstheme="majorBidi"/>
                      <w:color w:val="000000" w:themeColor="text1"/>
                      <w:sz w:val="24"/>
                      <w:szCs w:val="24"/>
                      <w:lang w:bidi="ar-JO"/>
                    </w:rPr>
                  </w:pPr>
                  <w:r>
                    <w:rPr>
                      <w:rFonts w:asciiTheme="majorBidi" w:hAnsiTheme="majorBidi" w:cstheme="majorBidi"/>
                      <w:color w:val="000000" w:themeColor="text1"/>
                      <w:sz w:val="24"/>
                      <w:szCs w:val="24"/>
                      <w:lang w:bidi="ar-JO"/>
                    </w:rPr>
                    <w:t>-</w:t>
                  </w:r>
                </w:p>
              </w:tc>
              <w:tc>
                <w:tcPr>
                  <w:tcW w:w="1568" w:type="dxa"/>
                  <w:tcBorders>
                    <w:top w:val="single" w:sz="4" w:space="0" w:color="auto"/>
                    <w:left w:val="single" w:sz="4" w:space="0" w:color="auto"/>
                    <w:bottom w:val="single" w:sz="4" w:space="0" w:color="auto"/>
                    <w:right w:val="single" w:sz="4" w:space="0" w:color="auto"/>
                  </w:tcBorders>
                  <w:hideMark/>
                </w:tcPr>
                <w:p w:rsidR="00FB2957" w:rsidRDefault="00FB2957" w:rsidP="009C5795">
                  <w:pPr>
                    <w:framePr w:hSpace="180" w:wrap="around" w:vAnchor="text" w:hAnchor="margin" w:y="126"/>
                    <w:autoSpaceDE w:val="0"/>
                    <w:autoSpaceDN w:val="0"/>
                    <w:jc w:val="center"/>
                    <w:rPr>
                      <w:rFonts w:asciiTheme="majorBidi" w:hAnsiTheme="majorBidi" w:cstheme="majorBidi"/>
                      <w:color w:val="000000" w:themeColor="text1"/>
                      <w:sz w:val="24"/>
                      <w:szCs w:val="24"/>
                      <w:lang w:bidi="ar-JO"/>
                    </w:rPr>
                  </w:pPr>
                  <w:r>
                    <w:rPr>
                      <w:rFonts w:asciiTheme="majorBidi" w:hAnsiTheme="majorBidi" w:cstheme="majorBidi"/>
                      <w:color w:val="000000" w:themeColor="text1"/>
                      <w:sz w:val="24"/>
                      <w:szCs w:val="24"/>
                      <w:lang w:bidi="ar-JO"/>
                    </w:rPr>
                    <w:t>-</w:t>
                  </w:r>
                </w:p>
              </w:tc>
            </w:tr>
            <w:tr w:rsidR="00FB2957">
              <w:tc>
                <w:tcPr>
                  <w:tcW w:w="9405" w:type="dxa"/>
                  <w:vMerge/>
                  <w:tcBorders>
                    <w:top w:val="single" w:sz="4" w:space="0" w:color="auto"/>
                    <w:left w:val="single" w:sz="4" w:space="0" w:color="auto"/>
                    <w:bottom w:val="single" w:sz="4" w:space="0" w:color="auto"/>
                    <w:right w:val="single" w:sz="4" w:space="0" w:color="auto"/>
                  </w:tcBorders>
                  <w:vAlign w:val="center"/>
                  <w:hideMark/>
                </w:tcPr>
                <w:p w:rsidR="00FB2957" w:rsidRDefault="00FB2957" w:rsidP="009C5795">
                  <w:pPr>
                    <w:framePr w:hSpace="180" w:wrap="around" w:vAnchor="text" w:hAnchor="margin" w:y="126"/>
                    <w:bidi w:val="0"/>
                    <w:rPr>
                      <w:rFonts w:asciiTheme="majorBidi" w:hAnsiTheme="majorBidi" w:cstheme="majorBidi"/>
                      <w:b/>
                      <w:bCs/>
                      <w:color w:val="000000" w:themeColor="text1"/>
                      <w:sz w:val="24"/>
                      <w:szCs w:val="24"/>
                      <w:lang w:bidi="ar-JO"/>
                    </w:rPr>
                  </w:pPr>
                </w:p>
              </w:tc>
              <w:tc>
                <w:tcPr>
                  <w:tcW w:w="1567" w:type="dxa"/>
                  <w:tcBorders>
                    <w:top w:val="single" w:sz="4" w:space="0" w:color="auto"/>
                    <w:left w:val="single" w:sz="4" w:space="0" w:color="auto"/>
                    <w:bottom w:val="single" w:sz="4" w:space="0" w:color="auto"/>
                    <w:right w:val="single" w:sz="4" w:space="0" w:color="auto"/>
                  </w:tcBorders>
                  <w:hideMark/>
                </w:tcPr>
                <w:p w:rsidR="00FB2957" w:rsidRDefault="00FB2957" w:rsidP="009C5795">
                  <w:pPr>
                    <w:framePr w:hSpace="180" w:wrap="around" w:vAnchor="text" w:hAnchor="margin" w:y="126"/>
                    <w:autoSpaceDE w:val="0"/>
                    <w:autoSpaceDN w:val="0"/>
                    <w:jc w:val="center"/>
                    <w:rPr>
                      <w:rFonts w:asciiTheme="majorBidi" w:hAnsiTheme="majorBidi" w:cstheme="majorBidi"/>
                      <w:color w:val="000000" w:themeColor="text1"/>
                      <w:sz w:val="24"/>
                      <w:szCs w:val="24"/>
                      <w:lang w:bidi="ar-JO"/>
                    </w:rPr>
                  </w:pPr>
                  <w:r>
                    <w:rPr>
                      <w:rFonts w:asciiTheme="majorBidi" w:hAnsiTheme="majorBidi" w:cstheme="majorBidi"/>
                      <w:color w:val="000000" w:themeColor="text1"/>
                      <w:sz w:val="24"/>
                      <w:szCs w:val="24"/>
                      <w:lang w:bidi="ar-JO"/>
                    </w:rPr>
                    <w:t>Number of complaints under consideration</w:t>
                  </w:r>
                </w:p>
              </w:tc>
              <w:tc>
                <w:tcPr>
                  <w:tcW w:w="1567" w:type="dxa"/>
                  <w:tcBorders>
                    <w:top w:val="single" w:sz="4" w:space="0" w:color="auto"/>
                    <w:left w:val="single" w:sz="4" w:space="0" w:color="auto"/>
                    <w:bottom w:val="single" w:sz="4" w:space="0" w:color="auto"/>
                    <w:right w:val="single" w:sz="4" w:space="0" w:color="auto"/>
                  </w:tcBorders>
                  <w:hideMark/>
                </w:tcPr>
                <w:p w:rsidR="00FB2957" w:rsidRDefault="00FB2957" w:rsidP="009C5795">
                  <w:pPr>
                    <w:framePr w:hSpace="180" w:wrap="around" w:vAnchor="text" w:hAnchor="margin" w:y="126"/>
                    <w:autoSpaceDE w:val="0"/>
                    <w:autoSpaceDN w:val="0"/>
                    <w:jc w:val="center"/>
                    <w:rPr>
                      <w:rFonts w:asciiTheme="majorBidi" w:hAnsiTheme="majorBidi" w:cstheme="majorBidi"/>
                      <w:color w:val="000000" w:themeColor="text1"/>
                      <w:sz w:val="24"/>
                      <w:szCs w:val="24"/>
                      <w:lang w:bidi="ar-JO"/>
                    </w:rPr>
                  </w:pPr>
                  <w:r>
                    <w:rPr>
                      <w:rFonts w:asciiTheme="majorBidi" w:hAnsiTheme="majorBidi" w:cstheme="majorBidi"/>
                      <w:color w:val="000000" w:themeColor="text1"/>
                      <w:sz w:val="24"/>
                      <w:szCs w:val="24"/>
                      <w:lang w:bidi="ar-JO"/>
                    </w:rPr>
                    <w:t>5</w:t>
                  </w:r>
                </w:p>
              </w:tc>
              <w:tc>
                <w:tcPr>
                  <w:tcW w:w="1568" w:type="dxa"/>
                  <w:tcBorders>
                    <w:top w:val="single" w:sz="4" w:space="0" w:color="auto"/>
                    <w:left w:val="single" w:sz="4" w:space="0" w:color="auto"/>
                    <w:bottom w:val="single" w:sz="4" w:space="0" w:color="auto"/>
                    <w:right w:val="single" w:sz="4" w:space="0" w:color="auto"/>
                  </w:tcBorders>
                  <w:hideMark/>
                </w:tcPr>
                <w:p w:rsidR="00FB2957" w:rsidRDefault="00FB2957" w:rsidP="009C5795">
                  <w:pPr>
                    <w:framePr w:hSpace="180" w:wrap="around" w:vAnchor="text" w:hAnchor="margin" w:y="126"/>
                    <w:autoSpaceDE w:val="0"/>
                    <w:autoSpaceDN w:val="0"/>
                    <w:jc w:val="center"/>
                    <w:rPr>
                      <w:rFonts w:asciiTheme="majorBidi" w:hAnsiTheme="majorBidi" w:cstheme="majorBidi"/>
                      <w:color w:val="000000" w:themeColor="text1"/>
                      <w:sz w:val="24"/>
                      <w:szCs w:val="24"/>
                      <w:lang w:bidi="ar-JO"/>
                    </w:rPr>
                  </w:pPr>
                  <w:r>
                    <w:rPr>
                      <w:rFonts w:asciiTheme="majorBidi" w:hAnsiTheme="majorBidi" w:cstheme="majorBidi"/>
                      <w:color w:val="000000" w:themeColor="text1"/>
                      <w:sz w:val="24"/>
                      <w:szCs w:val="24"/>
                      <w:lang w:bidi="ar-JO"/>
                    </w:rPr>
                    <w:t>3</w:t>
                  </w:r>
                </w:p>
              </w:tc>
              <w:tc>
                <w:tcPr>
                  <w:tcW w:w="1568" w:type="dxa"/>
                  <w:tcBorders>
                    <w:top w:val="single" w:sz="4" w:space="0" w:color="auto"/>
                    <w:left w:val="single" w:sz="4" w:space="0" w:color="auto"/>
                    <w:bottom w:val="single" w:sz="4" w:space="0" w:color="auto"/>
                    <w:right w:val="single" w:sz="4" w:space="0" w:color="auto"/>
                  </w:tcBorders>
                  <w:hideMark/>
                </w:tcPr>
                <w:p w:rsidR="00FB2957" w:rsidRDefault="00FB2957" w:rsidP="009C5795">
                  <w:pPr>
                    <w:framePr w:hSpace="180" w:wrap="around" w:vAnchor="text" w:hAnchor="margin" w:y="126"/>
                    <w:autoSpaceDE w:val="0"/>
                    <w:autoSpaceDN w:val="0"/>
                    <w:jc w:val="center"/>
                    <w:rPr>
                      <w:rFonts w:asciiTheme="majorBidi" w:hAnsiTheme="majorBidi" w:cstheme="majorBidi"/>
                      <w:color w:val="000000" w:themeColor="text1"/>
                      <w:sz w:val="24"/>
                      <w:szCs w:val="24"/>
                      <w:lang w:bidi="ar-JO"/>
                    </w:rPr>
                  </w:pPr>
                  <w:r>
                    <w:rPr>
                      <w:rFonts w:asciiTheme="majorBidi" w:hAnsiTheme="majorBidi" w:cstheme="majorBidi"/>
                      <w:color w:val="000000" w:themeColor="text1"/>
                      <w:sz w:val="24"/>
                      <w:szCs w:val="24"/>
                      <w:lang w:bidi="ar-JO"/>
                    </w:rPr>
                    <w:t>6</w:t>
                  </w:r>
                </w:p>
              </w:tc>
              <w:tc>
                <w:tcPr>
                  <w:tcW w:w="1568" w:type="dxa"/>
                  <w:tcBorders>
                    <w:top w:val="single" w:sz="4" w:space="0" w:color="auto"/>
                    <w:left w:val="single" w:sz="4" w:space="0" w:color="auto"/>
                    <w:bottom w:val="single" w:sz="4" w:space="0" w:color="auto"/>
                    <w:right w:val="single" w:sz="4" w:space="0" w:color="auto"/>
                  </w:tcBorders>
                  <w:hideMark/>
                </w:tcPr>
                <w:p w:rsidR="00FB2957" w:rsidRDefault="00FB2957" w:rsidP="009C5795">
                  <w:pPr>
                    <w:framePr w:hSpace="180" w:wrap="around" w:vAnchor="text" w:hAnchor="margin" w:y="126"/>
                    <w:autoSpaceDE w:val="0"/>
                    <w:autoSpaceDN w:val="0"/>
                    <w:jc w:val="center"/>
                    <w:rPr>
                      <w:rFonts w:asciiTheme="majorBidi" w:hAnsiTheme="majorBidi" w:cstheme="majorBidi"/>
                      <w:color w:val="000000" w:themeColor="text1"/>
                      <w:sz w:val="24"/>
                      <w:szCs w:val="24"/>
                      <w:lang w:bidi="ar-JO"/>
                    </w:rPr>
                  </w:pPr>
                  <w:r>
                    <w:rPr>
                      <w:rFonts w:asciiTheme="majorBidi" w:hAnsiTheme="majorBidi" w:cstheme="majorBidi"/>
                      <w:color w:val="000000" w:themeColor="text1"/>
                      <w:sz w:val="24"/>
                      <w:szCs w:val="24"/>
                      <w:lang w:bidi="ar-JO"/>
                    </w:rPr>
                    <w:t>10</w:t>
                  </w:r>
                </w:p>
              </w:tc>
            </w:tr>
            <w:tr w:rsidR="00FB2957">
              <w:tc>
                <w:tcPr>
                  <w:tcW w:w="1567" w:type="dxa"/>
                  <w:tcBorders>
                    <w:top w:val="single" w:sz="4" w:space="0" w:color="auto"/>
                    <w:left w:val="single" w:sz="4" w:space="0" w:color="auto"/>
                    <w:bottom w:val="single" w:sz="4" w:space="0" w:color="auto"/>
                    <w:right w:val="single" w:sz="4" w:space="0" w:color="auto"/>
                  </w:tcBorders>
                </w:tcPr>
                <w:p w:rsidR="00FB2957" w:rsidRDefault="00FB2957" w:rsidP="009C5795">
                  <w:pPr>
                    <w:framePr w:hSpace="180" w:wrap="around" w:vAnchor="text" w:hAnchor="margin" w:y="126"/>
                    <w:autoSpaceDE w:val="0"/>
                    <w:autoSpaceDN w:val="0"/>
                    <w:jc w:val="center"/>
                    <w:rPr>
                      <w:rFonts w:asciiTheme="majorBidi" w:hAnsiTheme="majorBidi" w:cstheme="majorBidi"/>
                      <w:color w:val="000000" w:themeColor="text1"/>
                      <w:sz w:val="24"/>
                      <w:szCs w:val="24"/>
                      <w:lang w:bidi="ar-JO"/>
                    </w:rPr>
                  </w:pPr>
                </w:p>
              </w:tc>
              <w:tc>
                <w:tcPr>
                  <w:tcW w:w="1567" w:type="dxa"/>
                  <w:tcBorders>
                    <w:top w:val="single" w:sz="4" w:space="0" w:color="auto"/>
                    <w:left w:val="single" w:sz="4" w:space="0" w:color="auto"/>
                    <w:bottom w:val="single" w:sz="4" w:space="0" w:color="auto"/>
                    <w:right w:val="single" w:sz="4" w:space="0" w:color="auto"/>
                  </w:tcBorders>
                  <w:hideMark/>
                </w:tcPr>
                <w:p w:rsidR="00FB2957" w:rsidRDefault="00FB2957" w:rsidP="009C5795">
                  <w:pPr>
                    <w:framePr w:hSpace="180" w:wrap="around" w:vAnchor="text" w:hAnchor="margin" w:y="126"/>
                    <w:autoSpaceDE w:val="0"/>
                    <w:autoSpaceDN w:val="0"/>
                    <w:jc w:val="center"/>
                    <w:rPr>
                      <w:rFonts w:asciiTheme="majorBidi" w:hAnsiTheme="majorBidi" w:cstheme="majorBidi"/>
                      <w:b/>
                      <w:bCs/>
                      <w:color w:val="000000" w:themeColor="text1"/>
                      <w:sz w:val="24"/>
                      <w:szCs w:val="24"/>
                      <w:lang w:bidi="ar-JO"/>
                    </w:rPr>
                  </w:pPr>
                  <w:r>
                    <w:rPr>
                      <w:rFonts w:asciiTheme="majorBidi" w:hAnsiTheme="majorBidi" w:cstheme="majorBidi"/>
                      <w:b/>
                      <w:bCs/>
                      <w:color w:val="000000" w:themeColor="text1"/>
                      <w:sz w:val="24"/>
                      <w:szCs w:val="24"/>
                      <w:lang w:bidi="ar-JO"/>
                    </w:rPr>
                    <w:t xml:space="preserve">Total </w:t>
                  </w:r>
                </w:p>
              </w:tc>
              <w:tc>
                <w:tcPr>
                  <w:tcW w:w="1567" w:type="dxa"/>
                  <w:tcBorders>
                    <w:top w:val="single" w:sz="4" w:space="0" w:color="auto"/>
                    <w:left w:val="single" w:sz="4" w:space="0" w:color="auto"/>
                    <w:bottom w:val="single" w:sz="4" w:space="0" w:color="auto"/>
                    <w:right w:val="single" w:sz="4" w:space="0" w:color="auto"/>
                  </w:tcBorders>
                  <w:hideMark/>
                </w:tcPr>
                <w:p w:rsidR="00FB2957" w:rsidRDefault="00FB2957" w:rsidP="009C5795">
                  <w:pPr>
                    <w:framePr w:hSpace="180" w:wrap="around" w:vAnchor="text" w:hAnchor="margin" w:y="126"/>
                    <w:autoSpaceDE w:val="0"/>
                    <w:autoSpaceDN w:val="0"/>
                    <w:jc w:val="center"/>
                    <w:rPr>
                      <w:rFonts w:asciiTheme="majorBidi" w:hAnsiTheme="majorBidi" w:cstheme="majorBidi"/>
                      <w:b/>
                      <w:bCs/>
                      <w:color w:val="000000" w:themeColor="text1"/>
                      <w:sz w:val="24"/>
                      <w:szCs w:val="24"/>
                      <w:lang w:bidi="ar-JO"/>
                    </w:rPr>
                  </w:pPr>
                  <w:r>
                    <w:rPr>
                      <w:rFonts w:asciiTheme="majorBidi" w:hAnsiTheme="majorBidi" w:cstheme="majorBidi"/>
                      <w:b/>
                      <w:bCs/>
                      <w:color w:val="000000" w:themeColor="text1"/>
                      <w:sz w:val="24"/>
                      <w:szCs w:val="24"/>
                      <w:lang w:bidi="ar-JO"/>
                    </w:rPr>
                    <w:t>12</w:t>
                  </w:r>
                </w:p>
              </w:tc>
              <w:tc>
                <w:tcPr>
                  <w:tcW w:w="1568" w:type="dxa"/>
                  <w:tcBorders>
                    <w:top w:val="single" w:sz="4" w:space="0" w:color="auto"/>
                    <w:left w:val="single" w:sz="4" w:space="0" w:color="auto"/>
                    <w:bottom w:val="single" w:sz="4" w:space="0" w:color="auto"/>
                    <w:right w:val="single" w:sz="4" w:space="0" w:color="auto"/>
                  </w:tcBorders>
                  <w:hideMark/>
                </w:tcPr>
                <w:p w:rsidR="00FB2957" w:rsidRDefault="00FB2957" w:rsidP="009C5795">
                  <w:pPr>
                    <w:framePr w:hSpace="180" w:wrap="around" w:vAnchor="text" w:hAnchor="margin" w:y="126"/>
                    <w:autoSpaceDE w:val="0"/>
                    <w:autoSpaceDN w:val="0"/>
                    <w:jc w:val="center"/>
                    <w:rPr>
                      <w:rFonts w:asciiTheme="majorBidi" w:hAnsiTheme="majorBidi" w:cstheme="majorBidi"/>
                      <w:b/>
                      <w:bCs/>
                      <w:color w:val="000000" w:themeColor="text1"/>
                      <w:sz w:val="24"/>
                      <w:szCs w:val="24"/>
                      <w:lang w:bidi="ar-JO"/>
                    </w:rPr>
                  </w:pPr>
                  <w:r>
                    <w:rPr>
                      <w:rFonts w:asciiTheme="majorBidi" w:hAnsiTheme="majorBidi" w:cstheme="majorBidi"/>
                      <w:b/>
                      <w:bCs/>
                      <w:color w:val="000000" w:themeColor="text1"/>
                      <w:sz w:val="24"/>
                      <w:szCs w:val="24"/>
                      <w:lang w:bidi="ar-JO"/>
                    </w:rPr>
                    <w:t>8</w:t>
                  </w:r>
                </w:p>
              </w:tc>
              <w:tc>
                <w:tcPr>
                  <w:tcW w:w="1568" w:type="dxa"/>
                  <w:tcBorders>
                    <w:top w:val="single" w:sz="4" w:space="0" w:color="auto"/>
                    <w:left w:val="single" w:sz="4" w:space="0" w:color="auto"/>
                    <w:bottom w:val="single" w:sz="4" w:space="0" w:color="auto"/>
                    <w:right w:val="single" w:sz="4" w:space="0" w:color="auto"/>
                  </w:tcBorders>
                  <w:hideMark/>
                </w:tcPr>
                <w:p w:rsidR="00FB2957" w:rsidRDefault="00FB2957" w:rsidP="009C5795">
                  <w:pPr>
                    <w:framePr w:hSpace="180" w:wrap="around" w:vAnchor="text" w:hAnchor="margin" w:y="126"/>
                    <w:autoSpaceDE w:val="0"/>
                    <w:autoSpaceDN w:val="0"/>
                    <w:jc w:val="center"/>
                    <w:rPr>
                      <w:rFonts w:asciiTheme="majorBidi" w:hAnsiTheme="majorBidi" w:cstheme="majorBidi"/>
                      <w:b/>
                      <w:bCs/>
                      <w:color w:val="000000" w:themeColor="text1"/>
                      <w:sz w:val="24"/>
                      <w:szCs w:val="24"/>
                      <w:lang w:bidi="ar-JO"/>
                    </w:rPr>
                  </w:pPr>
                  <w:r>
                    <w:rPr>
                      <w:rFonts w:asciiTheme="majorBidi" w:hAnsiTheme="majorBidi" w:cstheme="majorBidi"/>
                      <w:b/>
                      <w:bCs/>
                      <w:color w:val="000000" w:themeColor="text1"/>
                      <w:sz w:val="24"/>
                      <w:szCs w:val="24"/>
                      <w:lang w:bidi="ar-JO"/>
                    </w:rPr>
                    <w:t>11</w:t>
                  </w:r>
                </w:p>
              </w:tc>
              <w:tc>
                <w:tcPr>
                  <w:tcW w:w="1568" w:type="dxa"/>
                  <w:tcBorders>
                    <w:top w:val="single" w:sz="4" w:space="0" w:color="auto"/>
                    <w:left w:val="single" w:sz="4" w:space="0" w:color="auto"/>
                    <w:bottom w:val="single" w:sz="4" w:space="0" w:color="auto"/>
                    <w:right w:val="single" w:sz="4" w:space="0" w:color="auto"/>
                  </w:tcBorders>
                  <w:hideMark/>
                </w:tcPr>
                <w:p w:rsidR="00FB2957" w:rsidRDefault="00FB2957" w:rsidP="009C5795">
                  <w:pPr>
                    <w:framePr w:hSpace="180" w:wrap="around" w:vAnchor="text" w:hAnchor="margin" w:y="126"/>
                    <w:autoSpaceDE w:val="0"/>
                    <w:autoSpaceDN w:val="0"/>
                    <w:jc w:val="center"/>
                    <w:rPr>
                      <w:rFonts w:asciiTheme="majorBidi" w:hAnsiTheme="majorBidi" w:cstheme="majorBidi"/>
                      <w:b/>
                      <w:bCs/>
                      <w:color w:val="000000" w:themeColor="text1"/>
                      <w:sz w:val="24"/>
                      <w:szCs w:val="24"/>
                      <w:lang w:bidi="ar-JO"/>
                    </w:rPr>
                  </w:pPr>
                  <w:r>
                    <w:rPr>
                      <w:rFonts w:asciiTheme="majorBidi" w:hAnsiTheme="majorBidi" w:cstheme="majorBidi"/>
                      <w:b/>
                      <w:bCs/>
                      <w:color w:val="000000" w:themeColor="text1"/>
                      <w:sz w:val="24"/>
                      <w:szCs w:val="24"/>
                      <w:lang w:bidi="ar-JO"/>
                    </w:rPr>
                    <w:t>19</w:t>
                  </w:r>
                </w:p>
              </w:tc>
            </w:tr>
          </w:tbl>
          <w:p w:rsidR="00FB2957" w:rsidRDefault="00FB2957">
            <w:pPr>
              <w:spacing w:after="0"/>
            </w:pPr>
          </w:p>
        </w:tc>
      </w:tr>
      <w:tr w:rsidR="00FB2957" w:rsidTr="00FB2957">
        <w:trPr>
          <w:gridAfter w:val="2"/>
          <w:wAfter w:w="9800" w:type="dxa"/>
        </w:trPr>
        <w:tc>
          <w:tcPr>
            <w:tcW w:w="20" w:type="dxa"/>
            <w:vAlign w:val="center"/>
            <w:hideMark/>
          </w:tcPr>
          <w:p w:rsidR="00FB2957" w:rsidRDefault="00FB2957">
            <w:pPr>
              <w:spacing w:after="0"/>
            </w:pPr>
          </w:p>
        </w:tc>
      </w:tr>
    </w:tbl>
    <w:p w:rsidR="00FB2957" w:rsidRDefault="00FB2957" w:rsidP="00FB2957">
      <w:pPr>
        <w:bidi w:val="0"/>
        <w:spacing w:before="240" w:after="240"/>
        <w:ind w:firstLine="15"/>
        <w:jc w:val="both"/>
        <w:rPr>
          <w:rFonts w:asciiTheme="majorBidi" w:hAnsiTheme="majorBidi" w:cstheme="majorBidi"/>
          <w:b/>
          <w:bCs/>
          <w:color w:val="000000" w:themeColor="text1"/>
          <w:sz w:val="24"/>
          <w:szCs w:val="24"/>
          <w:lang w:bidi="ar-JO"/>
        </w:rPr>
      </w:pPr>
    </w:p>
    <w:p w:rsidR="00FB2957" w:rsidRDefault="00FB2957" w:rsidP="00FB2957">
      <w:pPr>
        <w:bidi w:val="0"/>
        <w:spacing w:before="240" w:after="240"/>
        <w:ind w:firstLine="15"/>
        <w:jc w:val="both"/>
        <w:rPr>
          <w:rFonts w:asciiTheme="majorBidi" w:hAnsiTheme="majorBidi" w:cstheme="majorBidi"/>
          <w:b/>
          <w:bCs/>
          <w:color w:val="000000" w:themeColor="text1"/>
          <w:sz w:val="24"/>
          <w:szCs w:val="24"/>
          <w:lang w:bidi="ar-JO"/>
        </w:rPr>
      </w:pPr>
      <w:r>
        <w:rPr>
          <w:rFonts w:asciiTheme="majorBidi" w:hAnsiTheme="majorBidi" w:cstheme="majorBidi"/>
          <w:b/>
          <w:bCs/>
          <w:color w:val="000000" w:themeColor="text1"/>
          <w:sz w:val="24"/>
          <w:szCs w:val="24"/>
          <w:lang w:bidi="ar-JO"/>
        </w:rPr>
        <w:t>Reparation for victims of torture</w:t>
      </w:r>
    </w:p>
    <w:p w:rsidR="00FB2957" w:rsidRDefault="00FB2957" w:rsidP="00FB2957">
      <w:pPr>
        <w:bidi w:val="0"/>
        <w:spacing w:before="240" w:after="240"/>
        <w:jc w:val="both"/>
        <w:rPr>
          <w:rFonts w:asciiTheme="majorBidi" w:hAnsiTheme="majorBidi" w:cstheme="majorBidi"/>
          <w:sz w:val="24"/>
          <w:szCs w:val="24"/>
        </w:rPr>
      </w:pPr>
      <w:r>
        <w:rPr>
          <w:rFonts w:asciiTheme="majorBidi" w:hAnsiTheme="majorBidi" w:cstheme="majorBidi"/>
          <w:sz w:val="24"/>
          <w:szCs w:val="24"/>
        </w:rPr>
        <w:lastRenderedPageBreak/>
        <w:t xml:space="preserve">Legislations do not explicitly provide for the </w:t>
      </w:r>
      <w:r>
        <w:rPr>
          <w:rFonts w:asciiTheme="majorBidi" w:hAnsiTheme="majorBidi" w:cstheme="majorBidi"/>
          <w:sz w:val="24"/>
          <w:szCs w:val="24"/>
          <w:lang w:bidi="ar-JO"/>
        </w:rPr>
        <w:t>compensation</w:t>
      </w:r>
      <w:r>
        <w:rPr>
          <w:rFonts w:asciiTheme="majorBidi" w:hAnsiTheme="majorBidi" w:cstheme="majorBidi"/>
          <w:sz w:val="24"/>
          <w:szCs w:val="24"/>
        </w:rPr>
        <w:t xml:space="preserve"> for the victims of torture, or the criminal justice in general. The legal basis of such cases is articles (256-267) of the Jordanian Civil Code, which need to another legislative text to meet the requirements of the reparation provided for in article (14) concerning assessment of compensation of an act of torture in terms of the past and future loss, the psychological and physical rehabilitation for victims, the guarantees of non-repetition, and satisfaction and apology.</w:t>
      </w:r>
    </w:p>
    <w:p w:rsidR="00FB2957" w:rsidRDefault="00FB2957" w:rsidP="00FB2957">
      <w:pPr>
        <w:bidi w:val="0"/>
        <w:spacing w:before="240" w:after="240"/>
        <w:jc w:val="both"/>
        <w:rPr>
          <w:rFonts w:asciiTheme="majorBidi" w:hAnsiTheme="majorBidi" w:cstheme="majorBidi"/>
          <w:sz w:val="24"/>
          <w:szCs w:val="24"/>
        </w:rPr>
      </w:pPr>
      <w:r>
        <w:rPr>
          <w:rFonts w:asciiTheme="majorBidi" w:hAnsiTheme="majorBidi" w:cstheme="majorBidi"/>
          <w:sz w:val="24"/>
          <w:szCs w:val="24"/>
        </w:rPr>
        <w:t xml:space="preserve">There are five cases concerning allegations torture and ill-treatment are still pending before the Police Court </w:t>
      </w:r>
      <w:r>
        <w:rPr>
          <w:rFonts w:asciiTheme="majorBidi" w:eastAsia="Times New Roman" w:hAnsiTheme="majorBidi" w:cstheme="majorBidi"/>
          <w:color w:val="000000" w:themeColor="text1"/>
          <w:sz w:val="24"/>
          <w:szCs w:val="24"/>
          <w:lang w:bidi="ar-JO"/>
        </w:rPr>
        <w:t>against the Departments of Criminal Investigation and the Anti-Narcotic and Counterfeiting Departments since 2016.</w:t>
      </w:r>
    </w:p>
    <w:p w:rsidR="00FB2957" w:rsidRDefault="00FB2957" w:rsidP="00FB2957">
      <w:pPr>
        <w:bidi w:val="0"/>
        <w:spacing w:before="240" w:after="240" w:line="240" w:lineRule="auto"/>
        <w:jc w:val="both"/>
        <w:rPr>
          <w:rFonts w:asciiTheme="majorBidi" w:eastAsia="Times New Roman" w:hAnsiTheme="majorBidi" w:cstheme="majorBidi"/>
          <w:b/>
          <w:bCs/>
          <w:color w:val="000000" w:themeColor="text1"/>
          <w:sz w:val="24"/>
          <w:szCs w:val="24"/>
        </w:rPr>
      </w:pPr>
      <w:r>
        <w:rPr>
          <w:rFonts w:asciiTheme="majorBidi" w:eastAsia="Times New Roman" w:hAnsiTheme="majorBidi" w:cstheme="majorBidi"/>
          <w:color w:val="000000" w:themeColor="text1"/>
          <w:sz w:val="24"/>
          <w:szCs w:val="24"/>
        </w:rPr>
        <w:t xml:space="preserve">10- NCHR conducts unannounced visits to the RRCs and detention facilities, as well to places of detention affiliated to the Department of General Intelligence.  </w:t>
      </w:r>
      <w:r>
        <w:rPr>
          <w:rFonts w:asciiTheme="majorBidi" w:eastAsia="Times New Roman" w:hAnsiTheme="majorBidi" w:cstheme="majorBidi"/>
          <w:b/>
          <w:bCs/>
          <w:color w:val="000000" w:themeColor="text1"/>
          <w:sz w:val="24"/>
          <w:szCs w:val="24"/>
        </w:rPr>
        <w:t xml:space="preserve">The following table shows the number of visits carried out to these facilities in the period between (2013-2016).   </w:t>
      </w:r>
    </w:p>
    <w:tbl>
      <w:tblPr>
        <w:tblStyle w:val="TableGrid"/>
        <w:bidiVisual/>
        <w:tblW w:w="0" w:type="auto"/>
        <w:tblLook w:val="04A0" w:firstRow="1" w:lastRow="0" w:firstColumn="1" w:lastColumn="0" w:noHBand="0" w:noVBand="1"/>
      </w:tblPr>
      <w:tblGrid>
        <w:gridCol w:w="4261"/>
        <w:gridCol w:w="4261"/>
      </w:tblGrid>
      <w:tr w:rsidR="00FB2957" w:rsidTr="00FB2957">
        <w:tc>
          <w:tcPr>
            <w:tcW w:w="4261" w:type="dxa"/>
            <w:tcBorders>
              <w:top w:val="single" w:sz="4" w:space="0" w:color="auto"/>
              <w:left w:val="single" w:sz="4" w:space="0" w:color="auto"/>
              <w:bottom w:val="single" w:sz="4" w:space="0" w:color="auto"/>
              <w:right w:val="single" w:sz="4" w:space="0" w:color="auto"/>
            </w:tcBorders>
            <w:hideMark/>
          </w:tcPr>
          <w:p w:rsidR="00FB2957" w:rsidRDefault="00FB2957">
            <w:pPr>
              <w:spacing w:before="240" w:after="240"/>
              <w:jc w:val="center"/>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Number of visits</w:t>
            </w:r>
          </w:p>
        </w:tc>
        <w:tc>
          <w:tcPr>
            <w:tcW w:w="4261" w:type="dxa"/>
            <w:tcBorders>
              <w:top w:val="single" w:sz="4" w:space="0" w:color="auto"/>
              <w:left w:val="single" w:sz="4" w:space="0" w:color="auto"/>
              <w:bottom w:val="single" w:sz="4" w:space="0" w:color="auto"/>
              <w:right w:val="single" w:sz="4" w:space="0" w:color="auto"/>
            </w:tcBorders>
            <w:hideMark/>
          </w:tcPr>
          <w:p w:rsidR="00FB2957" w:rsidRDefault="00FB2957">
            <w:pPr>
              <w:spacing w:before="240" w:after="240"/>
              <w:jc w:val="center"/>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Entity</w:t>
            </w:r>
          </w:p>
        </w:tc>
      </w:tr>
      <w:tr w:rsidR="00FB2957" w:rsidTr="00FB2957">
        <w:tc>
          <w:tcPr>
            <w:tcW w:w="4261" w:type="dxa"/>
            <w:tcBorders>
              <w:top w:val="single" w:sz="4" w:space="0" w:color="auto"/>
              <w:left w:val="single" w:sz="4" w:space="0" w:color="auto"/>
              <w:bottom w:val="single" w:sz="4" w:space="0" w:color="auto"/>
              <w:right w:val="single" w:sz="4" w:space="0" w:color="auto"/>
            </w:tcBorders>
            <w:hideMark/>
          </w:tcPr>
          <w:p w:rsidR="00FB2957" w:rsidRDefault="00FB2957">
            <w:pPr>
              <w:spacing w:before="240" w:after="240"/>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200</w:t>
            </w:r>
          </w:p>
        </w:tc>
        <w:tc>
          <w:tcPr>
            <w:tcW w:w="4261" w:type="dxa"/>
            <w:tcBorders>
              <w:top w:val="single" w:sz="4" w:space="0" w:color="auto"/>
              <w:left w:val="single" w:sz="4" w:space="0" w:color="auto"/>
              <w:bottom w:val="single" w:sz="4" w:space="0" w:color="auto"/>
              <w:right w:val="single" w:sz="4" w:space="0" w:color="auto"/>
            </w:tcBorders>
            <w:hideMark/>
          </w:tcPr>
          <w:p w:rsidR="00FB2957" w:rsidRDefault="00FB2957">
            <w:pPr>
              <w:spacing w:before="240" w:after="240"/>
              <w:jc w:val="right"/>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RRCs </w:t>
            </w:r>
          </w:p>
        </w:tc>
      </w:tr>
      <w:tr w:rsidR="00FB2957" w:rsidTr="00FB2957">
        <w:tc>
          <w:tcPr>
            <w:tcW w:w="4261" w:type="dxa"/>
            <w:tcBorders>
              <w:top w:val="single" w:sz="4" w:space="0" w:color="auto"/>
              <w:left w:val="single" w:sz="4" w:space="0" w:color="auto"/>
              <w:bottom w:val="single" w:sz="4" w:space="0" w:color="auto"/>
              <w:right w:val="single" w:sz="4" w:space="0" w:color="auto"/>
            </w:tcBorders>
            <w:hideMark/>
          </w:tcPr>
          <w:p w:rsidR="00FB2957" w:rsidRDefault="00FB2957">
            <w:pPr>
              <w:spacing w:before="240" w:after="240"/>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188</w:t>
            </w:r>
          </w:p>
        </w:tc>
        <w:tc>
          <w:tcPr>
            <w:tcW w:w="4261" w:type="dxa"/>
            <w:tcBorders>
              <w:top w:val="single" w:sz="4" w:space="0" w:color="auto"/>
              <w:left w:val="single" w:sz="4" w:space="0" w:color="auto"/>
              <w:bottom w:val="single" w:sz="4" w:space="0" w:color="auto"/>
              <w:right w:val="single" w:sz="4" w:space="0" w:color="auto"/>
            </w:tcBorders>
            <w:hideMark/>
          </w:tcPr>
          <w:p w:rsidR="00FB2957" w:rsidRDefault="00FB2957">
            <w:pPr>
              <w:spacing w:before="240" w:after="240"/>
              <w:jc w:val="right"/>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Temporary Detention Facilities</w:t>
            </w:r>
          </w:p>
        </w:tc>
      </w:tr>
      <w:tr w:rsidR="00FB2957" w:rsidTr="00FB2957">
        <w:tc>
          <w:tcPr>
            <w:tcW w:w="4261" w:type="dxa"/>
            <w:tcBorders>
              <w:top w:val="single" w:sz="4" w:space="0" w:color="auto"/>
              <w:left w:val="single" w:sz="4" w:space="0" w:color="auto"/>
              <w:bottom w:val="single" w:sz="4" w:space="0" w:color="auto"/>
              <w:right w:val="single" w:sz="4" w:space="0" w:color="auto"/>
            </w:tcBorders>
            <w:hideMark/>
          </w:tcPr>
          <w:p w:rsidR="00FB2957" w:rsidRDefault="00FB2957">
            <w:pPr>
              <w:spacing w:before="240" w:after="240"/>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10</w:t>
            </w:r>
          </w:p>
        </w:tc>
        <w:tc>
          <w:tcPr>
            <w:tcW w:w="4261" w:type="dxa"/>
            <w:tcBorders>
              <w:top w:val="single" w:sz="4" w:space="0" w:color="auto"/>
              <w:left w:val="single" w:sz="4" w:space="0" w:color="auto"/>
              <w:bottom w:val="single" w:sz="4" w:space="0" w:color="auto"/>
              <w:right w:val="single" w:sz="4" w:space="0" w:color="auto"/>
            </w:tcBorders>
            <w:hideMark/>
          </w:tcPr>
          <w:p w:rsidR="00FB2957" w:rsidRDefault="00FB2957">
            <w:pPr>
              <w:spacing w:before="240" w:after="240"/>
              <w:jc w:val="right"/>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Detention Facility at the GID</w:t>
            </w:r>
          </w:p>
        </w:tc>
      </w:tr>
    </w:tbl>
    <w:p w:rsidR="00FB2957" w:rsidRDefault="00FB2957" w:rsidP="00FB2957">
      <w:pPr>
        <w:suppressAutoHyphens/>
        <w:bidi w:val="0"/>
        <w:spacing w:after="120" w:line="240" w:lineRule="atLeast"/>
        <w:jc w:val="both"/>
        <w:rPr>
          <w:rFonts w:asciiTheme="majorBidi" w:eastAsia="Times New Roman" w:hAnsiTheme="majorBidi" w:cstheme="majorBidi"/>
          <w:color w:val="000000" w:themeColor="text1"/>
          <w:sz w:val="24"/>
          <w:szCs w:val="24"/>
          <w:rtl/>
          <w:lang w:bidi="ar-JO"/>
        </w:rPr>
      </w:pPr>
    </w:p>
    <w:p w:rsidR="00FB2957" w:rsidRDefault="00FB2957" w:rsidP="00FB2957">
      <w:pPr>
        <w:suppressAutoHyphens/>
        <w:bidi w:val="0"/>
        <w:spacing w:after="120" w:line="240" w:lineRule="atLeast"/>
        <w:jc w:val="both"/>
        <w:rPr>
          <w:rFonts w:asciiTheme="majorBidi" w:eastAsia="Times New Roman" w:hAnsiTheme="majorBidi" w:cstheme="majorBidi"/>
          <w:color w:val="000000" w:themeColor="text1"/>
          <w:sz w:val="24"/>
          <w:szCs w:val="24"/>
          <w:lang w:bidi="ar-JO"/>
        </w:rPr>
      </w:pPr>
      <w:r>
        <w:rPr>
          <w:rFonts w:asciiTheme="majorBidi" w:eastAsia="Times New Roman" w:hAnsiTheme="majorBidi" w:cstheme="majorBidi"/>
          <w:color w:val="000000" w:themeColor="text1"/>
          <w:sz w:val="24"/>
          <w:szCs w:val="24"/>
          <w:lang w:bidi="ar-JO"/>
        </w:rPr>
        <w:t xml:space="preserve">As to measures taken by the Center, it is to be noted that they are legislative, executive and procedural measures. It consists of proposing amendments on the relevant legislations, and adopting of policies that would enhance the criminal justice framework. The procedural measures include activities on human rights awareness and education that would promote human rights.    </w:t>
      </w:r>
    </w:p>
    <w:p w:rsidR="00FB2957" w:rsidRDefault="00FB2957" w:rsidP="00FB2957">
      <w:pPr>
        <w:bidi w:val="0"/>
        <w:jc w:val="both"/>
        <w:rPr>
          <w:rFonts w:asciiTheme="majorBidi" w:hAnsiTheme="majorBidi" w:cstheme="majorBidi"/>
          <w:sz w:val="24"/>
          <w:szCs w:val="24"/>
          <w:lang w:bidi="ar-JO"/>
        </w:rPr>
      </w:pPr>
      <w:r>
        <w:rPr>
          <w:rFonts w:asciiTheme="majorBidi" w:hAnsiTheme="majorBidi" w:cstheme="majorBidi"/>
          <w:b/>
          <w:bCs/>
          <w:sz w:val="24"/>
          <w:szCs w:val="24"/>
          <w:lang w:bidi="ar-JO"/>
        </w:rPr>
        <w:t>Accession to the Optional Protocol to the Convention against Torture and Other Cruel, Inhuman or Degrading Treatment or Punishment</w:t>
      </w:r>
      <w:r>
        <w:rPr>
          <w:rFonts w:asciiTheme="majorBidi" w:hAnsiTheme="majorBidi" w:cstheme="majorBidi"/>
          <w:sz w:val="24"/>
          <w:szCs w:val="24"/>
          <w:lang w:bidi="ar-JO"/>
        </w:rPr>
        <w:t xml:space="preserve">, </w:t>
      </w:r>
    </w:p>
    <w:p w:rsidR="00FB2957" w:rsidRDefault="00FB2957" w:rsidP="00FB2957">
      <w:pPr>
        <w:bidi w:val="0"/>
        <w:jc w:val="both"/>
        <w:rPr>
          <w:rFonts w:asciiTheme="majorBidi" w:hAnsiTheme="majorBidi" w:cstheme="majorBidi"/>
          <w:sz w:val="24"/>
          <w:szCs w:val="24"/>
          <w:lang w:bidi="ar-JO"/>
        </w:rPr>
      </w:pPr>
      <w:r>
        <w:rPr>
          <w:rFonts w:asciiTheme="majorBidi" w:hAnsiTheme="majorBidi" w:cstheme="majorBidi"/>
          <w:sz w:val="24"/>
          <w:szCs w:val="24"/>
          <w:lang w:bidi="ar-JO"/>
        </w:rPr>
        <w:t>It worth mentioning that NCHR, since its establishment, recommended that Jordan needs to accede to the OPCAT. It has undertaken various advocacy and awareness-raising efforts to that end, through Karam "Dignity" Project, which is currently implemented by the Center for the third phase, through which the role of the CSOs and human rights activists in this field have been enhanced. The National Monitoring Team (NMT) for Combating Torture was established with a long-term view to be the core of the national preventive mechanism in case Jordan ratified the OPCAT. The NMT operates under the umbrella of the NCHR, by virtue of its competence.  The number of visits implemented by the Team during the period (2008-2015) are (78) visits. The Team also issued two reports (the First and the Second) on the condition of the Reform and the Rehabilitation Centers in the Kingdom.</w:t>
      </w:r>
    </w:p>
    <w:p w:rsidR="00FB2957" w:rsidRDefault="00FB2957" w:rsidP="00FB2957">
      <w:pPr>
        <w:bidi w:val="0"/>
        <w:jc w:val="both"/>
        <w:rPr>
          <w:rFonts w:asciiTheme="majorBidi" w:hAnsiTheme="majorBidi" w:cstheme="majorBidi"/>
          <w:sz w:val="24"/>
          <w:szCs w:val="24"/>
          <w:lang w:bidi="ar-JO"/>
        </w:rPr>
      </w:pPr>
      <w:r>
        <w:rPr>
          <w:rFonts w:asciiTheme="majorBidi" w:hAnsiTheme="majorBidi" w:cstheme="majorBidi"/>
          <w:sz w:val="24"/>
          <w:szCs w:val="24"/>
          <w:lang w:bidi="ar-JO"/>
        </w:rPr>
        <w:lastRenderedPageBreak/>
        <w:t xml:space="preserve">The Center also formed the National Alliance for combating Torture which composed of 500 member from among the official institutions,   civil society organizations, and human rights activists. The Alliance aims to urge the Jordanian government to ratify the OPCAT through conducting awareness raising workshops in all the kingdom's governorates. </w:t>
      </w:r>
    </w:p>
    <w:p w:rsidR="00FB2957" w:rsidRDefault="00FB2957" w:rsidP="00FB2957">
      <w:pPr>
        <w:pStyle w:val="H1G"/>
        <w:ind w:left="0" w:firstLine="0"/>
        <w:rPr>
          <w:rFonts w:asciiTheme="majorBidi" w:hAnsiTheme="majorBidi" w:cstheme="majorBidi"/>
          <w:szCs w:val="24"/>
          <w:lang w:bidi="ar-JO"/>
        </w:rPr>
      </w:pPr>
      <w:r>
        <w:rPr>
          <w:rFonts w:asciiTheme="majorBidi" w:hAnsiTheme="majorBidi" w:cstheme="majorBidi"/>
          <w:szCs w:val="24"/>
        </w:rPr>
        <w:t>Migrant domestic workers (arts. 2, 8 and 26)</w:t>
      </w:r>
    </w:p>
    <w:p w:rsidR="00FB2957" w:rsidRDefault="00FB2957" w:rsidP="00FB2957">
      <w:pPr>
        <w:tabs>
          <w:tab w:val="right" w:pos="0"/>
          <w:tab w:val="left" w:pos="9720"/>
        </w:tabs>
        <w:bidi w:val="0"/>
        <w:spacing w:after="0"/>
        <w:ind w:right="-540"/>
        <w:jc w:val="both"/>
        <w:rPr>
          <w:rFonts w:asciiTheme="majorBidi" w:eastAsia="Times New Roman" w:hAnsiTheme="majorBidi" w:cstheme="majorBidi"/>
          <w:color w:val="000000" w:themeColor="text1"/>
          <w:sz w:val="24"/>
          <w:szCs w:val="24"/>
          <w:rtl/>
          <w:lang w:bidi="ar-JO"/>
        </w:rPr>
      </w:pPr>
      <w:r>
        <w:rPr>
          <w:rFonts w:asciiTheme="majorBidi" w:hAnsiTheme="majorBidi" w:cstheme="majorBidi"/>
          <w:sz w:val="24"/>
          <w:szCs w:val="24"/>
        </w:rPr>
        <w:t xml:space="preserve">12- In recent years, many measures have been taken </w:t>
      </w:r>
      <w:r>
        <w:rPr>
          <w:rFonts w:asciiTheme="majorBidi" w:eastAsia="Times New Roman" w:hAnsiTheme="majorBidi" w:cstheme="majorBidi"/>
          <w:color w:val="000000" w:themeColor="text1"/>
          <w:sz w:val="24"/>
          <w:szCs w:val="24"/>
          <w:lang w:bidi="ar-JO"/>
        </w:rPr>
        <w:t xml:space="preserve">at both the legislative and policy levels </w:t>
      </w:r>
      <w:r>
        <w:rPr>
          <w:rFonts w:asciiTheme="majorBidi" w:hAnsiTheme="majorBidi" w:cstheme="majorBidi"/>
          <w:sz w:val="24"/>
          <w:szCs w:val="24"/>
        </w:rPr>
        <w:t xml:space="preserve"> to ensure the rights of migrant workers, including the domestic workers</w:t>
      </w:r>
      <w:r>
        <w:rPr>
          <w:rFonts w:asciiTheme="majorBidi" w:eastAsia="Times New Roman" w:hAnsiTheme="majorBidi" w:cstheme="majorBidi"/>
          <w:color w:val="000000" w:themeColor="text1"/>
          <w:sz w:val="24"/>
          <w:szCs w:val="24"/>
          <w:lang w:bidi="ar-JO"/>
        </w:rPr>
        <w:t>, inter alia:</w:t>
      </w:r>
    </w:p>
    <w:p w:rsidR="00FB2957" w:rsidRDefault="00FB2957" w:rsidP="00FB2957">
      <w:pPr>
        <w:numPr>
          <w:ilvl w:val="0"/>
          <w:numId w:val="21"/>
        </w:numPr>
        <w:tabs>
          <w:tab w:val="right" w:pos="0"/>
          <w:tab w:val="left" w:pos="9720"/>
        </w:tabs>
        <w:bidi w:val="0"/>
        <w:spacing w:after="0" w:line="240" w:lineRule="auto"/>
        <w:ind w:left="1440" w:right="-540"/>
        <w:contextualSpacing/>
        <w:jc w:val="both"/>
        <w:rPr>
          <w:rFonts w:asciiTheme="majorBidi" w:eastAsia="Times New Roman" w:hAnsiTheme="majorBidi" w:cstheme="majorBidi"/>
          <w:color w:val="000000" w:themeColor="text1"/>
          <w:sz w:val="24"/>
          <w:szCs w:val="24"/>
          <w:lang w:bidi="ar-JO"/>
        </w:rPr>
      </w:pPr>
      <w:r>
        <w:rPr>
          <w:rFonts w:asciiTheme="majorBidi" w:eastAsia="Times New Roman" w:hAnsiTheme="majorBidi" w:cstheme="majorBidi"/>
          <w:color w:val="000000" w:themeColor="text1"/>
          <w:sz w:val="24"/>
          <w:szCs w:val="24"/>
          <w:lang w:bidi="ar-JO"/>
        </w:rPr>
        <w:t>The establishment of the Anti-trafficking Unit within the Public Security Directorate. The  Unit's roles are to provide protection for migrant workers including domestic workers, investigate into violations against them, and bring the perpetrators to justice. The year 2016 witnessed the submission of (30 cases on suspension of human trafficking) to the Public Prosecutor, among which (21) cases related to forced labor (domestic workers), and all of these cases are pending before the court.</w:t>
      </w:r>
    </w:p>
    <w:p w:rsidR="00FB2957" w:rsidRDefault="00FB2957" w:rsidP="00FB2957">
      <w:pPr>
        <w:numPr>
          <w:ilvl w:val="0"/>
          <w:numId w:val="21"/>
        </w:numPr>
        <w:tabs>
          <w:tab w:val="right" w:pos="0"/>
          <w:tab w:val="left" w:pos="9720"/>
        </w:tabs>
        <w:bidi w:val="0"/>
        <w:spacing w:after="0" w:line="240" w:lineRule="auto"/>
        <w:ind w:left="1440" w:right="-540"/>
        <w:contextualSpacing/>
        <w:jc w:val="both"/>
        <w:rPr>
          <w:rFonts w:asciiTheme="majorBidi" w:eastAsia="Times New Roman" w:hAnsiTheme="majorBidi" w:cstheme="majorBidi"/>
          <w:color w:val="000000" w:themeColor="text1"/>
          <w:sz w:val="24"/>
          <w:szCs w:val="24"/>
          <w:lang w:bidi="ar-JO"/>
        </w:rPr>
      </w:pPr>
      <w:r>
        <w:rPr>
          <w:rFonts w:asciiTheme="majorBidi" w:eastAsia="Times New Roman" w:hAnsiTheme="majorBidi" w:cstheme="majorBidi"/>
          <w:color w:val="000000" w:themeColor="text1"/>
          <w:sz w:val="24"/>
          <w:szCs w:val="24"/>
          <w:lang w:bidi="ar-JO"/>
        </w:rPr>
        <w:t xml:space="preserve">The promulgation of the </w:t>
      </w:r>
      <w:r>
        <w:rPr>
          <w:rFonts w:asciiTheme="majorBidi" w:hAnsiTheme="majorBidi" w:cstheme="majorBidi"/>
          <w:sz w:val="24"/>
          <w:szCs w:val="24"/>
          <w:lang w:bidi="ar-JO"/>
        </w:rPr>
        <w:t>Anti- Human Trafficking Law. No.9 for the Year 2009</w:t>
      </w:r>
      <w:r>
        <w:rPr>
          <w:rFonts w:asciiTheme="majorBidi" w:eastAsia="Times New Roman" w:hAnsiTheme="majorBidi" w:cstheme="majorBidi"/>
          <w:color w:val="000000" w:themeColor="text1"/>
          <w:sz w:val="24"/>
          <w:szCs w:val="24"/>
          <w:lang w:bidi="ar-JO"/>
        </w:rPr>
        <w:t>.  Amendments to the Ordinance are presently being discussed in order to provide for stricter punishment for human traffickers.</w:t>
      </w:r>
    </w:p>
    <w:p w:rsidR="00FB2957" w:rsidRDefault="00FB2957" w:rsidP="00FB2957">
      <w:pPr>
        <w:numPr>
          <w:ilvl w:val="0"/>
          <w:numId w:val="21"/>
        </w:numPr>
        <w:tabs>
          <w:tab w:val="right" w:pos="0"/>
          <w:tab w:val="left" w:pos="9720"/>
        </w:tabs>
        <w:bidi w:val="0"/>
        <w:spacing w:after="0" w:line="240" w:lineRule="auto"/>
        <w:ind w:left="1440" w:right="-540"/>
        <w:contextualSpacing/>
        <w:jc w:val="both"/>
        <w:rPr>
          <w:rFonts w:asciiTheme="majorBidi" w:eastAsia="Times New Roman" w:hAnsiTheme="majorBidi" w:cstheme="majorBidi"/>
          <w:color w:val="000000" w:themeColor="text1"/>
          <w:sz w:val="24"/>
          <w:szCs w:val="24"/>
          <w:lang w:bidi="ar-JO"/>
        </w:rPr>
      </w:pPr>
      <w:r>
        <w:rPr>
          <w:rFonts w:asciiTheme="majorBidi" w:eastAsia="Times New Roman" w:hAnsiTheme="majorBidi" w:cstheme="majorBidi"/>
          <w:color w:val="000000" w:themeColor="text1"/>
          <w:sz w:val="24"/>
          <w:szCs w:val="24"/>
          <w:lang w:bidi="ar-JO"/>
        </w:rPr>
        <w:t>The establishment of a 24-hour hotline in the Ministry of Labor to receive the migrant workers complaints, including the domestic works. This service is available in 7 languages.</w:t>
      </w:r>
    </w:p>
    <w:p w:rsidR="00FB2957" w:rsidRDefault="00FB2957" w:rsidP="00FB2957">
      <w:pPr>
        <w:numPr>
          <w:ilvl w:val="0"/>
          <w:numId w:val="21"/>
        </w:numPr>
        <w:tabs>
          <w:tab w:val="right" w:pos="0"/>
          <w:tab w:val="left" w:pos="9720"/>
        </w:tabs>
        <w:bidi w:val="0"/>
        <w:spacing w:after="0" w:line="240" w:lineRule="auto"/>
        <w:ind w:left="1440" w:right="-540"/>
        <w:contextualSpacing/>
        <w:jc w:val="both"/>
        <w:rPr>
          <w:rFonts w:asciiTheme="majorBidi" w:eastAsia="Times New Roman" w:hAnsiTheme="majorBidi" w:cstheme="majorBidi"/>
          <w:color w:val="000000" w:themeColor="text1"/>
          <w:sz w:val="24"/>
          <w:szCs w:val="24"/>
          <w:lang w:bidi="ar-JO"/>
        </w:rPr>
      </w:pPr>
      <w:r>
        <w:rPr>
          <w:rFonts w:asciiTheme="majorBidi" w:eastAsia="Times New Roman" w:hAnsiTheme="majorBidi" w:cstheme="majorBidi"/>
          <w:color w:val="000000" w:themeColor="text1"/>
          <w:sz w:val="24"/>
          <w:szCs w:val="24"/>
          <w:lang w:bidi="ar-JO"/>
        </w:rPr>
        <w:t xml:space="preserve">The handing of renewing employment contracts of domestic workers by the Domestic Workers Recruitment Department at the Labor Ministry and the Labor Inspection Offices, where the attainment of the domestic workers of their full entitlements for the past year is being verified, and ascertain that she has not been beaten, or that he has not been </w:t>
      </w:r>
      <w:r>
        <w:rPr>
          <w:rFonts w:asciiTheme="majorBidi" w:hAnsiTheme="majorBidi" w:cstheme="majorBidi"/>
          <w:sz w:val="24"/>
          <w:szCs w:val="24"/>
        </w:rPr>
        <w:t xml:space="preserve"> </w:t>
      </w:r>
      <w:r>
        <w:rPr>
          <w:rFonts w:asciiTheme="majorBidi" w:eastAsia="Times New Roman" w:hAnsiTheme="majorBidi" w:cstheme="majorBidi"/>
          <w:color w:val="000000" w:themeColor="text1"/>
          <w:sz w:val="24"/>
          <w:szCs w:val="24"/>
          <w:lang w:bidi="ar-JO"/>
        </w:rPr>
        <w:t>subjected to restrictions on her freedom of movement by imprisonment, or that she has not been physically, psychologically and sexually abused, and that she was permitted to retain her passport, through asking her a lot of questions prior to approve her employment contract for the next year.</w:t>
      </w:r>
    </w:p>
    <w:p w:rsidR="00FB2957" w:rsidRDefault="00FB2957" w:rsidP="00FB2957">
      <w:pPr>
        <w:pStyle w:val="ListParagraph"/>
        <w:numPr>
          <w:ilvl w:val="0"/>
          <w:numId w:val="21"/>
        </w:numPr>
        <w:bidi w:val="0"/>
        <w:spacing w:before="240" w:after="120"/>
        <w:jc w:val="both"/>
        <w:rPr>
          <w:rFonts w:asciiTheme="majorBidi" w:hAnsiTheme="majorBidi" w:cstheme="majorBidi"/>
          <w:color w:val="000000" w:themeColor="text1"/>
        </w:rPr>
      </w:pPr>
      <w:r>
        <w:rPr>
          <w:rFonts w:asciiTheme="majorBidi" w:hAnsiTheme="majorBidi" w:cstheme="majorBidi"/>
          <w:color w:val="000000" w:themeColor="text1"/>
        </w:rPr>
        <w:t>The promulgation of Regulation No 90/2009 Of Domestic Workers, Cooks, Gardeners and persons employed in similar occupations</w:t>
      </w:r>
      <w:r>
        <w:t xml:space="preserve">, which </w:t>
      </w:r>
      <w:r>
        <w:rPr>
          <w:rFonts w:asciiTheme="majorBidi" w:hAnsiTheme="majorBidi" w:cstheme="majorBidi"/>
          <w:color w:val="000000" w:themeColor="text1"/>
        </w:rPr>
        <w:t xml:space="preserve">states that the obligations of the employer, including paying salaries and wages on time, as well as the rights of workers, including the right to one day off each week, the limitation of working hours to 8 hours, annual paid leave of (14) calendar days, and for a sick leave .. etc., the provision of health care for the worker, permitting worker to practice their religious ceremonies, and the provision of air tickets Etc.  </w:t>
      </w:r>
    </w:p>
    <w:p w:rsidR="00FB2957" w:rsidRDefault="00FB2957" w:rsidP="00FB2957">
      <w:pPr>
        <w:tabs>
          <w:tab w:val="right" w:pos="0"/>
          <w:tab w:val="left" w:pos="9720"/>
        </w:tabs>
        <w:bidi w:val="0"/>
        <w:spacing w:after="0" w:line="240" w:lineRule="auto"/>
        <w:ind w:left="720" w:right="-540"/>
        <w:contextualSpacing/>
        <w:jc w:val="both"/>
        <w:rPr>
          <w:rFonts w:asciiTheme="majorBidi" w:eastAsia="Times New Roman" w:hAnsiTheme="majorBidi" w:cstheme="majorBidi"/>
          <w:color w:val="000000" w:themeColor="text1"/>
          <w:sz w:val="24"/>
          <w:szCs w:val="24"/>
          <w:lang w:bidi="ar-JO"/>
        </w:rPr>
      </w:pPr>
    </w:p>
    <w:p w:rsidR="00FB2957" w:rsidRDefault="00FB2957" w:rsidP="00FB2957">
      <w:pPr>
        <w:tabs>
          <w:tab w:val="right" w:pos="0"/>
          <w:tab w:val="left" w:pos="9720"/>
        </w:tabs>
        <w:bidi w:val="0"/>
        <w:spacing w:after="0" w:line="240" w:lineRule="auto"/>
        <w:ind w:left="720" w:right="-540"/>
        <w:contextualSpacing/>
        <w:jc w:val="both"/>
        <w:rPr>
          <w:rFonts w:asciiTheme="majorBidi" w:eastAsia="Times New Roman" w:hAnsiTheme="majorBidi" w:cstheme="majorBidi"/>
          <w:color w:val="000000" w:themeColor="text1"/>
          <w:sz w:val="24"/>
          <w:szCs w:val="24"/>
          <w:lang w:bidi="ar-JO"/>
        </w:rPr>
      </w:pPr>
      <w:r>
        <w:rPr>
          <w:rFonts w:asciiTheme="majorBidi" w:eastAsia="Times New Roman" w:hAnsiTheme="majorBidi" w:cstheme="majorBidi"/>
          <w:color w:val="000000" w:themeColor="text1"/>
          <w:sz w:val="24"/>
          <w:szCs w:val="24"/>
          <w:lang w:bidi="ar-JO"/>
        </w:rPr>
        <w:t xml:space="preserve"> </w:t>
      </w:r>
    </w:p>
    <w:p w:rsidR="00FB2957" w:rsidRDefault="00FB2957" w:rsidP="00FB2957">
      <w:pPr>
        <w:numPr>
          <w:ilvl w:val="0"/>
          <w:numId w:val="21"/>
        </w:numPr>
        <w:tabs>
          <w:tab w:val="right" w:pos="0"/>
          <w:tab w:val="left" w:pos="9720"/>
        </w:tabs>
        <w:bidi w:val="0"/>
        <w:spacing w:after="0" w:line="240" w:lineRule="auto"/>
        <w:ind w:left="1440" w:right="-540"/>
        <w:contextualSpacing/>
        <w:jc w:val="both"/>
        <w:rPr>
          <w:rFonts w:asciiTheme="majorBidi" w:eastAsia="Times New Roman" w:hAnsiTheme="majorBidi" w:cstheme="majorBidi"/>
          <w:color w:val="000000" w:themeColor="text1"/>
          <w:sz w:val="24"/>
          <w:szCs w:val="24"/>
          <w:rtl/>
          <w:lang w:bidi="ar-JO"/>
        </w:rPr>
      </w:pPr>
      <w:r>
        <w:rPr>
          <w:rFonts w:asciiTheme="majorBidi" w:eastAsia="Times New Roman" w:hAnsiTheme="majorBidi" w:cstheme="majorBidi"/>
          <w:color w:val="000000" w:themeColor="text1"/>
          <w:sz w:val="24"/>
          <w:szCs w:val="24"/>
          <w:lang w:bidi="ar-JO"/>
        </w:rPr>
        <w:t>The opening of Dar Al Karameh “Dignity Shelter” in 2015, which is affiliated to the Ministry of Social Development. The Shelter accommodates survivors of human trafficking of domestic an non-domestic works who left their employment or were subjected to ill-treatment. In addition to these shelters, there</w:t>
      </w:r>
      <w:r>
        <w:rPr>
          <w:rFonts w:asciiTheme="majorBidi" w:eastAsia="Times New Roman" w:hAnsiTheme="majorBidi" w:cstheme="majorBidi"/>
          <w:color w:val="000000" w:themeColor="text1"/>
          <w:sz w:val="24"/>
          <w:szCs w:val="24"/>
          <w:rtl/>
          <w:lang w:bidi="ar-JO"/>
        </w:rPr>
        <w:t xml:space="preserve"> </w:t>
      </w:r>
      <w:r>
        <w:rPr>
          <w:rFonts w:asciiTheme="majorBidi" w:eastAsia="Times New Roman" w:hAnsiTheme="majorBidi" w:cstheme="majorBidi"/>
          <w:color w:val="000000" w:themeColor="text1"/>
          <w:sz w:val="24"/>
          <w:szCs w:val="24"/>
          <w:lang w:bidi="ar-JO"/>
        </w:rPr>
        <w:t>is the Jordanian women Union and Dar al Wifaq Al Osari Home Shelter (Family Reconciliation House). This Shelter receives these cases, accommodate them, and provide the necessary services until the victim is rehabilitated and integrated in the labor market or the voluntary return to her country of origin.</w:t>
      </w:r>
    </w:p>
    <w:p w:rsidR="00FB2957" w:rsidRDefault="00FB2957" w:rsidP="00FB2957">
      <w:pPr>
        <w:bidi w:val="0"/>
        <w:spacing w:after="0" w:line="240" w:lineRule="auto"/>
        <w:contextualSpacing/>
        <w:jc w:val="both"/>
        <w:rPr>
          <w:rFonts w:asciiTheme="majorBidi" w:eastAsia="Times New Roman" w:hAnsiTheme="majorBidi" w:cstheme="majorBidi"/>
          <w:color w:val="000000" w:themeColor="text1"/>
          <w:sz w:val="24"/>
          <w:szCs w:val="24"/>
          <w:rtl/>
          <w:lang w:bidi="ar-JO"/>
        </w:rPr>
      </w:pPr>
    </w:p>
    <w:p w:rsidR="00FB2957" w:rsidRDefault="00FB2957" w:rsidP="00FB2957">
      <w:pPr>
        <w:keepNext/>
        <w:keepLines/>
        <w:tabs>
          <w:tab w:val="right" w:pos="851"/>
        </w:tabs>
        <w:suppressAutoHyphens/>
        <w:bidi w:val="0"/>
        <w:spacing w:before="360" w:after="240" w:line="270" w:lineRule="exact"/>
        <w:ind w:right="1134"/>
        <w:rPr>
          <w:rFonts w:asciiTheme="majorBidi" w:eastAsia="Times New Roman" w:hAnsiTheme="majorBidi" w:cstheme="majorBidi"/>
          <w:b/>
          <w:bCs/>
          <w:color w:val="000000" w:themeColor="text1"/>
          <w:sz w:val="24"/>
          <w:szCs w:val="24"/>
        </w:rPr>
      </w:pPr>
      <w:r>
        <w:rPr>
          <w:rFonts w:asciiTheme="majorBidi" w:eastAsia="Times New Roman" w:hAnsiTheme="majorBidi" w:cstheme="majorBidi"/>
          <w:b/>
          <w:bCs/>
          <w:color w:val="000000" w:themeColor="text1"/>
          <w:sz w:val="24"/>
          <w:szCs w:val="24"/>
        </w:rPr>
        <w:t>Treatment of aliens, including refugees and asylum seekers (arts. 2, 7, 9-10, 13 and 26)</w:t>
      </w:r>
    </w:p>
    <w:p w:rsidR="00FB2957" w:rsidRDefault="00FB2957" w:rsidP="00FB2957">
      <w:pPr>
        <w:tabs>
          <w:tab w:val="right" w:pos="0"/>
          <w:tab w:val="left" w:pos="9720"/>
        </w:tabs>
        <w:bidi w:val="0"/>
        <w:spacing w:after="0"/>
        <w:ind w:right="-540"/>
        <w:jc w:val="both"/>
        <w:rPr>
          <w:rFonts w:asciiTheme="majorBidi" w:eastAsia="Times New Roman" w:hAnsiTheme="majorBidi" w:cstheme="majorBidi"/>
          <w:color w:val="000000" w:themeColor="text1"/>
          <w:sz w:val="24"/>
          <w:szCs w:val="24"/>
        </w:rPr>
      </w:pPr>
      <w:r>
        <w:rPr>
          <w:rFonts w:asciiTheme="majorBidi" w:eastAsia="Times New Roman" w:hAnsiTheme="majorBidi" w:cstheme="majorBidi"/>
          <w:color w:val="000000" w:themeColor="text1"/>
          <w:sz w:val="24"/>
          <w:szCs w:val="24"/>
        </w:rPr>
        <w:t xml:space="preserve">13- Jordan has not ratified the 1951 UN Convention Relating to the Status of Refugees nor its 1967 Optional Protocol, and usually substituted by the 1998 Memorandum of Understanding (MOU) between UNHCR and Jordan. In this respect, it worth mentioning that NCHR recommended that consideration be given to ratifying the 1951 Convention on the Status of Refugees (Geneva Convention) and its 1967 Additional Protocol, and the development of a national mechanism for asylum in the Kingdom, consistent with the international human rights norms. On the other hand,   there are no indications from the Government of Jordan implying the imminent ratification the 1954 Convention relating to the Status of Stateless Persons, and the 1961 Convention on the Reduction of Statelessness. The government provides explanations for not doing so, notably; the complexity of the refugee issues that the County has been and still experiencing since its establishment, and the inappropriateness of the 1951 Convention on the Status of Refugees for addressing the conditions related to asylum in Jordan, from the perspective of the Jordanian Authority.   </w:t>
      </w:r>
    </w:p>
    <w:p w:rsidR="00FB2957" w:rsidRDefault="00FB2957" w:rsidP="00FB2957">
      <w:pPr>
        <w:tabs>
          <w:tab w:val="right" w:pos="0"/>
          <w:tab w:val="left" w:pos="9720"/>
        </w:tabs>
        <w:spacing w:after="0"/>
        <w:ind w:right="-540"/>
        <w:jc w:val="both"/>
        <w:rPr>
          <w:rFonts w:asciiTheme="majorBidi" w:eastAsia="Times New Roman" w:hAnsiTheme="majorBidi" w:cstheme="majorBidi"/>
          <w:color w:val="000000" w:themeColor="text1"/>
          <w:sz w:val="24"/>
          <w:szCs w:val="24"/>
        </w:rPr>
      </w:pPr>
    </w:p>
    <w:p w:rsidR="00FB2957" w:rsidRDefault="00FB2957" w:rsidP="00FB2957">
      <w:pPr>
        <w:tabs>
          <w:tab w:val="right" w:pos="0"/>
          <w:tab w:val="left" w:pos="9720"/>
        </w:tabs>
        <w:bidi w:val="0"/>
        <w:spacing w:after="0"/>
        <w:ind w:right="-540"/>
        <w:jc w:val="both"/>
        <w:rPr>
          <w:rFonts w:asciiTheme="majorBidi" w:eastAsia="Times New Roman" w:hAnsiTheme="majorBidi" w:cstheme="majorBidi"/>
          <w:color w:val="000000" w:themeColor="text1"/>
          <w:sz w:val="24"/>
          <w:szCs w:val="24"/>
        </w:rPr>
      </w:pPr>
      <w:r>
        <w:rPr>
          <w:rFonts w:asciiTheme="majorBidi" w:eastAsia="Times New Roman" w:hAnsiTheme="majorBidi" w:cstheme="majorBidi"/>
          <w:color w:val="000000" w:themeColor="text1"/>
          <w:sz w:val="24"/>
          <w:szCs w:val="24"/>
        </w:rPr>
        <w:t>14. The Center observed permitting all sick cases, and children fleeing into the Jordanian territories and the  provision of assistance and humanitarian services to them.</w:t>
      </w:r>
    </w:p>
    <w:p w:rsidR="00FB2957" w:rsidRDefault="00FB2957" w:rsidP="00FB2957">
      <w:pPr>
        <w:tabs>
          <w:tab w:val="right" w:pos="0"/>
          <w:tab w:val="left" w:pos="9720"/>
        </w:tabs>
        <w:bidi w:val="0"/>
        <w:spacing w:after="0"/>
        <w:ind w:right="-540"/>
        <w:jc w:val="both"/>
        <w:rPr>
          <w:rFonts w:asciiTheme="majorBidi" w:eastAsia="Times New Roman" w:hAnsiTheme="majorBidi" w:cstheme="majorBidi"/>
          <w:color w:val="000000" w:themeColor="text1"/>
          <w:sz w:val="24"/>
          <w:szCs w:val="24"/>
        </w:rPr>
      </w:pPr>
      <w:r>
        <w:rPr>
          <w:rFonts w:asciiTheme="majorBidi" w:eastAsia="Times New Roman" w:hAnsiTheme="majorBidi" w:cstheme="majorBidi"/>
          <w:color w:val="000000" w:themeColor="text1"/>
          <w:sz w:val="24"/>
          <w:szCs w:val="24"/>
        </w:rPr>
        <w:t xml:space="preserve">15. The Center observes that no complaint about withdrawal of national numbers was received during the year 2013, pursuant to the 1988 Disengagement Regulation, after operating by the Prim Ministry decree which stipulates that the revoking of the national numbers should be with the consent of the Prime Ministry only. Also the national numbers are being restored, by a decision from the Prime Ministry, upon the recommendation of the Ministerial Standing Committee that considers complaints on withdrawal of national numbers. In addition, in 2014 the government granted children of Jordanian women married to non-Jordanian a package of privileges (Mazaya)  </w:t>
      </w:r>
    </w:p>
    <w:p w:rsidR="00FB2957" w:rsidRDefault="00FB2957" w:rsidP="00FB2957">
      <w:pPr>
        <w:tabs>
          <w:tab w:val="right" w:pos="0"/>
          <w:tab w:val="left" w:pos="9720"/>
        </w:tabs>
        <w:spacing w:after="0"/>
        <w:ind w:right="-540"/>
        <w:jc w:val="right"/>
        <w:rPr>
          <w:rFonts w:asciiTheme="majorBidi" w:eastAsia="Times New Roman" w:hAnsiTheme="majorBidi" w:cstheme="majorBidi"/>
          <w:color w:val="000000" w:themeColor="text1"/>
          <w:sz w:val="24"/>
          <w:szCs w:val="24"/>
          <w:rtl/>
        </w:rPr>
      </w:pPr>
      <w:r>
        <w:rPr>
          <w:rFonts w:asciiTheme="majorBidi" w:eastAsia="Times New Roman" w:hAnsiTheme="majorBidi" w:cstheme="majorBidi"/>
          <w:color w:val="000000" w:themeColor="text1"/>
          <w:sz w:val="24"/>
          <w:szCs w:val="24"/>
        </w:rPr>
        <w:t>NCHR called for the strict application of article (5) of the Constitution, in such a manner that no citizenship is either granted or revoked except in accordance with the provisions of law, and that no citizenship or identity documents is withdrawn only in pursuance of a final court judgment.</w:t>
      </w:r>
    </w:p>
    <w:p w:rsidR="00FB2957" w:rsidRDefault="00FB2957" w:rsidP="00FB2957">
      <w:pPr>
        <w:keepNext/>
        <w:keepLines/>
        <w:suppressAutoHyphens/>
        <w:bidi w:val="0"/>
        <w:spacing w:before="360" w:after="240" w:line="270" w:lineRule="exact"/>
        <w:ind w:left="1134" w:right="1134" w:hanging="1134"/>
        <w:rPr>
          <w:rFonts w:asciiTheme="majorBidi" w:eastAsia="Times New Roman" w:hAnsiTheme="majorBidi" w:cstheme="majorBidi"/>
          <w:b/>
          <w:bCs/>
          <w:color w:val="000000" w:themeColor="text1"/>
          <w:sz w:val="24"/>
          <w:szCs w:val="24"/>
        </w:rPr>
      </w:pPr>
      <w:r>
        <w:rPr>
          <w:rFonts w:asciiTheme="majorBidi" w:eastAsia="Times New Roman" w:hAnsiTheme="majorBidi" w:cstheme="majorBidi"/>
          <w:b/>
          <w:bCs/>
          <w:color w:val="000000" w:themeColor="text1"/>
          <w:sz w:val="24"/>
          <w:szCs w:val="24"/>
        </w:rPr>
        <w:t>Liberty and security of persons and humane treatment of persons deprived of their liberty (arts. 7 and 9-10)</w:t>
      </w:r>
    </w:p>
    <w:p w:rsidR="00FB2957" w:rsidRDefault="00FB2957" w:rsidP="00FB2957">
      <w:pPr>
        <w:bidi w:val="0"/>
        <w:spacing w:before="240" w:after="240" w:line="240" w:lineRule="auto"/>
        <w:jc w:val="both"/>
        <w:rPr>
          <w:rFonts w:asciiTheme="majorBidi" w:eastAsia="Times New Roman" w:hAnsiTheme="majorBidi" w:cstheme="majorBidi"/>
          <w:color w:val="000000" w:themeColor="text1"/>
          <w:sz w:val="24"/>
          <w:szCs w:val="24"/>
        </w:rPr>
      </w:pPr>
      <w:r>
        <w:rPr>
          <w:rFonts w:asciiTheme="majorBidi" w:eastAsia="Times New Roman" w:hAnsiTheme="majorBidi" w:cstheme="majorBidi"/>
          <w:color w:val="000000" w:themeColor="text1"/>
          <w:sz w:val="24"/>
          <w:szCs w:val="24"/>
        </w:rPr>
        <w:t xml:space="preserve">16. In terms of temporary detention facilities, it is indicated that the National Center ho Human Rights implements announced and unannounced visits to all security detention centers. The Center, during the period 2013-2017, has carried out more than (308) visits and issued several specialized reports, the most recent being the report issued on 10/4/2017,  after the implementation  of (60) visits to most places of temporary detention in the Kingdom by its specialized team. These visits included, visiting the holding cells in police stations, police directorates, as well as the lock-up facilities at other security departments, as the Anti-Narcotics and Counterfeiting Administration, the Criminal Investigation Administration, the Preventive Security Department, the Family Protection Department    , and the Aliens Detention Centre.  </w:t>
      </w:r>
    </w:p>
    <w:p w:rsidR="00FB2957" w:rsidRDefault="00FB2957" w:rsidP="00FB2957">
      <w:pPr>
        <w:bidi w:val="0"/>
        <w:spacing w:before="240" w:after="240" w:line="240" w:lineRule="auto"/>
        <w:jc w:val="both"/>
        <w:rPr>
          <w:rFonts w:asciiTheme="majorBidi" w:eastAsia="Times New Roman" w:hAnsiTheme="majorBidi" w:cstheme="majorBidi"/>
          <w:color w:val="000000" w:themeColor="text1"/>
          <w:sz w:val="24"/>
          <w:szCs w:val="24"/>
        </w:rPr>
      </w:pPr>
    </w:p>
    <w:p w:rsidR="00FB2957" w:rsidRDefault="00FB2957" w:rsidP="00FB2957">
      <w:pPr>
        <w:bidi w:val="0"/>
        <w:spacing w:before="240" w:after="240" w:line="24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lastRenderedPageBreak/>
        <w:t xml:space="preserve">The report indicated a number of measures that have affected the temporary detention centers in the Kingdom. the Report also contained important recommendations  for the development of the custodial environment, ,most notably; providing due process guarantees to detainees, including,  guaranteeing  detainees’ </w:t>
      </w:r>
      <w:hyperlink r:id="rId12" w:history="1">
        <w:r w:rsidRPr="0061657E">
          <w:t xml:space="preserve">right of </w:t>
        </w:r>
      </w:hyperlink>
      <w:r>
        <w:rPr>
          <w:rFonts w:asciiTheme="majorBidi" w:eastAsia="Times New Roman" w:hAnsiTheme="majorBidi" w:cstheme="majorBidi"/>
          <w:sz w:val="24"/>
          <w:szCs w:val="24"/>
        </w:rPr>
        <w:t xml:space="preserve">contact with the outside world and to  receive visitors from his family and friends, his </w:t>
      </w:r>
      <w:hyperlink r:id="rId13" w:history="1">
        <w:r w:rsidRPr="0061657E">
          <w:t>right of access</w:t>
        </w:r>
      </w:hyperlink>
      <w:r>
        <w:rPr>
          <w:rFonts w:asciiTheme="majorBidi" w:eastAsia="Times New Roman" w:hAnsiTheme="majorBidi" w:cstheme="majorBidi"/>
          <w:sz w:val="24"/>
          <w:szCs w:val="24"/>
        </w:rPr>
        <w:t xml:space="preserve">  </w:t>
      </w:r>
      <w:hyperlink r:id="rId14" w:history="1">
        <w:r w:rsidRPr="0061657E">
          <w:t>to a lawyer</w:t>
        </w:r>
      </w:hyperlink>
      <w:r>
        <w:rPr>
          <w:rFonts w:asciiTheme="majorBidi" w:eastAsia="Times New Roman" w:hAnsiTheme="majorBidi" w:cstheme="majorBidi"/>
          <w:sz w:val="24"/>
          <w:szCs w:val="24"/>
        </w:rPr>
        <w:t>, adherence to the legal text relating that stipulates the statuary period of police custody of 24- hours so as not to hold offenders in custody for long periods that exceeds one week on the basis of the Crimes Prevention Law, keeping accurate and regular records in detention facilities, especially in police stations, that include  the time and place of arrest, and the identity of the personnel, and the actual place of detention, and the health status of the person upon arrival to the detention center, and the time of the contact with the family and the lawyer, and the time to visit the detained person, and information on medical examinations upon arrival to the center and upon transfer</w:t>
      </w:r>
      <w:r>
        <w:rPr>
          <w:rFonts w:asciiTheme="majorBidi" w:eastAsia="Times New Roman" w:hAnsiTheme="majorBidi" w:cstheme="majorBidi"/>
          <w:sz w:val="24"/>
          <w:szCs w:val="24"/>
          <w:rtl/>
        </w:rPr>
        <w:t>.</w:t>
      </w:r>
    </w:p>
    <w:p w:rsidR="00FB2957" w:rsidRDefault="00FB2957" w:rsidP="00FB2957">
      <w:pPr>
        <w:suppressAutoHyphens/>
        <w:bidi w:val="0"/>
        <w:spacing w:before="240"/>
        <w:jc w:val="both"/>
        <w:rPr>
          <w:rFonts w:asciiTheme="majorBidi" w:eastAsia="Times New Roman" w:hAnsiTheme="majorBidi" w:cstheme="majorBidi"/>
          <w:sz w:val="24"/>
          <w:szCs w:val="24"/>
          <w:lang w:bidi="ar-JO"/>
        </w:rPr>
      </w:pPr>
      <w:r>
        <w:rPr>
          <w:rFonts w:asciiTheme="majorBidi" w:eastAsia="Times New Roman" w:hAnsiTheme="majorBidi" w:cstheme="majorBidi"/>
          <w:sz w:val="24"/>
          <w:szCs w:val="24"/>
        </w:rPr>
        <w:t>The Center call for redrafting of national legislations and explicitly provide for these guarantees, noting that the complaints received and followed up by the National Center for Human Rights assert the lack of full compliance with the obligation to provide  such guarantees during the initial stages of detention.</w:t>
      </w:r>
    </w:p>
    <w:p w:rsidR="00FB2957" w:rsidRDefault="00FB2957" w:rsidP="00FB2957">
      <w:pPr>
        <w:bidi w:val="0"/>
        <w:spacing w:before="240" w:after="240" w:line="240" w:lineRule="auto"/>
        <w:jc w:val="both"/>
        <w:rPr>
          <w:rFonts w:asciiTheme="majorBidi" w:eastAsia="Times New Roman" w:hAnsiTheme="majorBidi" w:cstheme="majorBidi"/>
          <w:color w:val="000000" w:themeColor="text1"/>
          <w:sz w:val="24"/>
          <w:szCs w:val="24"/>
          <w:rtl/>
          <w:lang w:bidi="ar-JO"/>
        </w:rPr>
      </w:pPr>
    </w:p>
    <w:p w:rsidR="00FB2957" w:rsidRDefault="00FB2957" w:rsidP="00FB2957">
      <w:pPr>
        <w:bidi w:val="0"/>
        <w:spacing w:after="0" w:line="240" w:lineRule="auto"/>
        <w:ind w:right="-284"/>
        <w:jc w:val="both"/>
        <w:rPr>
          <w:rFonts w:asciiTheme="majorBidi" w:eastAsia="Times New Roman" w:hAnsiTheme="majorBidi" w:cstheme="majorBidi"/>
          <w:color w:val="000000" w:themeColor="text1"/>
          <w:sz w:val="24"/>
          <w:szCs w:val="24"/>
        </w:rPr>
      </w:pPr>
      <w:r>
        <w:rPr>
          <w:rFonts w:asciiTheme="majorBidi" w:eastAsia="Times New Roman" w:hAnsiTheme="majorBidi" w:cstheme="majorBidi"/>
          <w:color w:val="000000" w:themeColor="text1"/>
          <w:sz w:val="24"/>
          <w:szCs w:val="24"/>
        </w:rPr>
        <w:t xml:space="preserve">17- With regard to the Crimes Prevention Act No. 7 of 1954, which grants competence to the administrative authority to arrest individuals and deprive them of their liberty on the basis of administrative decisions issued by  local governors,  NCHR stresses the need to repeal the Law because it contravenes Article 128 of the constitution, which is considered  a controller for the national legislations affecting the rights and freedoms, as well as  the stipulations that promote the judicial independence.  </w:t>
      </w:r>
    </w:p>
    <w:p w:rsidR="00FB2957" w:rsidRDefault="00FB2957" w:rsidP="00FB2957">
      <w:pPr>
        <w:bidi w:val="0"/>
        <w:spacing w:after="0" w:line="240" w:lineRule="auto"/>
        <w:ind w:right="-284"/>
        <w:jc w:val="both"/>
        <w:rPr>
          <w:rFonts w:asciiTheme="majorBidi" w:eastAsia="Times New Roman" w:hAnsiTheme="majorBidi" w:cstheme="majorBidi"/>
          <w:color w:val="000000" w:themeColor="text1"/>
          <w:sz w:val="24"/>
          <w:szCs w:val="24"/>
        </w:rPr>
      </w:pPr>
    </w:p>
    <w:p w:rsidR="00FB2957" w:rsidRDefault="00FB2957" w:rsidP="00FB2957">
      <w:pPr>
        <w:bidi w:val="0"/>
        <w:spacing w:after="0" w:line="240" w:lineRule="auto"/>
        <w:ind w:right="-284"/>
        <w:jc w:val="both"/>
        <w:rPr>
          <w:rFonts w:asciiTheme="majorBidi" w:eastAsia="Times New Roman" w:hAnsiTheme="majorBidi" w:cstheme="majorBidi"/>
          <w:color w:val="000000" w:themeColor="text1"/>
          <w:sz w:val="24"/>
          <w:szCs w:val="24"/>
        </w:rPr>
      </w:pPr>
      <w:r>
        <w:rPr>
          <w:rFonts w:asciiTheme="majorBidi" w:eastAsia="Times New Roman" w:hAnsiTheme="majorBidi" w:cstheme="majorBidi"/>
          <w:color w:val="000000" w:themeColor="text1"/>
          <w:sz w:val="24"/>
          <w:szCs w:val="24"/>
        </w:rPr>
        <w:t xml:space="preserve">NCHR views that the Crimes Prevention Law should be abolished and/or  to repeal the powers vested in  local governors relating to detention, and limit these powers in the judiciary or amending the provisions of the Law so as to impose judicial security on the administrative detention decisions, and in the arrest powers vested in local governors, until it is repealed. </w:t>
      </w:r>
    </w:p>
    <w:p w:rsidR="00FB2957" w:rsidRDefault="00FB2957" w:rsidP="00FB2957">
      <w:pPr>
        <w:tabs>
          <w:tab w:val="right" w:pos="8306"/>
        </w:tabs>
        <w:bidi w:val="0"/>
        <w:spacing w:after="0" w:line="240" w:lineRule="auto"/>
        <w:jc w:val="both"/>
        <w:rPr>
          <w:rFonts w:asciiTheme="majorBidi" w:eastAsia="Times New Roman" w:hAnsiTheme="majorBidi" w:cstheme="majorBidi"/>
          <w:color w:val="000000" w:themeColor="text1"/>
          <w:sz w:val="24"/>
          <w:szCs w:val="24"/>
          <w:rtl/>
        </w:rPr>
      </w:pPr>
      <w:r>
        <w:rPr>
          <w:rFonts w:asciiTheme="majorBidi" w:eastAsia="Times New Roman" w:hAnsiTheme="majorBidi" w:cstheme="majorBidi"/>
          <w:color w:val="000000" w:themeColor="text1"/>
          <w:sz w:val="24"/>
          <w:szCs w:val="24"/>
        </w:rPr>
        <w:t xml:space="preserve">The year 2016, witnessed an increase in the number of the administrative detainees, reaching (30138) persons, compared to (19860) persons in 2015, (20216) in 2014, (12766) persons in 2013, and (12410) persons in 2012, and (11345) persons in 2011. </w:t>
      </w:r>
    </w:p>
    <w:p w:rsidR="00FB2957" w:rsidRDefault="00FB2957" w:rsidP="00FB2957">
      <w:pPr>
        <w:spacing w:after="0" w:line="240" w:lineRule="auto"/>
        <w:jc w:val="both"/>
        <w:rPr>
          <w:rFonts w:asciiTheme="majorBidi" w:eastAsia="Times New Roman" w:hAnsiTheme="majorBidi" w:cstheme="majorBidi"/>
          <w:color w:val="000000" w:themeColor="text1"/>
          <w:sz w:val="24"/>
          <w:szCs w:val="24"/>
          <w:lang w:bidi="ar-JO"/>
        </w:rPr>
      </w:pPr>
    </w:p>
    <w:p w:rsidR="00FB2957" w:rsidRDefault="00FB2957" w:rsidP="00FB2957">
      <w:pPr>
        <w:keepNext/>
        <w:keepLines/>
        <w:tabs>
          <w:tab w:val="right" w:pos="851"/>
        </w:tabs>
        <w:suppressAutoHyphens/>
        <w:bidi w:val="0"/>
        <w:spacing w:before="360" w:after="240" w:line="270" w:lineRule="exact"/>
        <w:ind w:left="1134" w:right="1134" w:hanging="1134"/>
        <w:jc w:val="both"/>
        <w:rPr>
          <w:rFonts w:asciiTheme="majorBidi" w:eastAsia="Times New Roman" w:hAnsiTheme="majorBidi" w:cstheme="majorBidi"/>
          <w:b/>
          <w:bCs/>
          <w:color w:val="000000" w:themeColor="text1"/>
          <w:sz w:val="24"/>
          <w:szCs w:val="24"/>
          <w:rtl/>
        </w:rPr>
      </w:pPr>
      <w:r>
        <w:rPr>
          <w:rFonts w:asciiTheme="majorBidi" w:eastAsia="Times New Roman" w:hAnsiTheme="majorBidi" w:cstheme="majorBidi"/>
          <w:color w:val="000000" w:themeColor="text1"/>
          <w:sz w:val="24"/>
          <w:szCs w:val="24"/>
        </w:rPr>
        <w:tab/>
      </w:r>
      <w:r>
        <w:rPr>
          <w:rFonts w:asciiTheme="majorBidi" w:eastAsia="Times New Roman" w:hAnsiTheme="majorBidi" w:cstheme="majorBidi"/>
          <w:b/>
          <w:bCs/>
          <w:color w:val="000000" w:themeColor="text1"/>
          <w:sz w:val="24"/>
          <w:szCs w:val="24"/>
        </w:rPr>
        <w:t>Right to a fair trial and independence of the judiciary (art. 14)</w:t>
      </w:r>
    </w:p>
    <w:p w:rsidR="00FB2957" w:rsidRDefault="00FB2957" w:rsidP="00FB2957">
      <w:pPr>
        <w:bidi w:val="0"/>
        <w:spacing w:before="240" w:after="240" w:line="240" w:lineRule="auto"/>
        <w:jc w:val="both"/>
        <w:rPr>
          <w:rFonts w:asciiTheme="majorBidi" w:eastAsia="Times New Roman" w:hAnsiTheme="majorBidi" w:cstheme="majorBidi"/>
          <w:color w:val="000000" w:themeColor="text1"/>
          <w:sz w:val="24"/>
          <w:szCs w:val="24"/>
          <w:rtl/>
        </w:rPr>
      </w:pPr>
      <w:r>
        <w:rPr>
          <w:rFonts w:asciiTheme="majorBidi" w:eastAsia="Times New Roman" w:hAnsiTheme="majorBidi" w:cstheme="majorBidi"/>
          <w:color w:val="000000" w:themeColor="text1"/>
          <w:sz w:val="24"/>
          <w:szCs w:val="24"/>
        </w:rPr>
        <w:t>18- First: Amendments to the State Security Court law, promulgated in early 2014, restricted the jurisdiction of the Court to crimes related to treason, espionage, terrorism, drugs, or money counterfeiting.</w:t>
      </w:r>
    </w:p>
    <w:p w:rsidR="00FB2957" w:rsidRDefault="00FB2957" w:rsidP="00FB2957">
      <w:pPr>
        <w:bidi w:val="0"/>
        <w:spacing w:before="240" w:after="240" w:line="240" w:lineRule="auto"/>
        <w:jc w:val="both"/>
        <w:rPr>
          <w:rFonts w:asciiTheme="majorBidi" w:eastAsia="Times New Roman" w:hAnsiTheme="majorBidi" w:cstheme="majorBidi"/>
          <w:color w:val="000000" w:themeColor="text1"/>
          <w:sz w:val="24"/>
          <w:szCs w:val="24"/>
        </w:rPr>
      </w:pPr>
      <w:r>
        <w:rPr>
          <w:rFonts w:asciiTheme="majorBidi" w:eastAsia="Times New Roman" w:hAnsiTheme="majorBidi" w:cstheme="majorBidi"/>
          <w:color w:val="000000" w:themeColor="text1"/>
          <w:sz w:val="24"/>
          <w:szCs w:val="24"/>
        </w:rPr>
        <w:t>However, there still a number of challenges that curtail the enjoyment of the right of fair trial. Notable among these are:</w:t>
      </w:r>
    </w:p>
    <w:p w:rsidR="00FB2957" w:rsidRDefault="00FB2957" w:rsidP="00FB2957">
      <w:pPr>
        <w:numPr>
          <w:ilvl w:val="0"/>
          <w:numId w:val="22"/>
        </w:numPr>
        <w:bidi w:val="0"/>
        <w:spacing w:before="240" w:after="240" w:line="240" w:lineRule="auto"/>
        <w:contextualSpacing/>
        <w:jc w:val="both"/>
        <w:rPr>
          <w:rFonts w:asciiTheme="majorBidi" w:eastAsia="Times New Roman" w:hAnsiTheme="majorBidi" w:cstheme="majorBidi"/>
          <w:color w:val="000000" w:themeColor="text1"/>
          <w:sz w:val="24"/>
          <w:szCs w:val="24"/>
        </w:rPr>
      </w:pPr>
      <w:r>
        <w:rPr>
          <w:rFonts w:asciiTheme="majorBidi" w:eastAsia="Times New Roman" w:hAnsiTheme="majorBidi" w:cstheme="majorBidi"/>
          <w:color w:val="000000" w:themeColor="text1"/>
          <w:sz w:val="24"/>
          <w:szCs w:val="24"/>
        </w:rPr>
        <w:t xml:space="preserve">The continued operation of the State Security Law, despite the constant demands by the Center for amending the provisions that contradict the international human rights standards, in particular; the Prime Minister is empowered to establish this court, which means the interference of the executive branch in the in the work of the </w:t>
      </w:r>
      <w:r>
        <w:rPr>
          <w:rFonts w:asciiTheme="majorBidi" w:eastAsia="Times New Roman" w:hAnsiTheme="majorBidi" w:cstheme="majorBidi"/>
          <w:color w:val="000000" w:themeColor="text1"/>
          <w:sz w:val="24"/>
          <w:szCs w:val="24"/>
        </w:rPr>
        <w:lastRenderedPageBreak/>
        <w:t xml:space="preserve">judiciary,  more appropriately the establishment this Court and appointment its judges shall be provided for directly by the law. </w:t>
      </w:r>
    </w:p>
    <w:p w:rsidR="00FB2957" w:rsidRDefault="00FB2957" w:rsidP="00FB2957">
      <w:pPr>
        <w:numPr>
          <w:ilvl w:val="0"/>
          <w:numId w:val="22"/>
        </w:numPr>
        <w:bidi w:val="0"/>
        <w:spacing w:before="240" w:after="240" w:line="240" w:lineRule="auto"/>
        <w:contextualSpacing/>
        <w:jc w:val="both"/>
        <w:rPr>
          <w:rFonts w:asciiTheme="majorBidi" w:eastAsia="Times New Roman" w:hAnsiTheme="majorBidi" w:cstheme="majorBidi"/>
          <w:color w:val="000000" w:themeColor="text1"/>
          <w:sz w:val="24"/>
          <w:szCs w:val="24"/>
        </w:rPr>
      </w:pPr>
      <w:r>
        <w:rPr>
          <w:rFonts w:asciiTheme="majorBidi" w:eastAsia="Times New Roman" w:hAnsiTheme="majorBidi" w:cstheme="majorBidi"/>
          <w:color w:val="000000" w:themeColor="text1"/>
          <w:sz w:val="24"/>
          <w:szCs w:val="24"/>
        </w:rPr>
        <w:t>Derogation from the general norms included in the Penal Code with respect to A. rules of “complicity" and the respective responsibilities of the perpetrator, partner, instigator and accomplice in the commission of these crimes. B. the powers conferred upon law-enforcement officers/ police in holding in custody  detainees for 7 days, a period excess the maximum statutory duration of 24 hours stipulated in the Criminal procedures Law. C. appeals period against judgments of the State Security Courts in criminal cases.</w:t>
      </w:r>
    </w:p>
    <w:p w:rsidR="00FB2957" w:rsidRDefault="00FB2957" w:rsidP="00FB2957">
      <w:pPr>
        <w:bidi w:val="0"/>
        <w:spacing w:before="240" w:after="240" w:line="240" w:lineRule="auto"/>
        <w:jc w:val="both"/>
        <w:rPr>
          <w:rFonts w:asciiTheme="majorBidi" w:eastAsia="Times New Roman" w:hAnsiTheme="majorBidi" w:cstheme="majorBidi"/>
          <w:color w:val="000000" w:themeColor="text1"/>
          <w:sz w:val="24"/>
          <w:szCs w:val="24"/>
        </w:rPr>
      </w:pPr>
      <w:r>
        <w:rPr>
          <w:rFonts w:asciiTheme="majorBidi" w:eastAsia="Times New Roman" w:hAnsiTheme="majorBidi" w:cstheme="majorBidi"/>
          <w:color w:val="000000" w:themeColor="text1"/>
          <w:sz w:val="24"/>
          <w:szCs w:val="24"/>
        </w:rPr>
        <w:t>Second: the continued operation of the Prevention</w:t>
      </w:r>
      <w:r>
        <w:rPr>
          <w:rFonts w:ascii="MS Mincho" w:eastAsia="MS Mincho" w:hAnsi="MS Mincho" w:cs="MS Mincho" w:hint="eastAsia"/>
          <w:color w:val="000000" w:themeColor="text1"/>
          <w:sz w:val="24"/>
          <w:szCs w:val="24"/>
        </w:rPr>
        <w:t> </w:t>
      </w:r>
      <w:r>
        <w:rPr>
          <w:rFonts w:asciiTheme="majorBidi" w:eastAsia="Times New Roman" w:hAnsiTheme="majorBidi" w:cstheme="majorBidi"/>
          <w:color w:val="000000" w:themeColor="text1"/>
          <w:sz w:val="24"/>
          <w:szCs w:val="24"/>
        </w:rPr>
        <w:t>of</w:t>
      </w:r>
      <w:r>
        <w:rPr>
          <w:rFonts w:ascii="MS Mincho" w:eastAsia="MS Mincho" w:hAnsi="MS Mincho" w:cs="MS Mincho" w:hint="eastAsia"/>
          <w:color w:val="000000" w:themeColor="text1"/>
          <w:sz w:val="24"/>
          <w:szCs w:val="24"/>
        </w:rPr>
        <w:t> </w:t>
      </w:r>
      <w:r>
        <w:rPr>
          <w:rFonts w:asciiTheme="majorBidi" w:eastAsia="Times New Roman" w:hAnsiTheme="majorBidi" w:cstheme="majorBidi"/>
          <w:color w:val="000000" w:themeColor="text1"/>
          <w:sz w:val="24"/>
          <w:szCs w:val="24"/>
        </w:rPr>
        <w:t>Terrorism</w:t>
      </w:r>
      <w:r>
        <w:rPr>
          <w:rFonts w:ascii="MS Mincho" w:eastAsia="MS Mincho" w:hAnsi="MS Mincho" w:cs="MS Mincho" w:hint="eastAsia"/>
          <w:color w:val="000000" w:themeColor="text1"/>
          <w:sz w:val="24"/>
          <w:szCs w:val="24"/>
        </w:rPr>
        <w:t> </w:t>
      </w:r>
      <w:r>
        <w:rPr>
          <w:rFonts w:asciiTheme="majorBidi" w:eastAsia="Times New Roman" w:hAnsiTheme="majorBidi" w:cstheme="majorBidi"/>
          <w:color w:val="000000" w:themeColor="text1"/>
          <w:sz w:val="24"/>
          <w:szCs w:val="24"/>
        </w:rPr>
        <w:t>Act</w:t>
      </w:r>
      <w:r>
        <w:rPr>
          <w:rFonts w:ascii="MS Mincho" w:eastAsia="MS Mincho" w:hAnsi="MS Mincho" w:cs="MS Mincho" w:hint="eastAsia"/>
          <w:color w:val="000000" w:themeColor="text1"/>
          <w:sz w:val="24"/>
          <w:szCs w:val="24"/>
        </w:rPr>
        <w:t> </w:t>
      </w:r>
      <w:r>
        <w:rPr>
          <w:rFonts w:asciiTheme="majorBidi" w:eastAsia="Times New Roman" w:hAnsiTheme="majorBidi" w:cstheme="majorBidi"/>
          <w:color w:val="000000" w:themeColor="text1"/>
          <w:sz w:val="24"/>
          <w:szCs w:val="24"/>
        </w:rPr>
        <w:t>No.</w:t>
      </w:r>
      <w:r>
        <w:rPr>
          <w:rFonts w:ascii="MS Mincho" w:eastAsia="MS Mincho" w:hAnsi="MS Mincho" w:cs="MS Mincho" w:hint="eastAsia"/>
          <w:color w:val="000000" w:themeColor="text1"/>
          <w:sz w:val="24"/>
          <w:szCs w:val="24"/>
        </w:rPr>
        <w:t> </w:t>
      </w:r>
      <w:r>
        <w:rPr>
          <w:rFonts w:asciiTheme="majorBidi" w:eastAsia="Times New Roman" w:hAnsiTheme="majorBidi" w:cstheme="majorBidi"/>
          <w:color w:val="000000" w:themeColor="text1"/>
          <w:sz w:val="24"/>
          <w:szCs w:val="24"/>
        </w:rPr>
        <w:t>5</w:t>
      </w:r>
      <w:r>
        <w:rPr>
          <w:rFonts w:ascii="MS Mincho" w:eastAsia="MS Mincho" w:hAnsi="MS Mincho" w:cs="MS Mincho" w:hint="eastAsia"/>
          <w:color w:val="000000" w:themeColor="text1"/>
          <w:sz w:val="24"/>
          <w:szCs w:val="24"/>
        </w:rPr>
        <w:t> </w:t>
      </w:r>
      <w:r>
        <w:rPr>
          <w:rFonts w:asciiTheme="majorBidi" w:eastAsia="Times New Roman" w:hAnsiTheme="majorBidi" w:cstheme="majorBidi"/>
          <w:color w:val="000000" w:themeColor="text1"/>
          <w:sz w:val="24"/>
          <w:szCs w:val="24"/>
        </w:rPr>
        <w:t>of</w:t>
      </w:r>
      <w:r>
        <w:rPr>
          <w:rFonts w:ascii="MS Mincho" w:eastAsia="MS Mincho" w:hAnsi="MS Mincho" w:cs="MS Mincho" w:hint="eastAsia"/>
          <w:color w:val="000000" w:themeColor="text1"/>
          <w:sz w:val="24"/>
          <w:szCs w:val="24"/>
        </w:rPr>
        <w:t> </w:t>
      </w:r>
      <w:r>
        <w:rPr>
          <w:rFonts w:asciiTheme="majorBidi" w:eastAsia="Times New Roman" w:hAnsiTheme="majorBidi" w:cstheme="majorBidi"/>
          <w:color w:val="000000" w:themeColor="text1"/>
          <w:sz w:val="24"/>
          <w:szCs w:val="24"/>
        </w:rPr>
        <w:t>Jordan</w:t>
      </w:r>
      <w:r>
        <w:rPr>
          <w:rFonts w:ascii="MS Mincho" w:eastAsia="MS Mincho" w:hAnsi="MS Mincho" w:cs="MS Mincho" w:hint="eastAsia"/>
          <w:color w:val="000000" w:themeColor="text1"/>
          <w:sz w:val="24"/>
          <w:szCs w:val="24"/>
        </w:rPr>
        <w:t> </w:t>
      </w:r>
      <w:r>
        <w:rPr>
          <w:rFonts w:asciiTheme="majorBidi" w:eastAsia="Times New Roman" w:hAnsiTheme="majorBidi" w:cstheme="majorBidi"/>
          <w:color w:val="000000" w:themeColor="text1"/>
          <w:sz w:val="24"/>
          <w:szCs w:val="24"/>
        </w:rPr>
        <w:t>for</w:t>
      </w:r>
      <w:r>
        <w:rPr>
          <w:rFonts w:ascii="MS Mincho" w:eastAsia="MS Mincho" w:hAnsi="MS Mincho" w:cs="MS Mincho" w:hint="eastAsia"/>
          <w:color w:val="000000" w:themeColor="text1"/>
          <w:sz w:val="24"/>
          <w:szCs w:val="24"/>
        </w:rPr>
        <w:t> </w:t>
      </w:r>
      <w:r>
        <w:rPr>
          <w:rFonts w:asciiTheme="majorBidi" w:eastAsia="Times New Roman" w:hAnsiTheme="majorBidi" w:cstheme="majorBidi"/>
          <w:color w:val="000000" w:themeColor="text1"/>
          <w:sz w:val="24"/>
          <w:szCs w:val="24"/>
        </w:rPr>
        <w:t>the</w:t>
      </w:r>
      <w:r>
        <w:rPr>
          <w:rFonts w:ascii="MS Mincho" w:eastAsia="MS Mincho" w:hAnsi="MS Mincho" w:cs="MS Mincho" w:hint="eastAsia"/>
          <w:color w:val="000000" w:themeColor="text1"/>
          <w:sz w:val="24"/>
          <w:szCs w:val="24"/>
        </w:rPr>
        <w:t> </w:t>
      </w:r>
      <w:r>
        <w:rPr>
          <w:rFonts w:asciiTheme="majorBidi" w:eastAsia="Times New Roman" w:hAnsiTheme="majorBidi" w:cstheme="majorBidi"/>
          <w:color w:val="000000" w:themeColor="text1"/>
          <w:sz w:val="24"/>
          <w:szCs w:val="24"/>
        </w:rPr>
        <w:t>year</w:t>
      </w:r>
      <w:r>
        <w:rPr>
          <w:rFonts w:ascii="MS Mincho" w:eastAsia="MS Mincho" w:hAnsi="MS Mincho" w:cs="MS Mincho" w:hint="eastAsia"/>
          <w:color w:val="000000" w:themeColor="text1"/>
          <w:sz w:val="24"/>
          <w:szCs w:val="24"/>
        </w:rPr>
        <w:t> </w:t>
      </w:r>
      <w:r>
        <w:rPr>
          <w:rFonts w:asciiTheme="majorBidi" w:eastAsia="Times New Roman" w:hAnsiTheme="majorBidi" w:cstheme="majorBidi"/>
          <w:color w:val="000000" w:themeColor="text1"/>
          <w:sz w:val="24"/>
          <w:szCs w:val="24"/>
        </w:rPr>
        <w:t>2006 and its amendments. NCHR view that the Law includes number of problematic areas, notably;</w:t>
      </w:r>
    </w:p>
    <w:p w:rsidR="00FB2957" w:rsidRDefault="00FB2957" w:rsidP="00FB2957">
      <w:pPr>
        <w:numPr>
          <w:ilvl w:val="0"/>
          <w:numId w:val="23"/>
        </w:numPr>
        <w:bidi w:val="0"/>
        <w:spacing w:before="240" w:after="240" w:line="240" w:lineRule="auto"/>
        <w:contextualSpacing/>
        <w:jc w:val="both"/>
        <w:rPr>
          <w:rFonts w:asciiTheme="majorBidi" w:eastAsia="Times New Roman" w:hAnsiTheme="majorBidi" w:cstheme="majorBidi"/>
          <w:color w:val="000000" w:themeColor="text1"/>
          <w:sz w:val="24"/>
          <w:szCs w:val="24"/>
        </w:rPr>
      </w:pPr>
      <w:r>
        <w:rPr>
          <w:rFonts w:asciiTheme="majorBidi" w:eastAsia="Times New Roman" w:hAnsiTheme="majorBidi" w:cstheme="majorBidi"/>
          <w:color w:val="000000" w:themeColor="text1"/>
          <w:sz w:val="24"/>
          <w:szCs w:val="24"/>
        </w:rPr>
        <w:t>The expansion of the concept of a terrorist act under Article (2) of the Law, in a manner contrary to the definition of a terrorist act stipulated in the Penal Code under Article 147</w:t>
      </w:r>
    </w:p>
    <w:p w:rsidR="00FB2957" w:rsidRDefault="00FB2957" w:rsidP="00FB2957">
      <w:pPr>
        <w:spacing w:before="240" w:after="240" w:line="240" w:lineRule="auto"/>
        <w:jc w:val="both"/>
        <w:rPr>
          <w:rFonts w:asciiTheme="majorBidi" w:eastAsia="Times New Roman" w:hAnsiTheme="majorBidi" w:cstheme="majorBidi"/>
          <w:color w:val="000000" w:themeColor="text1"/>
          <w:sz w:val="24"/>
          <w:szCs w:val="24"/>
        </w:rPr>
      </w:pPr>
    </w:p>
    <w:p w:rsidR="00FB2957" w:rsidRDefault="00FB2957" w:rsidP="00FB2957">
      <w:pPr>
        <w:numPr>
          <w:ilvl w:val="0"/>
          <w:numId w:val="23"/>
        </w:numPr>
        <w:bidi w:val="0"/>
        <w:spacing w:before="240" w:after="240" w:line="240" w:lineRule="auto"/>
        <w:jc w:val="both"/>
        <w:rPr>
          <w:rFonts w:asciiTheme="majorBidi" w:eastAsia="Times New Roman" w:hAnsiTheme="majorBidi" w:cstheme="majorBidi"/>
          <w:color w:val="000000" w:themeColor="text1"/>
          <w:sz w:val="24"/>
          <w:szCs w:val="24"/>
        </w:rPr>
      </w:pPr>
      <w:r>
        <w:rPr>
          <w:rFonts w:asciiTheme="majorBidi" w:eastAsia="Times New Roman" w:hAnsiTheme="majorBidi" w:cstheme="majorBidi"/>
          <w:color w:val="000000" w:themeColor="text1"/>
          <w:sz w:val="24"/>
          <w:szCs w:val="24"/>
        </w:rPr>
        <w:t>Overlooking the concept of criminal intent ( mens rea) in the provisions of Article (2) of the Law, authorizing a judge to apply the legal provisions on crimes, and charge the accused as being  terrorist based on ordinary acts may not actually constitute terrorist acts.</w:t>
      </w:r>
    </w:p>
    <w:p w:rsidR="00FB2957" w:rsidRDefault="00FB2957" w:rsidP="00D917CA">
      <w:pPr>
        <w:numPr>
          <w:ilvl w:val="0"/>
          <w:numId w:val="23"/>
        </w:numPr>
        <w:bidi w:val="0"/>
        <w:spacing w:before="240" w:after="240" w:line="240" w:lineRule="auto"/>
        <w:jc w:val="both"/>
        <w:rPr>
          <w:rFonts w:asciiTheme="majorBidi" w:eastAsia="Times New Roman" w:hAnsiTheme="majorBidi" w:cstheme="majorBidi"/>
          <w:color w:val="000000" w:themeColor="text1"/>
          <w:sz w:val="24"/>
          <w:szCs w:val="24"/>
        </w:rPr>
      </w:pPr>
      <w:r>
        <w:rPr>
          <w:rFonts w:asciiTheme="majorBidi" w:eastAsia="Times New Roman" w:hAnsiTheme="majorBidi" w:cstheme="majorBidi"/>
          <w:color w:val="000000" w:themeColor="text1"/>
          <w:sz w:val="24"/>
          <w:szCs w:val="24"/>
        </w:rPr>
        <w:t xml:space="preserve">Describing terrorist acts by vaguely-worded and broad terms such as the "public order", "jeopardizing the safety of the community," “sow discord" " disturbing public order ", "terrorizing people." These phrases have wide significance, hence this allows for discretion when invoked during the application of the legal provisions. </w:t>
      </w:r>
      <w:r w:rsidR="00D917CA">
        <w:rPr>
          <w:rFonts w:asciiTheme="majorBidi" w:eastAsia="Times New Roman" w:hAnsiTheme="majorBidi" w:cstheme="majorBidi"/>
          <w:color w:val="000000" w:themeColor="text1"/>
          <w:sz w:val="24"/>
          <w:szCs w:val="24"/>
        </w:rPr>
        <w:t>This entails</w:t>
      </w:r>
      <w:r>
        <w:rPr>
          <w:rFonts w:asciiTheme="majorBidi" w:eastAsia="Times New Roman" w:hAnsiTheme="majorBidi" w:cstheme="majorBidi"/>
          <w:color w:val="000000" w:themeColor="text1"/>
          <w:sz w:val="24"/>
          <w:szCs w:val="24"/>
        </w:rPr>
        <w:t xml:space="preserve"> considering any action or activity, falling within its scope</w:t>
      </w:r>
      <w:r w:rsidR="00D917CA">
        <w:rPr>
          <w:rFonts w:asciiTheme="majorBidi" w:eastAsia="Times New Roman" w:hAnsiTheme="majorBidi" w:cstheme="majorBidi"/>
          <w:color w:val="000000" w:themeColor="text1"/>
          <w:sz w:val="24"/>
          <w:szCs w:val="24"/>
        </w:rPr>
        <w:t>, as</w:t>
      </w:r>
      <w:r>
        <w:rPr>
          <w:rFonts w:asciiTheme="majorBidi" w:eastAsia="Times New Roman" w:hAnsiTheme="majorBidi" w:cstheme="majorBidi"/>
          <w:color w:val="000000" w:themeColor="text1"/>
          <w:sz w:val="24"/>
          <w:szCs w:val="24"/>
        </w:rPr>
        <w:t xml:space="preserve"> an act of terrorism.</w:t>
      </w:r>
    </w:p>
    <w:p w:rsidR="00FB2957" w:rsidRDefault="00FB2957" w:rsidP="00FB2957">
      <w:pPr>
        <w:numPr>
          <w:ilvl w:val="0"/>
          <w:numId w:val="23"/>
        </w:numPr>
        <w:bidi w:val="0"/>
        <w:spacing w:before="240" w:after="240" w:line="240" w:lineRule="auto"/>
        <w:jc w:val="both"/>
        <w:rPr>
          <w:rFonts w:asciiTheme="majorBidi" w:eastAsia="Times New Roman" w:hAnsiTheme="majorBidi" w:cstheme="majorBidi"/>
          <w:color w:val="000000" w:themeColor="text1"/>
          <w:sz w:val="24"/>
          <w:szCs w:val="24"/>
        </w:rPr>
      </w:pPr>
      <w:r>
        <w:rPr>
          <w:rFonts w:asciiTheme="majorBidi" w:eastAsia="Times New Roman" w:hAnsiTheme="majorBidi" w:cstheme="majorBidi"/>
          <w:color w:val="000000" w:themeColor="text1"/>
          <w:sz w:val="24"/>
          <w:szCs w:val="24"/>
        </w:rPr>
        <w:t>Article (3/ b) of the Law considers any act capable of destabilizing the relations of the Jordan with a foreign state an act of terrorism.</w:t>
      </w:r>
    </w:p>
    <w:p w:rsidR="00FB2957" w:rsidRDefault="00FB2957" w:rsidP="00FB2957">
      <w:pPr>
        <w:bidi w:val="0"/>
        <w:spacing w:before="240" w:after="240" w:line="240" w:lineRule="auto"/>
        <w:ind w:left="4"/>
        <w:jc w:val="both"/>
        <w:rPr>
          <w:rFonts w:asciiTheme="majorBidi" w:eastAsia="Times New Roman" w:hAnsiTheme="majorBidi" w:cstheme="majorBidi"/>
          <w:b/>
          <w:bCs/>
          <w:color w:val="000000" w:themeColor="text1"/>
          <w:sz w:val="24"/>
          <w:szCs w:val="24"/>
        </w:rPr>
      </w:pPr>
      <w:r>
        <w:rPr>
          <w:rFonts w:asciiTheme="majorBidi" w:eastAsia="Times New Roman" w:hAnsiTheme="majorBidi" w:cstheme="majorBidi"/>
          <w:b/>
          <w:bCs/>
          <w:color w:val="000000" w:themeColor="text1"/>
          <w:sz w:val="24"/>
          <w:szCs w:val="24"/>
        </w:rPr>
        <w:t xml:space="preserve">Freedom of opinion and expression (art. 19) </w:t>
      </w:r>
    </w:p>
    <w:p w:rsidR="00FB2957" w:rsidRDefault="00FB2957" w:rsidP="00FB2957">
      <w:pPr>
        <w:bidi w:val="0"/>
        <w:spacing w:after="0" w:line="240" w:lineRule="auto"/>
        <w:ind w:left="4"/>
        <w:jc w:val="both"/>
        <w:rPr>
          <w:rFonts w:asciiTheme="majorBidi" w:eastAsia="Times New Roman" w:hAnsiTheme="majorBidi" w:cstheme="majorBidi"/>
          <w:color w:val="000000" w:themeColor="text1"/>
          <w:sz w:val="24"/>
          <w:szCs w:val="24"/>
          <w:rtl/>
        </w:rPr>
      </w:pPr>
      <w:r>
        <w:rPr>
          <w:rFonts w:asciiTheme="majorBidi" w:eastAsia="Times New Roman" w:hAnsiTheme="majorBidi" w:cstheme="majorBidi"/>
          <w:color w:val="000000" w:themeColor="text1"/>
          <w:sz w:val="24"/>
          <w:szCs w:val="24"/>
        </w:rPr>
        <w:t xml:space="preserve">20- It is to be indicated that Prevention of Terrorism remains in the form indicated in the answer of question 8 here-above. However, the government made modifications on this Law, and </w:t>
      </w:r>
      <w:r w:rsidR="000B3E40">
        <w:rPr>
          <w:rFonts w:asciiTheme="majorBidi" w:eastAsia="Times New Roman" w:hAnsiTheme="majorBidi" w:cstheme="majorBidi"/>
          <w:color w:val="000000" w:themeColor="text1"/>
          <w:sz w:val="24"/>
          <w:szCs w:val="24"/>
        </w:rPr>
        <w:t>published within</w:t>
      </w:r>
      <w:r>
        <w:rPr>
          <w:rFonts w:asciiTheme="majorBidi" w:eastAsia="Times New Roman" w:hAnsiTheme="majorBidi" w:cstheme="majorBidi"/>
          <w:color w:val="000000" w:themeColor="text1"/>
          <w:sz w:val="24"/>
          <w:szCs w:val="24"/>
        </w:rPr>
        <w:t xml:space="preserve"> the draft law amending the Anti-Terrorism Law 2016 on the website of the Legislation and Opinion Bureau. The draft bill includes the following:</w:t>
      </w:r>
    </w:p>
    <w:p w:rsidR="00FB2957" w:rsidRDefault="00FB2957" w:rsidP="00FB2957">
      <w:pPr>
        <w:pStyle w:val="ListParagraph"/>
        <w:numPr>
          <w:ilvl w:val="0"/>
          <w:numId w:val="24"/>
        </w:numPr>
        <w:bidi w:val="0"/>
        <w:jc w:val="both"/>
        <w:rPr>
          <w:rFonts w:asciiTheme="majorBidi" w:hAnsiTheme="majorBidi" w:cstheme="majorBidi"/>
          <w:color w:val="000000" w:themeColor="text1"/>
        </w:rPr>
      </w:pPr>
      <w:r>
        <w:rPr>
          <w:rFonts w:asciiTheme="majorBidi" w:hAnsiTheme="majorBidi" w:cstheme="majorBidi"/>
          <w:color w:val="000000" w:themeColor="text1"/>
        </w:rPr>
        <w:t xml:space="preserve">According to the Prevention of Terrorism Act, nearly five journalists were arrested in 2015 on charges of disturbing relations with a neighboring state or promoting the ideas of a terrorist group. However, the frequency of arresting and trying journalists under the Prevention of Terrorism Act declined in 2016; as no journalist was detained under the Prevention of Terrorism Act in that year. Among the most significant challenges faced by detainees under the Prevention of Terrorism Act , are the prolonged detention of the accused, which is, in certain cases,  not based on specific regulations, and the detention process may continue until verdict is given, are t, while the Center did not observe,  during its visits to prisoners  of conscious and journalists - especially those arrested on charges of incitement of subverting the system of government or disturbing relations with a foreign state – that they being </w:t>
      </w:r>
      <w:r>
        <w:rPr>
          <w:rFonts w:asciiTheme="majorBidi" w:hAnsiTheme="majorBidi" w:cstheme="majorBidi"/>
          <w:color w:val="000000" w:themeColor="text1"/>
        </w:rPr>
        <w:lastRenderedPageBreak/>
        <w:t>tortured in the CRCs, but rather, most of them commended the good treatment in these facilities.</w:t>
      </w:r>
    </w:p>
    <w:p w:rsidR="00FB2957" w:rsidRDefault="00FB2957" w:rsidP="00FB2957">
      <w:pPr>
        <w:pStyle w:val="ListParagraph"/>
        <w:rPr>
          <w:rFonts w:asciiTheme="majorBidi" w:hAnsiTheme="majorBidi" w:cstheme="majorBidi"/>
          <w:color w:val="000000" w:themeColor="text1"/>
          <w:rtl/>
        </w:rPr>
      </w:pPr>
    </w:p>
    <w:p w:rsidR="00FB2957" w:rsidRDefault="00FB2957" w:rsidP="00FB2957">
      <w:pPr>
        <w:pStyle w:val="ListParagraph"/>
        <w:numPr>
          <w:ilvl w:val="0"/>
          <w:numId w:val="24"/>
        </w:numPr>
        <w:bidi w:val="0"/>
        <w:jc w:val="both"/>
        <w:rPr>
          <w:rFonts w:asciiTheme="majorBidi" w:hAnsiTheme="majorBidi" w:cstheme="majorBidi"/>
          <w:color w:val="000000" w:themeColor="text1"/>
        </w:rPr>
      </w:pPr>
      <w:r>
        <w:rPr>
          <w:rFonts w:asciiTheme="majorBidi" w:hAnsiTheme="majorBidi" w:cstheme="majorBidi"/>
          <w:color w:val="000000" w:themeColor="text1"/>
        </w:rPr>
        <w:t>Journalists exercise their right to freedom of expression and rely mainly on the Jordanian Press and Publications Law. However, there is a wide range of laws governing and restricting press work, especially the Penal Code and the Cyber Crimes Law. These restrictions have increased the self-censorship of journalists. The year 2015 witnessed the enactment of the Cyber Crimes Law No. (27) for the year 2015, which included a legal provision criminalizing and penalize anyone who sends, retransmits or disseminate data or information through the Internet, or website or any information system that involves the defama</w:t>
      </w:r>
      <w:r w:rsidR="00B8384B">
        <w:rPr>
          <w:rFonts w:asciiTheme="majorBidi" w:hAnsiTheme="majorBidi" w:cstheme="majorBidi"/>
          <w:color w:val="000000" w:themeColor="text1"/>
        </w:rPr>
        <w:t>tion, insulting or slander, who</w:t>
      </w:r>
      <w:r>
        <w:rPr>
          <w:rFonts w:asciiTheme="majorBidi" w:hAnsiTheme="majorBidi" w:cstheme="majorBidi"/>
          <w:color w:val="000000" w:themeColor="text1"/>
        </w:rPr>
        <w:t xml:space="preserve"> shall be punished by imprisonment for a term not less than one week and not exceeding three months and a fine not less than one hundred dinars and not</w:t>
      </w:r>
      <w:r w:rsidR="00B8384B">
        <w:rPr>
          <w:rFonts w:asciiTheme="majorBidi" w:hAnsiTheme="majorBidi" w:cstheme="majorBidi"/>
          <w:color w:val="000000" w:themeColor="text1"/>
        </w:rPr>
        <w:t xml:space="preserve"> more than two thousand dinars,</w:t>
      </w:r>
      <w:r>
        <w:rPr>
          <w:rFonts w:asciiTheme="majorBidi" w:hAnsiTheme="majorBidi" w:cstheme="majorBidi"/>
          <w:color w:val="000000" w:themeColor="text1"/>
        </w:rPr>
        <w:t xml:space="preserve"> placing a new strain on the work of journalists. </w:t>
      </w:r>
    </w:p>
    <w:p w:rsidR="00FB2957" w:rsidRDefault="00FB2957" w:rsidP="00B8384B">
      <w:pPr>
        <w:bidi w:val="0"/>
        <w:ind w:left="4"/>
        <w:jc w:val="both"/>
        <w:rPr>
          <w:rFonts w:asciiTheme="majorBidi" w:eastAsia="Times New Roman" w:hAnsiTheme="majorBidi" w:cstheme="majorBidi"/>
          <w:color w:val="000000" w:themeColor="text1"/>
          <w:sz w:val="24"/>
          <w:szCs w:val="24"/>
        </w:rPr>
      </w:pPr>
      <w:r>
        <w:rPr>
          <w:rFonts w:asciiTheme="majorBidi" w:eastAsia="Times New Roman" w:hAnsiTheme="majorBidi" w:cstheme="majorBidi"/>
          <w:color w:val="000000" w:themeColor="text1"/>
          <w:sz w:val="24"/>
          <w:szCs w:val="24"/>
        </w:rPr>
        <w:t xml:space="preserve">In 2015, five journalists were arrested by the State Security Court Prosecutor on the basis of the Prevention of Terrorism Act on charges of using media </w:t>
      </w:r>
      <w:r w:rsidR="00B8384B">
        <w:rPr>
          <w:rFonts w:asciiTheme="majorBidi" w:eastAsia="Times New Roman" w:hAnsiTheme="majorBidi" w:cstheme="majorBidi"/>
          <w:color w:val="000000" w:themeColor="text1"/>
          <w:sz w:val="24"/>
          <w:szCs w:val="24"/>
        </w:rPr>
        <w:t xml:space="preserve">outlets </w:t>
      </w:r>
      <w:r>
        <w:rPr>
          <w:rFonts w:asciiTheme="majorBidi" w:eastAsia="Times New Roman" w:hAnsiTheme="majorBidi" w:cstheme="majorBidi"/>
          <w:color w:val="000000" w:themeColor="text1"/>
          <w:sz w:val="24"/>
          <w:szCs w:val="24"/>
        </w:rPr>
        <w:t xml:space="preserve">to promote </w:t>
      </w:r>
      <w:r w:rsidR="00B8384B" w:rsidRPr="00B8384B">
        <w:rPr>
          <w:rFonts w:asciiTheme="majorBidi" w:eastAsia="Times New Roman" w:hAnsiTheme="majorBidi" w:cstheme="majorBidi"/>
          <w:color w:val="000000" w:themeColor="text1"/>
          <w:sz w:val="24"/>
          <w:szCs w:val="24"/>
        </w:rPr>
        <w:t>"terrorist" thinking</w:t>
      </w:r>
      <w:r w:rsidR="00B8384B">
        <w:rPr>
          <w:rFonts w:asciiTheme="majorBidi" w:eastAsia="Times New Roman" w:hAnsiTheme="majorBidi" w:cstheme="majorBidi"/>
          <w:color w:val="000000" w:themeColor="text1"/>
          <w:sz w:val="24"/>
          <w:szCs w:val="24"/>
        </w:rPr>
        <w:t>,</w:t>
      </w:r>
      <w:r w:rsidR="00B8384B" w:rsidRPr="00B8384B">
        <w:rPr>
          <w:rFonts w:asciiTheme="majorBidi" w:eastAsia="Times New Roman" w:hAnsiTheme="majorBidi" w:cstheme="majorBidi"/>
          <w:color w:val="000000" w:themeColor="text1"/>
          <w:sz w:val="24"/>
          <w:szCs w:val="24"/>
        </w:rPr>
        <w:t xml:space="preserve"> </w:t>
      </w:r>
      <w:r>
        <w:rPr>
          <w:rFonts w:asciiTheme="majorBidi" w:eastAsia="Times New Roman" w:hAnsiTheme="majorBidi" w:cstheme="majorBidi"/>
          <w:color w:val="000000" w:themeColor="text1"/>
          <w:sz w:val="24"/>
          <w:szCs w:val="24"/>
        </w:rPr>
        <w:t xml:space="preserve">and carrying out acts of terrorism, which  would expose the Jordanians to the risk of acts of aggression and retaliation, which is in breach  of the provisions of Article 3 of the Prevention of Terrorism Act and to disrupt relations with a foreign country in contravention of Article 3 / B of the Prevention of Terrorism Law and to undermine the political regime or inciting sentiments  against it contrary to article 149/1 of Penal Code. The rest were arrested either on the basis of the Penal Code, particularly on charges of insulting an official body and an official employee, and at other times on charges of publishing what constitute defamatory and or insulting on websites contrary to the provisions of Article 11 of the Electronic Crimes Ac, while the pace of arrest of journalists in 2016 was reduced, in particular, those based on the Prevention of Terrorism Law and the Penal Code No. 16 of 1960 and its amendments, which is considered to be a positive step. </w:t>
      </w:r>
    </w:p>
    <w:p w:rsidR="00FB2957" w:rsidRDefault="00FB2957" w:rsidP="00FB2957">
      <w:pPr>
        <w:bidi w:val="0"/>
        <w:ind w:left="4"/>
        <w:jc w:val="both"/>
        <w:rPr>
          <w:rFonts w:asciiTheme="majorBidi" w:eastAsia="Times New Roman" w:hAnsiTheme="majorBidi" w:cstheme="majorBidi"/>
          <w:color w:val="000000" w:themeColor="text1"/>
          <w:sz w:val="24"/>
          <w:szCs w:val="24"/>
        </w:rPr>
      </w:pPr>
      <w:r>
        <w:rPr>
          <w:rFonts w:asciiTheme="majorBidi" w:eastAsia="Times New Roman" w:hAnsiTheme="majorBidi" w:cstheme="majorBidi"/>
          <w:color w:val="000000" w:themeColor="text1"/>
          <w:sz w:val="24"/>
          <w:szCs w:val="24"/>
        </w:rPr>
        <w:t xml:space="preserve">The reduced frequency of the apprehension and the prosecution of journalists and media workers in </w:t>
      </w:r>
      <w:r w:rsidR="00E427AB">
        <w:rPr>
          <w:rFonts w:asciiTheme="majorBidi" w:eastAsia="Times New Roman" w:hAnsiTheme="majorBidi" w:cstheme="majorBidi"/>
          <w:color w:val="000000" w:themeColor="text1"/>
          <w:sz w:val="24"/>
          <w:szCs w:val="24"/>
        </w:rPr>
        <w:t>2016</w:t>
      </w:r>
      <w:r>
        <w:rPr>
          <w:rFonts w:asciiTheme="majorBidi" w:eastAsia="Times New Roman" w:hAnsiTheme="majorBidi" w:cstheme="majorBidi"/>
          <w:color w:val="000000" w:themeColor="text1"/>
          <w:sz w:val="24"/>
          <w:szCs w:val="24"/>
        </w:rPr>
        <w:t xml:space="preserve"> </w:t>
      </w:r>
      <w:r w:rsidR="00E427AB">
        <w:rPr>
          <w:rFonts w:asciiTheme="majorBidi" w:eastAsia="Times New Roman" w:hAnsiTheme="majorBidi" w:cstheme="majorBidi"/>
          <w:color w:val="000000" w:themeColor="text1"/>
          <w:sz w:val="24"/>
          <w:szCs w:val="24"/>
        </w:rPr>
        <w:t xml:space="preserve">are considered a positive step, </w:t>
      </w:r>
      <w:r>
        <w:rPr>
          <w:rFonts w:asciiTheme="majorBidi" w:eastAsia="Times New Roman" w:hAnsiTheme="majorBidi" w:cstheme="majorBidi"/>
          <w:color w:val="000000" w:themeColor="text1"/>
          <w:sz w:val="24"/>
          <w:szCs w:val="24"/>
        </w:rPr>
        <w:t>the Center, however, monitored cases in which they were arrested on the basis of the Cyber Crimes Law (article 11 of the law). The number of press and publications cases amounted to (67) in 2015, while the number of such cases totalled (60) in 2016</w:t>
      </w:r>
      <w:r>
        <w:rPr>
          <w:rFonts w:asciiTheme="majorBidi" w:eastAsia="Times New Roman" w:hAnsiTheme="majorBidi" w:cstheme="majorBidi"/>
          <w:color w:val="000000" w:themeColor="text1"/>
          <w:sz w:val="24"/>
          <w:szCs w:val="24"/>
          <w:rtl/>
        </w:rPr>
        <w:t>.</w:t>
      </w:r>
    </w:p>
    <w:p w:rsidR="00FB2957" w:rsidRDefault="00FB2957" w:rsidP="00FB2957">
      <w:pPr>
        <w:bidi w:val="0"/>
        <w:ind w:left="4"/>
        <w:jc w:val="both"/>
        <w:rPr>
          <w:rFonts w:asciiTheme="majorBidi" w:eastAsia="Times New Roman" w:hAnsiTheme="majorBidi" w:cstheme="majorBidi"/>
          <w:sz w:val="24"/>
          <w:szCs w:val="24"/>
          <w:rtl/>
        </w:rPr>
      </w:pPr>
      <w:r>
        <w:rPr>
          <w:rFonts w:asciiTheme="majorBidi" w:eastAsia="Times New Roman" w:hAnsiTheme="majorBidi" w:cstheme="majorBidi"/>
          <w:sz w:val="24"/>
          <w:szCs w:val="24"/>
        </w:rPr>
        <w:t>As for activists on the social media sites, the years (2015-2017) have witnessed an increase in the arrest of these people for having expressed  their views, especially through their pages on Facebook</w:t>
      </w:r>
      <w:r>
        <w:rPr>
          <w:rFonts w:asciiTheme="majorBidi" w:eastAsia="Times New Roman" w:hAnsiTheme="majorBidi" w:cstheme="majorBidi"/>
          <w:sz w:val="24"/>
          <w:szCs w:val="24"/>
          <w:rtl/>
        </w:rPr>
        <w:t>.</w:t>
      </w:r>
    </w:p>
    <w:p w:rsidR="00FB2957" w:rsidRDefault="00FB2957" w:rsidP="00FB2957">
      <w:pPr>
        <w:pStyle w:val="ListParagraph"/>
        <w:numPr>
          <w:ilvl w:val="0"/>
          <w:numId w:val="24"/>
        </w:numPr>
        <w:bidi w:val="0"/>
        <w:jc w:val="both"/>
        <w:rPr>
          <w:rFonts w:asciiTheme="majorBidi" w:hAnsiTheme="majorBidi" w:cstheme="majorBidi"/>
        </w:rPr>
      </w:pPr>
      <w:r>
        <w:rPr>
          <w:rFonts w:asciiTheme="majorBidi" w:hAnsiTheme="majorBidi" w:cstheme="majorBidi"/>
        </w:rPr>
        <w:t>Concerning the restrictions imposed on press and media activities and their compatibility with article 19/3 of the ICCPR, reference should be made to the adoption of the Audiovisual Media Act of 2015, which included many positive aspects, namely; the abolition of the deprivation of liberty penalties and providing for the establishment of a committee to consider media complaints</w:t>
      </w:r>
      <w:r>
        <w:rPr>
          <w:rFonts w:asciiTheme="majorBidi" w:hAnsiTheme="majorBidi" w:cstheme="majorBidi"/>
          <w:lang w:bidi="ar-JO"/>
        </w:rPr>
        <w:t xml:space="preserve">. </w:t>
      </w:r>
    </w:p>
    <w:p w:rsidR="00FB2957" w:rsidRDefault="00FB2957" w:rsidP="00FB2957">
      <w:pPr>
        <w:bidi w:val="0"/>
        <w:ind w:left="4"/>
        <w:jc w:val="both"/>
        <w:rPr>
          <w:rFonts w:asciiTheme="majorBidi" w:eastAsia="Times New Roman" w:hAnsiTheme="majorBidi" w:cstheme="majorBidi"/>
          <w:sz w:val="24"/>
          <w:szCs w:val="24"/>
        </w:rPr>
      </w:pPr>
      <w:r>
        <w:rPr>
          <w:rFonts w:asciiTheme="majorBidi" w:eastAsia="Times New Roman" w:hAnsiTheme="majorBidi" w:cstheme="majorBidi"/>
          <w:sz w:val="24"/>
          <w:szCs w:val="24"/>
        </w:rPr>
        <w:t>However, the Law did not resolve the issue of the concentration of ownership and did not reinforced the Media Commission independence, which is still affiliated to the Minister of Information.</w:t>
      </w:r>
    </w:p>
    <w:p w:rsidR="00FB2957" w:rsidRDefault="00FB2957" w:rsidP="00FB2957">
      <w:pPr>
        <w:suppressAutoHyphens/>
        <w:bidi w:val="0"/>
        <w:spacing w:before="240" w:after="240" w:line="240" w:lineRule="auto"/>
        <w:ind w:left="4"/>
        <w:jc w:val="both"/>
        <w:rPr>
          <w:rFonts w:asciiTheme="majorBidi" w:eastAsia="Times New Roman" w:hAnsiTheme="majorBidi" w:cstheme="majorBidi"/>
          <w:sz w:val="24"/>
          <w:szCs w:val="24"/>
          <w:rtl/>
        </w:rPr>
      </w:pPr>
      <w:r>
        <w:rPr>
          <w:rFonts w:asciiTheme="majorBidi" w:eastAsia="Times New Roman" w:hAnsiTheme="majorBidi" w:cstheme="majorBidi"/>
          <w:sz w:val="24"/>
          <w:szCs w:val="24"/>
        </w:rPr>
        <w:t xml:space="preserve">in addition, the Law of the Jordan Radio and Television Corporation No. 17 for the year 2015 was amended by adding Article (5) bis. Consequently, the year 2015 saw positive </w:t>
      </w:r>
      <w:r>
        <w:rPr>
          <w:rFonts w:asciiTheme="majorBidi" w:eastAsia="Times New Roman" w:hAnsiTheme="majorBidi" w:cstheme="majorBidi"/>
          <w:sz w:val="24"/>
          <w:szCs w:val="24"/>
        </w:rPr>
        <w:lastRenderedPageBreak/>
        <w:t>developments in the approval of the Independent Public Information Station Regulation No. (53) for the year 2015. The purpose of  the establishment of this station is to create an independent media platform that takes into account openness and maintain communication with citizens and take into consideration their needs on the one hand and to keep pace with the continuous development in media on the other</w:t>
      </w:r>
      <w:r>
        <w:rPr>
          <w:rFonts w:asciiTheme="majorBidi" w:eastAsia="Times New Roman" w:hAnsiTheme="majorBidi" w:cstheme="majorBidi"/>
          <w:sz w:val="24"/>
          <w:szCs w:val="24"/>
          <w:rtl/>
        </w:rPr>
        <w:t>.</w:t>
      </w:r>
    </w:p>
    <w:p w:rsidR="00FB2957" w:rsidRDefault="00FB2957" w:rsidP="00FB2957">
      <w:pPr>
        <w:pStyle w:val="ListParagraph"/>
        <w:numPr>
          <w:ilvl w:val="0"/>
          <w:numId w:val="24"/>
        </w:numPr>
        <w:bidi w:val="0"/>
        <w:jc w:val="both"/>
        <w:rPr>
          <w:rFonts w:asciiTheme="majorBidi" w:hAnsiTheme="majorBidi" w:cstheme="majorBidi"/>
          <w:rtl/>
        </w:rPr>
      </w:pPr>
      <w:r>
        <w:rPr>
          <w:rFonts w:asciiTheme="majorBidi" w:hAnsiTheme="majorBidi" w:cstheme="majorBidi"/>
        </w:rPr>
        <w:t>The Press and Publications Law is still in force, despite the provision for the  establishment of the presumptive liability of the editor, the writer of the article and the owner of the publication, as well as the responsibility of the website for readers' commentaries as being part of the journalistic material. It is also well known that the Law still subjects news websites to registration requirements. The same applies to other publications which are subject to registration and not just by a mere notification.</w:t>
      </w:r>
    </w:p>
    <w:p w:rsidR="00FB2957" w:rsidRDefault="00FB2957" w:rsidP="00FB2957">
      <w:pPr>
        <w:suppressAutoHyphens/>
        <w:bidi w:val="0"/>
        <w:spacing w:before="240" w:after="240" w:line="240" w:lineRule="auto"/>
        <w:ind w:left="4"/>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As for the impact of the Jordan Media Strategy (2011-2015) on freedom of expression for journalists and bloggers, as well as for the current stage of establishing a media complaints board, it should be noted that:</w:t>
      </w:r>
    </w:p>
    <w:p w:rsidR="00FB2957" w:rsidRDefault="00FB2957" w:rsidP="00FB2957">
      <w:pPr>
        <w:suppressAutoHyphens/>
        <w:bidi w:val="0"/>
        <w:spacing w:before="240" w:after="240" w:line="240" w:lineRule="auto"/>
        <w:ind w:left="4"/>
        <w:jc w:val="both"/>
        <w:rPr>
          <w:rFonts w:asciiTheme="majorBidi" w:eastAsia="Times New Roman" w:hAnsiTheme="majorBidi" w:cstheme="majorBidi"/>
          <w:sz w:val="24"/>
          <w:szCs w:val="24"/>
        </w:rPr>
      </w:pPr>
      <w:r>
        <w:rPr>
          <w:rFonts w:asciiTheme="majorBidi" w:eastAsia="Times New Roman" w:hAnsiTheme="majorBidi" w:cstheme="majorBidi"/>
          <w:sz w:val="24"/>
          <w:szCs w:val="24"/>
        </w:rPr>
        <w:t>The specific timeframes for the implementation of the Information Strategy for the years 2011-2015 has completed, which was designed initially to promote an enabling environment for independent and enlightened Jordanian media based on the following principles: (a) a favorable legislative environment that balances between freedom and responsibility; (B) A high professionalism for media professionals based on sustainable substantive training. (C) self-regulation of the profession and adherence to its ethics. The following paragraphs highlights what has been achieved in the legislation and self-regulation of the profession:</w:t>
      </w:r>
    </w:p>
    <w:p w:rsidR="00FB2957" w:rsidRDefault="00FB2957" w:rsidP="00FB2957">
      <w:pPr>
        <w:suppressAutoHyphens/>
        <w:bidi w:val="0"/>
        <w:spacing w:before="240" w:after="240" w:line="240" w:lineRule="auto"/>
        <w:ind w:left="4"/>
        <w:rPr>
          <w:rFonts w:asciiTheme="majorBidi" w:eastAsia="Times New Roman" w:hAnsiTheme="majorBidi" w:cstheme="majorBidi"/>
          <w:b/>
          <w:bCs/>
          <w:sz w:val="24"/>
          <w:szCs w:val="24"/>
          <w:rtl/>
        </w:rPr>
      </w:pPr>
      <w:r>
        <w:rPr>
          <w:rFonts w:asciiTheme="majorBidi" w:eastAsia="Times New Roman" w:hAnsiTheme="majorBidi" w:cstheme="majorBidi"/>
          <w:b/>
          <w:bCs/>
          <w:sz w:val="24"/>
          <w:szCs w:val="24"/>
        </w:rPr>
        <w:t>First: Legislation</w:t>
      </w:r>
    </w:p>
    <w:p w:rsidR="00FB2957" w:rsidRDefault="00FB2957" w:rsidP="00FB2957">
      <w:pPr>
        <w:suppressAutoHyphens/>
        <w:bidi w:val="0"/>
        <w:spacing w:before="240" w:after="240" w:line="240" w:lineRule="auto"/>
        <w:ind w:left="4"/>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The Media Strategy for the years (2011-2015) pointed to the need to "review the national legislations governing the media work or related to the performance of this sector, so that these legislations become motivational tools to raise the performance of media in form and substance, in line with the principles of democracy and international standards of human rights." </w:t>
      </w:r>
    </w:p>
    <w:p w:rsidR="00FB2957" w:rsidRDefault="00FB2957" w:rsidP="00FB2957">
      <w:pPr>
        <w:pStyle w:val="ListParagraph"/>
        <w:numPr>
          <w:ilvl w:val="0"/>
          <w:numId w:val="24"/>
        </w:numPr>
        <w:suppressAutoHyphens/>
        <w:bidi w:val="0"/>
        <w:spacing w:before="240" w:after="240"/>
        <w:jc w:val="both"/>
        <w:rPr>
          <w:rFonts w:asciiTheme="majorBidi" w:hAnsiTheme="majorBidi" w:cstheme="majorBidi"/>
          <w:color w:val="FF0000"/>
          <w:rtl/>
        </w:rPr>
      </w:pPr>
      <w:r>
        <w:rPr>
          <w:rFonts w:asciiTheme="majorBidi" w:hAnsiTheme="majorBidi" w:cstheme="majorBidi"/>
        </w:rPr>
        <w:t>There are legislations that have not yet been amended, most notably; the Contempt of Courts Act , the Protection of State Secrets and Documents Act and the Right to Information Act, which is still under consideration in the House of Representatives, and the government had made a proposal for  amending the Law for many years. This is in addition, to the existing problem of the need of a  legislative review of these laws as one package and amend them in order to ensure the consistency and non-intersection or contradiction of their provisions, as usually happens, when revision is conducted individually or at longer intervals</w:t>
      </w:r>
      <w:r>
        <w:rPr>
          <w:rFonts w:asciiTheme="majorBidi" w:hAnsiTheme="majorBidi" w:cstheme="majorBidi"/>
          <w:color w:val="FF0000"/>
        </w:rPr>
        <w:t xml:space="preserve">.  </w:t>
      </w:r>
    </w:p>
    <w:p w:rsidR="00FB2957" w:rsidRDefault="00FB2957" w:rsidP="00FB2957">
      <w:pPr>
        <w:pStyle w:val="ListParagraph"/>
        <w:numPr>
          <w:ilvl w:val="0"/>
          <w:numId w:val="24"/>
        </w:numPr>
        <w:suppressAutoHyphens/>
        <w:bidi w:val="0"/>
        <w:spacing w:before="240" w:after="240"/>
        <w:jc w:val="both"/>
        <w:rPr>
          <w:rFonts w:asciiTheme="majorBidi" w:hAnsiTheme="majorBidi" w:cstheme="majorBidi"/>
          <w:rtl/>
        </w:rPr>
      </w:pPr>
      <w:r>
        <w:rPr>
          <w:rFonts w:asciiTheme="majorBidi" w:hAnsiTheme="majorBidi" w:cstheme="majorBidi"/>
        </w:rPr>
        <w:t>It is worth mentioning that the laws that have been amended are the Press and Publications Law, the Penal Code, the State Security Court Law, and the Information Systems Crimes Law. All of these laws, even where they contained some positive aspects, but the amendments, which affected most their provisions, extended the scope of restrictions imposed on freedom of expression and freedom of the press and media in the Kingdom.</w:t>
      </w:r>
    </w:p>
    <w:p w:rsidR="00FB2957" w:rsidRDefault="00FB2957" w:rsidP="00FB2957">
      <w:pPr>
        <w:suppressAutoHyphens/>
        <w:bidi w:val="0"/>
        <w:spacing w:before="240" w:after="240" w:line="240" w:lineRule="auto"/>
        <w:ind w:left="4"/>
        <w:rPr>
          <w:rFonts w:asciiTheme="majorBidi" w:eastAsia="Times New Roman" w:hAnsiTheme="majorBidi" w:cstheme="majorBidi"/>
          <w:b/>
          <w:bCs/>
          <w:sz w:val="24"/>
          <w:szCs w:val="24"/>
          <w:rtl/>
        </w:rPr>
      </w:pPr>
      <w:r>
        <w:rPr>
          <w:rFonts w:asciiTheme="majorBidi" w:eastAsia="Times New Roman" w:hAnsiTheme="majorBidi" w:cstheme="majorBidi"/>
          <w:b/>
          <w:bCs/>
          <w:sz w:val="24"/>
          <w:szCs w:val="24"/>
        </w:rPr>
        <w:t>Second: Self-regulation of the press profession and the establishment of the media complaints board</w:t>
      </w:r>
    </w:p>
    <w:p w:rsidR="00FB2957" w:rsidRPr="00746726" w:rsidRDefault="00FB2957" w:rsidP="00FB2957">
      <w:pPr>
        <w:suppressAutoHyphens/>
        <w:bidi w:val="0"/>
        <w:spacing w:before="240" w:after="240" w:line="240" w:lineRule="auto"/>
        <w:ind w:left="4"/>
        <w:jc w:val="both"/>
        <w:rPr>
          <w:rFonts w:asciiTheme="majorBidi" w:eastAsia="Times New Roman" w:hAnsiTheme="majorBidi" w:cstheme="majorBidi"/>
          <w:sz w:val="24"/>
          <w:szCs w:val="24"/>
        </w:rPr>
      </w:pPr>
      <w:r>
        <w:rPr>
          <w:rFonts w:asciiTheme="majorBidi" w:eastAsia="Times New Roman" w:hAnsiTheme="majorBidi" w:cstheme="majorBidi"/>
          <w:sz w:val="24"/>
          <w:szCs w:val="24"/>
        </w:rPr>
        <w:lastRenderedPageBreak/>
        <w:t>The media strategy pointed to the need to establish a media complaints council in accordance w</w:t>
      </w:r>
      <w:r w:rsidRPr="00746726">
        <w:rPr>
          <w:rFonts w:asciiTheme="majorBidi" w:eastAsia="Times New Roman" w:hAnsiTheme="majorBidi" w:cstheme="majorBidi"/>
          <w:sz w:val="24"/>
          <w:szCs w:val="24"/>
        </w:rPr>
        <w:t>ith international models of ethical and professional principles, which are deemed a reference to journalistic and media behaviors and best practices. Notwithstanding the recent  consultations between the government, institutions, relevant civil society organizations and the Journalists' Syndicate to agree on the form and reference of the Council and the legal form, of which the council will be adopted, whether in the form of a law or a regulation</w:t>
      </w:r>
      <w:r w:rsidRPr="00746726">
        <w:rPr>
          <w:rFonts w:asciiTheme="majorBidi" w:eastAsia="Times New Roman" w:hAnsiTheme="majorBidi" w:cstheme="majorBidi"/>
          <w:sz w:val="24"/>
          <w:szCs w:val="24"/>
          <w:rtl/>
        </w:rPr>
        <w:t>.</w:t>
      </w:r>
      <w:r w:rsidRPr="00746726">
        <w:rPr>
          <w:rFonts w:asciiTheme="majorBidi" w:eastAsia="Times New Roman" w:hAnsiTheme="majorBidi" w:cstheme="majorBidi"/>
          <w:sz w:val="24"/>
          <w:szCs w:val="24"/>
        </w:rPr>
        <w:t xml:space="preserve"> To date, neither this council has not been yet established nor  its main features been yet identified.</w:t>
      </w:r>
    </w:p>
    <w:p w:rsidR="00FB2957" w:rsidRPr="00746726" w:rsidRDefault="00FB2957" w:rsidP="00FB2957">
      <w:pPr>
        <w:keepNext/>
        <w:keepLines/>
        <w:tabs>
          <w:tab w:val="right" w:pos="851"/>
        </w:tabs>
        <w:suppressAutoHyphens/>
        <w:bidi w:val="0"/>
        <w:spacing w:before="360" w:after="240" w:line="270" w:lineRule="exact"/>
        <w:ind w:left="1134" w:right="1134" w:hanging="1134"/>
        <w:rPr>
          <w:rFonts w:asciiTheme="majorBidi" w:eastAsia="Times New Roman" w:hAnsiTheme="majorBidi" w:cstheme="majorBidi"/>
          <w:b/>
          <w:bCs/>
          <w:sz w:val="24"/>
          <w:szCs w:val="24"/>
          <w:rtl/>
        </w:rPr>
      </w:pPr>
      <w:r w:rsidRPr="00746726">
        <w:rPr>
          <w:rFonts w:asciiTheme="majorBidi" w:eastAsia="Times New Roman" w:hAnsiTheme="majorBidi" w:cstheme="majorBidi"/>
          <w:sz w:val="24"/>
          <w:szCs w:val="24"/>
        </w:rPr>
        <w:tab/>
      </w:r>
      <w:r w:rsidRPr="00746726">
        <w:rPr>
          <w:rFonts w:asciiTheme="majorBidi" w:eastAsia="Times New Roman" w:hAnsiTheme="majorBidi" w:cstheme="majorBidi"/>
          <w:b/>
          <w:bCs/>
          <w:sz w:val="24"/>
          <w:szCs w:val="24"/>
        </w:rPr>
        <w:t>Right of peaceful assembly and freedom of association (arts. 21-22)</w:t>
      </w:r>
    </w:p>
    <w:p w:rsidR="00FB2957" w:rsidRPr="00746726" w:rsidRDefault="00FB2957" w:rsidP="0094766F">
      <w:pPr>
        <w:bidi w:val="0"/>
        <w:ind w:left="4"/>
        <w:jc w:val="both"/>
        <w:rPr>
          <w:rFonts w:asciiTheme="majorBidi" w:eastAsia="Times New Roman" w:hAnsiTheme="majorBidi" w:cstheme="majorBidi"/>
          <w:sz w:val="24"/>
          <w:szCs w:val="24"/>
        </w:rPr>
      </w:pPr>
      <w:r w:rsidRPr="00746726">
        <w:rPr>
          <w:rFonts w:asciiTheme="majorBidi" w:eastAsia="Times New Roman" w:hAnsiTheme="majorBidi" w:cstheme="majorBidi"/>
          <w:sz w:val="24"/>
          <w:szCs w:val="24"/>
        </w:rPr>
        <w:t xml:space="preserve">21- There has been no significant change in the </w:t>
      </w:r>
      <w:r w:rsidR="0094766F">
        <w:rPr>
          <w:rFonts w:asciiTheme="majorBidi" w:eastAsia="Times New Roman" w:hAnsiTheme="majorBidi" w:cstheme="majorBidi"/>
          <w:sz w:val="24"/>
          <w:szCs w:val="24"/>
        </w:rPr>
        <w:t>L</w:t>
      </w:r>
      <w:r w:rsidRPr="00746726">
        <w:rPr>
          <w:rFonts w:asciiTheme="majorBidi" w:eastAsia="Times New Roman" w:hAnsiTheme="majorBidi" w:cstheme="majorBidi"/>
          <w:sz w:val="24"/>
          <w:szCs w:val="24"/>
        </w:rPr>
        <w:t xml:space="preserve">aw amending the Jordanian Public Gatherings Act No. 5 of 2011, read with the original Law No. 7 of 2004, as a single Law.  In particular, there has been no </w:t>
      </w:r>
      <w:r w:rsidR="00746726" w:rsidRPr="00746726">
        <w:rPr>
          <w:rFonts w:asciiTheme="majorBidi" w:eastAsia="Times New Roman" w:hAnsiTheme="majorBidi" w:cstheme="majorBidi"/>
          <w:sz w:val="24"/>
          <w:szCs w:val="24"/>
        </w:rPr>
        <w:t>change</w:t>
      </w:r>
      <w:r w:rsidRPr="00746726">
        <w:rPr>
          <w:rFonts w:asciiTheme="majorBidi" w:eastAsia="Times New Roman" w:hAnsiTheme="majorBidi" w:cstheme="majorBidi"/>
          <w:sz w:val="24"/>
          <w:szCs w:val="24"/>
        </w:rPr>
        <w:t xml:space="preserve"> in the definition of the right to public assembly, which is riddled with some legal ambiguities, th</w:t>
      </w:r>
      <w:r w:rsidR="0094766F">
        <w:rPr>
          <w:rFonts w:asciiTheme="majorBidi" w:eastAsia="Times New Roman" w:hAnsiTheme="majorBidi" w:cstheme="majorBidi"/>
          <w:sz w:val="24"/>
          <w:szCs w:val="24"/>
        </w:rPr>
        <w:t>ough</w:t>
      </w:r>
      <w:r w:rsidRPr="00746726">
        <w:rPr>
          <w:rFonts w:asciiTheme="majorBidi" w:eastAsia="Times New Roman" w:hAnsiTheme="majorBidi" w:cstheme="majorBidi"/>
          <w:sz w:val="24"/>
          <w:szCs w:val="24"/>
        </w:rPr>
        <w:t xml:space="preserve"> it is considered a constitution </w:t>
      </w:r>
      <w:r w:rsidR="00746726" w:rsidRPr="00746726">
        <w:rPr>
          <w:rFonts w:asciiTheme="majorBidi" w:eastAsia="Times New Roman" w:hAnsiTheme="majorBidi" w:cstheme="majorBidi"/>
          <w:sz w:val="24"/>
          <w:szCs w:val="24"/>
        </w:rPr>
        <w:t>rights under</w:t>
      </w:r>
      <w:r w:rsidRPr="00746726">
        <w:rPr>
          <w:rFonts w:asciiTheme="majorBidi" w:eastAsia="Times New Roman" w:hAnsiTheme="majorBidi" w:cstheme="majorBidi"/>
          <w:sz w:val="24"/>
          <w:szCs w:val="24"/>
        </w:rPr>
        <w:t xml:space="preserve"> Article (16) of the Jordanian Constitution.</w:t>
      </w:r>
    </w:p>
    <w:p w:rsidR="00FB2957" w:rsidRPr="00746726" w:rsidRDefault="00FB2957" w:rsidP="00FA4C63">
      <w:pPr>
        <w:bidi w:val="0"/>
        <w:ind w:left="4"/>
        <w:jc w:val="both"/>
        <w:rPr>
          <w:rFonts w:asciiTheme="majorBidi" w:eastAsia="Times New Roman" w:hAnsiTheme="majorBidi" w:cstheme="majorBidi"/>
          <w:sz w:val="24"/>
          <w:szCs w:val="24"/>
        </w:rPr>
      </w:pPr>
      <w:r w:rsidRPr="00746726">
        <w:rPr>
          <w:rFonts w:asciiTheme="majorBidi" w:eastAsia="Times New Roman" w:hAnsiTheme="majorBidi" w:cstheme="majorBidi"/>
          <w:sz w:val="24"/>
          <w:szCs w:val="24"/>
        </w:rPr>
        <w:t xml:space="preserve">22- </w:t>
      </w:r>
      <w:r w:rsidR="00FA4C63">
        <w:rPr>
          <w:rFonts w:asciiTheme="majorBidi" w:eastAsia="Times New Roman" w:hAnsiTheme="majorBidi" w:cstheme="majorBidi"/>
          <w:sz w:val="24"/>
          <w:szCs w:val="24"/>
        </w:rPr>
        <w:t>Despite</w:t>
      </w:r>
      <w:r w:rsidRPr="00746726">
        <w:rPr>
          <w:rFonts w:asciiTheme="majorBidi" w:eastAsia="Times New Roman" w:hAnsiTheme="majorBidi" w:cstheme="majorBidi"/>
          <w:sz w:val="24"/>
          <w:szCs w:val="24"/>
        </w:rPr>
        <w:t xml:space="preserve"> the developments in the current </w:t>
      </w:r>
      <w:r w:rsidR="0094766F">
        <w:rPr>
          <w:rFonts w:asciiTheme="majorBidi" w:eastAsia="Times New Roman" w:hAnsiTheme="majorBidi" w:cstheme="majorBidi"/>
          <w:sz w:val="24"/>
          <w:szCs w:val="24"/>
        </w:rPr>
        <w:t>L</w:t>
      </w:r>
      <w:r w:rsidRPr="00746726">
        <w:rPr>
          <w:rFonts w:asciiTheme="majorBidi" w:eastAsia="Times New Roman" w:hAnsiTheme="majorBidi" w:cstheme="majorBidi"/>
          <w:sz w:val="24"/>
          <w:szCs w:val="24"/>
        </w:rPr>
        <w:t xml:space="preserve">aw, </w:t>
      </w:r>
      <w:r w:rsidR="0094766F">
        <w:rPr>
          <w:rFonts w:asciiTheme="majorBidi" w:eastAsia="Times New Roman" w:hAnsiTheme="majorBidi" w:cstheme="majorBidi"/>
          <w:sz w:val="24"/>
          <w:szCs w:val="24"/>
        </w:rPr>
        <w:t>it</w:t>
      </w:r>
      <w:r w:rsidRPr="00746726">
        <w:rPr>
          <w:rFonts w:asciiTheme="majorBidi" w:eastAsia="Times New Roman" w:hAnsiTheme="majorBidi" w:cstheme="majorBidi"/>
          <w:sz w:val="24"/>
          <w:szCs w:val="24"/>
        </w:rPr>
        <w:t xml:space="preserve"> still </w:t>
      </w:r>
      <w:r w:rsidR="00DA4FA6">
        <w:rPr>
          <w:rFonts w:asciiTheme="majorBidi" w:eastAsia="Times New Roman" w:hAnsiTheme="majorBidi" w:cstheme="majorBidi"/>
          <w:sz w:val="24"/>
          <w:szCs w:val="24"/>
        </w:rPr>
        <w:t>contains</w:t>
      </w:r>
      <w:r w:rsidRPr="00746726">
        <w:rPr>
          <w:rFonts w:asciiTheme="majorBidi" w:eastAsia="Times New Roman" w:hAnsiTheme="majorBidi" w:cstheme="majorBidi"/>
          <w:sz w:val="24"/>
          <w:szCs w:val="24"/>
        </w:rPr>
        <w:t xml:space="preserve"> some ambiguities that could be used to impose restrictions</w:t>
      </w:r>
      <w:r w:rsidR="00687A3D">
        <w:rPr>
          <w:rFonts w:asciiTheme="majorBidi" w:eastAsia="Times New Roman" w:hAnsiTheme="majorBidi" w:cstheme="majorBidi"/>
          <w:sz w:val="24"/>
          <w:szCs w:val="24"/>
        </w:rPr>
        <w:t xml:space="preserve"> on the exercise of this right. </w:t>
      </w:r>
      <w:r w:rsidRPr="00746726">
        <w:rPr>
          <w:rFonts w:asciiTheme="majorBidi" w:eastAsia="Times New Roman" w:hAnsiTheme="majorBidi" w:cstheme="majorBidi"/>
          <w:sz w:val="24"/>
          <w:szCs w:val="24"/>
        </w:rPr>
        <w:t xml:space="preserve">The Law is subject to the local governor’s control and authority in taking the security measures as he deems appropriate in accordance with his will. Therefore, he could impede or prevent holding a </w:t>
      </w:r>
      <w:r w:rsidR="00746726" w:rsidRPr="00746726">
        <w:rPr>
          <w:rFonts w:asciiTheme="majorBidi" w:eastAsia="Times New Roman" w:hAnsiTheme="majorBidi" w:cstheme="majorBidi"/>
          <w:sz w:val="24"/>
          <w:szCs w:val="24"/>
        </w:rPr>
        <w:t>peaceful group</w:t>
      </w:r>
      <w:r w:rsidRPr="00746726">
        <w:rPr>
          <w:rFonts w:asciiTheme="majorBidi" w:eastAsia="Times New Roman" w:hAnsiTheme="majorBidi" w:cstheme="majorBidi"/>
          <w:sz w:val="24"/>
          <w:szCs w:val="24"/>
        </w:rPr>
        <w:t xml:space="preserve"> </w:t>
      </w:r>
      <w:r w:rsidR="00DA4FA6" w:rsidRPr="00746726">
        <w:rPr>
          <w:rFonts w:asciiTheme="majorBidi" w:eastAsia="Times New Roman" w:hAnsiTheme="majorBidi" w:cstheme="majorBidi"/>
          <w:sz w:val="24"/>
          <w:szCs w:val="24"/>
        </w:rPr>
        <w:t>activity on administrative pretexts</w:t>
      </w:r>
      <w:r w:rsidRPr="00746726">
        <w:rPr>
          <w:rFonts w:asciiTheme="majorBidi" w:eastAsia="Times New Roman" w:hAnsiTheme="majorBidi" w:cstheme="majorBidi"/>
          <w:sz w:val="24"/>
          <w:szCs w:val="24"/>
        </w:rPr>
        <w:t xml:space="preserve">. </w:t>
      </w:r>
    </w:p>
    <w:p w:rsidR="00FB2957" w:rsidRPr="00746726" w:rsidRDefault="00FB2957" w:rsidP="0033590F">
      <w:pPr>
        <w:bidi w:val="0"/>
        <w:ind w:left="4"/>
        <w:jc w:val="both"/>
        <w:rPr>
          <w:rFonts w:asciiTheme="majorBidi" w:eastAsia="Times New Roman" w:hAnsiTheme="majorBidi" w:cstheme="majorBidi"/>
          <w:sz w:val="24"/>
          <w:szCs w:val="24"/>
          <w:rtl/>
        </w:rPr>
      </w:pPr>
      <w:r w:rsidRPr="00746726">
        <w:rPr>
          <w:rFonts w:asciiTheme="majorBidi" w:eastAsia="Times New Roman" w:hAnsiTheme="majorBidi" w:cstheme="majorBidi"/>
          <w:sz w:val="24"/>
          <w:szCs w:val="24"/>
        </w:rPr>
        <w:t>The </w:t>
      </w:r>
      <w:hyperlink r:id="rId15" w:history="1">
        <w:r w:rsidRPr="007F34AB">
          <w:t>Public Gatherings</w:t>
        </w:r>
      </w:hyperlink>
      <w:r w:rsidRPr="00746726">
        <w:rPr>
          <w:rFonts w:asciiTheme="majorBidi" w:eastAsia="Times New Roman" w:hAnsiTheme="majorBidi" w:cstheme="majorBidi"/>
          <w:sz w:val="24"/>
          <w:szCs w:val="24"/>
        </w:rPr>
        <w:t xml:space="preserve">, Assemblies, and Demonstrations Regulations for the year 2011, issued pursuant to the provisions of Article (11) of the Public Gatherings Law and its amendments, requires organizers to notify the local governor of their intention of holding a </w:t>
      </w:r>
      <w:hyperlink r:id="rId16" w:history="1">
        <w:r w:rsidRPr="007F34AB">
          <w:t>meeting, a gathering</w:t>
        </w:r>
      </w:hyperlink>
      <w:r w:rsidRPr="00746726">
        <w:rPr>
          <w:rFonts w:asciiTheme="majorBidi" w:eastAsia="Times New Roman" w:hAnsiTheme="majorBidi" w:cstheme="majorBidi"/>
          <w:sz w:val="24"/>
          <w:szCs w:val="24"/>
        </w:rPr>
        <w:t>, or a demonstration,  prior to making anno</w:t>
      </w:r>
      <w:r w:rsidR="0033590F">
        <w:rPr>
          <w:rFonts w:asciiTheme="majorBidi" w:eastAsia="Times New Roman" w:hAnsiTheme="majorBidi" w:cstheme="majorBidi"/>
          <w:sz w:val="24"/>
          <w:szCs w:val="24"/>
        </w:rPr>
        <w:t>uncements or extend invitations.</w:t>
      </w:r>
    </w:p>
    <w:p w:rsidR="00FB2957" w:rsidRPr="00746726" w:rsidRDefault="00FB2957" w:rsidP="00FB2957">
      <w:pPr>
        <w:bidi w:val="0"/>
        <w:ind w:left="4"/>
        <w:jc w:val="both"/>
        <w:rPr>
          <w:rFonts w:asciiTheme="majorBidi" w:eastAsia="Times New Roman" w:hAnsiTheme="majorBidi" w:cstheme="majorBidi"/>
          <w:sz w:val="24"/>
          <w:szCs w:val="24"/>
        </w:rPr>
      </w:pPr>
      <w:r w:rsidRPr="00746726">
        <w:rPr>
          <w:rFonts w:asciiTheme="majorBidi" w:eastAsia="Times New Roman" w:hAnsiTheme="majorBidi" w:cstheme="majorBidi"/>
          <w:sz w:val="24"/>
          <w:szCs w:val="24"/>
        </w:rPr>
        <w:t xml:space="preserve">The Center observed some of the events that were prevented by the local governor on the grounds that the theme of those meetings contravenes the objectives of the organizations as inscribed in their license document, registered with the authorities.   The Center stressed in more than one statement that it is not permissible to prevent or obstruct any activity under this right unless it goes beyond </w:t>
      </w:r>
      <w:r w:rsidR="00746726" w:rsidRPr="00746726">
        <w:rPr>
          <w:rFonts w:asciiTheme="majorBidi" w:eastAsia="Times New Roman" w:hAnsiTheme="majorBidi" w:cstheme="majorBidi"/>
          <w:sz w:val="24"/>
          <w:szCs w:val="24"/>
        </w:rPr>
        <w:t>its peaceful</w:t>
      </w:r>
      <w:r w:rsidRPr="00746726">
        <w:rPr>
          <w:rFonts w:asciiTheme="majorBidi" w:eastAsia="Times New Roman" w:hAnsiTheme="majorBidi" w:cstheme="majorBidi"/>
          <w:sz w:val="24"/>
          <w:szCs w:val="24"/>
        </w:rPr>
        <w:t xml:space="preserve"> nature.</w:t>
      </w:r>
      <w:r w:rsidRPr="00746726">
        <w:rPr>
          <w:rFonts w:asciiTheme="majorBidi" w:eastAsia="Times New Roman" w:hAnsiTheme="majorBidi" w:cstheme="majorBidi"/>
          <w:sz w:val="24"/>
          <w:szCs w:val="24"/>
          <w:rtl/>
        </w:rPr>
        <w:t>.</w:t>
      </w:r>
      <w:r w:rsidRPr="00746726">
        <w:rPr>
          <w:rFonts w:asciiTheme="majorBidi" w:eastAsia="Times New Roman" w:hAnsiTheme="majorBidi" w:cstheme="majorBidi"/>
          <w:sz w:val="24"/>
          <w:szCs w:val="24"/>
        </w:rPr>
        <w:t xml:space="preserve"> </w:t>
      </w:r>
    </w:p>
    <w:p w:rsidR="00FB2957" w:rsidRPr="00746726" w:rsidRDefault="00FB2957" w:rsidP="00FB2957">
      <w:pPr>
        <w:bidi w:val="0"/>
        <w:ind w:left="4"/>
        <w:jc w:val="both"/>
        <w:rPr>
          <w:rFonts w:asciiTheme="majorBidi" w:eastAsia="Times New Roman" w:hAnsiTheme="majorBidi" w:cstheme="majorBidi"/>
          <w:sz w:val="24"/>
          <w:szCs w:val="24"/>
          <w:rtl/>
        </w:rPr>
      </w:pPr>
      <w:r w:rsidRPr="00746726">
        <w:rPr>
          <w:rFonts w:asciiTheme="majorBidi" w:eastAsia="Times New Roman" w:hAnsiTheme="majorBidi" w:cstheme="majorBidi"/>
          <w:sz w:val="24"/>
          <w:szCs w:val="24"/>
        </w:rPr>
        <w:t>22- The year 2017 witnessed no legislative amendments affecting the right to freedom of peaceful assembly and the right to found or join trade unions</w:t>
      </w:r>
    </w:p>
    <w:p w:rsidR="00FB2957" w:rsidRPr="00746726" w:rsidRDefault="00FB2957" w:rsidP="00FB2957">
      <w:pPr>
        <w:keepNext/>
        <w:keepLines/>
        <w:tabs>
          <w:tab w:val="right" w:pos="851"/>
        </w:tabs>
        <w:suppressAutoHyphens/>
        <w:bidi w:val="0"/>
        <w:spacing w:before="360" w:after="240" w:line="270" w:lineRule="exact"/>
        <w:ind w:left="1134" w:right="1134" w:hanging="1134"/>
        <w:rPr>
          <w:rFonts w:asciiTheme="majorBidi" w:eastAsia="Times New Roman" w:hAnsiTheme="majorBidi" w:cstheme="majorBidi"/>
          <w:b/>
          <w:bCs/>
          <w:sz w:val="24"/>
          <w:szCs w:val="24"/>
          <w:rtl/>
        </w:rPr>
      </w:pPr>
      <w:r w:rsidRPr="00746726">
        <w:rPr>
          <w:rFonts w:asciiTheme="majorBidi" w:eastAsia="Times New Roman" w:hAnsiTheme="majorBidi" w:cstheme="majorBidi"/>
          <w:sz w:val="24"/>
          <w:szCs w:val="24"/>
        </w:rPr>
        <w:tab/>
      </w:r>
      <w:r w:rsidRPr="00746726">
        <w:rPr>
          <w:rFonts w:asciiTheme="majorBidi" w:eastAsia="Times New Roman" w:hAnsiTheme="majorBidi" w:cstheme="majorBidi"/>
          <w:b/>
          <w:bCs/>
          <w:sz w:val="24"/>
          <w:szCs w:val="24"/>
        </w:rPr>
        <w:t>23- Rights of the child (art. 24)</w:t>
      </w:r>
    </w:p>
    <w:p w:rsidR="00FB2957" w:rsidRPr="00746726" w:rsidRDefault="00FB2957" w:rsidP="00FB2957">
      <w:pPr>
        <w:bidi w:val="0"/>
        <w:spacing w:before="240" w:after="120" w:line="240" w:lineRule="auto"/>
        <w:contextualSpacing/>
        <w:jc w:val="both"/>
        <w:rPr>
          <w:rFonts w:asciiTheme="majorBidi" w:eastAsia="Times New Roman" w:hAnsiTheme="majorBidi" w:cstheme="majorBidi"/>
          <w:sz w:val="24"/>
          <w:szCs w:val="24"/>
        </w:rPr>
      </w:pPr>
      <w:r w:rsidRPr="00746726">
        <w:rPr>
          <w:rFonts w:asciiTheme="majorBidi" w:eastAsia="Times New Roman" w:hAnsiTheme="majorBidi" w:cstheme="majorBidi"/>
          <w:sz w:val="24"/>
          <w:szCs w:val="24"/>
        </w:rPr>
        <w:t>The Jordanian Labor Law does not permit the employment of the juvenile who did not complete the age of sixteen in any manner (Article 73), and it is not permissible to employ the juvenile who didn't complete the age of seventeen in hazardous, exhausting or prejudicial to health jobs (Article  74). However, these legislations are often violated by civil bodies, employers, and families.</w:t>
      </w:r>
      <w:r w:rsidRPr="00746726">
        <w:t xml:space="preserve"> The </w:t>
      </w:r>
      <w:r w:rsidRPr="00746726">
        <w:rPr>
          <w:rFonts w:asciiTheme="majorBidi" w:eastAsia="Times New Roman" w:hAnsiTheme="majorBidi" w:cstheme="majorBidi"/>
          <w:sz w:val="24"/>
          <w:szCs w:val="24"/>
        </w:rPr>
        <w:t xml:space="preserve">child labor is a disturbing phenomenon in Jordan. The Center, with partial funding from the APF, is currently implementing an awareness </w:t>
      </w:r>
      <w:r w:rsidR="00746726" w:rsidRPr="00746726">
        <w:rPr>
          <w:rFonts w:asciiTheme="majorBidi" w:eastAsia="Times New Roman" w:hAnsiTheme="majorBidi" w:cstheme="majorBidi"/>
          <w:sz w:val="24"/>
          <w:szCs w:val="24"/>
        </w:rPr>
        <w:t>raising project</w:t>
      </w:r>
      <w:r w:rsidRPr="00746726">
        <w:rPr>
          <w:rFonts w:asciiTheme="majorBidi" w:eastAsia="Times New Roman" w:hAnsiTheme="majorBidi" w:cstheme="majorBidi"/>
          <w:sz w:val="24"/>
          <w:szCs w:val="24"/>
        </w:rPr>
        <w:t xml:space="preserve"> on this phenomenon and covers half of the Kingdom's governorates. </w:t>
      </w:r>
    </w:p>
    <w:p w:rsidR="00FB2957" w:rsidRPr="00746726" w:rsidRDefault="00FB2957" w:rsidP="00FB2957">
      <w:pPr>
        <w:bidi w:val="0"/>
        <w:spacing w:before="240" w:after="120" w:line="240" w:lineRule="auto"/>
        <w:contextualSpacing/>
        <w:rPr>
          <w:rFonts w:asciiTheme="majorBidi" w:eastAsia="Times New Roman" w:hAnsiTheme="majorBidi" w:cstheme="majorBidi"/>
          <w:sz w:val="24"/>
          <w:szCs w:val="24"/>
        </w:rPr>
      </w:pPr>
    </w:p>
    <w:p w:rsidR="00FB2957" w:rsidRPr="00746726" w:rsidRDefault="00FB2957" w:rsidP="00FB2957">
      <w:pPr>
        <w:bidi w:val="0"/>
        <w:spacing w:before="240" w:after="120" w:line="240" w:lineRule="auto"/>
        <w:contextualSpacing/>
        <w:jc w:val="both"/>
        <w:rPr>
          <w:rFonts w:asciiTheme="majorBidi" w:eastAsia="Times New Roman" w:hAnsiTheme="majorBidi" w:cstheme="majorBidi"/>
          <w:sz w:val="24"/>
          <w:szCs w:val="24"/>
        </w:rPr>
      </w:pPr>
      <w:r w:rsidRPr="00746726">
        <w:rPr>
          <w:rFonts w:asciiTheme="majorBidi" w:eastAsia="Times New Roman" w:hAnsiTheme="majorBidi" w:cstheme="majorBidi"/>
          <w:sz w:val="24"/>
          <w:szCs w:val="24"/>
        </w:rPr>
        <w:t xml:space="preserve">In 2008, the Labor Law became applicable on domestic workers, cooks, gardeners and persons employed in similar occupations, pursuant to a special regulation issued for this </w:t>
      </w:r>
      <w:r w:rsidRPr="00746726">
        <w:rPr>
          <w:rFonts w:asciiTheme="majorBidi" w:eastAsia="Times New Roman" w:hAnsiTheme="majorBidi" w:cstheme="majorBidi"/>
          <w:sz w:val="24"/>
          <w:szCs w:val="24"/>
        </w:rPr>
        <w:lastRenderedPageBreak/>
        <w:t>purpose. This Regulation includes, managing their work contracts, their working and rest hours, inspection and any other matters related to their employment (Article 3/2) of the Labor Law. In addition, (Article 77) imposed penalties on errant employers.</w:t>
      </w:r>
    </w:p>
    <w:p w:rsidR="00FB2957" w:rsidRPr="00746726" w:rsidRDefault="00FB2957" w:rsidP="00FB2957">
      <w:pPr>
        <w:keepNext/>
        <w:keepLines/>
        <w:tabs>
          <w:tab w:val="right" w:pos="851"/>
        </w:tabs>
        <w:suppressAutoHyphens/>
        <w:bidi w:val="0"/>
        <w:spacing w:before="360" w:after="240" w:line="270" w:lineRule="exact"/>
        <w:ind w:right="1134"/>
        <w:rPr>
          <w:rFonts w:asciiTheme="majorBidi" w:eastAsia="Times New Roman" w:hAnsiTheme="majorBidi" w:cstheme="majorBidi"/>
          <w:b/>
          <w:bCs/>
          <w:sz w:val="24"/>
          <w:szCs w:val="24"/>
        </w:rPr>
      </w:pPr>
      <w:r w:rsidRPr="00746726">
        <w:rPr>
          <w:rFonts w:asciiTheme="majorBidi" w:eastAsia="Times New Roman" w:hAnsiTheme="majorBidi" w:cstheme="majorBidi"/>
          <w:b/>
          <w:bCs/>
          <w:sz w:val="24"/>
          <w:szCs w:val="24"/>
        </w:rPr>
        <w:t>Participation in public affairs (art. 25)</w:t>
      </w:r>
    </w:p>
    <w:p w:rsidR="00FB2957" w:rsidRPr="00746726" w:rsidRDefault="00FB2957" w:rsidP="00FB2957">
      <w:pPr>
        <w:tabs>
          <w:tab w:val="left" w:pos="9720"/>
        </w:tabs>
        <w:bidi w:val="0"/>
        <w:spacing w:after="0"/>
        <w:ind w:left="4"/>
        <w:jc w:val="both"/>
        <w:rPr>
          <w:rFonts w:asciiTheme="majorBidi" w:eastAsia="Times New Roman" w:hAnsiTheme="majorBidi" w:cstheme="majorBidi"/>
          <w:sz w:val="24"/>
          <w:szCs w:val="24"/>
          <w:rtl/>
        </w:rPr>
      </w:pPr>
      <w:r w:rsidRPr="00746726">
        <w:rPr>
          <w:rFonts w:asciiTheme="majorBidi" w:eastAsia="Times New Roman" w:hAnsiTheme="majorBidi" w:cstheme="majorBidi"/>
          <w:sz w:val="24"/>
          <w:szCs w:val="24"/>
        </w:rPr>
        <w:t xml:space="preserve">24- The year of 2010 witnessed the issuance of the </w:t>
      </w:r>
      <w:hyperlink r:id="rId17" w:history="1">
        <w:r w:rsidRPr="00B0451C">
          <w:t>Interim Elections Act No. 9 of 2010</w:t>
        </w:r>
      </w:hyperlink>
      <w:r w:rsidRPr="00746726">
        <w:rPr>
          <w:rFonts w:asciiTheme="majorBidi" w:eastAsia="Times New Roman" w:hAnsiTheme="majorBidi" w:cstheme="majorBidi"/>
          <w:sz w:val="24"/>
          <w:szCs w:val="24"/>
        </w:rPr>
        <w:t>, which contained some positive changes in comparison to the Interim Elections Act No. 34 of 2001 and its amendments, especially with regard to increasing the number of seats reserved for women to (12) seats. Whereby, the number of female deputies in the House of Representatives rose to 13 Jordanian women, one of whom won in a competitive manner out of the total (120) members of the House of Representatives, at approximately 11 %. In 2012, the number of seats reserved for women rose to 15 seats, pursuant of the provisions of the House of Representatives Election Act No. 25 of 2012. In 2013 the number increased to 18 seats, where three of deputies have competitively won out of the total of (150) members of the House of Representatives (equivalent to 12%), while the in the Senate, women won 9 seats out of 75 seats in 2013, representing 12% seats, compared with 6 out of 60 seats, representing 10% of seats in 2011. In 2016, the House of Representatives Elections Act No. 6 of 2016 maintained the number of seats reserved for women to be (15) out of (130) seats</w:t>
      </w:r>
      <w:r w:rsidRPr="00746726">
        <w:rPr>
          <w:rFonts w:asciiTheme="majorBidi" w:eastAsia="Times New Roman" w:hAnsiTheme="majorBidi" w:cstheme="majorBidi"/>
          <w:sz w:val="24"/>
          <w:szCs w:val="24"/>
          <w:rtl/>
        </w:rPr>
        <w:t>.</w:t>
      </w:r>
    </w:p>
    <w:p w:rsidR="00FB2957" w:rsidRPr="00746726" w:rsidRDefault="00FB2957" w:rsidP="00FB2957">
      <w:pPr>
        <w:tabs>
          <w:tab w:val="left" w:pos="9720"/>
        </w:tabs>
        <w:bidi w:val="0"/>
        <w:spacing w:after="0"/>
        <w:jc w:val="both"/>
        <w:rPr>
          <w:rFonts w:asciiTheme="majorBidi" w:eastAsia="Times New Roman" w:hAnsiTheme="majorBidi" w:cstheme="majorBidi"/>
          <w:sz w:val="24"/>
          <w:szCs w:val="24"/>
        </w:rPr>
      </w:pPr>
    </w:p>
    <w:p w:rsidR="00FB2957" w:rsidRPr="00746726" w:rsidRDefault="00FB2957" w:rsidP="00E04C2B">
      <w:pPr>
        <w:tabs>
          <w:tab w:val="left" w:pos="9720"/>
        </w:tabs>
        <w:bidi w:val="0"/>
        <w:spacing w:after="0"/>
        <w:ind w:left="4"/>
        <w:jc w:val="both"/>
        <w:rPr>
          <w:rFonts w:asciiTheme="majorBidi" w:eastAsia="Times New Roman" w:hAnsiTheme="majorBidi" w:cstheme="majorBidi"/>
          <w:sz w:val="24"/>
          <w:szCs w:val="24"/>
        </w:rPr>
      </w:pPr>
      <w:r w:rsidRPr="00746726">
        <w:rPr>
          <w:rFonts w:asciiTheme="majorBidi" w:eastAsia="Times New Roman" w:hAnsiTheme="majorBidi" w:cstheme="majorBidi"/>
          <w:sz w:val="24"/>
          <w:szCs w:val="24"/>
        </w:rPr>
        <w:t>In this regards, it should be noted that the Center</w:t>
      </w:r>
      <w:r w:rsidR="0056353F" w:rsidRPr="00746726">
        <w:rPr>
          <w:rFonts w:asciiTheme="majorBidi" w:eastAsia="Times New Roman" w:hAnsiTheme="majorBidi" w:cstheme="majorBidi"/>
          <w:sz w:val="24"/>
          <w:szCs w:val="24"/>
        </w:rPr>
        <w:t xml:space="preserve"> had joined a campaign, undertaken by </w:t>
      </w:r>
      <w:r w:rsidR="00E04C2B" w:rsidRPr="00746726">
        <w:rPr>
          <w:rFonts w:asciiTheme="majorBidi" w:eastAsia="Times New Roman" w:hAnsiTheme="majorBidi" w:cstheme="majorBidi"/>
          <w:sz w:val="24"/>
          <w:szCs w:val="24"/>
        </w:rPr>
        <w:t xml:space="preserve">many </w:t>
      </w:r>
      <w:r w:rsidR="0056353F" w:rsidRPr="00746726">
        <w:rPr>
          <w:rFonts w:asciiTheme="majorBidi" w:eastAsia="Times New Roman" w:hAnsiTheme="majorBidi" w:cstheme="majorBidi"/>
          <w:sz w:val="24"/>
          <w:szCs w:val="24"/>
        </w:rPr>
        <w:t>civil society originations</w:t>
      </w:r>
      <w:r w:rsidRPr="00746726">
        <w:rPr>
          <w:rFonts w:asciiTheme="majorBidi" w:eastAsia="Times New Roman" w:hAnsiTheme="majorBidi" w:cstheme="majorBidi"/>
          <w:sz w:val="24"/>
          <w:szCs w:val="24"/>
        </w:rPr>
        <w:t xml:space="preserve">, when the House of Representatives Elections Act No. 6 of 2016 in force was being debated before the legislative authority, which </w:t>
      </w:r>
      <w:r w:rsidR="00E04C2B" w:rsidRPr="00746726">
        <w:rPr>
          <w:rFonts w:asciiTheme="majorBidi" w:eastAsia="Times New Roman" w:hAnsiTheme="majorBidi" w:cstheme="majorBidi"/>
          <w:sz w:val="24"/>
          <w:szCs w:val="24"/>
        </w:rPr>
        <w:t>called</w:t>
      </w:r>
      <w:r w:rsidRPr="00746726">
        <w:rPr>
          <w:rFonts w:asciiTheme="majorBidi" w:eastAsia="Times New Roman" w:hAnsiTheme="majorBidi" w:cstheme="majorBidi"/>
          <w:sz w:val="24"/>
          <w:szCs w:val="24"/>
        </w:rPr>
        <w:t xml:space="preserve"> for the allocation of one female seat for each constituency, </w:t>
      </w:r>
      <w:r w:rsidR="00E04C2B" w:rsidRPr="00746726">
        <w:rPr>
          <w:rFonts w:asciiTheme="majorBidi" w:eastAsia="Times New Roman" w:hAnsiTheme="majorBidi" w:cstheme="majorBidi"/>
          <w:sz w:val="24"/>
          <w:szCs w:val="24"/>
        </w:rPr>
        <w:t xml:space="preserve">by increasing the </w:t>
      </w:r>
      <w:r w:rsidRPr="00746726">
        <w:rPr>
          <w:rFonts w:asciiTheme="majorBidi" w:eastAsia="Times New Roman" w:hAnsiTheme="majorBidi" w:cstheme="majorBidi"/>
          <w:sz w:val="24"/>
          <w:szCs w:val="24"/>
        </w:rPr>
        <w:t>number</w:t>
      </w:r>
      <w:r w:rsidR="00E04C2B" w:rsidRPr="00746726">
        <w:rPr>
          <w:rFonts w:asciiTheme="majorBidi" w:eastAsia="Times New Roman" w:hAnsiTheme="majorBidi" w:cstheme="majorBidi"/>
          <w:sz w:val="24"/>
          <w:szCs w:val="24"/>
        </w:rPr>
        <w:t xml:space="preserve"> of seats reserved for women </w:t>
      </w:r>
      <w:r w:rsidRPr="00746726">
        <w:rPr>
          <w:rFonts w:asciiTheme="majorBidi" w:eastAsia="Times New Roman" w:hAnsiTheme="majorBidi" w:cstheme="majorBidi"/>
          <w:sz w:val="24"/>
          <w:szCs w:val="24"/>
        </w:rPr>
        <w:t>to reach (23) seats</w:t>
      </w:r>
      <w:r w:rsidR="00E04C2B" w:rsidRPr="00746726">
        <w:rPr>
          <w:rFonts w:asciiTheme="majorBidi" w:eastAsia="Times New Roman" w:hAnsiTheme="majorBidi" w:cstheme="majorBidi"/>
          <w:sz w:val="24"/>
          <w:szCs w:val="24"/>
        </w:rPr>
        <w:t xml:space="preserve"> out (130) deputies.</w:t>
      </w:r>
    </w:p>
    <w:p w:rsidR="00FB2957" w:rsidRPr="00746726" w:rsidRDefault="00FB2957" w:rsidP="00FB2957">
      <w:pPr>
        <w:tabs>
          <w:tab w:val="left" w:pos="9720"/>
        </w:tabs>
        <w:bidi w:val="0"/>
        <w:spacing w:after="0"/>
        <w:ind w:left="4"/>
        <w:jc w:val="both"/>
        <w:rPr>
          <w:rFonts w:asciiTheme="majorBidi" w:eastAsia="Times New Roman" w:hAnsiTheme="majorBidi" w:cstheme="majorBidi"/>
          <w:sz w:val="24"/>
          <w:szCs w:val="24"/>
        </w:rPr>
      </w:pPr>
      <w:r w:rsidRPr="00746726">
        <w:rPr>
          <w:rFonts w:asciiTheme="majorBidi" w:eastAsia="Times New Roman" w:hAnsiTheme="majorBidi" w:cstheme="majorBidi"/>
          <w:sz w:val="24"/>
          <w:szCs w:val="24"/>
        </w:rPr>
        <w:t>In addition, the year 2011 witnessed the promulgation of the Municipalities Law No. 13 of 2011, according to which the quotas for women in municipal councils were increased from 20% to 25%. Thus, in 2013, women won (345) seats out of (961) seats allocated for municipal councils (representing 35.9%). The share of women’s’ seats, were divided into (282) seats via quota, (51) seats through free competition, and (12) seats by appointment because there were no candidates. The Municipalities Law No. 41 of 2015 was issued and the percentage of quota allocated to women in municipal councils was maintained at 25%</w:t>
      </w:r>
      <w:r w:rsidRPr="00746726">
        <w:rPr>
          <w:rFonts w:asciiTheme="majorBidi" w:eastAsia="Times New Roman" w:hAnsiTheme="majorBidi" w:cstheme="majorBidi"/>
          <w:sz w:val="24"/>
          <w:szCs w:val="24"/>
          <w:rtl/>
        </w:rPr>
        <w:t>.</w:t>
      </w:r>
    </w:p>
    <w:p w:rsidR="00FB2957" w:rsidRPr="00746726" w:rsidRDefault="003E5F74" w:rsidP="003E5F74">
      <w:pPr>
        <w:tabs>
          <w:tab w:val="left" w:pos="9720"/>
        </w:tabs>
        <w:bidi w:val="0"/>
        <w:spacing w:after="0"/>
        <w:ind w:left="4"/>
        <w:jc w:val="both"/>
        <w:rPr>
          <w:rFonts w:asciiTheme="majorBidi" w:eastAsia="Times New Roman" w:hAnsiTheme="majorBidi" w:cstheme="majorBidi"/>
          <w:sz w:val="24"/>
          <w:szCs w:val="24"/>
        </w:rPr>
      </w:pPr>
      <w:r w:rsidRPr="00746726">
        <w:rPr>
          <w:rFonts w:asciiTheme="majorBidi" w:eastAsia="Times New Roman" w:hAnsiTheme="majorBidi" w:cstheme="majorBidi"/>
          <w:sz w:val="24"/>
          <w:szCs w:val="24"/>
        </w:rPr>
        <w:t>T</w:t>
      </w:r>
      <w:r w:rsidR="00FB2957" w:rsidRPr="00746726">
        <w:rPr>
          <w:rFonts w:asciiTheme="majorBidi" w:eastAsia="Times New Roman" w:hAnsiTheme="majorBidi" w:cstheme="majorBidi"/>
          <w:sz w:val="24"/>
          <w:szCs w:val="24"/>
        </w:rPr>
        <w:t xml:space="preserve">he Political Parties Law of 2012 </w:t>
      </w:r>
      <w:r w:rsidRPr="00746726">
        <w:rPr>
          <w:rFonts w:asciiTheme="majorBidi" w:eastAsia="Times New Roman" w:hAnsiTheme="majorBidi" w:cstheme="majorBidi"/>
          <w:sz w:val="24"/>
          <w:szCs w:val="24"/>
        </w:rPr>
        <w:t>was promulgated, whereby  Article (6) of Law stipulates that “</w:t>
      </w:r>
      <w:r w:rsidR="00FB2957" w:rsidRPr="00746726">
        <w:rPr>
          <w:rFonts w:asciiTheme="majorBidi" w:eastAsia="Times New Roman" w:hAnsiTheme="majorBidi" w:cstheme="majorBidi"/>
          <w:sz w:val="24"/>
          <w:szCs w:val="24"/>
        </w:rPr>
        <w:t xml:space="preserve">the number of founding members of any party shall not be less than five hundred persons from seven governorates, provided that the number of women shall not be less than 10% and the proportion of founders from each governorate shall be 5%." In 2015, the former Political Parties Law was repealed and the Political Parties Law No. 39 of 2015 was </w:t>
      </w:r>
      <w:r w:rsidRPr="00746726">
        <w:rPr>
          <w:rFonts w:asciiTheme="majorBidi" w:eastAsia="Times New Roman" w:hAnsiTheme="majorBidi" w:cstheme="majorBidi"/>
          <w:sz w:val="24"/>
          <w:szCs w:val="24"/>
        </w:rPr>
        <w:t>issued</w:t>
      </w:r>
      <w:r w:rsidR="00FB2957" w:rsidRPr="00746726">
        <w:rPr>
          <w:rFonts w:asciiTheme="majorBidi" w:eastAsia="Times New Roman" w:hAnsiTheme="majorBidi" w:cstheme="majorBidi"/>
          <w:sz w:val="24"/>
          <w:szCs w:val="24"/>
        </w:rPr>
        <w:t xml:space="preserve">. The new Law canceled the women's quota and held men and women to be equal in membership of political parties. </w:t>
      </w:r>
    </w:p>
    <w:p w:rsidR="00FB2957" w:rsidRPr="00746726" w:rsidRDefault="00FB2957" w:rsidP="00E43248">
      <w:pPr>
        <w:pStyle w:val="ListParagraph"/>
        <w:numPr>
          <w:ilvl w:val="0"/>
          <w:numId w:val="24"/>
        </w:numPr>
        <w:tabs>
          <w:tab w:val="left" w:pos="9720"/>
        </w:tabs>
        <w:bidi w:val="0"/>
        <w:jc w:val="both"/>
        <w:rPr>
          <w:rFonts w:asciiTheme="majorBidi" w:hAnsiTheme="majorBidi" w:cstheme="majorBidi"/>
        </w:rPr>
      </w:pPr>
      <w:r w:rsidRPr="00746726">
        <w:rPr>
          <w:rFonts w:asciiTheme="majorBidi" w:hAnsiTheme="majorBidi" w:cstheme="majorBidi"/>
        </w:rPr>
        <w:t xml:space="preserve">NCHR </w:t>
      </w:r>
      <w:r w:rsidR="00E43248" w:rsidRPr="00746726">
        <w:rPr>
          <w:rFonts w:asciiTheme="majorBidi" w:hAnsiTheme="majorBidi" w:cstheme="majorBidi"/>
        </w:rPr>
        <w:t>requested that</w:t>
      </w:r>
      <w:r w:rsidRPr="00746726">
        <w:rPr>
          <w:rFonts w:asciiTheme="majorBidi" w:hAnsiTheme="majorBidi" w:cstheme="majorBidi"/>
        </w:rPr>
        <w:t xml:space="preserve"> it is necessary to increase women's quota in municipalities to reach, at this stage, (30%), and then </w:t>
      </w:r>
      <w:r w:rsidR="00E43248" w:rsidRPr="00746726">
        <w:rPr>
          <w:rFonts w:asciiTheme="majorBidi" w:hAnsiTheme="majorBidi" w:cstheme="majorBidi"/>
        </w:rPr>
        <w:t>strive towards</w:t>
      </w:r>
      <w:hyperlink r:id="rId18" w:history="1">
        <w:r w:rsidRPr="00746726">
          <w:rPr>
            <w:rStyle w:val="Hyperlink"/>
            <w:rFonts w:asciiTheme="majorBidi" w:hAnsiTheme="majorBidi" w:cstheme="majorBidi"/>
            <w:color w:val="auto"/>
            <w:u w:val="none"/>
          </w:rPr>
          <w:t xml:space="preserve"> attain</w:t>
        </w:r>
        <w:r w:rsidR="00E43248" w:rsidRPr="00746726">
          <w:rPr>
            <w:rStyle w:val="Hyperlink"/>
            <w:rFonts w:asciiTheme="majorBidi" w:hAnsiTheme="majorBidi" w:cstheme="majorBidi"/>
            <w:color w:val="auto"/>
            <w:u w:val="none"/>
          </w:rPr>
          <w:t>ing</w:t>
        </w:r>
        <w:r w:rsidRPr="00746726">
          <w:rPr>
            <w:rStyle w:val="Hyperlink"/>
            <w:rFonts w:asciiTheme="majorBidi" w:hAnsiTheme="majorBidi" w:cstheme="majorBidi"/>
            <w:color w:val="auto"/>
            <w:u w:val="none"/>
          </w:rPr>
          <w:t xml:space="preserve"> an equal</w:t>
        </w:r>
      </w:hyperlink>
      <w:r w:rsidRPr="00746726">
        <w:rPr>
          <w:rFonts w:asciiTheme="majorBidi" w:hAnsiTheme="majorBidi" w:cstheme="majorBidi"/>
        </w:rPr>
        <w:t> gender </w:t>
      </w:r>
      <w:hyperlink r:id="rId19" w:history="1">
        <w:r w:rsidRPr="00746726">
          <w:rPr>
            <w:rStyle w:val="Hyperlink"/>
            <w:rFonts w:asciiTheme="majorBidi" w:hAnsiTheme="majorBidi" w:cstheme="majorBidi"/>
            <w:color w:val="auto"/>
            <w:u w:val="none"/>
          </w:rPr>
          <w:t>representation</w:t>
        </w:r>
      </w:hyperlink>
      <w:r w:rsidRPr="00746726">
        <w:rPr>
          <w:rFonts w:asciiTheme="majorBidi" w:hAnsiTheme="majorBidi" w:cstheme="majorBidi"/>
        </w:rPr>
        <w:t xml:space="preserve"> in the executive councils and political </w:t>
      </w:r>
      <w:r w:rsidR="00E43248" w:rsidRPr="00746726">
        <w:rPr>
          <w:rFonts w:asciiTheme="majorBidi" w:hAnsiTheme="majorBidi" w:cstheme="majorBidi"/>
        </w:rPr>
        <w:t>parties’</w:t>
      </w:r>
      <w:r w:rsidRPr="00746726">
        <w:rPr>
          <w:rFonts w:asciiTheme="majorBidi" w:hAnsiTheme="majorBidi" w:cstheme="majorBidi"/>
        </w:rPr>
        <w:t xml:space="preserve"> boards.   </w:t>
      </w:r>
    </w:p>
    <w:p w:rsidR="00FB2957" w:rsidRPr="00746726" w:rsidRDefault="00FB2957" w:rsidP="00FB2957">
      <w:pPr>
        <w:keepNext/>
        <w:keepLines/>
        <w:tabs>
          <w:tab w:val="right" w:pos="851"/>
        </w:tabs>
        <w:suppressAutoHyphens/>
        <w:bidi w:val="0"/>
        <w:spacing w:before="360" w:after="240" w:line="270" w:lineRule="exact"/>
        <w:ind w:right="1134"/>
        <w:rPr>
          <w:rFonts w:asciiTheme="majorBidi" w:eastAsia="Times New Roman" w:hAnsiTheme="majorBidi" w:cstheme="majorBidi"/>
          <w:b/>
          <w:bCs/>
          <w:sz w:val="24"/>
          <w:szCs w:val="24"/>
          <w:rtl/>
        </w:rPr>
      </w:pPr>
      <w:r w:rsidRPr="00746726">
        <w:rPr>
          <w:rFonts w:asciiTheme="majorBidi" w:eastAsia="Times New Roman" w:hAnsiTheme="majorBidi" w:cstheme="majorBidi"/>
          <w:sz w:val="24"/>
          <w:szCs w:val="24"/>
        </w:rPr>
        <w:lastRenderedPageBreak/>
        <w:tab/>
      </w:r>
      <w:r w:rsidRPr="00746726">
        <w:rPr>
          <w:rFonts w:asciiTheme="majorBidi" w:eastAsia="Times New Roman" w:hAnsiTheme="majorBidi" w:cstheme="majorBidi"/>
          <w:b/>
          <w:bCs/>
          <w:sz w:val="24"/>
          <w:szCs w:val="24"/>
        </w:rPr>
        <w:t>Dissemination of information relating to the Covenant (art. 2)</w:t>
      </w:r>
    </w:p>
    <w:p w:rsidR="00FB2957" w:rsidRPr="00746726" w:rsidRDefault="00FB2957" w:rsidP="00FB2957">
      <w:pPr>
        <w:bidi w:val="0"/>
        <w:spacing w:after="0"/>
        <w:ind w:left="4"/>
        <w:contextualSpacing/>
        <w:jc w:val="both"/>
        <w:rPr>
          <w:rFonts w:asciiTheme="majorBidi" w:eastAsia="Times New Roman" w:hAnsiTheme="majorBidi" w:cstheme="majorBidi"/>
          <w:sz w:val="24"/>
          <w:szCs w:val="24"/>
          <w:rtl/>
        </w:rPr>
      </w:pPr>
      <w:r w:rsidRPr="00746726">
        <w:rPr>
          <w:rFonts w:asciiTheme="majorBidi" w:eastAsia="Times New Roman" w:hAnsiTheme="majorBidi" w:cstheme="majorBidi"/>
          <w:sz w:val="24"/>
          <w:szCs w:val="24"/>
        </w:rPr>
        <w:t>25- The </w:t>
      </w:r>
      <w:hyperlink r:id="rId20" w:history="1">
        <w:r w:rsidRPr="00746726">
          <w:rPr>
            <w:rStyle w:val="Hyperlink"/>
            <w:rFonts w:asciiTheme="majorBidi" w:eastAsia="Times New Roman" w:hAnsiTheme="majorBidi" w:cstheme="majorBidi"/>
            <w:color w:val="auto"/>
            <w:sz w:val="24"/>
            <w:szCs w:val="24"/>
            <w:u w:val="none"/>
          </w:rPr>
          <w:t>International Covenant on Civil and Political Rights</w:t>
        </w:r>
      </w:hyperlink>
      <w:r w:rsidRPr="00746726">
        <w:rPr>
          <w:rFonts w:asciiTheme="majorBidi" w:eastAsia="Times New Roman" w:hAnsiTheme="majorBidi" w:cstheme="majorBidi"/>
          <w:sz w:val="24"/>
          <w:szCs w:val="24"/>
        </w:rPr>
        <w:t> was </w:t>
      </w:r>
      <w:hyperlink r:id="rId21" w:history="1">
        <w:r w:rsidRPr="00746726">
          <w:rPr>
            <w:rStyle w:val="Hyperlink"/>
            <w:rFonts w:asciiTheme="majorBidi" w:eastAsia="Times New Roman" w:hAnsiTheme="majorBidi" w:cstheme="majorBidi"/>
            <w:color w:val="auto"/>
            <w:sz w:val="24"/>
            <w:szCs w:val="24"/>
            <w:u w:val="none"/>
          </w:rPr>
          <w:t>published in the Official Gazette</w:t>
        </w:r>
      </w:hyperlink>
      <w:r w:rsidRPr="00746726">
        <w:rPr>
          <w:rFonts w:asciiTheme="majorBidi" w:eastAsia="Times New Roman" w:hAnsiTheme="majorBidi" w:cstheme="majorBidi"/>
          <w:sz w:val="24"/>
          <w:szCs w:val="24"/>
        </w:rPr>
        <w:t xml:space="preserve"> on 15/6/2006. </w:t>
      </w:r>
    </w:p>
    <w:p w:rsidR="00FB2957" w:rsidRPr="00746726" w:rsidRDefault="00FB2957" w:rsidP="00FB2957">
      <w:pPr>
        <w:spacing w:after="0"/>
        <w:ind w:left="4"/>
        <w:contextualSpacing/>
        <w:jc w:val="both"/>
        <w:rPr>
          <w:rFonts w:asciiTheme="majorBidi" w:eastAsia="Times New Roman" w:hAnsiTheme="majorBidi" w:cstheme="majorBidi"/>
          <w:sz w:val="24"/>
          <w:szCs w:val="24"/>
          <w:rtl/>
        </w:rPr>
      </w:pPr>
    </w:p>
    <w:p w:rsidR="00FB2957" w:rsidRPr="00746726" w:rsidRDefault="00FB2957" w:rsidP="00FB2957">
      <w:pPr>
        <w:bidi w:val="0"/>
        <w:spacing w:after="0"/>
        <w:ind w:left="4"/>
        <w:contextualSpacing/>
        <w:rPr>
          <w:rFonts w:asciiTheme="majorBidi" w:eastAsia="Times New Roman" w:hAnsiTheme="majorBidi" w:cstheme="majorBidi"/>
          <w:b/>
          <w:bCs/>
          <w:sz w:val="24"/>
          <w:szCs w:val="24"/>
          <w:rtl/>
        </w:rPr>
      </w:pPr>
      <w:r w:rsidRPr="00746726">
        <w:rPr>
          <w:rFonts w:asciiTheme="majorBidi" w:eastAsia="Times New Roman" w:hAnsiTheme="majorBidi" w:cstheme="majorBidi"/>
          <w:b/>
          <w:bCs/>
          <w:sz w:val="24"/>
          <w:szCs w:val="24"/>
        </w:rPr>
        <w:t>Recommendations:</w:t>
      </w:r>
    </w:p>
    <w:p w:rsidR="00FB2957" w:rsidRPr="00746726" w:rsidRDefault="00FB2957" w:rsidP="00FB2957">
      <w:pPr>
        <w:spacing w:after="0"/>
        <w:ind w:left="4"/>
        <w:contextualSpacing/>
        <w:jc w:val="both"/>
        <w:rPr>
          <w:rFonts w:asciiTheme="majorBidi" w:eastAsia="Times New Roman" w:hAnsiTheme="majorBidi" w:cstheme="majorBidi"/>
          <w:sz w:val="24"/>
          <w:szCs w:val="24"/>
        </w:rPr>
      </w:pPr>
    </w:p>
    <w:p w:rsidR="00FB2957" w:rsidRPr="00746726" w:rsidRDefault="00FB2957" w:rsidP="00FB2957">
      <w:pPr>
        <w:numPr>
          <w:ilvl w:val="0"/>
          <w:numId w:val="25"/>
        </w:numPr>
        <w:tabs>
          <w:tab w:val="right" w:pos="0"/>
        </w:tabs>
        <w:bidi w:val="0"/>
        <w:spacing w:after="0" w:line="240" w:lineRule="auto"/>
        <w:ind w:left="1440" w:right="-540"/>
        <w:contextualSpacing/>
        <w:jc w:val="both"/>
        <w:rPr>
          <w:rFonts w:asciiTheme="majorBidi" w:eastAsia="Calibri" w:hAnsiTheme="majorBidi" w:cstheme="majorBidi"/>
          <w:sz w:val="24"/>
          <w:szCs w:val="24"/>
          <w:rtl/>
          <w:lang w:bidi="ar-JO"/>
        </w:rPr>
      </w:pPr>
      <w:r w:rsidRPr="00746726">
        <w:rPr>
          <w:rFonts w:asciiTheme="majorBidi" w:eastAsia="Calibri" w:hAnsiTheme="majorBidi" w:cstheme="majorBidi"/>
          <w:sz w:val="24"/>
          <w:szCs w:val="24"/>
          <w:lang w:bidi="ar-JO"/>
        </w:rPr>
        <w:t>Activate the implementation of the ICCPR in the Jordanian courts. This requires raising awareness among judges, lawyers and citizens to ensure the primacy of the Covenant over national laws and their applicability and enforceability within the domestic legal framework.</w:t>
      </w:r>
    </w:p>
    <w:p w:rsidR="00FB2957" w:rsidRPr="00746726" w:rsidRDefault="00FB2957" w:rsidP="00FB2957">
      <w:pPr>
        <w:tabs>
          <w:tab w:val="right" w:pos="0"/>
        </w:tabs>
        <w:bidi w:val="0"/>
        <w:spacing w:after="0" w:line="240" w:lineRule="auto"/>
        <w:ind w:left="360" w:right="-540"/>
        <w:contextualSpacing/>
        <w:jc w:val="both"/>
        <w:rPr>
          <w:rFonts w:asciiTheme="majorBidi" w:eastAsia="Calibri" w:hAnsiTheme="majorBidi" w:cstheme="majorBidi"/>
          <w:sz w:val="24"/>
          <w:szCs w:val="24"/>
          <w:lang w:bidi="ar-JO"/>
        </w:rPr>
      </w:pPr>
    </w:p>
    <w:p w:rsidR="00FB2957" w:rsidRPr="00746726" w:rsidRDefault="00FB2957" w:rsidP="00FB2957">
      <w:pPr>
        <w:numPr>
          <w:ilvl w:val="0"/>
          <w:numId w:val="25"/>
        </w:numPr>
        <w:bidi w:val="0"/>
        <w:spacing w:before="240" w:after="240" w:line="240" w:lineRule="auto"/>
        <w:ind w:left="1440"/>
        <w:jc w:val="both"/>
        <w:rPr>
          <w:rFonts w:asciiTheme="majorBidi" w:eastAsia="Calibri" w:hAnsiTheme="majorBidi" w:cstheme="majorBidi"/>
          <w:sz w:val="24"/>
          <w:szCs w:val="24"/>
          <w:lang w:bidi="ar-JO"/>
        </w:rPr>
      </w:pPr>
      <w:r w:rsidRPr="00746726">
        <w:rPr>
          <w:rFonts w:asciiTheme="majorBidi" w:eastAsia="Calibri" w:hAnsiTheme="majorBidi" w:cstheme="majorBidi"/>
          <w:sz w:val="24"/>
          <w:szCs w:val="24"/>
          <w:lang w:bidi="ar-JO"/>
        </w:rPr>
        <w:t>Amending Article (101) of the Jordanian Constitution so as to ensure that </w:t>
      </w:r>
      <w:hyperlink r:id="rId22" w:history="1">
        <w:r w:rsidRPr="00746726">
          <w:t>civilians</w:t>
        </w:r>
      </w:hyperlink>
      <w:r w:rsidRPr="00746726">
        <w:rPr>
          <w:rFonts w:asciiTheme="majorBidi" w:eastAsia="Calibri" w:hAnsiTheme="majorBidi" w:cstheme="majorBidi"/>
          <w:sz w:val="24"/>
          <w:szCs w:val="24"/>
          <w:lang w:bidi="ar-JO"/>
        </w:rPr>
        <w:t> are </w:t>
      </w:r>
      <w:hyperlink r:id="rId23" w:history="1">
        <w:r w:rsidRPr="00746726">
          <w:t>tried</w:t>
        </w:r>
      </w:hyperlink>
      <w:r w:rsidRPr="00746726">
        <w:rPr>
          <w:rFonts w:asciiTheme="majorBidi" w:eastAsia="Calibri" w:hAnsiTheme="majorBidi" w:cstheme="majorBidi"/>
          <w:sz w:val="24"/>
          <w:szCs w:val="24"/>
          <w:lang w:bidi="ar-JO"/>
        </w:rPr>
        <w:t> solely </w:t>
      </w:r>
      <w:hyperlink r:id="rId24" w:history="1">
        <w:r w:rsidRPr="00746726">
          <w:t>by civilian courts</w:t>
        </w:r>
      </w:hyperlink>
      <w:r w:rsidRPr="00746726">
        <w:rPr>
          <w:rFonts w:asciiTheme="majorBidi" w:eastAsia="Calibri" w:hAnsiTheme="majorBidi" w:cstheme="majorBidi"/>
          <w:sz w:val="24"/>
          <w:szCs w:val="24"/>
          <w:lang w:bidi="ar-JO"/>
        </w:rPr>
        <w:t>.</w:t>
      </w:r>
    </w:p>
    <w:p w:rsidR="00FB2957" w:rsidRPr="00746726" w:rsidRDefault="00FB2957" w:rsidP="00FB2957">
      <w:pPr>
        <w:numPr>
          <w:ilvl w:val="0"/>
          <w:numId w:val="25"/>
        </w:numPr>
        <w:bidi w:val="0"/>
        <w:spacing w:before="240" w:after="240" w:line="240" w:lineRule="auto"/>
        <w:ind w:left="1440"/>
        <w:jc w:val="both"/>
        <w:rPr>
          <w:rFonts w:asciiTheme="majorBidi" w:eastAsia="Calibri" w:hAnsiTheme="majorBidi" w:cstheme="majorBidi"/>
          <w:sz w:val="24"/>
          <w:szCs w:val="24"/>
          <w:lang w:bidi="ar-JO"/>
        </w:rPr>
      </w:pPr>
      <w:r w:rsidRPr="00746726">
        <w:rPr>
          <w:rFonts w:asciiTheme="majorBidi" w:eastAsia="Calibri" w:hAnsiTheme="majorBidi" w:cstheme="majorBidi"/>
          <w:sz w:val="24"/>
          <w:szCs w:val="24"/>
          <w:lang w:bidi="ar-JO"/>
        </w:rPr>
        <w:t>Making the necessary legal amendments to ensure that torture is considered a criminal offense, and the independence of the investigating authorities and prosecution bodies by granting regular courts the subject matter jurisdiction (competence ratione materiae) to consider cases of torture, in order to ensure that torture crime perpetrators are prosecuted and convicted and the compensation of victims comprehensively as set forth in Convention Against Torture  and Other Cruel, Inhuman or Degrading Treatment or Punishment Inhuman or degrading treatment or punishment.</w:t>
      </w:r>
    </w:p>
    <w:p w:rsidR="00FB2957" w:rsidRPr="00746726" w:rsidRDefault="00FB2957" w:rsidP="00FB2957">
      <w:pPr>
        <w:numPr>
          <w:ilvl w:val="0"/>
          <w:numId w:val="25"/>
        </w:numPr>
        <w:tabs>
          <w:tab w:val="right" w:pos="0"/>
        </w:tabs>
        <w:bidi w:val="0"/>
        <w:spacing w:after="0" w:line="240" w:lineRule="auto"/>
        <w:ind w:left="1440" w:right="-540"/>
        <w:contextualSpacing/>
        <w:jc w:val="both"/>
        <w:rPr>
          <w:rFonts w:asciiTheme="majorBidi" w:eastAsia="Calibri" w:hAnsiTheme="majorBidi" w:cstheme="majorBidi"/>
          <w:sz w:val="24"/>
          <w:szCs w:val="24"/>
          <w:lang w:bidi="ar-JO"/>
        </w:rPr>
      </w:pPr>
      <w:r w:rsidRPr="00746726">
        <w:rPr>
          <w:rFonts w:asciiTheme="majorBidi" w:eastAsia="Calibri" w:hAnsiTheme="majorBidi" w:cstheme="majorBidi"/>
          <w:sz w:val="24"/>
          <w:szCs w:val="24"/>
          <w:lang w:bidi="ar-JO"/>
        </w:rPr>
        <w:t>The establishment rehabilitation centers for victims of torture</w:t>
      </w:r>
      <w:r w:rsidRPr="00746726">
        <w:rPr>
          <w:rFonts w:asciiTheme="majorBidi" w:eastAsia="Calibri" w:hAnsiTheme="majorBidi" w:cstheme="majorBidi"/>
          <w:sz w:val="24"/>
          <w:szCs w:val="24"/>
          <w:rtl/>
          <w:lang w:bidi="ar-JO"/>
        </w:rPr>
        <w:t>.</w:t>
      </w:r>
    </w:p>
    <w:p w:rsidR="00FB2957" w:rsidRPr="00746726" w:rsidRDefault="00FB2957" w:rsidP="00FB2957">
      <w:pPr>
        <w:numPr>
          <w:ilvl w:val="0"/>
          <w:numId w:val="25"/>
        </w:numPr>
        <w:tabs>
          <w:tab w:val="right" w:pos="0"/>
        </w:tabs>
        <w:bidi w:val="0"/>
        <w:spacing w:after="0" w:line="240" w:lineRule="auto"/>
        <w:ind w:left="1440" w:right="-540"/>
        <w:contextualSpacing/>
        <w:jc w:val="both"/>
        <w:rPr>
          <w:rFonts w:asciiTheme="majorBidi" w:eastAsia="Calibri" w:hAnsiTheme="majorBidi" w:cstheme="majorBidi"/>
          <w:sz w:val="24"/>
          <w:szCs w:val="24"/>
          <w:lang w:bidi="ar-JO"/>
        </w:rPr>
      </w:pPr>
      <w:r w:rsidRPr="00746726">
        <w:rPr>
          <w:rFonts w:asciiTheme="majorBidi" w:eastAsia="Calibri" w:hAnsiTheme="majorBidi" w:cstheme="majorBidi"/>
          <w:sz w:val="24"/>
          <w:szCs w:val="24"/>
          <w:lang w:bidi="ar-JO"/>
        </w:rPr>
        <w:t>Abolishing the solitary confinement penalty stipulated in Article (38) of the Reform and Rehabilitation Centers Law No. 9 of 2004.</w:t>
      </w:r>
    </w:p>
    <w:p w:rsidR="00FB2957" w:rsidRPr="00746726" w:rsidRDefault="00FB2957" w:rsidP="00FB2957">
      <w:pPr>
        <w:pStyle w:val="ListParagraph"/>
        <w:numPr>
          <w:ilvl w:val="0"/>
          <w:numId w:val="25"/>
        </w:numPr>
        <w:bidi w:val="0"/>
        <w:spacing w:before="240" w:after="240"/>
        <w:jc w:val="both"/>
        <w:rPr>
          <w:rFonts w:asciiTheme="majorBidi" w:eastAsia="Calibri" w:hAnsiTheme="majorBidi" w:cstheme="majorBidi"/>
          <w:lang w:bidi="ar-JO"/>
        </w:rPr>
      </w:pPr>
      <w:r w:rsidRPr="00746726">
        <w:rPr>
          <w:rFonts w:asciiTheme="majorBidi" w:eastAsia="Calibri" w:hAnsiTheme="majorBidi" w:cstheme="majorBidi"/>
          <w:lang w:bidi="ar-JO"/>
        </w:rPr>
        <w:t>Reviewing the legislation containing provisions that contravene the provisions of the Constitution and the general principles of the right to a fair trial in order to ensure its conformity with the international conventions ratified by Jordan and published in the Official Gazette. The most prominent of these legislations are the State Security Court Law, the Prevention of Terrorism Law, the Prevention of Crimes Law, the Domanial Money Collection Law, and the Economic Crimes Law</w:t>
      </w:r>
      <w:r w:rsidRPr="00746726">
        <w:rPr>
          <w:rFonts w:asciiTheme="majorBidi" w:eastAsia="Calibri" w:hAnsiTheme="majorBidi" w:cstheme="majorBidi" w:hint="cs"/>
          <w:rtl/>
          <w:lang w:bidi="ar-JO"/>
        </w:rPr>
        <w:t>.</w:t>
      </w:r>
    </w:p>
    <w:p w:rsidR="00FB2957" w:rsidRPr="00746726" w:rsidRDefault="00FB2957" w:rsidP="00FB2957">
      <w:pPr>
        <w:numPr>
          <w:ilvl w:val="0"/>
          <w:numId w:val="25"/>
        </w:numPr>
        <w:tabs>
          <w:tab w:val="right" w:pos="0"/>
        </w:tabs>
        <w:bidi w:val="0"/>
        <w:spacing w:after="0" w:line="240" w:lineRule="auto"/>
        <w:ind w:left="1440" w:right="-540"/>
        <w:contextualSpacing/>
        <w:rPr>
          <w:rFonts w:asciiTheme="majorBidi" w:eastAsia="Calibri" w:hAnsiTheme="majorBidi" w:cstheme="majorBidi"/>
          <w:sz w:val="24"/>
          <w:szCs w:val="24"/>
          <w:lang w:bidi="ar-JO"/>
        </w:rPr>
      </w:pPr>
      <w:r w:rsidRPr="00746726">
        <w:rPr>
          <w:rFonts w:asciiTheme="majorBidi" w:eastAsia="Calibri" w:hAnsiTheme="majorBidi" w:cstheme="majorBidi"/>
          <w:sz w:val="24"/>
          <w:szCs w:val="24"/>
          <w:lang w:bidi="ar-JO"/>
        </w:rPr>
        <w:t>Ratifying the 1st and 2nd Optional Protocols to the ICCPR.</w:t>
      </w:r>
    </w:p>
    <w:p w:rsidR="00FB2957" w:rsidRPr="00746726" w:rsidRDefault="00FB2957" w:rsidP="00FB2957">
      <w:pPr>
        <w:numPr>
          <w:ilvl w:val="0"/>
          <w:numId w:val="25"/>
        </w:numPr>
        <w:tabs>
          <w:tab w:val="right" w:pos="0"/>
        </w:tabs>
        <w:bidi w:val="0"/>
        <w:spacing w:after="0" w:line="240" w:lineRule="auto"/>
        <w:ind w:left="1440" w:right="-540"/>
        <w:contextualSpacing/>
        <w:rPr>
          <w:rFonts w:asciiTheme="majorBidi" w:eastAsia="Calibri" w:hAnsiTheme="majorBidi" w:cstheme="majorBidi"/>
          <w:sz w:val="24"/>
          <w:szCs w:val="24"/>
          <w:lang w:bidi="ar-JO"/>
        </w:rPr>
      </w:pPr>
      <w:r w:rsidRPr="00746726">
        <w:rPr>
          <w:rFonts w:asciiTheme="majorBidi" w:eastAsia="Calibri" w:hAnsiTheme="majorBidi" w:cstheme="majorBidi"/>
          <w:sz w:val="24"/>
          <w:szCs w:val="24"/>
          <w:lang w:bidi="ar-JO"/>
        </w:rPr>
        <w:t>Ratifying the OPCAT 2006.</w:t>
      </w:r>
    </w:p>
    <w:p w:rsidR="00FB2957" w:rsidRPr="00746726" w:rsidRDefault="00FB2957" w:rsidP="00FB2957">
      <w:pPr>
        <w:numPr>
          <w:ilvl w:val="0"/>
          <w:numId w:val="25"/>
        </w:numPr>
        <w:tabs>
          <w:tab w:val="right" w:pos="0"/>
        </w:tabs>
        <w:bidi w:val="0"/>
        <w:spacing w:after="0" w:line="240" w:lineRule="auto"/>
        <w:ind w:left="1440" w:right="-540"/>
        <w:contextualSpacing/>
        <w:rPr>
          <w:rFonts w:asciiTheme="majorBidi" w:eastAsia="Calibri" w:hAnsiTheme="majorBidi" w:cstheme="majorBidi"/>
          <w:sz w:val="24"/>
          <w:szCs w:val="24"/>
          <w:lang w:bidi="ar-JO"/>
        </w:rPr>
      </w:pPr>
      <w:r w:rsidRPr="00746726">
        <w:rPr>
          <w:rFonts w:asciiTheme="majorBidi" w:eastAsia="Calibri" w:hAnsiTheme="majorBidi" w:cstheme="majorBidi"/>
          <w:sz w:val="24"/>
          <w:szCs w:val="24"/>
          <w:lang w:bidi="ar-JO"/>
        </w:rPr>
        <w:t>Lifting of the reservations to article 9, paragraph 2 of CEDAW, in line with Article (6) of the Constitution.</w:t>
      </w:r>
    </w:p>
    <w:p w:rsidR="00FB2957" w:rsidRPr="00746726" w:rsidRDefault="00FB2957" w:rsidP="00FB2957">
      <w:pPr>
        <w:numPr>
          <w:ilvl w:val="0"/>
          <w:numId w:val="25"/>
        </w:numPr>
        <w:tabs>
          <w:tab w:val="right" w:pos="0"/>
        </w:tabs>
        <w:bidi w:val="0"/>
        <w:spacing w:after="0" w:line="240" w:lineRule="auto"/>
        <w:ind w:left="1440" w:right="-540"/>
        <w:contextualSpacing/>
        <w:rPr>
          <w:rFonts w:asciiTheme="majorBidi" w:eastAsia="Calibri" w:hAnsiTheme="majorBidi" w:cstheme="majorBidi"/>
          <w:sz w:val="24"/>
          <w:szCs w:val="24"/>
          <w:lang w:bidi="ar-JO"/>
        </w:rPr>
      </w:pPr>
      <w:r w:rsidRPr="00746726">
        <w:rPr>
          <w:rFonts w:asciiTheme="majorBidi" w:eastAsia="Calibri" w:hAnsiTheme="majorBidi" w:cstheme="majorBidi"/>
          <w:sz w:val="24"/>
          <w:szCs w:val="24"/>
          <w:lang w:bidi="ar-JO"/>
        </w:rPr>
        <w:t xml:space="preserve"> Abolishing the Crimes Prevention Law / or cancelling the power to arrest and detain vested in local governors, and lie this power solely in the judiciary. To this end, the Center recommends making amendments to some of the provisions of the said law, which have already been mentioned in its previous reports.</w:t>
      </w:r>
    </w:p>
    <w:p w:rsidR="00FB2957" w:rsidRPr="00746726" w:rsidRDefault="00FB2957" w:rsidP="00FB2957">
      <w:pPr>
        <w:numPr>
          <w:ilvl w:val="0"/>
          <w:numId w:val="25"/>
        </w:numPr>
        <w:tabs>
          <w:tab w:val="right" w:pos="0"/>
        </w:tabs>
        <w:bidi w:val="0"/>
        <w:spacing w:after="0" w:line="240" w:lineRule="auto"/>
        <w:ind w:left="1440" w:right="-540"/>
        <w:contextualSpacing/>
        <w:rPr>
          <w:rFonts w:asciiTheme="majorBidi" w:eastAsia="Calibri" w:hAnsiTheme="majorBidi" w:cstheme="majorBidi"/>
          <w:sz w:val="24"/>
          <w:szCs w:val="24"/>
          <w:lang w:bidi="ar-JO"/>
        </w:rPr>
      </w:pPr>
      <w:r w:rsidRPr="00746726">
        <w:rPr>
          <w:rFonts w:asciiTheme="majorBidi" w:eastAsia="Calibri" w:hAnsiTheme="majorBidi" w:cstheme="majorBidi"/>
          <w:sz w:val="24"/>
          <w:szCs w:val="24"/>
          <w:lang w:bidi="ar-JO"/>
        </w:rPr>
        <w:t>Adopting legislations that explicitly provide for the right of individuals to reparation for arbitrary and unjustified detention.</w:t>
      </w:r>
    </w:p>
    <w:p w:rsidR="00FB2957" w:rsidRPr="00746726" w:rsidRDefault="00FB2957" w:rsidP="00FB2957">
      <w:pPr>
        <w:numPr>
          <w:ilvl w:val="0"/>
          <w:numId w:val="25"/>
        </w:numPr>
        <w:tabs>
          <w:tab w:val="right" w:pos="0"/>
        </w:tabs>
        <w:bidi w:val="0"/>
        <w:spacing w:after="0" w:line="240" w:lineRule="auto"/>
        <w:ind w:left="1440" w:right="-540"/>
        <w:contextualSpacing/>
        <w:rPr>
          <w:rFonts w:asciiTheme="majorBidi" w:eastAsia="Calibri" w:hAnsiTheme="majorBidi" w:cstheme="majorBidi"/>
          <w:sz w:val="24"/>
          <w:szCs w:val="24"/>
          <w:lang w:bidi="ar-JO"/>
        </w:rPr>
      </w:pPr>
      <w:r w:rsidRPr="00746726">
        <w:rPr>
          <w:rFonts w:asciiTheme="majorBidi" w:eastAsia="Calibri" w:hAnsiTheme="majorBidi" w:cstheme="majorBidi"/>
          <w:sz w:val="24"/>
          <w:szCs w:val="24"/>
          <w:lang w:bidi="ar-JO"/>
        </w:rPr>
        <w:t>Establishing a judicial record in the Ministry of Justice based on final judicial decisions, rather than relying on the criminal records at the security departments.</w:t>
      </w:r>
    </w:p>
    <w:p w:rsidR="00FB2957" w:rsidRDefault="00FB2957" w:rsidP="00FB2957">
      <w:pPr>
        <w:bidi w:val="0"/>
        <w:spacing w:after="0" w:line="240" w:lineRule="auto"/>
        <w:ind w:left="720"/>
        <w:contextualSpacing/>
        <w:jc w:val="both"/>
        <w:rPr>
          <w:rFonts w:asciiTheme="majorBidi" w:eastAsia="Times New Roman" w:hAnsiTheme="majorBidi" w:cstheme="majorBidi"/>
          <w:color w:val="FF0000"/>
          <w:sz w:val="24"/>
          <w:szCs w:val="24"/>
          <w:lang w:bidi="ar-JO"/>
        </w:rPr>
      </w:pPr>
    </w:p>
    <w:p w:rsidR="00FB2957" w:rsidRDefault="00FB2957" w:rsidP="00FB2957">
      <w:pPr>
        <w:suppressAutoHyphens/>
        <w:bidi w:val="0"/>
        <w:spacing w:after="120"/>
        <w:ind w:right="26"/>
        <w:jc w:val="both"/>
        <w:rPr>
          <w:rFonts w:asciiTheme="majorBidi" w:eastAsia="Times New Roman" w:hAnsiTheme="majorBidi" w:cstheme="majorBidi"/>
          <w:kern w:val="36"/>
          <w:sz w:val="24"/>
          <w:szCs w:val="24"/>
          <w:lang w:bidi="ar-JO"/>
        </w:rPr>
      </w:pPr>
    </w:p>
    <w:p w:rsidR="00FB2957" w:rsidRDefault="00FB2957" w:rsidP="00FB2957">
      <w:pPr>
        <w:suppressAutoHyphens/>
        <w:bidi w:val="0"/>
        <w:spacing w:after="120"/>
        <w:ind w:right="26"/>
        <w:jc w:val="both"/>
        <w:rPr>
          <w:rFonts w:asciiTheme="majorBidi" w:eastAsia="Times New Roman" w:hAnsiTheme="majorBidi" w:cstheme="majorBidi"/>
          <w:kern w:val="36"/>
          <w:sz w:val="24"/>
          <w:szCs w:val="24"/>
          <w:lang w:bidi="ar-JO"/>
        </w:rPr>
      </w:pPr>
    </w:p>
    <w:p w:rsidR="004823E9" w:rsidRPr="00373592" w:rsidRDefault="004823E9" w:rsidP="004823E9">
      <w:pPr>
        <w:bidi w:val="0"/>
        <w:spacing w:after="0" w:line="240" w:lineRule="auto"/>
        <w:ind w:left="720"/>
        <w:contextualSpacing/>
        <w:jc w:val="both"/>
        <w:rPr>
          <w:rFonts w:asciiTheme="majorBidi" w:eastAsia="Times New Roman" w:hAnsiTheme="majorBidi" w:cstheme="majorBidi"/>
          <w:sz w:val="24"/>
          <w:szCs w:val="24"/>
          <w:lang w:bidi="ar-JO"/>
        </w:rPr>
      </w:pPr>
    </w:p>
    <w:sectPr w:rsidR="004823E9" w:rsidRPr="00373592" w:rsidSect="004903F7">
      <w:footerReference w:type="default" r:id="rId25"/>
      <w:pgSz w:w="11906" w:h="16838"/>
      <w:pgMar w:top="1135" w:right="1800" w:bottom="1440" w:left="117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8BA" w:rsidRDefault="00C928BA" w:rsidP="00504D8C">
      <w:pPr>
        <w:spacing w:after="0" w:line="240" w:lineRule="auto"/>
      </w:pPr>
      <w:r>
        <w:separator/>
      </w:r>
    </w:p>
  </w:endnote>
  <w:endnote w:type="continuationSeparator" w:id="0">
    <w:p w:rsidR="00C928BA" w:rsidRDefault="00C928BA" w:rsidP="00504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aditional Arabic">
    <w:altName w:val="Times New Roman"/>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423716989"/>
      <w:docPartObj>
        <w:docPartGallery w:val="Page Numbers (Bottom of Page)"/>
        <w:docPartUnique/>
      </w:docPartObj>
    </w:sdtPr>
    <w:sdtEndPr>
      <w:rPr>
        <w:noProof/>
      </w:rPr>
    </w:sdtEndPr>
    <w:sdtContent>
      <w:p w:rsidR="00C77F6B" w:rsidRDefault="00C77F6B">
        <w:pPr>
          <w:pStyle w:val="Footer"/>
          <w:jc w:val="center"/>
        </w:pPr>
        <w:r>
          <w:fldChar w:fldCharType="begin"/>
        </w:r>
        <w:r>
          <w:instrText xml:space="preserve"> PAGE   \* MERGEFORMAT </w:instrText>
        </w:r>
        <w:r>
          <w:fldChar w:fldCharType="separate"/>
        </w:r>
        <w:r w:rsidR="009C5795">
          <w:rPr>
            <w:noProof/>
          </w:rPr>
          <w:t>1</w:t>
        </w:r>
        <w:r>
          <w:rPr>
            <w:noProof/>
          </w:rPr>
          <w:fldChar w:fldCharType="end"/>
        </w:r>
      </w:p>
    </w:sdtContent>
  </w:sdt>
  <w:p w:rsidR="00C77F6B" w:rsidRDefault="00C77F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8BA" w:rsidRDefault="00C928BA" w:rsidP="00504D8C">
      <w:pPr>
        <w:spacing w:after="0" w:line="240" w:lineRule="auto"/>
      </w:pPr>
      <w:r>
        <w:separator/>
      </w:r>
    </w:p>
  </w:footnote>
  <w:footnote w:type="continuationSeparator" w:id="0">
    <w:p w:rsidR="00C928BA" w:rsidRDefault="00C928BA" w:rsidP="00504D8C">
      <w:pPr>
        <w:spacing w:after="0" w:line="240" w:lineRule="auto"/>
      </w:pPr>
      <w:r>
        <w:continuationSeparator/>
      </w:r>
    </w:p>
  </w:footnote>
  <w:footnote w:id="1">
    <w:p w:rsidR="00C77F6B" w:rsidRPr="004D636C" w:rsidRDefault="00C77F6B" w:rsidP="00107CCF">
      <w:pPr>
        <w:pStyle w:val="FootnoteText"/>
        <w:bidi w:val="0"/>
        <w:rPr>
          <w:rFonts w:asciiTheme="majorHAnsi" w:hAnsiTheme="majorHAnsi"/>
          <w:sz w:val="16"/>
          <w:szCs w:val="16"/>
        </w:rPr>
      </w:pPr>
    </w:p>
  </w:footnote>
  <w:footnote w:id="2">
    <w:p w:rsidR="00C77F6B" w:rsidRPr="004D636C" w:rsidRDefault="00C77F6B" w:rsidP="000E798C">
      <w:pPr>
        <w:pStyle w:val="FootnoteText"/>
        <w:bidi w:val="0"/>
        <w:rPr>
          <w:rFonts w:asciiTheme="majorHAnsi" w:hAnsiTheme="majorHAnsi"/>
          <w:sz w:val="16"/>
          <w:szCs w:val="16"/>
        </w:rPr>
      </w:pPr>
    </w:p>
  </w:footnote>
  <w:footnote w:id="3">
    <w:p w:rsidR="007D2FB5" w:rsidRPr="007D2FB5" w:rsidRDefault="007D2FB5" w:rsidP="007D2FB5">
      <w:pPr>
        <w:bidi w:val="0"/>
        <w:spacing w:before="240" w:after="240" w:line="360" w:lineRule="auto"/>
        <w:ind w:left="4"/>
        <w:jc w:val="both"/>
        <w:rPr>
          <w:rFonts w:asciiTheme="majorBidi" w:eastAsia="Times New Roman" w:hAnsiTheme="majorBidi" w:cstheme="majorBidi"/>
          <w:color w:val="000000" w:themeColor="text1"/>
          <w:sz w:val="16"/>
          <w:szCs w:val="16"/>
          <w:lang w:bidi="ar-JO"/>
        </w:rPr>
      </w:pPr>
      <w:r w:rsidRPr="007D2FB5">
        <w:rPr>
          <w:rStyle w:val="FootnoteReference"/>
          <w:sz w:val="16"/>
          <w:szCs w:val="16"/>
        </w:rPr>
        <w:footnoteRef/>
      </w:r>
      <w:r w:rsidRPr="007D2FB5">
        <w:rPr>
          <w:sz w:val="16"/>
          <w:szCs w:val="16"/>
          <w:rtl/>
        </w:rPr>
        <w:t xml:space="preserve"> </w:t>
      </w:r>
      <w:r w:rsidRPr="007D2FB5">
        <w:rPr>
          <w:rFonts w:asciiTheme="majorBidi" w:eastAsia="Times New Roman" w:hAnsiTheme="majorBidi" w:cstheme="majorBidi"/>
          <w:color w:val="000000" w:themeColor="text1"/>
          <w:sz w:val="16"/>
          <w:szCs w:val="16"/>
        </w:rPr>
        <w:t>The government granted children of Jordanian women married to non-Jordanian a package of privileges (Mazaya) with respect to education, health, work, own property, investment and obtaining a driver’s license, provided that has been lived permanently in Jordan for at least five years. These privileges also included the issuance of special identification cards by the Civil Status and Passports Department (CSPD) within the first 6 months on which the privileges were initiated. However, the application of these privileges still face constraints, as public and private quarters do not fully implement them or are reluctant to do so.</w:t>
      </w:r>
    </w:p>
    <w:p w:rsidR="007D2FB5" w:rsidRPr="007D2FB5" w:rsidRDefault="007D2FB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A5B3D"/>
    <w:multiLevelType w:val="hybridMultilevel"/>
    <w:tmpl w:val="63006A96"/>
    <w:lvl w:ilvl="0" w:tplc="497EBD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C32A3"/>
    <w:multiLevelType w:val="hybridMultilevel"/>
    <w:tmpl w:val="00D8BCA8"/>
    <w:lvl w:ilvl="0" w:tplc="EEEEE98A">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C7F00"/>
    <w:multiLevelType w:val="hybridMultilevel"/>
    <w:tmpl w:val="E2E88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64C0879"/>
    <w:multiLevelType w:val="hybridMultilevel"/>
    <w:tmpl w:val="16C60D2E"/>
    <w:lvl w:ilvl="0" w:tplc="03BCA3D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2C506E"/>
    <w:multiLevelType w:val="hybridMultilevel"/>
    <w:tmpl w:val="DA1842E0"/>
    <w:lvl w:ilvl="0" w:tplc="226A97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D83653"/>
    <w:multiLevelType w:val="hybridMultilevel"/>
    <w:tmpl w:val="707CC04E"/>
    <w:lvl w:ilvl="0" w:tplc="1BDE76A8">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661D56"/>
    <w:multiLevelType w:val="hybridMultilevel"/>
    <w:tmpl w:val="5F221F44"/>
    <w:lvl w:ilvl="0" w:tplc="2B8AC2CA">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DA25D98"/>
    <w:multiLevelType w:val="hybridMultilevel"/>
    <w:tmpl w:val="13006F74"/>
    <w:lvl w:ilvl="0" w:tplc="0409000F">
      <w:start w:val="1"/>
      <w:numFmt w:val="decimal"/>
      <w:lvlText w:val="%1."/>
      <w:lvlJc w:val="left"/>
      <w:pPr>
        <w:ind w:left="720" w:hanging="360"/>
      </w:pPr>
      <w:rPr>
        <w:rFonts w:hint="default"/>
      </w:rPr>
    </w:lvl>
    <w:lvl w:ilvl="1" w:tplc="24C870EC">
      <w:start w:val="1"/>
      <w:numFmt w:val="upperLetter"/>
      <w:lvlText w:val="(%2)"/>
      <w:lvlJc w:val="left"/>
      <w:pPr>
        <w:ind w:left="1470" w:hanging="3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685DE2"/>
    <w:multiLevelType w:val="hybridMultilevel"/>
    <w:tmpl w:val="A09ADF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4DD43FA"/>
    <w:multiLevelType w:val="hybridMultilevel"/>
    <w:tmpl w:val="0FE653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58577D8"/>
    <w:multiLevelType w:val="hybridMultilevel"/>
    <w:tmpl w:val="8B106AC8"/>
    <w:lvl w:ilvl="0" w:tplc="0409000F">
      <w:start w:val="1"/>
      <w:numFmt w:val="decimal"/>
      <w:lvlText w:val="%1."/>
      <w:lvlJc w:val="left"/>
      <w:pPr>
        <w:ind w:left="720" w:hanging="360"/>
      </w:pPr>
    </w:lvl>
    <w:lvl w:ilvl="1" w:tplc="D11EF160">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DD79AA"/>
    <w:multiLevelType w:val="hybridMultilevel"/>
    <w:tmpl w:val="728CD806"/>
    <w:lvl w:ilvl="0" w:tplc="0B483D7A">
      <w:numFmt w:val="bullet"/>
      <w:lvlText w:val="-"/>
      <w:lvlJc w:val="left"/>
      <w:pPr>
        <w:ind w:left="720" w:hanging="360"/>
      </w:pPr>
      <w:rPr>
        <w:rFonts w:ascii="Traditional Arabic" w:eastAsia="Calibr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A44FD4"/>
    <w:multiLevelType w:val="hybridMultilevel"/>
    <w:tmpl w:val="7B4E055A"/>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DD21C0"/>
    <w:multiLevelType w:val="hybridMultilevel"/>
    <w:tmpl w:val="E6528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F76F67"/>
    <w:multiLevelType w:val="hybridMultilevel"/>
    <w:tmpl w:val="2EBE9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503964"/>
    <w:multiLevelType w:val="hybridMultilevel"/>
    <w:tmpl w:val="795AE3E2"/>
    <w:lvl w:ilvl="0" w:tplc="74BA9CE4">
      <w:start w:val="1"/>
      <w:numFmt w:val="upperLetter"/>
      <w:lvlText w:val="(%1)"/>
      <w:lvlJc w:val="left"/>
      <w:pPr>
        <w:ind w:left="450" w:hanging="375"/>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6" w15:restartNumberingAfterBreak="0">
    <w:nsid w:val="5EAC2966"/>
    <w:multiLevelType w:val="hybridMultilevel"/>
    <w:tmpl w:val="F612C076"/>
    <w:lvl w:ilvl="0" w:tplc="81C288A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6F21C4"/>
    <w:multiLevelType w:val="hybridMultilevel"/>
    <w:tmpl w:val="3F96E824"/>
    <w:lvl w:ilvl="0" w:tplc="0B483D7A">
      <w:numFmt w:val="bullet"/>
      <w:lvlText w:val="-"/>
      <w:lvlJc w:val="left"/>
      <w:pPr>
        <w:ind w:left="720" w:hanging="360"/>
      </w:pPr>
      <w:rPr>
        <w:rFonts w:ascii="Traditional Arabic" w:eastAsia="Calibr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2953EB"/>
    <w:multiLevelType w:val="hybridMultilevel"/>
    <w:tmpl w:val="36E69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2E7FCB"/>
    <w:multiLevelType w:val="hybridMultilevel"/>
    <w:tmpl w:val="A06E4AEC"/>
    <w:lvl w:ilvl="0" w:tplc="0B483D7A">
      <w:numFmt w:val="bullet"/>
      <w:lvlText w:val="-"/>
      <w:lvlJc w:val="left"/>
      <w:pPr>
        <w:ind w:left="720" w:hanging="360"/>
      </w:pPr>
      <w:rPr>
        <w:rFonts w:ascii="Traditional Arabic" w:eastAsia="Calibri" w:hAnsi="Traditional Arabic" w:cs="Traditional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C387AF9"/>
    <w:multiLevelType w:val="hybridMultilevel"/>
    <w:tmpl w:val="288A9876"/>
    <w:lvl w:ilvl="0" w:tplc="04090015">
      <w:start w:val="1"/>
      <w:numFmt w:val="upp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15:restartNumberingAfterBreak="0">
    <w:nsid w:val="6C3E49D2"/>
    <w:multiLevelType w:val="hybridMultilevel"/>
    <w:tmpl w:val="7CD46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292A5F"/>
    <w:multiLevelType w:val="hybridMultilevel"/>
    <w:tmpl w:val="186A1D66"/>
    <w:lvl w:ilvl="0" w:tplc="CB82C0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F2408F"/>
    <w:multiLevelType w:val="hybridMultilevel"/>
    <w:tmpl w:val="0122E6A8"/>
    <w:lvl w:ilvl="0" w:tplc="0B483D7A">
      <w:numFmt w:val="bullet"/>
      <w:lvlText w:val="-"/>
      <w:lvlJc w:val="left"/>
      <w:pPr>
        <w:ind w:left="720" w:hanging="360"/>
      </w:pPr>
      <w:rPr>
        <w:rFonts w:ascii="Traditional Arabic" w:eastAsia="Calibr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0"/>
  </w:num>
  <w:num w:numId="4">
    <w:abstractNumId w:val="0"/>
  </w:num>
  <w:num w:numId="5">
    <w:abstractNumId w:val="22"/>
  </w:num>
  <w:num w:numId="6">
    <w:abstractNumId w:val="1"/>
  </w:num>
  <w:num w:numId="7">
    <w:abstractNumId w:val="15"/>
  </w:num>
  <w:num w:numId="8">
    <w:abstractNumId w:val="5"/>
  </w:num>
  <w:num w:numId="9">
    <w:abstractNumId w:val="20"/>
  </w:num>
  <w:num w:numId="10">
    <w:abstractNumId w:val="13"/>
  </w:num>
  <w:num w:numId="11">
    <w:abstractNumId w:val="18"/>
  </w:num>
  <w:num w:numId="12">
    <w:abstractNumId w:val="16"/>
  </w:num>
  <w:num w:numId="13">
    <w:abstractNumId w:val="4"/>
  </w:num>
  <w:num w:numId="14">
    <w:abstractNumId w:val="23"/>
  </w:num>
  <w:num w:numId="15">
    <w:abstractNumId w:val="14"/>
  </w:num>
  <w:num w:numId="16">
    <w:abstractNumId w:val="17"/>
  </w:num>
  <w:num w:numId="17">
    <w:abstractNumId w:val="12"/>
  </w:num>
  <w:num w:numId="18">
    <w:abstractNumId w:val="3"/>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6"/>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D8C"/>
    <w:rsid w:val="0000121E"/>
    <w:rsid w:val="00001355"/>
    <w:rsid w:val="00001B63"/>
    <w:rsid w:val="000042BF"/>
    <w:rsid w:val="0000588D"/>
    <w:rsid w:val="00005ED0"/>
    <w:rsid w:val="00006289"/>
    <w:rsid w:val="00006853"/>
    <w:rsid w:val="00007042"/>
    <w:rsid w:val="00011DDE"/>
    <w:rsid w:val="00013CE4"/>
    <w:rsid w:val="00014CD8"/>
    <w:rsid w:val="00014F93"/>
    <w:rsid w:val="00016729"/>
    <w:rsid w:val="00021831"/>
    <w:rsid w:val="0002191A"/>
    <w:rsid w:val="000225CF"/>
    <w:rsid w:val="00023E30"/>
    <w:rsid w:val="00023FC8"/>
    <w:rsid w:val="000241C8"/>
    <w:rsid w:val="0002535F"/>
    <w:rsid w:val="0002544A"/>
    <w:rsid w:val="000259A0"/>
    <w:rsid w:val="000301D4"/>
    <w:rsid w:val="00033A84"/>
    <w:rsid w:val="00037ED1"/>
    <w:rsid w:val="00040E3B"/>
    <w:rsid w:val="00041FAE"/>
    <w:rsid w:val="000424C8"/>
    <w:rsid w:val="00042750"/>
    <w:rsid w:val="0004460F"/>
    <w:rsid w:val="0004780D"/>
    <w:rsid w:val="00053D46"/>
    <w:rsid w:val="0005535C"/>
    <w:rsid w:val="000563C3"/>
    <w:rsid w:val="00056971"/>
    <w:rsid w:val="00060B68"/>
    <w:rsid w:val="000616B6"/>
    <w:rsid w:val="00062C3E"/>
    <w:rsid w:val="00062E90"/>
    <w:rsid w:val="000637EF"/>
    <w:rsid w:val="000638BF"/>
    <w:rsid w:val="00063CFA"/>
    <w:rsid w:val="00064749"/>
    <w:rsid w:val="00066777"/>
    <w:rsid w:val="00066E3E"/>
    <w:rsid w:val="00067DFC"/>
    <w:rsid w:val="00071265"/>
    <w:rsid w:val="000776FC"/>
    <w:rsid w:val="00080455"/>
    <w:rsid w:val="00081CC9"/>
    <w:rsid w:val="00083642"/>
    <w:rsid w:val="00083801"/>
    <w:rsid w:val="00085E52"/>
    <w:rsid w:val="00085FBC"/>
    <w:rsid w:val="00090382"/>
    <w:rsid w:val="000911B8"/>
    <w:rsid w:val="00097222"/>
    <w:rsid w:val="00097ED1"/>
    <w:rsid w:val="000A0C57"/>
    <w:rsid w:val="000A1C99"/>
    <w:rsid w:val="000A1DE5"/>
    <w:rsid w:val="000A2BA7"/>
    <w:rsid w:val="000A7B5A"/>
    <w:rsid w:val="000B0006"/>
    <w:rsid w:val="000B188E"/>
    <w:rsid w:val="000B2BB6"/>
    <w:rsid w:val="000B3268"/>
    <w:rsid w:val="000B3D82"/>
    <w:rsid w:val="000B3E40"/>
    <w:rsid w:val="000B54F9"/>
    <w:rsid w:val="000B59E7"/>
    <w:rsid w:val="000B60AD"/>
    <w:rsid w:val="000C04ED"/>
    <w:rsid w:val="000C2FF8"/>
    <w:rsid w:val="000C4DAE"/>
    <w:rsid w:val="000C52A8"/>
    <w:rsid w:val="000C5899"/>
    <w:rsid w:val="000C5D1D"/>
    <w:rsid w:val="000C612F"/>
    <w:rsid w:val="000D0850"/>
    <w:rsid w:val="000D228D"/>
    <w:rsid w:val="000D2F39"/>
    <w:rsid w:val="000D389F"/>
    <w:rsid w:val="000D6CCC"/>
    <w:rsid w:val="000E08CC"/>
    <w:rsid w:val="000E5117"/>
    <w:rsid w:val="000E578D"/>
    <w:rsid w:val="000E6BD4"/>
    <w:rsid w:val="000E74EE"/>
    <w:rsid w:val="000E798C"/>
    <w:rsid w:val="000F0F5E"/>
    <w:rsid w:val="000F1FD2"/>
    <w:rsid w:val="001000D0"/>
    <w:rsid w:val="00100E1E"/>
    <w:rsid w:val="00100ED7"/>
    <w:rsid w:val="001024C3"/>
    <w:rsid w:val="001038C6"/>
    <w:rsid w:val="00104946"/>
    <w:rsid w:val="001066B6"/>
    <w:rsid w:val="00107CCF"/>
    <w:rsid w:val="00111B33"/>
    <w:rsid w:val="001123F9"/>
    <w:rsid w:val="001128D2"/>
    <w:rsid w:val="00113E8F"/>
    <w:rsid w:val="00121ED6"/>
    <w:rsid w:val="00122D2A"/>
    <w:rsid w:val="00123C26"/>
    <w:rsid w:val="001254DD"/>
    <w:rsid w:val="00125B60"/>
    <w:rsid w:val="00125D01"/>
    <w:rsid w:val="001307C4"/>
    <w:rsid w:val="00132722"/>
    <w:rsid w:val="00133E08"/>
    <w:rsid w:val="001342B9"/>
    <w:rsid w:val="00134D36"/>
    <w:rsid w:val="001404C4"/>
    <w:rsid w:val="0014055D"/>
    <w:rsid w:val="00140901"/>
    <w:rsid w:val="00140E44"/>
    <w:rsid w:val="00141083"/>
    <w:rsid w:val="00144A96"/>
    <w:rsid w:val="00144CE6"/>
    <w:rsid w:val="0014503B"/>
    <w:rsid w:val="001454CC"/>
    <w:rsid w:val="00145563"/>
    <w:rsid w:val="0014739A"/>
    <w:rsid w:val="001479F7"/>
    <w:rsid w:val="00150A50"/>
    <w:rsid w:val="001535E3"/>
    <w:rsid w:val="0015475B"/>
    <w:rsid w:val="0015515D"/>
    <w:rsid w:val="0015558C"/>
    <w:rsid w:val="00156057"/>
    <w:rsid w:val="00156168"/>
    <w:rsid w:val="00156FF0"/>
    <w:rsid w:val="00160D10"/>
    <w:rsid w:val="00164575"/>
    <w:rsid w:val="001710F0"/>
    <w:rsid w:val="0017136E"/>
    <w:rsid w:val="001719F9"/>
    <w:rsid w:val="00172112"/>
    <w:rsid w:val="001734ED"/>
    <w:rsid w:val="0017490B"/>
    <w:rsid w:val="00175E7D"/>
    <w:rsid w:val="00175EE8"/>
    <w:rsid w:val="00180E72"/>
    <w:rsid w:val="0018257E"/>
    <w:rsid w:val="001829CD"/>
    <w:rsid w:val="001864A2"/>
    <w:rsid w:val="0019065D"/>
    <w:rsid w:val="0019073F"/>
    <w:rsid w:val="00190FA5"/>
    <w:rsid w:val="00191952"/>
    <w:rsid w:val="00192415"/>
    <w:rsid w:val="00193944"/>
    <w:rsid w:val="001946FB"/>
    <w:rsid w:val="00196D85"/>
    <w:rsid w:val="00197CF3"/>
    <w:rsid w:val="001A4194"/>
    <w:rsid w:val="001A432F"/>
    <w:rsid w:val="001A50E1"/>
    <w:rsid w:val="001B1980"/>
    <w:rsid w:val="001B1DD6"/>
    <w:rsid w:val="001B7A0B"/>
    <w:rsid w:val="001C0A85"/>
    <w:rsid w:val="001C67D1"/>
    <w:rsid w:val="001C6876"/>
    <w:rsid w:val="001D00DA"/>
    <w:rsid w:val="001D1B44"/>
    <w:rsid w:val="001D236D"/>
    <w:rsid w:val="001D494D"/>
    <w:rsid w:val="001D6688"/>
    <w:rsid w:val="001D6C2C"/>
    <w:rsid w:val="001E1732"/>
    <w:rsid w:val="001E1914"/>
    <w:rsid w:val="001E2870"/>
    <w:rsid w:val="001E3DEF"/>
    <w:rsid w:val="001E5A48"/>
    <w:rsid w:val="001F11EF"/>
    <w:rsid w:val="001F1B6D"/>
    <w:rsid w:val="001F1E82"/>
    <w:rsid w:val="001F2006"/>
    <w:rsid w:val="001F368F"/>
    <w:rsid w:val="001F3C97"/>
    <w:rsid w:val="001F498C"/>
    <w:rsid w:val="001F55F8"/>
    <w:rsid w:val="002000BB"/>
    <w:rsid w:val="0020116C"/>
    <w:rsid w:val="00202620"/>
    <w:rsid w:val="0020287C"/>
    <w:rsid w:val="002072B2"/>
    <w:rsid w:val="00207B81"/>
    <w:rsid w:val="002115CB"/>
    <w:rsid w:val="00212E8C"/>
    <w:rsid w:val="002136D7"/>
    <w:rsid w:val="002138CF"/>
    <w:rsid w:val="00214289"/>
    <w:rsid w:val="0021435D"/>
    <w:rsid w:val="00214DDA"/>
    <w:rsid w:val="00217893"/>
    <w:rsid w:val="00220474"/>
    <w:rsid w:val="00220E6D"/>
    <w:rsid w:val="00222C30"/>
    <w:rsid w:val="002255A8"/>
    <w:rsid w:val="00230BDC"/>
    <w:rsid w:val="00231694"/>
    <w:rsid w:val="002319B6"/>
    <w:rsid w:val="00232DCE"/>
    <w:rsid w:val="0023504E"/>
    <w:rsid w:val="00235787"/>
    <w:rsid w:val="00235821"/>
    <w:rsid w:val="00235CEC"/>
    <w:rsid w:val="00237B63"/>
    <w:rsid w:val="002400ED"/>
    <w:rsid w:val="00240BBC"/>
    <w:rsid w:val="002419D3"/>
    <w:rsid w:val="0024272D"/>
    <w:rsid w:val="0024465C"/>
    <w:rsid w:val="00245A0B"/>
    <w:rsid w:val="0024679B"/>
    <w:rsid w:val="00246EBA"/>
    <w:rsid w:val="00247980"/>
    <w:rsid w:val="00247AE4"/>
    <w:rsid w:val="002506B1"/>
    <w:rsid w:val="00250E5B"/>
    <w:rsid w:val="002522E5"/>
    <w:rsid w:val="0025290D"/>
    <w:rsid w:val="00256171"/>
    <w:rsid w:val="00260461"/>
    <w:rsid w:val="00261ACB"/>
    <w:rsid w:val="00261D58"/>
    <w:rsid w:val="0026217D"/>
    <w:rsid w:val="00263429"/>
    <w:rsid w:val="00274BF5"/>
    <w:rsid w:val="00274FF1"/>
    <w:rsid w:val="00276481"/>
    <w:rsid w:val="002815BD"/>
    <w:rsid w:val="00281C62"/>
    <w:rsid w:val="00285B24"/>
    <w:rsid w:val="00286624"/>
    <w:rsid w:val="002867ED"/>
    <w:rsid w:val="00286D7E"/>
    <w:rsid w:val="00287579"/>
    <w:rsid w:val="00287CC5"/>
    <w:rsid w:val="002902B5"/>
    <w:rsid w:val="002920D7"/>
    <w:rsid w:val="002921A3"/>
    <w:rsid w:val="002922E6"/>
    <w:rsid w:val="00292885"/>
    <w:rsid w:val="002941F8"/>
    <w:rsid w:val="00295632"/>
    <w:rsid w:val="002979F3"/>
    <w:rsid w:val="00297E5B"/>
    <w:rsid w:val="002A1D7D"/>
    <w:rsid w:val="002A680C"/>
    <w:rsid w:val="002A7911"/>
    <w:rsid w:val="002A7DA8"/>
    <w:rsid w:val="002B0B4E"/>
    <w:rsid w:val="002B1531"/>
    <w:rsid w:val="002B1DB2"/>
    <w:rsid w:val="002B67DB"/>
    <w:rsid w:val="002B6CAE"/>
    <w:rsid w:val="002B6D39"/>
    <w:rsid w:val="002B797F"/>
    <w:rsid w:val="002B7A11"/>
    <w:rsid w:val="002C4E09"/>
    <w:rsid w:val="002C5E88"/>
    <w:rsid w:val="002C632F"/>
    <w:rsid w:val="002D0941"/>
    <w:rsid w:val="002D0E1B"/>
    <w:rsid w:val="002D204F"/>
    <w:rsid w:val="002D26BC"/>
    <w:rsid w:val="002D7C60"/>
    <w:rsid w:val="002E039D"/>
    <w:rsid w:val="002E3110"/>
    <w:rsid w:val="002E3A8C"/>
    <w:rsid w:val="002E50AA"/>
    <w:rsid w:val="002E56C4"/>
    <w:rsid w:val="002E6241"/>
    <w:rsid w:val="002F0F21"/>
    <w:rsid w:val="002F2496"/>
    <w:rsid w:val="002F28E5"/>
    <w:rsid w:val="002F3191"/>
    <w:rsid w:val="002F3CBB"/>
    <w:rsid w:val="002F4DBF"/>
    <w:rsid w:val="002F538A"/>
    <w:rsid w:val="002F5837"/>
    <w:rsid w:val="00302B98"/>
    <w:rsid w:val="003030DD"/>
    <w:rsid w:val="003038C9"/>
    <w:rsid w:val="00304FD8"/>
    <w:rsid w:val="00310292"/>
    <w:rsid w:val="003103D9"/>
    <w:rsid w:val="00310495"/>
    <w:rsid w:val="003105EC"/>
    <w:rsid w:val="003110F9"/>
    <w:rsid w:val="00312AB2"/>
    <w:rsid w:val="00313A29"/>
    <w:rsid w:val="003141C6"/>
    <w:rsid w:val="00314B9E"/>
    <w:rsid w:val="00315456"/>
    <w:rsid w:val="00315D8D"/>
    <w:rsid w:val="00317511"/>
    <w:rsid w:val="003209A3"/>
    <w:rsid w:val="00320DE4"/>
    <w:rsid w:val="0032268A"/>
    <w:rsid w:val="0032744B"/>
    <w:rsid w:val="0033183B"/>
    <w:rsid w:val="00331EDC"/>
    <w:rsid w:val="0033590F"/>
    <w:rsid w:val="003370C8"/>
    <w:rsid w:val="003418DE"/>
    <w:rsid w:val="00342E8F"/>
    <w:rsid w:val="00344063"/>
    <w:rsid w:val="0034589D"/>
    <w:rsid w:val="0034612D"/>
    <w:rsid w:val="00351594"/>
    <w:rsid w:val="00351A89"/>
    <w:rsid w:val="0035377B"/>
    <w:rsid w:val="00354751"/>
    <w:rsid w:val="00357310"/>
    <w:rsid w:val="00357820"/>
    <w:rsid w:val="00357F4B"/>
    <w:rsid w:val="00362B2C"/>
    <w:rsid w:val="00362E62"/>
    <w:rsid w:val="0036382A"/>
    <w:rsid w:val="00364502"/>
    <w:rsid w:val="00364B8A"/>
    <w:rsid w:val="003704F5"/>
    <w:rsid w:val="00371161"/>
    <w:rsid w:val="00372039"/>
    <w:rsid w:val="00372407"/>
    <w:rsid w:val="00373592"/>
    <w:rsid w:val="00374595"/>
    <w:rsid w:val="00376AF5"/>
    <w:rsid w:val="0037798D"/>
    <w:rsid w:val="003801F7"/>
    <w:rsid w:val="003804ED"/>
    <w:rsid w:val="00383865"/>
    <w:rsid w:val="00386BF6"/>
    <w:rsid w:val="00387C1B"/>
    <w:rsid w:val="00390FA1"/>
    <w:rsid w:val="00395D5D"/>
    <w:rsid w:val="00396A0A"/>
    <w:rsid w:val="0039733F"/>
    <w:rsid w:val="003A097A"/>
    <w:rsid w:val="003A21A5"/>
    <w:rsid w:val="003A5031"/>
    <w:rsid w:val="003B5A51"/>
    <w:rsid w:val="003B608D"/>
    <w:rsid w:val="003C28A9"/>
    <w:rsid w:val="003C3B08"/>
    <w:rsid w:val="003C5ACB"/>
    <w:rsid w:val="003C7BFE"/>
    <w:rsid w:val="003C7EFD"/>
    <w:rsid w:val="003D0A4F"/>
    <w:rsid w:val="003D22E5"/>
    <w:rsid w:val="003D2364"/>
    <w:rsid w:val="003D4D6F"/>
    <w:rsid w:val="003D4E62"/>
    <w:rsid w:val="003E2DE6"/>
    <w:rsid w:val="003E598C"/>
    <w:rsid w:val="003E5F74"/>
    <w:rsid w:val="003E62B2"/>
    <w:rsid w:val="003E630F"/>
    <w:rsid w:val="003E63D4"/>
    <w:rsid w:val="003E6CA1"/>
    <w:rsid w:val="003F0336"/>
    <w:rsid w:val="003F1F8D"/>
    <w:rsid w:val="003F2B7D"/>
    <w:rsid w:val="003F3B3E"/>
    <w:rsid w:val="003F3C12"/>
    <w:rsid w:val="003F719A"/>
    <w:rsid w:val="00400050"/>
    <w:rsid w:val="004004BB"/>
    <w:rsid w:val="0040164B"/>
    <w:rsid w:val="0040357B"/>
    <w:rsid w:val="00403F43"/>
    <w:rsid w:val="0040755F"/>
    <w:rsid w:val="004100D1"/>
    <w:rsid w:val="004101F6"/>
    <w:rsid w:val="00410E0C"/>
    <w:rsid w:val="00414124"/>
    <w:rsid w:val="004174B9"/>
    <w:rsid w:val="00417B97"/>
    <w:rsid w:val="00420A8C"/>
    <w:rsid w:val="00421169"/>
    <w:rsid w:val="00421B3E"/>
    <w:rsid w:val="00421BD7"/>
    <w:rsid w:val="00422A34"/>
    <w:rsid w:val="00423B53"/>
    <w:rsid w:val="00427347"/>
    <w:rsid w:val="00435833"/>
    <w:rsid w:val="00441A61"/>
    <w:rsid w:val="00441CE5"/>
    <w:rsid w:val="00442C3B"/>
    <w:rsid w:val="00442CA6"/>
    <w:rsid w:val="00443FA8"/>
    <w:rsid w:val="00444D2C"/>
    <w:rsid w:val="0044596E"/>
    <w:rsid w:val="00446B9F"/>
    <w:rsid w:val="00447F03"/>
    <w:rsid w:val="004525DE"/>
    <w:rsid w:val="00452869"/>
    <w:rsid w:val="004531CB"/>
    <w:rsid w:val="004534BA"/>
    <w:rsid w:val="00454C87"/>
    <w:rsid w:val="004550CB"/>
    <w:rsid w:val="004562B2"/>
    <w:rsid w:val="00456BFB"/>
    <w:rsid w:val="00457B15"/>
    <w:rsid w:val="00457DC5"/>
    <w:rsid w:val="0046179E"/>
    <w:rsid w:val="00461820"/>
    <w:rsid w:val="00461A36"/>
    <w:rsid w:val="00462834"/>
    <w:rsid w:val="00467C39"/>
    <w:rsid w:val="00470F00"/>
    <w:rsid w:val="00470FCE"/>
    <w:rsid w:val="00471E7A"/>
    <w:rsid w:val="00472194"/>
    <w:rsid w:val="00473119"/>
    <w:rsid w:val="00473BBB"/>
    <w:rsid w:val="00480DAF"/>
    <w:rsid w:val="004823E9"/>
    <w:rsid w:val="0048346B"/>
    <w:rsid w:val="00484135"/>
    <w:rsid w:val="00484CE5"/>
    <w:rsid w:val="00486440"/>
    <w:rsid w:val="00487437"/>
    <w:rsid w:val="004876FF"/>
    <w:rsid w:val="004903F7"/>
    <w:rsid w:val="0049227D"/>
    <w:rsid w:val="00495AFB"/>
    <w:rsid w:val="004960CB"/>
    <w:rsid w:val="00496137"/>
    <w:rsid w:val="004A2A2E"/>
    <w:rsid w:val="004A4E39"/>
    <w:rsid w:val="004A5CAF"/>
    <w:rsid w:val="004B0F29"/>
    <w:rsid w:val="004B529C"/>
    <w:rsid w:val="004C097E"/>
    <w:rsid w:val="004C2B42"/>
    <w:rsid w:val="004C2C31"/>
    <w:rsid w:val="004C3166"/>
    <w:rsid w:val="004C3C7B"/>
    <w:rsid w:val="004C67AF"/>
    <w:rsid w:val="004C7035"/>
    <w:rsid w:val="004C7B50"/>
    <w:rsid w:val="004D2B44"/>
    <w:rsid w:val="004D44EF"/>
    <w:rsid w:val="004D6F41"/>
    <w:rsid w:val="004D7B23"/>
    <w:rsid w:val="004E0FE9"/>
    <w:rsid w:val="004E256C"/>
    <w:rsid w:val="004E3DA7"/>
    <w:rsid w:val="004E65F5"/>
    <w:rsid w:val="004E6735"/>
    <w:rsid w:val="004E698E"/>
    <w:rsid w:val="004F23EF"/>
    <w:rsid w:val="004F2BF6"/>
    <w:rsid w:val="004F4447"/>
    <w:rsid w:val="004F506C"/>
    <w:rsid w:val="004F5606"/>
    <w:rsid w:val="004F643F"/>
    <w:rsid w:val="004F7DEF"/>
    <w:rsid w:val="005000E1"/>
    <w:rsid w:val="00500D50"/>
    <w:rsid w:val="00503C13"/>
    <w:rsid w:val="00503D7D"/>
    <w:rsid w:val="00504D8C"/>
    <w:rsid w:val="00505EB2"/>
    <w:rsid w:val="00510874"/>
    <w:rsid w:val="005110D2"/>
    <w:rsid w:val="0051188C"/>
    <w:rsid w:val="005125C0"/>
    <w:rsid w:val="00512A13"/>
    <w:rsid w:val="00512B4F"/>
    <w:rsid w:val="005132FB"/>
    <w:rsid w:val="00513A5A"/>
    <w:rsid w:val="00513AC3"/>
    <w:rsid w:val="00516730"/>
    <w:rsid w:val="00517D07"/>
    <w:rsid w:val="00521188"/>
    <w:rsid w:val="00521809"/>
    <w:rsid w:val="0052258A"/>
    <w:rsid w:val="005229A6"/>
    <w:rsid w:val="005234BB"/>
    <w:rsid w:val="0052517E"/>
    <w:rsid w:val="00527D95"/>
    <w:rsid w:val="005304C0"/>
    <w:rsid w:val="00531E4C"/>
    <w:rsid w:val="00533545"/>
    <w:rsid w:val="00534338"/>
    <w:rsid w:val="00534966"/>
    <w:rsid w:val="0053551E"/>
    <w:rsid w:val="00535A56"/>
    <w:rsid w:val="0054085B"/>
    <w:rsid w:val="005425BD"/>
    <w:rsid w:val="00542B17"/>
    <w:rsid w:val="00543510"/>
    <w:rsid w:val="00543B34"/>
    <w:rsid w:val="00543EF8"/>
    <w:rsid w:val="0054606D"/>
    <w:rsid w:val="00554813"/>
    <w:rsid w:val="0055546B"/>
    <w:rsid w:val="005605D0"/>
    <w:rsid w:val="00561A80"/>
    <w:rsid w:val="0056353F"/>
    <w:rsid w:val="0056377B"/>
    <w:rsid w:val="00564675"/>
    <w:rsid w:val="00566A10"/>
    <w:rsid w:val="00566A8D"/>
    <w:rsid w:val="00567C78"/>
    <w:rsid w:val="005707B8"/>
    <w:rsid w:val="00572E01"/>
    <w:rsid w:val="00574593"/>
    <w:rsid w:val="00575131"/>
    <w:rsid w:val="00576417"/>
    <w:rsid w:val="00576440"/>
    <w:rsid w:val="00581A15"/>
    <w:rsid w:val="00586CF2"/>
    <w:rsid w:val="00586D1C"/>
    <w:rsid w:val="00586F8A"/>
    <w:rsid w:val="00587582"/>
    <w:rsid w:val="00587BF2"/>
    <w:rsid w:val="00590157"/>
    <w:rsid w:val="00594A0D"/>
    <w:rsid w:val="00595EEA"/>
    <w:rsid w:val="00596A43"/>
    <w:rsid w:val="00597013"/>
    <w:rsid w:val="005A2294"/>
    <w:rsid w:val="005A26AA"/>
    <w:rsid w:val="005A280A"/>
    <w:rsid w:val="005A2F36"/>
    <w:rsid w:val="005A3D4A"/>
    <w:rsid w:val="005A6316"/>
    <w:rsid w:val="005A7CFC"/>
    <w:rsid w:val="005B04A2"/>
    <w:rsid w:val="005B0ED3"/>
    <w:rsid w:val="005B125B"/>
    <w:rsid w:val="005B4F01"/>
    <w:rsid w:val="005B50EB"/>
    <w:rsid w:val="005B5323"/>
    <w:rsid w:val="005B5723"/>
    <w:rsid w:val="005B6E9E"/>
    <w:rsid w:val="005C0F49"/>
    <w:rsid w:val="005C1F57"/>
    <w:rsid w:val="005C330A"/>
    <w:rsid w:val="005C3E26"/>
    <w:rsid w:val="005C62BD"/>
    <w:rsid w:val="005C737F"/>
    <w:rsid w:val="005C74B2"/>
    <w:rsid w:val="005C7F67"/>
    <w:rsid w:val="005D4A65"/>
    <w:rsid w:val="005D6BB1"/>
    <w:rsid w:val="005D7CA2"/>
    <w:rsid w:val="005E0A11"/>
    <w:rsid w:val="005E7F16"/>
    <w:rsid w:val="005E7FEE"/>
    <w:rsid w:val="005F036E"/>
    <w:rsid w:val="005F0506"/>
    <w:rsid w:val="005F05D6"/>
    <w:rsid w:val="005F09AF"/>
    <w:rsid w:val="00601599"/>
    <w:rsid w:val="00601D59"/>
    <w:rsid w:val="0060300E"/>
    <w:rsid w:val="00604E1E"/>
    <w:rsid w:val="006054F6"/>
    <w:rsid w:val="00606EC3"/>
    <w:rsid w:val="006101D3"/>
    <w:rsid w:val="0061031A"/>
    <w:rsid w:val="006110E1"/>
    <w:rsid w:val="00611A4B"/>
    <w:rsid w:val="006138D5"/>
    <w:rsid w:val="0061657E"/>
    <w:rsid w:val="006175DA"/>
    <w:rsid w:val="00620853"/>
    <w:rsid w:val="00621205"/>
    <w:rsid w:val="006212B1"/>
    <w:rsid w:val="00623BFF"/>
    <w:rsid w:val="00624E57"/>
    <w:rsid w:val="00626A51"/>
    <w:rsid w:val="0063164B"/>
    <w:rsid w:val="00632FBE"/>
    <w:rsid w:val="006401E3"/>
    <w:rsid w:val="00641BA5"/>
    <w:rsid w:val="00644ECF"/>
    <w:rsid w:val="00645713"/>
    <w:rsid w:val="00645E7A"/>
    <w:rsid w:val="00646126"/>
    <w:rsid w:val="00647FAF"/>
    <w:rsid w:val="006510CE"/>
    <w:rsid w:val="00655500"/>
    <w:rsid w:val="0065643D"/>
    <w:rsid w:val="00657C4B"/>
    <w:rsid w:val="006615F0"/>
    <w:rsid w:val="00661AA7"/>
    <w:rsid w:val="00662425"/>
    <w:rsid w:val="00664621"/>
    <w:rsid w:val="00664EF8"/>
    <w:rsid w:val="00665B52"/>
    <w:rsid w:val="00666EBE"/>
    <w:rsid w:val="00666F09"/>
    <w:rsid w:val="006671BF"/>
    <w:rsid w:val="0067378D"/>
    <w:rsid w:val="00676A8D"/>
    <w:rsid w:val="006811C0"/>
    <w:rsid w:val="006814B0"/>
    <w:rsid w:val="00682150"/>
    <w:rsid w:val="006825AB"/>
    <w:rsid w:val="0068308A"/>
    <w:rsid w:val="00683943"/>
    <w:rsid w:val="00684ECB"/>
    <w:rsid w:val="00685AE7"/>
    <w:rsid w:val="00687A01"/>
    <w:rsid w:val="00687A3D"/>
    <w:rsid w:val="00690FFC"/>
    <w:rsid w:val="006915C5"/>
    <w:rsid w:val="00692E07"/>
    <w:rsid w:val="00693EED"/>
    <w:rsid w:val="006971AB"/>
    <w:rsid w:val="006A39B6"/>
    <w:rsid w:val="006A461C"/>
    <w:rsid w:val="006A4700"/>
    <w:rsid w:val="006A5473"/>
    <w:rsid w:val="006A679E"/>
    <w:rsid w:val="006B2AF6"/>
    <w:rsid w:val="006B2B76"/>
    <w:rsid w:val="006B2F59"/>
    <w:rsid w:val="006B3AE5"/>
    <w:rsid w:val="006B4176"/>
    <w:rsid w:val="006B51C8"/>
    <w:rsid w:val="006B6172"/>
    <w:rsid w:val="006B640A"/>
    <w:rsid w:val="006B6635"/>
    <w:rsid w:val="006B6652"/>
    <w:rsid w:val="006C07AF"/>
    <w:rsid w:val="006C12F6"/>
    <w:rsid w:val="006C5196"/>
    <w:rsid w:val="006C6FD8"/>
    <w:rsid w:val="006D2817"/>
    <w:rsid w:val="006D2E51"/>
    <w:rsid w:val="006D3119"/>
    <w:rsid w:val="006D32F0"/>
    <w:rsid w:val="006D410F"/>
    <w:rsid w:val="006D4E54"/>
    <w:rsid w:val="006D54F8"/>
    <w:rsid w:val="006D5FC9"/>
    <w:rsid w:val="006D69F1"/>
    <w:rsid w:val="006E0EBF"/>
    <w:rsid w:val="006E104D"/>
    <w:rsid w:val="006E15DF"/>
    <w:rsid w:val="006E1F57"/>
    <w:rsid w:val="006E493A"/>
    <w:rsid w:val="006E4A6F"/>
    <w:rsid w:val="006E6D24"/>
    <w:rsid w:val="006F09A5"/>
    <w:rsid w:val="006F1A96"/>
    <w:rsid w:val="006F1AF6"/>
    <w:rsid w:val="006F27CC"/>
    <w:rsid w:val="006F29C1"/>
    <w:rsid w:val="006F2D2F"/>
    <w:rsid w:val="006F305E"/>
    <w:rsid w:val="006F4D56"/>
    <w:rsid w:val="006F4E7A"/>
    <w:rsid w:val="006F4F5B"/>
    <w:rsid w:val="006F6A26"/>
    <w:rsid w:val="006F6B1D"/>
    <w:rsid w:val="007004D5"/>
    <w:rsid w:val="00703217"/>
    <w:rsid w:val="007046F1"/>
    <w:rsid w:val="00705439"/>
    <w:rsid w:val="00705DD5"/>
    <w:rsid w:val="00711C3C"/>
    <w:rsid w:val="00712009"/>
    <w:rsid w:val="007200EA"/>
    <w:rsid w:val="00722FA4"/>
    <w:rsid w:val="00725236"/>
    <w:rsid w:val="007303A4"/>
    <w:rsid w:val="00733E3F"/>
    <w:rsid w:val="007346F1"/>
    <w:rsid w:val="007348E4"/>
    <w:rsid w:val="00735F6E"/>
    <w:rsid w:val="00736C70"/>
    <w:rsid w:val="00736FC9"/>
    <w:rsid w:val="00740940"/>
    <w:rsid w:val="00741712"/>
    <w:rsid w:val="00742522"/>
    <w:rsid w:val="00746726"/>
    <w:rsid w:val="00747CD4"/>
    <w:rsid w:val="007540B9"/>
    <w:rsid w:val="00756516"/>
    <w:rsid w:val="00756EA0"/>
    <w:rsid w:val="00757F35"/>
    <w:rsid w:val="007600DD"/>
    <w:rsid w:val="00760D64"/>
    <w:rsid w:val="00760D91"/>
    <w:rsid w:val="0076458F"/>
    <w:rsid w:val="007647AF"/>
    <w:rsid w:val="00765120"/>
    <w:rsid w:val="0076598F"/>
    <w:rsid w:val="00772056"/>
    <w:rsid w:val="00772B80"/>
    <w:rsid w:val="0077589D"/>
    <w:rsid w:val="0077700A"/>
    <w:rsid w:val="00780DA7"/>
    <w:rsid w:val="0078627C"/>
    <w:rsid w:val="00786E61"/>
    <w:rsid w:val="007907D9"/>
    <w:rsid w:val="00791AF2"/>
    <w:rsid w:val="00792C4A"/>
    <w:rsid w:val="00792E4A"/>
    <w:rsid w:val="007930BF"/>
    <w:rsid w:val="007953D6"/>
    <w:rsid w:val="007964AF"/>
    <w:rsid w:val="007A079D"/>
    <w:rsid w:val="007A2267"/>
    <w:rsid w:val="007A235F"/>
    <w:rsid w:val="007A3C36"/>
    <w:rsid w:val="007A48E6"/>
    <w:rsid w:val="007A70E1"/>
    <w:rsid w:val="007A7F9E"/>
    <w:rsid w:val="007B1EA2"/>
    <w:rsid w:val="007B27F0"/>
    <w:rsid w:val="007B2E8E"/>
    <w:rsid w:val="007B33A4"/>
    <w:rsid w:val="007B3508"/>
    <w:rsid w:val="007B402B"/>
    <w:rsid w:val="007B58CD"/>
    <w:rsid w:val="007B68FB"/>
    <w:rsid w:val="007B697D"/>
    <w:rsid w:val="007B707F"/>
    <w:rsid w:val="007C4180"/>
    <w:rsid w:val="007C45F4"/>
    <w:rsid w:val="007C4A5E"/>
    <w:rsid w:val="007C61F8"/>
    <w:rsid w:val="007C6359"/>
    <w:rsid w:val="007D07D9"/>
    <w:rsid w:val="007D0AE9"/>
    <w:rsid w:val="007D2A70"/>
    <w:rsid w:val="007D2FB5"/>
    <w:rsid w:val="007D433F"/>
    <w:rsid w:val="007D63F9"/>
    <w:rsid w:val="007E35D7"/>
    <w:rsid w:val="007E3CC3"/>
    <w:rsid w:val="007F01F1"/>
    <w:rsid w:val="007F05A0"/>
    <w:rsid w:val="007F221E"/>
    <w:rsid w:val="007F34AB"/>
    <w:rsid w:val="007F353B"/>
    <w:rsid w:val="007F3F66"/>
    <w:rsid w:val="007F4033"/>
    <w:rsid w:val="00802324"/>
    <w:rsid w:val="00802FC0"/>
    <w:rsid w:val="008046C1"/>
    <w:rsid w:val="00806AD5"/>
    <w:rsid w:val="00806D0A"/>
    <w:rsid w:val="00807E7B"/>
    <w:rsid w:val="0081118F"/>
    <w:rsid w:val="00811CE2"/>
    <w:rsid w:val="008149FE"/>
    <w:rsid w:val="00814C9F"/>
    <w:rsid w:val="00814DC6"/>
    <w:rsid w:val="00815E48"/>
    <w:rsid w:val="008169DE"/>
    <w:rsid w:val="00816A90"/>
    <w:rsid w:val="008175B6"/>
    <w:rsid w:val="008203C8"/>
    <w:rsid w:val="00820D96"/>
    <w:rsid w:val="008213A0"/>
    <w:rsid w:val="00821901"/>
    <w:rsid w:val="00824B43"/>
    <w:rsid w:val="0082586A"/>
    <w:rsid w:val="008258AA"/>
    <w:rsid w:val="00825E72"/>
    <w:rsid w:val="00825F7E"/>
    <w:rsid w:val="00826694"/>
    <w:rsid w:val="0083061F"/>
    <w:rsid w:val="0083094A"/>
    <w:rsid w:val="00833298"/>
    <w:rsid w:val="00834C8C"/>
    <w:rsid w:val="00837009"/>
    <w:rsid w:val="00840BF3"/>
    <w:rsid w:val="00842F22"/>
    <w:rsid w:val="00843981"/>
    <w:rsid w:val="00844634"/>
    <w:rsid w:val="00844DB2"/>
    <w:rsid w:val="008458AC"/>
    <w:rsid w:val="00854771"/>
    <w:rsid w:val="0085499A"/>
    <w:rsid w:val="00860079"/>
    <w:rsid w:val="00862B53"/>
    <w:rsid w:val="00864B25"/>
    <w:rsid w:val="008652F9"/>
    <w:rsid w:val="00866437"/>
    <w:rsid w:val="00870ED8"/>
    <w:rsid w:val="00871C8E"/>
    <w:rsid w:val="00880340"/>
    <w:rsid w:val="00881449"/>
    <w:rsid w:val="00881860"/>
    <w:rsid w:val="008820BE"/>
    <w:rsid w:val="00886212"/>
    <w:rsid w:val="00886736"/>
    <w:rsid w:val="00886EFD"/>
    <w:rsid w:val="00891CEC"/>
    <w:rsid w:val="00892242"/>
    <w:rsid w:val="008942E0"/>
    <w:rsid w:val="008A0934"/>
    <w:rsid w:val="008A3A9C"/>
    <w:rsid w:val="008A418F"/>
    <w:rsid w:val="008A4D29"/>
    <w:rsid w:val="008A6663"/>
    <w:rsid w:val="008A7C92"/>
    <w:rsid w:val="008B0263"/>
    <w:rsid w:val="008B0E7E"/>
    <w:rsid w:val="008B4D99"/>
    <w:rsid w:val="008B57C4"/>
    <w:rsid w:val="008C04D9"/>
    <w:rsid w:val="008C0F1B"/>
    <w:rsid w:val="008C12CE"/>
    <w:rsid w:val="008C1D05"/>
    <w:rsid w:val="008C6487"/>
    <w:rsid w:val="008C730B"/>
    <w:rsid w:val="008C7C94"/>
    <w:rsid w:val="008D0498"/>
    <w:rsid w:val="008D0E71"/>
    <w:rsid w:val="008D15C5"/>
    <w:rsid w:val="008D6068"/>
    <w:rsid w:val="008D6721"/>
    <w:rsid w:val="008E0704"/>
    <w:rsid w:val="008E4751"/>
    <w:rsid w:val="008E4B24"/>
    <w:rsid w:val="008E511E"/>
    <w:rsid w:val="008E5611"/>
    <w:rsid w:val="008E79E8"/>
    <w:rsid w:val="008E79F9"/>
    <w:rsid w:val="008F1A42"/>
    <w:rsid w:val="008F22BA"/>
    <w:rsid w:val="008F32D1"/>
    <w:rsid w:val="008F4EE6"/>
    <w:rsid w:val="00901AED"/>
    <w:rsid w:val="009027F7"/>
    <w:rsid w:val="00902B9A"/>
    <w:rsid w:val="00903731"/>
    <w:rsid w:val="00906CDF"/>
    <w:rsid w:val="00907F64"/>
    <w:rsid w:val="009122C0"/>
    <w:rsid w:val="0091541F"/>
    <w:rsid w:val="00921E05"/>
    <w:rsid w:val="009234A4"/>
    <w:rsid w:val="0092573F"/>
    <w:rsid w:val="00925EBD"/>
    <w:rsid w:val="009266F0"/>
    <w:rsid w:val="00927FD0"/>
    <w:rsid w:val="009300D3"/>
    <w:rsid w:val="009309D8"/>
    <w:rsid w:val="00934646"/>
    <w:rsid w:val="00934A38"/>
    <w:rsid w:val="00934DCF"/>
    <w:rsid w:val="00937936"/>
    <w:rsid w:val="00940DC3"/>
    <w:rsid w:val="009412B9"/>
    <w:rsid w:val="00941745"/>
    <w:rsid w:val="00942E9F"/>
    <w:rsid w:val="00946D74"/>
    <w:rsid w:val="0094766F"/>
    <w:rsid w:val="00950115"/>
    <w:rsid w:val="0095342A"/>
    <w:rsid w:val="009543C3"/>
    <w:rsid w:val="00960729"/>
    <w:rsid w:val="00964290"/>
    <w:rsid w:val="00965F3E"/>
    <w:rsid w:val="00970111"/>
    <w:rsid w:val="00975E6C"/>
    <w:rsid w:val="00976FBE"/>
    <w:rsid w:val="00981EB3"/>
    <w:rsid w:val="0098306D"/>
    <w:rsid w:val="00985794"/>
    <w:rsid w:val="00985EA5"/>
    <w:rsid w:val="00986FCF"/>
    <w:rsid w:val="00987A4C"/>
    <w:rsid w:val="0099154B"/>
    <w:rsid w:val="00992571"/>
    <w:rsid w:val="00993D0E"/>
    <w:rsid w:val="00993FB2"/>
    <w:rsid w:val="009940F1"/>
    <w:rsid w:val="00996BC7"/>
    <w:rsid w:val="00996FFE"/>
    <w:rsid w:val="00997DE4"/>
    <w:rsid w:val="009A3742"/>
    <w:rsid w:val="009A4191"/>
    <w:rsid w:val="009A5746"/>
    <w:rsid w:val="009A6670"/>
    <w:rsid w:val="009A7A94"/>
    <w:rsid w:val="009B2553"/>
    <w:rsid w:val="009B2749"/>
    <w:rsid w:val="009B2D47"/>
    <w:rsid w:val="009B3B1B"/>
    <w:rsid w:val="009B5003"/>
    <w:rsid w:val="009B55DB"/>
    <w:rsid w:val="009B6C2D"/>
    <w:rsid w:val="009B6C3A"/>
    <w:rsid w:val="009B7C90"/>
    <w:rsid w:val="009B7F26"/>
    <w:rsid w:val="009C09BC"/>
    <w:rsid w:val="009C1A34"/>
    <w:rsid w:val="009C1F9B"/>
    <w:rsid w:val="009C2AA0"/>
    <w:rsid w:val="009C3AC2"/>
    <w:rsid w:val="009C5795"/>
    <w:rsid w:val="009C65E8"/>
    <w:rsid w:val="009C6EA9"/>
    <w:rsid w:val="009C772A"/>
    <w:rsid w:val="009D15EF"/>
    <w:rsid w:val="009D20B2"/>
    <w:rsid w:val="009D27E1"/>
    <w:rsid w:val="009D2F2F"/>
    <w:rsid w:val="009D3BC7"/>
    <w:rsid w:val="009D4ADA"/>
    <w:rsid w:val="009D4D74"/>
    <w:rsid w:val="009D5637"/>
    <w:rsid w:val="009D5ECA"/>
    <w:rsid w:val="009D6E72"/>
    <w:rsid w:val="009D72D6"/>
    <w:rsid w:val="009D7D8B"/>
    <w:rsid w:val="009E0946"/>
    <w:rsid w:val="009E29A5"/>
    <w:rsid w:val="009E4F3F"/>
    <w:rsid w:val="009E565C"/>
    <w:rsid w:val="009E590E"/>
    <w:rsid w:val="009E5959"/>
    <w:rsid w:val="009E632A"/>
    <w:rsid w:val="009E65D0"/>
    <w:rsid w:val="009F09B5"/>
    <w:rsid w:val="009F39FD"/>
    <w:rsid w:val="009F4010"/>
    <w:rsid w:val="009F4035"/>
    <w:rsid w:val="009F4EE1"/>
    <w:rsid w:val="009F5AC1"/>
    <w:rsid w:val="009F5B0B"/>
    <w:rsid w:val="009F708B"/>
    <w:rsid w:val="009F71B9"/>
    <w:rsid w:val="009F782F"/>
    <w:rsid w:val="009F7D9B"/>
    <w:rsid w:val="00A025BF"/>
    <w:rsid w:val="00A02EF5"/>
    <w:rsid w:val="00A050EC"/>
    <w:rsid w:val="00A0511E"/>
    <w:rsid w:val="00A06DF7"/>
    <w:rsid w:val="00A118F8"/>
    <w:rsid w:val="00A15291"/>
    <w:rsid w:val="00A219A9"/>
    <w:rsid w:val="00A21B4F"/>
    <w:rsid w:val="00A30D97"/>
    <w:rsid w:val="00A32355"/>
    <w:rsid w:val="00A35862"/>
    <w:rsid w:val="00A41040"/>
    <w:rsid w:val="00A42EAF"/>
    <w:rsid w:val="00A464CD"/>
    <w:rsid w:val="00A4795E"/>
    <w:rsid w:val="00A50D77"/>
    <w:rsid w:val="00A540B7"/>
    <w:rsid w:val="00A548F6"/>
    <w:rsid w:val="00A563F8"/>
    <w:rsid w:val="00A571D1"/>
    <w:rsid w:val="00A605AE"/>
    <w:rsid w:val="00A61EA2"/>
    <w:rsid w:val="00A6370A"/>
    <w:rsid w:val="00A70735"/>
    <w:rsid w:val="00A72727"/>
    <w:rsid w:val="00A730CE"/>
    <w:rsid w:val="00A74191"/>
    <w:rsid w:val="00A76B4D"/>
    <w:rsid w:val="00A81FEA"/>
    <w:rsid w:val="00A83789"/>
    <w:rsid w:val="00A8430A"/>
    <w:rsid w:val="00A8506A"/>
    <w:rsid w:val="00A85B70"/>
    <w:rsid w:val="00A86BCE"/>
    <w:rsid w:val="00A90117"/>
    <w:rsid w:val="00A93791"/>
    <w:rsid w:val="00A93C31"/>
    <w:rsid w:val="00A943F4"/>
    <w:rsid w:val="00A94B2E"/>
    <w:rsid w:val="00A95435"/>
    <w:rsid w:val="00A95773"/>
    <w:rsid w:val="00A9758A"/>
    <w:rsid w:val="00A97B2C"/>
    <w:rsid w:val="00AA105E"/>
    <w:rsid w:val="00AA159D"/>
    <w:rsid w:val="00AA1BAE"/>
    <w:rsid w:val="00AA2DFB"/>
    <w:rsid w:val="00AA4800"/>
    <w:rsid w:val="00AA4DDB"/>
    <w:rsid w:val="00AA4EA1"/>
    <w:rsid w:val="00AA7D0E"/>
    <w:rsid w:val="00AB0EBA"/>
    <w:rsid w:val="00AB1DE3"/>
    <w:rsid w:val="00AB3D40"/>
    <w:rsid w:val="00AB414B"/>
    <w:rsid w:val="00AB57F4"/>
    <w:rsid w:val="00AB656F"/>
    <w:rsid w:val="00AC084B"/>
    <w:rsid w:val="00AC1744"/>
    <w:rsid w:val="00AC1E50"/>
    <w:rsid w:val="00AC1F57"/>
    <w:rsid w:val="00AC2E7B"/>
    <w:rsid w:val="00AC3A72"/>
    <w:rsid w:val="00AC4AF1"/>
    <w:rsid w:val="00AC520A"/>
    <w:rsid w:val="00AD0BBA"/>
    <w:rsid w:val="00AD1030"/>
    <w:rsid w:val="00AD1AF4"/>
    <w:rsid w:val="00AD1DCB"/>
    <w:rsid w:val="00AD3C51"/>
    <w:rsid w:val="00AD5F58"/>
    <w:rsid w:val="00AD5F68"/>
    <w:rsid w:val="00AD6A5E"/>
    <w:rsid w:val="00AE0AED"/>
    <w:rsid w:val="00AE1DD7"/>
    <w:rsid w:val="00AE5E04"/>
    <w:rsid w:val="00AE73E4"/>
    <w:rsid w:val="00AF2432"/>
    <w:rsid w:val="00AF2A60"/>
    <w:rsid w:val="00AF480E"/>
    <w:rsid w:val="00B00B95"/>
    <w:rsid w:val="00B02267"/>
    <w:rsid w:val="00B02346"/>
    <w:rsid w:val="00B0351D"/>
    <w:rsid w:val="00B0451C"/>
    <w:rsid w:val="00B0471A"/>
    <w:rsid w:val="00B04D65"/>
    <w:rsid w:val="00B04F3E"/>
    <w:rsid w:val="00B06593"/>
    <w:rsid w:val="00B06FE7"/>
    <w:rsid w:val="00B07126"/>
    <w:rsid w:val="00B0796E"/>
    <w:rsid w:val="00B07BF8"/>
    <w:rsid w:val="00B10A06"/>
    <w:rsid w:val="00B124FB"/>
    <w:rsid w:val="00B13DA3"/>
    <w:rsid w:val="00B14464"/>
    <w:rsid w:val="00B16D03"/>
    <w:rsid w:val="00B17F53"/>
    <w:rsid w:val="00B205FA"/>
    <w:rsid w:val="00B206CB"/>
    <w:rsid w:val="00B21511"/>
    <w:rsid w:val="00B22BBE"/>
    <w:rsid w:val="00B269A9"/>
    <w:rsid w:val="00B302C8"/>
    <w:rsid w:val="00B31141"/>
    <w:rsid w:val="00B31BBD"/>
    <w:rsid w:val="00B32E43"/>
    <w:rsid w:val="00B33479"/>
    <w:rsid w:val="00B36253"/>
    <w:rsid w:val="00B36883"/>
    <w:rsid w:val="00B377F3"/>
    <w:rsid w:val="00B40BB2"/>
    <w:rsid w:val="00B45A32"/>
    <w:rsid w:val="00B46034"/>
    <w:rsid w:val="00B468C4"/>
    <w:rsid w:val="00B472A9"/>
    <w:rsid w:val="00B50572"/>
    <w:rsid w:val="00B507F2"/>
    <w:rsid w:val="00B52B73"/>
    <w:rsid w:val="00B52D0F"/>
    <w:rsid w:val="00B54F99"/>
    <w:rsid w:val="00B57323"/>
    <w:rsid w:val="00B60322"/>
    <w:rsid w:val="00B610AE"/>
    <w:rsid w:val="00B641F8"/>
    <w:rsid w:val="00B64F4B"/>
    <w:rsid w:val="00B677D8"/>
    <w:rsid w:val="00B72783"/>
    <w:rsid w:val="00B727F6"/>
    <w:rsid w:val="00B74990"/>
    <w:rsid w:val="00B778A6"/>
    <w:rsid w:val="00B823BC"/>
    <w:rsid w:val="00B82A1F"/>
    <w:rsid w:val="00B8384B"/>
    <w:rsid w:val="00B84068"/>
    <w:rsid w:val="00B84BA1"/>
    <w:rsid w:val="00B86855"/>
    <w:rsid w:val="00B91908"/>
    <w:rsid w:val="00B91EE8"/>
    <w:rsid w:val="00B92A7E"/>
    <w:rsid w:val="00B940A6"/>
    <w:rsid w:val="00B94618"/>
    <w:rsid w:val="00B94D43"/>
    <w:rsid w:val="00B96B08"/>
    <w:rsid w:val="00B97A4A"/>
    <w:rsid w:val="00BA1626"/>
    <w:rsid w:val="00BA342C"/>
    <w:rsid w:val="00BB260E"/>
    <w:rsid w:val="00BB28FF"/>
    <w:rsid w:val="00BB4A10"/>
    <w:rsid w:val="00BB4EFC"/>
    <w:rsid w:val="00BB58F8"/>
    <w:rsid w:val="00BC29DD"/>
    <w:rsid w:val="00BC6223"/>
    <w:rsid w:val="00BC7921"/>
    <w:rsid w:val="00BD1DDE"/>
    <w:rsid w:val="00BD1F23"/>
    <w:rsid w:val="00BD3343"/>
    <w:rsid w:val="00BD3845"/>
    <w:rsid w:val="00BD67BE"/>
    <w:rsid w:val="00BD7A1E"/>
    <w:rsid w:val="00BE208A"/>
    <w:rsid w:val="00BE415C"/>
    <w:rsid w:val="00BE67DC"/>
    <w:rsid w:val="00BE6CC5"/>
    <w:rsid w:val="00BE7328"/>
    <w:rsid w:val="00BE7CD3"/>
    <w:rsid w:val="00BF0A9A"/>
    <w:rsid w:val="00BF19B6"/>
    <w:rsid w:val="00BF226B"/>
    <w:rsid w:val="00BF3600"/>
    <w:rsid w:val="00BF4B1F"/>
    <w:rsid w:val="00BF50A9"/>
    <w:rsid w:val="00C02FE0"/>
    <w:rsid w:val="00C0344C"/>
    <w:rsid w:val="00C0353D"/>
    <w:rsid w:val="00C03E65"/>
    <w:rsid w:val="00C05A46"/>
    <w:rsid w:val="00C060D6"/>
    <w:rsid w:val="00C1025F"/>
    <w:rsid w:val="00C12AAC"/>
    <w:rsid w:val="00C140DF"/>
    <w:rsid w:val="00C1698A"/>
    <w:rsid w:val="00C203CB"/>
    <w:rsid w:val="00C227F5"/>
    <w:rsid w:val="00C244AF"/>
    <w:rsid w:val="00C265F4"/>
    <w:rsid w:val="00C26D29"/>
    <w:rsid w:val="00C27A8D"/>
    <w:rsid w:val="00C33735"/>
    <w:rsid w:val="00C33CC3"/>
    <w:rsid w:val="00C34259"/>
    <w:rsid w:val="00C3622F"/>
    <w:rsid w:val="00C41508"/>
    <w:rsid w:val="00C43267"/>
    <w:rsid w:val="00C517E6"/>
    <w:rsid w:val="00C52EC3"/>
    <w:rsid w:val="00C537D1"/>
    <w:rsid w:val="00C53927"/>
    <w:rsid w:val="00C5549D"/>
    <w:rsid w:val="00C56728"/>
    <w:rsid w:val="00C56988"/>
    <w:rsid w:val="00C612CE"/>
    <w:rsid w:val="00C61D3A"/>
    <w:rsid w:val="00C65456"/>
    <w:rsid w:val="00C65717"/>
    <w:rsid w:val="00C662D6"/>
    <w:rsid w:val="00C6680F"/>
    <w:rsid w:val="00C67262"/>
    <w:rsid w:val="00C67D6D"/>
    <w:rsid w:val="00C67F4E"/>
    <w:rsid w:val="00C7057B"/>
    <w:rsid w:val="00C7078A"/>
    <w:rsid w:val="00C70D78"/>
    <w:rsid w:val="00C75CF9"/>
    <w:rsid w:val="00C75E97"/>
    <w:rsid w:val="00C75F0E"/>
    <w:rsid w:val="00C771B7"/>
    <w:rsid w:val="00C77B6F"/>
    <w:rsid w:val="00C77F6B"/>
    <w:rsid w:val="00C8192C"/>
    <w:rsid w:val="00C8211B"/>
    <w:rsid w:val="00C84AC1"/>
    <w:rsid w:val="00C86020"/>
    <w:rsid w:val="00C86B88"/>
    <w:rsid w:val="00C928BA"/>
    <w:rsid w:val="00C92D56"/>
    <w:rsid w:val="00C932DD"/>
    <w:rsid w:val="00C96E3E"/>
    <w:rsid w:val="00CA0886"/>
    <w:rsid w:val="00CA2D1D"/>
    <w:rsid w:val="00CA34A4"/>
    <w:rsid w:val="00CA42A8"/>
    <w:rsid w:val="00CA7A36"/>
    <w:rsid w:val="00CB0069"/>
    <w:rsid w:val="00CB0CB2"/>
    <w:rsid w:val="00CB23A0"/>
    <w:rsid w:val="00CB30B1"/>
    <w:rsid w:val="00CB61DE"/>
    <w:rsid w:val="00CB61EC"/>
    <w:rsid w:val="00CB6784"/>
    <w:rsid w:val="00CC0D19"/>
    <w:rsid w:val="00CC130C"/>
    <w:rsid w:val="00CC22B5"/>
    <w:rsid w:val="00CC5552"/>
    <w:rsid w:val="00CC5707"/>
    <w:rsid w:val="00CC6C42"/>
    <w:rsid w:val="00CC7474"/>
    <w:rsid w:val="00CD21F2"/>
    <w:rsid w:val="00CD37F0"/>
    <w:rsid w:val="00CD5EF1"/>
    <w:rsid w:val="00CE0AE9"/>
    <w:rsid w:val="00CE546E"/>
    <w:rsid w:val="00CE5B6A"/>
    <w:rsid w:val="00CE7555"/>
    <w:rsid w:val="00CF10DE"/>
    <w:rsid w:val="00CF1E97"/>
    <w:rsid w:val="00CF21E9"/>
    <w:rsid w:val="00CF257E"/>
    <w:rsid w:val="00CF3F18"/>
    <w:rsid w:val="00CF4837"/>
    <w:rsid w:val="00CF697A"/>
    <w:rsid w:val="00D05115"/>
    <w:rsid w:val="00D11797"/>
    <w:rsid w:val="00D11FCF"/>
    <w:rsid w:val="00D123F9"/>
    <w:rsid w:val="00D139A5"/>
    <w:rsid w:val="00D14CC8"/>
    <w:rsid w:val="00D200C7"/>
    <w:rsid w:val="00D22CE6"/>
    <w:rsid w:val="00D2436F"/>
    <w:rsid w:val="00D25565"/>
    <w:rsid w:val="00D262FA"/>
    <w:rsid w:val="00D30DD3"/>
    <w:rsid w:val="00D30F27"/>
    <w:rsid w:val="00D32FE5"/>
    <w:rsid w:val="00D34755"/>
    <w:rsid w:val="00D36145"/>
    <w:rsid w:val="00D40D07"/>
    <w:rsid w:val="00D40F1D"/>
    <w:rsid w:val="00D412B7"/>
    <w:rsid w:val="00D43398"/>
    <w:rsid w:val="00D4593F"/>
    <w:rsid w:val="00D507E1"/>
    <w:rsid w:val="00D51D34"/>
    <w:rsid w:val="00D533B5"/>
    <w:rsid w:val="00D56EEE"/>
    <w:rsid w:val="00D57210"/>
    <w:rsid w:val="00D57C17"/>
    <w:rsid w:val="00D60D5E"/>
    <w:rsid w:val="00D61583"/>
    <w:rsid w:val="00D6263C"/>
    <w:rsid w:val="00D659DB"/>
    <w:rsid w:val="00D6648D"/>
    <w:rsid w:val="00D66FB1"/>
    <w:rsid w:val="00D71866"/>
    <w:rsid w:val="00D7186D"/>
    <w:rsid w:val="00D725CF"/>
    <w:rsid w:val="00D72845"/>
    <w:rsid w:val="00D76486"/>
    <w:rsid w:val="00D76D1A"/>
    <w:rsid w:val="00D81B77"/>
    <w:rsid w:val="00D81BCB"/>
    <w:rsid w:val="00D825E6"/>
    <w:rsid w:val="00D82A12"/>
    <w:rsid w:val="00D82D52"/>
    <w:rsid w:val="00D83F32"/>
    <w:rsid w:val="00D8420A"/>
    <w:rsid w:val="00D8618A"/>
    <w:rsid w:val="00D875A2"/>
    <w:rsid w:val="00D90099"/>
    <w:rsid w:val="00D9083E"/>
    <w:rsid w:val="00D912AE"/>
    <w:rsid w:val="00D917CA"/>
    <w:rsid w:val="00D92E4A"/>
    <w:rsid w:val="00D93616"/>
    <w:rsid w:val="00D9423D"/>
    <w:rsid w:val="00D97120"/>
    <w:rsid w:val="00D97660"/>
    <w:rsid w:val="00DA0CBD"/>
    <w:rsid w:val="00DA2CEA"/>
    <w:rsid w:val="00DA36E3"/>
    <w:rsid w:val="00DA377D"/>
    <w:rsid w:val="00DA3F3F"/>
    <w:rsid w:val="00DA4FA6"/>
    <w:rsid w:val="00DA68B3"/>
    <w:rsid w:val="00DA78DC"/>
    <w:rsid w:val="00DB53AF"/>
    <w:rsid w:val="00DB63F2"/>
    <w:rsid w:val="00DB7A46"/>
    <w:rsid w:val="00DC0313"/>
    <w:rsid w:val="00DC0D8A"/>
    <w:rsid w:val="00DC77D9"/>
    <w:rsid w:val="00DD0132"/>
    <w:rsid w:val="00DD0917"/>
    <w:rsid w:val="00DD18F3"/>
    <w:rsid w:val="00DD2031"/>
    <w:rsid w:val="00DD32A8"/>
    <w:rsid w:val="00DD6132"/>
    <w:rsid w:val="00DD727B"/>
    <w:rsid w:val="00DD76AE"/>
    <w:rsid w:val="00DE1E13"/>
    <w:rsid w:val="00DE5C74"/>
    <w:rsid w:val="00DE5CAC"/>
    <w:rsid w:val="00DE64D6"/>
    <w:rsid w:val="00DE7622"/>
    <w:rsid w:val="00DF106C"/>
    <w:rsid w:val="00DF16A2"/>
    <w:rsid w:val="00DF1FDC"/>
    <w:rsid w:val="00DF28A8"/>
    <w:rsid w:val="00DF2FA9"/>
    <w:rsid w:val="00DF3A8B"/>
    <w:rsid w:val="00DF3F70"/>
    <w:rsid w:val="00DF4354"/>
    <w:rsid w:val="00DF7713"/>
    <w:rsid w:val="00E01B2D"/>
    <w:rsid w:val="00E03CBA"/>
    <w:rsid w:val="00E0420A"/>
    <w:rsid w:val="00E04301"/>
    <w:rsid w:val="00E04C2B"/>
    <w:rsid w:val="00E0671A"/>
    <w:rsid w:val="00E06EFA"/>
    <w:rsid w:val="00E134A8"/>
    <w:rsid w:val="00E14E08"/>
    <w:rsid w:val="00E15285"/>
    <w:rsid w:val="00E16264"/>
    <w:rsid w:val="00E24BB4"/>
    <w:rsid w:val="00E260A0"/>
    <w:rsid w:val="00E309F5"/>
    <w:rsid w:val="00E322DB"/>
    <w:rsid w:val="00E32C09"/>
    <w:rsid w:val="00E33575"/>
    <w:rsid w:val="00E33955"/>
    <w:rsid w:val="00E361EE"/>
    <w:rsid w:val="00E367AB"/>
    <w:rsid w:val="00E427AB"/>
    <w:rsid w:val="00E43248"/>
    <w:rsid w:val="00E43793"/>
    <w:rsid w:val="00E4481E"/>
    <w:rsid w:val="00E44917"/>
    <w:rsid w:val="00E475AE"/>
    <w:rsid w:val="00E477E4"/>
    <w:rsid w:val="00E500DD"/>
    <w:rsid w:val="00E524D7"/>
    <w:rsid w:val="00E536E1"/>
    <w:rsid w:val="00E540B2"/>
    <w:rsid w:val="00E54548"/>
    <w:rsid w:val="00E55193"/>
    <w:rsid w:val="00E56FB1"/>
    <w:rsid w:val="00E6154D"/>
    <w:rsid w:val="00E61E10"/>
    <w:rsid w:val="00E63C49"/>
    <w:rsid w:val="00E64FC4"/>
    <w:rsid w:val="00E663E3"/>
    <w:rsid w:val="00E710FA"/>
    <w:rsid w:val="00E722FE"/>
    <w:rsid w:val="00E72461"/>
    <w:rsid w:val="00E760D7"/>
    <w:rsid w:val="00E76933"/>
    <w:rsid w:val="00E80C34"/>
    <w:rsid w:val="00E8115E"/>
    <w:rsid w:val="00E817CD"/>
    <w:rsid w:val="00E84937"/>
    <w:rsid w:val="00E84B0B"/>
    <w:rsid w:val="00E854E0"/>
    <w:rsid w:val="00E868F6"/>
    <w:rsid w:val="00E909A7"/>
    <w:rsid w:val="00E921F1"/>
    <w:rsid w:val="00EA065D"/>
    <w:rsid w:val="00EA085A"/>
    <w:rsid w:val="00EA0924"/>
    <w:rsid w:val="00EA0F4A"/>
    <w:rsid w:val="00EA14B0"/>
    <w:rsid w:val="00EA2A92"/>
    <w:rsid w:val="00EA6513"/>
    <w:rsid w:val="00EA6863"/>
    <w:rsid w:val="00EA69E0"/>
    <w:rsid w:val="00EB28A0"/>
    <w:rsid w:val="00EB3705"/>
    <w:rsid w:val="00EB48B2"/>
    <w:rsid w:val="00EB4B12"/>
    <w:rsid w:val="00EB4F86"/>
    <w:rsid w:val="00EB6324"/>
    <w:rsid w:val="00EC3394"/>
    <w:rsid w:val="00EC4097"/>
    <w:rsid w:val="00EC531A"/>
    <w:rsid w:val="00EC6A90"/>
    <w:rsid w:val="00EC6A93"/>
    <w:rsid w:val="00EC7FAC"/>
    <w:rsid w:val="00ED0E6C"/>
    <w:rsid w:val="00ED2678"/>
    <w:rsid w:val="00ED3B0C"/>
    <w:rsid w:val="00ED3FBD"/>
    <w:rsid w:val="00ED5979"/>
    <w:rsid w:val="00ED6291"/>
    <w:rsid w:val="00ED6F99"/>
    <w:rsid w:val="00EE11B4"/>
    <w:rsid w:val="00EE1D2B"/>
    <w:rsid w:val="00EE25A7"/>
    <w:rsid w:val="00EE2899"/>
    <w:rsid w:val="00EE2CE3"/>
    <w:rsid w:val="00EE3357"/>
    <w:rsid w:val="00EE38D1"/>
    <w:rsid w:val="00EE5150"/>
    <w:rsid w:val="00EE7093"/>
    <w:rsid w:val="00EF1A25"/>
    <w:rsid w:val="00EF1B92"/>
    <w:rsid w:val="00EF7BFF"/>
    <w:rsid w:val="00F0080F"/>
    <w:rsid w:val="00F10CD8"/>
    <w:rsid w:val="00F22DA1"/>
    <w:rsid w:val="00F22EBC"/>
    <w:rsid w:val="00F2351C"/>
    <w:rsid w:val="00F24E98"/>
    <w:rsid w:val="00F25524"/>
    <w:rsid w:val="00F2588F"/>
    <w:rsid w:val="00F2610D"/>
    <w:rsid w:val="00F264E0"/>
    <w:rsid w:val="00F26C5B"/>
    <w:rsid w:val="00F274D0"/>
    <w:rsid w:val="00F3324F"/>
    <w:rsid w:val="00F33A46"/>
    <w:rsid w:val="00F35332"/>
    <w:rsid w:val="00F36597"/>
    <w:rsid w:val="00F37032"/>
    <w:rsid w:val="00F42903"/>
    <w:rsid w:val="00F449FA"/>
    <w:rsid w:val="00F45834"/>
    <w:rsid w:val="00F47869"/>
    <w:rsid w:val="00F50C6D"/>
    <w:rsid w:val="00F51D7D"/>
    <w:rsid w:val="00F52F42"/>
    <w:rsid w:val="00F53135"/>
    <w:rsid w:val="00F53A1E"/>
    <w:rsid w:val="00F53DF3"/>
    <w:rsid w:val="00F54168"/>
    <w:rsid w:val="00F5545E"/>
    <w:rsid w:val="00F55E57"/>
    <w:rsid w:val="00F55FDA"/>
    <w:rsid w:val="00F57014"/>
    <w:rsid w:val="00F60445"/>
    <w:rsid w:val="00F60505"/>
    <w:rsid w:val="00F63FA6"/>
    <w:rsid w:val="00F72A6A"/>
    <w:rsid w:val="00F75A3F"/>
    <w:rsid w:val="00F76943"/>
    <w:rsid w:val="00F76D7F"/>
    <w:rsid w:val="00F77318"/>
    <w:rsid w:val="00F808E2"/>
    <w:rsid w:val="00F80B4A"/>
    <w:rsid w:val="00F83C21"/>
    <w:rsid w:val="00F855C0"/>
    <w:rsid w:val="00F85882"/>
    <w:rsid w:val="00F85B70"/>
    <w:rsid w:val="00F866B5"/>
    <w:rsid w:val="00F903F2"/>
    <w:rsid w:val="00F905E4"/>
    <w:rsid w:val="00F9078F"/>
    <w:rsid w:val="00F908A6"/>
    <w:rsid w:val="00F911FE"/>
    <w:rsid w:val="00F925C7"/>
    <w:rsid w:val="00F94197"/>
    <w:rsid w:val="00F948BC"/>
    <w:rsid w:val="00FA0602"/>
    <w:rsid w:val="00FA0BE4"/>
    <w:rsid w:val="00FA116A"/>
    <w:rsid w:val="00FA3103"/>
    <w:rsid w:val="00FA31AE"/>
    <w:rsid w:val="00FA3410"/>
    <w:rsid w:val="00FA4C63"/>
    <w:rsid w:val="00FA4DB6"/>
    <w:rsid w:val="00FA5AE0"/>
    <w:rsid w:val="00FA610D"/>
    <w:rsid w:val="00FA6D70"/>
    <w:rsid w:val="00FB2957"/>
    <w:rsid w:val="00FB2E3A"/>
    <w:rsid w:val="00FB45E2"/>
    <w:rsid w:val="00FB485D"/>
    <w:rsid w:val="00FB4936"/>
    <w:rsid w:val="00FC0D6B"/>
    <w:rsid w:val="00FC1B0E"/>
    <w:rsid w:val="00FC2706"/>
    <w:rsid w:val="00FC28BF"/>
    <w:rsid w:val="00FC32CA"/>
    <w:rsid w:val="00FC640C"/>
    <w:rsid w:val="00FD0084"/>
    <w:rsid w:val="00FD0CDC"/>
    <w:rsid w:val="00FD2420"/>
    <w:rsid w:val="00FD29B1"/>
    <w:rsid w:val="00FD32AB"/>
    <w:rsid w:val="00FD3921"/>
    <w:rsid w:val="00FD53DD"/>
    <w:rsid w:val="00FD64C2"/>
    <w:rsid w:val="00FE02A9"/>
    <w:rsid w:val="00FE05C9"/>
    <w:rsid w:val="00FE0AE5"/>
    <w:rsid w:val="00FE1A05"/>
    <w:rsid w:val="00FE3CAB"/>
    <w:rsid w:val="00FE57EE"/>
    <w:rsid w:val="00FE6C53"/>
    <w:rsid w:val="00FF189B"/>
    <w:rsid w:val="00FF2D51"/>
    <w:rsid w:val="00FF3695"/>
    <w:rsid w:val="00FF3AE0"/>
    <w:rsid w:val="00FF40E4"/>
    <w:rsid w:val="00FF57D1"/>
    <w:rsid w:val="00FF6C08"/>
    <w:rsid w:val="00FF79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1877AE-BDC8-4BEE-9717-FA7D6AD5B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04D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4D8C"/>
    <w:rPr>
      <w:sz w:val="20"/>
      <w:szCs w:val="20"/>
    </w:rPr>
  </w:style>
  <w:style w:type="paragraph" w:styleId="ListParagraph">
    <w:name w:val="List Paragraph"/>
    <w:aliases w:val="Bullets,Primus H 3"/>
    <w:basedOn w:val="Normal"/>
    <w:link w:val="ListParagraphChar"/>
    <w:uiPriority w:val="34"/>
    <w:qFormat/>
    <w:rsid w:val="00504D8C"/>
    <w:pPr>
      <w:spacing w:after="0" w:line="240" w:lineRule="auto"/>
      <w:ind w:left="720"/>
      <w:contextualSpacing/>
    </w:pPr>
    <w:rPr>
      <w:rFonts w:ascii="Times New Roman" w:eastAsia="Times New Roman" w:hAnsi="Times New Roman" w:cs="Times New Roman"/>
      <w:sz w:val="24"/>
      <w:szCs w:val="24"/>
    </w:rPr>
  </w:style>
  <w:style w:type="character" w:styleId="FootnoteReference">
    <w:name w:val="footnote reference"/>
    <w:aliases w:val="4_GA"/>
    <w:uiPriority w:val="99"/>
    <w:unhideWhenUsed/>
    <w:rsid w:val="00504D8C"/>
    <w:rPr>
      <w:vertAlign w:val="superscript"/>
    </w:rPr>
  </w:style>
  <w:style w:type="table" w:styleId="TableGrid">
    <w:name w:val="Table Grid"/>
    <w:basedOn w:val="TableNormal"/>
    <w:uiPriority w:val="59"/>
    <w:rsid w:val="00504D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504D8C"/>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504D8C"/>
    <w:rPr>
      <w:rFonts w:ascii="Calibri" w:eastAsia="Calibri" w:hAnsi="Calibri" w:cs="Times New Roman"/>
      <w:sz w:val="20"/>
      <w:szCs w:val="20"/>
    </w:rPr>
  </w:style>
  <w:style w:type="character" w:customStyle="1" w:styleId="ListParagraphChar">
    <w:name w:val="List Paragraph Char"/>
    <w:aliases w:val="Bullets Char,Primus H 3 Char"/>
    <w:basedOn w:val="DefaultParagraphFont"/>
    <w:link w:val="ListParagraph"/>
    <w:uiPriority w:val="34"/>
    <w:rsid w:val="00504D8C"/>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2544A"/>
    <w:rPr>
      <w:color w:val="0000FF" w:themeColor="hyperlink"/>
      <w:u w:val="single"/>
    </w:rPr>
  </w:style>
  <w:style w:type="paragraph" w:customStyle="1" w:styleId="H1G">
    <w:name w:val="_ H_1_G"/>
    <w:basedOn w:val="Normal"/>
    <w:next w:val="Normal"/>
    <w:rsid w:val="007B3508"/>
    <w:pPr>
      <w:keepNext/>
      <w:keepLines/>
      <w:tabs>
        <w:tab w:val="right" w:pos="851"/>
      </w:tabs>
      <w:suppressAutoHyphens/>
      <w:bidi w:val="0"/>
      <w:spacing w:before="360" w:after="240" w:line="270" w:lineRule="exact"/>
      <w:ind w:left="1134" w:right="1134" w:hanging="1134"/>
    </w:pPr>
    <w:rPr>
      <w:rFonts w:ascii="Times New Roman" w:eastAsia="Times New Roman" w:hAnsi="Times New Roman" w:cs="Times New Roman"/>
      <w:b/>
      <w:sz w:val="24"/>
      <w:szCs w:val="20"/>
      <w:lang w:val="en-GB"/>
    </w:rPr>
  </w:style>
  <w:style w:type="table" w:customStyle="1" w:styleId="TableGrid1">
    <w:name w:val="Table Grid1"/>
    <w:basedOn w:val="TableNormal"/>
    <w:next w:val="TableGrid"/>
    <w:uiPriority w:val="59"/>
    <w:rsid w:val="00302B9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Normal"/>
    <w:rsid w:val="00FD2420"/>
    <w:pPr>
      <w:suppressAutoHyphens/>
      <w:bidi w:val="0"/>
      <w:spacing w:after="120" w:line="240" w:lineRule="atLeast"/>
      <w:ind w:left="1134" w:right="1134"/>
      <w:jc w:val="both"/>
    </w:pPr>
    <w:rPr>
      <w:rFonts w:ascii="Times New Roman" w:eastAsia="SimSun" w:hAnsi="Times New Roman" w:cs="Times New Roman"/>
      <w:sz w:val="20"/>
      <w:szCs w:val="20"/>
      <w:lang w:val="en-GB" w:eastAsia="zh-CN"/>
    </w:rPr>
  </w:style>
  <w:style w:type="table" w:customStyle="1" w:styleId="TableGrid2">
    <w:name w:val="Table Grid2"/>
    <w:basedOn w:val="TableNormal"/>
    <w:next w:val="TableGrid"/>
    <w:uiPriority w:val="59"/>
    <w:rsid w:val="0092573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A5AE0"/>
    <w:rPr>
      <w:b/>
      <w:bCs/>
    </w:rPr>
  </w:style>
  <w:style w:type="character" w:styleId="Emphasis">
    <w:name w:val="Emphasis"/>
    <w:basedOn w:val="DefaultParagraphFont"/>
    <w:uiPriority w:val="20"/>
    <w:qFormat/>
    <w:rsid w:val="009F09B5"/>
    <w:rPr>
      <w:i/>
      <w:iCs/>
    </w:rPr>
  </w:style>
  <w:style w:type="paragraph" w:styleId="NormalWeb">
    <w:name w:val="Normal (Web)"/>
    <w:basedOn w:val="Normal"/>
    <w:uiPriority w:val="99"/>
    <w:unhideWhenUsed/>
    <w:rsid w:val="00107CC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D2F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F2F"/>
  </w:style>
  <w:style w:type="paragraph" w:styleId="Footer">
    <w:name w:val="footer"/>
    <w:basedOn w:val="Normal"/>
    <w:link w:val="FooterChar"/>
    <w:uiPriority w:val="99"/>
    <w:unhideWhenUsed/>
    <w:rsid w:val="009D2F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F2F"/>
  </w:style>
  <w:style w:type="paragraph" w:styleId="BalloonText">
    <w:name w:val="Balloon Text"/>
    <w:basedOn w:val="Normal"/>
    <w:link w:val="BalloonTextChar"/>
    <w:uiPriority w:val="99"/>
    <w:semiHidden/>
    <w:unhideWhenUsed/>
    <w:rsid w:val="00173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4ED"/>
    <w:rPr>
      <w:rFonts w:ascii="Tahoma" w:hAnsi="Tahoma" w:cs="Tahoma"/>
      <w:sz w:val="16"/>
      <w:szCs w:val="16"/>
    </w:rPr>
  </w:style>
  <w:style w:type="character" w:customStyle="1" w:styleId="st1">
    <w:name w:val="st1"/>
    <w:basedOn w:val="DefaultParagraphFont"/>
    <w:rsid w:val="00C05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063996">
      <w:bodyDiv w:val="1"/>
      <w:marLeft w:val="0"/>
      <w:marRight w:val="0"/>
      <w:marTop w:val="0"/>
      <w:marBottom w:val="0"/>
      <w:divBdr>
        <w:top w:val="none" w:sz="0" w:space="0" w:color="auto"/>
        <w:left w:val="none" w:sz="0" w:space="0" w:color="auto"/>
        <w:bottom w:val="none" w:sz="0" w:space="0" w:color="auto"/>
        <w:right w:val="none" w:sz="0" w:space="0" w:color="auto"/>
      </w:divBdr>
    </w:div>
    <w:div w:id="754058955">
      <w:bodyDiv w:val="1"/>
      <w:marLeft w:val="0"/>
      <w:marRight w:val="0"/>
      <w:marTop w:val="0"/>
      <w:marBottom w:val="0"/>
      <w:divBdr>
        <w:top w:val="none" w:sz="0" w:space="0" w:color="auto"/>
        <w:left w:val="none" w:sz="0" w:space="0" w:color="auto"/>
        <w:bottom w:val="none" w:sz="0" w:space="0" w:color="auto"/>
        <w:right w:val="none" w:sz="0" w:space="0" w:color="auto"/>
      </w:divBdr>
    </w:div>
    <w:div w:id="882062653">
      <w:bodyDiv w:val="1"/>
      <w:marLeft w:val="0"/>
      <w:marRight w:val="0"/>
      <w:marTop w:val="0"/>
      <w:marBottom w:val="0"/>
      <w:divBdr>
        <w:top w:val="none" w:sz="0" w:space="0" w:color="auto"/>
        <w:left w:val="none" w:sz="0" w:space="0" w:color="auto"/>
        <w:bottom w:val="none" w:sz="0" w:space="0" w:color="auto"/>
        <w:right w:val="none" w:sz="0" w:space="0" w:color="auto"/>
      </w:divBdr>
    </w:div>
    <w:div w:id="1131098104">
      <w:bodyDiv w:val="1"/>
      <w:marLeft w:val="0"/>
      <w:marRight w:val="0"/>
      <w:marTop w:val="0"/>
      <w:marBottom w:val="0"/>
      <w:divBdr>
        <w:top w:val="none" w:sz="0" w:space="0" w:color="auto"/>
        <w:left w:val="none" w:sz="0" w:space="0" w:color="auto"/>
        <w:bottom w:val="none" w:sz="0" w:space="0" w:color="auto"/>
        <w:right w:val="none" w:sz="0" w:space="0" w:color="auto"/>
      </w:divBdr>
    </w:div>
    <w:div w:id="1426149518">
      <w:bodyDiv w:val="1"/>
      <w:marLeft w:val="0"/>
      <w:marRight w:val="0"/>
      <w:marTop w:val="0"/>
      <w:marBottom w:val="0"/>
      <w:divBdr>
        <w:top w:val="none" w:sz="0" w:space="0" w:color="auto"/>
        <w:left w:val="none" w:sz="0" w:space="0" w:color="auto"/>
        <w:bottom w:val="none" w:sz="0" w:space="0" w:color="auto"/>
        <w:right w:val="none" w:sz="0" w:space="0" w:color="auto"/>
      </w:divBdr>
    </w:div>
    <w:div w:id="1429429966">
      <w:bodyDiv w:val="1"/>
      <w:marLeft w:val="0"/>
      <w:marRight w:val="0"/>
      <w:marTop w:val="0"/>
      <w:marBottom w:val="0"/>
      <w:divBdr>
        <w:top w:val="none" w:sz="0" w:space="0" w:color="auto"/>
        <w:left w:val="none" w:sz="0" w:space="0" w:color="auto"/>
        <w:bottom w:val="none" w:sz="0" w:space="0" w:color="auto"/>
        <w:right w:val="none" w:sz="0" w:space="0" w:color="auto"/>
      </w:divBdr>
    </w:div>
    <w:div w:id="1725833738">
      <w:bodyDiv w:val="1"/>
      <w:marLeft w:val="0"/>
      <w:marRight w:val="0"/>
      <w:marTop w:val="0"/>
      <w:marBottom w:val="0"/>
      <w:divBdr>
        <w:top w:val="none" w:sz="0" w:space="0" w:color="auto"/>
        <w:left w:val="none" w:sz="0" w:space="0" w:color="auto"/>
        <w:bottom w:val="none" w:sz="0" w:space="0" w:color="auto"/>
        <w:right w:val="none" w:sz="0" w:space="0" w:color="auto"/>
      </w:divBdr>
    </w:div>
    <w:div w:id="181221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ontext.reverso.net/%D8%A7%D9%84%D8%AA%D8%B1%D8%AC%D9%85%D8%A9/%D8%A7%D9%84%D8%A5%D9%86%D8%AC%D9%84%D9%8A%D8%B2%D9%8A%D8%A9-%D8%A7%D9%84%D8%B9%D8%B1%D8%A8%D9%8A%D8%A9/right+of+access" TargetMode="External"/><Relationship Id="rId18" Type="http://schemas.openxmlformats.org/officeDocument/2006/relationships/hyperlink" Target="http://context.reverso.net/translation/english-arabic/to+attain+an+equa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context.reverso.net/translation/english-arabic/published+in+the+Official+Gazette" TargetMode="External"/><Relationship Id="rId7" Type="http://schemas.openxmlformats.org/officeDocument/2006/relationships/endnotes" Target="endnotes.xml"/><Relationship Id="rId12" Type="http://schemas.openxmlformats.org/officeDocument/2006/relationships/hyperlink" Target="http://context.reverso.net/%D8%A7%D9%84%D8%AA%D8%B1%D8%AC%D9%85%D8%A9/%D8%A7%D9%84%D8%A5%D9%86%D8%AC%D9%84%D9%8A%D8%B2%D9%8A%D8%A9-%D8%A7%D9%84%D8%B9%D8%B1%D8%A8%D9%8A%D8%A9/right+of+access" TargetMode="External"/><Relationship Id="rId17" Type="http://schemas.openxmlformats.org/officeDocument/2006/relationships/hyperlink" Target="http://context.reverso.net/translation/english-arabic/Interim+Elections+Act+No.+9+of+2010"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context.reverso.net/translation/english-arabic/meeting%2C+march" TargetMode="External"/><Relationship Id="rId20" Type="http://schemas.openxmlformats.org/officeDocument/2006/relationships/hyperlink" Target="http://context.reverso.net/translation/english-arabic/International+Covenant+on+Civil+and+Political+Rights" TargetMode="Externa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text.reverso.net/translation/english-arabic/judge+and+interested+party" TargetMode="External"/><Relationship Id="rId24" Type="http://schemas.openxmlformats.org/officeDocument/2006/relationships/hyperlink" Target="http://context.reverso.net/translation/english-arabic/by+civilian+courts" TargetMode="External"/><Relationship Id="rId5" Type="http://schemas.openxmlformats.org/officeDocument/2006/relationships/webSettings" Target="webSettings.xml"/><Relationship Id="rId15" Type="http://schemas.openxmlformats.org/officeDocument/2006/relationships/hyperlink" Target="http://context.reverso.net/translation/english-arabic/Public+Gatherings" TargetMode="External"/><Relationship Id="rId23" Type="http://schemas.openxmlformats.org/officeDocument/2006/relationships/hyperlink" Target="http://context.reverso.net/translation/english-arabic/tried" TargetMode="External"/><Relationship Id="rId28" Type="http://schemas.openxmlformats.org/officeDocument/2006/relationships/customXml" Target="../customXml/item2.xml"/><Relationship Id="rId10" Type="http://schemas.openxmlformats.org/officeDocument/2006/relationships/hyperlink" Target="http://context.reverso.net/translation/english-arabic/judge+and+interested+party" TargetMode="External"/><Relationship Id="rId19" Type="http://schemas.openxmlformats.org/officeDocument/2006/relationships/hyperlink" Target="http://context.reverso.net/translation/english-arabic/representation" TargetMode="External"/><Relationship Id="rId4" Type="http://schemas.openxmlformats.org/officeDocument/2006/relationships/settings" Target="settings.xml"/><Relationship Id="rId9" Type="http://schemas.openxmlformats.org/officeDocument/2006/relationships/hyperlink" Target="mailto:mail@nchr.org.jo" TargetMode="External"/><Relationship Id="rId14" Type="http://schemas.openxmlformats.org/officeDocument/2006/relationships/hyperlink" Target="http://context.reverso.net/%D8%A7%D9%84%D8%AA%D8%B1%D8%AC%D9%85%D8%A9/%D8%A7%D9%84%D8%A5%D9%86%D8%AC%D9%84%D9%8A%D8%B2%D9%8A%D8%A9-%D8%A7%D9%84%D8%B9%D8%B1%D8%A8%D9%8A%D8%A9/to+a+lawyer" TargetMode="External"/><Relationship Id="rId22" Type="http://schemas.openxmlformats.org/officeDocument/2006/relationships/hyperlink" Target="http://context.reverso.net/translation/english-arabic/civilians" TargetMode="External"/><Relationship Id="rId27" Type="http://schemas.openxmlformats.org/officeDocument/2006/relationships/theme" Target="theme/theme1.xml"/><Relationship Id="rId30"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9B6015-384F-4B50-90EB-A8BD72FEB0F0}"/>
</file>

<file path=customXml/itemProps2.xml><?xml version="1.0" encoding="utf-8"?>
<ds:datastoreItem xmlns:ds="http://schemas.openxmlformats.org/officeDocument/2006/customXml" ds:itemID="{43EA5A76-8BFA-4322-A2EE-D4E4DDFC525E}"/>
</file>

<file path=customXml/itemProps3.xml><?xml version="1.0" encoding="utf-8"?>
<ds:datastoreItem xmlns:ds="http://schemas.openxmlformats.org/officeDocument/2006/customXml" ds:itemID="{18BFD6F4-7646-464E-8B7E-6CE1E773F4A1}"/>
</file>

<file path=customXml/itemProps4.xml><?xml version="1.0" encoding="utf-8"?>
<ds:datastoreItem xmlns:ds="http://schemas.openxmlformats.org/officeDocument/2006/customXml" ds:itemID="{46E0AEB6-08F8-43C9-AB5D-C2F0642D73FE}"/>
</file>

<file path=docProps/app.xml><?xml version="1.0" encoding="utf-8"?>
<Properties xmlns="http://schemas.openxmlformats.org/officeDocument/2006/extended-properties" xmlns:vt="http://schemas.openxmlformats.org/officeDocument/2006/docPropsVTypes">
  <Template>Normal.dotm</Template>
  <TotalTime>0</TotalTime>
  <Pages>25</Pages>
  <Words>10797</Words>
  <Characters>61546</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Naim Al Hussaini</Company>
  <LinksUpToDate>false</LinksUpToDate>
  <CharactersWithSpaces>72199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Rita Marini</cp:lastModifiedBy>
  <cp:revision>2</cp:revision>
  <dcterms:created xsi:type="dcterms:W3CDTF">2017-10-12T13:58:00Z</dcterms:created>
  <dcterms:modified xsi:type="dcterms:W3CDTF">2017-10-12T13:58:00Z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