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131E5" w14:textId="540E5D28" w:rsidR="00EC0EF7" w:rsidRPr="00201DA2" w:rsidRDefault="00EC0EF7" w:rsidP="003F6730">
      <w:pPr>
        <w:pBdr>
          <w:top w:val="nil"/>
          <w:left w:val="nil"/>
          <w:bottom w:val="nil"/>
          <w:right w:val="nil"/>
          <w:between w:val="nil"/>
        </w:pBdr>
        <w:jc w:val="center"/>
        <w:rPr>
          <w:b/>
          <w:sz w:val="22"/>
          <w:szCs w:val="22"/>
        </w:rPr>
      </w:pPr>
      <w:bookmarkStart w:id="0" w:name="_GoBack"/>
      <w:bookmarkEnd w:id="0"/>
      <w:r w:rsidRPr="00201DA2">
        <w:rPr>
          <w:noProof/>
          <w:sz w:val="22"/>
          <w:szCs w:val="22"/>
        </w:rPr>
        <w:drawing>
          <wp:inline distT="0" distB="0" distL="0" distR="0" wp14:anchorId="4618AEDB" wp14:editId="3BF8F3E8">
            <wp:extent cx="914400" cy="9144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914400" cy="914400"/>
                    </a:xfrm>
                    <a:prstGeom prst="rect">
                      <a:avLst/>
                    </a:prstGeom>
                  </pic:spPr>
                </pic:pic>
              </a:graphicData>
            </a:graphic>
          </wp:inline>
        </w:drawing>
      </w:r>
    </w:p>
    <w:p w14:paraId="1B6A97D0" w14:textId="77777777" w:rsidR="00EC0EF7" w:rsidRPr="00201DA2" w:rsidRDefault="00EC0EF7" w:rsidP="003F6730">
      <w:pPr>
        <w:pBdr>
          <w:top w:val="nil"/>
          <w:left w:val="nil"/>
          <w:bottom w:val="nil"/>
          <w:right w:val="nil"/>
          <w:between w:val="nil"/>
        </w:pBdr>
        <w:jc w:val="center"/>
        <w:rPr>
          <w:b/>
          <w:sz w:val="22"/>
          <w:szCs w:val="22"/>
        </w:rPr>
      </w:pPr>
    </w:p>
    <w:p w14:paraId="0E24291E" w14:textId="77777777" w:rsidR="00EC0EF7" w:rsidRPr="00201DA2" w:rsidRDefault="00EC0EF7" w:rsidP="003F6730">
      <w:pPr>
        <w:pBdr>
          <w:top w:val="nil"/>
          <w:left w:val="nil"/>
          <w:bottom w:val="nil"/>
          <w:right w:val="nil"/>
          <w:between w:val="nil"/>
        </w:pBdr>
        <w:jc w:val="center"/>
        <w:rPr>
          <w:b/>
          <w:sz w:val="22"/>
          <w:szCs w:val="22"/>
        </w:rPr>
      </w:pPr>
    </w:p>
    <w:p w14:paraId="6147515B" w14:textId="77777777" w:rsidR="00EC0EF7" w:rsidRPr="00201DA2" w:rsidRDefault="00EC0EF7" w:rsidP="003F6730">
      <w:pPr>
        <w:pBdr>
          <w:top w:val="nil"/>
          <w:left w:val="nil"/>
          <w:bottom w:val="nil"/>
          <w:right w:val="nil"/>
          <w:between w:val="nil"/>
        </w:pBdr>
        <w:jc w:val="center"/>
        <w:rPr>
          <w:b/>
          <w:sz w:val="22"/>
          <w:szCs w:val="22"/>
        </w:rPr>
      </w:pPr>
    </w:p>
    <w:p w14:paraId="156A1D25" w14:textId="77777777" w:rsidR="00F92F40" w:rsidRPr="00201DA2" w:rsidRDefault="00F92F40" w:rsidP="003F6730">
      <w:pPr>
        <w:pBdr>
          <w:top w:val="nil"/>
          <w:left w:val="nil"/>
          <w:bottom w:val="nil"/>
          <w:right w:val="nil"/>
          <w:between w:val="nil"/>
        </w:pBdr>
        <w:jc w:val="center"/>
        <w:rPr>
          <w:b/>
          <w:sz w:val="32"/>
          <w:szCs w:val="32"/>
        </w:rPr>
      </w:pPr>
    </w:p>
    <w:p w14:paraId="398F838D" w14:textId="77777777" w:rsidR="00F92F40" w:rsidRPr="00201DA2" w:rsidRDefault="00F92F40" w:rsidP="003F6730">
      <w:pPr>
        <w:pBdr>
          <w:top w:val="nil"/>
          <w:left w:val="nil"/>
          <w:bottom w:val="nil"/>
          <w:right w:val="nil"/>
          <w:between w:val="nil"/>
        </w:pBdr>
        <w:jc w:val="center"/>
        <w:rPr>
          <w:b/>
          <w:sz w:val="32"/>
          <w:szCs w:val="32"/>
        </w:rPr>
      </w:pPr>
    </w:p>
    <w:p w14:paraId="6298924B" w14:textId="77777777" w:rsidR="00F92F40" w:rsidRPr="00201DA2" w:rsidRDefault="00F92F40" w:rsidP="003F6730">
      <w:pPr>
        <w:pBdr>
          <w:top w:val="nil"/>
          <w:left w:val="nil"/>
          <w:bottom w:val="nil"/>
          <w:right w:val="nil"/>
          <w:between w:val="nil"/>
        </w:pBdr>
        <w:jc w:val="center"/>
        <w:rPr>
          <w:b/>
          <w:sz w:val="32"/>
          <w:szCs w:val="32"/>
        </w:rPr>
      </w:pPr>
    </w:p>
    <w:p w14:paraId="0E236A03" w14:textId="77777777" w:rsidR="00F92F40" w:rsidRPr="00201DA2" w:rsidRDefault="00F92F40" w:rsidP="003F6730">
      <w:pPr>
        <w:pBdr>
          <w:top w:val="nil"/>
          <w:left w:val="nil"/>
          <w:bottom w:val="nil"/>
          <w:right w:val="nil"/>
          <w:between w:val="nil"/>
        </w:pBdr>
        <w:jc w:val="center"/>
        <w:rPr>
          <w:b/>
          <w:sz w:val="32"/>
          <w:szCs w:val="32"/>
        </w:rPr>
      </w:pPr>
    </w:p>
    <w:p w14:paraId="3658C2F6" w14:textId="77777777" w:rsidR="00F92F40" w:rsidRPr="00201DA2" w:rsidRDefault="00F92F40" w:rsidP="003F6730">
      <w:pPr>
        <w:pBdr>
          <w:top w:val="nil"/>
          <w:left w:val="nil"/>
          <w:bottom w:val="nil"/>
          <w:right w:val="nil"/>
          <w:between w:val="nil"/>
        </w:pBdr>
        <w:jc w:val="center"/>
        <w:rPr>
          <w:b/>
          <w:sz w:val="32"/>
          <w:szCs w:val="32"/>
        </w:rPr>
      </w:pPr>
    </w:p>
    <w:p w14:paraId="5C258CCB" w14:textId="7FA6A018" w:rsidR="00B24287" w:rsidRPr="00201DA2" w:rsidRDefault="00B24287" w:rsidP="003F6730">
      <w:pPr>
        <w:pBdr>
          <w:top w:val="nil"/>
          <w:left w:val="nil"/>
          <w:bottom w:val="nil"/>
          <w:right w:val="nil"/>
          <w:between w:val="nil"/>
        </w:pBdr>
        <w:jc w:val="center"/>
        <w:rPr>
          <w:b/>
          <w:sz w:val="32"/>
          <w:szCs w:val="32"/>
        </w:rPr>
      </w:pPr>
      <w:r w:rsidRPr="00201DA2">
        <w:rPr>
          <w:b/>
          <w:sz w:val="32"/>
          <w:szCs w:val="32"/>
        </w:rPr>
        <w:t>Human Rights Watch</w:t>
      </w:r>
    </w:p>
    <w:p w14:paraId="70C27ACB" w14:textId="77777777" w:rsidR="00EC0EF7" w:rsidRPr="00201DA2" w:rsidRDefault="00EC0EF7" w:rsidP="003F6730">
      <w:pPr>
        <w:pBdr>
          <w:top w:val="nil"/>
          <w:left w:val="nil"/>
          <w:bottom w:val="nil"/>
          <w:right w:val="nil"/>
          <w:between w:val="nil"/>
        </w:pBdr>
        <w:jc w:val="center"/>
        <w:rPr>
          <w:b/>
          <w:sz w:val="32"/>
          <w:szCs w:val="32"/>
        </w:rPr>
      </w:pPr>
    </w:p>
    <w:p w14:paraId="40508150" w14:textId="6B7DB434" w:rsidR="00EC0EF7" w:rsidRPr="00201DA2" w:rsidRDefault="00B24287" w:rsidP="00EC0EF7">
      <w:pPr>
        <w:pBdr>
          <w:top w:val="nil"/>
          <w:left w:val="nil"/>
          <w:bottom w:val="nil"/>
          <w:right w:val="nil"/>
          <w:between w:val="nil"/>
        </w:pBdr>
        <w:jc w:val="center"/>
        <w:rPr>
          <w:b/>
          <w:sz w:val="32"/>
          <w:szCs w:val="32"/>
        </w:rPr>
      </w:pPr>
      <w:r w:rsidRPr="00201DA2">
        <w:rPr>
          <w:b/>
          <w:sz w:val="32"/>
          <w:szCs w:val="32"/>
        </w:rPr>
        <w:t>List of Issue</w:t>
      </w:r>
      <w:r w:rsidR="00EC0EF7" w:rsidRPr="00201DA2">
        <w:rPr>
          <w:b/>
          <w:sz w:val="32"/>
          <w:szCs w:val="32"/>
        </w:rPr>
        <w:t>s</w:t>
      </w:r>
      <w:r w:rsidRPr="00201DA2">
        <w:rPr>
          <w:b/>
          <w:sz w:val="32"/>
          <w:szCs w:val="32"/>
        </w:rPr>
        <w:t xml:space="preserve"> Submission to the </w:t>
      </w:r>
    </w:p>
    <w:p w14:paraId="4C993F1F" w14:textId="032F154B" w:rsidR="00B24287" w:rsidRPr="00201DA2" w:rsidRDefault="00B24287" w:rsidP="00EC0EF7">
      <w:pPr>
        <w:pBdr>
          <w:top w:val="nil"/>
          <w:left w:val="nil"/>
          <w:bottom w:val="nil"/>
          <w:right w:val="nil"/>
          <w:between w:val="nil"/>
        </w:pBdr>
        <w:jc w:val="center"/>
        <w:rPr>
          <w:b/>
          <w:sz w:val="32"/>
          <w:szCs w:val="32"/>
        </w:rPr>
      </w:pPr>
      <w:r w:rsidRPr="00201DA2">
        <w:rPr>
          <w:b/>
          <w:sz w:val="32"/>
          <w:szCs w:val="32"/>
        </w:rPr>
        <w:t>United Nations Human Rights Committee</w:t>
      </w:r>
    </w:p>
    <w:p w14:paraId="5BD64DA3" w14:textId="7B1DA2EB" w:rsidR="00EC0EF7" w:rsidRPr="00201DA2" w:rsidRDefault="00EC0EF7" w:rsidP="003F6730">
      <w:pPr>
        <w:pBdr>
          <w:top w:val="nil"/>
          <w:left w:val="nil"/>
          <w:bottom w:val="nil"/>
          <w:right w:val="nil"/>
          <w:between w:val="nil"/>
        </w:pBdr>
        <w:jc w:val="center"/>
        <w:rPr>
          <w:b/>
          <w:sz w:val="32"/>
          <w:szCs w:val="32"/>
        </w:rPr>
      </w:pPr>
      <w:r w:rsidRPr="00201DA2">
        <w:rPr>
          <w:b/>
          <w:sz w:val="32"/>
          <w:szCs w:val="32"/>
        </w:rPr>
        <w:t>During its Periodic Review of the United States of America</w:t>
      </w:r>
    </w:p>
    <w:p w14:paraId="6E3F9AA2" w14:textId="77777777" w:rsidR="00EC0EF7" w:rsidRPr="00201DA2" w:rsidRDefault="00EC0EF7" w:rsidP="003F6730">
      <w:pPr>
        <w:pBdr>
          <w:top w:val="nil"/>
          <w:left w:val="nil"/>
          <w:bottom w:val="nil"/>
          <w:right w:val="nil"/>
          <w:between w:val="nil"/>
        </w:pBdr>
        <w:jc w:val="center"/>
        <w:rPr>
          <w:b/>
          <w:sz w:val="32"/>
          <w:szCs w:val="32"/>
        </w:rPr>
      </w:pPr>
    </w:p>
    <w:p w14:paraId="5365E23E" w14:textId="0B38543B" w:rsidR="00B24287" w:rsidRPr="00201DA2" w:rsidRDefault="00B24287" w:rsidP="003F6730">
      <w:pPr>
        <w:pBdr>
          <w:top w:val="nil"/>
          <w:left w:val="nil"/>
          <w:bottom w:val="nil"/>
          <w:right w:val="nil"/>
          <w:between w:val="nil"/>
        </w:pBdr>
        <w:jc w:val="center"/>
        <w:rPr>
          <w:b/>
          <w:sz w:val="22"/>
          <w:szCs w:val="22"/>
        </w:rPr>
      </w:pPr>
      <w:r w:rsidRPr="00201DA2">
        <w:rPr>
          <w:b/>
          <w:sz w:val="32"/>
          <w:szCs w:val="32"/>
        </w:rPr>
        <w:t xml:space="preserve">January </w:t>
      </w:r>
      <w:r w:rsidR="00EC0EF7" w:rsidRPr="00201DA2">
        <w:rPr>
          <w:b/>
          <w:sz w:val="32"/>
          <w:szCs w:val="32"/>
        </w:rPr>
        <w:t>14</w:t>
      </w:r>
      <w:r w:rsidRPr="00201DA2">
        <w:rPr>
          <w:b/>
          <w:sz w:val="32"/>
          <w:szCs w:val="32"/>
        </w:rPr>
        <w:t>, 2019</w:t>
      </w:r>
    </w:p>
    <w:p w14:paraId="793F29AA" w14:textId="072E65DB" w:rsidR="00B24287" w:rsidRPr="00201DA2" w:rsidRDefault="00B24287" w:rsidP="003F6730">
      <w:pPr>
        <w:pBdr>
          <w:top w:val="nil"/>
          <w:left w:val="nil"/>
          <w:bottom w:val="nil"/>
          <w:right w:val="nil"/>
          <w:between w:val="nil"/>
        </w:pBdr>
        <w:jc w:val="center"/>
        <w:rPr>
          <w:b/>
          <w:sz w:val="22"/>
          <w:szCs w:val="22"/>
        </w:rPr>
      </w:pPr>
    </w:p>
    <w:p w14:paraId="1A064938" w14:textId="7E33A7D5" w:rsidR="00B24287" w:rsidRPr="00201DA2" w:rsidRDefault="00B24287" w:rsidP="003F6730">
      <w:pPr>
        <w:pBdr>
          <w:top w:val="nil"/>
          <w:left w:val="nil"/>
          <w:bottom w:val="nil"/>
          <w:right w:val="nil"/>
          <w:between w:val="nil"/>
        </w:pBdr>
        <w:jc w:val="center"/>
        <w:rPr>
          <w:b/>
          <w:sz w:val="22"/>
          <w:szCs w:val="22"/>
        </w:rPr>
      </w:pPr>
    </w:p>
    <w:p w14:paraId="1EBA82F4" w14:textId="743E85C2" w:rsidR="00B24287" w:rsidRPr="00201DA2" w:rsidRDefault="00B24287" w:rsidP="003F6730">
      <w:pPr>
        <w:pBdr>
          <w:top w:val="nil"/>
          <w:left w:val="nil"/>
          <w:bottom w:val="nil"/>
          <w:right w:val="nil"/>
          <w:between w:val="nil"/>
        </w:pBdr>
        <w:jc w:val="center"/>
        <w:rPr>
          <w:b/>
          <w:sz w:val="22"/>
          <w:szCs w:val="22"/>
        </w:rPr>
      </w:pPr>
    </w:p>
    <w:p w14:paraId="713AAE05" w14:textId="7873EA16" w:rsidR="00B24287" w:rsidRPr="00201DA2" w:rsidRDefault="00EC0EF7" w:rsidP="006511EE">
      <w:pPr>
        <w:rPr>
          <w:b/>
          <w:sz w:val="22"/>
          <w:szCs w:val="22"/>
        </w:rPr>
      </w:pPr>
      <w:r w:rsidRPr="00201DA2">
        <w:rPr>
          <w:b/>
          <w:sz w:val="22"/>
          <w:szCs w:val="22"/>
        </w:rPr>
        <w:br w:type="page"/>
      </w:r>
    </w:p>
    <w:p w14:paraId="2C349FDC" w14:textId="2E176AB8" w:rsidR="00F90E7A" w:rsidRPr="00201DA2" w:rsidRDefault="00E015CF" w:rsidP="003F6730">
      <w:pPr>
        <w:pBdr>
          <w:top w:val="nil"/>
          <w:left w:val="nil"/>
          <w:bottom w:val="nil"/>
          <w:right w:val="nil"/>
          <w:between w:val="nil"/>
        </w:pBdr>
        <w:jc w:val="center"/>
        <w:rPr>
          <w:b/>
          <w:color w:val="000000"/>
          <w:sz w:val="22"/>
          <w:szCs w:val="22"/>
        </w:rPr>
      </w:pPr>
      <w:r w:rsidRPr="00201DA2">
        <w:rPr>
          <w:b/>
          <w:sz w:val="22"/>
          <w:szCs w:val="22"/>
        </w:rPr>
        <w:lastRenderedPageBreak/>
        <w:t>Harsh Criminal Sentencing</w:t>
      </w:r>
    </w:p>
    <w:p w14:paraId="0903F1D5" w14:textId="77777777" w:rsidR="000574A9" w:rsidRPr="00201DA2" w:rsidRDefault="000574A9" w:rsidP="003F6730">
      <w:pPr>
        <w:pBdr>
          <w:top w:val="nil"/>
          <w:left w:val="nil"/>
          <w:bottom w:val="nil"/>
          <w:right w:val="nil"/>
          <w:between w:val="nil"/>
        </w:pBdr>
        <w:contextualSpacing/>
        <w:rPr>
          <w:rFonts w:eastAsia="Calibri"/>
          <w:b/>
          <w:color w:val="000000"/>
          <w:sz w:val="22"/>
          <w:szCs w:val="22"/>
        </w:rPr>
      </w:pPr>
    </w:p>
    <w:p w14:paraId="36A2DEF7" w14:textId="77777777" w:rsidR="00EC0EF7" w:rsidRPr="00201DA2" w:rsidRDefault="00EC0EF7" w:rsidP="003F6730">
      <w:pPr>
        <w:pBdr>
          <w:top w:val="nil"/>
          <w:left w:val="nil"/>
          <w:bottom w:val="nil"/>
          <w:right w:val="nil"/>
          <w:between w:val="nil"/>
        </w:pBdr>
        <w:contextualSpacing/>
        <w:rPr>
          <w:rFonts w:eastAsia="Calibri"/>
          <w:b/>
          <w:color w:val="000000"/>
          <w:sz w:val="22"/>
          <w:szCs w:val="22"/>
        </w:rPr>
      </w:pPr>
    </w:p>
    <w:p w14:paraId="7BF9C911" w14:textId="0B0414E9" w:rsidR="00EB3433" w:rsidRPr="00201DA2" w:rsidRDefault="005D1210" w:rsidP="003F6730">
      <w:pPr>
        <w:pBdr>
          <w:top w:val="nil"/>
          <w:left w:val="nil"/>
          <w:bottom w:val="nil"/>
          <w:right w:val="nil"/>
          <w:between w:val="nil"/>
        </w:pBdr>
        <w:contextualSpacing/>
        <w:rPr>
          <w:rFonts w:eastAsia="Calibri"/>
          <w:color w:val="000000"/>
          <w:sz w:val="22"/>
          <w:szCs w:val="22"/>
        </w:rPr>
      </w:pPr>
      <w:r w:rsidRPr="00201DA2">
        <w:rPr>
          <w:rFonts w:eastAsia="Calibri"/>
          <w:b/>
          <w:color w:val="000000"/>
          <w:sz w:val="22"/>
          <w:szCs w:val="22"/>
        </w:rPr>
        <w:t>Summary</w:t>
      </w:r>
    </w:p>
    <w:p w14:paraId="41B7D2ED" w14:textId="4A0AE38F" w:rsidR="005E6886" w:rsidRPr="00201DA2" w:rsidRDefault="007F03B6" w:rsidP="003F6730">
      <w:pPr>
        <w:pBdr>
          <w:top w:val="nil"/>
          <w:left w:val="nil"/>
          <w:bottom w:val="nil"/>
          <w:right w:val="nil"/>
          <w:between w:val="nil"/>
        </w:pBdr>
        <w:contextualSpacing/>
        <w:rPr>
          <w:rFonts w:eastAsia="Calibri"/>
          <w:color w:val="000000"/>
          <w:sz w:val="22"/>
          <w:szCs w:val="22"/>
        </w:rPr>
      </w:pPr>
      <w:r w:rsidRPr="00201DA2">
        <w:rPr>
          <w:rFonts w:eastAsia="Calibri"/>
          <w:color w:val="000000"/>
          <w:sz w:val="22"/>
          <w:szCs w:val="22"/>
        </w:rPr>
        <w:t>In the United States,</w:t>
      </w:r>
      <w:r w:rsidR="005E6886" w:rsidRPr="00201DA2">
        <w:rPr>
          <w:rFonts w:eastAsia="Calibri"/>
          <w:color w:val="000000"/>
          <w:sz w:val="22"/>
          <w:szCs w:val="22"/>
        </w:rPr>
        <w:t xml:space="preserve"> state and federal </w:t>
      </w:r>
      <w:r w:rsidR="00FE4E62" w:rsidRPr="00201DA2">
        <w:rPr>
          <w:rFonts w:eastAsia="Calibri"/>
          <w:color w:val="000000"/>
          <w:sz w:val="22"/>
          <w:szCs w:val="22"/>
        </w:rPr>
        <w:t xml:space="preserve">courts regularly impose </w:t>
      </w:r>
      <w:r w:rsidR="00677F60" w:rsidRPr="00201DA2">
        <w:rPr>
          <w:rFonts w:eastAsia="Calibri"/>
          <w:color w:val="000000"/>
          <w:sz w:val="22"/>
          <w:szCs w:val="22"/>
        </w:rPr>
        <w:t xml:space="preserve">disproportionate </w:t>
      </w:r>
      <w:r w:rsidR="005E6886" w:rsidRPr="00201DA2">
        <w:rPr>
          <w:rFonts w:eastAsia="Calibri"/>
          <w:color w:val="000000"/>
          <w:sz w:val="22"/>
          <w:szCs w:val="22"/>
        </w:rPr>
        <w:t>criminal sentences</w:t>
      </w:r>
      <w:r w:rsidR="00FE4E62" w:rsidRPr="00201DA2">
        <w:rPr>
          <w:rFonts w:eastAsia="Calibri"/>
          <w:color w:val="000000"/>
          <w:sz w:val="22"/>
          <w:szCs w:val="22"/>
        </w:rPr>
        <w:t>, often</w:t>
      </w:r>
      <w:r w:rsidR="005E6886" w:rsidRPr="00201DA2">
        <w:rPr>
          <w:rFonts w:eastAsia="Calibri"/>
          <w:color w:val="000000"/>
          <w:sz w:val="22"/>
          <w:szCs w:val="22"/>
        </w:rPr>
        <w:t xml:space="preserve"> </w:t>
      </w:r>
      <w:r w:rsidRPr="00201DA2">
        <w:rPr>
          <w:rFonts w:eastAsia="Calibri"/>
          <w:color w:val="000000"/>
          <w:sz w:val="22"/>
          <w:szCs w:val="22"/>
        </w:rPr>
        <w:t>in a racially disparate manner</w:t>
      </w:r>
      <w:r w:rsidR="00677F60" w:rsidRPr="00201DA2">
        <w:rPr>
          <w:rFonts w:eastAsia="Calibri"/>
          <w:color w:val="000000"/>
          <w:sz w:val="22"/>
          <w:szCs w:val="22"/>
        </w:rPr>
        <w:t>. This</w:t>
      </w:r>
      <w:r w:rsidR="009A5187" w:rsidRPr="00201DA2">
        <w:rPr>
          <w:rFonts w:eastAsia="Calibri"/>
          <w:color w:val="000000"/>
          <w:sz w:val="22"/>
          <w:szCs w:val="22"/>
        </w:rPr>
        <w:t xml:space="preserve"> </w:t>
      </w:r>
      <w:r w:rsidR="00677F60" w:rsidRPr="00201DA2">
        <w:rPr>
          <w:rFonts w:eastAsia="Calibri"/>
          <w:color w:val="000000"/>
          <w:sz w:val="22"/>
          <w:szCs w:val="22"/>
        </w:rPr>
        <w:t xml:space="preserve">contributes </w:t>
      </w:r>
      <w:r w:rsidR="005E6886" w:rsidRPr="00201DA2">
        <w:rPr>
          <w:rFonts w:eastAsia="Calibri"/>
          <w:color w:val="000000"/>
          <w:sz w:val="22"/>
          <w:szCs w:val="22"/>
        </w:rPr>
        <w:t xml:space="preserve">to the large number of people behind bars in the country. </w:t>
      </w:r>
      <w:r w:rsidRPr="00201DA2">
        <w:rPr>
          <w:rFonts w:eastAsia="Calibri"/>
          <w:color w:val="000000"/>
          <w:sz w:val="22"/>
          <w:szCs w:val="22"/>
        </w:rPr>
        <w:t xml:space="preserve">In 2018, </w:t>
      </w:r>
      <w:r w:rsidR="00377BD0" w:rsidRPr="00201DA2">
        <w:rPr>
          <w:rFonts w:eastAsia="Calibri"/>
          <w:color w:val="000000"/>
          <w:sz w:val="22"/>
          <w:szCs w:val="22"/>
        </w:rPr>
        <w:t xml:space="preserve">people </w:t>
      </w:r>
      <w:r w:rsidR="00F04329" w:rsidRPr="00201DA2">
        <w:rPr>
          <w:rFonts w:eastAsia="Calibri"/>
          <w:color w:val="000000"/>
          <w:sz w:val="22"/>
          <w:szCs w:val="22"/>
        </w:rPr>
        <w:t xml:space="preserve">in </w:t>
      </w:r>
      <w:r w:rsidRPr="00201DA2">
        <w:rPr>
          <w:rFonts w:eastAsia="Calibri"/>
          <w:color w:val="000000"/>
          <w:sz w:val="22"/>
          <w:szCs w:val="22"/>
        </w:rPr>
        <w:t>t</w:t>
      </w:r>
      <w:r w:rsidR="00BC38CC" w:rsidRPr="00201DA2">
        <w:rPr>
          <w:rFonts w:eastAsia="Calibri"/>
          <w:color w:val="000000"/>
          <w:sz w:val="22"/>
          <w:szCs w:val="22"/>
        </w:rPr>
        <w:t xml:space="preserve">he state of Florida </w:t>
      </w:r>
      <w:r w:rsidR="00377BD0" w:rsidRPr="00201DA2">
        <w:rPr>
          <w:rFonts w:eastAsia="Calibri"/>
          <w:color w:val="000000"/>
          <w:sz w:val="22"/>
          <w:szCs w:val="22"/>
        </w:rPr>
        <w:t xml:space="preserve">voted to </w:t>
      </w:r>
      <w:r w:rsidR="00BC38CC" w:rsidRPr="00201DA2">
        <w:rPr>
          <w:rFonts w:eastAsia="Calibri"/>
          <w:color w:val="000000"/>
          <w:sz w:val="22"/>
          <w:szCs w:val="22"/>
        </w:rPr>
        <w:t>end</w:t>
      </w:r>
      <w:r w:rsidR="00377BD0" w:rsidRPr="00201DA2">
        <w:rPr>
          <w:rFonts w:eastAsia="Calibri"/>
          <w:color w:val="000000"/>
          <w:sz w:val="22"/>
          <w:szCs w:val="22"/>
        </w:rPr>
        <w:t xml:space="preserve"> laws banning those with </w:t>
      </w:r>
      <w:r w:rsidR="000802F3" w:rsidRPr="00201DA2">
        <w:rPr>
          <w:rFonts w:eastAsia="Calibri"/>
          <w:color w:val="000000"/>
          <w:sz w:val="22"/>
          <w:szCs w:val="22"/>
        </w:rPr>
        <w:t xml:space="preserve">felony </w:t>
      </w:r>
      <w:r w:rsidR="00377BD0" w:rsidRPr="00201DA2">
        <w:rPr>
          <w:rFonts w:eastAsia="Calibri"/>
          <w:color w:val="000000"/>
          <w:sz w:val="22"/>
          <w:szCs w:val="22"/>
        </w:rPr>
        <w:t xml:space="preserve">convictions from voting </w:t>
      </w:r>
      <w:r w:rsidR="000802F3" w:rsidRPr="00201DA2">
        <w:rPr>
          <w:rFonts w:eastAsia="Calibri"/>
          <w:color w:val="000000"/>
          <w:sz w:val="22"/>
          <w:szCs w:val="22"/>
        </w:rPr>
        <w:t>but questions remain about</w:t>
      </w:r>
      <w:r w:rsidR="00377BD0" w:rsidRPr="00201DA2">
        <w:rPr>
          <w:rFonts w:eastAsia="Calibri"/>
          <w:color w:val="000000"/>
          <w:sz w:val="22"/>
          <w:szCs w:val="22"/>
        </w:rPr>
        <w:t xml:space="preserve"> how to</w:t>
      </w:r>
      <w:r w:rsidR="000802F3" w:rsidRPr="00201DA2">
        <w:rPr>
          <w:rFonts w:eastAsia="Calibri"/>
          <w:color w:val="000000"/>
          <w:sz w:val="22"/>
          <w:szCs w:val="22"/>
        </w:rPr>
        <w:t xml:space="preserve"> effectiv</w:t>
      </w:r>
      <w:r w:rsidR="00377BD0" w:rsidRPr="00201DA2">
        <w:rPr>
          <w:rFonts w:eastAsia="Calibri"/>
          <w:color w:val="000000"/>
          <w:sz w:val="22"/>
          <w:szCs w:val="22"/>
        </w:rPr>
        <w:t>ely</w:t>
      </w:r>
      <w:r w:rsidR="000802F3" w:rsidRPr="00201DA2">
        <w:rPr>
          <w:rFonts w:eastAsia="Calibri"/>
          <w:color w:val="000000"/>
          <w:sz w:val="22"/>
          <w:szCs w:val="22"/>
        </w:rPr>
        <w:t xml:space="preserve"> implement</w:t>
      </w:r>
      <w:r w:rsidR="00377BD0" w:rsidRPr="00201DA2">
        <w:rPr>
          <w:rFonts w:eastAsia="Calibri"/>
          <w:color w:val="000000"/>
          <w:sz w:val="22"/>
          <w:szCs w:val="22"/>
        </w:rPr>
        <w:t xml:space="preserve"> </w:t>
      </w:r>
      <w:r w:rsidR="000802F3" w:rsidRPr="00201DA2">
        <w:rPr>
          <w:rFonts w:eastAsia="Calibri"/>
          <w:color w:val="000000"/>
          <w:sz w:val="22"/>
          <w:szCs w:val="22"/>
        </w:rPr>
        <w:t>t</w:t>
      </w:r>
      <w:r w:rsidRPr="00201DA2">
        <w:rPr>
          <w:rFonts w:eastAsia="Calibri"/>
          <w:color w:val="000000"/>
          <w:sz w:val="22"/>
          <w:szCs w:val="22"/>
        </w:rPr>
        <w:t>h</w:t>
      </w:r>
      <w:r w:rsidR="000802F3" w:rsidRPr="00201DA2">
        <w:rPr>
          <w:rFonts w:eastAsia="Calibri"/>
          <w:color w:val="000000"/>
          <w:sz w:val="22"/>
          <w:szCs w:val="22"/>
        </w:rPr>
        <w:t>e state</w:t>
      </w:r>
      <w:r w:rsidRPr="00201DA2">
        <w:rPr>
          <w:rFonts w:eastAsia="Calibri"/>
          <w:color w:val="000000"/>
          <w:sz w:val="22"/>
          <w:szCs w:val="22"/>
        </w:rPr>
        <w:t>’s</w:t>
      </w:r>
      <w:r w:rsidR="000802F3" w:rsidRPr="00201DA2">
        <w:rPr>
          <w:rFonts w:eastAsia="Calibri"/>
          <w:color w:val="000000"/>
          <w:sz w:val="22"/>
          <w:szCs w:val="22"/>
        </w:rPr>
        <w:t xml:space="preserve"> reforms</w:t>
      </w:r>
      <w:r w:rsidR="00B10F54" w:rsidRPr="00201DA2">
        <w:rPr>
          <w:rFonts w:eastAsia="Calibri"/>
          <w:color w:val="000000"/>
          <w:sz w:val="22"/>
          <w:szCs w:val="22"/>
        </w:rPr>
        <w:t xml:space="preserve">. Thirty-three other </w:t>
      </w:r>
      <w:r w:rsidR="00F34BBF" w:rsidRPr="00201DA2">
        <w:rPr>
          <w:rFonts w:eastAsia="Calibri"/>
          <w:color w:val="000000"/>
          <w:sz w:val="22"/>
          <w:szCs w:val="22"/>
        </w:rPr>
        <w:t xml:space="preserve">states </w:t>
      </w:r>
      <w:r w:rsidR="00B10F54" w:rsidRPr="00201DA2">
        <w:rPr>
          <w:rFonts w:eastAsia="Calibri"/>
          <w:color w:val="000000"/>
          <w:sz w:val="22"/>
          <w:szCs w:val="22"/>
        </w:rPr>
        <w:t>in the United States deny people the right to vote due to their criminal histories</w:t>
      </w:r>
      <w:r w:rsidR="00353723" w:rsidRPr="00201DA2">
        <w:rPr>
          <w:rFonts w:eastAsia="Calibri"/>
          <w:color w:val="000000"/>
          <w:sz w:val="22"/>
          <w:szCs w:val="22"/>
        </w:rPr>
        <w:t>.</w:t>
      </w:r>
      <w:r w:rsidR="00C34E2A" w:rsidRPr="00201DA2">
        <w:rPr>
          <w:rFonts w:eastAsia="Calibri"/>
          <w:color w:val="000000"/>
          <w:sz w:val="22"/>
          <w:szCs w:val="22"/>
        </w:rPr>
        <w:t xml:space="preserve"> </w:t>
      </w:r>
      <w:r w:rsidR="006C30A3" w:rsidRPr="00201DA2">
        <w:rPr>
          <w:rFonts w:eastAsia="Calibri"/>
          <w:color w:val="000000"/>
          <w:sz w:val="22"/>
          <w:szCs w:val="22"/>
        </w:rPr>
        <w:t>Finally,</w:t>
      </w:r>
      <w:r w:rsidR="00353723" w:rsidRPr="00201DA2">
        <w:rPr>
          <w:rFonts w:eastAsia="Calibri"/>
          <w:color w:val="000000"/>
          <w:sz w:val="22"/>
          <w:szCs w:val="22"/>
        </w:rPr>
        <w:t xml:space="preserve"> </w:t>
      </w:r>
      <w:r w:rsidR="006C30A3" w:rsidRPr="00201DA2">
        <w:rPr>
          <w:rFonts w:eastAsia="Calibri"/>
          <w:color w:val="000000"/>
          <w:sz w:val="22"/>
          <w:szCs w:val="22"/>
        </w:rPr>
        <w:t>30 states continue to impose the death penalty</w:t>
      </w:r>
      <w:r w:rsidR="001130FF" w:rsidRPr="00201DA2">
        <w:rPr>
          <w:rFonts w:eastAsia="Calibri"/>
          <w:color w:val="000000"/>
          <w:sz w:val="22"/>
          <w:szCs w:val="22"/>
        </w:rPr>
        <w:t>.</w:t>
      </w:r>
    </w:p>
    <w:p w14:paraId="0FA020AC" w14:textId="77777777" w:rsidR="00EB3433" w:rsidRPr="00201DA2" w:rsidRDefault="00EB3433" w:rsidP="003F6730">
      <w:pPr>
        <w:pBdr>
          <w:top w:val="nil"/>
          <w:left w:val="nil"/>
          <w:bottom w:val="nil"/>
          <w:right w:val="nil"/>
          <w:between w:val="nil"/>
        </w:pBdr>
        <w:ind w:left="1440" w:hanging="720"/>
        <w:rPr>
          <w:rFonts w:eastAsia="Calibri"/>
          <w:color w:val="000000"/>
          <w:sz w:val="22"/>
          <w:szCs w:val="22"/>
        </w:rPr>
      </w:pPr>
    </w:p>
    <w:p w14:paraId="2F8A11B0" w14:textId="3EC1C27B" w:rsidR="000E3D97" w:rsidRPr="00201DA2" w:rsidRDefault="006B5B6C" w:rsidP="003F6730">
      <w:pPr>
        <w:pBdr>
          <w:top w:val="nil"/>
          <w:left w:val="nil"/>
          <w:bottom w:val="nil"/>
          <w:right w:val="nil"/>
          <w:between w:val="nil"/>
        </w:pBdr>
        <w:contextualSpacing/>
        <w:rPr>
          <w:rFonts w:eastAsia="Calibri"/>
          <w:b/>
          <w:color w:val="000000"/>
          <w:sz w:val="22"/>
          <w:szCs w:val="22"/>
          <w:lang w:val="fr-FR"/>
        </w:rPr>
      </w:pPr>
      <w:r w:rsidRPr="00201DA2">
        <w:rPr>
          <w:rFonts w:eastAsia="Calibri"/>
          <w:b/>
          <w:color w:val="000000"/>
          <w:sz w:val="22"/>
          <w:szCs w:val="22"/>
          <w:lang w:val="fr-FR"/>
        </w:rPr>
        <w:t xml:space="preserve">Relevant </w:t>
      </w:r>
      <w:r w:rsidR="00BD5744" w:rsidRPr="00201DA2">
        <w:rPr>
          <w:rFonts w:eastAsia="Calibri"/>
          <w:b/>
          <w:color w:val="000000"/>
          <w:sz w:val="22"/>
          <w:szCs w:val="22"/>
          <w:lang w:val="fr-FR"/>
        </w:rPr>
        <w:t>ICCPR Articles</w:t>
      </w:r>
    </w:p>
    <w:p w14:paraId="610ED5C6" w14:textId="35CBF2F8" w:rsidR="00BD5744" w:rsidRPr="00201DA2" w:rsidRDefault="000E3D97" w:rsidP="003F6730">
      <w:pPr>
        <w:pBdr>
          <w:top w:val="nil"/>
          <w:left w:val="nil"/>
          <w:bottom w:val="nil"/>
          <w:right w:val="nil"/>
          <w:between w:val="nil"/>
        </w:pBdr>
        <w:rPr>
          <w:rFonts w:eastAsia="Calibri"/>
          <w:color w:val="000000"/>
          <w:sz w:val="22"/>
          <w:szCs w:val="22"/>
          <w:lang w:val="fr-FR"/>
        </w:rPr>
      </w:pPr>
      <w:r w:rsidRPr="00201DA2">
        <w:rPr>
          <w:sz w:val="22"/>
          <w:szCs w:val="22"/>
          <w:lang w:val="fr-FR"/>
        </w:rPr>
        <w:t>Ar</w:t>
      </w:r>
      <w:r w:rsidR="006B5B6C" w:rsidRPr="00201DA2">
        <w:rPr>
          <w:sz w:val="22"/>
          <w:szCs w:val="22"/>
          <w:lang w:val="fr-FR"/>
        </w:rPr>
        <w:t>ticles</w:t>
      </w:r>
      <w:r w:rsidRPr="00201DA2">
        <w:rPr>
          <w:sz w:val="22"/>
          <w:szCs w:val="22"/>
          <w:lang w:val="fr-FR"/>
        </w:rPr>
        <w:t xml:space="preserve"> 2, 6, 7,</w:t>
      </w:r>
      <w:r w:rsidR="007759EB" w:rsidRPr="00201DA2">
        <w:rPr>
          <w:sz w:val="22"/>
          <w:szCs w:val="22"/>
          <w:lang w:val="fr-FR"/>
        </w:rPr>
        <w:t xml:space="preserve"> 8,</w:t>
      </w:r>
      <w:r w:rsidRPr="00201DA2">
        <w:rPr>
          <w:sz w:val="22"/>
          <w:szCs w:val="22"/>
          <w:lang w:val="fr-FR"/>
        </w:rPr>
        <w:t xml:space="preserve"> 9, 14 and 26.</w:t>
      </w:r>
    </w:p>
    <w:p w14:paraId="18FB1FD8" w14:textId="77777777" w:rsidR="006B5B6C" w:rsidRPr="00201DA2" w:rsidRDefault="006B5B6C" w:rsidP="003F6730">
      <w:pPr>
        <w:pBdr>
          <w:top w:val="nil"/>
          <w:left w:val="nil"/>
          <w:bottom w:val="nil"/>
          <w:right w:val="nil"/>
          <w:between w:val="nil"/>
        </w:pBdr>
        <w:contextualSpacing/>
        <w:rPr>
          <w:rFonts w:eastAsia="Calibri"/>
          <w:color w:val="000000"/>
          <w:sz w:val="22"/>
          <w:szCs w:val="22"/>
          <w:lang w:val="fr-FR"/>
        </w:rPr>
      </w:pPr>
    </w:p>
    <w:p w14:paraId="7F08732D" w14:textId="75016B33" w:rsidR="00BD5744" w:rsidRPr="00201DA2" w:rsidRDefault="00BD5744" w:rsidP="003F6730">
      <w:pPr>
        <w:pBdr>
          <w:top w:val="nil"/>
          <w:left w:val="nil"/>
          <w:bottom w:val="nil"/>
          <w:right w:val="nil"/>
          <w:between w:val="nil"/>
        </w:pBdr>
        <w:contextualSpacing/>
        <w:rPr>
          <w:rFonts w:eastAsia="Calibri"/>
          <w:b/>
          <w:color w:val="000000"/>
          <w:sz w:val="22"/>
          <w:szCs w:val="22"/>
        </w:rPr>
      </w:pPr>
      <w:r w:rsidRPr="00201DA2">
        <w:rPr>
          <w:rFonts w:eastAsia="Calibri"/>
          <w:b/>
          <w:color w:val="000000"/>
          <w:sz w:val="22"/>
          <w:szCs w:val="22"/>
        </w:rPr>
        <w:t>Prior Recommendations</w:t>
      </w:r>
    </w:p>
    <w:p w14:paraId="7CDB8D8F" w14:textId="3A2BAD8C" w:rsidR="00EA7A93" w:rsidRPr="00201DA2" w:rsidRDefault="00EA7A93" w:rsidP="00EA7A93">
      <w:pPr>
        <w:numPr>
          <w:ilvl w:val="0"/>
          <w:numId w:val="4"/>
        </w:numPr>
        <w:rPr>
          <w:sz w:val="22"/>
          <w:szCs w:val="22"/>
        </w:rPr>
      </w:pPr>
      <w:r w:rsidRPr="00201DA2">
        <w:rPr>
          <w:sz w:val="22"/>
          <w:szCs w:val="22"/>
        </w:rPr>
        <w:t xml:space="preserve">In its 2006 Concluding Observations, the Committee reminded the United States of the desirability of abolishing the death penalty, (para. 29), and expressed concern about the use of solitary confinement, noting that its prolonged use cannot be reconciled with the requirement that the aim of the penitentiary system be reformation and social rehabilitation of prisoners (para. 32). </w:t>
      </w:r>
    </w:p>
    <w:p w14:paraId="0DD2AA14" w14:textId="77777777" w:rsidR="00EA7A93" w:rsidRPr="00201DA2" w:rsidRDefault="00EA7A93" w:rsidP="00EA7A93">
      <w:pPr>
        <w:numPr>
          <w:ilvl w:val="0"/>
          <w:numId w:val="4"/>
        </w:numPr>
        <w:rPr>
          <w:sz w:val="22"/>
          <w:szCs w:val="22"/>
        </w:rPr>
      </w:pPr>
      <w:r w:rsidRPr="00201DA2">
        <w:rPr>
          <w:sz w:val="22"/>
          <w:szCs w:val="22"/>
        </w:rPr>
        <w:t xml:space="preserve">In its 2014 Concluding Observations, the Committee also addressed the death penalty, offering detailed recommendations, including the establishment of a moratorium on the death penalty at the federal level. (para. 8). It also: recommended the United States continue and step up its efforts to robustly address racial disparities in the criminal justice system; reform mandatory minimum sentencing statutes (para. 6); ensure the voting rights of all felons who have fully served their sentences, and improve registration processes (para. 24); and expressed concern again about the US’ use of prolonged solitary confinement, particularly on juveniles and people with mental disabilities (para. 20). </w:t>
      </w:r>
    </w:p>
    <w:p w14:paraId="72D7B072" w14:textId="77777777" w:rsidR="00F90E7A" w:rsidRPr="00201DA2" w:rsidRDefault="00F90E7A" w:rsidP="003F6730">
      <w:pPr>
        <w:pBdr>
          <w:top w:val="nil"/>
          <w:left w:val="nil"/>
          <w:bottom w:val="nil"/>
          <w:right w:val="nil"/>
          <w:between w:val="nil"/>
        </w:pBdr>
        <w:ind w:left="1440" w:hanging="720"/>
        <w:rPr>
          <w:rFonts w:eastAsia="Calibri"/>
          <w:color w:val="000000"/>
          <w:sz w:val="22"/>
          <w:szCs w:val="22"/>
        </w:rPr>
      </w:pPr>
    </w:p>
    <w:p w14:paraId="5798EB17" w14:textId="47EC177A" w:rsidR="00F90E7A" w:rsidRPr="00201DA2" w:rsidRDefault="005D1210" w:rsidP="003F6730">
      <w:pPr>
        <w:pBdr>
          <w:top w:val="nil"/>
          <w:left w:val="nil"/>
          <w:bottom w:val="nil"/>
          <w:right w:val="nil"/>
          <w:between w:val="nil"/>
        </w:pBdr>
        <w:contextualSpacing/>
        <w:rPr>
          <w:rFonts w:eastAsia="Calibri"/>
          <w:color w:val="000000"/>
          <w:sz w:val="22"/>
          <w:szCs w:val="22"/>
        </w:rPr>
      </w:pPr>
      <w:r w:rsidRPr="00201DA2">
        <w:rPr>
          <w:rFonts w:eastAsia="Calibri"/>
          <w:b/>
          <w:sz w:val="22"/>
          <w:szCs w:val="22"/>
        </w:rPr>
        <w:t xml:space="preserve">Current </w:t>
      </w:r>
      <w:r w:rsidRPr="00201DA2">
        <w:rPr>
          <w:rFonts w:eastAsia="Calibri"/>
          <w:b/>
          <w:color w:val="000000"/>
          <w:sz w:val="22"/>
          <w:szCs w:val="22"/>
        </w:rPr>
        <w:t>US Government Policy or Practi</w:t>
      </w:r>
      <w:r w:rsidR="006C30A3" w:rsidRPr="00201DA2">
        <w:rPr>
          <w:rFonts w:eastAsia="Calibri"/>
          <w:b/>
          <w:color w:val="000000"/>
          <w:sz w:val="22"/>
          <w:szCs w:val="22"/>
        </w:rPr>
        <w:t>c</w:t>
      </w:r>
      <w:r w:rsidRPr="00201DA2">
        <w:rPr>
          <w:rFonts w:eastAsia="Calibri"/>
          <w:b/>
          <w:color w:val="000000"/>
          <w:sz w:val="22"/>
          <w:szCs w:val="22"/>
        </w:rPr>
        <w:t xml:space="preserve">e </w:t>
      </w:r>
    </w:p>
    <w:p w14:paraId="155DDA82" w14:textId="5F099CAD" w:rsidR="005E6886" w:rsidRPr="00201DA2" w:rsidRDefault="005E6886" w:rsidP="003F6730">
      <w:pPr>
        <w:rPr>
          <w:color w:val="000000"/>
          <w:sz w:val="22"/>
          <w:szCs w:val="22"/>
        </w:rPr>
      </w:pPr>
      <w:r w:rsidRPr="00201DA2">
        <w:rPr>
          <w:color w:val="000000"/>
          <w:sz w:val="22"/>
          <w:szCs w:val="22"/>
        </w:rPr>
        <w:t>State and federal jails and prisons</w:t>
      </w:r>
      <w:r w:rsidR="00F95A1B" w:rsidRPr="00201DA2">
        <w:rPr>
          <w:color w:val="000000"/>
          <w:sz w:val="22"/>
          <w:szCs w:val="22"/>
        </w:rPr>
        <w:t xml:space="preserve"> continue to hold</w:t>
      </w:r>
      <w:r w:rsidR="00F95A1B" w:rsidRPr="00201DA2">
        <w:rPr>
          <w:rStyle w:val="CommentReference"/>
          <w:rFonts w:eastAsia="SimSun"/>
          <w:sz w:val="22"/>
          <w:szCs w:val="22"/>
          <w:lang w:eastAsia="zh-CN"/>
        </w:rPr>
        <w:t xml:space="preserve"> </w:t>
      </w:r>
      <w:r w:rsidR="00F95A1B" w:rsidRPr="00201DA2">
        <w:rPr>
          <w:color w:val="000000"/>
          <w:sz w:val="22"/>
          <w:szCs w:val="22"/>
        </w:rPr>
        <w:t>ove</w:t>
      </w:r>
      <w:r w:rsidRPr="00201DA2">
        <w:rPr>
          <w:color w:val="000000"/>
          <w:sz w:val="22"/>
          <w:szCs w:val="22"/>
        </w:rPr>
        <w:t>r 2 million people, with another 4.5 million on probation or parole.</w:t>
      </w:r>
      <w:r w:rsidR="00275025" w:rsidRPr="00201DA2">
        <w:rPr>
          <w:rStyle w:val="FootnoteReference"/>
          <w:color w:val="000000"/>
          <w:sz w:val="22"/>
          <w:szCs w:val="22"/>
        </w:rPr>
        <w:footnoteReference w:id="1"/>
      </w:r>
      <w:r w:rsidRPr="00201DA2">
        <w:rPr>
          <w:color w:val="000000"/>
          <w:sz w:val="22"/>
          <w:szCs w:val="22"/>
        </w:rPr>
        <w:t xml:space="preserve"> Women are the</w:t>
      </w:r>
      <w:r w:rsidR="00F95A1B" w:rsidRPr="00201DA2">
        <w:rPr>
          <w:color w:val="000000"/>
          <w:sz w:val="22"/>
          <w:szCs w:val="22"/>
        </w:rPr>
        <w:t xml:space="preserve"> fastest growing </w:t>
      </w:r>
      <w:r w:rsidRPr="00201DA2">
        <w:rPr>
          <w:color w:val="000000"/>
          <w:sz w:val="22"/>
          <w:szCs w:val="22"/>
        </w:rPr>
        <w:t>correctional population nationwide, increasing by more than 700 percent between 1980 and 2016.</w:t>
      </w:r>
      <w:r w:rsidR="00275025" w:rsidRPr="00201DA2">
        <w:rPr>
          <w:rStyle w:val="FootnoteReference"/>
          <w:color w:val="000000"/>
          <w:sz w:val="22"/>
          <w:szCs w:val="22"/>
        </w:rPr>
        <w:footnoteReference w:id="2"/>
      </w:r>
      <w:r w:rsidRPr="00201DA2">
        <w:rPr>
          <w:color w:val="000000"/>
          <w:sz w:val="22"/>
          <w:szCs w:val="22"/>
        </w:rPr>
        <w:t xml:space="preserve"> Oklahoma incarcerates more women per capita than any other US state.</w:t>
      </w:r>
      <w:r w:rsidR="0023510B" w:rsidRPr="00201DA2">
        <w:rPr>
          <w:rStyle w:val="FootnoteReference"/>
          <w:color w:val="000000"/>
          <w:sz w:val="22"/>
          <w:szCs w:val="22"/>
        </w:rPr>
        <w:footnoteReference w:id="3"/>
      </w:r>
      <w:r w:rsidRPr="00201DA2">
        <w:rPr>
          <w:color w:val="000000"/>
          <w:sz w:val="22"/>
          <w:szCs w:val="22"/>
        </w:rPr>
        <w:t xml:space="preserve"> In September, Human Rights Watch</w:t>
      </w:r>
      <w:r w:rsidR="00F95A1B" w:rsidRPr="00201DA2">
        <w:rPr>
          <w:color w:val="000000"/>
          <w:sz w:val="22"/>
          <w:szCs w:val="22"/>
        </w:rPr>
        <w:t xml:space="preserve"> documented </w:t>
      </w:r>
      <w:r w:rsidRPr="00201DA2">
        <w:rPr>
          <w:color w:val="000000"/>
          <w:sz w:val="22"/>
          <w:szCs w:val="22"/>
        </w:rPr>
        <w:t>the lasting harm of jailing mothers pretrial, many of whom simply cannot afford bail, in that state.</w:t>
      </w:r>
      <w:r w:rsidR="006E0AF9" w:rsidRPr="00201DA2">
        <w:rPr>
          <w:rStyle w:val="FootnoteReference"/>
          <w:color w:val="000000"/>
          <w:sz w:val="22"/>
          <w:szCs w:val="22"/>
        </w:rPr>
        <w:footnoteReference w:id="4"/>
      </w:r>
      <w:r w:rsidRPr="00201DA2">
        <w:rPr>
          <w:color w:val="000000"/>
          <w:sz w:val="22"/>
          <w:szCs w:val="22"/>
        </w:rPr>
        <w:t xml:space="preserve"> </w:t>
      </w:r>
      <w:bookmarkStart w:id="1" w:name="_Hlk534804015"/>
      <w:r w:rsidR="007759EB" w:rsidRPr="00201DA2">
        <w:rPr>
          <w:color w:val="000000"/>
          <w:sz w:val="22"/>
          <w:szCs w:val="22"/>
        </w:rPr>
        <w:t xml:space="preserve">Many states </w:t>
      </w:r>
      <w:r w:rsidR="00410827" w:rsidRPr="00201DA2">
        <w:rPr>
          <w:color w:val="000000"/>
          <w:sz w:val="22"/>
          <w:szCs w:val="22"/>
        </w:rPr>
        <w:t>force prisoners to work</w:t>
      </w:r>
      <w:r w:rsidR="007759EB" w:rsidRPr="00201DA2">
        <w:rPr>
          <w:color w:val="000000"/>
          <w:sz w:val="22"/>
          <w:szCs w:val="22"/>
        </w:rPr>
        <w:t xml:space="preserve"> for minimal wages, sometimes less than a dollar a day</w:t>
      </w:r>
      <w:r w:rsidR="00BE2EB8" w:rsidRPr="00201DA2">
        <w:rPr>
          <w:color w:val="000000"/>
          <w:sz w:val="22"/>
          <w:szCs w:val="22"/>
        </w:rPr>
        <w:t>,</w:t>
      </w:r>
      <w:r w:rsidR="00AC70D4" w:rsidRPr="00201DA2">
        <w:rPr>
          <w:color w:val="000000"/>
          <w:sz w:val="22"/>
          <w:szCs w:val="22"/>
        </w:rPr>
        <w:t xml:space="preserve"> </w:t>
      </w:r>
      <w:r w:rsidR="00BE2EB8" w:rsidRPr="00201DA2">
        <w:rPr>
          <w:color w:val="000000"/>
          <w:sz w:val="22"/>
          <w:szCs w:val="22"/>
        </w:rPr>
        <w:t xml:space="preserve">and often </w:t>
      </w:r>
      <w:r w:rsidR="007759EB" w:rsidRPr="00201DA2">
        <w:rPr>
          <w:color w:val="000000"/>
          <w:sz w:val="22"/>
          <w:szCs w:val="22"/>
        </w:rPr>
        <w:t>doing jobs that do not help prisoners obtain marketable skills upon release</w:t>
      </w:r>
      <w:r w:rsidR="00F75437" w:rsidRPr="00201DA2">
        <w:rPr>
          <w:color w:val="000000"/>
          <w:sz w:val="22"/>
          <w:szCs w:val="22"/>
        </w:rPr>
        <w:t>.</w:t>
      </w:r>
      <w:r w:rsidR="00F75437" w:rsidRPr="00201DA2">
        <w:rPr>
          <w:rStyle w:val="FootnoteReference"/>
          <w:color w:val="000000"/>
          <w:sz w:val="22"/>
          <w:szCs w:val="22"/>
        </w:rPr>
        <w:footnoteReference w:id="5"/>
      </w:r>
    </w:p>
    <w:bookmarkEnd w:id="1"/>
    <w:p w14:paraId="4C945730" w14:textId="77777777" w:rsidR="005E6886" w:rsidRPr="00201DA2" w:rsidRDefault="005E6886" w:rsidP="003F6730">
      <w:pPr>
        <w:rPr>
          <w:color w:val="000000"/>
          <w:sz w:val="22"/>
          <w:szCs w:val="22"/>
        </w:rPr>
      </w:pPr>
    </w:p>
    <w:p w14:paraId="71E19B7C" w14:textId="0E841797" w:rsidR="005E6886" w:rsidRPr="00201DA2" w:rsidRDefault="00C60763" w:rsidP="003F6730">
      <w:pPr>
        <w:rPr>
          <w:color w:val="000000"/>
          <w:sz w:val="22"/>
          <w:szCs w:val="22"/>
        </w:rPr>
      </w:pPr>
      <w:r w:rsidRPr="00201DA2">
        <w:rPr>
          <w:color w:val="000000"/>
          <w:sz w:val="22"/>
          <w:szCs w:val="22"/>
        </w:rPr>
        <w:t xml:space="preserve">In the United States, </w:t>
      </w:r>
      <w:r w:rsidR="00F43AFB" w:rsidRPr="00201DA2">
        <w:rPr>
          <w:color w:val="000000"/>
          <w:sz w:val="22"/>
          <w:szCs w:val="22"/>
        </w:rPr>
        <w:t xml:space="preserve">people </w:t>
      </w:r>
      <w:r w:rsidRPr="00201DA2">
        <w:rPr>
          <w:color w:val="000000"/>
          <w:sz w:val="22"/>
          <w:szCs w:val="22"/>
        </w:rPr>
        <w:t xml:space="preserve">often receive life sentences or their equivalent for a range of violent crimes; as well as for property and drug-related offenses. </w:t>
      </w:r>
      <w:r w:rsidR="00F95A1B" w:rsidRPr="00201DA2">
        <w:rPr>
          <w:color w:val="000000"/>
          <w:sz w:val="22"/>
          <w:szCs w:val="22"/>
        </w:rPr>
        <w:t xml:space="preserve">In 2017 then </w:t>
      </w:r>
      <w:r w:rsidR="005E6886" w:rsidRPr="00201DA2">
        <w:rPr>
          <w:color w:val="000000"/>
          <w:sz w:val="22"/>
          <w:szCs w:val="22"/>
        </w:rPr>
        <w:t>US Attorney General Jeff Sessions rescinded</w:t>
      </w:r>
      <w:r w:rsidR="00F95A1B" w:rsidRPr="00201DA2">
        <w:rPr>
          <w:color w:val="000000"/>
          <w:sz w:val="22"/>
          <w:szCs w:val="22"/>
        </w:rPr>
        <w:t xml:space="preserve"> policies</w:t>
      </w:r>
      <w:r w:rsidR="005E6886" w:rsidRPr="00201DA2">
        <w:rPr>
          <w:color w:val="000000"/>
          <w:sz w:val="22"/>
          <w:szCs w:val="22"/>
        </w:rPr>
        <w:t xml:space="preserve"> instructing prosecutors to avoid charging crimes that would trigger </w:t>
      </w:r>
      <w:r w:rsidRPr="00201DA2">
        <w:rPr>
          <w:color w:val="000000"/>
          <w:sz w:val="22"/>
          <w:szCs w:val="22"/>
        </w:rPr>
        <w:t xml:space="preserve">disproportionately </w:t>
      </w:r>
      <w:r w:rsidR="005E6886" w:rsidRPr="00201DA2">
        <w:rPr>
          <w:color w:val="000000"/>
          <w:sz w:val="22"/>
          <w:szCs w:val="22"/>
        </w:rPr>
        <w:lastRenderedPageBreak/>
        <w:t>long mandatory minimum sentences and were aimed at curtailing racial disparities in sentencing.</w:t>
      </w:r>
      <w:r w:rsidR="006540F7" w:rsidRPr="00201DA2">
        <w:rPr>
          <w:rStyle w:val="FootnoteReference"/>
          <w:color w:val="000000"/>
          <w:sz w:val="22"/>
          <w:szCs w:val="22"/>
        </w:rPr>
        <w:footnoteReference w:id="6"/>
      </w:r>
      <w:r w:rsidR="005E6886" w:rsidRPr="00201DA2">
        <w:rPr>
          <w:color w:val="000000"/>
          <w:sz w:val="22"/>
          <w:szCs w:val="22"/>
        </w:rPr>
        <w:t xml:space="preserve"> </w:t>
      </w:r>
      <w:r w:rsidR="00F95A1B" w:rsidRPr="00201DA2">
        <w:rPr>
          <w:color w:val="000000"/>
          <w:sz w:val="22"/>
          <w:szCs w:val="22"/>
        </w:rPr>
        <w:t xml:space="preserve">In 2018, </w:t>
      </w:r>
      <w:r w:rsidR="005E6886" w:rsidRPr="00201DA2">
        <w:rPr>
          <w:color w:val="000000"/>
          <w:sz w:val="22"/>
          <w:szCs w:val="22"/>
        </w:rPr>
        <w:t>Sessions also</w:t>
      </w:r>
      <w:r w:rsidR="00F95A1B" w:rsidRPr="00201DA2">
        <w:rPr>
          <w:color w:val="000000"/>
          <w:sz w:val="22"/>
          <w:szCs w:val="22"/>
        </w:rPr>
        <w:t xml:space="preserve"> rescinded </w:t>
      </w:r>
      <w:r w:rsidR="005E6886" w:rsidRPr="00201DA2">
        <w:rPr>
          <w:color w:val="000000"/>
          <w:sz w:val="22"/>
          <w:szCs w:val="22"/>
        </w:rPr>
        <w:t>a Justice Department policy giving federal prosecutors discretion to not prosecute marijuana offenses in jurisdictions where marijuana has been decriminalized.</w:t>
      </w:r>
      <w:r w:rsidR="00D80A24" w:rsidRPr="00201DA2">
        <w:rPr>
          <w:rStyle w:val="FootnoteReference"/>
          <w:color w:val="000000"/>
          <w:sz w:val="22"/>
          <w:szCs w:val="22"/>
        </w:rPr>
        <w:footnoteReference w:id="7"/>
      </w:r>
      <w:r w:rsidR="005E6886" w:rsidRPr="00201DA2">
        <w:rPr>
          <w:color w:val="000000"/>
          <w:sz w:val="22"/>
          <w:szCs w:val="22"/>
        </w:rPr>
        <w:t xml:space="preserve"> </w:t>
      </w:r>
    </w:p>
    <w:p w14:paraId="7716D616" w14:textId="77777777" w:rsidR="005E6886" w:rsidRPr="00201DA2" w:rsidRDefault="005E6886" w:rsidP="003F6730">
      <w:pPr>
        <w:rPr>
          <w:color w:val="000000"/>
          <w:sz w:val="22"/>
          <w:szCs w:val="22"/>
        </w:rPr>
      </w:pPr>
    </w:p>
    <w:p w14:paraId="421FF584" w14:textId="3F3AA90C" w:rsidR="005E6886" w:rsidRPr="00201DA2" w:rsidRDefault="005E6886" w:rsidP="003F6730">
      <w:pPr>
        <w:rPr>
          <w:color w:val="000000"/>
          <w:sz w:val="22"/>
          <w:szCs w:val="22"/>
        </w:rPr>
      </w:pPr>
      <w:r w:rsidRPr="00201DA2">
        <w:rPr>
          <w:color w:val="000000"/>
          <w:sz w:val="22"/>
          <w:szCs w:val="22"/>
        </w:rPr>
        <w:t>Millions of people</w:t>
      </w:r>
      <w:r w:rsidR="00AE1280" w:rsidRPr="00201DA2">
        <w:rPr>
          <w:color w:val="000000"/>
          <w:sz w:val="22"/>
          <w:szCs w:val="22"/>
        </w:rPr>
        <w:t xml:space="preserve"> still cannot vote</w:t>
      </w:r>
      <w:r w:rsidRPr="00201DA2">
        <w:rPr>
          <w:color w:val="000000"/>
          <w:sz w:val="22"/>
          <w:szCs w:val="22"/>
        </w:rPr>
        <w:t xml:space="preserve"> due to felony disenfranchisement laws</w:t>
      </w:r>
      <w:r w:rsidR="0056739C" w:rsidRPr="00201DA2">
        <w:rPr>
          <w:color w:val="000000"/>
          <w:sz w:val="22"/>
          <w:szCs w:val="22"/>
        </w:rPr>
        <w:t xml:space="preserve">, though in a positive step, </w:t>
      </w:r>
      <w:r w:rsidRPr="00201DA2">
        <w:rPr>
          <w:color w:val="000000"/>
          <w:sz w:val="22"/>
          <w:szCs w:val="22"/>
        </w:rPr>
        <w:t xml:space="preserve">Florida voters </w:t>
      </w:r>
      <w:r w:rsidR="0056739C" w:rsidRPr="00201DA2">
        <w:rPr>
          <w:color w:val="000000"/>
          <w:sz w:val="22"/>
          <w:szCs w:val="22"/>
        </w:rPr>
        <w:t xml:space="preserve">recently </w:t>
      </w:r>
      <w:r w:rsidRPr="00201DA2">
        <w:rPr>
          <w:color w:val="000000"/>
          <w:sz w:val="22"/>
          <w:szCs w:val="22"/>
        </w:rPr>
        <w:t>approved a ballot initiative restor</w:t>
      </w:r>
      <w:r w:rsidR="0056739C" w:rsidRPr="00201DA2">
        <w:rPr>
          <w:color w:val="000000"/>
          <w:sz w:val="22"/>
          <w:szCs w:val="22"/>
        </w:rPr>
        <w:t xml:space="preserve">ing </w:t>
      </w:r>
      <w:r w:rsidRPr="00201DA2">
        <w:rPr>
          <w:color w:val="000000"/>
          <w:sz w:val="22"/>
          <w:szCs w:val="22"/>
        </w:rPr>
        <w:t>the right to vote for 1.4 million residents with felony convictions.</w:t>
      </w:r>
      <w:r w:rsidR="00F95A1B" w:rsidRPr="00201DA2">
        <w:rPr>
          <w:rStyle w:val="FootnoteReference"/>
          <w:color w:val="000000"/>
          <w:sz w:val="22"/>
          <w:szCs w:val="22"/>
        </w:rPr>
        <w:footnoteReference w:id="8"/>
      </w:r>
      <w:r w:rsidRPr="00201DA2">
        <w:rPr>
          <w:color w:val="000000"/>
          <w:sz w:val="22"/>
          <w:szCs w:val="22"/>
        </w:rPr>
        <w:t xml:space="preserve"> The initiative was</w:t>
      </w:r>
      <w:r w:rsidR="00AE1280" w:rsidRPr="00201DA2">
        <w:rPr>
          <w:color w:val="000000"/>
          <w:sz w:val="22"/>
          <w:szCs w:val="22"/>
        </w:rPr>
        <w:t xml:space="preserve"> one of several </w:t>
      </w:r>
      <w:r w:rsidRPr="00201DA2">
        <w:rPr>
          <w:color w:val="000000"/>
          <w:sz w:val="22"/>
          <w:szCs w:val="22"/>
        </w:rPr>
        <w:t>that states passed that advanced criminal</w:t>
      </w:r>
      <w:r w:rsidR="00C25A0D" w:rsidRPr="00201DA2">
        <w:rPr>
          <w:color w:val="000000"/>
          <w:sz w:val="22"/>
          <w:szCs w:val="22"/>
        </w:rPr>
        <w:t xml:space="preserve"> legal</w:t>
      </w:r>
      <w:r w:rsidRPr="00201DA2">
        <w:rPr>
          <w:color w:val="000000"/>
          <w:sz w:val="22"/>
          <w:szCs w:val="22"/>
        </w:rPr>
        <w:t xml:space="preserve"> </w:t>
      </w:r>
      <w:r w:rsidR="00284292" w:rsidRPr="00201DA2">
        <w:rPr>
          <w:color w:val="000000"/>
          <w:sz w:val="22"/>
          <w:szCs w:val="22"/>
        </w:rPr>
        <w:t xml:space="preserve">system </w:t>
      </w:r>
      <w:r w:rsidRPr="00201DA2">
        <w:rPr>
          <w:color w:val="000000"/>
          <w:sz w:val="22"/>
          <w:szCs w:val="22"/>
        </w:rPr>
        <w:t>reform.</w:t>
      </w:r>
      <w:r w:rsidR="00AE1280" w:rsidRPr="00201DA2">
        <w:rPr>
          <w:rStyle w:val="FootnoteReference"/>
          <w:color w:val="000000"/>
          <w:sz w:val="22"/>
          <w:szCs w:val="22"/>
        </w:rPr>
        <w:footnoteReference w:id="9"/>
      </w:r>
      <w:r w:rsidRPr="00201DA2">
        <w:rPr>
          <w:color w:val="000000"/>
          <w:sz w:val="22"/>
          <w:szCs w:val="22"/>
        </w:rPr>
        <w:t xml:space="preserve">  </w:t>
      </w:r>
    </w:p>
    <w:p w14:paraId="5F1A959A" w14:textId="77777777" w:rsidR="005E6886" w:rsidRPr="00201DA2" w:rsidRDefault="005E6886" w:rsidP="003F6730">
      <w:pPr>
        <w:rPr>
          <w:color w:val="000000"/>
          <w:sz w:val="22"/>
          <w:szCs w:val="22"/>
        </w:rPr>
      </w:pPr>
    </w:p>
    <w:p w14:paraId="008749CD" w14:textId="0E4089AA" w:rsidR="00F90E7A" w:rsidRPr="00201DA2" w:rsidRDefault="00BB3214" w:rsidP="003F6730">
      <w:pPr>
        <w:pBdr>
          <w:top w:val="nil"/>
          <w:left w:val="nil"/>
          <w:bottom w:val="nil"/>
          <w:right w:val="nil"/>
          <w:between w:val="nil"/>
        </w:pBdr>
        <w:rPr>
          <w:rFonts w:eastAsia="Calibri"/>
          <w:color w:val="000000"/>
          <w:sz w:val="22"/>
          <w:szCs w:val="22"/>
        </w:rPr>
      </w:pPr>
      <w:r w:rsidRPr="00201DA2">
        <w:rPr>
          <w:color w:val="000000"/>
          <w:sz w:val="22"/>
          <w:szCs w:val="22"/>
        </w:rPr>
        <w:t xml:space="preserve">The laws of </w:t>
      </w:r>
      <w:r w:rsidR="005E6886" w:rsidRPr="00201DA2">
        <w:rPr>
          <w:color w:val="000000"/>
          <w:sz w:val="22"/>
          <w:szCs w:val="22"/>
        </w:rPr>
        <w:t>30 states</w:t>
      </w:r>
      <w:r w:rsidRPr="00201DA2">
        <w:rPr>
          <w:color w:val="000000"/>
          <w:sz w:val="22"/>
          <w:szCs w:val="22"/>
        </w:rPr>
        <w:t xml:space="preserve"> still allow for the death penalty</w:t>
      </w:r>
      <w:r w:rsidR="005E6886" w:rsidRPr="00201DA2">
        <w:rPr>
          <w:color w:val="000000"/>
          <w:sz w:val="22"/>
          <w:szCs w:val="22"/>
        </w:rPr>
        <w:t xml:space="preserve">. </w:t>
      </w:r>
      <w:r w:rsidR="007F2A3A" w:rsidRPr="00201DA2">
        <w:rPr>
          <w:color w:val="000000"/>
          <w:sz w:val="22"/>
          <w:szCs w:val="22"/>
        </w:rPr>
        <w:t>In 2018 alone, 25</w:t>
      </w:r>
      <w:r w:rsidR="005E6886" w:rsidRPr="00201DA2">
        <w:rPr>
          <w:color w:val="000000"/>
          <w:sz w:val="22"/>
          <w:szCs w:val="22"/>
        </w:rPr>
        <w:t xml:space="preserve"> people in </w:t>
      </w:r>
      <w:r w:rsidR="00731A41" w:rsidRPr="00201DA2">
        <w:rPr>
          <w:color w:val="000000"/>
          <w:sz w:val="22"/>
          <w:szCs w:val="22"/>
        </w:rPr>
        <w:t xml:space="preserve">eight </w:t>
      </w:r>
      <w:r w:rsidR="005E6886" w:rsidRPr="00201DA2">
        <w:rPr>
          <w:color w:val="000000"/>
          <w:sz w:val="22"/>
          <w:szCs w:val="22"/>
        </w:rPr>
        <w:t xml:space="preserve">states </w:t>
      </w:r>
      <w:r w:rsidRPr="00201DA2">
        <w:rPr>
          <w:color w:val="000000"/>
          <w:sz w:val="22"/>
          <w:szCs w:val="22"/>
        </w:rPr>
        <w:t xml:space="preserve">were </w:t>
      </w:r>
      <w:r w:rsidR="007F2A3A" w:rsidRPr="00201DA2">
        <w:rPr>
          <w:color w:val="000000"/>
          <w:sz w:val="22"/>
          <w:szCs w:val="22"/>
        </w:rPr>
        <w:t>executed</w:t>
      </w:r>
      <w:r w:rsidR="005E6886" w:rsidRPr="00201DA2">
        <w:rPr>
          <w:color w:val="000000"/>
          <w:sz w:val="22"/>
          <w:szCs w:val="22"/>
        </w:rPr>
        <w:t>, all in the south and mid-west of the country.</w:t>
      </w:r>
      <w:r w:rsidR="007F2A3A" w:rsidRPr="00201DA2">
        <w:rPr>
          <w:rStyle w:val="FootnoteReference"/>
          <w:color w:val="000000"/>
          <w:sz w:val="22"/>
          <w:szCs w:val="22"/>
        </w:rPr>
        <w:footnoteReference w:id="10"/>
      </w:r>
      <w:r w:rsidR="005E6886" w:rsidRPr="00201DA2">
        <w:rPr>
          <w:color w:val="000000"/>
          <w:sz w:val="22"/>
          <w:szCs w:val="22"/>
        </w:rPr>
        <w:t xml:space="preserve"> </w:t>
      </w:r>
      <w:r w:rsidR="00731A41" w:rsidRPr="00201DA2">
        <w:rPr>
          <w:color w:val="000000"/>
          <w:sz w:val="22"/>
          <w:szCs w:val="22"/>
        </w:rPr>
        <w:t xml:space="preserve">US President Donald </w:t>
      </w:r>
      <w:r w:rsidR="005E6886" w:rsidRPr="00201DA2">
        <w:rPr>
          <w:color w:val="000000"/>
          <w:sz w:val="22"/>
          <w:szCs w:val="22"/>
        </w:rPr>
        <w:t>Trump and</w:t>
      </w:r>
      <w:r w:rsidR="00A015AE" w:rsidRPr="00201DA2">
        <w:rPr>
          <w:color w:val="000000"/>
          <w:sz w:val="22"/>
          <w:szCs w:val="22"/>
        </w:rPr>
        <w:t xml:space="preserve"> former US Attorney General Jeff Sessions</w:t>
      </w:r>
      <w:r w:rsidR="005E6886" w:rsidRPr="00201DA2">
        <w:rPr>
          <w:color w:val="000000"/>
          <w:sz w:val="22"/>
          <w:szCs w:val="22"/>
        </w:rPr>
        <w:t xml:space="preserve"> have</w:t>
      </w:r>
      <w:r w:rsidR="00731A41" w:rsidRPr="00201DA2">
        <w:rPr>
          <w:color w:val="000000"/>
          <w:sz w:val="22"/>
          <w:szCs w:val="22"/>
        </w:rPr>
        <w:t xml:space="preserve"> called</w:t>
      </w:r>
      <w:r w:rsidR="005E6886" w:rsidRPr="00201DA2">
        <w:rPr>
          <w:color w:val="000000"/>
          <w:sz w:val="22"/>
          <w:szCs w:val="22"/>
        </w:rPr>
        <w:t xml:space="preserve"> for the death penalty for drug sellers.</w:t>
      </w:r>
      <w:r w:rsidR="00731A41" w:rsidRPr="00201DA2">
        <w:rPr>
          <w:rStyle w:val="FootnoteReference"/>
          <w:color w:val="000000"/>
          <w:sz w:val="22"/>
          <w:szCs w:val="22"/>
        </w:rPr>
        <w:footnoteReference w:id="11"/>
      </w:r>
    </w:p>
    <w:p w14:paraId="6126F644" w14:textId="77777777" w:rsidR="00F90E7A" w:rsidRPr="00201DA2" w:rsidRDefault="00F90E7A" w:rsidP="003F6730">
      <w:pPr>
        <w:pBdr>
          <w:top w:val="nil"/>
          <w:left w:val="nil"/>
          <w:bottom w:val="nil"/>
          <w:right w:val="nil"/>
          <w:between w:val="nil"/>
        </w:pBdr>
        <w:ind w:left="1440" w:hanging="720"/>
        <w:rPr>
          <w:rFonts w:eastAsia="Calibri"/>
          <w:color w:val="000000"/>
          <w:sz w:val="22"/>
          <w:szCs w:val="22"/>
        </w:rPr>
      </w:pPr>
    </w:p>
    <w:p w14:paraId="2EC282C5" w14:textId="013DC1C7" w:rsidR="00F90E7A" w:rsidRPr="00201DA2" w:rsidRDefault="005D1210" w:rsidP="003F6730">
      <w:pPr>
        <w:pBdr>
          <w:top w:val="nil"/>
          <w:left w:val="nil"/>
          <w:bottom w:val="nil"/>
          <w:right w:val="nil"/>
          <w:between w:val="nil"/>
        </w:pBdr>
        <w:contextualSpacing/>
        <w:rPr>
          <w:rFonts w:eastAsia="Calibri"/>
          <w:color w:val="000000"/>
          <w:sz w:val="22"/>
          <w:szCs w:val="22"/>
        </w:rPr>
      </w:pPr>
      <w:r w:rsidRPr="00201DA2">
        <w:rPr>
          <w:rFonts w:eastAsia="Calibri"/>
          <w:b/>
          <w:color w:val="000000"/>
          <w:sz w:val="22"/>
          <w:szCs w:val="22"/>
        </w:rPr>
        <w:t>Human Rights Committee General Comments</w:t>
      </w:r>
      <w:r w:rsidR="001130FF" w:rsidRPr="00201DA2">
        <w:rPr>
          <w:rFonts w:eastAsia="Calibri"/>
          <w:b/>
          <w:color w:val="000000"/>
          <w:sz w:val="22"/>
          <w:szCs w:val="22"/>
        </w:rPr>
        <w:t xml:space="preserve"> and Related UN Body Recommendations</w:t>
      </w:r>
    </w:p>
    <w:p w14:paraId="7ACD37F8" w14:textId="3D870F45" w:rsidR="001130FF" w:rsidRPr="00201DA2" w:rsidRDefault="001130FF" w:rsidP="003F6730">
      <w:pPr>
        <w:pBdr>
          <w:top w:val="nil"/>
          <w:left w:val="nil"/>
          <w:bottom w:val="nil"/>
          <w:right w:val="nil"/>
          <w:between w:val="nil"/>
        </w:pBdr>
        <w:rPr>
          <w:rFonts w:eastAsia="Calibri"/>
          <w:color w:val="000000"/>
          <w:sz w:val="22"/>
          <w:szCs w:val="22"/>
        </w:rPr>
      </w:pPr>
      <w:r w:rsidRPr="00201DA2">
        <w:rPr>
          <w:rFonts w:eastAsia="Calibri"/>
          <w:color w:val="000000"/>
          <w:sz w:val="22"/>
          <w:szCs w:val="22"/>
        </w:rPr>
        <w:t>The Human Rights Committee has stated that state actions t</w:t>
      </w:r>
      <w:r w:rsidR="00BB3214" w:rsidRPr="00201DA2">
        <w:rPr>
          <w:rFonts w:eastAsia="Calibri"/>
          <w:color w:val="000000"/>
          <w:sz w:val="22"/>
          <w:szCs w:val="22"/>
        </w:rPr>
        <w:t>hat</w:t>
      </w:r>
      <w:r w:rsidRPr="00201DA2">
        <w:rPr>
          <w:rFonts w:eastAsia="Calibri"/>
          <w:color w:val="000000"/>
          <w:sz w:val="22"/>
          <w:szCs w:val="22"/>
        </w:rPr>
        <w:t xml:space="preserve"> restrict rights “must demonstrate their necessity and only take such measures as are proportionate to the</w:t>
      </w:r>
      <w:r w:rsidR="00645F8B" w:rsidRPr="00201DA2">
        <w:rPr>
          <w:rFonts w:eastAsia="Calibri"/>
          <w:color w:val="000000"/>
          <w:sz w:val="22"/>
          <w:szCs w:val="22"/>
        </w:rPr>
        <w:t xml:space="preserve"> </w:t>
      </w:r>
      <w:r w:rsidRPr="00201DA2">
        <w:rPr>
          <w:rFonts w:eastAsia="Calibri"/>
          <w:color w:val="000000"/>
          <w:sz w:val="22"/>
          <w:szCs w:val="22"/>
        </w:rPr>
        <w:t>pursuance of legitimate aims in order to ensure continuous and effective protection of Covenant</w:t>
      </w:r>
      <w:r w:rsidR="00645F8B" w:rsidRPr="00201DA2">
        <w:rPr>
          <w:rFonts w:eastAsia="Calibri"/>
          <w:color w:val="000000"/>
          <w:sz w:val="22"/>
          <w:szCs w:val="22"/>
        </w:rPr>
        <w:t xml:space="preserve"> </w:t>
      </w:r>
      <w:r w:rsidRPr="00201DA2">
        <w:rPr>
          <w:rFonts w:eastAsia="Calibri"/>
          <w:color w:val="000000"/>
          <w:sz w:val="22"/>
          <w:szCs w:val="22"/>
        </w:rPr>
        <w:t>rights.”</w:t>
      </w:r>
      <w:r w:rsidR="00C60763" w:rsidRPr="00201DA2">
        <w:rPr>
          <w:rStyle w:val="FootnoteReference"/>
          <w:rFonts w:eastAsia="Calibri"/>
          <w:color w:val="000000"/>
          <w:sz w:val="22"/>
          <w:szCs w:val="22"/>
        </w:rPr>
        <w:footnoteReference w:id="12"/>
      </w:r>
      <w:r w:rsidRPr="00201DA2">
        <w:rPr>
          <w:rFonts w:eastAsia="Calibri"/>
          <w:color w:val="000000"/>
          <w:sz w:val="22"/>
          <w:szCs w:val="22"/>
        </w:rPr>
        <w:t xml:space="preserve"> “</w:t>
      </w:r>
      <w:r w:rsidR="00BD37ED" w:rsidRPr="00201DA2">
        <w:rPr>
          <w:rFonts w:eastAsia="Calibri"/>
          <w:color w:val="000000"/>
          <w:sz w:val="22"/>
          <w:szCs w:val="22"/>
        </w:rPr>
        <w:t>R</w:t>
      </w:r>
      <w:r w:rsidRPr="00201DA2">
        <w:rPr>
          <w:rFonts w:eastAsia="Calibri"/>
          <w:color w:val="000000"/>
          <w:sz w:val="22"/>
          <w:szCs w:val="22"/>
        </w:rPr>
        <w:t>estrictive measures must conform to the principle of proportionality</w:t>
      </w:r>
      <w:r w:rsidR="00BD37ED" w:rsidRPr="00201DA2">
        <w:rPr>
          <w:rFonts w:eastAsia="Calibri"/>
          <w:color w:val="000000"/>
          <w:sz w:val="22"/>
          <w:szCs w:val="22"/>
        </w:rPr>
        <w:t xml:space="preserve"> —</w:t>
      </w:r>
      <w:r w:rsidRPr="00201DA2">
        <w:rPr>
          <w:rFonts w:eastAsia="Calibri"/>
          <w:color w:val="000000"/>
          <w:sz w:val="22"/>
          <w:szCs w:val="22"/>
        </w:rPr>
        <w:t>”</w:t>
      </w:r>
      <w:r w:rsidR="00C60763" w:rsidRPr="00201DA2">
        <w:rPr>
          <w:rStyle w:val="FootnoteReference"/>
          <w:rFonts w:eastAsia="Calibri"/>
          <w:color w:val="000000"/>
          <w:sz w:val="22"/>
          <w:szCs w:val="22"/>
        </w:rPr>
        <w:footnoteReference w:id="13"/>
      </w:r>
      <w:r w:rsidRPr="00201DA2">
        <w:rPr>
          <w:rFonts w:eastAsia="Calibri"/>
          <w:color w:val="000000"/>
          <w:sz w:val="22"/>
          <w:szCs w:val="22"/>
        </w:rPr>
        <w:t xml:space="preserve"> </w:t>
      </w:r>
      <w:r w:rsidR="00BD37ED" w:rsidRPr="00201DA2">
        <w:rPr>
          <w:rFonts w:eastAsia="Calibri"/>
          <w:color w:val="000000"/>
          <w:sz w:val="22"/>
          <w:szCs w:val="22"/>
        </w:rPr>
        <w:t xml:space="preserve">a </w:t>
      </w:r>
      <w:r w:rsidRPr="00201DA2">
        <w:rPr>
          <w:rFonts w:eastAsia="Calibri"/>
          <w:color w:val="000000"/>
          <w:sz w:val="22"/>
          <w:szCs w:val="22"/>
        </w:rPr>
        <w:t>principle reflected in Inter-American Court of Human Rights</w:t>
      </w:r>
      <w:r w:rsidR="00AE1812" w:rsidRPr="00201DA2">
        <w:rPr>
          <w:rFonts w:eastAsia="Calibri"/>
          <w:color w:val="000000"/>
          <w:sz w:val="22"/>
          <w:szCs w:val="22"/>
        </w:rPr>
        <w:t xml:space="preserve"> jurisprudence</w:t>
      </w:r>
      <w:r w:rsidR="00C60763" w:rsidRPr="00201DA2">
        <w:rPr>
          <w:rStyle w:val="FootnoteReference"/>
          <w:rFonts w:eastAsia="Calibri"/>
          <w:color w:val="000000"/>
          <w:sz w:val="22"/>
          <w:szCs w:val="22"/>
        </w:rPr>
        <w:footnoteReference w:id="14"/>
      </w:r>
      <w:r w:rsidRPr="00201DA2">
        <w:rPr>
          <w:rFonts w:eastAsia="Calibri"/>
          <w:color w:val="000000"/>
          <w:sz w:val="22"/>
          <w:szCs w:val="22"/>
        </w:rPr>
        <w:t xml:space="preserve"> </w:t>
      </w:r>
      <w:r w:rsidR="00AE1812" w:rsidRPr="00201DA2">
        <w:rPr>
          <w:rFonts w:eastAsia="Calibri"/>
          <w:color w:val="000000"/>
          <w:sz w:val="22"/>
          <w:szCs w:val="22"/>
        </w:rPr>
        <w:t xml:space="preserve">and emphasized by </w:t>
      </w:r>
      <w:r w:rsidRPr="00201DA2">
        <w:rPr>
          <w:rFonts w:eastAsia="Calibri"/>
          <w:color w:val="000000"/>
          <w:sz w:val="22"/>
          <w:szCs w:val="22"/>
        </w:rPr>
        <w:t>the UN Working Group on Arbitrary Detention</w:t>
      </w:r>
      <w:r w:rsidR="00AE1812" w:rsidRPr="00201DA2">
        <w:rPr>
          <w:rFonts w:eastAsia="Calibri"/>
          <w:color w:val="000000"/>
          <w:sz w:val="22"/>
          <w:szCs w:val="22"/>
        </w:rPr>
        <w:t>.</w:t>
      </w:r>
      <w:r w:rsidR="00C60763" w:rsidRPr="00201DA2">
        <w:rPr>
          <w:rStyle w:val="FootnoteReference"/>
          <w:rFonts w:eastAsia="Calibri"/>
          <w:color w:val="000000"/>
          <w:sz w:val="22"/>
          <w:szCs w:val="22"/>
        </w:rPr>
        <w:footnoteReference w:id="15"/>
      </w:r>
      <w:r w:rsidR="00BD37ED" w:rsidRPr="00201DA2">
        <w:rPr>
          <w:rFonts w:eastAsia="Calibri"/>
          <w:color w:val="000000"/>
          <w:sz w:val="22"/>
          <w:szCs w:val="22"/>
        </w:rPr>
        <w:t xml:space="preserve"> </w:t>
      </w:r>
      <w:r w:rsidR="001E1EDD" w:rsidRPr="00201DA2">
        <w:rPr>
          <w:rFonts w:eastAsia="Calibri"/>
          <w:color w:val="000000"/>
          <w:sz w:val="22"/>
          <w:szCs w:val="22"/>
        </w:rPr>
        <w:t>To the extent possible, p</w:t>
      </w:r>
      <w:r w:rsidR="00BD37ED" w:rsidRPr="00201DA2">
        <w:rPr>
          <w:rFonts w:eastAsia="Calibri"/>
          <w:color w:val="000000"/>
          <w:sz w:val="22"/>
          <w:szCs w:val="22"/>
        </w:rPr>
        <w:t>rison labor should help prisoners prepare for a return to society</w:t>
      </w:r>
      <w:r w:rsidR="00233B83" w:rsidRPr="00201DA2">
        <w:rPr>
          <w:rFonts w:eastAsia="Calibri"/>
          <w:color w:val="000000"/>
          <w:sz w:val="22"/>
          <w:szCs w:val="22"/>
        </w:rPr>
        <w:t xml:space="preserve"> and</w:t>
      </w:r>
      <w:r w:rsidR="001E1EDD" w:rsidRPr="00201DA2">
        <w:rPr>
          <w:rFonts w:eastAsia="Calibri"/>
          <w:color w:val="000000"/>
          <w:sz w:val="22"/>
          <w:szCs w:val="22"/>
        </w:rPr>
        <w:t xml:space="preserve"> should </w:t>
      </w:r>
      <w:r w:rsidR="00BD37ED" w:rsidRPr="00201DA2">
        <w:rPr>
          <w:rFonts w:eastAsia="Calibri"/>
          <w:color w:val="000000"/>
          <w:sz w:val="22"/>
          <w:szCs w:val="22"/>
        </w:rPr>
        <w:t xml:space="preserve">never </w:t>
      </w:r>
      <w:r w:rsidR="001E1EDD" w:rsidRPr="00201DA2">
        <w:rPr>
          <w:rFonts w:eastAsia="Calibri"/>
          <w:color w:val="000000"/>
          <w:sz w:val="22"/>
          <w:szCs w:val="22"/>
        </w:rPr>
        <w:t>seek to cause suffering</w:t>
      </w:r>
      <w:r w:rsidR="00BD37ED" w:rsidRPr="00201DA2">
        <w:rPr>
          <w:rFonts w:eastAsia="Calibri"/>
          <w:color w:val="000000"/>
          <w:sz w:val="22"/>
          <w:szCs w:val="22"/>
        </w:rPr>
        <w:t>.</w:t>
      </w:r>
      <w:r w:rsidR="00BD37ED" w:rsidRPr="00201DA2">
        <w:rPr>
          <w:rStyle w:val="FootnoteReference"/>
          <w:rFonts w:eastAsia="Calibri"/>
          <w:color w:val="000000"/>
          <w:sz w:val="22"/>
          <w:szCs w:val="22"/>
        </w:rPr>
        <w:footnoteReference w:id="16"/>
      </w:r>
    </w:p>
    <w:p w14:paraId="6E696B24" w14:textId="77777777" w:rsidR="001130FF" w:rsidRPr="00201DA2" w:rsidRDefault="001130FF" w:rsidP="003F6730">
      <w:pPr>
        <w:pBdr>
          <w:top w:val="nil"/>
          <w:left w:val="nil"/>
          <w:bottom w:val="nil"/>
          <w:right w:val="nil"/>
          <w:between w:val="nil"/>
        </w:pBdr>
        <w:rPr>
          <w:rFonts w:eastAsia="Calibri"/>
          <w:color w:val="000000"/>
          <w:sz w:val="22"/>
          <w:szCs w:val="22"/>
        </w:rPr>
      </w:pPr>
    </w:p>
    <w:p w14:paraId="1F82AFB4" w14:textId="5388F92F" w:rsidR="001130FF" w:rsidRPr="00201DA2" w:rsidRDefault="00421C1C" w:rsidP="003F6730">
      <w:pPr>
        <w:pBdr>
          <w:top w:val="nil"/>
          <w:left w:val="nil"/>
          <w:bottom w:val="nil"/>
          <w:right w:val="nil"/>
          <w:between w:val="nil"/>
        </w:pBdr>
        <w:rPr>
          <w:rFonts w:eastAsia="Calibri"/>
          <w:color w:val="000000"/>
          <w:sz w:val="22"/>
          <w:szCs w:val="22"/>
        </w:rPr>
      </w:pPr>
      <w:r w:rsidRPr="00201DA2">
        <w:rPr>
          <w:rFonts w:eastAsia="Calibri"/>
          <w:color w:val="000000"/>
          <w:sz w:val="22"/>
          <w:szCs w:val="22"/>
        </w:rPr>
        <w:t>“</w:t>
      </w:r>
      <w:r w:rsidR="00BD37ED" w:rsidRPr="00201DA2">
        <w:rPr>
          <w:rFonts w:eastAsia="Calibri"/>
          <w:color w:val="000000"/>
          <w:sz w:val="22"/>
          <w:szCs w:val="22"/>
        </w:rPr>
        <w:t>T</w:t>
      </w:r>
      <w:r w:rsidR="001130FF" w:rsidRPr="00201DA2">
        <w:rPr>
          <w:rFonts w:eastAsia="Calibri"/>
          <w:color w:val="000000"/>
          <w:sz w:val="22"/>
          <w:szCs w:val="22"/>
        </w:rPr>
        <w:t>he criminal justice system should provide a wide range of noncustodial measures, from pre-trial to post-sentencing dispositions. The number and types of noncustodial measures available should be determined in such a way so that consistent sentencing remains possible</w:t>
      </w:r>
      <w:r w:rsidR="00C60763" w:rsidRPr="00201DA2">
        <w:rPr>
          <w:rFonts w:eastAsia="Calibri"/>
          <w:color w:val="000000"/>
          <w:sz w:val="22"/>
          <w:szCs w:val="22"/>
        </w:rPr>
        <w:t>.</w:t>
      </w:r>
      <w:r w:rsidR="001130FF" w:rsidRPr="00201DA2">
        <w:rPr>
          <w:rFonts w:eastAsia="Calibri"/>
          <w:color w:val="000000"/>
          <w:sz w:val="22"/>
          <w:szCs w:val="22"/>
        </w:rPr>
        <w:t>”</w:t>
      </w:r>
      <w:r w:rsidR="00647269" w:rsidRPr="00201DA2">
        <w:rPr>
          <w:rStyle w:val="FootnoteReference"/>
          <w:rFonts w:eastAsia="Calibri"/>
          <w:color w:val="000000"/>
          <w:sz w:val="22"/>
          <w:szCs w:val="22"/>
        </w:rPr>
        <w:footnoteReference w:id="17"/>
      </w:r>
    </w:p>
    <w:p w14:paraId="5176E597" w14:textId="5952A792" w:rsidR="00C60763" w:rsidRPr="00201DA2" w:rsidRDefault="00C60763" w:rsidP="003F6730">
      <w:pPr>
        <w:pBdr>
          <w:top w:val="nil"/>
          <w:left w:val="nil"/>
          <w:bottom w:val="nil"/>
          <w:right w:val="nil"/>
          <w:between w:val="nil"/>
        </w:pBdr>
        <w:rPr>
          <w:rFonts w:eastAsia="Calibri"/>
          <w:color w:val="000000"/>
          <w:sz w:val="22"/>
          <w:szCs w:val="22"/>
        </w:rPr>
      </w:pPr>
    </w:p>
    <w:p w14:paraId="52F38473" w14:textId="7C1F9E84" w:rsidR="00C60763" w:rsidRPr="00201DA2" w:rsidRDefault="00C60763" w:rsidP="003F6730">
      <w:pPr>
        <w:pBdr>
          <w:top w:val="nil"/>
          <w:left w:val="nil"/>
          <w:bottom w:val="nil"/>
          <w:right w:val="nil"/>
          <w:between w:val="nil"/>
        </w:pBdr>
        <w:rPr>
          <w:rFonts w:eastAsia="Calibri"/>
          <w:color w:val="000000"/>
          <w:sz w:val="22"/>
          <w:szCs w:val="22"/>
        </w:rPr>
      </w:pPr>
      <w:r w:rsidRPr="00201DA2">
        <w:rPr>
          <w:rFonts w:eastAsia="Calibri"/>
          <w:color w:val="000000"/>
          <w:sz w:val="22"/>
          <w:szCs w:val="22"/>
        </w:rPr>
        <w:t xml:space="preserve">As a point of </w:t>
      </w:r>
      <w:r w:rsidR="00645F8B" w:rsidRPr="00201DA2">
        <w:rPr>
          <w:rFonts w:eastAsia="Calibri"/>
          <w:color w:val="000000"/>
          <w:sz w:val="22"/>
          <w:szCs w:val="22"/>
        </w:rPr>
        <w:t>comparison,</w:t>
      </w:r>
      <w:r w:rsidRPr="00201DA2">
        <w:rPr>
          <w:rFonts w:eastAsia="Calibri"/>
          <w:color w:val="000000"/>
          <w:sz w:val="22"/>
          <w:szCs w:val="22"/>
        </w:rPr>
        <w:t xml:space="preserve"> the I</w:t>
      </w:r>
      <w:r w:rsidR="00BF181D" w:rsidRPr="00201DA2">
        <w:rPr>
          <w:rFonts w:eastAsia="Calibri"/>
          <w:color w:val="000000"/>
          <w:sz w:val="22"/>
          <w:szCs w:val="22"/>
        </w:rPr>
        <w:t xml:space="preserve">nternational </w:t>
      </w:r>
      <w:r w:rsidRPr="00201DA2">
        <w:rPr>
          <w:rFonts w:eastAsia="Calibri"/>
          <w:color w:val="000000"/>
          <w:sz w:val="22"/>
          <w:szCs w:val="22"/>
        </w:rPr>
        <w:t>C</w:t>
      </w:r>
      <w:r w:rsidR="00BF181D" w:rsidRPr="00201DA2">
        <w:rPr>
          <w:rFonts w:eastAsia="Calibri"/>
          <w:color w:val="000000"/>
          <w:sz w:val="22"/>
          <w:szCs w:val="22"/>
        </w:rPr>
        <w:t xml:space="preserve">riminal </w:t>
      </w:r>
      <w:r w:rsidRPr="00201DA2">
        <w:rPr>
          <w:rFonts w:eastAsia="Calibri"/>
          <w:color w:val="000000"/>
          <w:sz w:val="22"/>
          <w:szCs w:val="22"/>
        </w:rPr>
        <w:t>C</w:t>
      </w:r>
      <w:r w:rsidR="00BF181D" w:rsidRPr="00201DA2">
        <w:rPr>
          <w:rFonts w:eastAsia="Calibri"/>
          <w:color w:val="000000"/>
          <w:sz w:val="22"/>
          <w:szCs w:val="22"/>
        </w:rPr>
        <w:t>ourt</w:t>
      </w:r>
      <w:r w:rsidRPr="00201DA2">
        <w:rPr>
          <w:rFonts w:eastAsia="Calibri"/>
          <w:color w:val="000000"/>
          <w:sz w:val="22"/>
          <w:szCs w:val="22"/>
        </w:rPr>
        <w:t xml:space="preserve">, which has jurisdiction over grave crimes such as genocide, may impose up to 30 years or a life sentence </w:t>
      </w:r>
      <w:r w:rsidR="001B1DB9" w:rsidRPr="00201DA2">
        <w:rPr>
          <w:rFonts w:eastAsia="Calibri"/>
          <w:color w:val="000000"/>
          <w:sz w:val="22"/>
          <w:szCs w:val="22"/>
        </w:rPr>
        <w:t xml:space="preserve">but </w:t>
      </w:r>
      <w:r w:rsidRPr="00201DA2">
        <w:rPr>
          <w:rFonts w:eastAsia="Calibri"/>
          <w:color w:val="000000"/>
          <w:sz w:val="22"/>
          <w:szCs w:val="22"/>
        </w:rPr>
        <w:t>that</w:t>
      </w:r>
      <w:r w:rsidR="00AE1812" w:rsidRPr="00201DA2">
        <w:rPr>
          <w:rFonts w:eastAsia="Calibri"/>
          <w:color w:val="000000"/>
          <w:sz w:val="22"/>
          <w:szCs w:val="22"/>
        </w:rPr>
        <w:t xml:space="preserve"> sentence </w:t>
      </w:r>
      <w:r w:rsidR="001B1DB9" w:rsidRPr="00201DA2">
        <w:rPr>
          <w:rFonts w:eastAsia="Calibri"/>
          <w:color w:val="000000"/>
          <w:sz w:val="22"/>
          <w:szCs w:val="22"/>
        </w:rPr>
        <w:t xml:space="preserve">must </w:t>
      </w:r>
      <w:r w:rsidR="00AE1812" w:rsidRPr="00201DA2">
        <w:rPr>
          <w:rFonts w:eastAsia="Calibri"/>
          <w:color w:val="000000"/>
          <w:sz w:val="22"/>
          <w:szCs w:val="22"/>
        </w:rPr>
        <w:t>be reviewed</w:t>
      </w:r>
      <w:r w:rsidRPr="00201DA2">
        <w:rPr>
          <w:rFonts w:eastAsia="Calibri"/>
          <w:color w:val="000000"/>
          <w:sz w:val="22"/>
          <w:szCs w:val="22"/>
        </w:rPr>
        <w:t xml:space="preserve"> when the person has served two thirds of </w:t>
      </w:r>
      <w:r w:rsidR="001B1DB9" w:rsidRPr="00201DA2">
        <w:rPr>
          <w:rFonts w:eastAsia="Calibri"/>
          <w:color w:val="000000"/>
          <w:sz w:val="22"/>
          <w:szCs w:val="22"/>
        </w:rPr>
        <w:t xml:space="preserve">it </w:t>
      </w:r>
      <w:r w:rsidRPr="00201DA2">
        <w:rPr>
          <w:rFonts w:eastAsia="Calibri"/>
          <w:color w:val="000000"/>
          <w:sz w:val="22"/>
          <w:szCs w:val="22"/>
        </w:rPr>
        <w:t xml:space="preserve">or 25 years in the case of </w:t>
      </w:r>
      <w:r w:rsidR="001B1DB9" w:rsidRPr="00201DA2">
        <w:rPr>
          <w:rFonts w:eastAsia="Calibri"/>
          <w:color w:val="000000"/>
          <w:sz w:val="22"/>
          <w:szCs w:val="22"/>
        </w:rPr>
        <w:t xml:space="preserve">a </w:t>
      </w:r>
      <w:r w:rsidRPr="00201DA2">
        <w:rPr>
          <w:rFonts w:eastAsia="Calibri"/>
          <w:color w:val="000000"/>
          <w:sz w:val="22"/>
          <w:szCs w:val="22"/>
        </w:rPr>
        <w:t xml:space="preserve">life </w:t>
      </w:r>
      <w:r w:rsidR="001B1DB9" w:rsidRPr="00201DA2">
        <w:rPr>
          <w:rFonts w:eastAsia="Calibri"/>
          <w:color w:val="000000"/>
          <w:sz w:val="22"/>
          <w:szCs w:val="22"/>
        </w:rPr>
        <w:t>sentence</w:t>
      </w:r>
      <w:r w:rsidR="00421C1C" w:rsidRPr="00201DA2">
        <w:rPr>
          <w:rFonts w:eastAsia="Calibri"/>
          <w:color w:val="000000"/>
          <w:sz w:val="22"/>
          <w:szCs w:val="22"/>
        </w:rPr>
        <w:t>.</w:t>
      </w:r>
      <w:r w:rsidR="001F3E51" w:rsidRPr="00201DA2">
        <w:rPr>
          <w:rStyle w:val="FootnoteReference"/>
          <w:rFonts w:eastAsia="Calibri"/>
          <w:color w:val="000000"/>
          <w:sz w:val="22"/>
          <w:szCs w:val="22"/>
        </w:rPr>
        <w:footnoteReference w:id="18"/>
      </w:r>
      <w:r w:rsidRPr="00201DA2">
        <w:rPr>
          <w:rFonts w:eastAsia="Calibri"/>
          <w:color w:val="000000"/>
          <w:sz w:val="22"/>
          <w:szCs w:val="22"/>
        </w:rPr>
        <w:t xml:space="preserve"> </w:t>
      </w:r>
    </w:p>
    <w:p w14:paraId="657DC865" w14:textId="77777777" w:rsidR="00F90E7A" w:rsidRPr="00201DA2" w:rsidRDefault="00F90E7A" w:rsidP="003F6730">
      <w:pPr>
        <w:pBdr>
          <w:top w:val="nil"/>
          <w:left w:val="nil"/>
          <w:bottom w:val="nil"/>
          <w:right w:val="nil"/>
          <w:between w:val="nil"/>
        </w:pBdr>
        <w:ind w:left="1440" w:hanging="720"/>
        <w:rPr>
          <w:rFonts w:eastAsia="Calibri"/>
          <w:color w:val="000000"/>
          <w:sz w:val="22"/>
          <w:szCs w:val="22"/>
        </w:rPr>
      </w:pPr>
    </w:p>
    <w:p w14:paraId="63AA1E36" w14:textId="5777BF1B" w:rsidR="00F90E7A" w:rsidRPr="00201DA2" w:rsidRDefault="005D1210" w:rsidP="003F6730">
      <w:pPr>
        <w:pBdr>
          <w:top w:val="nil"/>
          <w:left w:val="nil"/>
          <w:bottom w:val="nil"/>
          <w:right w:val="nil"/>
          <w:between w:val="nil"/>
        </w:pBdr>
        <w:contextualSpacing/>
        <w:rPr>
          <w:rFonts w:eastAsia="Calibri"/>
          <w:color w:val="000000"/>
          <w:sz w:val="22"/>
          <w:szCs w:val="22"/>
        </w:rPr>
      </w:pPr>
      <w:r w:rsidRPr="00201DA2">
        <w:rPr>
          <w:rFonts w:eastAsia="Calibri"/>
          <w:b/>
          <w:color w:val="000000"/>
          <w:sz w:val="22"/>
          <w:szCs w:val="22"/>
        </w:rPr>
        <w:t xml:space="preserve">Recommended Questions </w:t>
      </w:r>
    </w:p>
    <w:p w14:paraId="1055D91C" w14:textId="04F3637B" w:rsidR="00F90E7A" w:rsidRPr="00201DA2" w:rsidRDefault="006C30A3" w:rsidP="003F6730">
      <w:pPr>
        <w:pStyle w:val="ListParagraph"/>
        <w:numPr>
          <w:ilvl w:val="0"/>
          <w:numId w:val="2"/>
        </w:numPr>
        <w:pBdr>
          <w:top w:val="nil"/>
          <w:left w:val="nil"/>
          <w:bottom w:val="nil"/>
          <w:right w:val="nil"/>
          <w:between w:val="nil"/>
        </w:pBdr>
        <w:rPr>
          <w:rFonts w:eastAsia="Calibri"/>
          <w:color w:val="000000"/>
          <w:sz w:val="22"/>
          <w:szCs w:val="22"/>
        </w:rPr>
      </w:pPr>
      <w:r w:rsidRPr="00201DA2">
        <w:rPr>
          <w:rFonts w:eastAsia="Calibri"/>
          <w:color w:val="000000"/>
          <w:sz w:val="22"/>
          <w:szCs w:val="22"/>
        </w:rPr>
        <w:t>What steps</w:t>
      </w:r>
      <w:r w:rsidR="009A4B24" w:rsidRPr="00201DA2">
        <w:rPr>
          <w:rFonts w:eastAsia="Calibri"/>
          <w:color w:val="000000"/>
          <w:sz w:val="22"/>
          <w:szCs w:val="22"/>
        </w:rPr>
        <w:t>, if any,</w:t>
      </w:r>
      <w:r w:rsidRPr="00201DA2">
        <w:rPr>
          <w:rFonts w:eastAsia="Calibri"/>
          <w:color w:val="000000"/>
          <w:sz w:val="22"/>
          <w:szCs w:val="22"/>
        </w:rPr>
        <w:t xml:space="preserve"> will the federal government take to ensure the successful restoration of the right to vote in states like Florida?</w:t>
      </w:r>
    </w:p>
    <w:p w14:paraId="7BD46D1A" w14:textId="4DA8AD70" w:rsidR="00C83424" w:rsidRPr="00201DA2" w:rsidRDefault="00BD37ED" w:rsidP="003F6730">
      <w:pPr>
        <w:pStyle w:val="ListParagraph"/>
        <w:numPr>
          <w:ilvl w:val="0"/>
          <w:numId w:val="2"/>
        </w:numPr>
        <w:pBdr>
          <w:top w:val="nil"/>
          <w:left w:val="nil"/>
          <w:bottom w:val="nil"/>
          <w:right w:val="nil"/>
          <w:between w:val="nil"/>
        </w:pBdr>
        <w:rPr>
          <w:rFonts w:eastAsia="Calibri"/>
          <w:color w:val="000000"/>
          <w:sz w:val="22"/>
          <w:szCs w:val="22"/>
        </w:rPr>
      </w:pPr>
      <w:r w:rsidRPr="00201DA2">
        <w:rPr>
          <w:rFonts w:eastAsia="Calibri"/>
          <w:color w:val="000000"/>
          <w:sz w:val="22"/>
          <w:szCs w:val="22"/>
        </w:rPr>
        <w:t>W</w:t>
      </w:r>
      <w:r w:rsidR="006C30A3" w:rsidRPr="00201DA2">
        <w:rPr>
          <w:rFonts w:eastAsia="Calibri"/>
          <w:color w:val="000000"/>
          <w:sz w:val="22"/>
          <w:szCs w:val="22"/>
        </w:rPr>
        <w:t xml:space="preserve">hat </w:t>
      </w:r>
      <w:r w:rsidRPr="00201DA2">
        <w:rPr>
          <w:rFonts w:eastAsia="Calibri"/>
          <w:color w:val="000000"/>
          <w:sz w:val="22"/>
          <w:szCs w:val="22"/>
        </w:rPr>
        <w:t xml:space="preserve">more </w:t>
      </w:r>
      <w:r w:rsidR="00B025C1" w:rsidRPr="00201DA2">
        <w:rPr>
          <w:rFonts w:eastAsia="Calibri"/>
          <w:color w:val="000000"/>
          <w:sz w:val="22"/>
          <w:szCs w:val="22"/>
        </w:rPr>
        <w:t>will t</w:t>
      </w:r>
      <w:r w:rsidR="006C30A3" w:rsidRPr="00201DA2">
        <w:rPr>
          <w:rFonts w:eastAsia="Calibri"/>
          <w:color w:val="000000"/>
          <w:sz w:val="22"/>
          <w:szCs w:val="22"/>
        </w:rPr>
        <w:t>he federal government</w:t>
      </w:r>
      <w:r w:rsidRPr="00201DA2">
        <w:rPr>
          <w:rFonts w:eastAsia="Calibri"/>
          <w:color w:val="000000"/>
          <w:sz w:val="22"/>
          <w:szCs w:val="22"/>
        </w:rPr>
        <w:t>, in addition to the small steps taken by passing the First Step Act,</w:t>
      </w:r>
      <w:r w:rsidR="006C30A3" w:rsidRPr="00201DA2">
        <w:rPr>
          <w:rFonts w:eastAsia="Calibri"/>
          <w:color w:val="000000"/>
          <w:sz w:val="22"/>
          <w:szCs w:val="22"/>
        </w:rPr>
        <w:t xml:space="preserve"> do to reform mandatory minimum sentencing</w:t>
      </w:r>
      <w:r w:rsidR="00F04CFA" w:rsidRPr="00201DA2">
        <w:rPr>
          <w:rFonts w:eastAsia="Calibri"/>
          <w:color w:val="000000"/>
          <w:sz w:val="22"/>
          <w:szCs w:val="22"/>
        </w:rPr>
        <w:t>;</w:t>
      </w:r>
      <w:r w:rsidR="00647269" w:rsidRPr="00201DA2">
        <w:rPr>
          <w:rFonts w:eastAsia="Calibri"/>
          <w:color w:val="000000"/>
          <w:sz w:val="22"/>
          <w:szCs w:val="22"/>
        </w:rPr>
        <w:t xml:space="preserve"> </w:t>
      </w:r>
      <w:r w:rsidR="006C30A3" w:rsidRPr="00201DA2">
        <w:rPr>
          <w:rFonts w:eastAsia="Calibri"/>
          <w:color w:val="000000"/>
          <w:sz w:val="22"/>
          <w:szCs w:val="22"/>
        </w:rPr>
        <w:t>ensure federal criminal sentences are not disproportionate to the offense</w:t>
      </w:r>
      <w:r w:rsidR="00647269" w:rsidRPr="00201DA2">
        <w:rPr>
          <w:rFonts w:eastAsia="Calibri"/>
          <w:color w:val="000000"/>
          <w:sz w:val="22"/>
          <w:szCs w:val="22"/>
        </w:rPr>
        <w:t>; and incentivize states to adopt proportionate regimes of criminal sentencing</w:t>
      </w:r>
      <w:r w:rsidR="006C30A3" w:rsidRPr="00201DA2">
        <w:rPr>
          <w:rFonts w:eastAsia="Calibri"/>
          <w:color w:val="000000"/>
          <w:sz w:val="22"/>
          <w:szCs w:val="22"/>
        </w:rPr>
        <w:t>?</w:t>
      </w:r>
      <w:r w:rsidRPr="00201DA2">
        <w:rPr>
          <w:rFonts w:eastAsia="Calibri"/>
          <w:color w:val="000000"/>
          <w:sz w:val="22"/>
          <w:szCs w:val="22"/>
        </w:rPr>
        <w:t xml:space="preserve"> </w:t>
      </w:r>
    </w:p>
    <w:p w14:paraId="4876B255" w14:textId="77777777" w:rsidR="00F90E7A" w:rsidRPr="00201DA2" w:rsidRDefault="00F90E7A" w:rsidP="003F6730">
      <w:pPr>
        <w:pBdr>
          <w:top w:val="nil"/>
          <w:left w:val="nil"/>
          <w:bottom w:val="nil"/>
          <w:right w:val="nil"/>
          <w:between w:val="nil"/>
        </w:pBdr>
        <w:ind w:left="1440" w:hanging="720"/>
        <w:rPr>
          <w:rFonts w:eastAsia="Calibri"/>
          <w:color w:val="000000"/>
          <w:sz w:val="22"/>
          <w:szCs w:val="22"/>
        </w:rPr>
      </w:pPr>
    </w:p>
    <w:p w14:paraId="0CA43256" w14:textId="36D7440B" w:rsidR="00F90E7A" w:rsidRPr="00201DA2" w:rsidRDefault="005D1210" w:rsidP="003F6730">
      <w:pPr>
        <w:pBdr>
          <w:top w:val="nil"/>
          <w:left w:val="nil"/>
          <w:bottom w:val="nil"/>
          <w:right w:val="nil"/>
          <w:between w:val="nil"/>
        </w:pBdr>
        <w:contextualSpacing/>
        <w:rPr>
          <w:rFonts w:eastAsia="Calibri"/>
          <w:color w:val="000000"/>
          <w:sz w:val="22"/>
          <w:szCs w:val="22"/>
        </w:rPr>
      </w:pPr>
      <w:r w:rsidRPr="00201DA2">
        <w:rPr>
          <w:rFonts w:eastAsia="Calibri"/>
          <w:b/>
          <w:color w:val="000000"/>
          <w:sz w:val="22"/>
          <w:szCs w:val="22"/>
        </w:rPr>
        <w:t>Suggested Recommendations</w:t>
      </w:r>
    </w:p>
    <w:p w14:paraId="7B5A2EB2" w14:textId="5CEE075D" w:rsidR="006C30A3" w:rsidRPr="00201DA2" w:rsidRDefault="006C30A3" w:rsidP="003F6730">
      <w:pPr>
        <w:pStyle w:val="ListParagraph"/>
        <w:numPr>
          <w:ilvl w:val="0"/>
          <w:numId w:val="3"/>
        </w:numPr>
        <w:pBdr>
          <w:top w:val="nil"/>
          <w:left w:val="nil"/>
          <w:bottom w:val="nil"/>
          <w:right w:val="nil"/>
          <w:between w:val="nil"/>
        </w:pBdr>
        <w:rPr>
          <w:rFonts w:eastAsia="Calibri"/>
          <w:color w:val="000000"/>
          <w:sz w:val="22"/>
          <w:szCs w:val="22"/>
        </w:rPr>
      </w:pPr>
      <w:r w:rsidRPr="00201DA2">
        <w:rPr>
          <w:rFonts w:eastAsia="Calibri"/>
          <w:color w:val="000000"/>
          <w:sz w:val="22"/>
          <w:szCs w:val="22"/>
        </w:rPr>
        <w:t xml:space="preserve">The State Party should restore Justice Department policies affording </w:t>
      </w:r>
      <w:r w:rsidR="00421C1C" w:rsidRPr="00201DA2">
        <w:rPr>
          <w:rFonts w:eastAsia="Calibri"/>
          <w:color w:val="000000"/>
          <w:sz w:val="22"/>
          <w:szCs w:val="22"/>
        </w:rPr>
        <w:t xml:space="preserve">greater </w:t>
      </w:r>
      <w:r w:rsidRPr="00201DA2">
        <w:rPr>
          <w:rFonts w:eastAsia="Calibri"/>
          <w:color w:val="000000"/>
          <w:sz w:val="22"/>
          <w:szCs w:val="22"/>
        </w:rPr>
        <w:t>discretion to federal prosecutors in drug cases.</w:t>
      </w:r>
    </w:p>
    <w:p w14:paraId="78917D65" w14:textId="0FC9C511" w:rsidR="006C30A3" w:rsidRPr="00201DA2" w:rsidRDefault="006C30A3" w:rsidP="003F6730">
      <w:pPr>
        <w:pStyle w:val="ListParagraph"/>
        <w:numPr>
          <w:ilvl w:val="0"/>
          <w:numId w:val="3"/>
        </w:numPr>
        <w:pBdr>
          <w:top w:val="nil"/>
          <w:left w:val="nil"/>
          <w:bottom w:val="nil"/>
          <w:right w:val="nil"/>
          <w:between w:val="nil"/>
        </w:pBdr>
        <w:rPr>
          <w:rFonts w:eastAsia="Calibri"/>
          <w:color w:val="000000"/>
          <w:sz w:val="22"/>
          <w:szCs w:val="22"/>
        </w:rPr>
      </w:pPr>
      <w:r w:rsidRPr="00201DA2">
        <w:rPr>
          <w:rFonts w:eastAsia="Calibri"/>
          <w:color w:val="000000"/>
          <w:sz w:val="22"/>
          <w:szCs w:val="22"/>
        </w:rPr>
        <w:t xml:space="preserve">The State Party should take concrete measures to support </w:t>
      </w:r>
      <w:r w:rsidR="00E43198" w:rsidRPr="00201DA2">
        <w:rPr>
          <w:rFonts w:eastAsia="Calibri"/>
          <w:color w:val="000000"/>
          <w:sz w:val="22"/>
          <w:szCs w:val="22"/>
        </w:rPr>
        <w:t xml:space="preserve">the right to vote </w:t>
      </w:r>
      <w:r w:rsidR="009173C8" w:rsidRPr="00201DA2">
        <w:rPr>
          <w:rFonts w:eastAsia="Calibri"/>
          <w:color w:val="000000"/>
          <w:sz w:val="22"/>
          <w:szCs w:val="22"/>
        </w:rPr>
        <w:t>without impediment or discrimination</w:t>
      </w:r>
      <w:r w:rsidR="000574A9" w:rsidRPr="00201DA2">
        <w:rPr>
          <w:rFonts w:eastAsia="Calibri"/>
          <w:color w:val="000000"/>
          <w:sz w:val="22"/>
          <w:szCs w:val="22"/>
        </w:rPr>
        <w:t xml:space="preserve">; </w:t>
      </w:r>
      <w:r w:rsidR="00772D8E" w:rsidRPr="00201DA2">
        <w:rPr>
          <w:rFonts w:eastAsia="Calibri"/>
          <w:color w:val="000000"/>
          <w:sz w:val="22"/>
          <w:szCs w:val="22"/>
        </w:rPr>
        <w:t>press state governments to</w:t>
      </w:r>
      <w:r w:rsidR="000574A9" w:rsidRPr="00201DA2">
        <w:rPr>
          <w:rFonts w:eastAsia="Calibri"/>
          <w:color w:val="000000"/>
          <w:sz w:val="22"/>
          <w:szCs w:val="22"/>
        </w:rPr>
        <w:t xml:space="preserve"> reinstate voting rights to people who have been convicted of felonies</w:t>
      </w:r>
      <w:r w:rsidR="00772D8E" w:rsidRPr="00201DA2">
        <w:rPr>
          <w:rFonts w:eastAsia="Calibri"/>
          <w:color w:val="000000"/>
          <w:sz w:val="22"/>
          <w:szCs w:val="22"/>
        </w:rPr>
        <w:t xml:space="preserve"> and to review with an eye to reforming state policies that deny voting rights to imprisoned persons.</w:t>
      </w:r>
    </w:p>
    <w:p w14:paraId="7461E2D4" w14:textId="0931507E" w:rsidR="00C83424" w:rsidRPr="00201DA2" w:rsidRDefault="00C83424" w:rsidP="003F6730">
      <w:pPr>
        <w:pStyle w:val="ListParagraph"/>
        <w:numPr>
          <w:ilvl w:val="0"/>
          <w:numId w:val="3"/>
        </w:numPr>
        <w:pBdr>
          <w:top w:val="nil"/>
          <w:left w:val="nil"/>
          <w:bottom w:val="nil"/>
          <w:right w:val="nil"/>
          <w:between w:val="nil"/>
        </w:pBdr>
        <w:rPr>
          <w:rFonts w:eastAsia="Calibri"/>
          <w:color w:val="000000"/>
          <w:sz w:val="22"/>
          <w:szCs w:val="22"/>
        </w:rPr>
      </w:pPr>
      <w:r w:rsidRPr="00201DA2">
        <w:rPr>
          <w:rFonts w:eastAsia="Calibri"/>
          <w:color w:val="000000"/>
          <w:sz w:val="22"/>
          <w:szCs w:val="22"/>
        </w:rPr>
        <w:t>The State Party should review its</w:t>
      </w:r>
      <w:r w:rsidR="00B025C1" w:rsidRPr="00201DA2">
        <w:rPr>
          <w:rFonts w:eastAsia="Calibri"/>
          <w:color w:val="000000"/>
          <w:sz w:val="22"/>
          <w:szCs w:val="22"/>
        </w:rPr>
        <w:t xml:space="preserve"> state and federal</w:t>
      </w:r>
      <w:r w:rsidRPr="00201DA2">
        <w:rPr>
          <w:rFonts w:eastAsia="Calibri"/>
          <w:color w:val="000000"/>
          <w:sz w:val="22"/>
          <w:szCs w:val="22"/>
        </w:rPr>
        <w:t xml:space="preserve"> criminal sentencing to ensure that all sentences are proportionate to the offense and offender, including with a view to abolishing the death penalty, and should in no circumstances impose the death penalty for drug offenses.</w:t>
      </w:r>
    </w:p>
    <w:p w14:paraId="23488484" w14:textId="7D9C25F5" w:rsidR="00B10F54" w:rsidRPr="00201DA2" w:rsidRDefault="00B10F54" w:rsidP="00B10F54">
      <w:pPr>
        <w:pBdr>
          <w:top w:val="nil"/>
          <w:left w:val="nil"/>
          <w:bottom w:val="nil"/>
          <w:right w:val="nil"/>
          <w:between w:val="nil"/>
        </w:pBdr>
        <w:rPr>
          <w:rFonts w:eastAsia="Calibri"/>
          <w:color w:val="000000"/>
          <w:sz w:val="22"/>
          <w:szCs w:val="22"/>
        </w:rPr>
      </w:pPr>
    </w:p>
    <w:p w14:paraId="5CA61414" w14:textId="03D55593" w:rsidR="00B10F54" w:rsidRPr="00201DA2" w:rsidRDefault="00B10F54" w:rsidP="00B10F54">
      <w:pPr>
        <w:pBdr>
          <w:top w:val="nil"/>
          <w:left w:val="nil"/>
          <w:bottom w:val="nil"/>
          <w:right w:val="nil"/>
          <w:between w:val="nil"/>
        </w:pBdr>
        <w:jc w:val="center"/>
        <w:rPr>
          <w:b/>
          <w:color w:val="000000"/>
          <w:sz w:val="22"/>
          <w:szCs w:val="22"/>
        </w:rPr>
      </w:pPr>
      <w:r w:rsidRPr="00201DA2">
        <w:rPr>
          <w:b/>
          <w:sz w:val="22"/>
          <w:szCs w:val="22"/>
        </w:rPr>
        <w:t xml:space="preserve">Racial Disparities, Drug Policy, </w:t>
      </w:r>
      <w:r w:rsidR="00785BE1" w:rsidRPr="00201DA2">
        <w:rPr>
          <w:b/>
          <w:sz w:val="22"/>
          <w:szCs w:val="22"/>
        </w:rPr>
        <w:t xml:space="preserve">Hate Crimes, </w:t>
      </w:r>
      <w:r w:rsidRPr="00201DA2">
        <w:rPr>
          <w:b/>
          <w:sz w:val="22"/>
          <w:szCs w:val="22"/>
        </w:rPr>
        <w:t>and Policing</w:t>
      </w:r>
    </w:p>
    <w:p w14:paraId="6A5D329B" w14:textId="77777777" w:rsidR="00B10F54" w:rsidRPr="00201DA2" w:rsidRDefault="00B10F54" w:rsidP="00B10F54">
      <w:pPr>
        <w:pBdr>
          <w:top w:val="nil"/>
          <w:left w:val="nil"/>
          <w:bottom w:val="nil"/>
          <w:right w:val="nil"/>
          <w:between w:val="nil"/>
        </w:pBdr>
        <w:contextualSpacing/>
        <w:rPr>
          <w:rFonts w:eastAsia="Calibri"/>
          <w:b/>
          <w:color w:val="000000"/>
          <w:sz w:val="22"/>
          <w:szCs w:val="22"/>
        </w:rPr>
      </w:pPr>
    </w:p>
    <w:p w14:paraId="146B615E" w14:textId="77777777" w:rsidR="00B10F54" w:rsidRPr="00201DA2" w:rsidRDefault="00B10F54" w:rsidP="00B10F54">
      <w:pPr>
        <w:pBdr>
          <w:top w:val="nil"/>
          <w:left w:val="nil"/>
          <w:bottom w:val="nil"/>
          <w:right w:val="nil"/>
          <w:between w:val="nil"/>
        </w:pBdr>
        <w:contextualSpacing/>
        <w:rPr>
          <w:rFonts w:eastAsia="Calibri"/>
          <w:color w:val="000000"/>
          <w:sz w:val="22"/>
          <w:szCs w:val="22"/>
        </w:rPr>
      </w:pPr>
      <w:bookmarkStart w:id="4" w:name="_Hlk533065606"/>
      <w:r w:rsidRPr="00201DA2">
        <w:rPr>
          <w:rFonts w:eastAsia="Calibri"/>
          <w:b/>
          <w:color w:val="000000"/>
          <w:sz w:val="22"/>
          <w:szCs w:val="22"/>
        </w:rPr>
        <w:t>Summary</w:t>
      </w:r>
    </w:p>
    <w:p w14:paraId="1C8ACF53" w14:textId="4BB14A52" w:rsidR="00B10F54" w:rsidRPr="00201DA2" w:rsidRDefault="00156472" w:rsidP="00156472">
      <w:pPr>
        <w:pBdr>
          <w:top w:val="nil"/>
          <w:left w:val="nil"/>
          <w:bottom w:val="nil"/>
          <w:right w:val="nil"/>
          <w:between w:val="nil"/>
        </w:pBdr>
        <w:rPr>
          <w:rFonts w:eastAsia="Calibri"/>
          <w:color w:val="000000"/>
          <w:sz w:val="22"/>
          <w:szCs w:val="22"/>
        </w:rPr>
      </w:pPr>
      <w:r w:rsidRPr="00201DA2">
        <w:rPr>
          <w:rFonts w:eastAsia="Calibri"/>
          <w:color w:val="000000"/>
          <w:sz w:val="22"/>
          <w:szCs w:val="22"/>
        </w:rPr>
        <w:t>Racial disparities permeate every part of the US criminal legal system, with particularly acute probl</w:t>
      </w:r>
      <w:r w:rsidR="009B0D1B" w:rsidRPr="00201DA2">
        <w:rPr>
          <w:rFonts w:eastAsia="Calibri"/>
          <w:color w:val="000000"/>
          <w:sz w:val="22"/>
          <w:szCs w:val="22"/>
        </w:rPr>
        <w:t>ems in drug</w:t>
      </w:r>
      <w:r w:rsidR="00840089" w:rsidRPr="00201DA2">
        <w:rPr>
          <w:rFonts w:eastAsia="Calibri"/>
          <w:color w:val="000000"/>
          <w:sz w:val="22"/>
          <w:szCs w:val="22"/>
        </w:rPr>
        <w:t xml:space="preserve"> policy</w:t>
      </w:r>
      <w:r w:rsidR="009B0D1B" w:rsidRPr="00201DA2">
        <w:rPr>
          <w:rFonts w:eastAsia="Calibri"/>
          <w:color w:val="000000"/>
          <w:sz w:val="22"/>
          <w:szCs w:val="22"/>
        </w:rPr>
        <w:t xml:space="preserve"> and policing.</w:t>
      </w:r>
      <w:r w:rsidR="00B47B8B" w:rsidRPr="00201DA2">
        <w:rPr>
          <w:rFonts w:eastAsia="Calibri"/>
          <w:color w:val="000000"/>
          <w:sz w:val="22"/>
          <w:szCs w:val="22"/>
        </w:rPr>
        <w:t xml:space="preserve"> These disparities violate the United States’ obligation to prohibit racial discrimination.</w:t>
      </w:r>
      <w:r w:rsidR="00E92F2D" w:rsidRPr="00201DA2">
        <w:rPr>
          <w:rFonts w:eastAsia="Calibri"/>
          <w:color w:val="000000"/>
          <w:sz w:val="22"/>
          <w:szCs w:val="22"/>
        </w:rPr>
        <w:t xml:space="preserve"> </w:t>
      </w:r>
      <w:r w:rsidR="00403CCA" w:rsidRPr="00201DA2">
        <w:rPr>
          <w:rFonts w:eastAsia="Calibri"/>
          <w:color w:val="000000"/>
          <w:sz w:val="22"/>
          <w:szCs w:val="22"/>
        </w:rPr>
        <w:t>T</w:t>
      </w:r>
      <w:r w:rsidR="00E92F2D" w:rsidRPr="00201DA2">
        <w:rPr>
          <w:rFonts w:eastAsia="Calibri"/>
          <w:color w:val="000000"/>
          <w:sz w:val="22"/>
          <w:szCs w:val="22"/>
        </w:rPr>
        <w:t xml:space="preserve">he number of </w:t>
      </w:r>
      <w:r w:rsidR="00D9699C" w:rsidRPr="00201DA2">
        <w:rPr>
          <w:rFonts w:eastAsia="Calibri"/>
          <w:color w:val="000000"/>
          <w:sz w:val="22"/>
          <w:szCs w:val="22"/>
        </w:rPr>
        <w:t>hate crimes has reportedly</w:t>
      </w:r>
      <w:r w:rsidR="00E92F2D" w:rsidRPr="00201DA2">
        <w:rPr>
          <w:rFonts w:eastAsia="Calibri"/>
          <w:color w:val="000000"/>
          <w:sz w:val="22"/>
          <w:szCs w:val="22"/>
        </w:rPr>
        <w:t xml:space="preserve"> increased over the past several years</w:t>
      </w:r>
      <w:r w:rsidR="00403CCA" w:rsidRPr="00201DA2">
        <w:rPr>
          <w:rFonts w:eastAsia="Calibri"/>
          <w:color w:val="000000"/>
          <w:sz w:val="22"/>
          <w:szCs w:val="22"/>
        </w:rPr>
        <w:t>.</w:t>
      </w:r>
    </w:p>
    <w:p w14:paraId="1D0B5AD7" w14:textId="77777777" w:rsidR="009B0D1B" w:rsidRPr="00201DA2" w:rsidRDefault="009B0D1B" w:rsidP="00156472">
      <w:pPr>
        <w:pBdr>
          <w:top w:val="nil"/>
          <w:left w:val="nil"/>
          <w:bottom w:val="nil"/>
          <w:right w:val="nil"/>
          <w:between w:val="nil"/>
        </w:pBdr>
        <w:rPr>
          <w:rFonts w:eastAsia="Calibri"/>
          <w:color w:val="000000"/>
          <w:sz w:val="22"/>
          <w:szCs w:val="22"/>
        </w:rPr>
      </w:pPr>
    </w:p>
    <w:p w14:paraId="144061B8" w14:textId="77777777" w:rsidR="00B10F54" w:rsidRPr="00201DA2" w:rsidRDefault="00B10F54" w:rsidP="00B10F54">
      <w:pPr>
        <w:pBdr>
          <w:top w:val="nil"/>
          <w:left w:val="nil"/>
          <w:bottom w:val="nil"/>
          <w:right w:val="nil"/>
          <w:between w:val="nil"/>
        </w:pBdr>
        <w:contextualSpacing/>
        <w:rPr>
          <w:rFonts w:eastAsia="Calibri"/>
          <w:b/>
          <w:color w:val="000000"/>
          <w:sz w:val="22"/>
          <w:szCs w:val="22"/>
          <w:lang w:val="fr-FR"/>
        </w:rPr>
      </w:pPr>
      <w:r w:rsidRPr="00201DA2">
        <w:rPr>
          <w:rFonts w:eastAsia="Calibri"/>
          <w:b/>
          <w:color w:val="000000"/>
          <w:sz w:val="22"/>
          <w:szCs w:val="22"/>
          <w:lang w:val="fr-FR"/>
        </w:rPr>
        <w:t>Relevant ICCPR Articles</w:t>
      </w:r>
    </w:p>
    <w:p w14:paraId="4421A61A" w14:textId="36CD12F5" w:rsidR="00B10F54" w:rsidRPr="00201DA2" w:rsidRDefault="00223C66" w:rsidP="00B10F54">
      <w:pPr>
        <w:pBdr>
          <w:top w:val="nil"/>
          <w:left w:val="nil"/>
          <w:bottom w:val="nil"/>
          <w:right w:val="nil"/>
          <w:between w:val="nil"/>
        </w:pBdr>
        <w:contextualSpacing/>
        <w:rPr>
          <w:sz w:val="22"/>
          <w:szCs w:val="22"/>
          <w:lang w:val="fr-FR"/>
        </w:rPr>
      </w:pPr>
      <w:r w:rsidRPr="00201DA2">
        <w:rPr>
          <w:sz w:val="22"/>
          <w:szCs w:val="22"/>
          <w:lang w:val="fr-FR"/>
        </w:rPr>
        <w:t xml:space="preserve">Articles 2, </w:t>
      </w:r>
      <w:r w:rsidR="004A617A" w:rsidRPr="00201DA2">
        <w:rPr>
          <w:sz w:val="22"/>
          <w:szCs w:val="22"/>
          <w:lang w:val="fr-FR"/>
        </w:rPr>
        <w:t xml:space="preserve">7, </w:t>
      </w:r>
      <w:r w:rsidRPr="00201DA2">
        <w:rPr>
          <w:sz w:val="22"/>
          <w:szCs w:val="22"/>
          <w:lang w:val="fr-FR"/>
        </w:rPr>
        <w:t xml:space="preserve">9, </w:t>
      </w:r>
      <w:r w:rsidR="004A617A" w:rsidRPr="00201DA2">
        <w:rPr>
          <w:sz w:val="22"/>
          <w:szCs w:val="22"/>
          <w:lang w:val="fr-FR"/>
        </w:rPr>
        <w:t xml:space="preserve">10, </w:t>
      </w:r>
      <w:r w:rsidRPr="00201DA2">
        <w:rPr>
          <w:sz w:val="22"/>
          <w:szCs w:val="22"/>
          <w:lang w:val="fr-FR"/>
        </w:rPr>
        <w:t>12,</w:t>
      </w:r>
      <w:r w:rsidR="00155FE7" w:rsidRPr="00201DA2">
        <w:rPr>
          <w:sz w:val="22"/>
          <w:szCs w:val="22"/>
          <w:lang w:val="fr-FR"/>
        </w:rPr>
        <w:t xml:space="preserve"> 14,</w:t>
      </w:r>
      <w:r w:rsidRPr="00201DA2">
        <w:rPr>
          <w:sz w:val="22"/>
          <w:szCs w:val="22"/>
          <w:lang w:val="fr-FR"/>
        </w:rPr>
        <w:t xml:space="preserve"> 17 and 2</w:t>
      </w:r>
      <w:r w:rsidR="00CF1CC8" w:rsidRPr="00201DA2">
        <w:rPr>
          <w:sz w:val="22"/>
          <w:szCs w:val="22"/>
          <w:lang w:val="fr-FR"/>
        </w:rPr>
        <w:t>6</w:t>
      </w:r>
      <w:r w:rsidRPr="00201DA2">
        <w:rPr>
          <w:sz w:val="22"/>
          <w:szCs w:val="22"/>
          <w:lang w:val="fr-FR"/>
        </w:rPr>
        <w:t>.</w:t>
      </w:r>
    </w:p>
    <w:p w14:paraId="5EFF37A7" w14:textId="77777777" w:rsidR="00223C66" w:rsidRPr="00201DA2" w:rsidRDefault="00223C66" w:rsidP="00B10F54">
      <w:pPr>
        <w:pBdr>
          <w:top w:val="nil"/>
          <w:left w:val="nil"/>
          <w:bottom w:val="nil"/>
          <w:right w:val="nil"/>
          <w:between w:val="nil"/>
        </w:pBdr>
        <w:contextualSpacing/>
        <w:rPr>
          <w:rFonts w:eastAsia="Calibri"/>
          <w:color w:val="000000"/>
          <w:sz w:val="22"/>
          <w:szCs w:val="22"/>
          <w:lang w:val="fr-FR"/>
        </w:rPr>
      </w:pPr>
    </w:p>
    <w:p w14:paraId="59EE12C1" w14:textId="578C16B6" w:rsidR="00B10F54" w:rsidRPr="00201DA2" w:rsidRDefault="00B10F54" w:rsidP="00B10F54">
      <w:pPr>
        <w:pBdr>
          <w:top w:val="nil"/>
          <w:left w:val="nil"/>
          <w:bottom w:val="nil"/>
          <w:right w:val="nil"/>
          <w:between w:val="nil"/>
        </w:pBdr>
        <w:contextualSpacing/>
        <w:rPr>
          <w:rFonts w:eastAsia="Calibri"/>
          <w:b/>
          <w:color w:val="000000"/>
          <w:sz w:val="22"/>
          <w:szCs w:val="22"/>
        </w:rPr>
      </w:pPr>
      <w:r w:rsidRPr="00201DA2">
        <w:rPr>
          <w:rFonts w:eastAsia="Calibri"/>
          <w:b/>
          <w:color w:val="000000"/>
          <w:sz w:val="22"/>
          <w:szCs w:val="22"/>
        </w:rPr>
        <w:t>Prior Recommendations</w:t>
      </w:r>
    </w:p>
    <w:p w14:paraId="34503B41" w14:textId="7D39E306" w:rsidR="00223C66" w:rsidRPr="00201DA2" w:rsidRDefault="00223C66" w:rsidP="00223C66">
      <w:pPr>
        <w:pStyle w:val="ListParagraph"/>
        <w:numPr>
          <w:ilvl w:val="0"/>
          <w:numId w:val="9"/>
        </w:numPr>
        <w:pBdr>
          <w:top w:val="nil"/>
          <w:left w:val="nil"/>
          <w:bottom w:val="nil"/>
          <w:right w:val="nil"/>
          <w:between w:val="nil"/>
        </w:pBdr>
        <w:rPr>
          <w:rFonts w:eastAsia="Calibri"/>
          <w:color w:val="000000"/>
          <w:sz w:val="22"/>
          <w:szCs w:val="22"/>
        </w:rPr>
      </w:pPr>
      <w:r w:rsidRPr="00201DA2">
        <w:rPr>
          <w:rFonts w:eastAsia="Calibri"/>
          <w:color w:val="000000"/>
          <w:sz w:val="22"/>
          <w:szCs w:val="22"/>
        </w:rPr>
        <w:t xml:space="preserve">In </w:t>
      </w:r>
      <w:r w:rsidR="00B025C1" w:rsidRPr="00201DA2">
        <w:rPr>
          <w:rFonts w:eastAsia="Calibri"/>
          <w:color w:val="000000"/>
          <w:sz w:val="22"/>
          <w:szCs w:val="22"/>
        </w:rPr>
        <w:t xml:space="preserve">its </w:t>
      </w:r>
      <w:r w:rsidRPr="00201DA2">
        <w:rPr>
          <w:rFonts w:eastAsia="Calibri"/>
          <w:color w:val="000000"/>
          <w:sz w:val="22"/>
          <w:szCs w:val="22"/>
        </w:rPr>
        <w:t>20</w:t>
      </w:r>
      <w:r w:rsidR="005B27F7" w:rsidRPr="00201DA2">
        <w:rPr>
          <w:rFonts w:eastAsia="Calibri"/>
          <w:color w:val="000000"/>
          <w:sz w:val="22"/>
          <w:szCs w:val="22"/>
        </w:rPr>
        <w:t>14</w:t>
      </w:r>
      <w:r w:rsidR="00B025C1" w:rsidRPr="00201DA2">
        <w:rPr>
          <w:rFonts w:eastAsia="Calibri"/>
          <w:color w:val="000000"/>
          <w:sz w:val="22"/>
          <w:szCs w:val="22"/>
        </w:rPr>
        <w:t xml:space="preserve"> Concluding Observations</w:t>
      </w:r>
      <w:r w:rsidRPr="00201DA2">
        <w:rPr>
          <w:rFonts w:eastAsia="Calibri"/>
          <w:color w:val="000000"/>
          <w:sz w:val="22"/>
          <w:szCs w:val="22"/>
        </w:rPr>
        <w:t>, the Committee recommended that the State Party</w:t>
      </w:r>
      <w:r w:rsidR="005B27F7" w:rsidRPr="00201DA2">
        <w:rPr>
          <w:rFonts w:eastAsia="Calibri"/>
          <w:color w:val="000000"/>
          <w:sz w:val="22"/>
          <w:szCs w:val="22"/>
        </w:rPr>
        <w:t xml:space="preserve"> “</w:t>
      </w:r>
      <w:r w:rsidR="005B27F7" w:rsidRPr="00201DA2">
        <w:rPr>
          <w:sz w:val="22"/>
          <w:szCs w:val="22"/>
        </w:rPr>
        <w:t>continue and step up its efforts to robustly address racial disparities in the criminal justice system</w:t>
      </w:r>
      <w:r w:rsidR="003E4D5A" w:rsidRPr="00201DA2">
        <w:rPr>
          <w:sz w:val="22"/>
          <w:szCs w:val="22"/>
        </w:rPr>
        <w:t>.</w:t>
      </w:r>
      <w:r w:rsidR="00BB1697" w:rsidRPr="00201DA2">
        <w:rPr>
          <w:sz w:val="22"/>
          <w:szCs w:val="22"/>
        </w:rPr>
        <w:t>”</w:t>
      </w:r>
      <w:r w:rsidRPr="00201DA2">
        <w:rPr>
          <w:sz w:val="22"/>
          <w:szCs w:val="22"/>
        </w:rPr>
        <w:t xml:space="preserve"> (para</w:t>
      </w:r>
      <w:r w:rsidR="005B27F7" w:rsidRPr="00201DA2">
        <w:rPr>
          <w:sz w:val="22"/>
          <w:szCs w:val="22"/>
        </w:rPr>
        <w:t>s</w:t>
      </w:r>
      <w:r w:rsidRPr="00201DA2">
        <w:rPr>
          <w:sz w:val="22"/>
          <w:szCs w:val="22"/>
        </w:rPr>
        <w:t xml:space="preserve">. </w:t>
      </w:r>
      <w:r w:rsidR="005B27F7" w:rsidRPr="00201DA2">
        <w:rPr>
          <w:sz w:val="22"/>
          <w:szCs w:val="22"/>
        </w:rPr>
        <w:t xml:space="preserve">6 and </w:t>
      </w:r>
      <w:r w:rsidRPr="00201DA2">
        <w:rPr>
          <w:sz w:val="22"/>
          <w:szCs w:val="22"/>
        </w:rPr>
        <w:t>7)</w:t>
      </w:r>
      <w:r w:rsidR="00F43A58" w:rsidRPr="00201DA2">
        <w:rPr>
          <w:sz w:val="22"/>
          <w:szCs w:val="22"/>
        </w:rPr>
        <w:t>.</w:t>
      </w:r>
    </w:p>
    <w:p w14:paraId="04F4A8E6" w14:textId="61525535" w:rsidR="00403CCA" w:rsidRPr="00201DA2" w:rsidRDefault="009419E2" w:rsidP="003E4D5A">
      <w:pPr>
        <w:pStyle w:val="ListParagraph"/>
        <w:numPr>
          <w:ilvl w:val="0"/>
          <w:numId w:val="9"/>
        </w:numPr>
        <w:pBdr>
          <w:top w:val="nil"/>
          <w:left w:val="nil"/>
          <w:bottom w:val="nil"/>
          <w:right w:val="nil"/>
          <w:between w:val="nil"/>
        </w:pBdr>
        <w:rPr>
          <w:rFonts w:eastAsia="Calibri"/>
          <w:color w:val="000000"/>
          <w:sz w:val="22"/>
          <w:szCs w:val="22"/>
        </w:rPr>
      </w:pPr>
      <w:r w:rsidRPr="00201DA2">
        <w:rPr>
          <w:rFonts w:eastAsia="Calibri"/>
          <w:color w:val="000000"/>
          <w:sz w:val="22"/>
          <w:szCs w:val="22"/>
        </w:rPr>
        <w:t xml:space="preserve">In </w:t>
      </w:r>
      <w:r w:rsidR="00CF1CC8" w:rsidRPr="00201DA2">
        <w:rPr>
          <w:rFonts w:eastAsia="Calibri"/>
          <w:color w:val="000000"/>
          <w:sz w:val="22"/>
          <w:szCs w:val="22"/>
        </w:rPr>
        <w:t xml:space="preserve">its </w:t>
      </w:r>
      <w:r w:rsidRPr="00201DA2">
        <w:rPr>
          <w:rFonts w:eastAsia="Calibri"/>
          <w:color w:val="000000"/>
          <w:sz w:val="22"/>
          <w:szCs w:val="22"/>
        </w:rPr>
        <w:t>2006</w:t>
      </w:r>
      <w:r w:rsidR="00CF1CC8" w:rsidRPr="00201DA2">
        <w:rPr>
          <w:rFonts w:eastAsia="Calibri"/>
          <w:color w:val="000000"/>
          <w:sz w:val="22"/>
          <w:szCs w:val="22"/>
        </w:rPr>
        <w:t xml:space="preserve"> Concluding Observations</w:t>
      </w:r>
      <w:r w:rsidRPr="00201DA2">
        <w:rPr>
          <w:rFonts w:eastAsia="Calibri"/>
          <w:color w:val="000000"/>
          <w:sz w:val="22"/>
          <w:szCs w:val="22"/>
        </w:rPr>
        <w:t>, the Committee stated the State Party should “continue and intensify its efforts to put an end to racial profiling used by federal as well as state law enforcement officials.” (para. 24)</w:t>
      </w:r>
      <w:r w:rsidR="00F43A58" w:rsidRPr="00201DA2">
        <w:rPr>
          <w:rFonts w:eastAsia="Calibri"/>
          <w:color w:val="000000"/>
          <w:sz w:val="22"/>
          <w:szCs w:val="22"/>
        </w:rPr>
        <w:t xml:space="preserve">; and reminded the State Party “of its obligation under </w:t>
      </w:r>
      <w:r w:rsidR="00D807C3" w:rsidRPr="00201DA2">
        <w:rPr>
          <w:rFonts w:eastAsia="Calibri"/>
          <w:color w:val="000000"/>
          <w:sz w:val="22"/>
          <w:szCs w:val="22"/>
        </w:rPr>
        <w:t>A</w:t>
      </w:r>
      <w:r w:rsidR="00F43A58" w:rsidRPr="00201DA2">
        <w:rPr>
          <w:rFonts w:eastAsia="Calibri"/>
          <w:color w:val="000000"/>
          <w:sz w:val="22"/>
          <w:szCs w:val="22"/>
        </w:rPr>
        <w:t>rticles 2 and 26 of the Covenant to respect and ensure that all individuals are guaranteed effective protection against practices that have either the purpose or the effect of discrimination on a racial basis.” (para. 6).</w:t>
      </w:r>
      <w:r w:rsidR="003E4D5A" w:rsidRPr="00201DA2">
        <w:rPr>
          <w:rFonts w:eastAsia="Calibri"/>
          <w:color w:val="000000"/>
          <w:sz w:val="22"/>
          <w:szCs w:val="22"/>
        </w:rPr>
        <w:t xml:space="preserve"> It also </w:t>
      </w:r>
      <w:r w:rsidR="00403CCA" w:rsidRPr="00201DA2">
        <w:rPr>
          <w:rFonts w:eastAsia="Calibri"/>
          <w:bCs/>
          <w:color w:val="000000"/>
          <w:sz w:val="22"/>
          <w:szCs w:val="22"/>
        </w:rPr>
        <w:t xml:space="preserve">instructed the United States to “acknowledge its legal obligation under </w:t>
      </w:r>
      <w:r w:rsidR="00D807C3" w:rsidRPr="00201DA2">
        <w:rPr>
          <w:rFonts w:eastAsia="Calibri"/>
          <w:bCs/>
          <w:color w:val="000000"/>
          <w:sz w:val="22"/>
          <w:szCs w:val="22"/>
        </w:rPr>
        <w:t>A</w:t>
      </w:r>
      <w:r w:rsidR="00403CCA" w:rsidRPr="00201DA2">
        <w:rPr>
          <w:rFonts w:eastAsia="Calibri"/>
          <w:bCs/>
          <w:color w:val="000000"/>
          <w:sz w:val="22"/>
          <w:szCs w:val="22"/>
        </w:rPr>
        <w:t>rticles 2 and 26</w:t>
      </w:r>
      <w:r w:rsidR="003E4D5A" w:rsidRPr="00201DA2">
        <w:rPr>
          <w:rFonts w:eastAsia="Calibri"/>
          <w:bCs/>
          <w:color w:val="000000"/>
          <w:sz w:val="22"/>
          <w:szCs w:val="22"/>
        </w:rPr>
        <w:t xml:space="preserve"> and </w:t>
      </w:r>
      <w:r w:rsidR="00403CCA" w:rsidRPr="00201DA2">
        <w:rPr>
          <w:rFonts w:eastAsia="Calibri"/>
          <w:bCs/>
          <w:color w:val="000000"/>
          <w:sz w:val="22"/>
          <w:szCs w:val="22"/>
        </w:rPr>
        <w:t>ensure that its hate crime legislation, both at the federal and state levels, address sexual orientation-related violence.” (para. 25)</w:t>
      </w:r>
    </w:p>
    <w:p w14:paraId="5C82F04E" w14:textId="77777777" w:rsidR="00B10F54" w:rsidRPr="00201DA2" w:rsidRDefault="00B10F54" w:rsidP="00B10F54">
      <w:pPr>
        <w:pBdr>
          <w:top w:val="nil"/>
          <w:left w:val="nil"/>
          <w:bottom w:val="nil"/>
          <w:right w:val="nil"/>
          <w:between w:val="nil"/>
        </w:pBdr>
        <w:ind w:left="1440" w:hanging="720"/>
        <w:rPr>
          <w:rFonts w:eastAsia="Calibri"/>
          <w:color w:val="000000"/>
          <w:sz w:val="22"/>
          <w:szCs w:val="22"/>
        </w:rPr>
      </w:pPr>
    </w:p>
    <w:p w14:paraId="2649D1A1" w14:textId="77777777" w:rsidR="00B10F54" w:rsidRPr="00201DA2" w:rsidRDefault="00B10F54" w:rsidP="00B10F54">
      <w:pPr>
        <w:pBdr>
          <w:top w:val="nil"/>
          <w:left w:val="nil"/>
          <w:bottom w:val="nil"/>
          <w:right w:val="nil"/>
          <w:between w:val="nil"/>
        </w:pBdr>
        <w:contextualSpacing/>
        <w:rPr>
          <w:rFonts w:eastAsia="Calibri"/>
          <w:color w:val="000000"/>
          <w:sz w:val="22"/>
          <w:szCs w:val="22"/>
        </w:rPr>
      </w:pPr>
      <w:r w:rsidRPr="00201DA2">
        <w:rPr>
          <w:rFonts w:eastAsia="Calibri"/>
          <w:b/>
          <w:sz w:val="22"/>
          <w:szCs w:val="22"/>
        </w:rPr>
        <w:t xml:space="preserve">Current </w:t>
      </w:r>
      <w:r w:rsidRPr="00201DA2">
        <w:rPr>
          <w:rFonts w:eastAsia="Calibri"/>
          <w:b/>
          <w:color w:val="000000"/>
          <w:sz w:val="22"/>
          <w:szCs w:val="22"/>
        </w:rPr>
        <w:t xml:space="preserve">US Government Policy or Practice </w:t>
      </w:r>
    </w:p>
    <w:p w14:paraId="21A616A0" w14:textId="65B2C5D7" w:rsidR="00A825DF" w:rsidRPr="00201DA2" w:rsidRDefault="00A825DF" w:rsidP="00A825DF">
      <w:pPr>
        <w:rPr>
          <w:sz w:val="22"/>
          <w:szCs w:val="22"/>
        </w:rPr>
      </w:pPr>
      <w:r w:rsidRPr="00201DA2">
        <w:rPr>
          <w:sz w:val="22"/>
          <w:szCs w:val="22"/>
        </w:rPr>
        <w:lastRenderedPageBreak/>
        <w:t>Racial</w:t>
      </w:r>
      <w:r w:rsidR="00973BF8" w:rsidRPr="00201DA2">
        <w:rPr>
          <w:sz w:val="22"/>
          <w:szCs w:val="22"/>
        </w:rPr>
        <w:t xml:space="preserve"> disparities</w:t>
      </w:r>
      <w:r w:rsidRPr="00201DA2">
        <w:rPr>
          <w:sz w:val="22"/>
          <w:szCs w:val="22"/>
        </w:rPr>
        <w:t xml:space="preserve"> permeate every part of the US criminal </w:t>
      </w:r>
      <w:r w:rsidR="00156472" w:rsidRPr="00201DA2">
        <w:rPr>
          <w:sz w:val="22"/>
          <w:szCs w:val="22"/>
        </w:rPr>
        <w:t>legal</w:t>
      </w:r>
      <w:r w:rsidRPr="00201DA2">
        <w:rPr>
          <w:sz w:val="22"/>
          <w:szCs w:val="22"/>
        </w:rPr>
        <w:t xml:space="preserve"> system. Black people are 13 percent of the population but close to 40 percent of those in prisons.</w:t>
      </w:r>
      <w:r w:rsidR="00973BF8" w:rsidRPr="00201DA2">
        <w:rPr>
          <w:rStyle w:val="FootnoteReference"/>
          <w:sz w:val="22"/>
          <w:szCs w:val="22"/>
        </w:rPr>
        <w:footnoteReference w:id="19"/>
      </w:r>
      <w:r w:rsidRPr="00201DA2">
        <w:rPr>
          <w:sz w:val="22"/>
          <w:szCs w:val="22"/>
        </w:rPr>
        <w:t xml:space="preserve"> They are incarcerated at more than five times the rate of white people. Black people use illegal </w:t>
      </w:r>
      <w:r w:rsidR="00C36AD3" w:rsidRPr="00201DA2">
        <w:rPr>
          <w:sz w:val="22"/>
          <w:szCs w:val="22"/>
        </w:rPr>
        <w:t xml:space="preserve">drugs </w:t>
      </w:r>
      <w:r w:rsidRPr="00201DA2">
        <w:rPr>
          <w:sz w:val="22"/>
          <w:szCs w:val="22"/>
        </w:rPr>
        <w:t>at similar rates to white people but suffer drug arrests at significantly higher rates.</w:t>
      </w:r>
      <w:r w:rsidR="00973BF8" w:rsidRPr="00201DA2">
        <w:rPr>
          <w:rStyle w:val="FootnoteReference"/>
          <w:sz w:val="22"/>
          <w:szCs w:val="22"/>
        </w:rPr>
        <w:footnoteReference w:id="20"/>
      </w:r>
    </w:p>
    <w:p w14:paraId="7BBEC1ED" w14:textId="77777777" w:rsidR="00A825DF" w:rsidRPr="00201DA2" w:rsidRDefault="00A825DF" w:rsidP="00A825DF">
      <w:pPr>
        <w:rPr>
          <w:sz w:val="22"/>
          <w:szCs w:val="22"/>
        </w:rPr>
      </w:pPr>
    </w:p>
    <w:p w14:paraId="5D303948" w14:textId="5CF92493" w:rsidR="00411BAB" w:rsidRPr="00201DA2" w:rsidRDefault="00B30FC1" w:rsidP="00A825DF">
      <w:pPr>
        <w:rPr>
          <w:sz w:val="22"/>
          <w:szCs w:val="22"/>
        </w:rPr>
      </w:pPr>
      <w:r w:rsidRPr="00201DA2">
        <w:rPr>
          <w:sz w:val="22"/>
          <w:szCs w:val="22"/>
        </w:rPr>
        <w:t>I</w:t>
      </w:r>
      <w:r w:rsidR="00C36AD3" w:rsidRPr="00201DA2">
        <w:rPr>
          <w:sz w:val="22"/>
          <w:szCs w:val="22"/>
        </w:rPr>
        <w:t xml:space="preserve">n 2018, </w:t>
      </w:r>
      <w:r w:rsidR="00A825DF" w:rsidRPr="00201DA2">
        <w:rPr>
          <w:sz w:val="22"/>
          <w:szCs w:val="22"/>
        </w:rPr>
        <w:t>police</w:t>
      </w:r>
      <w:r w:rsidR="00660831" w:rsidRPr="00201DA2">
        <w:rPr>
          <w:sz w:val="22"/>
          <w:szCs w:val="22"/>
        </w:rPr>
        <w:t xml:space="preserve"> reportedly shot and killed </w:t>
      </w:r>
      <w:r w:rsidR="00C36AD3" w:rsidRPr="00201DA2">
        <w:rPr>
          <w:sz w:val="22"/>
          <w:szCs w:val="22"/>
        </w:rPr>
        <w:t>99</w:t>
      </w:r>
      <w:r w:rsidR="00A825DF" w:rsidRPr="00201DA2">
        <w:rPr>
          <w:sz w:val="22"/>
          <w:szCs w:val="22"/>
        </w:rPr>
        <w:t xml:space="preserve">6 people in the </w:t>
      </w:r>
      <w:r w:rsidR="005048AB" w:rsidRPr="00201DA2">
        <w:rPr>
          <w:sz w:val="22"/>
          <w:szCs w:val="22"/>
        </w:rPr>
        <w:t>US.</w:t>
      </w:r>
      <w:r w:rsidR="005048AB" w:rsidRPr="00201DA2">
        <w:rPr>
          <w:rStyle w:val="FootnoteReference"/>
          <w:sz w:val="22"/>
          <w:szCs w:val="22"/>
        </w:rPr>
        <w:footnoteReference w:id="21"/>
      </w:r>
      <w:r w:rsidR="00A825DF" w:rsidRPr="00201DA2">
        <w:rPr>
          <w:sz w:val="22"/>
          <w:szCs w:val="22"/>
        </w:rPr>
        <w:t xml:space="preserve"> Of those killed, whose race is known, 2</w:t>
      </w:r>
      <w:r w:rsidR="003A79BA" w:rsidRPr="00201DA2">
        <w:rPr>
          <w:sz w:val="22"/>
          <w:szCs w:val="22"/>
        </w:rPr>
        <w:t>6</w:t>
      </w:r>
      <w:r w:rsidR="00A825DF" w:rsidRPr="00201DA2">
        <w:rPr>
          <w:sz w:val="22"/>
          <w:szCs w:val="22"/>
        </w:rPr>
        <w:t xml:space="preserve"> percent were black.</w:t>
      </w:r>
      <w:r w:rsidR="005048AB" w:rsidRPr="00201DA2">
        <w:rPr>
          <w:rStyle w:val="FootnoteReference"/>
          <w:sz w:val="22"/>
          <w:szCs w:val="22"/>
        </w:rPr>
        <w:footnoteReference w:id="22"/>
      </w:r>
      <w:r w:rsidR="00A825DF" w:rsidRPr="00201DA2">
        <w:rPr>
          <w:sz w:val="22"/>
          <w:szCs w:val="22"/>
        </w:rPr>
        <w:t xml:space="preserve"> Of the unarmed people</w:t>
      </w:r>
      <w:r w:rsidR="003A79BA" w:rsidRPr="00201DA2">
        <w:rPr>
          <w:sz w:val="22"/>
          <w:szCs w:val="22"/>
        </w:rPr>
        <w:t xml:space="preserve"> of known race</w:t>
      </w:r>
      <w:r w:rsidR="00A825DF" w:rsidRPr="00201DA2">
        <w:rPr>
          <w:sz w:val="22"/>
          <w:szCs w:val="22"/>
        </w:rPr>
        <w:t xml:space="preserve"> killed by police, 3</w:t>
      </w:r>
      <w:r w:rsidR="003A79BA" w:rsidRPr="00201DA2">
        <w:rPr>
          <w:sz w:val="22"/>
          <w:szCs w:val="22"/>
        </w:rPr>
        <w:t>8</w:t>
      </w:r>
      <w:r w:rsidR="00A825DF" w:rsidRPr="00201DA2">
        <w:rPr>
          <w:sz w:val="22"/>
          <w:szCs w:val="22"/>
        </w:rPr>
        <w:t xml:space="preserve"> percent were black.</w:t>
      </w:r>
      <w:r w:rsidR="003A79BA" w:rsidRPr="00201DA2">
        <w:rPr>
          <w:rStyle w:val="FootnoteReference"/>
          <w:sz w:val="22"/>
          <w:szCs w:val="22"/>
        </w:rPr>
        <w:footnoteReference w:id="23"/>
      </w:r>
      <w:r w:rsidR="00A825DF" w:rsidRPr="00201DA2">
        <w:rPr>
          <w:sz w:val="22"/>
          <w:szCs w:val="22"/>
        </w:rPr>
        <w:t xml:space="preserve"> The Justice Department</w:t>
      </w:r>
      <w:r w:rsidR="0090068E" w:rsidRPr="00201DA2">
        <w:rPr>
          <w:sz w:val="22"/>
          <w:szCs w:val="22"/>
        </w:rPr>
        <w:t xml:space="preserve"> rolled</w:t>
      </w:r>
      <w:r w:rsidRPr="00201DA2">
        <w:rPr>
          <w:sz w:val="22"/>
          <w:szCs w:val="22"/>
        </w:rPr>
        <w:t xml:space="preserve"> back </w:t>
      </w:r>
      <w:r w:rsidR="00A825DF" w:rsidRPr="00201DA2">
        <w:rPr>
          <w:sz w:val="22"/>
          <w:szCs w:val="22"/>
        </w:rPr>
        <w:t>efforts to investigate local police departments following credible reports of systemic constitutional violations. Some state governments have</w:t>
      </w:r>
      <w:r w:rsidR="0090068E" w:rsidRPr="00201DA2">
        <w:rPr>
          <w:sz w:val="22"/>
          <w:szCs w:val="22"/>
        </w:rPr>
        <w:t xml:space="preserve"> taken on </w:t>
      </w:r>
      <w:r w:rsidR="00A825DF" w:rsidRPr="00201DA2">
        <w:rPr>
          <w:sz w:val="22"/>
          <w:szCs w:val="22"/>
        </w:rPr>
        <w:t>this oversight role. Racial</w:t>
      </w:r>
      <w:r w:rsidR="00DF1958" w:rsidRPr="00201DA2">
        <w:rPr>
          <w:sz w:val="22"/>
          <w:szCs w:val="22"/>
        </w:rPr>
        <w:t xml:space="preserve"> disparities in police use of force</w:t>
      </w:r>
      <w:r w:rsidR="00A825DF" w:rsidRPr="00201DA2">
        <w:rPr>
          <w:sz w:val="22"/>
          <w:szCs w:val="22"/>
        </w:rPr>
        <w:t xml:space="preserve">, arrests, citations, and </w:t>
      </w:r>
      <w:r w:rsidR="00DF1958" w:rsidRPr="00201DA2">
        <w:rPr>
          <w:sz w:val="22"/>
          <w:szCs w:val="22"/>
        </w:rPr>
        <w:t xml:space="preserve">traffic </w:t>
      </w:r>
      <w:r w:rsidR="00A825DF" w:rsidRPr="00201DA2">
        <w:rPr>
          <w:sz w:val="22"/>
          <w:szCs w:val="22"/>
        </w:rPr>
        <w:t>stops continue.</w:t>
      </w:r>
      <w:r w:rsidR="00403CCA" w:rsidRPr="00201DA2">
        <w:rPr>
          <w:rStyle w:val="FootnoteReference"/>
          <w:color w:val="000000"/>
          <w:sz w:val="22"/>
          <w:szCs w:val="22"/>
        </w:rPr>
        <w:footnoteReference w:id="24"/>
      </w:r>
    </w:p>
    <w:p w14:paraId="13883A17" w14:textId="6C293B6D" w:rsidR="00B63607" w:rsidRPr="00201DA2" w:rsidRDefault="00B63607" w:rsidP="00A825DF">
      <w:pPr>
        <w:rPr>
          <w:color w:val="000000"/>
          <w:sz w:val="22"/>
          <w:szCs w:val="22"/>
        </w:rPr>
      </w:pPr>
    </w:p>
    <w:p w14:paraId="2E887F04" w14:textId="344F5C26" w:rsidR="00B63607" w:rsidRPr="00201DA2" w:rsidRDefault="00B63607" w:rsidP="00B63607">
      <w:pPr>
        <w:rPr>
          <w:sz w:val="22"/>
          <w:szCs w:val="22"/>
        </w:rPr>
      </w:pPr>
      <w:r w:rsidRPr="00201DA2" w:rsidDel="00403CCA">
        <w:rPr>
          <w:rStyle w:val="Hyperlink"/>
          <w:color w:val="auto"/>
          <w:sz w:val="22"/>
          <w:szCs w:val="22"/>
          <w:u w:val="none"/>
        </w:rPr>
        <w:t>Multiple</w:t>
      </w:r>
      <w:r w:rsidRPr="00201DA2" w:rsidDel="00403CCA">
        <w:rPr>
          <w:sz w:val="22"/>
          <w:szCs w:val="22"/>
        </w:rPr>
        <w:t xml:space="preserve"> </w:t>
      </w:r>
      <w:r w:rsidRPr="00201DA2" w:rsidDel="00403CCA">
        <w:rPr>
          <w:rStyle w:val="Hyperlink"/>
          <w:color w:val="auto"/>
          <w:sz w:val="22"/>
          <w:szCs w:val="22"/>
          <w:u w:val="none"/>
        </w:rPr>
        <w:t>organizations</w:t>
      </w:r>
      <w:r w:rsidRPr="00201DA2">
        <w:rPr>
          <w:rStyle w:val="FootnoteReference"/>
          <w:sz w:val="22"/>
          <w:szCs w:val="22"/>
        </w:rPr>
        <w:footnoteReference w:id="25"/>
      </w:r>
      <w:r w:rsidRPr="00201DA2" w:rsidDel="00403CCA">
        <w:rPr>
          <w:sz w:val="22"/>
          <w:szCs w:val="22"/>
        </w:rPr>
        <w:t xml:space="preserve"> and </w:t>
      </w:r>
      <w:r w:rsidRPr="00201DA2" w:rsidDel="00403CCA">
        <w:rPr>
          <w:rStyle w:val="Hyperlink"/>
          <w:color w:val="auto"/>
          <w:sz w:val="22"/>
          <w:szCs w:val="22"/>
          <w:u w:val="none"/>
        </w:rPr>
        <w:t>the government</w:t>
      </w:r>
      <w:r w:rsidR="00F76280" w:rsidRPr="00201DA2">
        <w:rPr>
          <w:rStyle w:val="Hyperlink"/>
          <w:color w:val="auto"/>
          <w:sz w:val="22"/>
          <w:szCs w:val="22"/>
          <w:u w:val="none"/>
        </w:rPr>
        <w:t>,</w:t>
      </w:r>
      <w:r w:rsidR="001D6724" w:rsidRPr="00201DA2">
        <w:rPr>
          <w:rStyle w:val="FootnoteReference"/>
          <w:sz w:val="22"/>
          <w:szCs w:val="22"/>
        </w:rPr>
        <w:footnoteReference w:id="26"/>
      </w:r>
      <w:r w:rsidRPr="00201DA2" w:rsidDel="00403CCA">
        <w:rPr>
          <w:rStyle w:val="Hyperlink"/>
          <w:color w:val="auto"/>
          <w:sz w:val="22"/>
          <w:szCs w:val="22"/>
          <w:u w:val="none"/>
        </w:rPr>
        <w:t xml:space="preserve"> which</w:t>
      </w:r>
      <w:r w:rsidRPr="00201DA2" w:rsidDel="00403CCA">
        <w:rPr>
          <w:sz w:val="22"/>
          <w:szCs w:val="22"/>
        </w:rPr>
        <w:t xml:space="preserve"> use different methodologies to collect different types of information about hate crimes, reported an increase in the number of hate-motivated incidents from prior years. </w:t>
      </w:r>
    </w:p>
    <w:p w14:paraId="4570A5D1" w14:textId="0D9617E6" w:rsidR="00411BAB" w:rsidRPr="00201DA2" w:rsidRDefault="00411BAB" w:rsidP="00A825DF">
      <w:pPr>
        <w:rPr>
          <w:color w:val="000000"/>
          <w:sz w:val="22"/>
          <w:szCs w:val="22"/>
        </w:rPr>
      </w:pPr>
    </w:p>
    <w:p w14:paraId="521F8548" w14:textId="2E9BCA5E" w:rsidR="00411BAB" w:rsidRPr="00201DA2" w:rsidRDefault="003E4D5A" w:rsidP="00A825DF">
      <w:pPr>
        <w:rPr>
          <w:color w:val="000000"/>
          <w:sz w:val="22"/>
          <w:szCs w:val="22"/>
        </w:rPr>
      </w:pPr>
      <w:r w:rsidRPr="00201DA2">
        <w:rPr>
          <w:color w:val="000000"/>
          <w:sz w:val="22"/>
          <w:szCs w:val="22"/>
        </w:rPr>
        <w:t xml:space="preserve">Since 2012, the </w:t>
      </w:r>
      <w:r w:rsidR="00411BAB" w:rsidRPr="00201DA2">
        <w:rPr>
          <w:color w:val="000000"/>
          <w:sz w:val="22"/>
          <w:szCs w:val="22"/>
        </w:rPr>
        <w:t xml:space="preserve">US has </w:t>
      </w:r>
      <w:r w:rsidR="004A617A" w:rsidRPr="00201DA2">
        <w:rPr>
          <w:color w:val="000000"/>
          <w:sz w:val="22"/>
          <w:szCs w:val="22"/>
        </w:rPr>
        <w:t xml:space="preserve">reportedly </w:t>
      </w:r>
      <w:r w:rsidR="00411BAB" w:rsidRPr="00201DA2">
        <w:rPr>
          <w:color w:val="000000"/>
          <w:sz w:val="22"/>
          <w:szCs w:val="22"/>
        </w:rPr>
        <w:t>held defendants in incommunicado detention for long of periods of time</w:t>
      </w:r>
      <w:r w:rsidR="004A617A" w:rsidRPr="00201DA2">
        <w:rPr>
          <w:color w:val="000000"/>
          <w:sz w:val="22"/>
          <w:szCs w:val="22"/>
        </w:rPr>
        <w:t>, in some cases up to 90 days,</w:t>
      </w:r>
      <w:r w:rsidR="00411BAB" w:rsidRPr="00201DA2">
        <w:rPr>
          <w:color w:val="000000"/>
          <w:sz w:val="22"/>
          <w:szCs w:val="22"/>
        </w:rPr>
        <w:t xml:space="preserve"> on</w:t>
      </w:r>
      <w:r w:rsidR="00BB1697" w:rsidRPr="00201DA2">
        <w:rPr>
          <w:color w:val="000000"/>
          <w:sz w:val="22"/>
          <w:szCs w:val="22"/>
        </w:rPr>
        <w:t xml:space="preserve"> </w:t>
      </w:r>
      <w:r w:rsidR="00411BAB" w:rsidRPr="00201DA2">
        <w:rPr>
          <w:color w:val="000000"/>
          <w:sz w:val="22"/>
          <w:szCs w:val="22"/>
        </w:rPr>
        <w:t>board US Coast Guard boats before bringing them to US shores and prosecuting them</w:t>
      </w:r>
      <w:r w:rsidRPr="00201DA2">
        <w:rPr>
          <w:color w:val="000000"/>
          <w:sz w:val="22"/>
          <w:szCs w:val="22"/>
        </w:rPr>
        <w:t xml:space="preserve"> for alleged drug crimes</w:t>
      </w:r>
      <w:r w:rsidR="00411BAB" w:rsidRPr="00201DA2">
        <w:rPr>
          <w:color w:val="000000"/>
          <w:sz w:val="22"/>
          <w:szCs w:val="22"/>
        </w:rPr>
        <w:t>. In many cases, the defendants have reported serious mistreatment.</w:t>
      </w:r>
      <w:r w:rsidR="00411BAB" w:rsidRPr="00201DA2">
        <w:rPr>
          <w:rStyle w:val="FootnoteReference"/>
          <w:color w:val="000000"/>
          <w:sz w:val="22"/>
          <w:szCs w:val="22"/>
        </w:rPr>
        <w:footnoteReference w:id="27"/>
      </w:r>
    </w:p>
    <w:p w14:paraId="452626A1" w14:textId="77777777" w:rsidR="00B10F54" w:rsidRPr="00201DA2" w:rsidRDefault="00B10F54" w:rsidP="00B10F54">
      <w:pPr>
        <w:pBdr>
          <w:top w:val="nil"/>
          <w:left w:val="nil"/>
          <w:bottom w:val="nil"/>
          <w:right w:val="nil"/>
          <w:between w:val="nil"/>
        </w:pBdr>
        <w:ind w:left="1440" w:hanging="720"/>
        <w:rPr>
          <w:rFonts w:eastAsia="Calibri"/>
          <w:color w:val="000000"/>
          <w:sz w:val="22"/>
          <w:szCs w:val="22"/>
        </w:rPr>
      </w:pPr>
    </w:p>
    <w:p w14:paraId="63A4B8AA" w14:textId="77777777" w:rsidR="00B10F54" w:rsidRPr="00201DA2" w:rsidRDefault="00B10F54" w:rsidP="00B10F54">
      <w:pPr>
        <w:pBdr>
          <w:top w:val="nil"/>
          <w:left w:val="nil"/>
          <w:bottom w:val="nil"/>
          <w:right w:val="nil"/>
          <w:between w:val="nil"/>
        </w:pBdr>
        <w:contextualSpacing/>
        <w:rPr>
          <w:rFonts w:eastAsia="Calibri"/>
          <w:color w:val="000000"/>
          <w:sz w:val="22"/>
          <w:szCs w:val="22"/>
        </w:rPr>
      </w:pPr>
      <w:r w:rsidRPr="00201DA2">
        <w:rPr>
          <w:rFonts w:eastAsia="Calibri"/>
          <w:b/>
          <w:color w:val="000000"/>
          <w:sz w:val="22"/>
          <w:szCs w:val="22"/>
        </w:rPr>
        <w:t>Human Rights Committee General Comments and Related UN Body Recommendations</w:t>
      </w:r>
    </w:p>
    <w:p w14:paraId="604327EC" w14:textId="50B0B09A" w:rsidR="00840089" w:rsidRPr="00201DA2" w:rsidRDefault="00840089" w:rsidP="00BF55D6">
      <w:pPr>
        <w:pBdr>
          <w:top w:val="nil"/>
          <w:left w:val="nil"/>
          <w:bottom w:val="nil"/>
          <w:right w:val="nil"/>
          <w:between w:val="nil"/>
        </w:pBdr>
        <w:rPr>
          <w:rFonts w:eastAsia="Calibri"/>
          <w:color w:val="000000"/>
          <w:sz w:val="22"/>
          <w:szCs w:val="22"/>
        </w:rPr>
      </w:pPr>
      <w:r w:rsidRPr="00201DA2">
        <w:rPr>
          <w:rFonts w:eastAsia="Calibri"/>
          <w:color w:val="000000"/>
          <w:sz w:val="22"/>
          <w:szCs w:val="22"/>
        </w:rPr>
        <w:t>The Committee has repeatedly reminded States that the obligation of non-discrim</w:t>
      </w:r>
      <w:r w:rsidR="00D07C44" w:rsidRPr="00201DA2">
        <w:rPr>
          <w:rFonts w:eastAsia="Calibri"/>
          <w:color w:val="000000"/>
          <w:sz w:val="22"/>
          <w:szCs w:val="22"/>
        </w:rPr>
        <w:t>in</w:t>
      </w:r>
      <w:r w:rsidRPr="00201DA2">
        <w:rPr>
          <w:rFonts w:eastAsia="Calibri"/>
          <w:color w:val="000000"/>
          <w:sz w:val="22"/>
          <w:szCs w:val="22"/>
        </w:rPr>
        <w:t>ation requires protection against discrimination in law as well as in fact.</w:t>
      </w:r>
      <w:r w:rsidRPr="00201DA2">
        <w:rPr>
          <w:rStyle w:val="FootnoteReference"/>
          <w:rFonts w:eastAsia="Calibri"/>
          <w:color w:val="000000"/>
          <w:sz w:val="22"/>
          <w:szCs w:val="22"/>
        </w:rPr>
        <w:footnoteReference w:id="28"/>
      </w:r>
      <w:r w:rsidRPr="00201DA2">
        <w:rPr>
          <w:rFonts w:eastAsia="Calibri"/>
          <w:color w:val="000000"/>
          <w:sz w:val="22"/>
          <w:szCs w:val="22"/>
        </w:rPr>
        <w:t xml:space="preserve"> </w:t>
      </w:r>
      <w:r w:rsidR="00BF55D6" w:rsidRPr="00201DA2">
        <w:rPr>
          <w:rFonts w:eastAsia="Calibri"/>
          <w:color w:val="000000"/>
          <w:sz w:val="22"/>
          <w:szCs w:val="22"/>
        </w:rPr>
        <w:t xml:space="preserve">Similarly, </w:t>
      </w:r>
      <w:r w:rsidR="00D07C44" w:rsidRPr="00201DA2">
        <w:rPr>
          <w:rFonts w:eastAsia="Calibri"/>
          <w:color w:val="000000"/>
          <w:sz w:val="22"/>
          <w:szCs w:val="22"/>
        </w:rPr>
        <w:t>t</w:t>
      </w:r>
      <w:r w:rsidR="00BF55D6" w:rsidRPr="00201DA2">
        <w:rPr>
          <w:rFonts w:eastAsia="Calibri"/>
          <w:color w:val="000000"/>
          <w:sz w:val="22"/>
          <w:szCs w:val="22"/>
        </w:rPr>
        <w:t>he International Convention on the Elimination of all Forms of Racial Discrimination (CERD), which the U</w:t>
      </w:r>
      <w:r w:rsidR="00D07C44" w:rsidRPr="00201DA2">
        <w:rPr>
          <w:rFonts w:eastAsia="Calibri"/>
          <w:color w:val="000000"/>
          <w:sz w:val="22"/>
          <w:szCs w:val="22"/>
        </w:rPr>
        <w:t>nited States</w:t>
      </w:r>
      <w:r w:rsidR="00BF55D6" w:rsidRPr="00201DA2">
        <w:rPr>
          <w:rFonts w:eastAsia="Calibri"/>
          <w:color w:val="000000"/>
          <w:sz w:val="22"/>
          <w:szCs w:val="22"/>
        </w:rPr>
        <w:t xml:space="preserve"> </w:t>
      </w:r>
      <w:r w:rsidR="00D07C44" w:rsidRPr="00201DA2">
        <w:rPr>
          <w:rFonts w:eastAsia="Calibri"/>
          <w:color w:val="000000"/>
          <w:sz w:val="22"/>
          <w:szCs w:val="22"/>
        </w:rPr>
        <w:t>has ratified</w:t>
      </w:r>
      <w:r w:rsidR="00BF55D6" w:rsidRPr="00201DA2">
        <w:rPr>
          <w:rFonts w:eastAsia="Calibri"/>
          <w:color w:val="000000"/>
          <w:sz w:val="22"/>
          <w:szCs w:val="22"/>
        </w:rPr>
        <w:t xml:space="preserve">, defines </w:t>
      </w:r>
      <w:r w:rsidR="00BF55D6" w:rsidRPr="00201DA2">
        <w:rPr>
          <w:rFonts w:eastAsia="Calibri"/>
          <w:color w:val="000000"/>
          <w:sz w:val="22"/>
          <w:szCs w:val="22"/>
        </w:rPr>
        <w:lastRenderedPageBreak/>
        <w:t>race discrimination as conduct that has the "purpose or effect" of restricting rights on the basis of race.</w:t>
      </w:r>
      <w:r w:rsidR="00BF55D6" w:rsidRPr="00201DA2">
        <w:rPr>
          <w:rStyle w:val="FootnoteReference"/>
          <w:rFonts w:eastAsia="Calibri"/>
          <w:color w:val="000000"/>
          <w:sz w:val="22"/>
          <w:szCs w:val="22"/>
        </w:rPr>
        <w:footnoteReference w:id="29"/>
      </w:r>
      <w:r w:rsidR="00BF55D6" w:rsidRPr="00201DA2">
        <w:rPr>
          <w:rFonts w:eastAsia="Calibri"/>
          <w:color w:val="000000"/>
          <w:sz w:val="22"/>
          <w:szCs w:val="22"/>
        </w:rPr>
        <w:t xml:space="preserve"> It proscribes race-neutral practices curtailing fundamental rights that unnecessarily create statistically significant racial disparities even in the absence of racial animus</w:t>
      </w:r>
      <w:r w:rsidR="0071729E" w:rsidRPr="00201DA2">
        <w:rPr>
          <w:rFonts w:eastAsia="Calibri"/>
          <w:color w:val="000000"/>
          <w:sz w:val="22"/>
          <w:szCs w:val="22"/>
        </w:rPr>
        <w:t xml:space="preserve"> and</w:t>
      </w:r>
      <w:r w:rsidR="00BF55D6" w:rsidRPr="00201DA2">
        <w:rPr>
          <w:rStyle w:val="FootnoteReference"/>
          <w:rFonts w:eastAsia="Calibri"/>
          <w:color w:val="000000"/>
          <w:sz w:val="22"/>
          <w:szCs w:val="22"/>
        </w:rPr>
        <w:footnoteReference w:id="30"/>
      </w:r>
      <w:r w:rsidR="00BF55D6" w:rsidRPr="00201DA2">
        <w:rPr>
          <w:rFonts w:eastAsia="Calibri"/>
          <w:color w:val="000000"/>
          <w:sz w:val="22"/>
          <w:szCs w:val="22"/>
        </w:rPr>
        <w:t xml:space="preserve"> requires remedial action.</w:t>
      </w:r>
      <w:r w:rsidR="00BF55D6" w:rsidRPr="00201DA2">
        <w:rPr>
          <w:rStyle w:val="FootnoteReference"/>
          <w:rFonts w:eastAsia="Calibri"/>
          <w:color w:val="000000"/>
          <w:sz w:val="22"/>
          <w:szCs w:val="22"/>
        </w:rPr>
        <w:footnoteReference w:id="31"/>
      </w:r>
      <w:r w:rsidR="009E078F" w:rsidRPr="00201DA2">
        <w:rPr>
          <w:rFonts w:eastAsia="Calibri"/>
          <w:color w:val="000000"/>
          <w:sz w:val="22"/>
          <w:szCs w:val="22"/>
        </w:rPr>
        <w:t xml:space="preserve"> In its General Comment 18, the Committee explained that the Covenant’s “Article 20, paragraph 2, obligates States parties to prohibit, by law, any advocacy of national, racial or religious hatred which constitutes incitement to discrimination.”</w:t>
      </w:r>
      <w:r w:rsidR="00D5258F" w:rsidRPr="00201DA2">
        <w:rPr>
          <w:rStyle w:val="FootnoteReference"/>
          <w:rFonts w:eastAsia="Calibri"/>
          <w:color w:val="000000"/>
          <w:sz w:val="22"/>
          <w:szCs w:val="22"/>
        </w:rPr>
        <w:footnoteReference w:id="32"/>
      </w:r>
    </w:p>
    <w:p w14:paraId="25D3CABF" w14:textId="77777777" w:rsidR="00840089" w:rsidRPr="00201DA2" w:rsidRDefault="00840089" w:rsidP="00B10F54">
      <w:pPr>
        <w:pBdr>
          <w:top w:val="nil"/>
          <w:left w:val="nil"/>
          <w:bottom w:val="nil"/>
          <w:right w:val="nil"/>
          <w:between w:val="nil"/>
        </w:pBdr>
        <w:ind w:left="1440" w:hanging="720"/>
        <w:rPr>
          <w:rFonts w:eastAsia="Calibri"/>
          <w:color w:val="000000"/>
          <w:sz w:val="22"/>
          <w:szCs w:val="22"/>
        </w:rPr>
      </w:pPr>
    </w:p>
    <w:p w14:paraId="0806FE04" w14:textId="00C1C507" w:rsidR="00156472" w:rsidRPr="00201DA2" w:rsidRDefault="00B10F54" w:rsidP="00B10F54">
      <w:pPr>
        <w:pBdr>
          <w:top w:val="nil"/>
          <w:left w:val="nil"/>
          <w:bottom w:val="nil"/>
          <w:right w:val="nil"/>
          <w:between w:val="nil"/>
        </w:pBdr>
        <w:contextualSpacing/>
        <w:rPr>
          <w:rFonts w:eastAsia="Calibri"/>
          <w:b/>
          <w:color w:val="000000"/>
          <w:sz w:val="22"/>
          <w:szCs w:val="22"/>
        </w:rPr>
      </w:pPr>
      <w:r w:rsidRPr="00201DA2">
        <w:rPr>
          <w:rFonts w:eastAsia="Calibri"/>
          <w:b/>
          <w:color w:val="000000"/>
          <w:sz w:val="22"/>
          <w:szCs w:val="22"/>
        </w:rPr>
        <w:t>Recommended Questions</w:t>
      </w:r>
    </w:p>
    <w:p w14:paraId="24B05391" w14:textId="39A1C689" w:rsidR="00F43A58" w:rsidRPr="00201DA2" w:rsidRDefault="00F43A58" w:rsidP="00F43A58">
      <w:pPr>
        <w:pStyle w:val="ListParagraph"/>
        <w:numPr>
          <w:ilvl w:val="0"/>
          <w:numId w:val="11"/>
        </w:numPr>
        <w:pBdr>
          <w:top w:val="nil"/>
          <w:left w:val="nil"/>
          <w:bottom w:val="nil"/>
          <w:right w:val="nil"/>
          <w:between w:val="nil"/>
        </w:pBdr>
        <w:rPr>
          <w:rFonts w:eastAsia="Calibri"/>
          <w:b/>
          <w:color w:val="000000"/>
          <w:sz w:val="22"/>
          <w:szCs w:val="22"/>
        </w:rPr>
      </w:pPr>
      <w:r w:rsidRPr="00201DA2">
        <w:rPr>
          <w:rFonts w:eastAsia="Calibri"/>
          <w:color w:val="000000"/>
          <w:sz w:val="22"/>
          <w:szCs w:val="22"/>
        </w:rPr>
        <w:t>Why do so few incidents of police use of force in the United States lead to</w:t>
      </w:r>
      <w:r w:rsidR="009A4B24" w:rsidRPr="00201DA2">
        <w:rPr>
          <w:rFonts w:eastAsia="Calibri"/>
          <w:color w:val="000000"/>
          <w:sz w:val="22"/>
          <w:szCs w:val="22"/>
        </w:rPr>
        <w:t xml:space="preserve"> findings that officers were at fault, and</w:t>
      </w:r>
      <w:r w:rsidRPr="00201DA2">
        <w:rPr>
          <w:rFonts w:eastAsia="Calibri"/>
          <w:color w:val="000000"/>
          <w:sz w:val="22"/>
          <w:szCs w:val="22"/>
        </w:rPr>
        <w:t xml:space="preserve"> measures of legal accountability for those responsible?</w:t>
      </w:r>
    </w:p>
    <w:p w14:paraId="3A91A427" w14:textId="0DD9F3CA" w:rsidR="00F43A58" w:rsidRPr="00201DA2" w:rsidRDefault="00F43A58" w:rsidP="00F43A58">
      <w:pPr>
        <w:pStyle w:val="ListParagraph"/>
        <w:numPr>
          <w:ilvl w:val="0"/>
          <w:numId w:val="11"/>
        </w:numPr>
        <w:pBdr>
          <w:top w:val="nil"/>
          <w:left w:val="nil"/>
          <w:bottom w:val="nil"/>
          <w:right w:val="nil"/>
          <w:between w:val="nil"/>
        </w:pBdr>
        <w:rPr>
          <w:rFonts w:eastAsia="Calibri"/>
          <w:b/>
          <w:color w:val="000000"/>
          <w:sz w:val="22"/>
          <w:szCs w:val="22"/>
        </w:rPr>
      </w:pPr>
      <w:r w:rsidRPr="00201DA2">
        <w:rPr>
          <w:rFonts w:eastAsia="Calibri"/>
          <w:color w:val="000000"/>
          <w:sz w:val="22"/>
          <w:szCs w:val="22"/>
        </w:rPr>
        <w:t>Since racial disparities in drug arrests cannot be explained by differences in drug usage between racial groups, why do such disparities persist?</w:t>
      </w:r>
    </w:p>
    <w:p w14:paraId="6F4EC44A" w14:textId="77777777" w:rsidR="00B30FC1" w:rsidRPr="00201DA2" w:rsidRDefault="00CF1CC8" w:rsidP="009E078F">
      <w:pPr>
        <w:pStyle w:val="ListParagraph"/>
        <w:numPr>
          <w:ilvl w:val="0"/>
          <w:numId w:val="17"/>
        </w:numPr>
        <w:pBdr>
          <w:top w:val="nil"/>
          <w:left w:val="nil"/>
          <w:bottom w:val="nil"/>
          <w:right w:val="nil"/>
          <w:between w:val="nil"/>
        </w:pBdr>
        <w:rPr>
          <w:rFonts w:eastAsia="Calibri"/>
          <w:color w:val="000000"/>
          <w:sz w:val="22"/>
          <w:szCs w:val="22"/>
        </w:rPr>
      </w:pPr>
      <w:r w:rsidRPr="00201DA2">
        <w:rPr>
          <w:rFonts w:eastAsia="Calibri"/>
          <w:color w:val="000000"/>
          <w:sz w:val="22"/>
          <w:szCs w:val="22"/>
        </w:rPr>
        <w:t xml:space="preserve">Please explain, through detailed reference to data, and not through reference to isolated prosecutions of discrimination in federal courts, how the State Party believes it is upholding its obligation to address racial discrimination </w:t>
      </w:r>
      <w:r w:rsidRPr="00201DA2">
        <w:rPr>
          <w:rFonts w:eastAsia="Calibri"/>
          <w:i/>
          <w:color w:val="000000"/>
          <w:sz w:val="22"/>
          <w:szCs w:val="22"/>
        </w:rPr>
        <w:t>in fact</w:t>
      </w:r>
      <w:r w:rsidRPr="00201DA2">
        <w:rPr>
          <w:rFonts w:eastAsia="Calibri"/>
          <w:color w:val="000000"/>
          <w:sz w:val="22"/>
          <w:szCs w:val="22"/>
        </w:rPr>
        <w:t xml:space="preserve"> in its state and federal criminal legal systems?</w:t>
      </w:r>
    </w:p>
    <w:p w14:paraId="1548E420" w14:textId="6336A065" w:rsidR="00512762" w:rsidRPr="00201DA2" w:rsidRDefault="009E078F">
      <w:pPr>
        <w:pStyle w:val="ListParagraph"/>
        <w:numPr>
          <w:ilvl w:val="0"/>
          <w:numId w:val="17"/>
        </w:numPr>
        <w:pBdr>
          <w:top w:val="nil"/>
          <w:left w:val="nil"/>
          <w:bottom w:val="nil"/>
          <w:right w:val="nil"/>
          <w:between w:val="nil"/>
        </w:pBdr>
        <w:rPr>
          <w:rFonts w:eastAsia="Calibri"/>
          <w:color w:val="000000"/>
          <w:sz w:val="22"/>
          <w:szCs w:val="22"/>
        </w:rPr>
      </w:pPr>
      <w:r w:rsidRPr="00201DA2">
        <w:rPr>
          <w:rFonts w:eastAsia="Calibri"/>
          <w:color w:val="000000"/>
          <w:sz w:val="22"/>
          <w:szCs w:val="22"/>
        </w:rPr>
        <w:t>What steps</w:t>
      </w:r>
      <w:r w:rsidR="009A4B24" w:rsidRPr="00201DA2">
        <w:rPr>
          <w:rFonts w:eastAsia="Calibri"/>
          <w:color w:val="000000"/>
          <w:sz w:val="22"/>
          <w:szCs w:val="22"/>
        </w:rPr>
        <w:t xml:space="preserve"> if any</w:t>
      </w:r>
      <w:r w:rsidRPr="00201DA2">
        <w:rPr>
          <w:rFonts w:eastAsia="Calibri"/>
          <w:color w:val="000000"/>
          <w:sz w:val="22"/>
          <w:szCs w:val="22"/>
        </w:rPr>
        <w:t xml:space="preserve"> has the State Party taken to ensure all rights within the Covenant, including the right to life, are enjoyed by all people in the United States, along with </w:t>
      </w:r>
      <w:r w:rsidRPr="00201DA2">
        <w:rPr>
          <w:bCs/>
          <w:sz w:val="22"/>
          <w:szCs w:val="22"/>
        </w:rPr>
        <w:t>equality before the law and equal protection of the law, without discrimination?</w:t>
      </w:r>
    </w:p>
    <w:p w14:paraId="21024E99" w14:textId="74DE755A" w:rsidR="00A86A2D" w:rsidRPr="00201DA2" w:rsidRDefault="00A86A2D" w:rsidP="00512762">
      <w:pPr>
        <w:pStyle w:val="ListParagraph"/>
        <w:numPr>
          <w:ilvl w:val="0"/>
          <w:numId w:val="17"/>
        </w:numPr>
        <w:pBdr>
          <w:top w:val="nil"/>
          <w:left w:val="nil"/>
          <w:bottom w:val="nil"/>
          <w:right w:val="nil"/>
          <w:between w:val="nil"/>
        </w:pBdr>
        <w:rPr>
          <w:rFonts w:eastAsia="Calibri"/>
          <w:color w:val="000000"/>
          <w:sz w:val="22"/>
          <w:szCs w:val="22"/>
        </w:rPr>
      </w:pPr>
      <w:r w:rsidRPr="00201DA2">
        <w:rPr>
          <w:rFonts w:eastAsia="Calibri"/>
          <w:color w:val="000000"/>
          <w:sz w:val="22"/>
          <w:szCs w:val="22"/>
        </w:rPr>
        <w:t>How does the US explain the reported prolonged, incommunicado detention, delayed presentment, and mistreatment of hundreds of detainees on board US Coast Guard ships?</w:t>
      </w:r>
    </w:p>
    <w:p w14:paraId="36ADDD16" w14:textId="77777777" w:rsidR="00A86A2D" w:rsidRPr="00201DA2" w:rsidRDefault="00A86A2D" w:rsidP="00B10F54">
      <w:pPr>
        <w:pBdr>
          <w:top w:val="nil"/>
          <w:left w:val="nil"/>
          <w:bottom w:val="nil"/>
          <w:right w:val="nil"/>
          <w:between w:val="nil"/>
        </w:pBdr>
        <w:contextualSpacing/>
        <w:rPr>
          <w:rFonts w:eastAsia="Calibri"/>
          <w:b/>
          <w:color w:val="000000"/>
          <w:sz w:val="22"/>
          <w:szCs w:val="22"/>
        </w:rPr>
      </w:pPr>
    </w:p>
    <w:p w14:paraId="3EBFB164" w14:textId="0DDEC811" w:rsidR="00B10F54" w:rsidRPr="00201DA2" w:rsidRDefault="00B10F54" w:rsidP="00B10F54">
      <w:pPr>
        <w:pBdr>
          <w:top w:val="nil"/>
          <w:left w:val="nil"/>
          <w:bottom w:val="nil"/>
          <w:right w:val="nil"/>
          <w:between w:val="nil"/>
        </w:pBdr>
        <w:contextualSpacing/>
        <w:rPr>
          <w:rFonts w:eastAsia="Calibri"/>
          <w:b/>
          <w:color w:val="000000"/>
          <w:sz w:val="22"/>
          <w:szCs w:val="22"/>
        </w:rPr>
      </w:pPr>
      <w:r w:rsidRPr="00201DA2">
        <w:rPr>
          <w:rFonts w:eastAsia="Calibri"/>
          <w:b/>
          <w:color w:val="000000"/>
          <w:sz w:val="22"/>
          <w:szCs w:val="22"/>
        </w:rPr>
        <w:t>Suggested Recommendations</w:t>
      </w:r>
    </w:p>
    <w:p w14:paraId="41803629" w14:textId="4837D7F5" w:rsidR="00F43A58" w:rsidRPr="00201DA2" w:rsidRDefault="00F43A58" w:rsidP="00F43A58">
      <w:pPr>
        <w:pStyle w:val="ListParagraph"/>
        <w:numPr>
          <w:ilvl w:val="0"/>
          <w:numId w:val="10"/>
        </w:numPr>
        <w:pBdr>
          <w:top w:val="nil"/>
          <w:left w:val="nil"/>
          <w:bottom w:val="nil"/>
          <w:right w:val="nil"/>
          <w:between w:val="nil"/>
        </w:pBdr>
        <w:rPr>
          <w:rFonts w:eastAsia="Calibri"/>
          <w:color w:val="000000"/>
          <w:sz w:val="22"/>
          <w:szCs w:val="22"/>
        </w:rPr>
      </w:pPr>
      <w:r w:rsidRPr="00201DA2">
        <w:rPr>
          <w:rFonts w:eastAsia="Calibri"/>
          <w:color w:val="000000"/>
          <w:sz w:val="22"/>
          <w:szCs w:val="22"/>
        </w:rPr>
        <w:t>The State Party should increase and strengthen its efforts to investigate</w:t>
      </w:r>
      <w:r w:rsidR="006C2031" w:rsidRPr="00201DA2">
        <w:rPr>
          <w:rFonts w:eastAsia="Calibri"/>
          <w:color w:val="000000"/>
          <w:sz w:val="22"/>
          <w:szCs w:val="22"/>
        </w:rPr>
        <w:t xml:space="preserve"> and hold accountable</w:t>
      </w:r>
      <w:r w:rsidRPr="00201DA2">
        <w:rPr>
          <w:rFonts w:eastAsia="Calibri"/>
          <w:color w:val="000000"/>
          <w:sz w:val="22"/>
          <w:szCs w:val="22"/>
        </w:rPr>
        <w:t xml:space="preserve"> local police departments following credible reports of violations under US or international human rights law.</w:t>
      </w:r>
    </w:p>
    <w:p w14:paraId="00ADDDBF" w14:textId="6E84AE2B" w:rsidR="002D2AF9" w:rsidRPr="00201DA2" w:rsidRDefault="007A12A6" w:rsidP="00F43A58">
      <w:pPr>
        <w:pStyle w:val="ListParagraph"/>
        <w:numPr>
          <w:ilvl w:val="0"/>
          <w:numId w:val="10"/>
        </w:numPr>
        <w:pBdr>
          <w:top w:val="nil"/>
          <w:left w:val="nil"/>
          <w:bottom w:val="nil"/>
          <w:right w:val="nil"/>
          <w:between w:val="nil"/>
        </w:pBdr>
        <w:rPr>
          <w:rFonts w:eastAsia="Calibri"/>
          <w:color w:val="000000"/>
          <w:sz w:val="22"/>
          <w:szCs w:val="22"/>
        </w:rPr>
      </w:pPr>
      <w:r w:rsidRPr="00201DA2">
        <w:rPr>
          <w:rFonts w:eastAsia="Calibri"/>
          <w:color w:val="000000"/>
          <w:sz w:val="22"/>
          <w:szCs w:val="22"/>
        </w:rPr>
        <w:t xml:space="preserve">The State Party should collect and publicize on </w:t>
      </w:r>
      <w:r w:rsidR="008F0AE2" w:rsidRPr="00201DA2">
        <w:rPr>
          <w:rFonts w:eastAsia="Calibri"/>
          <w:color w:val="000000"/>
          <w:sz w:val="22"/>
          <w:szCs w:val="22"/>
        </w:rPr>
        <w:t xml:space="preserve">an </w:t>
      </w:r>
      <w:r w:rsidRPr="00201DA2">
        <w:rPr>
          <w:rFonts w:eastAsia="Calibri"/>
          <w:color w:val="000000"/>
          <w:sz w:val="22"/>
          <w:szCs w:val="22"/>
        </w:rPr>
        <w:t xml:space="preserve">annual basis nationwide data on incidents of federal and state law enforcement use of force and the race of </w:t>
      </w:r>
      <w:r w:rsidR="008F0AE2" w:rsidRPr="00201DA2">
        <w:rPr>
          <w:rFonts w:eastAsia="Calibri"/>
          <w:color w:val="000000"/>
          <w:sz w:val="22"/>
          <w:szCs w:val="22"/>
        </w:rPr>
        <w:t xml:space="preserve">those affected </w:t>
      </w:r>
      <w:r w:rsidR="00D07C44" w:rsidRPr="00201DA2">
        <w:rPr>
          <w:rFonts w:eastAsia="Calibri"/>
          <w:color w:val="000000"/>
          <w:sz w:val="22"/>
          <w:szCs w:val="22"/>
        </w:rPr>
        <w:t>and</w:t>
      </w:r>
      <w:r w:rsidRPr="00201DA2">
        <w:rPr>
          <w:rFonts w:eastAsia="Calibri"/>
          <w:color w:val="000000"/>
          <w:sz w:val="22"/>
          <w:szCs w:val="22"/>
        </w:rPr>
        <w:t xml:space="preserve"> law enforcement officers</w:t>
      </w:r>
      <w:r w:rsidR="008F0AE2" w:rsidRPr="00201DA2">
        <w:rPr>
          <w:rFonts w:eastAsia="Calibri"/>
          <w:color w:val="000000"/>
          <w:sz w:val="22"/>
          <w:szCs w:val="22"/>
        </w:rPr>
        <w:t xml:space="preserve"> involved</w:t>
      </w:r>
      <w:r w:rsidRPr="00201DA2">
        <w:rPr>
          <w:rFonts w:eastAsia="Calibri"/>
          <w:color w:val="000000"/>
          <w:sz w:val="22"/>
          <w:szCs w:val="22"/>
        </w:rPr>
        <w:t xml:space="preserve">, as well as any investigations </w:t>
      </w:r>
      <w:r w:rsidR="00D07C44" w:rsidRPr="00201DA2">
        <w:rPr>
          <w:rFonts w:eastAsia="Calibri"/>
          <w:color w:val="000000"/>
          <w:sz w:val="22"/>
          <w:szCs w:val="22"/>
        </w:rPr>
        <w:t xml:space="preserve">and all </w:t>
      </w:r>
      <w:r w:rsidRPr="00201DA2">
        <w:rPr>
          <w:rFonts w:eastAsia="Calibri"/>
          <w:color w:val="000000"/>
          <w:sz w:val="22"/>
          <w:szCs w:val="22"/>
        </w:rPr>
        <w:t>measures of accountability taken.</w:t>
      </w:r>
    </w:p>
    <w:p w14:paraId="467F3F25" w14:textId="7BBF496B" w:rsidR="000F1858" w:rsidRPr="00201DA2" w:rsidRDefault="00CF1CC8" w:rsidP="004B055F">
      <w:pPr>
        <w:pStyle w:val="ListParagraph"/>
        <w:numPr>
          <w:ilvl w:val="0"/>
          <w:numId w:val="10"/>
        </w:numPr>
        <w:pBdr>
          <w:top w:val="nil"/>
          <w:left w:val="nil"/>
          <w:bottom w:val="nil"/>
          <w:right w:val="nil"/>
          <w:between w:val="nil"/>
        </w:pBdr>
        <w:rPr>
          <w:rFonts w:eastAsia="Calibri"/>
          <w:color w:val="000000"/>
          <w:sz w:val="22"/>
          <w:szCs w:val="22"/>
        </w:rPr>
      </w:pPr>
      <w:r w:rsidRPr="00201DA2">
        <w:rPr>
          <w:rFonts w:eastAsia="Calibri"/>
          <w:color w:val="000000"/>
          <w:sz w:val="22"/>
          <w:szCs w:val="22"/>
        </w:rPr>
        <w:t xml:space="preserve">The State Party should take all effective steps necessary to end the experience of racial discrimination </w:t>
      </w:r>
      <w:r w:rsidRPr="00201DA2">
        <w:rPr>
          <w:rFonts w:eastAsia="Calibri"/>
          <w:i/>
          <w:color w:val="000000"/>
          <w:sz w:val="22"/>
          <w:szCs w:val="22"/>
        </w:rPr>
        <w:t>in fact</w:t>
      </w:r>
      <w:r w:rsidRPr="00201DA2">
        <w:rPr>
          <w:rFonts w:eastAsia="Calibri"/>
          <w:color w:val="000000"/>
          <w:sz w:val="22"/>
          <w:szCs w:val="22"/>
        </w:rPr>
        <w:t xml:space="preserve"> in US state and federal criminal legal systems</w:t>
      </w:r>
      <w:bookmarkEnd w:id="4"/>
      <w:r w:rsidR="00B56F8D" w:rsidRPr="00201DA2">
        <w:rPr>
          <w:rFonts w:eastAsia="Calibri"/>
          <w:color w:val="000000"/>
          <w:sz w:val="22"/>
          <w:szCs w:val="22"/>
        </w:rPr>
        <w:t xml:space="preserve"> and should e</w:t>
      </w:r>
      <w:r w:rsidR="009E078F" w:rsidRPr="00201DA2">
        <w:rPr>
          <w:rFonts w:eastAsia="Calibri"/>
          <w:color w:val="000000"/>
          <w:sz w:val="22"/>
          <w:szCs w:val="22"/>
        </w:rPr>
        <w:t>nsure all rights within the Covenant, including the right to life, are enjoyed by all people in the United States, along with equality before the law and equal protection of the law, without discrimination.</w:t>
      </w:r>
    </w:p>
    <w:p w14:paraId="7647317F" w14:textId="333127E1" w:rsidR="00A86A2D" w:rsidRPr="00201DA2" w:rsidRDefault="000F1858" w:rsidP="00A86A2D">
      <w:pPr>
        <w:pStyle w:val="ListParagraph"/>
        <w:numPr>
          <w:ilvl w:val="0"/>
          <w:numId w:val="10"/>
        </w:numPr>
        <w:pBdr>
          <w:top w:val="nil"/>
          <w:left w:val="nil"/>
          <w:bottom w:val="nil"/>
          <w:right w:val="nil"/>
          <w:between w:val="nil"/>
        </w:pBdr>
        <w:rPr>
          <w:rFonts w:eastAsia="Calibri"/>
          <w:color w:val="000000"/>
          <w:sz w:val="22"/>
          <w:szCs w:val="22"/>
        </w:rPr>
      </w:pPr>
      <w:r w:rsidRPr="00201DA2">
        <w:rPr>
          <w:rFonts w:eastAsia="Calibri"/>
          <w:color w:val="000000"/>
          <w:sz w:val="22"/>
          <w:szCs w:val="22"/>
        </w:rPr>
        <w:t>Ensure those detained on board US Coast Guard ships are treated humanely and the</w:t>
      </w:r>
      <w:r w:rsidR="003E4D5A" w:rsidRPr="00201DA2">
        <w:rPr>
          <w:rFonts w:eastAsia="Calibri"/>
          <w:color w:val="000000"/>
          <w:sz w:val="22"/>
          <w:szCs w:val="22"/>
        </w:rPr>
        <w:t>ir</w:t>
      </w:r>
      <w:r w:rsidRPr="00201DA2">
        <w:rPr>
          <w:rFonts w:eastAsia="Calibri"/>
          <w:color w:val="000000"/>
          <w:sz w:val="22"/>
          <w:szCs w:val="22"/>
        </w:rPr>
        <w:t xml:space="preserve"> right to be brought before a judge without unreasonable delay </w:t>
      </w:r>
      <w:r w:rsidR="003E4D5A" w:rsidRPr="00201DA2">
        <w:rPr>
          <w:rFonts w:eastAsia="Calibri"/>
          <w:color w:val="000000"/>
          <w:sz w:val="22"/>
          <w:szCs w:val="22"/>
        </w:rPr>
        <w:t xml:space="preserve">under Article 9 of the Covenant </w:t>
      </w:r>
      <w:r w:rsidRPr="00201DA2">
        <w:rPr>
          <w:rFonts w:eastAsia="Calibri"/>
          <w:color w:val="000000"/>
          <w:sz w:val="22"/>
          <w:szCs w:val="22"/>
        </w:rPr>
        <w:t>is respected</w:t>
      </w:r>
      <w:r w:rsidR="00A86A2D" w:rsidRPr="00201DA2">
        <w:rPr>
          <w:rFonts w:eastAsia="Calibri"/>
          <w:color w:val="000000"/>
          <w:sz w:val="22"/>
          <w:szCs w:val="22"/>
        </w:rPr>
        <w:t>.</w:t>
      </w:r>
    </w:p>
    <w:p w14:paraId="7099ACEE" w14:textId="75F3BF9C" w:rsidR="000F1858" w:rsidRPr="00201DA2" w:rsidRDefault="000F1858" w:rsidP="00A86A2D">
      <w:pPr>
        <w:pStyle w:val="ListParagraph"/>
        <w:pBdr>
          <w:top w:val="nil"/>
          <w:left w:val="nil"/>
          <w:bottom w:val="nil"/>
          <w:right w:val="nil"/>
          <w:between w:val="nil"/>
        </w:pBdr>
        <w:ind w:left="360"/>
        <w:rPr>
          <w:rFonts w:eastAsia="Calibri"/>
          <w:color w:val="000000"/>
          <w:sz w:val="22"/>
          <w:szCs w:val="22"/>
        </w:rPr>
      </w:pPr>
    </w:p>
    <w:p w14:paraId="6F618AE0" w14:textId="4E4D6B37" w:rsidR="007A12A6" w:rsidRPr="00201DA2" w:rsidRDefault="002D2AF9" w:rsidP="00FB1100">
      <w:pPr>
        <w:pBdr>
          <w:top w:val="nil"/>
          <w:left w:val="nil"/>
          <w:bottom w:val="nil"/>
          <w:right w:val="nil"/>
          <w:between w:val="nil"/>
        </w:pBdr>
        <w:jc w:val="center"/>
        <w:rPr>
          <w:b/>
          <w:sz w:val="22"/>
          <w:szCs w:val="22"/>
        </w:rPr>
      </w:pPr>
      <w:r w:rsidRPr="00201DA2">
        <w:rPr>
          <w:b/>
          <w:sz w:val="22"/>
          <w:szCs w:val="22"/>
        </w:rPr>
        <w:t>Children in the Adult Criminal and Juvenile Legal Systems</w:t>
      </w:r>
    </w:p>
    <w:p w14:paraId="0E7180A6" w14:textId="77777777" w:rsidR="00FB1100" w:rsidRPr="00201DA2" w:rsidRDefault="00FB1100" w:rsidP="00FB1100">
      <w:pPr>
        <w:pBdr>
          <w:top w:val="nil"/>
          <w:left w:val="nil"/>
          <w:bottom w:val="nil"/>
          <w:right w:val="nil"/>
          <w:between w:val="nil"/>
        </w:pBdr>
        <w:contextualSpacing/>
        <w:rPr>
          <w:rFonts w:eastAsia="Calibri"/>
          <w:b/>
          <w:color w:val="000000"/>
          <w:sz w:val="22"/>
          <w:szCs w:val="22"/>
        </w:rPr>
      </w:pPr>
    </w:p>
    <w:p w14:paraId="1E1EF550" w14:textId="33612085" w:rsidR="00FB1100" w:rsidRPr="00201DA2" w:rsidRDefault="00FB1100" w:rsidP="00FB1100">
      <w:pPr>
        <w:pBdr>
          <w:top w:val="nil"/>
          <w:left w:val="nil"/>
          <w:bottom w:val="nil"/>
          <w:right w:val="nil"/>
          <w:between w:val="nil"/>
        </w:pBdr>
        <w:contextualSpacing/>
        <w:rPr>
          <w:rFonts w:eastAsia="Calibri"/>
          <w:b/>
          <w:color w:val="000000"/>
          <w:sz w:val="22"/>
          <w:szCs w:val="22"/>
        </w:rPr>
      </w:pPr>
      <w:r w:rsidRPr="00201DA2">
        <w:rPr>
          <w:rFonts w:eastAsia="Calibri"/>
          <w:b/>
          <w:color w:val="000000"/>
          <w:sz w:val="22"/>
          <w:szCs w:val="22"/>
        </w:rPr>
        <w:t>Summary</w:t>
      </w:r>
    </w:p>
    <w:p w14:paraId="30295B58" w14:textId="7F85AF52" w:rsidR="00FB1100" w:rsidRPr="00201DA2" w:rsidRDefault="00FB1100" w:rsidP="00FB1100">
      <w:pPr>
        <w:pBdr>
          <w:top w:val="nil"/>
          <w:left w:val="nil"/>
          <w:bottom w:val="nil"/>
          <w:right w:val="nil"/>
          <w:between w:val="nil"/>
        </w:pBdr>
        <w:contextualSpacing/>
        <w:rPr>
          <w:rFonts w:eastAsia="Calibri"/>
          <w:color w:val="000000"/>
          <w:sz w:val="22"/>
          <w:szCs w:val="22"/>
        </w:rPr>
      </w:pPr>
      <w:r w:rsidRPr="00201DA2">
        <w:rPr>
          <w:rFonts w:eastAsia="Calibri"/>
          <w:color w:val="000000"/>
          <w:sz w:val="22"/>
          <w:szCs w:val="22"/>
        </w:rPr>
        <w:t xml:space="preserve">Despite important and meaningful reforms, </w:t>
      </w:r>
      <w:r w:rsidR="00641420" w:rsidRPr="00201DA2">
        <w:rPr>
          <w:rFonts w:eastAsia="Calibri"/>
          <w:color w:val="000000"/>
          <w:sz w:val="22"/>
          <w:szCs w:val="22"/>
        </w:rPr>
        <w:t>t</w:t>
      </w:r>
      <w:r w:rsidRPr="00201DA2">
        <w:rPr>
          <w:rFonts w:eastAsia="Calibri"/>
          <w:color w:val="000000"/>
          <w:sz w:val="22"/>
          <w:szCs w:val="22"/>
        </w:rPr>
        <w:t>he United States continues to sentence children to life without the possibility of parole, in violation of its treaty obligations. In addition, children of color face disproportionately harsh treatment in the federal and state criminal legal system. The system-wide prosecution, trial and incarceration of children as adults persists in the United States, often in violation of the principle of proportionality</w:t>
      </w:r>
      <w:r w:rsidR="00CF1CC8" w:rsidRPr="00201DA2">
        <w:rPr>
          <w:rFonts w:eastAsia="Calibri"/>
          <w:color w:val="000000"/>
          <w:sz w:val="22"/>
          <w:szCs w:val="22"/>
        </w:rPr>
        <w:t xml:space="preserve"> and of the human rights of children</w:t>
      </w:r>
      <w:r w:rsidRPr="00201DA2">
        <w:rPr>
          <w:rFonts w:eastAsia="Calibri"/>
          <w:color w:val="000000"/>
          <w:sz w:val="22"/>
          <w:szCs w:val="22"/>
        </w:rPr>
        <w:t>.</w:t>
      </w:r>
    </w:p>
    <w:p w14:paraId="24B5AE3E" w14:textId="77777777" w:rsidR="00FB1100" w:rsidRPr="00201DA2" w:rsidRDefault="00FB1100" w:rsidP="00FB1100">
      <w:pPr>
        <w:pBdr>
          <w:top w:val="nil"/>
          <w:left w:val="nil"/>
          <w:bottom w:val="nil"/>
          <w:right w:val="nil"/>
          <w:between w:val="nil"/>
        </w:pBdr>
        <w:rPr>
          <w:rFonts w:eastAsia="Calibri"/>
          <w:color w:val="000000"/>
          <w:sz w:val="22"/>
          <w:szCs w:val="22"/>
        </w:rPr>
      </w:pPr>
    </w:p>
    <w:p w14:paraId="68EA527E" w14:textId="6DB2BC27" w:rsidR="00FB1100" w:rsidRPr="00201DA2" w:rsidRDefault="00FB1100" w:rsidP="00FB1100">
      <w:pPr>
        <w:pBdr>
          <w:top w:val="nil"/>
          <w:left w:val="nil"/>
          <w:bottom w:val="nil"/>
          <w:right w:val="nil"/>
          <w:between w:val="nil"/>
        </w:pBdr>
        <w:contextualSpacing/>
        <w:rPr>
          <w:rFonts w:eastAsia="Calibri"/>
          <w:b/>
          <w:color w:val="000000"/>
          <w:sz w:val="22"/>
          <w:szCs w:val="22"/>
          <w:lang w:val="fr-FR"/>
        </w:rPr>
      </w:pPr>
      <w:r w:rsidRPr="00201DA2">
        <w:rPr>
          <w:rFonts w:eastAsia="Calibri"/>
          <w:b/>
          <w:color w:val="000000"/>
          <w:sz w:val="22"/>
          <w:szCs w:val="22"/>
          <w:lang w:val="fr-FR"/>
        </w:rPr>
        <w:t>Relevant ICCPR Articles</w:t>
      </w:r>
    </w:p>
    <w:p w14:paraId="7CE911DC" w14:textId="6AE5536E" w:rsidR="00641420" w:rsidRPr="00201DA2" w:rsidRDefault="00641420" w:rsidP="00FB1100">
      <w:pPr>
        <w:pBdr>
          <w:top w:val="nil"/>
          <w:left w:val="nil"/>
          <w:bottom w:val="nil"/>
          <w:right w:val="nil"/>
          <w:between w:val="nil"/>
        </w:pBdr>
        <w:contextualSpacing/>
        <w:rPr>
          <w:rFonts w:eastAsia="Calibri"/>
          <w:b/>
          <w:color w:val="000000"/>
          <w:sz w:val="22"/>
          <w:szCs w:val="22"/>
          <w:lang w:val="fr-FR"/>
        </w:rPr>
      </w:pPr>
      <w:r w:rsidRPr="00201DA2">
        <w:rPr>
          <w:sz w:val="22"/>
          <w:szCs w:val="22"/>
          <w:lang w:val="fr-FR"/>
        </w:rPr>
        <w:t>Articles 2,</w:t>
      </w:r>
      <w:r w:rsidR="009C123D" w:rsidRPr="00201DA2">
        <w:rPr>
          <w:sz w:val="22"/>
          <w:szCs w:val="22"/>
          <w:lang w:val="fr-FR"/>
        </w:rPr>
        <w:t xml:space="preserve"> 6, 7,</w:t>
      </w:r>
      <w:r w:rsidRPr="00201DA2">
        <w:rPr>
          <w:sz w:val="22"/>
          <w:szCs w:val="22"/>
          <w:lang w:val="fr-FR"/>
        </w:rPr>
        <w:t xml:space="preserve"> 9, 12, 14, 17 and 2</w:t>
      </w:r>
      <w:r w:rsidR="009C123D" w:rsidRPr="00201DA2">
        <w:rPr>
          <w:sz w:val="22"/>
          <w:szCs w:val="22"/>
          <w:lang w:val="fr-FR"/>
        </w:rPr>
        <w:t>6</w:t>
      </w:r>
      <w:r w:rsidRPr="00201DA2">
        <w:rPr>
          <w:sz w:val="22"/>
          <w:szCs w:val="22"/>
          <w:lang w:val="fr-FR"/>
        </w:rPr>
        <w:t>.</w:t>
      </w:r>
      <w:r w:rsidR="009C123D" w:rsidRPr="00201DA2">
        <w:rPr>
          <w:sz w:val="22"/>
          <w:szCs w:val="22"/>
          <w:lang w:val="fr-FR"/>
        </w:rPr>
        <w:t xml:space="preserve"> </w:t>
      </w:r>
    </w:p>
    <w:p w14:paraId="006BA10A" w14:textId="77777777" w:rsidR="00FB1100" w:rsidRPr="00201DA2" w:rsidRDefault="00FB1100" w:rsidP="00FB1100">
      <w:pPr>
        <w:pBdr>
          <w:top w:val="nil"/>
          <w:left w:val="nil"/>
          <w:bottom w:val="nil"/>
          <w:right w:val="nil"/>
          <w:between w:val="nil"/>
        </w:pBdr>
        <w:contextualSpacing/>
        <w:rPr>
          <w:rFonts w:eastAsia="Calibri"/>
          <w:color w:val="000000"/>
          <w:sz w:val="22"/>
          <w:szCs w:val="22"/>
          <w:lang w:val="fr-FR"/>
        </w:rPr>
      </w:pPr>
    </w:p>
    <w:p w14:paraId="3C0DBA60" w14:textId="11CF83CE" w:rsidR="00FB1100" w:rsidRPr="00201DA2" w:rsidRDefault="00FB1100" w:rsidP="00FB1100">
      <w:pPr>
        <w:pBdr>
          <w:top w:val="nil"/>
          <w:left w:val="nil"/>
          <w:bottom w:val="nil"/>
          <w:right w:val="nil"/>
          <w:between w:val="nil"/>
        </w:pBdr>
        <w:contextualSpacing/>
        <w:rPr>
          <w:rFonts w:eastAsia="Calibri"/>
          <w:b/>
          <w:color w:val="000000"/>
          <w:sz w:val="22"/>
          <w:szCs w:val="22"/>
        </w:rPr>
      </w:pPr>
      <w:r w:rsidRPr="00201DA2">
        <w:rPr>
          <w:rFonts w:eastAsia="Calibri"/>
          <w:b/>
          <w:color w:val="000000"/>
          <w:sz w:val="22"/>
          <w:szCs w:val="22"/>
        </w:rPr>
        <w:t>Prior Recommendations</w:t>
      </w:r>
    </w:p>
    <w:p w14:paraId="61002E1B" w14:textId="7FD3AC3D" w:rsidR="00E03B2B" w:rsidRPr="00201DA2" w:rsidRDefault="00E03B2B" w:rsidP="00624666">
      <w:pPr>
        <w:pStyle w:val="ListParagraph"/>
        <w:numPr>
          <w:ilvl w:val="0"/>
          <w:numId w:val="12"/>
        </w:numPr>
        <w:pBdr>
          <w:top w:val="nil"/>
          <w:left w:val="nil"/>
          <w:bottom w:val="nil"/>
          <w:right w:val="nil"/>
          <w:between w:val="nil"/>
        </w:pBdr>
        <w:rPr>
          <w:rFonts w:eastAsia="Calibri"/>
          <w:color w:val="000000"/>
          <w:sz w:val="22"/>
          <w:szCs w:val="22"/>
        </w:rPr>
      </w:pPr>
      <w:r w:rsidRPr="00201DA2">
        <w:rPr>
          <w:rFonts w:eastAsia="Calibri"/>
          <w:color w:val="000000"/>
          <w:sz w:val="22"/>
          <w:szCs w:val="22"/>
        </w:rPr>
        <w:t>The Committee has repeated</w:t>
      </w:r>
      <w:r w:rsidR="00CF1CC8" w:rsidRPr="00201DA2">
        <w:rPr>
          <w:rFonts w:eastAsia="Calibri"/>
          <w:color w:val="000000"/>
          <w:sz w:val="22"/>
          <w:szCs w:val="22"/>
        </w:rPr>
        <w:t>ly</w:t>
      </w:r>
      <w:r w:rsidRPr="00201DA2">
        <w:rPr>
          <w:rFonts w:eastAsia="Calibri"/>
          <w:color w:val="000000"/>
          <w:sz w:val="22"/>
          <w:szCs w:val="22"/>
        </w:rPr>
        <w:t xml:space="preserve"> called on the United States to ensure that</w:t>
      </w:r>
      <w:r w:rsidR="00624666" w:rsidRPr="00201DA2">
        <w:rPr>
          <w:rFonts w:eastAsia="Calibri"/>
          <w:color w:val="000000"/>
          <w:sz w:val="22"/>
          <w:szCs w:val="22"/>
        </w:rPr>
        <w:t xml:space="preserve"> no person under the age of eighteen at the time of offense</w:t>
      </w:r>
      <w:r w:rsidRPr="00201DA2">
        <w:rPr>
          <w:rFonts w:eastAsia="Calibri"/>
          <w:color w:val="000000"/>
          <w:sz w:val="22"/>
          <w:szCs w:val="22"/>
        </w:rPr>
        <w:t xml:space="preserve"> </w:t>
      </w:r>
      <w:r w:rsidR="00624666" w:rsidRPr="00201DA2">
        <w:rPr>
          <w:rFonts w:eastAsia="Calibri"/>
          <w:color w:val="000000"/>
          <w:sz w:val="22"/>
          <w:szCs w:val="22"/>
        </w:rPr>
        <w:t>“is sentenced to life imprisonment without parole,</w:t>
      </w:r>
      <w:r w:rsidR="00D568BD" w:rsidRPr="00201DA2">
        <w:rPr>
          <w:rFonts w:eastAsia="Calibri"/>
          <w:color w:val="000000"/>
          <w:sz w:val="22"/>
          <w:szCs w:val="22"/>
        </w:rPr>
        <w:t xml:space="preserve"> </w:t>
      </w:r>
      <w:r w:rsidR="00624666" w:rsidRPr="00201DA2">
        <w:rPr>
          <w:rFonts w:eastAsia="Calibri"/>
          <w:color w:val="000000"/>
          <w:sz w:val="22"/>
          <w:szCs w:val="22"/>
        </w:rPr>
        <w:t>and</w:t>
      </w:r>
      <w:r w:rsidR="007B03BF" w:rsidRPr="00201DA2">
        <w:rPr>
          <w:rFonts w:eastAsia="Calibri"/>
          <w:color w:val="000000"/>
          <w:sz w:val="22"/>
          <w:szCs w:val="22"/>
        </w:rPr>
        <w:t>…</w:t>
      </w:r>
      <w:r w:rsidR="00624666" w:rsidRPr="00201DA2">
        <w:rPr>
          <w:rFonts w:eastAsia="Calibri"/>
          <w:color w:val="000000"/>
          <w:sz w:val="22"/>
          <w:szCs w:val="22"/>
        </w:rPr>
        <w:t xml:space="preserve"> adopt all appropriate measures to review the situation of persons already serving such sentences.” (2006 Concluding Observation, para. 34; 2014 Concluding Observation, para. 23)</w:t>
      </w:r>
      <w:r w:rsidR="00833D40" w:rsidRPr="00201DA2">
        <w:rPr>
          <w:rFonts w:eastAsia="Calibri"/>
          <w:color w:val="000000"/>
          <w:sz w:val="22"/>
          <w:szCs w:val="22"/>
        </w:rPr>
        <w:t>.</w:t>
      </w:r>
    </w:p>
    <w:p w14:paraId="1F9BF041" w14:textId="46A3E143" w:rsidR="00624666" w:rsidRPr="00201DA2" w:rsidRDefault="00624666" w:rsidP="00624666">
      <w:pPr>
        <w:pStyle w:val="ListParagraph"/>
        <w:numPr>
          <w:ilvl w:val="0"/>
          <w:numId w:val="12"/>
        </w:numPr>
        <w:pBdr>
          <w:top w:val="nil"/>
          <w:left w:val="nil"/>
          <w:bottom w:val="nil"/>
          <w:right w:val="nil"/>
          <w:between w:val="nil"/>
        </w:pBdr>
        <w:rPr>
          <w:rFonts w:eastAsia="Calibri"/>
          <w:color w:val="000000"/>
          <w:sz w:val="22"/>
          <w:szCs w:val="22"/>
        </w:rPr>
      </w:pPr>
      <w:r w:rsidRPr="00201DA2">
        <w:rPr>
          <w:rFonts w:eastAsia="Calibri"/>
          <w:color w:val="000000"/>
          <w:sz w:val="22"/>
          <w:szCs w:val="22"/>
        </w:rPr>
        <w:t>The Committee has also recommended that the United States “ensure that juveniles are separated from adults during pretrial detention and after sentencing, and that juveniles are not transferred to adult courts. It should encourage states that automatically exclude 16</w:t>
      </w:r>
      <w:r w:rsidR="004C54EA" w:rsidRPr="00201DA2">
        <w:rPr>
          <w:rFonts w:eastAsia="Calibri"/>
          <w:color w:val="000000"/>
          <w:sz w:val="22"/>
          <w:szCs w:val="22"/>
        </w:rPr>
        <w:t>-</w:t>
      </w:r>
      <w:r w:rsidRPr="00201DA2">
        <w:rPr>
          <w:rFonts w:eastAsia="Calibri"/>
          <w:color w:val="000000"/>
          <w:sz w:val="22"/>
          <w:szCs w:val="22"/>
        </w:rPr>
        <w:t xml:space="preserve"> and 17</w:t>
      </w:r>
      <w:r w:rsidR="004C54EA" w:rsidRPr="00201DA2">
        <w:rPr>
          <w:rFonts w:eastAsia="Calibri"/>
          <w:color w:val="000000"/>
          <w:sz w:val="22"/>
          <w:szCs w:val="22"/>
        </w:rPr>
        <w:t>-</w:t>
      </w:r>
      <w:r w:rsidRPr="00201DA2">
        <w:rPr>
          <w:rFonts w:eastAsia="Calibri"/>
          <w:color w:val="000000"/>
          <w:sz w:val="22"/>
          <w:szCs w:val="22"/>
        </w:rPr>
        <w:t>year</w:t>
      </w:r>
      <w:r w:rsidR="004C54EA" w:rsidRPr="00201DA2">
        <w:rPr>
          <w:rFonts w:eastAsia="Calibri"/>
          <w:color w:val="000000"/>
          <w:sz w:val="22"/>
          <w:szCs w:val="22"/>
        </w:rPr>
        <w:t>-</w:t>
      </w:r>
      <w:r w:rsidRPr="00201DA2">
        <w:rPr>
          <w:rFonts w:eastAsia="Calibri"/>
          <w:color w:val="000000"/>
          <w:sz w:val="22"/>
          <w:szCs w:val="22"/>
        </w:rPr>
        <w:t>olds from juvenile court jurisdictions to change their laws.”</w:t>
      </w:r>
      <w:r w:rsidR="00833D40" w:rsidRPr="00201DA2">
        <w:rPr>
          <w:rFonts w:eastAsia="Calibri"/>
          <w:color w:val="000000"/>
          <w:sz w:val="22"/>
          <w:szCs w:val="22"/>
        </w:rPr>
        <w:t xml:space="preserve"> (2014 Concluding Observation, para. 23). </w:t>
      </w:r>
    </w:p>
    <w:p w14:paraId="22446D57" w14:textId="731DE104" w:rsidR="008B47B9" w:rsidRPr="00201DA2" w:rsidRDefault="008B47B9" w:rsidP="00624666">
      <w:pPr>
        <w:pStyle w:val="ListParagraph"/>
        <w:numPr>
          <w:ilvl w:val="0"/>
          <w:numId w:val="12"/>
        </w:numPr>
        <w:pBdr>
          <w:top w:val="nil"/>
          <w:left w:val="nil"/>
          <w:bottom w:val="nil"/>
          <w:right w:val="nil"/>
          <w:between w:val="nil"/>
        </w:pBdr>
        <w:rPr>
          <w:rFonts w:eastAsia="Calibri"/>
          <w:color w:val="000000"/>
          <w:sz w:val="22"/>
          <w:szCs w:val="22"/>
        </w:rPr>
      </w:pPr>
      <w:r w:rsidRPr="00201DA2">
        <w:rPr>
          <w:rFonts w:eastAsia="Calibri"/>
          <w:color w:val="000000"/>
          <w:sz w:val="22"/>
          <w:szCs w:val="22"/>
        </w:rPr>
        <w:t>See above recommendations regarding racial discrimination and the principle of proportionality.</w:t>
      </w:r>
    </w:p>
    <w:p w14:paraId="75B3C220" w14:textId="77777777" w:rsidR="00FB1100" w:rsidRPr="00201DA2" w:rsidRDefault="00FB1100" w:rsidP="00FB1100">
      <w:pPr>
        <w:pBdr>
          <w:top w:val="nil"/>
          <w:left w:val="nil"/>
          <w:bottom w:val="nil"/>
          <w:right w:val="nil"/>
          <w:between w:val="nil"/>
        </w:pBdr>
        <w:ind w:left="1440" w:hanging="720"/>
        <w:rPr>
          <w:rFonts w:eastAsia="Calibri"/>
          <w:color w:val="000000"/>
          <w:sz w:val="22"/>
          <w:szCs w:val="22"/>
        </w:rPr>
      </w:pPr>
    </w:p>
    <w:p w14:paraId="0C2B3559" w14:textId="52823ABF" w:rsidR="00FB1100" w:rsidRPr="00201DA2" w:rsidRDefault="00FB1100" w:rsidP="00FB1100">
      <w:pPr>
        <w:pBdr>
          <w:top w:val="nil"/>
          <w:left w:val="nil"/>
          <w:bottom w:val="nil"/>
          <w:right w:val="nil"/>
          <w:between w:val="nil"/>
        </w:pBdr>
        <w:contextualSpacing/>
        <w:rPr>
          <w:rFonts w:eastAsia="Calibri"/>
          <w:b/>
          <w:color w:val="000000"/>
          <w:sz w:val="22"/>
          <w:szCs w:val="22"/>
        </w:rPr>
      </w:pPr>
      <w:r w:rsidRPr="00201DA2">
        <w:rPr>
          <w:rFonts w:eastAsia="Calibri"/>
          <w:b/>
          <w:sz w:val="22"/>
          <w:szCs w:val="22"/>
        </w:rPr>
        <w:t xml:space="preserve">Current </w:t>
      </w:r>
      <w:r w:rsidRPr="00201DA2">
        <w:rPr>
          <w:rFonts w:eastAsia="Calibri"/>
          <w:b/>
          <w:color w:val="000000"/>
          <w:sz w:val="22"/>
          <w:szCs w:val="22"/>
        </w:rPr>
        <w:t xml:space="preserve">US Government Policy or Practice </w:t>
      </w:r>
    </w:p>
    <w:p w14:paraId="16975171" w14:textId="731A9457" w:rsidR="00FB1100" w:rsidRPr="00201DA2" w:rsidRDefault="00250527" w:rsidP="00FB1100">
      <w:pPr>
        <w:rPr>
          <w:sz w:val="22"/>
          <w:szCs w:val="22"/>
        </w:rPr>
      </w:pPr>
      <w:r w:rsidRPr="00201DA2">
        <w:rPr>
          <w:sz w:val="22"/>
          <w:szCs w:val="22"/>
        </w:rPr>
        <w:t>T</w:t>
      </w:r>
      <w:r w:rsidR="00FB1100" w:rsidRPr="00201DA2">
        <w:rPr>
          <w:sz w:val="22"/>
          <w:szCs w:val="22"/>
        </w:rPr>
        <w:t>he</w:t>
      </w:r>
      <w:r w:rsidRPr="00201DA2">
        <w:rPr>
          <w:sz w:val="22"/>
          <w:szCs w:val="22"/>
        </w:rPr>
        <w:t xml:space="preserve"> juvenile arrest rate has been declining</w:t>
      </w:r>
      <w:r w:rsidRPr="00201DA2">
        <w:rPr>
          <w:rStyle w:val="FootnoteReference"/>
          <w:sz w:val="22"/>
          <w:szCs w:val="22"/>
        </w:rPr>
        <w:footnoteReference w:id="33"/>
      </w:r>
      <w:r w:rsidRPr="00201DA2">
        <w:rPr>
          <w:sz w:val="22"/>
          <w:szCs w:val="22"/>
        </w:rPr>
        <w:t xml:space="preserve"> but d</w:t>
      </w:r>
      <w:r w:rsidR="00FB1100" w:rsidRPr="00201DA2">
        <w:rPr>
          <w:sz w:val="22"/>
          <w:szCs w:val="22"/>
        </w:rPr>
        <w:t>ramatic racial disparities persist</w:t>
      </w:r>
      <w:r w:rsidR="00CA598D" w:rsidRPr="00201DA2">
        <w:rPr>
          <w:sz w:val="22"/>
          <w:szCs w:val="22"/>
        </w:rPr>
        <w:t>: children of color are disproportionately represented at every stage</w:t>
      </w:r>
      <w:r w:rsidR="00FB1100" w:rsidRPr="00201DA2">
        <w:rPr>
          <w:sz w:val="22"/>
          <w:szCs w:val="22"/>
        </w:rPr>
        <w:t>,</w:t>
      </w:r>
      <w:r w:rsidRPr="00201DA2">
        <w:rPr>
          <w:rStyle w:val="FootnoteReference"/>
          <w:sz w:val="22"/>
          <w:szCs w:val="22"/>
        </w:rPr>
        <w:footnoteReference w:id="34"/>
      </w:r>
      <w:r w:rsidR="00FB1100" w:rsidRPr="00201DA2">
        <w:rPr>
          <w:sz w:val="22"/>
          <w:szCs w:val="22"/>
        </w:rPr>
        <w:t xml:space="preserve"> and</w:t>
      </w:r>
      <w:r w:rsidR="00CA598D" w:rsidRPr="00201DA2">
        <w:rPr>
          <w:sz w:val="22"/>
          <w:szCs w:val="22"/>
        </w:rPr>
        <w:t xml:space="preserve"> in 37 states</w:t>
      </w:r>
      <w:r w:rsidR="00FB1100" w:rsidRPr="00201DA2">
        <w:rPr>
          <w:sz w:val="22"/>
          <w:szCs w:val="22"/>
        </w:rPr>
        <w:t xml:space="preserve"> rates of incarceration were higher for black children than for white</w:t>
      </w:r>
      <w:r w:rsidRPr="00201DA2">
        <w:rPr>
          <w:sz w:val="22"/>
          <w:szCs w:val="22"/>
        </w:rPr>
        <w:t>.</w:t>
      </w:r>
      <w:r w:rsidRPr="00201DA2">
        <w:rPr>
          <w:rStyle w:val="FootnoteReference"/>
          <w:sz w:val="22"/>
          <w:szCs w:val="22"/>
        </w:rPr>
        <w:footnoteReference w:id="35"/>
      </w:r>
      <w:r w:rsidR="00FB1100" w:rsidRPr="00201DA2">
        <w:rPr>
          <w:sz w:val="22"/>
          <w:szCs w:val="22"/>
        </w:rPr>
        <w:t xml:space="preserve"> </w:t>
      </w:r>
      <w:r w:rsidR="00CA598D" w:rsidRPr="00201DA2">
        <w:rPr>
          <w:sz w:val="22"/>
          <w:szCs w:val="22"/>
        </w:rPr>
        <w:t>Between 32,000 and 60,000</w:t>
      </w:r>
      <w:r w:rsidR="00FB1100" w:rsidRPr="00201DA2">
        <w:rPr>
          <w:sz w:val="22"/>
          <w:szCs w:val="22"/>
        </w:rPr>
        <w:t xml:space="preserve"> children under 18 are </w:t>
      </w:r>
      <w:r w:rsidR="00B725A2" w:rsidRPr="00201DA2">
        <w:rPr>
          <w:sz w:val="22"/>
          <w:szCs w:val="22"/>
        </w:rPr>
        <w:t xml:space="preserve">estimated to be </w:t>
      </w:r>
      <w:r w:rsidR="00FB1100" w:rsidRPr="00201DA2">
        <w:rPr>
          <w:sz w:val="22"/>
          <w:szCs w:val="22"/>
        </w:rPr>
        <w:t>admitted annually to adult jails</w:t>
      </w:r>
      <w:r w:rsidR="007B03BF" w:rsidRPr="00201DA2">
        <w:rPr>
          <w:sz w:val="22"/>
          <w:szCs w:val="22"/>
        </w:rPr>
        <w:t>.</w:t>
      </w:r>
      <w:r w:rsidR="00CA598D" w:rsidRPr="00201DA2">
        <w:rPr>
          <w:rStyle w:val="FootnoteReference"/>
          <w:sz w:val="22"/>
          <w:szCs w:val="22"/>
        </w:rPr>
        <w:footnoteReference w:id="36"/>
      </w:r>
      <w:r w:rsidR="00FB1100" w:rsidRPr="00201DA2">
        <w:rPr>
          <w:sz w:val="22"/>
          <w:szCs w:val="22"/>
        </w:rPr>
        <w:t xml:space="preserve"> </w:t>
      </w:r>
      <w:r w:rsidR="007B03BF" w:rsidRPr="00201DA2">
        <w:rPr>
          <w:rStyle w:val="Hyperlink"/>
          <w:color w:val="auto"/>
          <w:sz w:val="22"/>
          <w:szCs w:val="22"/>
          <w:u w:val="none"/>
        </w:rPr>
        <w:t>A</w:t>
      </w:r>
      <w:r w:rsidR="00BF1544" w:rsidRPr="00201DA2">
        <w:rPr>
          <w:rStyle w:val="Hyperlink"/>
          <w:color w:val="auto"/>
          <w:sz w:val="22"/>
          <w:szCs w:val="22"/>
          <w:u w:val="none"/>
        </w:rPr>
        <w:t xml:space="preserve">ll </w:t>
      </w:r>
      <w:r w:rsidR="00B725A2" w:rsidRPr="00201DA2">
        <w:rPr>
          <w:sz w:val="22"/>
          <w:szCs w:val="22"/>
        </w:rPr>
        <w:t xml:space="preserve">50 states </w:t>
      </w:r>
      <w:r w:rsidR="00FB1100" w:rsidRPr="00201DA2">
        <w:rPr>
          <w:sz w:val="22"/>
          <w:szCs w:val="22"/>
        </w:rPr>
        <w:t>continue to prosecute some children in adult criminal courts</w:t>
      </w:r>
      <w:r w:rsidR="00B725A2" w:rsidRPr="00201DA2">
        <w:rPr>
          <w:sz w:val="22"/>
          <w:szCs w:val="22"/>
        </w:rPr>
        <w:t>,</w:t>
      </w:r>
      <w:r w:rsidR="00BF1544" w:rsidRPr="00201DA2">
        <w:rPr>
          <w:rStyle w:val="FootnoteReference"/>
          <w:sz w:val="22"/>
          <w:szCs w:val="22"/>
        </w:rPr>
        <w:footnoteReference w:id="37"/>
      </w:r>
      <w:r w:rsidR="00FB1100" w:rsidRPr="00201DA2">
        <w:rPr>
          <w:sz w:val="22"/>
          <w:szCs w:val="22"/>
        </w:rPr>
        <w:t xml:space="preserve"> </w:t>
      </w:r>
      <w:r w:rsidR="00B725A2" w:rsidRPr="00201DA2">
        <w:rPr>
          <w:sz w:val="22"/>
          <w:szCs w:val="22"/>
        </w:rPr>
        <w:t>and a</w:t>
      </w:r>
      <w:r w:rsidR="00FB1100" w:rsidRPr="00201DA2">
        <w:rPr>
          <w:sz w:val="22"/>
          <w:szCs w:val="22"/>
        </w:rPr>
        <w:t>pproximately</w:t>
      </w:r>
      <w:r w:rsidR="00B725A2" w:rsidRPr="00201DA2">
        <w:rPr>
          <w:sz w:val="22"/>
          <w:szCs w:val="22"/>
        </w:rPr>
        <w:t xml:space="preserve"> 1,300 people have life without parole sentences</w:t>
      </w:r>
      <w:r w:rsidR="00FB1100" w:rsidRPr="00201DA2">
        <w:rPr>
          <w:sz w:val="22"/>
          <w:szCs w:val="22"/>
        </w:rPr>
        <w:t xml:space="preserve"> for crimes committed under 18.</w:t>
      </w:r>
      <w:r w:rsidR="00B725A2" w:rsidRPr="00201DA2">
        <w:rPr>
          <w:rStyle w:val="FootnoteReference"/>
          <w:sz w:val="22"/>
          <w:szCs w:val="22"/>
        </w:rPr>
        <w:footnoteReference w:id="38"/>
      </w:r>
    </w:p>
    <w:p w14:paraId="461C1033" w14:textId="77777777" w:rsidR="00FB1100" w:rsidRPr="00201DA2" w:rsidRDefault="00FB1100" w:rsidP="00FB1100">
      <w:pPr>
        <w:rPr>
          <w:sz w:val="22"/>
          <w:szCs w:val="22"/>
        </w:rPr>
      </w:pPr>
    </w:p>
    <w:p w14:paraId="3DA65E8D" w14:textId="15951076" w:rsidR="00FB1100" w:rsidRPr="00201DA2" w:rsidRDefault="007B03BF" w:rsidP="00FB1100">
      <w:pPr>
        <w:pBdr>
          <w:top w:val="nil"/>
          <w:left w:val="nil"/>
          <w:bottom w:val="nil"/>
          <w:right w:val="nil"/>
          <w:between w:val="nil"/>
        </w:pBdr>
        <w:rPr>
          <w:rFonts w:eastAsia="Calibri"/>
          <w:color w:val="000000"/>
          <w:sz w:val="22"/>
          <w:szCs w:val="22"/>
        </w:rPr>
      </w:pPr>
      <w:r w:rsidRPr="00201DA2">
        <w:rPr>
          <w:sz w:val="22"/>
          <w:szCs w:val="22"/>
        </w:rPr>
        <w:t>In 2018</w:t>
      </w:r>
      <w:r w:rsidR="000045C7" w:rsidRPr="00201DA2">
        <w:rPr>
          <w:sz w:val="22"/>
          <w:szCs w:val="22"/>
        </w:rPr>
        <w:t>,</w:t>
      </w:r>
      <w:r w:rsidR="006442E9" w:rsidRPr="00201DA2">
        <w:rPr>
          <w:sz w:val="22"/>
          <w:szCs w:val="22"/>
        </w:rPr>
        <w:t xml:space="preserve"> </w:t>
      </w:r>
      <w:r w:rsidR="00FB1100" w:rsidRPr="00201DA2">
        <w:rPr>
          <w:sz w:val="22"/>
          <w:szCs w:val="22"/>
        </w:rPr>
        <w:t>the Washington State Supreme Court</w:t>
      </w:r>
      <w:r w:rsidR="00B725A2" w:rsidRPr="00201DA2">
        <w:rPr>
          <w:sz w:val="22"/>
          <w:szCs w:val="22"/>
        </w:rPr>
        <w:t xml:space="preserve"> rule</w:t>
      </w:r>
      <w:r w:rsidR="006442E9" w:rsidRPr="00201DA2">
        <w:rPr>
          <w:sz w:val="22"/>
          <w:szCs w:val="22"/>
        </w:rPr>
        <w:t>d</w:t>
      </w:r>
      <w:r w:rsidR="00FB1100" w:rsidRPr="00201DA2">
        <w:rPr>
          <w:sz w:val="22"/>
          <w:szCs w:val="22"/>
        </w:rPr>
        <w:t xml:space="preserve"> that life sentences without parole for crimes committed below age 18 violated the state constitution.</w:t>
      </w:r>
      <w:r w:rsidR="00B725A2" w:rsidRPr="00201DA2">
        <w:rPr>
          <w:rStyle w:val="FootnoteReference"/>
          <w:sz w:val="22"/>
          <w:szCs w:val="22"/>
        </w:rPr>
        <w:footnoteReference w:id="39"/>
      </w:r>
      <w:r w:rsidR="00FB1100" w:rsidRPr="00201DA2">
        <w:rPr>
          <w:sz w:val="22"/>
          <w:szCs w:val="22"/>
        </w:rPr>
        <w:t xml:space="preserve"> In all,</w:t>
      </w:r>
      <w:r w:rsidR="006442E9" w:rsidRPr="00201DA2">
        <w:rPr>
          <w:sz w:val="22"/>
          <w:szCs w:val="22"/>
        </w:rPr>
        <w:t xml:space="preserve"> 21 states</w:t>
      </w:r>
      <w:r w:rsidR="00FB1100" w:rsidRPr="00201DA2">
        <w:rPr>
          <w:sz w:val="22"/>
          <w:szCs w:val="22"/>
        </w:rPr>
        <w:t xml:space="preserve"> and the District of Columbia now prohibit juvenile life without parole.</w:t>
      </w:r>
      <w:r w:rsidR="00B725A2" w:rsidRPr="00201DA2">
        <w:rPr>
          <w:rStyle w:val="FootnoteReference"/>
          <w:sz w:val="22"/>
          <w:szCs w:val="22"/>
        </w:rPr>
        <w:footnoteReference w:id="40"/>
      </w:r>
      <w:r w:rsidR="00FB1100" w:rsidRPr="00201DA2">
        <w:rPr>
          <w:sz w:val="22"/>
          <w:szCs w:val="22"/>
        </w:rPr>
        <w:t xml:space="preserve"> </w:t>
      </w:r>
      <w:r w:rsidR="006442E9" w:rsidRPr="00201DA2">
        <w:rPr>
          <w:sz w:val="22"/>
          <w:szCs w:val="22"/>
        </w:rPr>
        <w:t xml:space="preserve">Also </w:t>
      </w:r>
      <w:r w:rsidRPr="00201DA2">
        <w:rPr>
          <w:sz w:val="22"/>
          <w:szCs w:val="22"/>
        </w:rPr>
        <w:t>in 2018</w:t>
      </w:r>
      <w:r w:rsidR="006442E9" w:rsidRPr="00201DA2">
        <w:rPr>
          <w:sz w:val="22"/>
          <w:szCs w:val="22"/>
        </w:rPr>
        <w:t xml:space="preserve">, </w:t>
      </w:r>
      <w:r w:rsidR="00FB1100" w:rsidRPr="00201DA2">
        <w:rPr>
          <w:sz w:val="22"/>
          <w:szCs w:val="22"/>
        </w:rPr>
        <w:t>California</w:t>
      </w:r>
      <w:r w:rsidR="006442E9" w:rsidRPr="00201DA2">
        <w:rPr>
          <w:sz w:val="22"/>
          <w:szCs w:val="22"/>
        </w:rPr>
        <w:t xml:space="preserve"> passed a law</w:t>
      </w:r>
      <w:r w:rsidR="00FB1100" w:rsidRPr="00201DA2">
        <w:rPr>
          <w:sz w:val="22"/>
          <w:szCs w:val="22"/>
        </w:rPr>
        <w:t xml:space="preserve"> that ends the sentencing of 14 and 15-year-olds in adult court</w:t>
      </w:r>
      <w:r w:rsidR="0080131F" w:rsidRPr="00201DA2">
        <w:rPr>
          <w:sz w:val="22"/>
          <w:szCs w:val="22"/>
        </w:rPr>
        <w:t>.</w:t>
      </w:r>
      <w:r w:rsidR="006442E9" w:rsidRPr="00201DA2">
        <w:rPr>
          <w:rStyle w:val="FootnoteReference"/>
          <w:sz w:val="22"/>
          <w:szCs w:val="22"/>
        </w:rPr>
        <w:footnoteReference w:id="41"/>
      </w:r>
      <w:r w:rsidR="00FB1100" w:rsidRPr="00201DA2">
        <w:rPr>
          <w:sz w:val="22"/>
          <w:szCs w:val="22"/>
        </w:rPr>
        <w:t xml:space="preserve"> </w:t>
      </w:r>
      <w:r w:rsidR="00121F49" w:rsidRPr="00201DA2">
        <w:rPr>
          <w:sz w:val="22"/>
          <w:szCs w:val="22"/>
        </w:rPr>
        <w:t>In April last year</w:t>
      </w:r>
      <w:r w:rsidR="000045C7" w:rsidRPr="00201DA2">
        <w:rPr>
          <w:sz w:val="22"/>
          <w:szCs w:val="22"/>
        </w:rPr>
        <w:t>,</w:t>
      </w:r>
      <w:r w:rsidR="00121F49" w:rsidRPr="00201DA2">
        <w:rPr>
          <w:sz w:val="22"/>
          <w:szCs w:val="22"/>
        </w:rPr>
        <w:t xml:space="preserve"> New York ended</w:t>
      </w:r>
      <w:r w:rsidR="00FB1100" w:rsidRPr="00201DA2">
        <w:rPr>
          <w:sz w:val="22"/>
          <w:szCs w:val="22"/>
        </w:rPr>
        <w:t xml:space="preserve"> the automatic trial of 16 and 17-year-olds in adult court, although children of these—or younger—ages, who are accused of violent crimes, will still begin their cases in adult court with the possibility of transfer to the juvenile system.</w:t>
      </w:r>
      <w:r w:rsidR="006442E9" w:rsidRPr="00201DA2">
        <w:rPr>
          <w:rStyle w:val="FootnoteReference"/>
          <w:sz w:val="22"/>
          <w:szCs w:val="22"/>
        </w:rPr>
        <w:footnoteReference w:id="42"/>
      </w:r>
      <w:r w:rsidR="002C791D" w:rsidRPr="00201DA2">
        <w:rPr>
          <w:sz w:val="22"/>
          <w:szCs w:val="22"/>
        </w:rPr>
        <w:t xml:space="preserve"> Other US states, including</w:t>
      </w:r>
      <w:r w:rsidR="00121F49" w:rsidRPr="00201DA2">
        <w:rPr>
          <w:sz w:val="22"/>
          <w:szCs w:val="22"/>
        </w:rPr>
        <w:t xml:space="preserve"> Florida, </w:t>
      </w:r>
      <w:r w:rsidR="002C791D" w:rsidRPr="00201DA2">
        <w:rPr>
          <w:sz w:val="22"/>
          <w:szCs w:val="22"/>
        </w:rPr>
        <w:t>continue to</w:t>
      </w:r>
      <w:r w:rsidR="00F96FCD" w:rsidRPr="00201DA2">
        <w:rPr>
          <w:sz w:val="22"/>
          <w:szCs w:val="22"/>
        </w:rPr>
        <w:t xml:space="preserve"> mandate</w:t>
      </w:r>
      <w:r w:rsidR="002C791D" w:rsidRPr="00201DA2">
        <w:rPr>
          <w:sz w:val="22"/>
          <w:szCs w:val="22"/>
        </w:rPr>
        <w:t xml:space="preserve"> the direct prosecution of children in the</w:t>
      </w:r>
      <w:r w:rsidR="00F96FCD" w:rsidRPr="00201DA2">
        <w:rPr>
          <w:sz w:val="22"/>
          <w:szCs w:val="22"/>
        </w:rPr>
        <w:t>ir adult criminal legal systems.</w:t>
      </w:r>
      <w:r w:rsidR="00121F49" w:rsidRPr="00201DA2">
        <w:rPr>
          <w:rStyle w:val="FootnoteReference"/>
          <w:sz w:val="22"/>
          <w:szCs w:val="22"/>
        </w:rPr>
        <w:footnoteReference w:id="43"/>
      </w:r>
      <w:r w:rsidR="00E53D02" w:rsidRPr="00201DA2">
        <w:rPr>
          <w:sz w:val="22"/>
          <w:szCs w:val="22"/>
        </w:rPr>
        <w:t xml:space="preserve"> In addition, juveniles continue to be subjected to periods of solitary confinement in juvenile facilities as well as in</w:t>
      </w:r>
      <w:r w:rsidR="002A6B10" w:rsidRPr="00201DA2">
        <w:rPr>
          <w:sz w:val="22"/>
          <w:szCs w:val="22"/>
        </w:rPr>
        <w:t xml:space="preserve"> adult state jails and prisons</w:t>
      </w:r>
      <w:r w:rsidR="00E53D02" w:rsidRPr="00201DA2">
        <w:rPr>
          <w:sz w:val="22"/>
          <w:szCs w:val="22"/>
        </w:rPr>
        <w:t xml:space="preserve"> throughout the country.</w:t>
      </w:r>
      <w:r w:rsidR="00121F49" w:rsidRPr="00201DA2">
        <w:rPr>
          <w:rStyle w:val="FootnoteReference"/>
          <w:sz w:val="22"/>
          <w:szCs w:val="22"/>
        </w:rPr>
        <w:footnoteReference w:id="44"/>
      </w:r>
    </w:p>
    <w:p w14:paraId="70AA4436" w14:textId="77777777" w:rsidR="00FB1100" w:rsidRPr="00201DA2" w:rsidRDefault="00FB1100" w:rsidP="00FB1100">
      <w:pPr>
        <w:pBdr>
          <w:top w:val="nil"/>
          <w:left w:val="nil"/>
          <w:bottom w:val="nil"/>
          <w:right w:val="nil"/>
          <w:between w:val="nil"/>
        </w:pBdr>
        <w:ind w:left="1440" w:hanging="720"/>
        <w:rPr>
          <w:rFonts w:eastAsia="Calibri"/>
          <w:color w:val="000000"/>
          <w:sz w:val="22"/>
          <w:szCs w:val="22"/>
        </w:rPr>
      </w:pPr>
    </w:p>
    <w:p w14:paraId="1D27A729" w14:textId="77777777" w:rsidR="00FE73F3" w:rsidRPr="00201DA2" w:rsidRDefault="00FB1100" w:rsidP="00DC0378">
      <w:pPr>
        <w:pBdr>
          <w:top w:val="nil"/>
          <w:left w:val="nil"/>
          <w:bottom w:val="nil"/>
          <w:right w:val="nil"/>
          <w:between w:val="nil"/>
        </w:pBdr>
        <w:contextualSpacing/>
        <w:rPr>
          <w:rFonts w:eastAsia="Calibri"/>
          <w:color w:val="000000"/>
          <w:sz w:val="22"/>
          <w:szCs w:val="22"/>
        </w:rPr>
      </w:pPr>
      <w:r w:rsidRPr="00201DA2">
        <w:rPr>
          <w:rFonts w:eastAsia="Calibri"/>
          <w:b/>
          <w:color w:val="000000"/>
          <w:sz w:val="22"/>
          <w:szCs w:val="22"/>
        </w:rPr>
        <w:t>Human Rights Committee General Comments and Related UN Body Recommendations</w:t>
      </w:r>
    </w:p>
    <w:p w14:paraId="7800B62B" w14:textId="48504906" w:rsidR="00FB1100" w:rsidRPr="00201DA2" w:rsidRDefault="00FE73F3" w:rsidP="00DC0378">
      <w:pPr>
        <w:pBdr>
          <w:top w:val="nil"/>
          <w:left w:val="nil"/>
          <w:bottom w:val="nil"/>
          <w:right w:val="nil"/>
          <w:between w:val="nil"/>
        </w:pBdr>
        <w:contextualSpacing/>
        <w:rPr>
          <w:rFonts w:eastAsia="Calibri"/>
          <w:color w:val="000000"/>
          <w:sz w:val="22"/>
          <w:szCs w:val="22"/>
        </w:rPr>
      </w:pPr>
      <w:r w:rsidRPr="00201DA2">
        <w:rPr>
          <w:rFonts w:eastAsia="Calibri"/>
          <w:color w:val="000000"/>
          <w:sz w:val="22"/>
          <w:szCs w:val="22"/>
        </w:rPr>
        <w:lastRenderedPageBreak/>
        <w:t>In i</w:t>
      </w:r>
      <w:r w:rsidR="00DC0378" w:rsidRPr="00201DA2">
        <w:rPr>
          <w:rFonts w:eastAsia="Calibri"/>
          <w:color w:val="000000"/>
          <w:sz w:val="22"/>
          <w:szCs w:val="22"/>
        </w:rPr>
        <w:t xml:space="preserve">ts General Comment 21, para. 13, </w:t>
      </w:r>
      <w:r w:rsidRPr="00201DA2">
        <w:rPr>
          <w:rFonts w:eastAsia="Calibri"/>
          <w:color w:val="000000"/>
          <w:sz w:val="22"/>
          <w:szCs w:val="22"/>
        </w:rPr>
        <w:t xml:space="preserve">the Committee </w:t>
      </w:r>
      <w:r w:rsidR="00CF1CC8" w:rsidRPr="00201DA2">
        <w:rPr>
          <w:rFonts w:eastAsia="Calibri"/>
          <w:color w:val="000000"/>
          <w:sz w:val="22"/>
          <w:szCs w:val="22"/>
        </w:rPr>
        <w:t>s</w:t>
      </w:r>
      <w:r w:rsidRPr="00201DA2">
        <w:rPr>
          <w:rFonts w:eastAsia="Calibri"/>
          <w:color w:val="000000"/>
          <w:sz w:val="22"/>
          <w:szCs w:val="22"/>
        </w:rPr>
        <w:t>tate</w:t>
      </w:r>
      <w:r w:rsidR="00CF1CC8" w:rsidRPr="00201DA2">
        <w:rPr>
          <w:rFonts w:eastAsia="Calibri"/>
          <w:color w:val="000000"/>
          <w:sz w:val="22"/>
          <w:szCs w:val="22"/>
        </w:rPr>
        <w:t>s</w:t>
      </w:r>
      <w:r w:rsidRPr="00201DA2">
        <w:rPr>
          <w:rFonts w:eastAsia="Calibri"/>
          <w:color w:val="000000"/>
          <w:sz w:val="22"/>
          <w:szCs w:val="22"/>
        </w:rPr>
        <w:t xml:space="preserve"> </w:t>
      </w:r>
      <w:r w:rsidR="00DC0378" w:rsidRPr="00201DA2">
        <w:rPr>
          <w:rFonts w:eastAsia="Calibri"/>
          <w:color w:val="000000"/>
          <w:sz w:val="22"/>
          <w:szCs w:val="22"/>
        </w:rPr>
        <w:t xml:space="preserve">that the Convention requires that “accused juvenile persons shall be separated from adults;” that “cases involving juveniles must be considered as speedily as possible;” and </w:t>
      </w:r>
      <w:r w:rsidRPr="00201DA2">
        <w:rPr>
          <w:rFonts w:eastAsia="Calibri"/>
          <w:color w:val="000000"/>
          <w:sz w:val="22"/>
          <w:szCs w:val="22"/>
        </w:rPr>
        <w:t xml:space="preserve">that </w:t>
      </w:r>
      <w:r w:rsidR="00DC0378" w:rsidRPr="00201DA2">
        <w:rPr>
          <w:rFonts w:eastAsia="Calibri"/>
          <w:color w:val="000000"/>
          <w:sz w:val="22"/>
          <w:szCs w:val="22"/>
        </w:rPr>
        <w:t>juveniles shall be “segregated from adults and be accorded treatment appropriate to their age and legal status in so far as conditions of detention are concerned</w:t>
      </w:r>
      <w:r w:rsidRPr="00201DA2">
        <w:rPr>
          <w:rFonts w:eastAsia="Calibri"/>
          <w:color w:val="000000"/>
          <w:sz w:val="22"/>
          <w:szCs w:val="22"/>
        </w:rPr>
        <w:t xml:space="preserve"> . . . </w:t>
      </w:r>
      <w:r w:rsidR="00DC0378" w:rsidRPr="00201DA2">
        <w:rPr>
          <w:rFonts w:eastAsia="Calibri"/>
          <w:color w:val="000000"/>
          <w:sz w:val="22"/>
          <w:szCs w:val="22"/>
        </w:rPr>
        <w:t>.” The Committee also states its view that</w:t>
      </w:r>
      <w:r w:rsidRPr="00201DA2">
        <w:rPr>
          <w:rFonts w:eastAsia="Calibri"/>
          <w:color w:val="000000"/>
          <w:sz w:val="22"/>
          <w:szCs w:val="22"/>
        </w:rPr>
        <w:t xml:space="preserve"> the Convention’s</w:t>
      </w:r>
      <w:r w:rsidR="00DC0378" w:rsidRPr="00201DA2">
        <w:rPr>
          <w:rFonts w:eastAsia="Calibri"/>
          <w:color w:val="000000"/>
          <w:sz w:val="22"/>
          <w:szCs w:val="22"/>
        </w:rPr>
        <w:t xml:space="preserve"> “article 6, paragraph 5, suggests that all persons under the age of 18 should be treated as juveniles, at least in matters relating to criminal justice.</w:t>
      </w:r>
      <w:r w:rsidR="00B76856" w:rsidRPr="00201DA2">
        <w:rPr>
          <w:rFonts w:eastAsia="Calibri"/>
          <w:color w:val="000000"/>
          <w:sz w:val="22"/>
          <w:szCs w:val="22"/>
        </w:rPr>
        <w:t>”</w:t>
      </w:r>
    </w:p>
    <w:p w14:paraId="79517335" w14:textId="44BDABF1" w:rsidR="00E53D02" w:rsidRPr="00201DA2" w:rsidRDefault="00E53D02" w:rsidP="00DC0378">
      <w:pPr>
        <w:pBdr>
          <w:top w:val="nil"/>
          <w:left w:val="nil"/>
          <w:bottom w:val="nil"/>
          <w:right w:val="nil"/>
          <w:between w:val="nil"/>
        </w:pBdr>
        <w:contextualSpacing/>
        <w:rPr>
          <w:rFonts w:eastAsia="Calibri"/>
          <w:color w:val="000000"/>
          <w:sz w:val="22"/>
          <w:szCs w:val="22"/>
        </w:rPr>
      </w:pPr>
    </w:p>
    <w:p w14:paraId="3B7A27C6" w14:textId="4A90D04B" w:rsidR="00E53D02" w:rsidRPr="00201DA2" w:rsidRDefault="00E53D02" w:rsidP="00DC0378">
      <w:pPr>
        <w:pBdr>
          <w:top w:val="nil"/>
          <w:left w:val="nil"/>
          <w:bottom w:val="nil"/>
          <w:right w:val="nil"/>
          <w:between w:val="nil"/>
        </w:pBdr>
        <w:contextualSpacing/>
        <w:rPr>
          <w:rFonts w:eastAsia="Calibri"/>
          <w:color w:val="000000"/>
          <w:sz w:val="22"/>
          <w:szCs w:val="22"/>
        </w:rPr>
      </w:pPr>
      <w:r w:rsidRPr="00201DA2">
        <w:rPr>
          <w:rFonts w:eastAsia="Calibri"/>
          <w:color w:val="000000"/>
          <w:sz w:val="22"/>
          <w:szCs w:val="22"/>
        </w:rPr>
        <w:t>The Committee also recommend</w:t>
      </w:r>
      <w:r w:rsidR="00CF1CC8" w:rsidRPr="00201DA2">
        <w:rPr>
          <w:rFonts w:eastAsia="Calibri"/>
          <w:color w:val="000000"/>
          <w:sz w:val="22"/>
          <w:szCs w:val="22"/>
        </w:rPr>
        <w:t>s</w:t>
      </w:r>
      <w:r w:rsidRPr="00201DA2">
        <w:rPr>
          <w:rFonts w:eastAsia="Calibri"/>
          <w:color w:val="000000"/>
          <w:sz w:val="22"/>
          <w:szCs w:val="22"/>
        </w:rPr>
        <w:t xml:space="preserve"> that the US “impose strict limits on the use of solitary confinement” and prohibit its use against juveniles and individuals with serious mental disabilities.</w:t>
      </w:r>
      <w:r w:rsidRPr="00201DA2">
        <w:rPr>
          <w:rStyle w:val="FootnoteReference"/>
          <w:rFonts w:eastAsia="Calibri"/>
          <w:color w:val="000000"/>
          <w:sz w:val="22"/>
          <w:szCs w:val="22"/>
        </w:rPr>
        <w:footnoteReference w:id="45"/>
      </w:r>
    </w:p>
    <w:p w14:paraId="75FBAC66" w14:textId="77777777" w:rsidR="00DC0378" w:rsidRPr="00201DA2" w:rsidRDefault="00DC0378" w:rsidP="00DC0378">
      <w:pPr>
        <w:pBdr>
          <w:top w:val="nil"/>
          <w:left w:val="nil"/>
          <w:bottom w:val="nil"/>
          <w:right w:val="nil"/>
          <w:between w:val="nil"/>
        </w:pBdr>
        <w:rPr>
          <w:rFonts w:eastAsia="Calibri"/>
          <w:color w:val="000000"/>
          <w:sz w:val="22"/>
          <w:szCs w:val="22"/>
        </w:rPr>
      </w:pPr>
    </w:p>
    <w:p w14:paraId="4E59978A" w14:textId="52694FBC" w:rsidR="00FB1100" w:rsidRPr="00201DA2" w:rsidRDefault="00FB1100" w:rsidP="00FB1100">
      <w:pPr>
        <w:pBdr>
          <w:top w:val="nil"/>
          <w:left w:val="nil"/>
          <w:bottom w:val="nil"/>
          <w:right w:val="nil"/>
          <w:between w:val="nil"/>
        </w:pBdr>
        <w:contextualSpacing/>
        <w:rPr>
          <w:rFonts w:eastAsia="Calibri"/>
          <w:b/>
          <w:color w:val="000000"/>
          <w:sz w:val="22"/>
          <w:szCs w:val="22"/>
        </w:rPr>
      </w:pPr>
      <w:r w:rsidRPr="00201DA2">
        <w:rPr>
          <w:rFonts w:eastAsia="Calibri"/>
          <w:b/>
          <w:color w:val="000000"/>
          <w:sz w:val="22"/>
          <w:szCs w:val="22"/>
        </w:rPr>
        <w:t>Recommended Questions</w:t>
      </w:r>
    </w:p>
    <w:p w14:paraId="2D24B072" w14:textId="08F2427E" w:rsidR="00AD6E0E" w:rsidRPr="00201DA2" w:rsidRDefault="00AD6E0E" w:rsidP="00AD6E0E">
      <w:pPr>
        <w:pStyle w:val="ListParagraph"/>
        <w:numPr>
          <w:ilvl w:val="0"/>
          <w:numId w:val="13"/>
        </w:numPr>
        <w:pBdr>
          <w:top w:val="nil"/>
          <w:left w:val="nil"/>
          <w:bottom w:val="nil"/>
          <w:right w:val="nil"/>
          <w:between w:val="nil"/>
        </w:pBdr>
        <w:rPr>
          <w:rFonts w:eastAsia="Calibri"/>
          <w:b/>
          <w:color w:val="000000"/>
          <w:sz w:val="22"/>
          <w:szCs w:val="22"/>
        </w:rPr>
      </w:pPr>
      <w:r w:rsidRPr="00201DA2">
        <w:rPr>
          <w:rFonts w:eastAsia="Calibri"/>
          <w:color w:val="000000"/>
          <w:sz w:val="22"/>
          <w:szCs w:val="22"/>
        </w:rPr>
        <w:t xml:space="preserve">What steps </w:t>
      </w:r>
      <w:r w:rsidR="009A4B24" w:rsidRPr="00201DA2">
        <w:rPr>
          <w:rFonts w:eastAsia="Calibri"/>
          <w:color w:val="000000"/>
          <w:sz w:val="22"/>
          <w:szCs w:val="22"/>
        </w:rPr>
        <w:t xml:space="preserve">if any </w:t>
      </w:r>
      <w:r w:rsidRPr="00201DA2">
        <w:rPr>
          <w:rFonts w:eastAsia="Calibri"/>
          <w:color w:val="000000"/>
          <w:sz w:val="22"/>
          <w:szCs w:val="22"/>
        </w:rPr>
        <w:t>will the federal government take to end juvenile life without parole sentencing in the federal system?</w:t>
      </w:r>
    </w:p>
    <w:p w14:paraId="1B515CEE" w14:textId="46C7E7AE" w:rsidR="00AD6E0E" w:rsidRPr="00201DA2" w:rsidRDefault="009A4B24" w:rsidP="00AD6E0E">
      <w:pPr>
        <w:pStyle w:val="ListParagraph"/>
        <w:numPr>
          <w:ilvl w:val="0"/>
          <w:numId w:val="13"/>
        </w:numPr>
        <w:pBdr>
          <w:top w:val="nil"/>
          <w:left w:val="nil"/>
          <w:bottom w:val="nil"/>
          <w:right w:val="nil"/>
          <w:between w:val="nil"/>
        </w:pBdr>
        <w:rPr>
          <w:rFonts w:eastAsia="Calibri"/>
          <w:b/>
          <w:color w:val="000000"/>
          <w:sz w:val="22"/>
          <w:szCs w:val="22"/>
        </w:rPr>
      </w:pPr>
      <w:r w:rsidRPr="00201DA2">
        <w:rPr>
          <w:rFonts w:eastAsia="Calibri"/>
          <w:color w:val="000000"/>
          <w:sz w:val="22"/>
          <w:szCs w:val="22"/>
        </w:rPr>
        <w:t>What steps if any will the federal government take to</w:t>
      </w:r>
      <w:r w:rsidR="00AD6E0E" w:rsidRPr="00201DA2">
        <w:rPr>
          <w:rFonts w:eastAsia="Calibri"/>
          <w:color w:val="000000"/>
          <w:sz w:val="22"/>
          <w:szCs w:val="22"/>
        </w:rPr>
        <w:t xml:space="preserve"> incentivize states to end</w:t>
      </w:r>
      <w:r w:rsidR="00B93DE6" w:rsidRPr="00201DA2">
        <w:rPr>
          <w:rFonts w:eastAsia="Calibri"/>
          <w:color w:val="000000"/>
          <w:sz w:val="22"/>
          <w:szCs w:val="22"/>
        </w:rPr>
        <w:t>: 1)</w:t>
      </w:r>
      <w:r w:rsidR="00AD6E0E" w:rsidRPr="00201DA2">
        <w:rPr>
          <w:rFonts w:eastAsia="Calibri"/>
          <w:color w:val="000000"/>
          <w:sz w:val="22"/>
          <w:szCs w:val="22"/>
        </w:rPr>
        <w:t xml:space="preserve"> juvenile life without parole sentenc</w:t>
      </w:r>
      <w:r w:rsidR="007B03BF" w:rsidRPr="00201DA2">
        <w:rPr>
          <w:rFonts w:eastAsia="Calibri"/>
          <w:color w:val="000000"/>
          <w:sz w:val="22"/>
          <w:szCs w:val="22"/>
        </w:rPr>
        <w:t>ing</w:t>
      </w:r>
      <w:r w:rsidR="00B93DE6" w:rsidRPr="00201DA2">
        <w:rPr>
          <w:rFonts w:eastAsia="Calibri"/>
          <w:color w:val="000000"/>
          <w:sz w:val="22"/>
          <w:szCs w:val="22"/>
        </w:rPr>
        <w:t xml:space="preserve">; 2) </w:t>
      </w:r>
      <w:r w:rsidR="00AD6E0E" w:rsidRPr="00201DA2">
        <w:rPr>
          <w:rFonts w:eastAsia="Calibri"/>
          <w:color w:val="000000"/>
          <w:sz w:val="22"/>
          <w:szCs w:val="22"/>
        </w:rPr>
        <w:t>the prosecution and transfer of children to adult courts</w:t>
      </w:r>
      <w:r w:rsidR="00B93DE6" w:rsidRPr="00201DA2">
        <w:rPr>
          <w:rFonts w:eastAsia="Calibri"/>
          <w:color w:val="000000"/>
          <w:sz w:val="22"/>
          <w:szCs w:val="22"/>
        </w:rPr>
        <w:t>; 3) the solitary confinement of persons under age 18 in any custodial facility in the country</w:t>
      </w:r>
      <w:r w:rsidR="009A0577" w:rsidRPr="00201DA2">
        <w:rPr>
          <w:rFonts w:eastAsia="Calibri"/>
          <w:color w:val="000000"/>
          <w:sz w:val="22"/>
          <w:szCs w:val="22"/>
        </w:rPr>
        <w:t xml:space="preserve">; </w:t>
      </w:r>
      <w:r w:rsidR="007B03BF" w:rsidRPr="00201DA2">
        <w:rPr>
          <w:rFonts w:eastAsia="Calibri"/>
          <w:color w:val="000000"/>
          <w:sz w:val="22"/>
          <w:szCs w:val="22"/>
        </w:rPr>
        <w:t xml:space="preserve">4) </w:t>
      </w:r>
      <w:r w:rsidR="009A0577" w:rsidRPr="00201DA2">
        <w:rPr>
          <w:rFonts w:eastAsia="Calibri"/>
          <w:color w:val="000000"/>
          <w:sz w:val="22"/>
          <w:szCs w:val="22"/>
        </w:rPr>
        <w:t>the disproportionate treatment of children of color</w:t>
      </w:r>
      <w:r w:rsidR="00AD6E0E" w:rsidRPr="00201DA2">
        <w:rPr>
          <w:rFonts w:eastAsia="Calibri"/>
          <w:color w:val="000000"/>
          <w:sz w:val="22"/>
          <w:szCs w:val="22"/>
        </w:rPr>
        <w:t>?</w:t>
      </w:r>
    </w:p>
    <w:p w14:paraId="5E177627" w14:textId="77777777" w:rsidR="00FB1100" w:rsidRPr="00201DA2" w:rsidRDefault="00FB1100" w:rsidP="00FB1100">
      <w:pPr>
        <w:pBdr>
          <w:top w:val="nil"/>
          <w:left w:val="nil"/>
          <w:bottom w:val="nil"/>
          <w:right w:val="nil"/>
          <w:between w:val="nil"/>
        </w:pBdr>
        <w:contextualSpacing/>
        <w:rPr>
          <w:rFonts w:eastAsia="Calibri"/>
          <w:color w:val="000000"/>
          <w:sz w:val="22"/>
          <w:szCs w:val="22"/>
        </w:rPr>
      </w:pPr>
    </w:p>
    <w:p w14:paraId="451C9B05" w14:textId="3B275F44" w:rsidR="00FB1100" w:rsidRPr="00201DA2" w:rsidRDefault="00FB1100" w:rsidP="00FB1100">
      <w:pPr>
        <w:pBdr>
          <w:top w:val="nil"/>
          <w:left w:val="nil"/>
          <w:bottom w:val="nil"/>
          <w:right w:val="nil"/>
          <w:between w:val="nil"/>
        </w:pBdr>
        <w:contextualSpacing/>
        <w:rPr>
          <w:rFonts w:eastAsia="Calibri"/>
          <w:b/>
          <w:color w:val="000000"/>
          <w:sz w:val="22"/>
          <w:szCs w:val="22"/>
        </w:rPr>
      </w:pPr>
      <w:r w:rsidRPr="00201DA2">
        <w:rPr>
          <w:rFonts w:eastAsia="Calibri"/>
          <w:b/>
          <w:color w:val="000000"/>
          <w:sz w:val="22"/>
          <w:szCs w:val="22"/>
        </w:rPr>
        <w:t>Suggested Recommendations</w:t>
      </w:r>
    </w:p>
    <w:p w14:paraId="707E8778" w14:textId="241BB530" w:rsidR="0092172D" w:rsidRPr="00201DA2" w:rsidRDefault="0092172D" w:rsidP="0092172D">
      <w:pPr>
        <w:pStyle w:val="ListParagraph"/>
        <w:numPr>
          <w:ilvl w:val="0"/>
          <w:numId w:val="14"/>
        </w:numPr>
        <w:pBdr>
          <w:top w:val="nil"/>
          <w:left w:val="nil"/>
          <w:bottom w:val="nil"/>
          <w:right w:val="nil"/>
          <w:between w:val="nil"/>
        </w:pBdr>
        <w:rPr>
          <w:rFonts w:eastAsia="Calibri"/>
          <w:b/>
          <w:color w:val="000000"/>
          <w:sz w:val="22"/>
          <w:szCs w:val="22"/>
        </w:rPr>
      </w:pPr>
      <w:r w:rsidRPr="00201DA2">
        <w:rPr>
          <w:rFonts w:eastAsia="Calibri"/>
          <w:color w:val="000000"/>
          <w:sz w:val="22"/>
          <w:szCs w:val="22"/>
        </w:rPr>
        <w:t>The State Party should end the sentencing of juveniles to life without parole in the federal system</w:t>
      </w:r>
      <w:r w:rsidR="00D01464" w:rsidRPr="00201DA2">
        <w:rPr>
          <w:rFonts w:eastAsia="Calibri"/>
          <w:color w:val="000000"/>
          <w:sz w:val="22"/>
          <w:szCs w:val="22"/>
        </w:rPr>
        <w:t xml:space="preserve"> and provide meaningful incentives to all constituent states to end the practice.</w:t>
      </w:r>
    </w:p>
    <w:p w14:paraId="5602C695" w14:textId="39063F8A" w:rsidR="00D01464" w:rsidRPr="00201DA2" w:rsidRDefault="002C791D" w:rsidP="0092172D">
      <w:pPr>
        <w:pStyle w:val="ListParagraph"/>
        <w:numPr>
          <w:ilvl w:val="0"/>
          <w:numId w:val="14"/>
        </w:numPr>
        <w:pBdr>
          <w:top w:val="nil"/>
          <w:left w:val="nil"/>
          <w:bottom w:val="nil"/>
          <w:right w:val="nil"/>
          <w:between w:val="nil"/>
        </w:pBdr>
        <w:rPr>
          <w:rFonts w:eastAsia="Calibri"/>
          <w:b/>
          <w:color w:val="000000"/>
          <w:sz w:val="22"/>
          <w:szCs w:val="22"/>
        </w:rPr>
      </w:pPr>
      <w:r w:rsidRPr="00201DA2">
        <w:rPr>
          <w:rFonts w:eastAsia="Calibri"/>
          <w:color w:val="000000"/>
          <w:sz w:val="22"/>
          <w:szCs w:val="22"/>
        </w:rPr>
        <w:t>The State Party should ensure that juveniles are separated from adults during pretrial detention and after sentencing, and that juveniles are not either directly prosecuted in or transferred to adult courts.</w:t>
      </w:r>
    </w:p>
    <w:p w14:paraId="3FC05BE9" w14:textId="066BBDEE" w:rsidR="006744B9" w:rsidRPr="00201DA2" w:rsidRDefault="006744B9" w:rsidP="0092172D">
      <w:pPr>
        <w:pStyle w:val="ListParagraph"/>
        <w:numPr>
          <w:ilvl w:val="0"/>
          <w:numId w:val="14"/>
        </w:numPr>
        <w:pBdr>
          <w:top w:val="nil"/>
          <w:left w:val="nil"/>
          <w:bottom w:val="nil"/>
          <w:right w:val="nil"/>
          <w:between w:val="nil"/>
        </w:pBdr>
        <w:rPr>
          <w:rFonts w:eastAsia="Calibri"/>
          <w:b/>
          <w:color w:val="000000"/>
          <w:sz w:val="22"/>
          <w:szCs w:val="22"/>
        </w:rPr>
      </w:pPr>
      <w:r w:rsidRPr="00201DA2">
        <w:rPr>
          <w:rFonts w:eastAsia="Calibri"/>
          <w:color w:val="000000"/>
          <w:sz w:val="22"/>
          <w:szCs w:val="22"/>
        </w:rPr>
        <w:t>The State Party should end the solitary confinement of juveniles in all custodial settings.</w:t>
      </w:r>
    </w:p>
    <w:p w14:paraId="4C05225C" w14:textId="58875BBF" w:rsidR="00F14AF6" w:rsidRPr="00201DA2" w:rsidRDefault="00F14AF6" w:rsidP="00F14AF6">
      <w:pPr>
        <w:pBdr>
          <w:top w:val="nil"/>
          <w:left w:val="nil"/>
          <w:bottom w:val="nil"/>
          <w:right w:val="nil"/>
          <w:between w:val="nil"/>
        </w:pBdr>
        <w:rPr>
          <w:rFonts w:eastAsia="Calibri"/>
          <w:b/>
          <w:color w:val="000000"/>
          <w:sz w:val="22"/>
          <w:szCs w:val="22"/>
        </w:rPr>
      </w:pPr>
    </w:p>
    <w:p w14:paraId="5BD7970F" w14:textId="24B64F50" w:rsidR="00F14AF6" w:rsidRPr="00201DA2" w:rsidRDefault="00F14AF6" w:rsidP="00F14AF6">
      <w:pPr>
        <w:pBdr>
          <w:top w:val="nil"/>
          <w:left w:val="nil"/>
          <w:bottom w:val="nil"/>
          <w:right w:val="nil"/>
          <w:between w:val="nil"/>
        </w:pBdr>
        <w:jc w:val="center"/>
        <w:rPr>
          <w:rFonts w:eastAsia="Calibri"/>
          <w:b/>
          <w:color w:val="000000"/>
          <w:sz w:val="22"/>
          <w:szCs w:val="22"/>
        </w:rPr>
      </w:pPr>
      <w:r w:rsidRPr="00201DA2">
        <w:rPr>
          <w:rFonts w:eastAsia="Calibri"/>
          <w:b/>
          <w:color w:val="000000"/>
          <w:sz w:val="22"/>
          <w:szCs w:val="22"/>
        </w:rPr>
        <w:t>Poverty and the Criminal Legal System</w:t>
      </w:r>
    </w:p>
    <w:p w14:paraId="43313903" w14:textId="7F962FDD" w:rsidR="00F14AF6" w:rsidRPr="00201DA2" w:rsidRDefault="00F14AF6" w:rsidP="00F14AF6">
      <w:pPr>
        <w:pBdr>
          <w:top w:val="nil"/>
          <w:left w:val="nil"/>
          <w:bottom w:val="nil"/>
          <w:right w:val="nil"/>
          <w:between w:val="nil"/>
        </w:pBdr>
        <w:rPr>
          <w:rFonts w:eastAsia="Calibri"/>
          <w:b/>
          <w:color w:val="000000"/>
          <w:sz w:val="22"/>
          <w:szCs w:val="22"/>
        </w:rPr>
      </w:pPr>
    </w:p>
    <w:p w14:paraId="15B8EA5D" w14:textId="77777777" w:rsidR="00417250" w:rsidRPr="00201DA2" w:rsidRDefault="00417250" w:rsidP="00417250">
      <w:pPr>
        <w:pBdr>
          <w:top w:val="nil"/>
          <w:left w:val="nil"/>
          <w:bottom w:val="nil"/>
          <w:right w:val="nil"/>
          <w:between w:val="nil"/>
        </w:pBdr>
        <w:contextualSpacing/>
        <w:rPr>
          <w:rFonts w:eastAsia="Calibri"/>
          <w:color w:val="000000"/>
          <w:sz w:val="22"/>
          <w:szCs w:val="22"/>
        </w:rPr>
      </w:pPr>
      <w:r w:rsidRPr="00201DA2">
        <w:rPr>
          <w:rFonts w:eastAsia="Calibri"/>
          <w:b/>
          <w:color w:val="000000"/>
          <w:sz w:val="22"/>
          <w:szCs w:val="22"/>
        </w:rPr>
        <w:t>Summary</w:t>
      </w:r>
    </w:p>
    <w:p w14:paraId="24FD0516" w14:textId="4D7A6FB1" w:rsidR="00F449D5" w:rsidRPr="00201DA2" w:rsidRDefault="005E432B" w:rsidP="00417250">
      <w:pPr>
        <w:pBdr>
          <w:top w:val="nil"/>
          <w:left w:val="nil"/>
          <w:bottom w:val="nil"/>
          <w:right w:val="nil"/>
          <w:between w:val="nil"/>
        </w:pBdr>
        <w:rPr>
          <w:rFonts w:eastAsia="Calibri"/>
          <w:color w:val="000000"/>
          <w:sz w:val="22"/>
          <w:szCs w:val="22"/>
        </w:rPr>
      </w:pPr>
      <w:r w:rsidRPr="00201DA2">
        <w:rPr>
          <w:rFonts w:eastAsia="Calibri"/>
          <w:color w:val="000000"/>
          <w:sz w:val="22"/>
          <w:szCs w:val="22"/>
        </w:rPr>
        <w:t xml:space="preserve">In the United States, criminal </w:t>
      </w:r>
      <w:r w:rsidR="00DA66B2" w:rsidRPr="00201DA2">
        <w:rPr>
          <w:rFonts w:eastAsia="Calibri"/>
          <w:color w:val="000000"/>
          <w:sz w:val="22"/>
          <w:szCs w:val="22"/>
        </w:rPr>
        <w:t xml:space="preserve">law and policy </w:t>
      </w:r>
      <w:r w:rsidRPr="00201DA2">
        <w:rPr>
          <w:rFonts w:eastAsia="Calibri"/>
          <w:color w:val="000000"/>
          <w:sz w:val="22"/>
          <w:szCs w:val="22"/>
        </w:rPr>
        <w:t xml:space="preserve">often </w:t>
      </w:r>
      <w:r w:rsidR="00DA66B2" w:rsidRPr="00201DA2">
        <w:rPr>
          <w:rFonts w:eastAsia="Calibri"/>
          <w:color w:val="000000"/>
          <w:sz w:val="22"/>
          <w:szCs w:val="22"/>
        </w:rPr>
        <w:t xml:space="preserve">has </w:t>
      </w:r>
      <w:r w:rsidRPr="00201DA2">
        <w:rPr>
          <w:rFonts w:eastAsia="Calibri"/>
          <w:color w:val="000000"/>
          <w:sz w:val="22"/>
          <w:szCs w:val="22"/>
        </w:rPr>
        <w:t>a disparate impact upon the poor. This is especially the case when states impose costs upon accused and convicted individuals in an attempt to recoup cost</w:t>
      </w:r>
      <w:r w:rsidR="006744B9" w:rsidRPr="00201DA2">
        <w:rPr>
          <w:rFonts w:eastAsia="Calibri"/>
          <w:color w:val="000000"/>
          <w:sz w:val="22"/>
          <w:szCs w:val="22"/>
        </w:rPr>
        <w:t>s</w:t>
      </w:r>
      <w:r w:rsidRPr="00201DA2">
        <w:rPr>
          <w:rFonts w:eastAsia="Calibri"/>
          <w:color w:val="000000"/>
          <w:sz w:val="22"/>
          <w:szCs w:val="22"/>
        </w:rPr>
        <w:t xml:space="preserve"> associated with running policing systems, jails, courts, and prisons.</w:t>
      </w:r>
      <w:r w:rsidR="00F449D5" w:rsidRPr="00201DA2">
        <w:rPr>
          <w:rFonts w:eastAsia="Calibri"/>
          <w:color w:val="000000"/>
          <w:sz w:val="22"/>
          <w:szCs w:val="22"/>
        </w:rPr>
        <w:t xml:space="preserve"> As </w:t>
      </w:r>
      <w:r w:rsidR="00DA66B2" w:rsidRPr="00201DA2">
        <w:rPr>
          <w:rFonts w:eastAsia="Calibri"/>
          <w:color w:val="000000"/>
          <w:sz w:val="22"/>
          <w:szCs w:val="22"/>
        </w:rPr>
        <w:t xml:space="preserve">many </w:t>
      </w:r>
      <w:r w:rsidR="00F449D5" w:rsidRPr="00201DA2">
        <w:rPr>
          <w:rFonts w:eastAsia="Calibri"/>
          <w:color w:val="000000"/>
          <w:sz w:val="22"/>
          <w:szCs w:val="22"/>
        </w:rPr>
        <w:t xml:space="preserve">criminal legal systems in the United States attempt to move away from using cash bail, </w:t>
      </w:r>
      <w:r w:rsidR="005319FD" w:rsidRPr="00201DA2">
        <w:rPr>
          <w:rFonts w:eastAsia="Calibri"/>
          <w:color w:val="000000"/>
          <w:sz w:val="22"/>
          <w:szCs w:val="22"/>
        </w:rPr>
        <w:t>pretrial detention, and other custodial curtailments on liberty, the State Party’s federal and state legal systems are increasingly using artificial intelligence, such as algorithmic risk scores,</w:t>
      </w:r>
      <w:r w:rsidR="00FA45FF" w:rsidRPr="00201DA2">
        <w:rPr>
          <w:rFonts w:eastAsia="Calibri"/>
          <w:color w:val="000000"/>
          <w:sz w:val="22"/>
          <w:szCs w:val="22"/>
        </w:rPr>
        <w:t xml:space="preserve"> </w:t>
      </w:r>
      <w:r w:rsidR="005319FD" w:rsidRPr="00201DA2">
        <w:rPr>
          <w:rFonts w:eastAsia="Calibri"/>
          <w:color w:val="000000"/>
          <w:sz w:val="22"/>
          <w:szCs w:val="22"/>
        </w:rPr>
        <w:t>which can cement racial and income disparities in people’s enjoyment of the</w:t>
      </w:r>
      <w:r w:rsidR="006744B9" w:rsidRPr="00201DA2">
        <w:rPr>
          <w:rFonts w:eastAsia="Calibri"/>
          <w:color w:val="000000"/>
          <w:sz w:val="22"/>
          <w:szCs w:val="22"/>
        </w:rPr>
        <w:t>ir</w:t>
      </w:r>
      <w:r w:rsidR="005319FD" w:rsidRPr="00201DA2">
        <w:rPr>
          <w:rFonts w:eastAsia="Calibri"/>
          <w:color w:val="000000"/>
          <w:sz w:val="22"/>
          <w:szCs w:val="22"/>
        </w:rPr>
        <w:t xml:space="preserve"> rights to privacy and liberty. </w:t>
      </w:r>
    </w:p>
    <w:p w14:paraId="7203B631" w14:textId="78C7CF8A" w:rsidR="00417250" w:rsidRPr="00201DA2" w:rsidRDefault="005E432B" w:rsidP="00417250">
      <w:pPr>
        <w:pBdr>
          <w:top w:val="nil"/>
          <w:left w:val="nil"/>
          <w:bottom w:val="nil"/>
          <w:right w:val="nil"/>
          <w:between w:val="nil"/>
        </w:pBdr>
        <w:rPr>
          <w:rFonts w:eastAsia="Calibri"/>
          <w:color w:val="000000"/>
          <w:sz w:val="22"/>
          <w:szCs w:val="22"/>
        </w:rPr>
      </w:pPr>
      <w:r w:rsidRPr="00201DA2">
        <w:rPr>
          <w:rFonts w:eastAsia="Calibri"/>
          <w:color w:val="000000"/>
          <w:sz w:val="22"/>
          <w:szCs w:val="22"/>
        </w:rPr>
        <w:t xml:space="preserve"> </w:t>
      </w:r>
    </w:p>
    <w:p w14:paraId="13716FC9" w14:textId="006038CC" w:rsidR="00417250" w:rsidRPr="00201DA2" w:rsidRDefault="00417250" w:rsidP="00417250">
      <w:pPr>
        <w:pBdr>
          <w:top w:val="nil"/>
          <w:left w:val="nil"/>
          <w:bottom w:val="nil"/>
          <w:right w:val="nil"/>
          <w:between w:val="nil"/>
        </w:pBdr>
        <w:contextualSpacing/>
        <w:rPr>
          <w:rFonts w:eastAsia="Calibri"/>
          <w:b/>
          <w:color w:val="000000"/>
          <w:sz w:val="22"/>
          <w:szCs w:val="22"/>
          <w:lang w:val="fr-FR"/>
        </w:rPr>
      </w:pPr>
      <w:r w:rsidRPr="00201DA2">
        <w:rPr>
          <w:rFonts w:eastAsia="Calibri"/>
          <w:b/>
          <w:color w:val="000000"/>
          <w:sz w:val="22"/>
          <w:szCs w:val="22"/>
          <w:lang w:val="fr-FR"/>
        </w:rPr>
        <w:t>Relevant ICCPR Articles</w:t>
      </w:r>
    </w:p>
    <w:p w14:paraId="066F96D8" w14:textId="6155DBD7" w:rsidR="006744B9" w:rsidRPr="00201DA2" w:rsidRDefault="006744B9" w:rsidP="00417250">
      <w:pPr>
        <w:pBdr>
          <w:top w:val="nil"/>
          <w:left w:val="nil"/>
          <w:bottom w:val="nil"/>
          <w:right w:val="nil"/>
          <w:between w:val="nil"/>
        </w:pBdr>
        <w:contextualSpacing/>
        <w:rPr>
          <w:rFonts w:eastAsia="Calibri"/>
          <w:color w:val="000000"/>
          <w:sz w:val="22"/>
          <w:szCs w:val="22"/>
          <w:lang w:val="fr-FR"/>
        </w:rPr>
      </w:pPr>
      <w:r w:rsidRPr="00201DA2">
        <w:rPr>
          <w:rFonts w:eastAsia="Calibri"/>
          <w:color w:val="000000"/>
          <w:sz w:val="22"/>
          <w:szCs w:val="22"/>
          <w:lang w:val="fr-FR"/>
        </w:rPr>
        <w:t>Articles</w:t>
      </w:r>
      <w:r w:rsidR="006D4786" w:rsidRPr="00201DA2">
        <w:rPr>
          <w:rFonts w:eastAsia="Calibri"/>
          <w:color w:val="000000"/>
          <w:sz w:val="22"/>
          <w:szCs w:val="22"/>
          <w:lang w:val="fr-FR"/>
        </w:rPr>
        <w:t xml:space="preserve"> 2,</w:t>
      </w:r>
      <w:r w:rsidRPr="00201DA2">
        <w:rPr>
          <w:rFonts w:eastAsia="Calibri"/>
          <w:color w:val="000000"/>
          <w:sz w:val="22"/>
          <w:szCs w:val="22"/>
          <w:lang w:val="fr-FR"/>
        </w:rPr>
        <w:t xml:space="preserve"> 6, </w:t>
      </w:r>
      <w:r w:rsidR="006D4786" w:rsidRPr="00201DA2">
        <w:rPr>
          <w:rFonts w:eastAsia="Calibri"/>
          <w:color w:val="000000"/>
          <w:sz w:val="22"/>
          <w:szCs w:val="22"/>
          <w:lang w:val="fr-FR"/>
        </w:rPr>
        <w:t xml:space="preserve">14, </w:t>
      </w:r>
      <w:r w:rsidR="000045C7" w:rsidRPr="00201DA2">
        <w:rPr>
          <w:rFonts w:eastAsia="Calibri"/>
          <w:color w:val="000000"/>
          <w:sz w:val="22"/>
          <w:szCs w:val="22"/>
          <w:lang w:val="fr-FR"/>
        </w:rPr>
        <w:t xml:space="preserve">and </w:t>
      </w:r>
      <w:r w:rsidRPr="00201DA2">
        <w:rPr>
          <w:rFonts w:eastAsia="Calibri"/>
          <w:color w:val="000000"/>
          <w:sz w:val="22"/>
          <w:szCs w:val="22"/>
          <w:lang w:val="fr-FR"/>
        </w:rPr>
        <w:t>26</w:t>
      </w:r>
      <w:r w:rsidR="000045C7" w:rsidRPr="00201DA2">
        <w:rPr>
          <w:rFonts w:eastAsia="Calibri"/>
          <w:color w:val="000000"/>
          <w:sz w:val="22"/>
          <w:szCs w:val="22"/>
          <w:lang w:val="fr-FR"/>
        </w:rPr>
        <w:t>.</w:t>
      </w:r>
    </w:p>
    <w:p w14:paraId="01DA40C6" w14:textId="77777777" w:rsidR="00417250" w:rsidRPr="00201DA2" w:rsidRDefault="00417250" w:rsidP="00417250">
      <w:pPr>
        <w:pBdr>
          <w:top w:val="nil"/>
          <w:left w:val="nil"/>
          <w:bottom w:val="nil"/>
          <w:right w:val="nil"/>
          <w:between w:val="nil"/>
        </w:pBdr>
        <w:contextualSpacing/>
        <w:rPr>
          <w:rFonts w:eastAsia="Calibri"/>
          <w:color w:val="000000"/>
          <w:sz w:val="22"/>
          <w:szCs w:val="22"/>
          <w:lang w:val="fr-FR"/>
        </w:rPr>
      </w:pPr>
    </w:p>
    <w:p w14:paraId="2CF39BBC" w14:textId="5DB9BD06" w:rsidR="00417250" w:rsidRPr="00201DA2" w:rsidRDefault="00417250" w:rsidP="00417250">
      <w:pPr>
        <w:pBdr>
          <w:top w:val="nil"/>
          <w:left w:val="nil"/>
          <w:bottom w:val="nil"/>
          <w:right w:val="nil"/>
          <w:between w:val="nil"/>
        </w:pBdr>
        <w:contextualSpacing/>
        <w:rPr>
          <w:rFonts w:eastAsia="Calibri"/>
          <w:b/>
          <w:color w:val="000000"/>
          <w:sz w:val="22"/>
          <w:szCs w:val="22"/>
          <w:lang w:val="fr-FR"/>
        </w:rPr>
      </w:pPr>
      <w:r w:rsidRPr="00201DA2">
        <w:rPr>
          <w:rFonts w:eastAsia="Calibri"/>
          <w:b/>
          <w:color w:val="000000"/>
          <w:sz w:val="22"/>
          <w:szCs w:val="22"/>
          <w:lang w:val="fr-FR"/>
        </w:rPr>
        <w:t xml:space="preserve">Prior </w:t>
      </w:r>
      <w:r w:rsidR="000045C7" w:rsidRPr="00201DA2">
        <w:rPr>
          <w:rFonts w:eastAsia="Calibri"/>
          <w:b/>
          <w:color w:val="000000"/>
          <w:sz w:val="22"/>
          <w:szCs w:val="22"/>
          <w:lang w:val="fr-FR"/>
        </w:rPr>
        <w:t>Recommendations</w:t>
      </w:r>
    </w:p>
    <w:p w14:paraId="705D90BC" w14:textId="26C37B3E" w:rsidR="005E432B" w:rsidRPr="00201DA2" w:rsidRDefault="006744B9" w:rsidP="005E432B">
      <w:pPr>
        <w:pStyle w:val="ListParagraph"/>
        <w:numPr>
          <w:ilvl w:val="0"/>
          <w:numId w:val="15"/>
        </w:numPr>
        <w:pBdr>
          <w:top w:val="nil"/>
          <w:left w:val="nil"/>
          <w:bottom w:val="nil"/>
          <w:right w:val="nil"/>
          <w:between w:val="nil"/>
        </w:pBdr>
        <w:rPr>
          <w:rFonts w:eastAsia="Calibri"/>
          <w:color w:val="000000"/>
          <w:sz w:val="22"/>
          <w:szCs w:val="22"/>
        </w:rPr>
      </w:pPr>
      <w:r w:rsidRPr="00201DA2">
        <w:rPr>
          <w:rFonts w:eastAsia="Calibri"/>
          <w:color w:val="000000"/>
          <w:sz w:val="22"/>
          <w:szCs w:val="22"/>
        </w:rPr>
        <w:t>In its 2006 Concluding Observations</w:t>
      </w:r>
      <w:r w:rsidR="000045C7" w:rsidRPr="00201DA2">
        <w:rPr>
          <w:rFonts w:eastAsia="Calibri"/>
          <w:color w:val="000000"/>
          <w:sz w:val="22"/>
          <w:szCs w:val="22"/>
        </w:rPr>
        <w:t>,</w:t>
      </w:r>
      <w:r w:rsidRPr="00201DA2">
        <w:rPr>
          <w:rFonts w:eastAsia="Calibri"/>
          <w:color w:val="000000"/>
          <w:sz w:val="22"/>
          <w:szCs w:val="22"/>
        </w:rPr>
        <w:t xml:space="preserve"> the Committee expressed</w:t>
      </w:r>
      <w:r w:rsidR="005E432B" w:rsidRPr="00201DA2">
        <w:rPr>
          <w:rFonts w:eastAsia="Calibri"/>
          <w:color w:val="000000"/>
          <w:sz w:val="22"/>
          <w:szCs w:val="22"/>
        </w:rPr>
        <w:t xml:space="preserve"> its concern regarding the treatment of poor people, and in particular African Americans in the</w:t>
      </w:r>
      <w:r w:rsidR="00AB3E65" w:rsidRPr="00201DA2">
        <w:rPr>
          <w:rFonts w:eastAsia="Calibri"/>
          <w:color w:val="000000"/>
          <w:sz w:val="22"/>
          <w:szCs w:val="22"/>
        </w:rPr>
        <w:t xml:space="preserve"> Hurricane </w:t>
      </w:r>
      <w:r w:rsidR="000045C7" w:rsidRPr="00201DA2">
        <w:rPr>
          <w:rFonts w:eastAsia="Calibri"/>
          <w:color w:val="000000"/>
          <w:sz w:val="22"/>
          <w:szCs w:val="22"/>
        </w:rPr>
        <w:t>Katrina evacuation</w:t>
      </w:r>
      <w:r w:rsidR="00AB3E65" w:rsidRPr="00201DA2">
        <w:rPr>
          <w:rFonts w:eastAsia="Calibri"/>
          <w:color w:val="000000"/>
          <w:sz w:val="22"/>
          <w:szCs w:val="22"/>
        </w:rPr>
        <w:t xml:space="preserve"> </w:t>
      </w:r>
      <w:r w:rsidR="005E432B" w:rsidRPr="00201DA2">
        <w:rPr>
          <w:rFonts w:eastAsia="Calibri"/>
          <w:color w:val="000000"/>
          <w:sz w:val="22"/>
          <w:szCs w:val="22"/>
        </w:rPr>
        <w:t>and reconstruction efforts,</w:t>
      </w:r>
      <w:r w:rsidRPr="00201DA2">
        <w:rPr>
          <w:rFonts w:eastAsia="Calibri"/>
          <w:color w:val="000000"/>
          <w:sz w:val="22"/>
          <w:szCs w:val="22"/>
        </w:rPr>
        <w:t xml:space="preserve"> and</w:t>
      </w:r>
      <w:r w:rsidR="005E432B" w:rsidRPr="00201DA2">
        <w:rPr>
          <w:rFonts w:eastAsia="Calibri"/>
          <w:color w:val="000000"/>
          <w:sz w:val="22"/>
          <w:szCs w:val="22"/>
        </w:rPr>
        <w:t xml:space="preserve"> recommended</w:t>
      </w:r>
      <w:r w:rsidR="00AB3E65" w:rsidRPr="00201DA2">
        <w:rPr>
          <w:rFonts w:eastAsia="Calibri"/>
          <w:color w:val="000000"/>
          <w:sz w:val="22"/>
          <w:szCs w:val="22"/>
        </w:rPr>
        <w:t xml:space="preserve"> the US</w:t>
      </w:r>
      <w:r w:rsidR="00B7474C" w:rsidRPr="00201DA2">
        <w:rPr>
          <w:rFonts w:eastAsia="Calibri"/>
          <w:color w:val="000000"/>
          <w:sz w:val="22"/>
          <w:szCs w:val="22"/>
        </w:rPr>
        <w:t xml:space="preserve"> </w:t>
      </w:r>
      <w:r w:rsidR="005E432B" w:rsidRPr="00201DA2">
        <w:rPr>
          <w:bCs/>
          <w:sz w:val="22"/>
          <w:szCs w:val="22"/>
        </w:rPr>
        <w:t>increas</w:t>
      </w:r>
      <w:r w:rsidR="00B7474C" w:rsidRPr="00201DA2">
        <w:rPr>
          <w:bCs/>
          <w:sz w:val="22"/>
          <w:szCs w:val="22"/>
        </w:rPr>
        <w:t>e</w:t>
      </w:r>
      <w:r w:rsidR="00AB3E65" w:rsidRPr="00201DA2">
        <w:rPr>
          <w:bCs/>
          <w:sz w:val="22"/>
          <w:szCs w:val="22"/>
        </w:rPr>
        <w:t xml:space="preserve"> </w:t>
      </w:r>
      <w:r w:rsidR="005E432B" w:rsidRPr="00201DA2">
        <w:rPr>
          <w:bCs/>
          <w:sz w:val="22"/>
          <w:szCs w:val="22"/>
        </w:rPr>
        <w:t xml:space="preserve">efforts to </w:t>
      </w:r>
      <w:r w:rsidR="00AB3E65" w:rsidRPr="00201DA2">
        <w:rPr>
          <w:bCs/>
          <w:sz w:val="22"/>
          <w:szCs w:val="22"/>
        </w:rPr>
        <w:t>“</w:t>
      </w:r>
      <w:r w:rsidR="005E432B" w:rsidRPr="00201DA2">
        <w:rPr>
          <w:bCs/>
          <w:sz w:val="22"/>
          <w:szCs w:val="22"/>
        </w:rPr>
        <w:t>ensure that the rights of the poor, and in particular African-Americans, are fully taken into consideration . . . .”</w:t>
      </w:r>
      <w:r w:rsidRPr="00201DA2">
        <w:rPr>
          <w:bCs/>
          <w:sz w:val="22"/>
          <w:szCs w:val="22"/>
        </w:rPr>
        <w:t xml:space="preserve"> (para. 26)</w:t>
      </w:r>
      <w:r w:rsidR="000045C7" w:rsidRPr="00201DA2">
        <w:rPr>
          <w:bCs/>
          <w:sz w:val="22"/>
          <w:szCs w:val="22"/>
        </w:rPr>
        <w:t>.</w:t>
      </w:r>
    </w:p>
    <w:p w14:paraId="18AA50CC" w14:textId="2272F0AC" w:rsidR="00417250" w:rsidRPr="00201DA2" w:rsidRDefault="009A0577" w:rsidP="00B7474C">
      <w:pPr>
        <w:pStyle w:val="ListParagraph"/>
        <w:numPr>
          <w:ilvl w:val="0"/>
          <w:numId w:val="15"/>
        </w:numPr>
        <w:pBdr>
          <w:top w:val="nil"/>
          <w:left w:val="nil"/>
          <w:bottom w:val="nil"/>
          <w:right w:val="nil"/>
          <w:between w:val="nil"/>
        </w:pBdr>
        <w:rPr>
          <w:rFonts w:eastAsia="Calibri"/>
          <w:color w:val="000000"/>
          <w:sz w:val="22"/>
          <w:szCs w:val="22"/>
        </w:rPr>
      </w:pPr>
      <w:r w:rsidRPr="00201DA2">
        <w:rPr>
          <w:rFonts w:eastAsia="Calibri"/>
          <w:color w:val="000000"/>
          <w:sz w:val="22"/>
          <w:szCs w:val="22"/>
        </w:rPr>
        <w:t xml:space="preserve">In its 2014 Concluding Observations the Committee </w:t>
      </w:r>
      <w:r w:rsidR="00A54A40" w:rsidRPr="00201DA2">
        <w:rPr>
          <w:rFonts w:eastAsia="Calibri"/>
          <w:color w:val="000000"/>
          <w:sz w:val="22"/>
          <w:szCs w:val="22"/>
        </w:rPr>
        <w:t xml:space="preserve">expressed concern about the criminalization </w:t>
      </w:r>
      <w:r w:rsidR="00AB3E65" w:rsidRPr="00201DA2">
        <w:rPr>
          <w:rFonts w:eastAsia="Calibri"/>
          <w:color w:val="000000"/>
          <w:sz w:val="22"/>
          <w:szCs w:val="22"/>
        </w:rPr>
        <w:t xml:space="preserve">of homelessness, including </w:t>
      </w:r>
      <w:r w:rsidR="00A54A40" w:rsidRPr="00201DA2">
        <w:rPr>
          <w:rFonts w:eastAsia="Calibri"/>
          <w:color w:val="000000"/>
          <w:sz w:val="22"/>
          <w:szCs w:val="22"/>
        </w:rPr>
        <w:t>everyday activities such as eating, sleeping,</w:t>
      </w:r>
      <w:r w:rsidR="000045C7" w:rsidRPr="00201DA2">
        <w:rPr>
          <w:rFonts w:eastAsia="Calibri"/>
          <w:color w:val="000000"/>
          <w:sz w:val="22"/>
          <w:szCs w:val="22"/>
        </w:rPr>
        <w:t xml:space="preserve"> and</w:t>
      </w:r>
      <w:r w:rsidR="00A54A40" w:rsidRPr="00201DA2">
        <w:rPr>
          <w:rFonts w:eastAsia="Calibri"/>
          <w:color w:val="000000"/>
          <w:sz w:val="22"/>
          <w:szCs w:val="22"/>
        </w:rPr>
        <w:t xml:space="preserve"> sitting in particular areas</w:t>
      </w:r>
      <w:r w:rsidR="00AB3E65" w:rsidRPr="00201DA2">
        <w:rPr>
          <w:rFonts w:eastAsia="Calibri"/>
          <w:color w:val="000000"/>
          <w:sz w:val="22"/>
          <w:szCs w:val="22"/>
        </w:rPr>
        <w:t>. (para. 19).</w:t>
      </w:r>
    </w:p>
    <w:p w14:paraId="24F96CF2" w14:textId="77777777" w:rsidR="00A54A40" w:rsidRPr="00201DA2" w:rsidRDefault="00A54A40" w:rsidP="00417250">
      <w:pPr>
        <w:pBdr>
          <w:top w:val="nil"/>
          <w:left w:val="nil"/>
          <w:bottom w:val="nil"/>
          <w:right w:val="nil"/>
          <w:between w:val="nil"/>
        </w:pBdr>
        <w:contextualSpacing/>
        <w:rPr>
          <w:rFonts w:eastAsia="Calibri"/>
          <w:b/>
          <w:sz w:val="22"/>
          <w:szCs w:val="22"/>
        </w:rPr>
      </w:pPr>
    </w:p>
    <w:p w14:paraId="58EA4FE4" w14:textId="477D1773" w:rsidR="00417250" w:rsidRPr="00201DA2" w:rsidRDefault="00417250" w:rsidP="00417250">
      <w:pPr>
        <w:pBdr>
          <w:top w:val="nil"/>
          <w:left w:val="nil"/>
          <w:bottom w:val="nil"/>
          <w:right w:val="nil"/>
          <w:between w:val="nil"/>
        </w:pBdr>
        <w:contextualSpacing/>
        <w:rPr>
          <w:rFonts w:eastAsia="Calibri"/>
          <w:color w:val="000000"/>
          <w:sz w:val="22"/>
          <w:szCs w:val="22"/>
        </w:rPr>
      </w:pPr>
      <w:r w:rsidRPr="00201DA2">
        <w:rPr>
          <w:rFonts w:eastAsia="Calibri"/>
          <w:b/>
          <w:sz w:val="22"/>
          <w:szCs w:val="22"/>
        </w:rPr>
        <w:t xml:space="preserve">Current </w:t>
      </w:r>
      <w:r w:rsidRPr="00201DA2">
        <w:rPr>
          <w:rFonts w:eastAsia="Calibri"/>
          <w:b/>
          <w:color w:val="000000"/>
          <w:sz w:val="22"/>
          <w:szCs w:val="22"/>
        </w:rPr>
        <w:t xml:space="preserve">US Government Policy or Practice </w:t>
      </w:r>
    </w:p>
    <w:p w14:paraId="6F7FB659" w14:textId="51AB2E6F" w:rsidR="00F14AF6" w:rsidRPr="00201DA2" w:rsidRDefault="004731B2" w:rsidP="00417250">
      <w:pPr>
        <w:rPr>
          <w:sz w:val="22"/>
          <w:szCs w:val="22"/>
        </w:rPr>
      </w:pPr>
      <w:r w:rsidRPr="00201DA2">
        <w:rPr>
          <w:sz w:val="22"/>
          <w:szCs w:val="22"/>
        </w:rPr>
        <w:t>Poor</w:t>
      </w:r>
      <w:r w:rsidR="00417250" w:rsidRPr="00201DA2">
        <w:rPr>
          <w:sz w:val="22"/>
          <w:szCs w:val="22"/>
        </w:rPr>
        <w:t xml:space="preserve"> </w:t>
      </w:r>
      <w:r w:rsidR="00F14AF6" w:rsidRPr="00201DA2">
        <w:rPr>
          <w:sz w:val="22"/>
          <w:szCs w:val="22"/>
        </w:rPr>
        <w:t>people accused of crimes are often jailed because judges require money</w:t>
      </w:r>
      <w:r w:rsidR="00CD7342" w:rsidRPr="00201DA2">
        <w:rPr>
          <w:sz w:val="22"/>
          <w:szCs w:val="22"/>
        </w:rPr>
        <w:t xml:space="preserve"> bail</w:t>
      </w:r>
      <w:r w:rsidR="00F14AF6" w:rsidRPr="00201DA2">
        <w:rPr>
          <w:sz w:val="22"/>
          <w:szCs w:val="22"/>
        </w:rPr>
        <w:t xml:space="preserve"> as a condition of release, forcing people not convicted of any crime to stay behind bars for long periods of time awaiting trial, and resulting in coerced guilty pleas.</w:t>
      </w:r>
      <w:r w:rsidR="00CD7342" w:rsidRPr="00201DA2">
        <w:rPr>
          <w:rStyle w:val="FootnoteReference"/>
          <w:sz w:val="22"/>
          <w:szCs w:val="22"/>
        </w:rPr>
        <w:footnoteReference w:id="46"/>
      </w:r>
      <w:r w:rsidR="00F14AF6" w:rsidRPr="00201DA2">
        <w:rPr>
          <w:sz w:val="22"/>
          <w:szCs w:val="22"/>
        </w:rPr>
        <w:t xml:space="preserve"> A movement to reduce the use of money bail is growing but many states, including California—which</w:t>
      </w:r>
      <w:r w:rsidR="00CD7342" w:rsidRPr="00201DA2">
        <w:rPr>
          <w:sz w:val="22"/>
          <w:szCs w:val="22"/>
        </w:rPr>
        <w:t xml:space="preserve"> passed a bill</w:t>
      </w:r>
      <w:r w:rsidR="00CD7342" w:rsidRPr="00201DA2">
        <w:rPr>
          <w:rStyle w:val="FootnoteReference"/>
          <w:sz w:val="22"/>
          <w:szCs w:val="22"/>
        </w:rPr>
        <w:footnoteReference w:id="47"/>
      </w:r>
      <w:r w:rsidR="00CD7342" w:rsidRPr="00201DA2">
        <w:rPr>
          <w:sz w:val="22"/>
          <w:szCs w:val="22"/>
        </w:rPr>
        <w:t xml:space="preserve"> </w:t>
      </w:r>
      <w:r w:rsidR="00F14AF6" w:rsidRPr="00201DA2">
        <w:rPr>
          <w:sz w:val="22"/>
          <w:szCs w:val="22"/>
        </w:rPr>
        <w:t>eliminating</w:t>
      </w:r>
      <w:r w:rsidR="00CD7342" w:rsidRPr="00201DA2">
        <w:rPr>
          <w:sz w:val="22"/>
          <w:szCs w:val="22"/>
        </w:rPr>
        <w:t xml:space="preserve"> money bail in</w:t>
      </w:r>
      <w:r w:rsidR="00F14AF6" w:rsidRPr="00201DA2">
        <w:rPr>
          <w:sz w:val="22"/>
          <w:szCs w:val="22"/>
        </w:rPr>
        <w:t xml:space="preserve"> August</w:t>
      </w:r>
      <w:r w:rsidR="00C35E95" w:rsidRPr="00201DA2">
        <w:rPr>
          <w:sz w:val="22"/>
          <w:szCs w:val="22"/>
        </w:rPr>
        <w:t xml:space="preserve"> this year</w:t>
      </w:r>
      <w:r w:rsidR="00CD7342" w:rsidRPr="00201DA2">
        <w:rPr>
          <w:rStyle w:val="FootnoteReference"/>
          <w:sz w:val="22"/>
          <w:szCs w:val="22"/>
        </w:rPr>
        <w:footnoteReference w:id="48"/>
      </w:r>
      <w:r w:rsidR="00F14AF6" w:rsidRPr="00201DA2">
        <w:rPr>
          <w:sz w:val="22"/>
          <w:szCs w:val="22"/>
        </w:rPr>
        <w:t>—are replacing money bail with</w:t>
      </w:r>
      <w:r w:rsidR="00C35E95" w:rsidRPr="00201DA2">
        <w:rPr>
          <w:sz w:val="22"/>
          <w:szCs w:val="22"/>
        </w:rPr>
        <w:t xml:space="preserve"> risk assessment</w:t>
      </w:r>
      <w:r w:rsidR="00F14AF6" w:rsidRPr="00201DA2">
        <w:rPr>
          <w:sz w:val="22"/>
          <w:szCs w:val="22"/>
        </w:rPr>
        <w:t xml:space="preserve"> tools that could entrench discrimination while failing to lower rates of pretrial incarceration.</w:t>
      </w:r>
      <w:r w:rsidR="00CD7342" w:rsidRPr="00201DA2">
        <w:rPr>
          <w:rStyle w:val="FootnoteReference"/>
          <w:sz w:val="22"/>
          <w:szCs w:val="22"/>
        </w:rPr>
        <w:footnoteReference w:id="49"/>
      </w:r>
      <w:r w:rsidR="00F14AF6" w:rsidRPr="00201DA2">
        <w:rPr>
          <w:sz w:val="22"/>
          <w:szCs w:val="22"/>
        </w:rPr>
        <w:t xml:space="preserve"> </w:t>
      </w:r>
    </w:p>
    <w:p w14:paraId="118364BA" w14:textId="77777777" w:rsidR="00F14AF6" w:rsidRPr="00201DA2" w:rsidRDefault="00F14AF6" w:rsidP="00F14AF6">
      <w:pPr>
        <w:rPr>
          <w:sz w:val="22"/>
          <w:szCs w:val="22"/>
        </w:rPr>
      </w:pPr>
    </w:p>
    <w:p w14:paraId="78BBF8BA" w14:textId="5BA5B2E3" w:rsidR="00F14AF6" w:rsidRPr="00201DA2" w:rsidRDefault="00F14AF6" w:rsidP="00F14AF6">
      <w:pPr>
        <w:rPr>
          <w:sz w:val="22"/>
          <w:szCs w:val="22"/>
        </w:rPr>
      </w:pPr>
      <w:r w:rsidRPr="00201DA2">
        <w:rPr>
          <w:sz w:val="22"/>
          <w:szCs w:val="22"/>
        </w:rPr>
        <w:t>Many local jurisdictions impose</w:t>
      </w:r>
      <w:r w:rsidR="00C35E95" w:rsidRPr="00201DA2">
        <w:rPr>
          <w:sz w:val="22"/>
          <w:szCs w:val="22"/>
        </w:rPr>
        <w:t xml:space="preserve"> excessive fees and fines</w:t>
      </w:r>
      <w:r w:rsidRPr="00201DA2">
        <w:rPr>
          <w:sz w:val="22"/>
          <w:szCs w:val="22"/>
        </w:rPr>
        <w:t xml:space="preserve"> for even minor violations of law. If unpaid, these debts can result in</w:t>
      </w:r>
      <w:r w:rsidR="00D406CB" w:rsidRPr="00201DA2">
        <w:rPr>
          <w:sz w:val="22"/>
          <w:szCs w:val="22"/>
        </w:rPr>
        <w:t xml:space="preserve"> disproportionate </w:t>
      </w:r>
      <w:r w:rsidR="00511F6E" w:rsidRPr="00201DA2">
        <w:rPr>
          <w:sz w:val="22"/>
          <w:szCs w:val="22"/>
        </w:rPr>
        <w:t>punishment across</w:t>
      </w:r>
      <w:r w:rsidR="00D406CB" w:rsidRPr="00201DA2">
        <w:rPr>
          <w:sz w:val="22"/>
          <w:szCs w:val="22"/>
        </w:rPr>
        <w:t xml:space="preserve"> poor communities, and</w:t>
      </w:r>
      <w:r w:rsidRPr="00201DA2">
        <w:rPr>
          <w:sz w:val="22"/>
          <w:szCs w:val="22"/>
        </w:rPr>
        <w:t xml:space="preserve"> arrests that feed a cycle of incarceration and increased poverty.</w:t>
      </w:r>
      <w:r w:rsidR="00C35E95" w:rsidRPr="00201DA2">
        <w:rPr>
          <w:rStyle w:val="FootnoteReference"/>
          <w:sz w:val="22"/>
          <w:szCs w:val="22"/>
        </w:rPr>
        <w:footnoteReference w:id="50"/>
      </w:r>
      <w:r w:rsidRPr="00201DA2">
        <w:rPr>
          <w:sz w:val="22"/>
          <w:szCs w:val="22"/>
        </w:rPr>
        <w:t xml:space="preserve"> Similarly, some states</w:t>
      </w:r>
      <w:r w:rsidR="00C35E95" w:rsidRPr="00201DA2">
        <w:rPr>
          <w:sz w:val="22"/>
          <w:szCs w:val="22"/>
        </w:rPr>
        <w:t xml:space="preserve"> privatize</w:t>
      </w:r>
      <w:r w:rsidRPr="00201DA2">
        <w:rPr>
          <w:sz w:val="22"/>
          <w:szCs w:val="22"/>
        </w:rPr>
        <w:t xml:space="preserve"> misdemeanor probation services, which</w:t>
      </w:r>
      <w:r w:rsidR="00511F6E" w:rsidRPr="00201DA2">
        <w:rPr>
          <w:sz w:val="22"/>
          <w:szCs w:val="22"/>
        </w:rPr>
        <w:t xml:space="preserve"> often </w:t>
      </w:r>
      <w:r w:rsidR="002B012A" w:rsidRPr="00201DA2">
        <w:rPr>
          <w:sz w:val="22"/>
          <w:szCs w:val="22"/>
        </w:rPr>
        <w:t>puts poor people at risk of incarceration because they cannot afford to pay an exorbitant combination of court fines and probation company fees</w:t>
      </w:r>
      <w:r w:rsidRPr="00201DA2">
        <w:rPr>
          <w:sz w:val="22"/>
          <w:szCs w:val="22"/>
        </w:rPr>
        <w:t>.</w:t>
      </w:r>
      <w:r w:rsidR="00C35E95" w:rsidRPr="00201DA2">
        <w:rPr>
          <w:rStyle w:val="FootnoteReference"/>
          <w:sz w:val="22"/>
          <w:szCs w:val="22"/>
        </w:rPr>
        <w:footnoteReference w:id="51"/>
      </w:r>
    </w:p>
    <w:p w14:paraId="406E6AF6" w14:textId="670A2FB0" w:rsidR="00417250" w:rsidRPr="00201DA2" w:rsidRDefault="00417250" w:rsidP="00F14AF6">
      <w:pPr>
        <w:pBdr>
          <w:top w:val="nil"/>
          <w:left w:val="nil"/>
          <w:bottom w:val="nil"/>
          <w:right w:val="nil"/>
          <w:between w:val="nil"/>
        </w:pBdr>
        <w:rPr>
          <w:rFonts w:eastAsia="Calibri"/>
          <w:b/>
          <w:color w:val="000000"/>
          <w:sz w:val="22"/>
          <w:szCs w:val="22"/>
        </w:rPr>
      </w:pPr>
    </w:p>
    <w:p w14:paraId="2E8156B4" w14:textId="1117504D" w:rsidR="006744B9" w:rsidRPr="00201DA2" w:rsidRDefault="00417250" w:rsidP="005E432B">
      <w:pPr>
        <w:pBdr>
          <w:top w:val="nil"/>
          <w:left w:val="nil"/>
          <w:bottom w:val="nil"/>
          <w:right w:val="nil"/>
          <w:between w:val="nil"/>
        </w:pBdr>
        <w:contextualSpacing/>
        <w:rPr>
          <w:rFonts w:eastAsia="Calibri"/>
          <w:color w:val="000000"/>
          <w:sz w:val="22"/>
          <w:szCs w:val="22"/>
        </w:rPr>
      </w:pPr>
      <w:r w:rsidRPr="00201DA2">
        <w:rPr>
          <w:rFonts w:eastAsia="Calibri"/>
          <w:b/>
          <w:color w:val="000000"/>
          <w:sz w:val="22"/>
          <w:szCs w:val="22"/>
        </w:rPr>
        <w:t>Human Rights Committee General Comments and Related UN Body Recommendations</w:t>
      </w:r>
    </w:p>
    <w:p w14:paraId="41DC58EA" w14:textId="38D88A04" w:rsidR="005E432B" w:rsidRPr="00201DA2" w:rsidRDefault="002B012A" w:rsidP="005E432B">
      <w:pPr>
        <w:pBdr>
          <w:top w:val="nil"/>
          <w:left w:val="nil"/>
          <w:bottom w:val="nil"/>
          <w:right w:val="nil"/>
          <w:between w:val="nil"/>
        </w:pBdr>
        <w:rPr>
          <w:rStyle w:val="Emphasis"/>
          <w:i w:val="0"/>
          <w:sz w:val="22"/>
          <w:szCs w:val="22"/>
          <w:shd w:val="clear" w:color="auto" w:fill="FFFFFF"/>
        </w:rPr>
      </w:pPr>
      <w:r w:rsidRPr="00201DA2">
        <w:rPr>
          <w:sz w:val="22"/>
          <w:szCs w:val="22"/>
        </w:rPr>
        <w:t>Under Article 2 of the Covenant, p</w:t>
      </w:r>
      <w:r w:rsidR="006744B9" w:rsidRPr="00201DA2">
        <w:rPr>
          <w:sz w:val="22"/>
          <w:szCs w:val="22"/>
        </w:rPr>
        <w:t xml:space="preserve">ersons should not experience discrimination or be disadvantaged before the law due to their economic status. </w:t>
      </w:r>
      <w:r w:rsidR="006D4786" w:rsidRPr="00201DA2">
        <w:rPr>
          <w:sz w:val="22"/>
          <w:szCs w:val="22"/>
        </w:rPr>
        <w:t xml:space="preserve">As the Committee has noted in its General Comment 32, “Procedural laws or their application that make distinctions based on any of the criteria listed in article 2, paragraph 1 or article 26 . . . to the enjoyment of the guarantees set forth in article 14 of the Covenant, not only violate the requirement of paragraph 1 of this provision that ‘all persons shall be equal before the courts and tribunals,’ but may also amount to discrimination.” </w:t>
      </w:r>
      <w:r w:rsidR="005E432B" w:rsidRPr="00201DA2">
        <w:rPr>
          <w:sz w:val="22"/>
          <w:szCs w:val="22"/>
        </w:rPr>
        <w:t xml:space="preserve">In June 2018, the United Nations </w:t>
      </w:r>
      <w:r w:rsidR="003D5695" w:rsidRPr="00201DA2">
        <w:rPr>
          <w:sz w:val="22"/>
          <w:szCs w:val="22"/>
        </w:rPr>
        <w:t xml:space="preserve">special rapporteur on extreme poverty and human rights issued a report </w:t>
      </w:r>
      <w:r w:rsidR="005E432B" w:rsidRPr="00201DA2">
        <w:rPr>
          <w:iCs/>
          <w:sz w:val="22"/>
          <w:szCs w:val="22"/>
        </w:rPr>
        <w:t xml:space="preserve">sharply </w:t>
      </w:r>
      <w:r w:rsidR="005E432B" w:rsidRPr="00201DA2">
        <w:rPr>
          <w:rStyle w:val="Emphasis"/>
          <w:i w:val="0"/>
          <w:sz w:val="22"/>
          <w:szCs w:val="22"/>
          <w:shd w:val="clear" w:color="auto" w:fill="FFFFFF"/>
        </w:rPr>
        <w:t>criticizing the US for its policies towards the poor</w:t>
      </w:r>
      <w:r w:rsidR="005E432B" w:rsidRPr="00201DA2">
        <w:rPr>
          <w:rStyle w:val="Emphasis"/>
          <w:sz w:val="22"/>
          <w:szCs w:val="22"/>
          <w:shd w:val="clear" w:color="auto" w:fill="FFFFFF"/>
        </w:rPr>
        <w:t>.</w:t>
      </w:r>
      <w:r w:rsidR="003D5695" w:rsidRPr="00201DA2">
        <w:rPr>
          <w:rStyle w:val="FootnoteReference"/>
          <w:iCs/>
          <w:sz w:val="22"/>
          <w:szCs w:val="22"/>
          <w:shd w:val="clear" w:color="auto" w:fill="FFFFFF"/>
        </w:rPr>
        <w:footnoteReference w:id="52"/>
      </w:r>
      <w:r w:rsidR="006744B9" w:rsidRPr="00201DA2">
        <w:rPr>
          <w:rStyle w:val="Emphasis"/>
          <w:sz w:val="22"/>
          <w:szCs w:val="22"/>
          <w:shd w:val="clear" w:color="auto" w:fill="FFFFFF"/>
        </w:rPr>
        <w:t xml:space="preserve"> </w:t>
      </w:r>
    </w:p>
    <w:p w14:paraId="7930027C" w14:textId="77777777" w:rsidR="005E432B" w:rsidRPr="00201DA2" w:rsidRDefault="005E432B" w:rsidP="00417250">
      <w:pPr>
        <w:pBdr>
          <w:top w:val="nil"/>
          <w:left w:val="nil"/>
          <w:bottom w:val="nil"/>
          <w:right w:val="nil"/>
          <w:between w:val="nil"/>
        </w:pBdr>
        <w:ind w:left="1440" w:hanging="720"/>
        <w:rPr>
          <w:rFonts w:eastAsia="Calibri"/>
          <w:color w:val="000000"/>
          <w:sz w:val="22"/>
          <w:szCs w:val="22"/>
        </w:rPr>
      </w:pPr>
    </w:p>
    <w:p w14:paraId="4C067E1B" w14:textId="440192E4" w:rsidR="00417250" w:rsidRPr="00201DA2" w:rsidRDefault="00417250" w:rsidP="00417250">
      <w:pPr>
        <w:pBdr>
          <w:top w:val="nil"/>
          <w:left w:val="nil"/>
          <w:bottom w:val="nil"/>
          <w:right w:val="nil"/>
          <w:between w:val="nil"/>
        </w:pBdr>
        <w:contextualSpacing/>
        <w:rPr>
          <w:rFonts w:eastAsia="Calibri"/>
          <w:b/>
          <w:color w:val="000000"/>
          <w:sz w:val="22"/>
          <w:szCs w:val="22"/>
        </w:rPr>
      </w:pPr>
      <w:r w:rsidRPr="00201DA2">
        <w:rPr>
          <w:rFonts w:eastAsia="Calibri"/>
          <w:b/>
          <w:color w:val="000000"/>
          <w:sz w:val="22"/>
          <w:szCs w:val="22"/>
        </w:rPr>
        <w:t>Recommended Questions</w:t>
      </w:r>
    </w:p>
    <w:p w14:paraId="0B6D1C28" w14:textId="1B90C0C7" w:rsidR="005319FD" w:rsidRPr="00201DA2" w:rsidRDefault="005319FD" w:rsidP="005319FD">
      <w:pPr>
        <w:pStyle w:val="ListParagraph"/>
        <w:numPr>
          <w:ilvl w:val="0"/>
          <w:numId w:val="15"/>
        </w:numPr>
        <w:pBdr>
          <w:top w:val="nil"/>
          <w:left w:val="nil"/>
          <w:bottom w:val="nil"/>
          <w:right w:val="nil"/>
          <w:between w:val="nil"/>
        </w:pBdr>
        <w:rPr>
          <w:rFonts w:eastAsia="Calibri"/>
          <w:b/>
          <w:color w:val="000000"/>
          <w:sz w:val="22"/>
          <w:szCs w:val="22"/>
        </w:rPr>
      </w:pPr>
      <w:r w:rsidRPr="00201DA2">
        <w:rPr>
          <w:rFonts w:eastAsia="Calibri"/>
          <w:color w:val="000000"/>
          <w:sz w:val="22"/>
          <w:szCs w:val="22"/>
        </w:rPr>
        <w:t>What steps</w:t>
      </w:r>
      <w:r w:rsidR="009A4B24" w:rsidRPr="00201DA2">
        <w:rPr>
          <w:rFonts w:eastAsia="Calibri"/>
          <w:color w:val="000000"/>
          <w:sz w:val="22"/>
          <w:szCs w:val="22"/>
        </w:rPr>
        <w:t xml:space="preserve"> if any</w:t>
      </w:r>
      <w:r w:rsidRPr="00201DA2">
        <w:rPr>
          <w:rFonts w:eastAsia="Calibri"/>
          <w:color w:val="000000"/>
          <w:sz w:val="22"/>
          <w:szCs w:val="22"/>
        </w:rPr>
        <w:t xml:space="preserve"> is the State Party taking to ensure that algorithmic scoring tools and electronic monitoring are not unnecessarily curtailing the rights to privacy and liberty for persons involved in the criminal legal system?</w:t>
      </w:r>
    </w:p>
    <w:p w14:paraId="1ED0E696" w14:textId="63665641" w:rsidR="005319FD" w:rsidRPr="00201DA2" w:rsidRDefault="005319FD" w:rsidP="005319FD">
      <w:pPr>
        <w:pStyle w:val="ListParagraph"/>
        <w:numPr>
          <w:ilvl w:val="0"/>
          <w:numId w:val="15"/>
        </w:numPr>
        <w:pBdr>
          <w:top w:val="nil"/>
          <w:left w:val="nil"/>
          <w:bottom w:val="nil"/>
          <w:right w:val="nil"/>
          <w:between w:val="nil"/>
        </w:pBdr>
        <w:rPr>
          <w:rFonts w:eastAsia="Calibri"/>
          <w:b/>
          <w:color w:val="000000"/>
          <w:sz w:val="22"/>
          <w:szCs w:val="22"/>
        </w:rPr>
      </w:pPr>
      <w:r w:rsidRPr="00201DA2">
        <w:rPr>
          <w:rFonts w:eastAsia="Calibri"/>
          <w:color w:val="000000"/>
          <w:sz w:val="22"/>
          <w:szCs w:val="22"/>
        </w:rPr>
        <w:t xml:space="preserve">How can principles of non-discrimination </w:t>
      </w:r>
      <w:r w:rsidR="00D406CB" w:rsidRPr="00201DA2">
        <w:rPr>
          <w:rFonts w:eastAsia="Calibri"/>
          <w:color w:val="000000"/>
          <w:sz w:val="22"/>
          <w:szCs w:val="22"/>
        </w:rPr>
        <w:t xml:space="preserve">and equality before courts and tribunals </w:t>
      </w:r>
      <w:r w:rsidRPr="00201DA2">
        <w:rPr>
          <w:rFonts w:eastAsia="Calibri"/>
          <w:color w:val="000000"/>
          <w:sz w:val="22"/>
          <w:szCs w:val="22"/>
        </w:rPr>
        <w:t xml:space="preserve">be upheld </w:t>
      </w:r>
      <w:r w:rsidR="00D406CB" w:rsidRPr="00201DA2">
        <w:rPr>
          <w:rFonts w:eastAsia="Calibri"/>
          <w:color w:val="000000"/>
          <w:sz w:val="22"/>
          <w:szCs w:val="22"/>
        </w:rPr>
        <w:t xml:space="preserve">in the United States </w:t>
      </w:r>
      <w:r w:rsidRPr="00201DA2">
        <w:rPr>
          <w:rFonts w:eastAsia="Calibri"/>
          <w:color w:val="000000"/>
          <w:sz w:val="22"/>
          <w:szCs w:val="22"/>
        </w:rPr>
        <w:t>when poor people are mandated to pay for the costs of their involvement in the criminal legal system</w:t>
      </w:r>
      <w:r w:rsidR="00D406CB" w:rsidRPr="00201DA2">
        <w:rPr>
          <w:rFonts w:eastAsia="Calibri"/>
          <w:color w:val="000000"/>
          <w:sz w:val="22"/>
          <w:szCs w:val="22"/>
        </w:rPr>
        <w:t xml:space="preserve">, and experience disproportionately harsh consequences </w:t>
      </w:r>
      <w:r w:rsidR="002B012A" w:rsidRPr="00201DA2">
        <w:rPr>
          <w:rFonts w:eastAsia="Calibri"/>
          <w:color w:val="000000"/>
          <w:sz w:val="22"/>
          <w:szCs w:val="22"/>
        </w:rPr>
        <w:t>when they are unable</w:t>
      </w:r>
      <w:r w:rsidR="00D406CB" w:rsidRPr="00201DA2">
        <w:rPr>
          <w:rFonts w:eastAsia="Calibri"/>
          <w:color w:val="000000"/>
          <w:sz w:val="22"/>
          <w:szCs w:val="22"/>
        </w:rPr>
        <w:t xml:space="preserve"> to pay fines and fees imposed by US criminal legal systems</w:t>
      </w:r>
      <w:r w:rsidRPr="00201DA2">
        <w:rPr>
          <w:rFonts w:eastAsia="Calibri"/>
          <w:color w:val="000000"/>
          <w:sz w:val="22"/>
          <w:szCs w:val="22"/>
        </w:rPr>
        <w:t>?</w:t>
      </w:r>
    </w:p>
    <w:p w14:paraId="3020A5F4" w14:textId="77777777" w:rsidR="00417250" w:rsidRPr="00201DA2" w:rsidRDefault="00417250" w:rsidP="00417250">
      <w:pPr>
        <w:pBdr>
          <w:top w:val="nil"/>
          <w:left w:val="nil"/>
          <w:bottom w:val="nil"/>
          <w:right w:val="nil"/>
          <w:between w:val="nil"/>
        </w:pBdr>
        <w:contextualSpacing/>
        <w:rPr>
          <w:rFonts w:eastAsia="Calibri"/>
          <w:color w:val="000000"/>
          <w:sz w:val="22"/>
          <w:szCs w:val="22"/>
        </w:rPr>
      </w:pPr>
    </w:p>
    <w:p w14:paraId="0CD4685B" w14:textId="2DF16AFD" w:rsidR="00417250" w:rsidRPr="00201DA2" w:rsidRDefault="00417250" w:rsidP="00417250">
      <w:pPr>
        <w:pBdr>
          <w:top w:val="nil"/>
          <w:left w:val="nil"/>
          <w:bottom w:val="nil"/>
          <w:right w:val="nil"/>
          <w:between w:val="nil"/>
        </w:pBdr>
        <w:contextualSpacing/>
        <w:rPr>
          <w:rFonts w:eastAsia="Calibri"/>
          <w:b/>
          <w:color w:val="000000"/>
          <w:sz w:val="22"/>
          <w:szCs w:val="22"/>
        </w:rPr>
      </w:pPr>
      <w:r w:rsidRPr="00201DA2">
        <w:rPr>
          <w:rFonts w:eastAsia="Calibri"/>
          <w:b/>
          <w:color w:val="000000"/>
          <w:sz w:val="22"/>
          <w:szCs w:val="22"/>
        </w:rPr>
        <w:t>Suggested Recommendations</w:t>
      </w:r>
    </w:p>
    <w:p w14:paraId="482893B5" w14:textId="23B60D43" w:rsidR="002A5EE1" w:rsidRPr="00201DA2" w:rsidRDefault="005319FD" w:rsidP="005319FD">
      <w:pPr>
        <w:pStyle w:val="ListParagraph"/>
        <w:numPr>
          <w:ilvl w:val="0"/>
          <w:numId w:val="17"/>
        </w:numPr>
        <w:pBdr>
          <w:top w:val="nil"/>
          <w:left w:val="nil"/>
          <w:bottom w:val="nil"/>
          <w:right w:val="nil"/>
          <w:between w:val="nil"/>
        </w:pBdr>
        <w:rPr>
          <w:rFonts w:eastAsia="Calibri"/>
          <w:color w:val="000000"/>
          <w:sz w:val="22"/>
          <w:szCs w:val="22"/>
        </w:rPr>
      </w:pPr>
      <w:r w:rsidRPr="00201DA2">
        <w:rPr>
          <w:rFonts w:eastAsia="Calibri"/>
          <w:color w:val="000000"/>
          <w:sz w:val="22"/>
          <w:szCs w:val="22"/>
        </w:rPr>
        <w:t>Ensure that algorithmic scoring tools and electronic monitoring do not u</w:t>
      </w:r>
      <w:r w:rsidR="00A4324A" w:rsidRPr="00201DA2">
        <w:rPr>
          <w:rFonts w:eastAsia="Calibri"/>
          <w:color w:val="000000"/>
          <w:sz w:val="22"/>
          <w:szCs w:val="22"/>
        </w:rPr>
        <w:t>n</w:t>
      </w:r>
      <w:r w:rsidRPr="00201DA2">
        <w:rPr>
          <w:rFonts w:eastAsia="Calibri"/>
          <w:color w:val="000000"/>
          <w:sz w:val="22"/>
          <w:szCs w:val="22"/>
        </w:rPr>
        <w:t>necessarily curtail the rights to privacy and liberty for persons involved in the criminal legal system.</w:t>
      </w:r>
    </w:p>
    <w:p w14:paraId="1A277E3C" w14:textId="572D0F61" w:rsidR="00261AE3" w:rsidRPr="00201DA2" w:rsidRDefault="00261AE3" w:rsidP="005319FD">
      <w:pPr>
        <w:pStyle w:val="ListParagraph"/>
        <w:numPr>
          <w:ilvl w:val="0"/>
          <w:numId w:val="17"/>
        </w:numPr>
        <w:pBdr>
          <w:top w:val="nil"/>
          <w:left w:val="nil"/>
          <w:bottom w:val="nil"/>
          <w:right w:val="nil"/>
          <w:between w:val="nil"/>
        </w:pBdr>
        <w:rPr>
          <w:rFonts w:eastAsia="Calibri"/>
          <w:color w:val="000000"/>
          <w:sz w:val="22"/>
          <w:szCs w:val="22"/>
        </w:rPr>
      </w:pPr>
      <w:bookmarkStart w:id="5" w:name="_Hlk534808147"/>
      <w:r w:rsidRPr="00201DA2">
        <w:rPr>
          <w:rFonts w:eastAsia="Calibri"/>
          <w:color w:val="000000"/>
          <w:sz w:val="22"/>
          <w:szCs w:val="22"/>
        </w:rPr>
        <w:t xml:space="preserve">Due to their discriminatory effects, do not </w:t>
      </w:r>
      <w:r w:rsidR="00B14578" w:rsidRPr="00201DA2">
        <w:rPr>
          <w:rFonts w:eastAsia="Calibri"/>
          <w:color w:val="000000"/>
          <w:sz w:val="22"/>
          <w:szCs w:val="22"/>
        </w:rPr>
        <w:t xml:space="preserve">allow courts to </w:t>
      </w:r>
      <w:r w:rsidR="00943C95" w:rsidRPr="00201DA2">
        <w:rPr>
          <w:rFonts w:eastAsia="Calibri"/>
          <w:color w:val="000000"/>
          <w:sz w:val="22"/>
          <w:szCs w:val="22"/>
        </w:rPr>
        <w:t xml:space="preserve">rely on </w:t>
      </w:r>
      <w:r w:rsidRPr="00201DA2">
        <w:rPr>
          <w:rFonts w:eastAsia="Calibri"/>
          <w:color w:val="000000"/>
          <w:sz w:val="22"/>
          <w:szCs w:val="22"/>
        </w:rPr>
        <w:t xml:space="preserve">algorithmic scoring tools in </w:t>
      </w:r>
      <w:r w:rsidR="00B14578" w:rsidRPr="00201DA2">
        <w:rPr>
          <w:rFonts w:eastAsia="Calibri"/>
          <w:color w:val="000000"/>
          <w:sz w:val="22"/>
          <w:szCs w:val="22"/>
        </w:rPr>
        <w:t>sentencing or in decisions around pre-trial detention and release</w:t>
      </w:r>
      <w:r w:rsidRPr="00201DA2">
        <w:rPr>
          <w:rFonts w:eastAsia="Calibri"/>
          <w:color w:val="000000"/>
          <w:sz w:val="22"/>
          <w:szCs w:val="22"/>
        </w:rPr>
        <w:t>.</w:t>
      </w:r>
    </w:p>
    <w:p w14:paraId="76B3DC12" w14:textId="6E119DC6" w:rsidR="00A11B4C" w:rsidRPr="00201DA2" w:rsidRDefault="00EB3CDE" w:rsidP="00466C75">
      <w:pPr>
        <w:pStyle w:val="ListParagraph"/>
        <w:numPr>
          <w:ilvl w:val="0"/>
          <w:numId w:val="17"/>
        </w:numPr>
        <w:contextualSpacing w:val="0"/>
        <w:rPr>
          <w:rFonts w:eastAsia="Calibri"/>
          <w:color w:val="000000"/>
          <w:sz w:val="22"/>
          <w:szCs w:val="22"/>
        </w:rPr>
      </w:pPr>
      <w:r w:rsidRPr="00201DA2">
        <w:rPr>
          <w:sz w:val="22"/>
          <w:szCs w:val="22"/>
        </w:rPr>
        <w:lastRenderedPageBreak/>
        <w:t>The State Party should press l</w:t>
      </w:r>
      <w:r w:rsidR="00A11B4C" w:rsidRPr="00201DA2">
        <w:rPr>
          <w:sz w:val="22"/>
          <w:szCs w:val="22"/>
        </w:rPr>
        <w:t xml:space="preserve">ocal and state governments </w:t>
      </w:r>
      <w:r w:rsidRPr="00201DA2">
        <w:rPr>
          <w:sz w:val="22"/>
          <w:szCs w:val="22"/>
        </w:rPr>
        <w:t>to</w:t>
      </w:r>
      <w:r w:rsidR="00A11B4C" w:rsidRPr="00201DA2">
        <w:rPr>
          <w:sz w:val="22"/>
          <w:szCs w:val="22"/>
        </w:rPr>
        <w:t xml:space="preserve"> end their reliance o</w:t>
      </w:r>
      <w:r w:rsidRPr="00201DA2">
        <w:rPr>
          <w:sz w:val="22"/>
          <w:szCs w:val="22"/>
        </w:rPr>
        <w:t>n</w:t>
      </w:r>
      <w:r w:rsidR="00A11B4C" w:rsidRPr="00201DA2">
        <w:rPr>
          <w:sz w:val="22"/>
          <w:szCs w:val="22"/>
        </w:rPr>
        <w:t xml:space="preserve"> user fees to fund criminal justice and other state systems</w:t>
      </w:r>
      <w:r w:rsidRPr="00201DA2">
        <w:rPr>
          <w:sz w:val="22"/>
          <w:szCs w:val="22"/>
        </w:rPr>
        <w:t>, and to</w:t>
      </w:r>
      <w:r w:rsidR="00A11B4C" w:rsidRPr="00201DA2">
        <w:rPr>
          <w:sz w:val="22"/>
          <w:szCs w:val="22"/>
        </w:rPr>
        <w:t xml:space="preserve"> establish safeguards to ensure that legal financial obligations do not create undue hardship for those who cannot afford to pay.</w:t>
      </w:r>
    </w:p>
    <w:bookmarkEnd w:id="5"/>
    <w:p w14:paraId="2773CD95" w14:textId="77777777" w:rsidR="00EC0EF7" w:rsidRPr="00201DA2" w:rsidRDefault="00EC0EF7" w:rsidP="00F40CCE">
      <w:pPr>
        <w:pBdr>
          <w:top w:val="nil"/>
          <w:left w:val="nil"/>
          <w:bottom w:val="nil"/>
          <w:right w:val="nil"/>
          <w:between w:val="nil"/>
        </w:pBdr>
        <w:jc w:val="center"/>
        <w:rPr>
          <w:b/>
          <w:sz w:val="22"/>
          <w:szCs w:val="22"/>
        </w:rPr>
      </w:pPr>
    </w:p>
    <w:p w14:paraId="10383A83" w14:textId="58295F92" w:rsidR="00154853" w:rsidRPr="00201DA2" w:rsidRDefault="00154853" w:rsidP="002A5EE1">
      <w:pPr>
        <w:pBdr>
          <w:top w:val="nil"/>
          <w:left w:val="nil"/>
          <w:bottom w:val="nil"/>
          <w:right w:val="nil"/>
          <w:between w:val="nil"/>
        </w:pBdr>
        <w:rPr>
          <w:rFonts w:eastAsia="Calibri"/>
          <w:b/>
          <w:color w:val="000000"/>
          <w:sz w:val="22"/>
          <w:szCs w:val="22"/>
        </w:rPr>
      </w:pPr>
    </w:p>
    <w:p w14:paraId="464455C8" w14:textId="7B802094" w:rsidR="00154853" w:rsidRPr="00201DA2" w:rsidRDefault="00154853" w:rsidP="00F40CCE">
      <w:pPr>
        <w:pBdr>
          <w:top w:val="nil"/>
          <w:left w:val="nil"/>
          <w:bottom w:val="nil"/>
          <w:right w:val="nil"/>
          <w:between w:val="nil"/>
        </w:pBdr>
        <w:jc w:val="center"/>
        <w:rPr>
          <w:b/>
          <w:sz w:val="22"/>
          <w:szCs w:val="22"/>
        </w:rPr>
      </w:pPr>
      <w:r w:rsidRPr="00201DA2">
        <w:rPr>
          <w:b/>
          <w:sz w:val="22"/>
          <w:szCs w:val="22"/>
        </w:rPr>
        <w:t>Rights of Non-Citizens</w:t>
      </w:r>
    </w:p>
    <w:p w14:paraId="7D6EB9A9" w14:textId="1BD577D1" w:rsidR="00154853" w:rsidRPr="00201DA2" w:rsidRDefault="00154853" w:rsidP="002A5EE1">
      <w:pPr>
        <w:pBdr>
          <w:top w:val="nil"/>
          <w:left w:val="nil"/>
          <w:bottom w:val="nil"/>
          <w:right w:val="nil"/>
          <w:between w:val="nil"/>
        </w:pBdr>
        <w:rPr>
          <w:rFonts w:eastAsia="Calibri"/>
          <w:b/>
          <w:color w:val="000000"/>
          <w:sz w:val="22"/>
          <w:szCs w:val="22"/>
        </w:rPr>
      </w:pPr>
    </w:p>
    <w:p w14:paraId="3FE2FA5D" w14:textId="03022DD2" w:rsidR="00154853" w:rsidRPr="00201DA2" w:rsidRDefault="00154853" w:rsidP="00154853">
      <w:pPr>
        <w:pBdr>
          <w:top w:val="nil"/>
          <w:left w:val="nil"/>
          <w:bottom w:val="nil"/>
          <w:right w:val="nil"/>
          <w:between w:val="nil"/>
        </w:pBdr>
        <w:contextualSpacing/>
        <w:rPr>
          <w:rFonts w:eastAsia="Calibri"/>
          <w:b/>
          <w:color w:val="000000"/>
          <w:sz w:val="22"/>
          <w:szCs w:val="22"/>
        </w:rPr>
      </w:pPr>
      <w:r w:rsidRPr="00201DA2">
        <w:rPr>
          <w:rFonts w:eastAsia="Calibri"/>
          <w:b/>
          <w:color w:val="000000"/>
          <w:sz w:val="22"/>
          <w:szCs w:val="22"/>
        </w:rPr>
        <w:t>Summary</w:t>
      </w:r>
    </w:p>
    <w:p w14:paraId="05A48C7C" w14:textId="42708C31" w:rsidR="002732CB" w:rsidRPr="00201DA2" w:rsidRDefault="00A86139" w:rsidP="00154853">
      <w:pPr>
        <w:pBdr>
          <w:top w:val="nil"/>
          <w:left w:val="nil"/>
          <w:bottom w:val="nil"/>
          <w:right w:val="nil"/>
          <w:between w:val="nil"/>
        </w:pBdr>
        <w:contextualSpacing/>
        <w:rPr>
          <w:rFonts w:eastAsia="Calibri"/>
          <w:color w:val="000000"/>
          <w:sz w:val="22"/>
          <w:szCs w:val="22"/>
        </w:rPr>
      </w:pPr>
      <w:r w:rsidRPr="00201DA2">
        <w:rPr>
          <w:rFonts w:eastAsia="Calibri"/>
          <w:color w:val="000000"/>
          <w:sz w:val="22"/>
          <w:szCs w:val="22"/>
        </w:rPr>
        <w:t>United States</w:t>
      </w:r>
      <w:r w:rsidR="00F86226" w:rsidRPr="00201DA2">
        <w:rPr>
          <w:rFonts w:eastAsia="Calibri"/>
          <w:color w:val="000000"/>
          <w:sz w:val="22"/>
          <w:szCs w:val="22"/>
        </w:rPr>
        <w:t xml:space="preserve"> immigration </w:t>
      </w:r>
      <w:r w:rsidR="00B86B3A" w:rsidRPr="00201DA2">
        <w:rPr>
          <w:rFonts w:eastAsia="Calibri"/>
          <w:color w:val="000000"/>
          <w:sz w:val="22"/>
          <w:szCs w:val="22"/>
        </w:rPr>
        <w:t>law</w:t>
      </w:r>
      <w:r w:rsidR="00977DEE" w:rsidRPr="00201DA2">
        <w:rPr>
          <w:rFonts w:eastAsia="Calibri"/>
          <w:color w:val="000000"/>
          <w:sz w:val="22"/>
          <w:szCs w:val="22"/>
        </w:rPr>
        <w:t>s and policies are</w:t>
      </w:r>
      <w:r w:rsidR="00B86B3A" w:rsidRPr="00201DA2">
        <w:rPr>
          <w:rFonts w:eastAsia="Calibri"/>
          <w:color w:val="000000"/>
          <w:sz w:val="22"/>
          <w:szCs w:val="22"/>
        </w:rPr>
        <w:t xml:space="preserve"> abusive on a number of levels. </w:t>
      </w:r>
      <w:r w:rsidR="00977DEE" w:rsidRPr="00201DA2">
        <w:rPr>
          <w:rFonts w:eastAsia="Calibri"/>
          <w:color w:val="000000"/>
          <w:sz w:val="22"/>
          <w:szCs w:val="22"/>
        </w:rPr>
        <w:t>The US has also continued to erect new barriers that threaten the right of people to seek asylum from persecution.</w:t>
      </w:r>
      <w:r w:rsidR="00F86226" w:rsidRPr="00201DA2">
        <w:rPr>
          <w:rFonts w:eastAsia="Calibri"/>
          <w:color w:val="000000"/>
          <w:sz w:val="22"/>
          <w:szCs w:val="22"/>
        </w:rPr>
        <w:t xml:space="preserve"> </w:t>
      </w:r>
      <w:r w:rsidR="00977DEE" w:rsidRPr="00201DA2">
        <w:rPr>
          <w:rFonts w:eastAsia="Calibri"/>
          <w:color w:val="000000"/>
          <w:sz w:val="22"/>
          <w:szCs w:val="22"/>
        </w:rPr>
        <w:t>In deportation proceedings, US law</w:t>
      </w:r>
      <w:r w:rsidR="00F86226" w:rsidRPr="00201DA2">
        <w:rPr>
          <w:rFonts w:eastAsia="Calibri"/>
          <w:color w:val="000000"/>
          <w:sz w:val="22"/>
          <w:szCs w:val="22"/>
        </w:rPr>
        <w:t xml:space="preserve"> generally afford</w:t>
      </w:r>
      <w:r w:rsidR="00B86B3A" w:rsidRPr="00201DA2">
        <w:rPr>
          <w:rFonts w:eastAsia="Calibri"/>
          <w:color w:val="000000"/>
          <w:sz w:val="22"/>
          <w:szCs w:val="22"/>
        </w:rPr>
        <w:t>s</w:t>
      </w:r>
      <w:r w:rsidR="00F86226" w:rsidRPr="00201DA2">
        <w:rPr>
          <w:rFonts w:eastAsia="Calibri"/>
          <w:color w:val="000000"/>
          <w:sz w:val="22"/>
          <w:szCs w:val="22"/>
        </w:rPr>
        <w:t xml:space="preserve"> little or no weight to </w:t>
      </w:r>
      <w:r w:rsidR="00977DEE" w:rsidRPr="00201DA2">
        <w:rPr>
          <w:rFonts w:eastAsia="Calibri"/>
          <w:color w:val="000000"/>
          <w:sz w:val="22"/>
          <w:szCs w:val="22"/>
        </w:rPr>
        <w:t xml:space="preserve">the rights to home and </w:t>
      </w:r>
      <w:r w:rsidRPr="00201DA2">
        <w:rPr>
          <w:rFonts w:eastAsia="Calibri"/>
          <w:color w:val="000000"/>
          <w:sz w:val="22"/>
          <w:szCs w:val="22"/>
        </w:rPr>
        <w:t>family unity</w:t>
      </w:r>
      <w:r w:rsidR="00977DEE" w:rsidRPr="00201DA2">
        <w:rPr>
          <w:rFonts w:eastAsia="Calibri"/>
          <w:color w:val="000000"/>
          <w:sz w:val="22"/>
          <w:szCs w:val="22"/>
        </w:rPr>
        <w:t xml:space="preserve"> and</w:t>
      </w:r>
      <w:r w:rsidRPr="00201DA2">
        <w:rPr>
          <w:rFonts w:eastAsia="Calibri"/>
          <w:color w:val="000000"/>
          <w:sz w:val="22"/>
          <w:szCs w:val="22"/>
        </w:rPr>
        <w:t xml:space="preserve"> to be protected </w:t>
      </w:r>
      <w:r w:rsidR="006079DA" w:rsidRPr="00201DA2">
        <w:rPr>
          <w:rFonts w:eastAsia="Calibri"/>
          <w:color w:val="000000"/>
          <w:sz w:val="22"/>
          <w:szCs w:val="22"/>
        </w:rPr>
        <w:t>from</w:t>
      </w:r>
      <w:r w:rsidR="00CB5C23" w:rsidRPr="00201DA2">
        <w:rPr>
          <w:rFonts w:eastAsia="Calibri"/>
          <w:color w:val="000000"/>
          <w:sz w:val="22"/>
          <w:szCs w:val="22"/>
        </w:rPr>
        <w:t xml:space="preserve"> </w:t>
      </w:r>
      <w:r w:rsidRPr="00201DA2">
        <w:rPr>
          <w:rFonts w:eastAsia="Calibri"/>
          <w:color w:val="000000"/>
          <w:sz w:val="22"/>
          <w:szCs w:val="22"/>
        </w:rPr>
        <w:t>arbitrary interference with home and privacy.</w:t>
      </w:r>
      <w:r w:rsidR="00977DEE" w:rsidRPr="00201DA2">
        <w:rPr>
          <w:rFonts w:eastAsia="Calibri"/>
          <w:color w:val="000000"/>
          <w:sz w:val="22"/>
          <w:szCs w:val="22"/>
        </w:rPr>
        <w:t xml:space="preserve"> </w:t>
      </w:r>
      <w:r w:rsidR="00776982" w:rsidRPr="00201DA2">
        <w:rPr>
          <w:rFonts w:eastAsia="Calibri"/>
          <w:color w:val="000000"/>
          <w:sz w:val="22"/>
          <w:szCs w:val="22"/>
        </w:rPr>
        <w:t>Moreover, the United States has subjecte</w:t>
      </w:r>
      <w:r w:rsidR="00E76586" w:rsidRPr="00201DA2">
        <w:rPr>
          <w:rFonts w:eastAsia="Calibri"/>
          <w:color w:val="000000"/>
          <w:sz w:val="22"/>
          <w:szCs w:val="22"/>
        </w:rPr>
        <w:t>d</w:t>
      </w:r>
      <w:r w:rsidR="00776982" w:rsidRPr="00201DA2">
        <w:rPr>
          <w:rFonts w:eastAsia="Calibri"/>
          <w:color w:val="000000"/>
          <w:sz w:val="22"/>
          <w:szCs w:val="22"/>
        </w:rPr>
        <w:t xml:space="preserve"> immigrants to prolonged periods of immigration detention, including mandatory detention, </w:t>
      </w:r>
      <w:r w:rsidR="007369FB" w:rsidRPr="00201DA2">
        <w:rPr>
          <w:rFonts w:eastAsia="Calibri"/>
          <w:color w:val="000000"/>
          <w:sz w:val="22"/>
          <w:szCs w:val="22"/>
        </w:rPr>
        <w:t xml:space="preserve">has forcibly separated children from their parents after apprehension by immigration authorities, </w:t>
      </w:r>
      <w:r w:rsidR="00776982" w:rsidRPr="00201DA2">
        <w:rPr>
          <w:rFonts w:eastAsia="Calibri"/>
          <w:color w:val="000000"/>
          <w:sz w:val="22"/>
          <w:szCs w:val="22"/>
        </w:rPr>
        <w:t xml:space="preserve">and </w:t>
      </w:r>
      <w:r w:rsidR="007B61B5" w:rsidRPr="00201DA2">
        <w:rPr>
          <w:rFonts w:eastAsia="Calibri"/>
          <w:color w:val="000000"/>
          <w:sz w:val="22"/>
          <w:szCs w:val="22"/>
        </w:rPr>
        <w:t xml:space="preserve">has </w:t>
      </w:r>
      <w:r w:rsidR="00776982" w:rsidRPr="00201DA2">
        <w:rPr>
          <w:rFonts w:eastAsia="Calibri"/>
          <w:color w:val="000000"/>
          <w:sz w:val="22"/>
          <w:szCs w:val="22"/>
        </w:rPr>
        <w:t>det</w:t>
      </w:r>
      <w:r w:rsidR="007B61B5" w:rsidRPr="00201DA2">
        <w:rPr>
          <w:rFonts w:eastAsia="Calibri"/>
          <w:color w:val="000000"/>
          <w:sz w:val="22"/>
          <w:szCs w:val="22"/>
        </w:rPr>
        <w:t xml:space="preserve">ained adults and </w:t>
      </w:r>
      <w:r w:rsidR="00776982" w:rsidRPr="00201DA2">
        <w:rPr>
          <w:rFonts w:eastAsia="Calibri"/>
          <w:color w:val="000000"/>
          <w:sz w:val="22"/>
          <w:szCs w:val="22"/>
        </w:rPr>
        <w:t xml:space="preserve">children, in harsh and difficult conditions, including </w:t>
      </w:r>
      <w:r w:rsidR="006079DA" w:rsidRPr="00201DA2">
        <w:rPr>
          <w:rFonts w:eastAsia="Calibri"/>
          <w:color w:val="000000"/>
          <w:sz w:val="22"/>
          <w:szCs w:val="22"/>
        </w:rPr>
        <w:t xml:space="preserve">in </w:t>
      </w:r>
      <w:r w:rsidR="00776982" w:rsidRPr="00201DA2">
        <w:rPr>
          <w:rFonts w:eastAsia="Calibri"/>
          <w:color w:val="000000"/>
          <w:sz w:val="22"/>
          <w:szCs w:val="22"/>
        </w:rPr>
        <w:t xml:space="preserve">conditions </w:t>
      </w:r>
      <w:r w:rsidR="006079DA" w:rsidRPr="00201DA2">
        <w:rPr>
          <w:rFonts w:eastAsia="Calibri"/>
          <w:color w:val="000000"/>
          <w:sz w:val="22"/>
          <w:szCs w:val="22"/>
        </w:rPr>
        <w:t xml:space="preserve">involving inadequate medical care </w:t>
      </w:r>
      <w:r w:rsidR="00776982" w:rsidRPr="00201DA2">
        <w:rPr>
          <w:rFonts w:eastAsia="Calibri"/>
          <w:color w:val="000000"/>
          <w:sz w:val="22"/>
          <w:szCs w:val="22"/>
        </w:rPr>
        <w:t xml:space="preserve">that </w:t>
      </w:r>
      <w:r w:rsidR="00B02703" w:rsidRPr="00201DA2">
        <w:rPr>
          <w:rFonts w:eastAsia="Calibri"/>
          <w:color w:val="000000"/>
          <w:sz w:val="22"/>
          <w:szCs w:val="22"/>
        </w:rPr>
        <w:t>are linked to</w:t>
      </w:r>
      <w:r w:rsidR="00776982" w:rsidRPr="00201DA2">
        <w:rPr>
          <w:rFonts w:eastAsia="Calibri"/>
          <w:color w:val="000000"/>
          <w:sz w:val="22"/>
          <w:szCs w:val="22"/>
        </w:rPr>
        <w:t xml:space="preserve"> death</w:t>
      </w:r>
      <w:r w:rsidR="006079DA" w:rsidRPr="00201DA2">
        <w:rPr>
          <w:rFonts w:eastAsia="Calibri"/>
          <w:color w:val="000000"/>
          <w:sz w:val="22"/>
          <w:szCs w:val="22"/>
        </w:rPr>
        <w:t>s</w:t>
      </w:r>
      <w:r w:rsidR="00776982" w:rsidRPr="00201DA2">
        <w:rPr>
          <w:rFonts w:eastAsia="Calibri"/>
          <w:color w:val="000000"/>
          <w:sz w:val="22"/>
          <w:szCs w:val="22"/>
        </w:rPr>
        <w:t>.</w:t>
      </w:r>
    </w:p>
    <w:p w14:paraId="7C30BE81" w14:textId="77777777" w:rsidR="00A86139" w:rsidRPr="00201DA2" w:rsidRDefault="00A86139" w:rsidP="00154853">
      <w:pPr>
        <w:pBdr>
          <w:top w:val="nil"/>
          <w:left w:val="nil"/>
          <w:bottom w:val="nil"/>
          <w:right w:val="nil"/>
          <w:between w:val="nil"/>
        </w:pBdr>
        <w:contextualSpacing/>
        <w:rPr>
          <w:rFonts w:eastAsia="Calibri"/>
          <w:color w:val="000000"/>
          <w:sz w:val="22"/>
          <w:szCs w:val="22"/>
        </w:rPr>
      </w:pPr>
    </w:p>
    <w:p w14:paraId="6ECF54A2" w14:textId="3B06D11F" w:rsidR="002732CB" w:rsidRPr="00201DA2" w:rsidRDefault="002732CB" w:rsidP="002732CB">
      <w:pPr>
        <w:pBdr>
          <w:top w:val="nil"/>
          <w:left w:val="nil"/>
          <w:bottom w:val="nil"/>
          <w:right w:val="nil"/>
          <w:between w:val="nil"/>
        </w:pBdr>
        <w:contextualSpacing/>
        <w:rPr>
          <w:rFonts w:eastAsia="Calibri"/>
          <w:b/>
          <w:color w:val="000000"/>
          <w:sz w:val="22"/>
          <w:szCs w:val="22"/>
          <w:lang w:val="fr-FR"/>
        </w:rPr>
      </w:pPr>
      <w:r w:rsidRPr="00201DA2">
        <w:rPr>
          <w:rFonts w:eastAsia="Calibri"/>
          <w:b/>
          <w:color w:val="000000"/>
          <w:sz w:val="22"/>
          <w:szCs w:val="22"/>
          <w:lang w:val="fr-FR"/>
        </w:rPr>
        <w:t>Relevant ICCPR Articles</w:t>
      </w:r>
    </w:p>
    <w:p w14:paraId="0F9171F3" w14:textId="65256745" w:rsidR="00A86139" w:rsidRPr="00201DA2" w:rsidRDefault="00A86139" w:rsidP="002732CB">
      <w:pPr>
        <w:pBdr>
          <w:top w:val="nil"/>
          <w:left w:val="nil"/>
          <w:bottom w:val="nil"/>
          <w:right w:val="nil"/>
          <w:between w:val="nil"/>
        </w:pBdr>
        <w:contextualSpacing/>
        <w:rPr>
          <w:rFonts w:eastAsia="Calibri"/>
          <w:color w:val="000000"/>
          <w:sz w:val="22"/>
          <w:szCs w:val="22"/>
          <w:lang w:val="fr-FR"/>
        </w:rPr>
      </w:pPr>
      <w:r w:rsidRPr="00201DA2">
        <w:rPr>
          <w:rFonts w:eastAsia="Calibri"/>
          <w:color w:val="000000"/>
          <w:sz w:val="22"/>
          <w:szCs w:val="22"/>
          <w:lang w:val="fr-FR"/>
        </w:rPr>
        <w:t>Art</w:t>
      </w:r>
      <w:r w:rsidR="003D39CF" w:rsidRPr="00201DA2">
        <w:rPr>
          <w:rFonts w:eastAsia="Calibri"/>
          <w:color w:val="000000"/>
          <w:sz w:val="22"/>
          <w:szCs w:val="22"/>
          <w:lang w:val="fr-FR"/>
        </w:rPr>
        <w:t>icles</w:t>
      </w:r>
      <w:r w:rsidRPr="00201DA2">
        <w:rPr>
          <w:rFonts w:eastAsia="Calibri"/>
          <w:color w:val="000000"/>
          <w:sz w:val="22"/>
          <w:szCs w:val="22"/>
          <w:lang w:val="fr-FR"/>
        </w:rPr>
        <w:t xml:space="preserve"> </w:t>
      </w:r>
      <w:r w:rsidR="00A45BA8" w:rsidRPr="00201DA2">
        <w:rPr>
          <w:rFonts w:eastAsia="Calibri"/>
          <w:color w:val="000000"/>
          <w:sz w:val="22"/>
          <w:szCs w:val="22"/>
          <w:lang w:val="fr-FR"/>
        </w:rPr>
        <w:t xml:space="preserve">2, </w:t>
      </w:r>
      <w:r w:rsidR="00CD2644" w:rsidRPr="00201DA2">
        <w:rPr>
          <w:rFonts w:eastAsia="Calibri"/>
          <w:color w:val="000000"/>
          <w:sz w:val="22"/>
          <w:szCs w:val="22"/>
          <w:lang w:val="fr-FR"/>
        </w:rPr>
        <w:t xml:space="preserve">9, </w:t>
      </w:r>
      <w:r w:rsidRPr="00201DA2">
        <w:rPr>
          <w:rFonts w:eastAsia="Calibri"/>
          <w:color w:val="000000"/>
          <w:sz w:val="22"/>
          <w:szCs w:val="22"/>
          <w:lang w:val="fr-FR"/>
        </w:rPr>
        <w:t xml:space="preserve">12, 17, 23, </w:t>
      </w:r>
      <w:r w:rsidR="008815B5" w:rsidRPr="00201DA2">
        <w:rPr>
          <w:rFonts w:eastAsia="Calibri"/>
          <w:color w:val="000000"/>
          <w:sz w:val="22"/>
          <w:szCs w:val="22"/>
          <w:lang w:val="fr-FR"/>
        </w:rPr>
        <w:t xml:space="preserve">and </w:t>
      </w:r>
      <w:r w:rsidR="00A45BA8" w:rsidRPr="00201DA2">
        <w:rPr>
          <w:rFonts w:eastAsia="Calibri"/>
          <w:color w:val="000000"/>
          <w:sz w:val="22"/>
          <w:szCs w:val="22"/>
          <w:lang w:val="fr-FR"/>
        </w:rPr>
        <w:t>26</w:t>
      </w:r>
      <w:r w:rsidR="008815B5" w:rsidRPr="00201DA2">
        <w:rPr>
          <w:rFonts w:eastAsia="Calibri"/>
          <w:color w:val="000000"/>
          <w:sz w:val="22"/>
          <w:szCs w:val="22"/>
          <w:lang w:val="fr-FR"/>
        </w:rPr>
        <w:t>.</w:t>
      </w:r>
    </w:p>
    <w:p w14:paraId="22EEC104" w14:textId="77777777" w:rsidR="002732CB" w:rsidRPr="00201DA2" w:rsidRDefault="002732CB" w:rsidP="002732CB">
      <w:pPr>
        <w:pBdr>
          <w:top w:val="nil"/>
          <w:left w:val="nil"/>
          <w:bottom w:val="nil"/>
          <w:right w:val="nil"/>
          <w:between w:val="nil"/>
        </w:pBdr>
        <w:contextualSpacing/>
        <w:rPr>
          <w:rFonts w:eastAsia="Calibri"/>
          <w:color w:val="000000"/>
          <w:sz w:val="22"/>
          <w:szCs w:val="22"/>
          <w:lang w:val="fr-FR"/>
        </w:rPr>
      </w:pPr>
    </w:p>
    <w:p w14:paraId="2F747D87" w14:textId="600E760B" w:rsidR="00AF35AA" w:rsidRPr="00201DA2" w:rsidRDefault="002732CB" w:rsidP="002732CB">
      <w:pPr>
        <w:pBdr>
          <w:top w:val="nil"/>
          <w:left w:val="nil"/>
          <w:bottom w:val="nil"/>
          <w:right w:val="nil"/>
          <w:between w:val="nil"/>
        </w:pBdr>
        <w:contextualSpacing/>
        <w:rPr>
          <w:rFonts w:eastAsia="Calibri"/>
          <w:b/>
          <w:color w:val="000000"/>
          <w:sz w:val="22"/>
          <w:szCs w:val="22"/>
          <w:lang w:val="fr-FR"/>
        </w:rPr>
      </w:pPr>
      <w:r w:rsidRPr="00201DA2">
        <w:rPr>
          <w:rFonts w:eastAsia="Calibri"/>
          <w:b/>
          <w:color w:val="000000"/>
          <w:sz w:val="22"/>
          <w:szCs w:val="22"/>
          <w:lang w:val="fr-FR"/>
        </w:rPr>
        <w:t>Prior Recommendations</w:t>
      </w:r>
    </w:p>
    <w:p w14:paraId="705D6A94" w14:textId="77777777" w:rsidR="002E746A" w:rsidRPr="00201DA2" w:rsidRDefault="00AF35AA" w:rsidP="00E76586">
      <w:pPr>
        <w:pStyle w:val="ListParagraph"/>
        <w:numPr>
          <w:ilvl w:val="0"/>
          <w:numId w:val="17"/>
        </w:numPr>
        <w:pBdr>
          <w:top w:val="nil"/>
          <w:left w:val="nil"/>
          <w:bottom w:val="nil"/>
          <w:right w:val="nil"/>
          <w:between w:val="nil"/>
        </w:pBdr>
        <w:rPr>
          <w:rFonts w:eastAsia="Calibri"/>
          <w:color w:val="000000"/>
          <w:sz w:val="22"/>
          <w:szCs w:val="22"/>
        </w:rPr>
      </w:pPr>
      <w:r w:rsidRPr="00201DA2">
        <w:rPr>
          <w:rFonts w:eastAsia="Calibri"/>
          <w:color w:val="000000"/>
          <w:sz w:val="22"/>
          <w:szCs w:val="22"/>
        </w:rPr>
        <w:t xml:space="preserve">In </w:t>
      </w:r>
      <w:r w:rsidR="003D39CF" w:rsidRPr="00201DA2">
        <w:rPr>
          <w:rFonts w:eastAsia="Calibri"/>
          <w:color w:val="000000"/>
          <w:sz w:val="22"/>
          <w:szCs w:val="22"/>
        </w:rPr>
        <w:t xml:space="preserve">its </w:t>
      </w:r>
      <w:r w:rsidR="002E746A" w:rsidRPr="00201DA2">
        <w:rPr>
          <w:rFonts w:eastAsia="Calibri"/>
          <w:color w:val="000000"/>
          <w:sz w:val="22"/>
          <w:szCs w:val="22"/>
        </w:rPr>
        <w:t>2016 Concluding Observation the Committee expressed concern about the increased level of militarization on the southwest border with Mexico. (para. 27).</w:t>
      </w:r>
    </w:p>
    <w:p w14:paraId="63B6869C" w14:textId="14696971" w:rsidR="00AF35AA" w:rsidRPr="00201DA2" w:rsidRDefault="009A4B24" w:rsidP="00E76586">
      <w:pPr>
        <w:pStyle w:val="ListParagraph"/>
        <w:numPr>
          <w:ilvl w:val="0"/>
          <w:numId w:val="17"/>
        </w:numPr>
        <w:pBdr>
          <w:top w:val="nil"/>
          <w:left w:val="nil"/>
          <w:bottom w:val="nil"/>
          <w:right w:val="nil"/>
          <w:between w:val="nil"/>
        </w:pBdr>
        <w:rPr>
          <w:rFonts w:eastAsia="Calibri"/>
          <w:color w:val="000000"/>
          <w:sz w:val="22"/>
          <w:szCs w:val="22"/>
        </w:rPr>
      </w:pPr>
      <w:r w:rsidRPr="00201DA2">
        <w:rPr>
          <w:rFonts w:eastAsia="Calibri"/>
          <w:color w:val="000000"/>
          <w:sz w:val="22"/>
          <w:szCs w:val="22"/>
        </w:rPr>
        <w:t xml:space="preserve">In its </w:t>
      </w:r>
      <w:r w:rsidR="00AF35AA" w:rsidRPr="00201DA2">
        <w:rPr>
          <w:rFonts w:eastAsia="Calibri"/>
          <w:color w:val="000000"/>
          <w:sz w:val="22"/>
          <w:szCs w:val="22"/>
        </w:rPr>
        <w:t>2014</w:t>
      </w:r>
      <w:r w:rsidR="003D39CF" w:rsidRPr="00201DA2">
        <w:rPr>
          <w:rFonts w:eastAsia="Calibri"/>
          <w:color w:val="000000"/>
          <w:sz w:val="22"/>
          <w:szCs w:val="22"/>
        </w:rPr>
        <w:t xml:space="preserve"> Concluding Observations</w:t>
      </w:r>
      <w:r w:rsidR="00AF35AA" w:rsidRPr="00201DA2">
        <w:rPr>
          <w:rFonts w:eastAsia="Calibri"/>
          <w:color w:val="000000"/>
          <w:sz w:val="22"/>
          <w:szCs w:val="22"/>
        </w:rPr>
        <w:t>, the Committee recommended that the United States “review its policies of mandatory detention and deportation of certain categories of immigrants in order to allow for individualized decisions; take measures to ensure that affected persons have access to legal representation; and identify ways to facilitate access to adequate health care, including reproductive health-care services, by undocumented immigrants and immigrants and their families who have been residing lawfully in the United States for less than five years.”</w:t>
      </w:r>
      <w:r w:rsidR="003D39CF" w:rsidRPr="00201DA2">
        <w:rPr>
          <w:rFonts w:eastAsia="Calibri"/>
          <w:color w:val="000000"/>
          <w:sz w:val="22"/>
          <w:szCs w:val="22"/>
        </w:rPr>
        <w:t xml:space="preserve"> (para. 15)</w:t>
      </w:r>
      <w:r w:rsidR="008815B5" w:rsidRPr="00201DA2">
        <w:rPr>
          <w:rFonts w:eastAsia="Calibri"/>
          <w:color w:val="000000"/>
          <w:sz w:val="22"/>
          <w:szCs w:val="22"/>
        </w:rPr>
        <w:t>.</w:t>
      </w:r>
    </w:p>
    <w:p w14:paraId="25EB82A3" w14:textId="77777777" w:rsidR="00154853" w:rsidRPr="00201DA2" w:rsidRDefault="00154853" w:rsidP="00CB5C23">
      <w:pPr>
        <w:pBdr>
          <w:top w:val="nil"/>
          <w:left w:val="nil"/>
          <w:bottom w:val="nil"/>
          <w:right w:val="nil"/>
          <w:between w:val="nil"/>
        </w:pBdr>
        <w:rPr>
          <w:rFonts w:eastAsia="Calibri"/>
          <w:color w:val="000000"/>
          <w:sz w:val="22"/>
          <w:szCs w:val="22"/>
        </w:rPr>
      </w:pPr>
    </w:p>
    <w:p w14:paraId="668CDF31" w14:textId="77777777" w:rsidR="006E59B3" w:rsidRPr="00201DA2" w:rsidRDefault="00154853" w:rsidP="00154853">
      <w:pPr>
        <w:pBdr>
          <w:top w:val="nil"/>
          <w:left w:val="nil"/>
          <w:bottom w:val="nil"/>
          <w:right w:val="nil"/>
          <w:between w:val="nil"/>
        </w:pBdr>
        <w:contextualSpacing/>
        <w:rPr>
          <w:rFonts w:eastAsia="Calibri"/>
          <w:b/>
          <w:color w:val="000000"/>
          <w:sz w:val="22"/>
          <w:szCs w:val="22"/>
        </w:rPr>
      </w:pPr>
      <w:r w:rsidRPr="00201DA2">
        <w:rPr>
          <w:rFonts w:eastAsia="Calibri"/>
          <w:b/>
          <w:sz w:val="22"/>
          <w:szCs w:val="22"/>
        </w:rPr>
        <w:t xml:space="preserve">Current </w:t>
      </w:r>
      <w:r w:rsidRPr="00201DA2">
        <w:rPr>
          <w:rFonts w:eastAsia="Calibri"/>
          <w:b/>
          <w:color w:val="000000"/>
          <w:sz w:val="22"/>
          <w:szCs w:val="22"/>
        </w:rPr>
        <w:t>US Government Policy or Practice</w:t>
      </w:r>
    </w:p>
    <w:p w14:paraId="11D74251" w14:textId="1D960032" w:rsidR="006E59B3" w:rsidRPr="00F92F40" w:rsidRDefault="006E59B3" w:rsidP="006E59B3">
      <w:r w:rsidRPr="00201DA2">
        <w:rPr>
          <w:sz w:val="22"/>
          <w:szCs w:val="22"/>
        </w:rPr>
        <w:t xml:space="preserve">More than 2,500 families were forcibly separated </w:t>
      </w:r>
      <w:r w:rsidR="005C5CF4" w:rsidRPr="00201DA2">
        <w:rPr>
          <w:sz w:val="22"/>
          <w:szCs w:val="22"/>
        </w:rPr>
        <w:t xml:space="preserve">in 2018 after entering irregularly </w:t>
      </w:r>
      <w:r w:rsidRPr="00201DA2">
        <w:rPr>
          <w:sz w:val="22"/>
          <w:szCs w:val="22"/>
        </w:rPr>
        <w:t xml:space="preserve">at the US border as the Trump administration </w:t>
      </w:r>
      <w:r w:rsidR="002F752C" w:rsidRPr="00201DA2">
        <w:rPr>
          <w:sz w:val="22"/>
          <w:szCs w:val="22"/>
        </w:rPr>
        <w:t xml:space="preserve">ramped up criminal prosecutions of </w:t>
      </w:r>
      <w:r w:rsidRPr="00201DA2">
        <w:rPr>
          <w:sz w:val="22"/>
          <w:szCs w:val="22"/>
        </w:rPr>
        <w:t>parents traveling with children.</w:t>
      </w:r>
      <w:r w:rsidR="00661727" w:rsidRPr="00201DA2">
        <w:rPr>
          <w:rStyle w:val="FootnoteReference"/>
          <w:sz w:val="22"/>
          <w:szCs w:val="22"/>
        </w:rPr>
        <w:footnoteReference w:id="53"/>
      </w:r>
      <w:r w:rsidRPr="00201DA2">
        <w:rPr>
          <w:sz w:val="22"/>
          <w:szCs w:val="22"/>
        </w:rPr>
        <w:t xml:space="preserve"> </w:t>
      </w:r>
      <w:r w:rsidR="002F752C" w:rsidRPr="00201DA2">
        <w:rPr>
          <w:sz w:val="22"/>
          <w:szCs w:val="22"/>
        </w:rPr>
        <w:t>I</w:t>
      </w:r>
      <w:r w:rsidRPr="00201DA2">
        <w:rPr>
          <w:sz w:val="22"/>
          <w:szCs w:val="22"/>
        </w:rPr>
        <w:t xml:space="preserve">n one </w:t>
      </w:r>
      <w:r w:rsidR="002F752C" w:rsidRPr="00201DA2">
        <w:rPr>
          <w:sz w:val="22"/>
          <w:szCs w:val="22"/>
        </w:rPr>
        <w:t xml:space="preserve">of many </w:t>
      </w:r>
      <w:r w:rsidRPr="00201DA2">
        <w:rPr>
          <w:sz w:val="22"/>
          <w:szCs w:val="22"/>
        </w:rPr>
        <w:t>case</w:t>
      </w:r>
      <w:r w:rsidR="002F752C" w:rsidRPr="00201DA2">
        <w:rPr>
          <w:sz w:val="22"/>
          <w:szCs w:val="22"/>
        </w:rPr>
        <w:t>s that came to symbolize the cruelty of the Administration’s policies</w:t>
      </w:r>
      <w:r w:rsidRPr="00201DA2">
        <w:rPr>
          <w:sz w:val="22"/>
          <w:szCs w:val="22"/>
        </w:rPr>
        <w:t>, a</w:t>
      </w:r>
      <w:r w:rsidR="00661727" w:rsidRPr="00201DA2">
        <w:rPr>
          <w:sz w:val="22"/>
          <w:szCs w:val="22"/>
        </w:rPr>
        <w:t xml:space="preserve"> 10-year-old girl</w:t>
      </w:r>
      <w:r w:rsidRPr="00201DA2">
        <w:rPr>
          <w:sz w:val="22"/>
          <w:szCs w:val="22"/>
        </w:rPr>
        <w:t xml:space="preserve"> with Down Syndrome</w:t>
      </w:r>
      <w:r w:rsidR="005C5CF4" w:rsidRPr="00201DA2">
        <w:rPr>
          <w:sz w:val="22"/>
          <w:szCs w:val="22"/>
        </w:rPr>
        <w:t xml:space="preserve"> was separated</w:t>
      </w:r>
      <w:r w:rsidRPr="00201DA2">
        <w:rPr>
          <w:sz w:val="22"/>
          <w:szCs w:val="22"/>
        </w:rPr>
        <w:t xml:space="preserve"> from her mother. Though a federal court and tremendous public outcry put a stop to mass separations in late June, reunifications of hundreds of families</w:t>
      </w:r>
      <w:r w:rsidR="002E746A" w:rsidRPr="00201DA2">
        <w:rPr>
          <w:sz w:val="22"/>
          <w:szCs w:val="22"/>
        </w:rPr>
        <w:t xml:space="preserve"> lagged for months</w:t>
      </w:r>
      <w:r w:rsidRPr="00201DA2">
        <w:rPr>
          <w:sz w:val="22"/>
          <w:szCs w:val="22"/>
        </w:rPr>
        <w:t>.</w:t>
      </w:r>
      <w:r w:rsidR="00B5696D" w:rsidRPr="00201DA2">
        <w:rPr>
          <w:rStyle w:val="FootnoteReference"/>
          <w:sz w:val="22"/>
          <w:szCs w:val="22"/>
        </w:rPr>
        <w:footnoteReference w:id="54"/>
      </w:r>
      <w:r w:rsidRPr="00201DA2">
        <w:rPr>
          <w:sz w:val="22"/>
          <w:szCs w:val="22"/>
        </w:rPr>
        <w:t xml:space="preserve"> </w:t>
      </w:r>
      <w:r w:rsidR="002D4CC1" w:rsidRPr="00201DA2">
        <w:rPr>
          <w:sz w:val="22"/>
          <w:szCs w:val="22"/>
        </w:rPr>
        <w:t>According to media reports families continued to be separated on a smaller scale after Trump issued an executive order supposedly ending the practice.</w:t>
      </w:r>
      <w:r w:rsidR="006719E5" w:rsidRPr="00201DA2">
        <w:rPr>
          <w:rStyle w:val="FootnoteReference"/>
          <w:sz w:val="22"/>
          <w:szCs w:val="22"/>
        </w:rPr>
        <w:footnoteReference w:id="55"/>
      </w:r>
      <w:r w:rsidR="002D4CC1" w:rsidRPr="00F92F40">
        <w:t xml:space="preserve"> </w:t>
      </w:r>
      <w:r w:rsidRPr="00201DA2">
        <w:rPr>
          <w:sz w:val="22"/>
          <w:szCs w:val="22"/>
        </w:rPr>
        <w:t>Ramped-up criminal prosecutions for illegal entry continued. Mental health professionals</w:t>
      </w:r>
      <w:r w:rsidR="002E746A" w:rsidRPr="00201DA2">
        <w:rPr>
          <w:sz w:val="22"/>
          <w:szCs w:val="22"/>
        </w:rPr>
        <w:t xml:space="preserve"> warned </w:t>
      </w:r>
      <w:r w:rsidRPr="00201DA2">
        <w:rPr>
          <w:sz w:val="22"/>
          <w:szCs w:val="22"/>
        </w:rPr>
        <w:t>that separation was very likely to</w:t>
      </w:r>
      <w:r w:rsidR="002E746A" w:rsidRPr="00201DA2">
        <w:rPr>
          <w:sz w:val="22"/>
          <w:szCs w:val="22"/>
        </w:rPr>
        <w:t xml:space="preserve"> cause trauma, </w:t>
      </w:r>
      <w:r w:rsidRPr="00201DA2">
        <w:rPr>
          <w:sz w:val="22"/>
          <w:szCs w:val="22"/>
        </w:rPr>
        <w:t>both immediate and long-lasting.</w:t>
      </w:r>
      <w:r w:rsidR="00C31520" w:rsidRPr="00201DA2">
        <w:rPr>
          <w:rStyle w:val="FootnoteReference"/>
          <w:sz w:val="22"/>
          <w:szCs w:val="22"/>
        </w:rPr>
        <w:footnoteReference w:id="56"/>
      </w:r>
      <w:r w:rsidRPr="00201DA2">
        <w:rPr>
          <w:sz w:val="22"/>
          <w:szCs w:val="22"/>
        </w:rPr>
        <w:t xml:space="preserve"> </w:t>
      </w:r>
    </w:p>
    <w:p w14:paraId="0A17E968" w14:textId="77777777" w:rsidR="006E59B3" w:rsidRPr="00201DA2" w:rsidRDefault="006E59B3" w:rsidP="006E59B3">
      <w:pPr>
        <w:rPr>
          <w:sz w:val="22"/>
          <w:szCs w:val="22"/>
        </w:rPr>
      </w:pPr>
      <w:r w:rsidRPr="00201DA2">
        <w:rPr>
          <w:sz w:val="22"/>
          <w:szCs w:val="22"/>
        </w:rPr>
        <w:t xml:space="preserve"> </w:t>
      </w:r>
    </w:p>
    <w:p w14:paraId="5261F54D" w14:textId="65F253A6" w:rsidR="006E59B3" w:rsidRPr="00201DA2" w:rsidRDefault="006E59B3" w:rsidP="006E59B3">
      <w:pPr>
        <w:rPr>
          <w:sz w:val="22"/>
          <w:szCs w:val="22"/>
        </w:rPr>
      </w:pPr>
      <w:r w:rsidRPr="00201DA2">
        <w:rPr>
          <w:sz w:val="22"/>
          <w:szCs w:val="22"/>
        </w:rPr>
        <w:lastRenderedPageBreak/>
        <w:t>Hundreds of parents were</w:t>
      </w:r>
      <w:r w:rsidR="002E746A" w:rsidRPr="00201DA2">
        <w:rPr>
          <w:sz w:val="22"/>
          <w:szCs w:val="22"/>
        </w:rPr>
        <w:t xml:space="preserve"> deported separately </w:t>
      </w:r>
      <w:r w:rsidRPr="00201DA2">
        <w:rPr>
          <w:sz w:val="22"/>
          <w:szCs w:val="22"/>
        </w:rPr>
        <w:t>from their children</w:t>
      </w:r>
      <w:r w:rsidR="00060C15" w:rsidRPr="00201DA2">
        <w:rPr>
          <w:sz w:val="22"/>
          <w:szCs w:val="22"/>
        </w:rPr>
        <w:t>.</w:t>
      </w:r>
      <w:r w:rsidR="007A47A1" w:rsidRPr="00201DA2">
        <w:rPr>
          <w:rStyle w:val="FootnoteReference"/>
          <w:sz w:val="22"/>
          <w:szCs w:val="22"/>
        </w:rPr>
        <w:footnoteReference w:id="57"/>
      </w:r>
      <w:r w:rsidRPr="00201DA2">
        <w:rPr>
          <w:sz w:val="22"/>
          <w:szCs w:val="22"/>
        </w:rPr>
        <w:t xml:space="preserve"> A June administrative ruling by former Attorney General Jeff Sessions </w:t>
      </w:r>
      <w:r w:rsidR="002F752C" w:rsidRPr="00201DA2">
        <w:rPr>
          <w:sz w:val="22"/>
          <w:szCs w:val="22"/>
        </w:rPr>
        <w:t xml:space="preserve">placed new restrictions on </w:t>
      </w:r>
      <w:r w:rsidR="002E746A" w:rsidRPr="00201DA2">
        <w:rPr>
          <w:sz w:val="22"/>
          <w:szCs w:val="22"/>
        </w:rPr>
        <w:t xml:space="preserve">access to asylum </w:t>
      </w:r>
      <w:r w:rsidRPr="00201DA2">
        <w:rPr>
          <w:sz w:val="22"/>
          <w:szCs w:val="22"/>
        </w:rPr>
        <w:t>for people claiming persecution by non-state actors, including victims of domestic and gang violence.</w:t>
      </w:r>
      <w:r w:rsidR="00552754" w:rsidRPr="00201DA2">
        <w:rPr>
          <w:rStyle w:val="FootnoteReference"/>
          <w:sz w:val="22"/>
          <w:szCs w:val="22"/>
        </w:rPr>
        <w:footnoteReference w:id="58"/>
      </w:r>
      <w:r w:rsidRPr="00201DA2">
        <w:rPr>
          <w:sz w:val="22"/>
          <w:szCs w:val="22"/>
        </w:rPr>
        <w:t xml:space="preserve"> In November, the administration issued an interim final rule</w:t>
      </w:r>
      <w:r w:rsidR="00E1211E" w:rsidRPr="00201DA2">
        <w:rPr>
          <w:sz w:val="22"/>
          <w:szCs w:val="22"/>
        </w:rPr>
        <w:t xml:space="preserve"> barring </w:t>
      </w:r>
      <w:r w:rsidRPr="00201DA2">
        <w:rPr>
          <w:sz w:val="22"/>
          <w:szCs w:val="22"/>
        </w:rPr>
        <w:t xml:space="preserve">migrants who enter between ports of entry from </w:t>
      </w:r>
      <w:r w:rsidR="002F752C" w:rsidRPr="00201DA2">
        <w:rPr>
          <w:sz w:val="22"/>
          <w:szCs w:val="22"/>
        </w:rPr>
        <w:t xml:space="preserve">seeking </w:t>
      </w:r>
      <w:r w:rsidRPr="00201DA2">
        <w:rPr>
          <w:sz w:val="22"/>
          <w:szCs w:val="22"/>
        </w:rPr>
        <w:t>asylum, in violation of international</w:t>
      </w:r>
      <w:r w:rsidR="002F752C" w:rsidRPr="00201DA2">
        <w:rPr>
          <w:sz w:val="22"/>
          <w:szCs w:val="22"/>
        </w:rPr>
        <w:t xml:space="preserve"> human rights</w:t>
      </w:r>
      <w:r w:rsidRPr="00201DA2">
        <w:rPr>
          <w:sz w:val="22"/>
          <w:szCs w:val="22"/>
        </w:rPr>
        <w:t xml:space="preserve"> law</w:t>
      </w:r>
      <w:r w:rsidR="002F752C" w:rsidRPr="00201DA2">
        <w:rPr>
          <w:sz w:val="22"/>
          <w:szCs w:val="22"/>
        </w:rPr>
        <w:t xml:space="preserve"> and in apparent violation of US law as well</w:t>
      </w:r>
      <w:r w:rsidRPr="00201DA2">
        <w:rPr>
          <w:sz w:val="22"/>
          <w:szCs w:val="22"/>
        </w:rPr>
        <w:t>;</w:t>
      </w:r>
      <w:r w:rsidR="00D2326D" w:rsidRPr="00201DA2">
        <w:rPr>
          <w:rStyle w:val="FootnoteReference"/>
          <w:sz w:val="22"/>
          <w:szCs w:val="22"/>
        </w:rPr>
        <w:footnoteReference w:id="59"/>
      </w:r>
      <w:r w:rsidRPr="00201DA2">
        <w:rPr>
          <w:sz w:val="22"/>
          <w:szCs w:val="22"/>
        </w:rPr>
        <w:t xml:space="preserve"> it was temporarily</w:t>
      </w:r>
      <w:r w:rsidR="00E1211E" w:rsidRPr="00201DA2">
        <w:rPr>
          <w:sz w:val="22"/>
          <w:szCs w:val="22"/>
        </w:rPr>
        <w:t xml:space="preserve"> enjoined </w:t>
      </w:r>
      <w:r w:rsidRPr="00201DA2">
        <w:rPr>
          <w:sz w:val="22"/>
          <w:szCs w:val="22"/>
        </w:rPr>
        <w:t>by a federal judge.</w:t>
      </w:r>
      <w:r w:rsidR="00F8184E" w:rsidRPr="00201DA2">
        <w:rPr>
          <w:rStyle w:val="FootnoteReference"/>
          <w:sz w:val="22"/>
          <w:szCs w:val="22"/>
        </w:rPr>
        <w:footnoteReference w:id="60"/>
      </w:r>
      <w:r w:rsidRPr="00201DA2">
        <w:rPr>
          <w:sz w:val="22"/>
          <w:szCs w:val="22"/>
        </w:rPr>
        <w:t xml:space="preserve"> A march by migrants on November 26 seeking asylum at the US-Mexico border ended with</w:t>
      </w:r>
      <w:r w:rsidR="002F752C" w:rsidRPr="00201DA2">
        <w:rPr>
          <w:sz w:val="22"/>
          <w:szCs w:val="22"/>
        </w:rPr>
        <w:t xml:space="preserve"> clashes between some migrants and</w:t>
      </w:r>
      <w:r w:rsidRPr="00201DA2">
        <w:rPr>
          <w:sz w:val="22"/>
          <w:szCs w:val="22"/>
        </w:rPr>
        <w:t xml:space="preserve"> US border agents</w:t>
      </w:r>
      <w:r w:rsidR="002F752C" w:rsidRPr="00201DA2">
        <w:rPr>
          <w:sz w:val="22"/>
          <w:szCs w:val="22"/>
        </w:rPr>
        <w:t>,</w:t>
      </w:r>
      <w:r w:rsidRPr="00201DA2">
        <w:rPr>
          <w:sz w:val="22"/>
          <w:szCs w:val="22"/>
        </w:rPr>
        <w:t xml:space="preserve"> </w:t>
      </w:r>
      <w:r w:rsidR="002F752C" w:rsidRPr="00201DA2">
        <w:rPr>
          <w:sz w:val="22"/>
          <w:szCs w:val="22"/>
        </w:rPr>
        <w:t xml:space="preserve">who lobbed </w:t>
      </w:r>
      <w:r w:rsidR="00E1211E" w:rsidRPr="00201DA2">
        <w:rPr>
          <w:sz w:val="22"/>
          <w:szCs w:val="22"/>
        </w:rPr>
        <w:t xml:space="preserve">teargas projectiles </w:t>
      </w:r>
      <w:r w:rsidRPr="00201DA2">
        <w:rPr>
          <w:sz w:val="22"/>
          <w:szCs w:val="22"/>
        </w:rPr>
        <w:t xml:space="preserve">at </w:t>
      </w:r>
      <w:r w:rsidR="002F752C" w:rsidRPr="00201DA2">
        <w:rPr>
          <w:sz w:val="22"/>
          <w:szCs w:val="22"/>
        </w:rPr>
        <w:t xml:space="preserve">groups of </w:t>
      </w:r>
      <w:r w:rsidRPr="00201DA2">
        <w:rPr>
          <w:sz w:val="22"/>
          <w:szCs w:val="22"/>
        </w:rPr>
        <w:t>migrants</w:t>
      </w:r>
      <w:r w:rsidR="002F752C" w:rsidRPr="00201DA2">
        <w:rPr>
          <w:sz w:val="22"/>
          <w:szCs w:val="22"/>
        </w:rPr>
        <w:t xml:space="preserve"> that</w:t>
      </w:r>
      <w:r w:rsidRPr="00201DA2">
        <w:rPr>
          <w:sz w:val="22"/>
          <w:szCs w:val="22"/>
        </w:rPr>
        <w:t xml:space="preserve"> includ</w:t>
      </w:r>
      <w:r w:rsidR="002F752C" w:rsidRPr="00201DA2">
        <w:rPr>
          <w:sz w:val="22"/>
          <w:szCs w:val="22"/>
        </w:rPr>
        <w:t>ed</w:t>
      </w:r>
      <w:r w:rsidRPr="00201DA2">
        <w:rPr>
          <w:sz w:val="22"/>
          <w:szCs w:val="22"/>
        </w:rPr>
        <w:t xml:space="preserve"> young children.</w:t>
      </w:r>
      <w:r w:rsidR="005368C1" w:rsidRPr="00201DA2">
        <w:rPr>
          <w:rStyle w:val="FootnoteReference"/>
          <w:sz w:val="22"/>
          <w:szCs w:val="22"/>
        </w:rPr>
        <w:footnoteReference w:id="61"/>
      </w:r>
      <w:r w:rsidR="00B068CD" w:rsidRPr="00201DA2">
        <w:rPr>
          <w:sz w:val="22"/>
          <w:szCs w:val="22"/>
        </w:rPr>
        <w:t xml:space="preserve"> </w:t>
      </w:r>
    </w:p>
    <w:p w14:paraId="130C5F7F" w14:textId="77777777" w:rsidR="006E59B3" w:rsidRPr="00201DA2" w:rsidRDefault="006E59B3" w:rsidP="006E59B3">
      <w:pPr>
        <w:rPr>
          <w:sz w:val="22"/>
          <w:szCs w:val="22"/>
        </w:rPr>
      </w:pPr>
    </w:p>
    <w:p w14:paraId="5CB83A6A" w14:textId="1D70B1BB" w:rsidR="006E59B3" w:rsidRPr="00201DA2" w:rsidRDefault="006E59B3" w:rsidP="006E59B3">
      <w:pPr>
        <w:rPr>
          <w:sz w:val="22"/>
          <w:szCs w:val="22"/>
        </w:rPr>
      </w:pPr>
      <w:r w:rsidRPr="00201DA2">
        <w:rPr>
          <w:sz w:val="22"/>
          <w:szCs w:val="22"/>
        </w:rPr>
        <w:t>The US Supreme Court</w:t>
      </w:r>
      <w:r w:rsidR="00E1211E" w:rsidRPr="00201DA2">
        <w:rPr>
          <w:sz w:val="22"/>
          <w:szCs w:val="22"/>
        </w:rPr>
        <w:t xml:space="preserve"> upheld </w:t>
      </w:r>
      <w:r w:rsidRPr="00201DA2">
        <w:rPr>
          <w:sz w:val="22"/>
          <w:szCs w:val="22"/>
        </w:rPr>
        <w:t>an executive order issued by Trump banning travel to the US from several predominantly Muslim countries,</w:t>
      </w:r>
      <w:r w:rsidR="00591289" w:rsidRPr="00201DA2">
        <w:rPr>
          <w:rStyle w:val="FootnoteReference"/>
          <w:sz w:val="22"/>
          <w:szCs w:val="22"/>
        </w:rPr>
        <w:footnoteReference w:id="62"/>
      </w:r>
      <w:r w:rsidRPr="00201DA2">
        <w:rPr>
          <w:sz w:val="22"/>
          <w:szCs w:val="22"/>
        </w:rPr>
        <w:t xml:space="preserve"> which</w:t>
      </w:r>
      <w:r w:rsidR="00E1211E" w:rsidRPr="00201DA2">
        <w:rPr>
          <w:sz w:val="22"/>
          <w:szCs w:val="22"/>
        </w:rPr>
        <w:t xml:space="preserve"> Human Rights Watch </w:t>
      </w:r>
      <w:r w:rsidRPr="00201DA2">
        <w:rPr>
          <w:sz w:val="22"/>
          <w:szCs w:val="22"/>
        </w:rPr>
        <w:t xml:space="preserve">and those challenging the ban </w:t>
      </w:r>
      <w:r w:rsidR="00B02703" w:rsidRPr="00201DA2">
        <w:rPr>
          <w:sz w:val="22"/>
          <w:szCs w:val="22"/>
        </w:rPr>
        <w:t xml:space="preserve">in court </w:t>
      </w:r>
      <w:r w:rsidRPr="00201DA2">
        <w:rPr>
          <w:sz w:val="22"/>
          <w:szCs w:val="22"/>
        </w:rPr>
        <w:t>said was discriminatory.</w:t>
      </w:r>
      <w:r w:rsidR="00EF459F" w:rsidRPr="00201DA2">
        <w:rPr>
          <w:rStyle w:val="FootnoteReference"/>
          <w:sz w:val="22"/>
          <w:szCs w:val="22"/>
        </w:rPr>
        <w:footnoteReference w:id="63"/>
      </w:r>
      <w:r w:rsidRPr="00201DA2">
        <w:rPr>
          <w:sz w:val="22"/>
          <w:szCs w:val="22"/>
        </w:rPr>
        <w:t xml:space="preserve"> The administration also announced Temporary Protected Status would expire for almost 400,000 immigrants from Sudan, Haiti, El Salvador, Nicaragua, Honduras, and Nepal from late 2018 to early 2020, </w:t>
      </w:r>
      <w:r w:rsidR="00B02703" w:rsidRPr="00201DA2">
        <w:rPr>
          <w:sz w:val="22"/>
          <w:szCs w:val="22"/>
        </w:rPr>
        <w:t>confronting most with likely deportation</w:t>
      </w:r>
      <w:r w:rsidR="00E1211E" w:rsidRPr="00201DA2">
        <w:rPr>
          <w:sz w:val="22"/>
          <w:szCs w:val="22"/>
        </w:rPr>
        <w:t xml:space="preserve"> </w:t>
      </w:r>
      <w:r w:rsidRPr="00201DA2">
        <w:rPr>
          <w:sz w:val="22"/>
          <w:szCs w:val="22"/>
        </w:rPr>
        <w:t>and separation from home and family.</w:t>
      </w:r>
      <w:r w:rsidR="001055BE" w:rsidRPr="00201DA2">
        <w:rPr>
          <w:rStyle w:val="FootnoteReference"/>
          <w:sz w:val="22"/>
          <w:szCs w:val="22"/>
        </w:rPr>
        <w:footnoteReference w:id="64"/>
      </w:r>
      <w:r w:rsidRPr="00201DA2">
        <w:rPr>
          <w:sz w:val="22"/>
          <w:szCs w:val="22"/>
        </w:rPr>
        <w:t xml:space="preserve"> Arrests and deportations of undocumented people arrested in the interior of the United States</w:t>
      </w:r>
      <w:r w:rsidR="00B02703" w:rsidRPr="00201DA2">
        <w:rPr>
          <w:sz w:val="22"/>
          <w:szCs w:val="22"/>
        </w:rPr>
        <w:t>, often after</w:t>
      </w:r>
      <w:r w:rsidRPr="00201DA2">
        <w:rPr>
          <w:sz w:val="22"/>
          <w:szCs w:val="22"/>
        </w:rPr>
        <w:t xml:space="preserve"> minimal contact with the criminal justice system or in large-scale workplace raids</w:t>
      </w:r>
      <w:r w:rsidR="00E1211E" w:rsidRPr="00201DA2">
        <w:rPr>
          <w:sz w:val="22"/>
          <w:szCs w:val="22"/>
        </w:rPr>
        <w:t xml:space="preserve"> continued to mount</w:t>
      </w:r>
      <w:r w:rsidRPr="00201DA2">
        <w:rPr>
          <w:sz w:val="22"/>
          <w:szCs w:val="22"/>
        </w:rPr>
        <w:t xml:space="preserve"> without regard to their rights to home and family.</w:t>
      </w:r>
      <w:r w:rsidR="00B378C1" w:rsidRPr="00201DA2">
        <w:rPr>
          <w:rStyle w:val="FootnoteReference"/>
          <w:sz w:val="22"/>
          <w:szCs w:val="22"/>
        </w:rPr>
        <w:footnoteReference w:id="65"/>
      </w:r>
      <w:r w:rsidRPr="00201DA2">
        <w:rPr>
          <w:sz w:val="22"/>
          <w:szCs w:val="22"/>
        </w:rPr>
        <w:t xml:space="preserve"> </w:t>
      </w:r>
    </w:p>
    <w:p w14:paraId="22A5E5F4" w14:textId="77777777" w:rsidR="006E59B3" w:rsidRPr="00201DA2" w:rsidRDefault="006E59B3" w:rsidP="006E59B3">
      <w:pPr>
        <w:rPr>
          <w:sz w:val="22"/>
          <w:szCs w:val="22"/>
        </w:rPr>
      </w:pPr>
    </w:p>
    <w:p w14:paraId="51737544" w14:textId="075F01FE" w:rsidR="006E59B3" w:rsidRPr="00201DA2" w:rsidRDefault="006E59B3" w:rsidP="006E59B3">
      <w:pPr>
        <w:rPr>
          <w:sz w:val="22"/>
          <w:szCs w:val="22"/>
        </w:rPr>
      </w:pPr>
      <w:r w:rsidRPr="00201DA2">
        <w:rPr>
          <w:sz w:val="22"/>
          <w:szCs w:val="22"/>
        </w:rPr>
        <w:t>Immigration authorities sought to detain more people</w:t>
      </w:r>
      <w:r w:rsidR="00B02703" w:rsidRPr="00201DA2">
        <w:rPr>
          <w:sz w:val="22"/>
          <w:szCs w:val="22"/>
        </w:rPr>
        <w:t xml:space="preserve"> </w:t>
      </w:r>
      <w:r w:rsidRPr="00201DA2">
        <w:rPr>
          <w:sz w:val="22"/>
          <w:szCs w:val="22"/>
        </w:rPr>
        <w:t xml:space="preserve">in the already-sprawling immigration detention system. Immigration authorities </w:t>
      </w:r>
      <w:r w:rsidR="00E1211E" w:rsidRPr="00201DA2">
        <w:rPr>
          <w:sz w:val="22"/>
          <w:szCs w:val="22"/>
        </w:rPr>
        <w:t xml:space="preserve">sought </w:t>
      </w:r>
      <w:r w:rsidRPr="00201DA2">
        <w:rPr>
          <w:sz w:val="22"/>
          <w:szCs w:val="22"/>
        </w:rPr>
        <w:t>to remove legal limits to detaining children in families indefinitely.</w:t>
      </w:r>
      <w:r w:rsidR="00172C69" w:rsidRPr="00201DA2">
        <w:rPr>
          <w:rStyle w:val="FootnoteReference"/>
          <w:sz w:val="22"/>
          <w:szCs w:val="22"/>
        </w:rPr>
        <w:footnoteReference w:id="66"/>
      </w:r>
      <w:r w:rsidRPr="00201DA2">
        <w:rPr>
          <w:sz w:val="22"/>
          <w:szCs w:val="22"/>
        </w:rPr>
        <w:t xml:space="preserve"> Of 15 recent deaths in immigration detention, Human Rights Watch</w:t>
      </w:r>
      <w:r w:rsidR="00E1211E" w:rsidRPr="00201DA2">
        <w:rPr>
          <w:sz w:val="22"/>
          <w:szCs w:val="22"/>
        </w:rPr>
        <w:t xml:space="preserve"> found </w:t>
      </w:r>
      <w:r w:rsidRPr="00201DA2">
        <w:rPr>
          <w:sz w:val="22"/>
          <w:szCs w:val="22"/>
        </w:rPr>
        <w:t>that eight were linked to poor medical care.</w:t>
      </w:r>
      <w:r w:rsidR="005B43FD" w:rsidRPr="00201DA2">
        <w:rPr>
          <w:rStyle w:val="FootnoteReference"/>
          <w:sz w:val="22"/>
          <w:szCs w:val="22"/>
        </w:rPr>
        <w:footnoteReference w:id="67"/>
      </w:r>
      <w:r w:rsidRPr="00201DA2">
        <w:rPr>
          <w:sz w:val="22"/>
          <w:szCs w:val="22"/>
        </w:rPr>
        <w:t xml:space="preserve"> </w:t>
      </w:r>
    </w:p>
    <w:p w14:paraId="55669150" w14:textId="77777777" w:rsidR="006E59B3" w:rsidRPr="00201DA2" w:rsidRDefault="006E59B3" w:rsidP="006E59B3">
      <w:pPr>
        <w:rPr>
          <w:sz w:val="22"/>
          <w:szCs w:val="22"/>
        </w:rPr>
      </w:pPr>
    </w:p>
    <w:p w14:paraId="12A12C5A" w14:textId="21B2CE59" w:rsidR="00F059C7" w:rsidRPr="00201DA2" w:rsidRDefault="006E59B3" w:rsidP="006E59B3">
      <w:pPr>
        <w:pBdr>
          <w:top w:val="nil"/>
          <w:left w:val="nil"/>
          <w:bottom w:val="nil"/>
          <w:right w:val="nil"/>
          <w:between w:val="nil"/>
        </w:pBdr>
        <w:contextualSpacing/>
        <w:rPr>
          <w:rFonts w:eastAsia="Calibri"/>
          <w:color w:val="000000"/>
          <w:sz w:val="22"/>
          <w:szCs w:val="22"/>
        </w:rPr>
      </w:pPr>
      <w:r w:rsidRPr="00201DA2">
        <w:rPr>
          <w:sz w:val="22"/>
          <w:szCs w:val="22"/>
        </w:rPr>
        <w:t>The fate of almost 800,000 young immigrants who hold work permits and protection from deportation under Deferred Action for Childhood Arrivals (DACA) remained uncertain as court challenges continued around the administration’s 2017 decision to end the program. Proposed regulatory changes to the definition of “public charge” under US immigration law</w:t>
      </w:r>
      <w:r w:rsidR="00E1211E" w:rsidRPr="00201DA2">
        <w:rPr>
          <w:sz w:val="22"/>
          <w:szCs w:val="22"/>
        </w:rPr>
        <w:t xml:space="preserve"> threatened </w:t>
      </w:r>
      <w:r w:rsidRPr="00201DA2">
        <w:rPr>
          <w:sz w:val="22"/>
          <w:szCs w:val="22"/>
        </w:rPr>
        <w:t>to disrupt essential public health and benefit programs supporting</w:t>
      </w:r>
      <w:r w:rsidR="00B02703" w:rsidRPr="00201DA2">
        <w:rPr>
          <w:sz w:val="22"/>
          <w:szCs w:val="22"/>
        </w:rPr>
        <w:t xml:space="preserve"> many US</w:t>
      </w:r>
      <w:r w:rsidRPr="00201DA2">
        <w:rPr>
          <w:sz w:val="22"/>
          <w:szCs w:val="22"/>
        </w:rPr>
        <w:t xml:space="preserve"> citizen children of non-citizens.</w:t>
      </w:r>
      <w:r w:rsidR="006E1D8C" w:rsidRPr="00201DA2">
        <w:rPr>
          <w:rStyle w:val="FootnoteReference"/>
          <w:sz w:val="22"/>
          <w:szCs w:val="22"/>
        </w:rPr>
        <w:footnoteReference w:id="68"/>
      </w:r>
      <w:r w:rsidR="00154853" w:rsidRPr="00201DA2">
        <w:rPr>
          <w:rFonts w:eastAsia="Calibri"/>
          <w:b/>
          <w:color w:val="000000"/>
          <w:sz w:val="22"/>
          <w:szCs w:val="22"/>
        </w:rPr>
        <w:t xml:space="preserve"> </w:t>
      </w:r>
      <w:r w:rsidR="00F059C7" w:rsidRPr="00201DA2">
        <w:rPr>
          <w:rFonts w:eastAsia="Calibri"/>
          <w:color w:val="000000"/>
          <w:sz w:val="22"/>
          <w:szCs w:val="22"/>
        </w:rPr>
        <w:t>A variety of policies, including</w:t>
      </w:r>
      <w:r w:rsidR="00E1211E" w:rsidRPr="00201DA2">
        <w:rPr>
          <w:rFonts w:eastAsia="Calibri"/>
          <w:color w:val="000000"/>
          <w:sz w:val="22"/>
          <w:szCs w:val="22"/>
        </w:rPr>
        <w:t xml:space="preserve"> changes to federal rules </w:t>
      </w:r>
      <w:r w:rsidR="004834A8" w:rsidRPr="00201DA2">
        <w:rPr>
          <w:rFonts w:eastAsia="Calibri"/>
          <w:color w:val="000000"/>
          <w:sz w:val="22"/>
          <w:szCs w:val="22"/>
        </w:rPr>
        <w:t>that sought to limit asylum for victims of gang and domestic violence</w:t>
      </w:r>
      <w:r w:rsidR="00F059C7" w:rsidRPr="00201DA2">
        <w:rPr>
          <w:rFonts w:eastAsia="Calibri"/>
          <w:color w:val="000000"/>
          <w:sz w:val="22"/>
          <w:szCs w:val="22"/>
        </w:rPr>
        <w:t xml:space="preserve">, </w:t>
      </w:r>
      <w:r w:rsidR="00DC2FF6" w:rsidRPr="00201DA2">
        <w:rPr>
          <w:rStyle w:val="FootnoteReference"/>
          <w:rFonts w:eastAsia="Calibri"/>
          <w:color w:val="000000"/>
          <w:sz w:val="22"/>
          <w:szCs w:val="22"/>
        </w:rPr>
        <w:footnoteReference w:id="69"/>
      </w:r>
      <w:r w:rsidR="00F059C7" w:rsidRPr="00201DA2">
        <w:rPr>
          <w:rFonts w:eastAsia="Calibri"/>
          <w:color w:val="000000"/>
          <w:sz w:val="22"/>
          <w:szCs w:val="22"/>
        </w:rPr>
        <w:t xml:space="preserve">and </w:t>
      </w:r>
      <w:r w:rsidR="004834A8" w:rsidRPr="00201DA2">
        <w:rPr>
          <w:rFonts w:eastAsia="Calibri"/>
          <w:color w:val="000000"/>
          <w:sz w:val="22"/>
          <w:szCs w:val="22"/>
        </w:rPr>
        <w:t>new “</w:t>
      </w:r>
      <w:r w:rsidR="004834A8" w:rsidRPr="00201DA2">
        <w:rPr>
          <w:rStyle w:val="Hyperlink"/>
          <w:rFonts w:eastAsia="Calibri"/>
          <w:color w:val="auto"/>
          <w:sz w:val="22"/>
          <w:szCs w:val="22"/>
          <w:u w:val="none"/>
        </w:rPr>
        <w:t>Migration Protection Protocols</w:t>
      </w:r>
      <w:r w:rsidR="004834A8" w:rsidRPr="00201DA2">
        <w:rPr>
          <w:rFonts w:eastAsia="Calibri"/>
          <w:color w:val="000000"/>
          <w:sz w:val="22"/>
          <w:szCs w:val="22"/>
        </w:rPr>
        <w:t>”</w:t>
      </w:r>
      <w:r w:rsidR="00F059C7" w:rsidRPr="00201DA2">
        <w:rPr>
          <w:rFonts w:eastAsia="Calibri"/>
          <w:color w:val="000000"/>
          <w:sz w:val="22"/>
          <w:szCs w:val="22"/>
        </w:rPr>
        <w:t xml:space="preserve"> requiring asylum seekers</w:t>
      </w:r>
      <w:r w:rsidR="00DE6716" w:rsidRPr="00201DA2">
        <w:rPr>
          <w:rFonts w:eastAsia="Calibri"/>
          <w:color w:val="000000"/>
          <w:sz w:val="22"/>
          <w:szCs w:val="22"/>
        </w:rPr>
        <w:t xml:space="preserve"> seeking to enter the United States from </w:t>
      </w:r>
      <w:r w:rsidR="00DE6716" w:rsidRPr="00201DA2">
        <w:rPr>
          <w:rFonts w:eastAsia="Calibri"/>
          <w:color w:val="000000"/>
          <w:sz w:val="22"/>
          <w:szCs w:val="22"/>
        </w:rPr>
        <w:lastRenderedPageBreak/>
        <w:t>Mexico</w:t>
      </w:r>
      <w:r w:rsidR="00F059C7" w:rsidRPr="00201DA2">
        <w:rPr>
          <w:rFonts w:eastAsia="Calibri"/>
          <w:color w:val="000000"/>
          <w:sz w:val="22"/>
          <w:szCs w:val="22"/>
        </w:rPr>
        <w:t xml:space="preserve"> to remain in </w:t>
      </w:r>
      <w:r w:rsidR="00DE6716" w:rsidRPr="00201DA2">
        <w:rPr>
          <w:rFonts w:eastAsia="Calibri"/>
          <w:color w:val="000000"/>
          <w:sz w:val="22"/>
          <w:szCs w:val="22"/>
        </w:rPr>
        <w:t>that country while their claims are adjudicated</w:t>
      </w:r>
      <w:r w:rsidR="00F059C7" w:rsidRPr="00201DA2">
        <w:rPr>
          <w:rFonts w:eastAsia="Calibri"/>
          <w:color w:val="000000"/>
          <w:sz w:val="22"/>
          <w:szCs w:val="22"/>
        </w:rPr>
        <w:t xml:space="preserve">, </w:t>
      </w:r>
      <w:r w:rsidR="004834A8" w:rsidRPr="00201DA2">
        <w:rPr>
          <w:rFonts w:eastAsia="Calibri"/>
          <w:color w:val="000000"/>
          <w:sz w:val="22"/>
          <w:szCs w:val="22"/>
        </w:rPr>
        <w:t>threatened</w:t>
      </w:r>
      <w:r w:rsidR="00F059C7" w:rsidRPr="00201DA2">
        <w:rPr>
          <w:rFonts w:eastAsia="Calibri"/>
          <w:color w:val="000000"/>
          <w:sz w:val="22"/>
          <w:szCs w:val="22"/>
        </w:rPr>
        <w:t xml:space="preserve"> </w:t>
      </w:r>
      <w:r w:rsidR="00DE6716" w:rsidRPr="00201DA2">
        <w:rPr>
          <w:rFonts w:eastAsia="Calibri"/>
          <w:color w:val="000000"/>
          <w:sz w:val="22"/>
          <w:szCs w:val="22"/>
        </w:rPr>
        <w:t>their right to seek</w:t>
      </w:r>
      <w:r w:rsidR="00F059C7" w:rsidRPr="00201DA2">
        <w:rPr>
          <w:rFonts w:eastAsia="Calibri"/>
          <w:color w:val="000000"/>
          <w:sz w:val="22"/>
          <w:szCs w:val="22"/>
        </w:rPr>
        <w:t xml:space="preserve"> asylum from persecution in the United States.</w:t>
      </w:r>
      <w:r w:rsidR="000B22DE" w:rsidRPr="00201DA2">
        <w:rPr>
          <w:rStyle w:val="FootnoteReference"/>
          <w:rFonts w:eastAsia="Calibri"/>
          <w:color w:val="000000"/>
          <w:sz w:val="22"/>
          <w:szCs w:val="22"/>
        </w:rPr>
        <w:footnoteReference w:id="70"/>
      </w:r>
    </w:p>
    <w:p w14:paraId="1D5E08F1" w14:textId="77777777" w:rsidR="00154853" w:rsidRPr="00201DA2" w:rsidRDefault="00154853" w:rsidP="00154853">
      <w:pPr>
        <w:pBdr>
          <w:top w:val="nil"/>
          <w:left w:val="nil"/>
          <w:bottom w:val="nil"/>
          <w:right w:val="nil"/>
          <w:between w:val="nil"/>
        </w:pBdr>
        <w:ind w:left="1440" w:hanging="720"/>
        <w:rPr>
          <w:rFonts w:eastAsia="Calibri"/>
          <w:color w:val="000000"/>
          <w:sz w:val="22"/>
          <w:szCs w:val="22"/>
        </w:rPr>
      </w:pPr>
    </w:p>
    <w:p w14:paraId="3B89BDF9" w14:textId="64F9BB9C" w:rsidR="00154853" w:rsidRPr="00201DA2" w:rsidRDefault="00154853" w:rsidP="00154853">
      <w:pPr>
        <w:pBdr>
          <w:top w:val="nil"/>
          <w:left w:val="nil"/>
          <w:bottom w:val="nil"/>
          <w:right w:val="nil"/>
          <w:between w:val="nil"/>
        </w:pBdr>
        <w:contextualSpacing/>
        <w:rPr>
          <w:rFonts w:eastAsia="Calibri"/>
          <w:b/>
          <w:color w:val="000000"/>
          <w:sz w:val="22"/>
          <w:szCs w:val="22"/>
        </w:rPr>
      </w:pPr>
      <w:r w:rsidRPr="00201DA2">
        <w:rPr>
          <w:rFonts w:eastAsia="Calibri"/>
          <w:b/>
          <w:color w:val="000000"/>
          <w:sz w:val="22"/>
          <w:szCs w:val="22"/>
        </w:rPr>
        <w:t>Human Rights Committee General Comments and Related UN Body Recommendations</w:t>
      </w:r>
    </w:p>
    <w:p w14:paraId="5850DCE6" w14:textId="56C5297F" w:rsidR="007147D3" w:rsidRPr="00201DA2" w:rsidRDefault="00C87556" w:rsidP="00154853">
      <w:pPr>
        <w:pBdr>
          <w:top w:val="nil"/>
          <w:left w:val="nil"/>
          <w:bottom w:val="nil"/>
          <w:right w:val="nil"/>
          <w:between w:val="nil"/>
        </w:pBdr>
        <w:contextualSpacing/>
        <w:rPr>
          <w:rFonts w:eastAsia="Calibri"/>
          <w:color w:val="000000"/>
          <w:sz w:val="22"/>
          <w:szCs w:val="22"/>
          <w:u w:val="single"/>
        </w:rPr>
      </w:pPr>
      <w:r w:rsidRPr="00201DA2">
        <w:rPr>
          <w:rFonts w:eastAsia="Calibri"/>
          <w:color w:val="000000"/>
          <w:sz w:val="22"/>
          <w:szCs w:val="22"/>
          <w:u w:val="single"/>
        </w:rPr>
        <w:t>US d</w:t>
      </w:r>
      <w:r w:rsidR="007147D3" w:rsidRPr="00201DA2">
        <w:rPr>
          <w:rFonts w:eastAsia="Calibri"/>
          <w:color w:val="000000"/>
          <w:sz w:val="22"/>
          <w:szCs w:val="22"/>
          <w:u w:val="single"/>
        </w:rPr>
        <w:t>eportation and detention policies threaten family rights</w:t>
      </w:r>
    </w:p>
    <w:p w14:paraId="38D4EBA4" w14:textId="7015BC5F" w:rsidR="004C5FED" w:rsidRPr="00201DA2" w:rsidRDefault="00CB5C23" w:rsidP="00103076">
      <w:pPr>
        <w:pBdr>
          <w:top w:val="nil"/>
          <w:left w:val="nil"/>
          <w:bottom w:val="nil"/>
          <w:right w:val="nil"/>
          <w:between w:val="nil"/>
        </w:pBdr>
        <w:rPr>
          <w:rFonts w:eastAsia="Calibri"/>
          <w:color w:val="000000"/>
          <w:sz w:val="22"/>
          <w:szCs w:val="22"/>
        </w:rPr>
      </w:pPr>
      <w:r w:rsidRPr="00201DA2">
        <w:rPr>
          <w:rFonts w:eastAsia="Calibri"/>
          <w:color w:val="000000"/>
          <w:sz w:val="22"/>
          <w:szCs w:val="22"/>
        </w:rPr>
        <w:t>The</w:t>
      </w:r>
      <w:r w:rsidR="00FF0D08" w:rsidRPr="00201DA2">
        <w:rPr>
          <w:rFonts w:eastAsia="Calibri"/>
          <w:color w:val="000000"/>
          <w:sz w:val="22"/>
          <w:szCs w:val="22"/>
        </w:rPr>
        <w:t xml:space="preserve"> Committee </w:t>
      </w:r>
      <w:r w:rsidR="000B7EF5" w:rsidRPr="00201DA2">
        <w:rPr>
          <w:rFonts w:eastAsia="Calibri"/>
          <w:color w:val="000000"/>
          <w:sz w:val="22"/>
          <w:szCs w:val="22"/>
        </w:rPr>
        <w:t>in General Comment 15 has stated that the right to family unity entails limits on states’ power to regulate immigration,</w:t>
      </w:r>
      <w:r w:rsidR="000B7EF5" w:rsidRPr="00201DA2">
        <w:rPr>
          <w:rStyle w:val="FootnoteReference"/>
          <w:rFonts w:eastAsia="Calibri"/>
          <w:color w:val="000000"/>
          <w:sz w:val="22"/>
          <w:szCs w:val="22"/>
        </w:rPr>
        <w:footnoteReference w:id="71"/>
      </w:r>
      <w:r w:rsidR="000B7EF5" w:rsidRPr="00201DA2">
        <w:rPr>
          <w:rFonts w:eastAsia="Calibri"/>
          <w:color w:val="000000"/>
          <w:sz w:val="22"/>
          <w:szCs w:val="22"/>
        </w:rPr>
        <w:t xml:space="preserve"> and, </w:t>
      </w:r>
      <w:r w:rsidR="00FF0D08" w:rsidRPr="00201DA2">
        <w:rPr>
          <w:rFonts w:eastAsia="Calibri"/>
          <w:color w:val="000000"/>
          <w:sz w:val="22"/>
          <w:szCs w:val="22"/>
        </w:rPr>
        <w:t>in its General Comment 19</w:t>
      </w:r>
      <w:r w:rsidR="000B7EF5" w:rsidRPr="00201DA2">
        <w:rPr>
          <w:rFonts w:eastAsia="Calibri"/>
          <w:color w:val="000000"/>
          <w:sz w:val="22"/>
          <w:szCs w:val="22"/>
        </w:rPr>
        <w:t>,</w:t>
      </w:r>
      <w:r w:rsidR="00FF0D08" w:rsidRPr="00201DA2">
        <w:rPr>
          <w:rFonts w:eastAsia="Calibri"/>
          <w:color w:val="000000"/>
          <w:sz w:val="22"/>
          <w:szCs w:val="22"/>
        </w:rPr>
        <w:t xml:space="preserve"> that</w:t>
      </w:r>
      <w:r w:rsidRPr="00201DA2">
        <w:rPr>
          <w:rFonts w:eastAsia="Calibri"/>
          <w:color w:val="000000"/>
          <w:sz w:val="22"/>
          <w:szCs w:val="22"/>
        </w:rPr>
        <w:t xml:space="preserve"> </w:t>
      </w:r>
      <w:r w:rsidR="007147D3" w:rsidRPr="00201DA2">
        <w:rPr>
          <w:rFonts w:eastAsia="Calibri"/>
          <w:color w:val="000000"/>
          <w:sz w:val="22"/>
          <w:szCs w:val="22"/>
        </w:rPr>
        <w:t xml:space="preserve">the </w:t>
      </w:r>
      <w:r w:rsidRPr="00201DA2">
        <w:rPr>
          <w:rFonts w:eastAsia="Calibri"/>
          <w:color w:val="000000"/>
          <w:sz w:val="22"/>
          <w:szCs w:val="22"/>
        </w:rPr>
        <w:t xml:space="preserve">right to found a family </w:t>
      </w:r>
      <w:r w:rsidR="00FF0D08" w:rsidRPr="00201DA2">
        <w:rPr>
          <w:rFonts w:eastAsia="Calibri"/>
          <w:color w:val="000000"/>
          <w:sz w:val="22"/>
          <w:szCs w:val="22"/>
        </w:rPr>
        <w:t xml:space="preserve">under the Covenant </w:t>
      </w:r>
      <w:r w:rsidRPr="00201DA2">
        <w:rPr>
          <w:rFonts w:eastAsia="Calibri"/>
          <w:color w:val="000000"/>
          <w:sz w:val="22"/>
          <w:szCs w:val="22"/>
        </w:rPr>
        <w:t>includes the right “to live together.”</w:t>
      </w:r>
      <w:r w:rsidRPr="00201DA2">
        <w:rPr>
          <w:rStyle w:val="FootnoteReference"/>
          <w:rFonts w:eastAsia="Calibri"/>
          <w:color w:val="000000"/>
          <w:sz w:val="22"/>
          <w:szCs w:val="22"/>
        </w:rPr>
        <w:footnoteReference w:id="72"/>
      </w:r>
      <w:r w:rsidR="00C87556" w:rsidRPr="00201DA2">
        <w:rPr>
          <w:rFonts w:eastAsia="Calibri"/>
          <w:color w:val="000000"/>
          <w:sz w:val="22"/>
          <w:szCs w:val="22"/>
        </w:rPr>
        <w:t xml:space="preserve"> </w:t>
      </w:r>
      <w:r w:rsidRPr="00201DA2">
        <w:rPr>
          <w:rFonts w:eastAsia="Calibri"/>
          <w:color w:val="000000"/>
          <w:sz w:val="22"/>
          <w:szCs w:val="22"/>
        </w:rPr>
        <w:t xml:space="preserve">In </w:t>
      </w:r>
      <w:r w:rsidRPr="00201DA2">
        <w:rPr>
          <w:rFonts w:eastAsia="Calibri"/>
          <w:i/>
          <w:color w:val="000000"/>
          <w:sz w:val="22"/>
          <w:szCs w:val="22"/>
        </w:rPr>
        <w:t>Winata v. Australia</w:t>
      </w:r>
      <w:r w:rsidRPr="00201DA2">
        <w:rPr>
          <w:rFonts w:eastAsia="Calibri"/>
          <w:color w:val="000000"/>
          <w:sz w:val="22"/>
          <w:szCs w:val="22"/>
        </w:rPr>
        <w:t xml:space="preserve">, the </w:t>
      </w:r>
      <w:r w:rsidR="00A45BA8" w:rsidRPr="00201DA2">
        <w:rPr>
          <w:rFonts w:eastAsia="Calibri"/>
          <w:color w:val="000000"/>
          <w:sz w:val="22"/>
          <w:szCs w:val="22"/>
        </w:rPr>
        <w:t xml:space="preserve">Committee </w:t>
      </w:r>
      <w:r w:rsidRPr="00201DA2">
        <w:rPr>
          <w:rFonts w:eastAsia="Calibri"/>
          <w:color w:val="000000"/>
          <w:sz w:val="22"/>
          <w:szCs w:val="22"/>
        </w:rPr>
        <w:t>found a violation where Australia sought to deport two Indonesian nationals whose 13-year-old son, Barry, had been born in, and had become a citizen of, Australia.</w:t>
      </w:r>
      <w:r w:rsidR="00977DEE" w:rsidRPr="00201DA2">
        <w:rPr>
          <w:rFonts w:eastAsia="Calibri"/>
          <w:color w:val="000000"/>
          <w:sz w:val="22"/>
          <w:szCs w:val="22"/>
        </w:rPr>
        <w:t xml:space="preserve"> The Committee held that in the circumstances of that case, Australia would have to demonstrate that it had interests more compelling than the mere enforcement of immigration laws to justify deporting the child’s parents.</w:t>
      </w:r>
      <w:r w:rsidR="00E1211E" w:rsidRPr="00201DA2">
        <w:rPr>
          <w:rStyle w:val="FootnoteReference"/>
          <w:rFonts w:eastAsia="Calibri"/>
          <w:color w:val="000000"/>
          <w:sz w:val="22"/>
          <w:szCs w:val="22"/>
        </w:rPr>
        <w:footnoteReference w:id="73"/>
      </w:r>
      <w:r w:rsidR="0080131F" w:rsidRPr="00201DA2">
        <w:rPr>
          <w:rFonts w:eastAsia="Calibri"/>
          <w:color w:val="000000"/>
          <w:sz w:val="22"/>
          <w:szCs w:val="22"/>
        </w:rPr>
        <w:t xml:space="preserve"> </w:t>
      </w:r>
    </w:p>
    <w:p w14:paraId="27C92200" w14:textId="77777777" w:rsidR="004C5FED" w:rsidRPr="00201DA2" w:rsidRDefault="004C5FED" w:rsidP="00103076">
      <w:pPr>
        <w:pBdr>
          <w:top w:val="nil"/>
          <w:left w:val="nil"/>
          <w:bottom w:val="nil"/>
          <w:right w:val="nil"/>
          <w:between w:val="nil"/>
        </w:pBdr>
        <w:rPr>
          <w:rFonts w:eastAsia="Calibri"/>
          <w:color w:val="000000"/>
          <w:sz w:val="22"/>
          <w:szCs w:val="22"/>
        </w:rPr>
      </w:pPr>
    </w:p>
    <w:p w14:paraId="7EBB0C75" w14:textId="77777777" w:rsidR="004C5FED" w:rsidRPr="00201DA2" w:rsidRDefault="00CB5C23" w:rsidP="00103076">
      <w:pPr>
        <w:pBdr>
          <w:top w:val="nil"/>
          <w:left w:val="nil"/>
          <w:bottom w:val="nil"/>
          <w:right w:val="nil"/>
          <w:between w:val="nil"/>
        </w:pBdr>
        <w:rPr>
          <w:rFonts w:eastAsia="Calibri"/>
          <w:color w:val="000000"/>
          <w:sz w:val="22"/>
          <w:szCs w:val="22"/>
        </w:rPr>
      </w:pPr>
      <w:r w:rsidRPr="00201DA2">
        <w:rPr>
          <w:rFonts w:eastAsia="Calibri"/>
          <w:color w:val="000000"/>
          <w:sz w:val="22"/>
          <w:szCs w:val="22"/>
        </w:rPr>
        <w:t xml:space="preserve">The </w:t>
      </w:r>
      <w:r w:rsidR="004C5FED" w:rsidRPr="00201DA2">
        <w:rPr>
          <w:rFonts w:eastAsia="Calibri"/>
          <w:color w:val="000000"/>
          <w:sz w:val="22"/>
          <w:szCs w:val="22"/>
        </w:rPr>
        <w:t>Committee</w:t>
      </w:r>
      <w:r w:rsidRPr="00201DA2">
        <w:rPr>
          <w:rFonts w:eastAsia="Calibri"/>
          <w:color w:val="000000"/>
          <w:sz w:val="22"/>
          <w:szCs w:val="22"/>
        </w:rPr>
        <w:t xml:space="preserve"> has since applied the same analysis in other cases, with varying results.</w:t>
      </w:r>
      <w:r w:rsidRPr="00201DA2">
        <w:rPr>
          <w:rStyle w:val="FootnoteReference"/>
          <w:rFonts w:eastAsia="Calibri"/>
          <w:color w:val="000000"/>
          <w:sz w:val="22"/>
          <w:szCs w:val="22"/>
        </w:rPr>
        <w:footnoteReference w:id="74"/>
      </w:r>
      <w:r w:rsidRPr="00201DA2">
        <w:rPr>
          <w:rFonts w:eastAsia="Calibri"/>
          <w:color w:val="000000"/>
          <w:sz w:val="22"/>
          <w:szCs w:val="22"/>
        </w:rPr>
        <w:t xml:space="preserve"> One clear constant in the</w:t>
      </w:r>
      <w:r w:rsidR="004C5FED" w:rsidRPr="00201DA2">
        <w:rPr>
          <w:rFonts w:eastAsia="Calibri"/>
          <w:color w:val="000000"/>
          <w:sz w:val="22"/>
          <w:szCs w:val="22"/>
        </w:rPr>
        <w:t xml:space="preserve"> Committee’</w:t>
      </w:r>
      <w:r w:rsidRPr="00201DA2">
        <w:rPr>
          <w:rFonts w:eastAsia="Calibri"/>
          <w:color w:val="000000"/>
          <w:sz w:val="22"/>
          <w:szCs w:val="22"/>
        </w:rPr>
        <w:t>s jurisprudence is that any interference with a person’s family caused by deportation is inevitably “arbitrary” if the state fails to weigh that human rights impact in the balance against its own interests in deporting the person. This is precisely what US immigration law does as a matter of routine.</w:t>
      </w:r>
      <w:r w:rsidR="00E05290" w:rsidRPr="00201DA2">
        <w:rPr>
          <w:rFonts w:eastAsia="Calibri"/>
          <w:color w:val="000000"/>
          <w:sz w:val="22"/>
          <w:szCs w:val="22"/>
        </w:rPr>
        <w:t xml:space="preserve"> </w:t>
      </w:r>
    </w:p>
    <w:p w14:paraId="0A3904BA" w14:textId="77777777" w:rsidR="004C5FED" w:rsidRPr="00201DA2" w:rsidRDefault="004C5FED" w:rsidP="00103076">
      <w:pPr>
        <w:pBdr>
          <w:top w:val="nil"/>
          <w:left w:val="nil"/>
          <w:bottom w:val="nil"/>
          <w:right w:val="nil"/>
          <w:between w:val="nil"/>
        </w:pBdr>
        <w:rPr>
          <w:rFonts w:eastAsia="Calibri"/>
          <w:color w:val="000000"/>
          <w:sz w:val="22"/>
          <w:szCs w:val="22"/>
        </w:rPr>
      </w:pPr>
    </w:p>
    <w:p w14:paraId="0D525098" w14:textId="68D9E527" w:rsidR="00CB5C23" w:rsidRPr="00201DA2" w:rsidRDefault="00E05290" w:rsidP="00103076">
      <w:pPr>
        <w:pBdr>
          <w:top w:val="nil"/>
          <w:left w:val="nil"/>
          <w:bottom w:val="nil"/>
          <w:right w:val="nil"/>
          <w:between w:val="nil"/>
        </w:pBdr>
        <w:rPr>
          <w:rFonts w:eastAsia="Calibri"/>
          <w:color w:val="000000"/>
          <w:sz w:val="22"/>
          <w:szCs w:val="22"/>
        </w:rPr>
      </w:pPr>
      <w:r w:rsidRPr="00201DA2">
        <w:rPr>
          <w:rFonts w:eastAsia="Calibri"/>
          <w:color w:val="000000"/>
          <w:sz w:val="22"/>
          <w:szCs w:val="22"/>
        </w:rPr>
        <w:t xml:space="preserve">In its recent decision to separate families arriving at the US border, the US federal government failed to weigh the harm to immigrant families before instituting its harsh separation and detention policies, the harmful effects of which are being felt to date by children and their parents. </w:t>
      </w:r>
      <w:r w:rsidR="00F84C8D" w:rsidRPr="00201DA2">
        <w:rPr>
          <w:rFonts w:eastAsia="Calibri"/>
          <w:color w:val="000000"/>
          <w:sz w:val="22"/>
          <w:szCs w:val="22"/>
        </w:rPr>
        <w:t>T</w:t>
      </w:r>
      <w:r w:rsidR="00CB5C23" w:rsidRPr="00201DA2">
        <w:rPr>
          <w:rFonts w:eastAsia="Calibri"/>
          <w:color w:val="000000"/>
          <w:sz w:val="22"/>
          <w:szCs w:val="22"/>
        </w:rPr>
        <w:t>he UN special rapporteur on the rights o</w:t>
      </w:r>
      <w:r w:rsidR="00C87556" w:rsidRPr="00201DA2">
        <w:rPr>
          <w:rFonts w:eastAsia="Calibri"/>
          <w:color w:val="000000"/>
          <w:sz w:val="22"/>
          <w:szCs w:val="22"/>
        </w:rPr>
        <w:t>f</w:t>
      </w:r>
      <w:r w:rsidR="00CB5C23" w:rsidRPr="00201DA2">
        <w:rPr>
          <w:rFonts w:eastAsia="Calibri"/>
          <w:color w:val="000000"/>
          <w:sz w:val="22"/>
          <w:szCs w:val="22"/>
        </w:rPr>
        <w:t xml:space="preserve"> non-citizens has stated, “[D]eportation is justified only if the interference with family life is not excessive compared to the public interest to be protected.”</w:t>
      </w:r>
      <w:r w:rsidR="00CB5C23" w:rsidRPr="00201DA2">
        <w:rPr>
          <w:rStyle w:val="FootnoteReference"/>
          <w:rFonts w:eastAsia="Calibri"/>
          <w:color w:val="000000"/>
          <w:sz w:val="22"/>
          <w:szCs w:val="22"/>
        </w:rPr>
        <w:footnoteReference w:id="75"/>
      </w:r>
      <w:r w:rsidR="00C87556" w:rsidRPr="00201DA2">
        <w:rPr>
          <w:rFonts w:eastAsia="Calibri"/>
          <w:color w:val="000000"/>
          <w:sz w:val="22"/>
          <w:szCs w:val="22"/>
        </w:rPr>
        <w:t xml:space="preserve"> </w:t>
      </w:r>
    </w:p>
    <w:p w14:paraId="13E6A088" w14:textId="11A94B83" w:rsidR="007147D3" w:rsidRPr="00201DA2" w:rsidRDefault="007147D3" w:rsidP="00CB5C23">
      <w:pPr>
        <w:pBdr>
          <w:top w:val="nil"/>
          <w:left w:val="nil"/>
          <w:bottom w:val="nil"/>
          <w:right w:val="nil"/>
          <w:between w:val="nil"/>
        </w:pBdr>
        <w:rPr>
          <w:rFonts w:eastAsia="Calibri"/>
          <w:color w:val="000000"/>
          <w:sz w:val="22"/>
          <w:szCs w:val="22"/>
        </w:rPr>
      </w:pPr>
    </w:p>
    <w:p w14:paraId="1ABEF62D" w14:textId="01529BCA" w:rsidR="00CB5C23" w:rsidRPr="00201DA2" w:rsidRDefault="00E05290" w:rsidP="00CB5C23">
      <w:pPr>
        <w:pBdr>
          <w:top w:val="nil"/>
          <w:left w:val="nil"/>
          <w:bottom w:val="nil"/>
          <w:right w:val="nil"/>
          <w:between w:val="nil"/>
        </w:pBdr>
        <w:rPr>
          <w:rFonts w:eastAsia="Calibri"/>
          <w:color w:val="000000"/>
          <w:sz w:val="22"/>
          <w:szCs w:val="22"/>
        </w:rPr>
      </w:pPr>
      <w:r w:rsidRPr="00201DA2">
        <w:rPr>
          <w:rFonts w:eastAsia="Calibri"/>
          <w:color w:val="000000"/>
          <w:sz w:val="22"/>
          <w:szCs w:val="22"/>
          <w:u w:val="single"/>
        </w:rPr>
        <w:t>US d</w:t>
      </w:r>
      <w:r w:rsidR="007147D3" w:rsidRPr="00201DA2">
        <w:rPr>
          <w:rFonts w:eastAsia="Calibri"/>
          <w:color w:val="000000"/>
          <w:sz w:val="22"/>
          <w:szCs w:val="22"/>
          <w:u w:val="single"/>
        </w:rPr>
        <w:t>eportation</w:t>
      </w:r>
      <w:r w:rsidRPr="00201DA2">
        <w:rPr>
          <w:rFonts w:eastAsia="Calibri"/>
          <w:color w:val="000000"/>
          <w:sz w:val="22"/>
          <w:szCs w:val="22"/>
          <w:u w:val="single"/>
        </w:rPr>
        <w:t xml:space="preserve"> law and policy may t</w:t>
      </w:r>
      <w:r w:rsidR="007147D3" w:rsidRPr="00201DA2">
        <w:rPr>
          <w:rFonts w:eastAsia="Calibri"/>
          <w:color w:val="000000"/>
          <w:sz w:val="22"/>
          <w:szCs w:val="22"/>
          <w:u w:val="single"/>
        </w:rPr>
        <w:t>hreaten right</w:t>
      </w:r>
      <w:r w:rsidRPr="00201DA2">
        <w:rPr>
          <w:rFonts w:eastAsia="Calibri"/>
          <w:color w:val="000000"/>
          <w:sz w:val="22"/>
          <w:szCs w:val="22"/>
          <w:u w:val="single"/>
        </w:rPr>
        <w:t>s</w:t>
      </w:r>
      <w:r w:rsidR="007147D3" w:rsidRPr="00201DA2">
        <w:rPr>
          <w:rFonts w:eastAsia="Calibri"/>
          <w:color w:val="000000"/>
          <w:sz w:val="22"/>
          <w:szCs w:val="22"/>
          <w:u w:val="single"/>
        </w:rPr>
        <w:t xml:space="preserve"> to protection of privacy and home</w:t>
      </w:r>
    </w:p>
    <w:p w14:paraId="5467137E" w14:textId="408C855E" w:rsidR="00CB5C23" w:rsidRPr="00201DA2" w:rsidRDefault="00C87556" w:rsidP="00CB5C23">
      <w:pPr>
        <w:pBdr>
          <w:top w:val="nil"/>
          <w:left w:val="nil"/>
          <w:bottom w:val="nil"/>
          <w:right w:val="nil"/>
          <w:between w:val="nil"/>
        </w:pBdr>
        <w:rPr>
          <w:rFonts w:eastAsia="Calibri"/>
          <w:color w:val="000000"/>
          <w:sz w:val="22"/>
          <w:szCs w:val="22"/>
        </w:rPr>
      </w:pPr>
      <w:r w:rsidRPr="00201DA2">
        <w:rPr>
          <w:rFonts w:eastAsia="Calibri"/>
          <w:color w:val="000000"/>
          <w:sz w:val="22"/>
          <w:szCs w:val="22"/>
        </w:rPr>
        <w:t>T</w:t>
      </w:r>
      <w:r w:rsidR="00CB5C23" w:rsidRPr="00201DA2">
        <w:rPr>
          <w:rFonts w:eastAsia="Calibri"/>
          <w:color w:val="000000"/>
          <w:sz w:val="22"/>
          <w:szCs w:val="22"/>
        </w:rPr>
        <w:t xml:space="preserve">he Committee has found that the definition of “one’s own country” </w:t>
      </w:r>
      <w:r w:rsidRPr="00201DA2">
        <w:rPr>
          <w:rFonts w:eastAsia="Calibri"/>
          <w:color w:val="000000"/>
          <w:sz w:val="22"/>
          <w:szCs w:val="22"/>
        </w:rPr>
        <w:t xml:space="preserve">under Article 12(4) of the Covenant </w:t>
      </w:r>
      <w:r w:rsidR="00CB5C23" w:rsidRPr="00201DA2">
        <w:rPr>
          <w:rFonts w:eastAsia="Calibri"/>
          <w:color w:val="000000"/>
          <w:sz w:val="22"/>
          <w:szCs w:val="22"/>
        </w:rPr>
        <w:t>is broader than the concept of a person’s country of nationality.</w:t>
      </w:r>
      <w:r w:rsidR="00CB5C23" w:rsidRPr="00201DA2">
        <w:rPr>
          <w:rStyle w:val="FootnoteReference"/>
          <w:rFonts w:eastAsia="Calibri"/>
          <w:color w:val="000000"/>
          <w:sz w:val="22"/>
          <w:szCs w:val="22"/>
        </w:rPr>
        <w:footnoteReference w:id="76"/>
      </w:r>
      <w:r w:rsidR="00CB5C23" w:rsidRPr="00201DA2">
        <w:rPr>
          <w:rFonts w:eastAsia="Calibri"/>
          <w:color w:val="000000"/>
          <w:sz w:val="22"/>
          <w:szCs w:val="22"/>
        </w:rPr>
        <w:t xml:space="preserve"> In two cases involving people who were brought to Australia and Canada from other countries as young children, the Committee found a violation of Article 12(4) where the state sought to deport those individuals later on in life.</w:t>
      </w:r>
      <w:r w:rsidR="00CB5C23" w:rsidRPr="00201DA2">
        <w:rPr>
          <w:rStyle w:val="FootnoteReference"/>
          <w:rFonts w:eastAsia="Calibri"/>
          <w:color w:val="000000"/>
          <w:sz w:val="22"/>
          <w:szCs w:val="22"/>
        </w:rPr>
        <w:footnoteReference w:id="77"/>
      </w:r>
      <w:r w:rsidR="00CB5C23" w:rsidRPr="00201DA2">
        <w:rPr>
          <w:rFonts w:eastAsia="Calibri"/>
          <w:color w:val="000000"/>
          <w:sz w:val="22"/>
          <w:szCs w:val="22"/>
        </w:rPr>
        <w:t xml:space="preserve"> The facts in both of these cases are closely analogous to the situation of US “Dreamers.”</w:t>
      </w:r>
      <w:r w:rsidR="005032BD" w:rsidRPr="00201DA2">
        <w:rPr>
          <w:rFonts w:eastAsia="Calibri"/>
          <w:color w:val="000000"/>
          <w:sz w:val="22"/>
          <w:szCs w:val="22"/>
        </w:rPr>
        <w:t xml:space="preserve"> </w:t>
      </w:r>
      <w:r w:rsidR="00CB5C23" w:rsidRPr="00201DA2">
        <w:rPr>
          <w:rFonts w:eastAsia="Calibri"/>
          <w:color w:val="000000"/>
          <w:sz w:val="22"/>
          <w:szCs w:val="22"/>
        </w:rPr>
        <w:t xml:space="preserve">The Human Rights Committee has stated </w:t>
      </w:r>
      <w:r w:rsidR="00794DDB" w:rsidRPr="00201DA2">
        <w:rPr>
          <w:rFonts w:eastAsia="Calibri"/>
          <w:color w:val="000000"/>
          <w:sz w:val="22"/>
          <w:szCs w:val="22"/>
        </w:rPr>
        <w:t xml:space="preserve">in its General Comment 16 </w:t>
      </w:r>
      <w:r w:rsidR="00CB5C23" w:rsidRPr="00201DA2">
        <w:rPr>
          <w:rFonts w:eastAsia="Calibri"/>
          <w:color w:val="000000"/>
          <w:sz w:val="22"/>
          <w:szCs w:val="22"/>
        </w:rPr>
        <w:t xml:space="preserve">that the term “home” </w:t>
      </w:r>
      <w:r w:rsidRPr="00201DA2">
        <w:rPr>
          <w:rFonts w:eastAsia="Calibri"/>
          <w:color w:val="000000"/>
          <w:sz w:val="22"/>
          <w:szCs w:val="22"/>
        </w:rPr>
        <w:t xml:space="preserve">as defined in Article 17 </w:t>
      </w:r>
      <w:r w:rsidR="00CB5C23" w:rsidRPr="00201DA2">
        <w:rPr>
          <w:rFonts w:eastAsia="Calibri"/>
          <w:color w:val="000000"/>
          <w:sz w:val="22"/>
          <w:szCs w:val="22"/>
        </w:rPr>
        <w:t>is “to be understood to indicate the place where a person resides or carries out his usual occupation.”</w:t>
      </w:r>
      <w:r w:rsidRPr="00201DA2">
        <w:rPr>
          <w:rStyle w:val="FootnoteReference"/>
          <w:rFonts w:eastAsia="Calibri"/>
          <w:color w:val="000000"/>
          <w:sz w:val="22"/>
          <w:szCs w:val="22"/>
        </w:rPr>
        <w:footnoteReference w:id="78"/>
      </w:r>
    </w:p>
    <w:p w14:paraId="24048552" w14:textId="5C7B6DBC" w:rsidR="003015DA" w:rsidRPr="00201DA2" w:rsidRDefault="003015DA" w:rsidP="00CB5C23">
      <w:pPr>
        <w:pBdr>
          <w:top w:val="nil"/>
          <w:left w:val="nil"/>
          <w:bottom w:val="nil"/>
          <w:right w:val="nil"/>
          <w:between w:val="nil"/>
        </w:pBdr>
        <w:contextualSpacing/>
        <w:rPr>
          <w:rFonts w:eastAsia="Calibri"/>
          <w:color w:val="000000"/>
          <w:sz w:val="22"/>
          <w:szCs w:val="22"/>
        </w:rPr>
      </w:pPr>
    </w:p>
    <w:p w14:paraId="4DA14FA6" w14:textId="77738CF6" w:rsidR="00BE1DE8" w:rsidRPr="00201DA2" w:rsidRDefault="003015DA" w:rsidP="00CB5C23">
      <w:pPr>
        <w:pBdr>
          <w:top w:val="nil"/>
          <w:left w:val="nil"/>
          <w:bottom w:val="nil"/>
          <w:right w:val="nil"/>
          <w:between w:val="nil"/>
        </w:pBdr>
        <w:contextualSpacing/>
        <w:rPr>
          <w:rFonts w:eastAsia="Calibri"/>
          <w:color w:val="000000"/>
          <w:sz w:val="22"/>
          <w:szCs w:val="22"/>
        </w:rPr>
      </w:pPr>
      <w:r w:rsidRPr="00201DA2">
        <w:rPr>
          <w:rFonts w:eastAsia="Calibri"/>
          <w:color w:val="000000"/>
          <w:sz w:val="22"/>
          <w:szCs w:val="22"/>
          <w:u w:val="single"/>
        </w:rPr>
        <w:t xml:space="preserve">Restrictions on the access to asylum in the United States threaten </w:t>
      </w:r>
      <w:r w:rsidR="00457390" w:rsidRPr="00201DA2">
        <w:rPr>
          <w:rFonts w:eastAsia="Calibri"/>
          <w:color w:val="000000"/>
          <w:sz w:val="22"/>
          <w:szCs w:val="22"/>
          <w:u w:val="single"/>
        </w:rPr>
        <w:t>to breach the obligation of</w:t>
      </w:r>
      <w:r w:rsidRPr="00201DA2">
        <w:rPr>
          <w:rFonts w:eastAsia="Calibri"/>
          <w:color w:val="000000"/>
          <w:sz w:val="22"/>
          <w:szCs w:val="22"/>
          <w:u w:val="single"/>
        </w:rPr>
        <w:t xml:space="preserve"> non-refoulement</w:t>
      </w:r>
    </w:p>
    <w:p w14:paraId="062DA210" w14:textId="19C532AC" w:rsidR="003015DA" w:rsidRPr="00201DA2" w:rsidRDefault="00E87AFD" w:rsidP="00CB5C23">
      <w:pPr>
        <w:pBdr>
          <w:top w:val="nil"/>
          <w:left w:val="nil"/>
          <w:bottom w:val="nil"/>
          <w:right w:val="nil"/>
          <w:between w:val="nil"/>
        </w:pBdr>
        <w:contextualSpacing/>
        <w:rPr>
          <w:rFonts w:eastAsia="Calibri"/>
          <w:color w:val="000000"/>
          <w:sz w:val="22"/>
          <w:szCs w:val="22"/>
        </w:rPr>
      </w:pPr>
      <w:r w:rsidRPr="00201DA2">
        <w:rPr>
          <w:rFonts w:eastAsia="Calibri"/>
          <w:color w:val="000000"/>
          <w:sz w:val="22"/>
          <w:szCs w:val="22"/>
        </w:rPr>
        <w:lastRenderedPageBreak/>
        <w:t>I</w:t>
      </w:r>
      <w:r w:rsidR="003015DA" w:rsidRPr="00201DA2">
        <w:rPr>
          <w:rFonts w:eastAsia="Calibri"/>
          <w:color w:val="000000"/>
          <w:sz w:val="22"/>
          <w:szCs w:val="22"/>
        </w:rPr>
        <w:t>n its General Comment 31</w:t>
      </w:r>
      <w:r w:rsidRPr="00201DA2">
        <w:rPr>
          <w:rFonts w:eastAsia="Calibri"/>
          <w:color w:val="000000"/>
          <w:sz w:val="22"/>
          <w:szCs w:val="22"/>
        </w:rPr>
        <w:t xml:space="preserve">, the Committee </w:t>
      </w:r>
      <w:r w:rsidR="00BA7AD6" w:rsidRPr="00201DA2">
        <w:rPr>
          <w:rFonts w:eastAsia="Calibri"/>
          <w:color w:val="000000"/>
          <w:sz w:val="22"/>
          <w:szCs w:val="22"/>
        </w:rPr>
        <w:t>explained that</w:t>
      </w:r>
      <w:r w:rsidR="003015DA" w:rsidRPr="00201DA2">
        <w:rPr>
          <w:rFonts w:eastAsia="Calibri"/>
          <w:color w:val="000000"/>
          <w:sz w:val="22"/>
          <w:szCs w:val="22"/>
        </w:rPr>
        <w:t xml:space="preserve"> </w:t>
      </w:r>
      <w:r w:rsidR="00BA7AD6" w:rsidRPr="00201DA2">
        <w:rPr>
          <w:rFonts w:eastAsia="Calibri"/>
          <w:color w:val="000000"/>
          <w:sz w:val="22"/>
          <w:szCs w:val="22"/>
        </w:rPr>
        <w:t>“the article 2 obligation entails an obligation not to extradite, deport, expel or otherwise remove a person from their territory, where there are substantial grounds for believing that there is a real risk of irreparable harm, such as that contemplated by articles 6 and 7 of the Covenant, either in the country to which removal is to be effected or in any country to which the person may subsequently be removed.</w:t>
      </w:r>
      <w:r w:rsidR="00BA7AD6" w:rsidRPr="00201DA2">
        <w:rPr>
          <w:rStyle w:val="FootnoteReference"/>
          <w:rFonts w:eastAsia="Calibri"/>
          <w:color w:val="000000"/>
          <w:sz w:val="22"/>
          <w:szCs w:val="22"/>
        </w:rPr>
        <w:footnoteReference w:id="79"/>
      </w:r>
      <w:r w:rsidR="007369FB" w:rsidRPr="00201DA2">
        <w:rPr>
          <w:rFonts w:eastAsia="Calibri"/>
          <w:color w:val="000000"/>
          <w:sz w:val="22"/>
          <w:szCs w:val="22"/>
        </w:rPr>
        <w:t xml:space="preserve"> The </w:t>
      </w:r>
      <w:r w:rsidR="000D19F5" w:rsidRPr="00201DA2">
        <w:rPr>
          <w:rFonts w:eastAsia="Calibri"/>
          <w:color w:val="000000"/>
          <w:sz w:val="22"/>
          <w:szCs w:val="22"/>
        </w:rPr>
        <w:t>non-</w:t>
      </w:r>
      <w:r w:rsidR="007369FB" w:rsidRPr="00201DA2">
        <w:rPr>
          <w:rFonts w:eastAsia="Calibri"/>
          <w:color w:val="000000"/>
          <w:sz w:val="22"/>
          <w:szCs w:val="22"/>
        </w:rPr>
        <w:t xml:space="preserve">refoulement </w:t>
      </w:r>
      <w:r w:rsidR="000D19F5" w:rsidRPr="00201DA2">
        <w:rPr>
          <w:rFonts w:eastAsia="Calibri"/>
          <w:color w:val="000000"/>
          <w:sz w:val="22"/>
          <w:szCs w:val="22"/>
        </w:rPr>
        <w:t xml:space="preserve">obligation </w:t>
      </w:r>
      <w:r w:rsidR="007369FB" w:rsidRPr="00201DA2">
        <w:rPr>
          <w:rFonts w:eastAsia="Calibri"/>
          <w:color w:val="000000"/>
          <w:sz w:val="22"/>
          <w:szCs w:val="22"/>
        </w:rPr>
        <w:t xml:space="preserve">applies to indirect acts that have the effect of returning people to harm, including </w:t>
      </w:r>
      <w:r w:rsidR="00651097" w:rsidRPr="00201DA2">
        <w:rPr>
          <w:rFonts w:eastAsia="Calibri"/>
          <w:color w:val="000000"/>
          <w:sz w:val="22"/>
          <w:szCs w:val="22"/>
        </w:rPr>
        <w:t>“detention in poor conditions for indefinite periods, refusing to process claims for asylum or prolonging them unduly, or cutting funds for assistance programmes for asylum seekers,”</w:t>
      </w:r>
      <w:r w:rsidR="00D849BF" w:rsidRPr="00201DA2">
        <w:rPr>
          <w:rStyle w:val="FootnoteReference"/>
          <w:rFonts w:eastAsia="Calibri"/>
          <w:color w:val="000000"/>
          <w:sz w:val="22"/>
          <w:szCs w:val="22"/>
        </w:rPr>
        <w:footnoteReference w:id="80"/>
      </w:r>
      <w:r w:rsidR="00651097" w:rsidRPr="00201DA2">
        <w:rPr>
          <w:rFonts w:eastAsia="Calibri"/>
          <w:color w:val="000000"/>
          <w:sz w:val="22"/>
          <w:szCs w:val="22"/>
        </w:rPr>
        <w:t xml:space="preserve"> as well as returns to third countries that in turn deport people to countries where they would face irreparable harm.</w:t>
      </w:r>
      <w:r w:rsidR="00D849BF" w:rsidRPr="00201DA2">
        <w:rPr>
          <w:rStyle w:val="FootnoteReference"/>
          <w:rFonts w:eastAsia="Calibri"/>
          <w:color w:val="000000"/>
          <w:sz w:val="22"/>
          <w:szCs w:val="22"/>
        </w:rPr>
        <w:footnoteReference w:id="81"/>
      </w:r>
    </w:p>
    <w:p w14:paraId="7EEF8846" w14:textId="464BE0B0" w:rsidR="007147D3" w:rsidRPr="00201DA2" w:rsidRDefault="007147D3" w:rsidP="00CB5C23">
      <w:pPr>
        <w:pBdr>
          <w:top w:val="nil"/>
          <w:left w:val="nil"/>
          <w:bottom w:val="nil"/>
          <w:right w:val="nil"/>
          <w:between w:val="nil"/>
        </w:pBdr>
        <w:contextualSpacing/>
        <w:rPr>
          <w:rFonts w:eastAsia="Calibri"/>
          <w:color w:val="000000"/>
          <w:sz w:val="22"/>
          <w:szCs w:val="22"/>
        </w:rPr>
      </w:pPr>
    </w:p>
    <w:p w14:paraId="1C5B663F" w14:textId="77777777" w:rsidR="004C5FED" w:rsidRPr="00201DA2" w:rsidRDefault="00794DDB" w:rsidP="005032BD">
      <w:pPr>
        <w:pBdr>
          <w:top w:val="nil"/>
          <w:left w:val="nil"/>
          <w:bottom w:val="nil"/>
          <w:right w:val="nil"/>
          <w:between w:val="nil"/>
        </w:pBdr>
        <w:contextualSpacing/>
        <w:rPr>
          <w:rFonts w:eastAsia="Calibri"/>
          <w:color w:val="000000"/>
          <w:sz w:val="22"/>
          <w:szCs w:val="22"/>
          <w:u w:val="single"/>
        </w:rPr>
      </w:pPr>
      <w:r w:rsidRPr="00201DA2">
        <w:rPr>
          <w:rFonts w:eastAsia="Calibri"/>
          <w:color w:val="000000"/>
          <w:sz w:val="22"/>
          <w:szCs w:val="22"/>
          <w:u w:val="single"/>
        </w:rPr>
        <w:t>US i</w:t>
      </w:r>
      <w:r w:rsidR="007147D3" w:rsidRPr="00201DA2">
        <w:rPr>
          <w:rFonts w:eastAsia="Calibri"/>
          <w:color w:val="000000"/>
          <w:sz w:val="22"/>
          <w:szCs w:val="22"/>
          <w:u w:val="single"/>
        </w:rPr>
        <w:t>mmigration detention threaten</w:t>
      </w:r>
      <w:r w:rsidRPr="00201DA2">
        <w:rPr>
          <w:rFonts w:eastAsia="Calibri"/>
          <w:color w:val="000000"/>
          <w:sz w:val="22"/>
          <w:szCs w:val="22"/>
          <w:u w:val="single"/>
        </w:rPr>
        <w:t>s</w:t>
      </w:r>
      <w:r w:rsidR="007147D3" w:rsidRPr="00201DA2">
        <w:rPr>
          <w:rFonts w:eastAsia="Calibri"/>
          <w:color w:val="000000"/>
          <w:sz w:val="22"/>
          <w:szCs w:val="22"/>
          <w:u w:val="single"/>
        </w:rPr>
        <w:t xml:space="preserve"> respect for dignity of persons, rights of children</w:t>
      </w:r>
    </w:p>
    <w:p w14:paraId="2EDDE035" w14:textId="48771B34" w:rsidR="00D91D7B" w:rsidRPr="00201DA2" w:rsidRDefault="00852E61" w:rsidP="005032BD">
      <w:pPr>
        <w:pBdr>
          <w:top w:val="nil"/>
          <w:left w:val="nil"/>
          <w:bottom w:val="nil"/>
          <w:right w:val="nil"/>
          <w:between w:val="nil"/>
        </w:pBdr>
        <w:contextualSpacing/>
        <w:rPr>
          <w:rFonts w:eastAsia="Calibri"/>
          <w:color w:val="000000"/>
          <w:sz w:val="22"/>
          <w:szCs w:val="22"/>
          <w:u w:val="single"/>
        </w:rPr>
      </w:pPr>
      <w:r w:rsidRPr="00201DA2">
        <w:rPr>
          <w:sz w:val="22"/>
          <w:szCs w:val="22"/>
        </w:rPr>
        <w:t>T</w:t>
      </w:r>
      <w:r w:rsidR="00D91D7B" w:rsidRPr="00201DA2">
        <w:rPr>
          <w:sz w:val="22"/>
          <w:szCs w:val="22"/>
        </w:rPr>
        <w:t>he Committee has noted</w:t>
      </w:r>
      <w:r w:rsidR="007C299B" w:rsidRPr="00201DA2">
        <w:rPr>
          <w:sz w:val="22"/>
          <w:szCs w:val="22"/>
        </w:rPr>
        <w:t xml:space="preserve"> in its General Comment 35</w:t>
      </w:r>
      <w:r w:rsidR="00D91D7B" w:rsidRPr="00201DA2">
        <w:rPr>
          <w:sz w:val="22"/>
          <w:szCs w:val="22"/>
        </w:rPr>
        <w:t xml:space="preserve"> that “detention must be justified as reasonable, necessary and proportionate in the light of the circumstances and reassessed as it extends in time.”</w:t>
      </w:r>
      <w:r w:rsidR="00D91D7B" w:rsidRPr="00201DA2">
        <w:rPr>
          <w:rStyle w:val="FootnoteReference"/>
          <w:sz w:val="22"/>
          <w:szCs w:val="22"/>
        </w:rPr>
        <w:footnoteReference w:id="82"/>
      </w:r>
      <w:r w:rsidR="00D91D7B" w:rsidRPr="00201DA2">
        <w:rPr>
          <w:sz w:val="22"/>
          <w:szCs w:val="22"/>
        </w:rPr>
        <w:t xml:space="preserve"> The United Nations Working Group on Arbitrary Detention has argued that “immigration detention should gradually be abolished.... If there has to be administrative detention, the principle of proportionality requires it to be a last resort.”</w:t>
      </w:r>
      <w:r w:rsidR="00D91D7B" w:rsidRPr="00201DA2">
        <w:rPr>
          <w:rStyle w:val="FootnoteReference"/>
          <w:sz w:val="22"/>
          <w:szCs w:val="22"/>
        </w:rPr>
        <w:footnoteReference w:id="83"/>
      </w:r>
    </w:p>
    <w:p w14:paraId="5BDF62B8" w14:textId="76297704" w:rsidR="00F87135" w:rsidRPr="00201DA2" w:rsidRDefault="000D19F5" w:rsidP="005032BD">
      <w:pPr>
        <w:shd w:val="clear" w:color="auto" w:fill="FFFFFF"/>
        <w:spacing w:before="100" w:beforeAutospacing="1" w:after="100" w:afterAutospacing="1"/>
        <w:rPr>
          <w:sz w:val="22"/>
          <w:szCs w:val="22"/>
        </w:rPr>
      </w:pPr>
      <w:r w:rsidRPr="00201DA2">
        <w:rPr>
          <w:sz w:val="22"/>
          <w:szCs w:val="22"/>
        </w:rPr>
        <w:t xml:space="preserve">In </w:t>
      </w:r>
      <w:r w:rsidR="002C40E7" w:rsidRPr="00201DA2">
        <w:rPr>
          <w:sz w:val="22"/>
          <w:szCs w:val="22"/>
        </w:rPr>
        <w:t xml:space="preserve">its General Comment 35, </w:t>
      </w:r>
      <w:r w:rsidRPr="00201DA2">
        <w:rPr>
          <w:sz w:val="22"/>
          <w:szCs w:val="22"/>
        </w:rPr>
        <w:t xml:space="preserve">the Committee noted that </w:t>
      </w:r>
      <w:r w:rsidR="00D91D7B" w:rsidRPr="00201DA2">
        <w:rPr>
          <w:sz w:val="22"/>
          <w:szCs w:val="22"/>
        </w:rPr>
        <w:t>“</w:t>
      </w:r>
      <w:r w:rsidR="002C40E7" w:rsidRPr="00201DA2">
        <w:rPr>
          <w:sz w:val="22"/>
          <w:szCs w:val="22"/>
        </w:rPr>
        <w:t>d</w:t>
      </w:r>
      <w:r w:rsidR="00D91D7B" w:rsidRPr="00201DA2">
        <w:rPr>
          <w:sz w:val="22"/>
          <w:szCs w:val="22"/>
        </w:rPr>
        <w:t>ecisions regarding the detention of migrants must also take into account the effect of the detention on their physical or mental health”</w:t>
      </w:r>
      <w:r w:rsidR="00D91D7B" w:rsidRPr="00201DA2">
        <w:rPr>
          <w:rStyle w:val="FootnoteReference"/>
          <w:sz w:val="22"/>
          <w:szCs w:val="22"/>
        </w:rPr>
        <w:footnoteReference w:id="84"/>
      </w:r>
      <w:r w:rsidR="00D91D7B" w:rsidRPr="00201DA2">
        <w:rPr>
          <w:sz w:val="22"/>
          <w:szCs w:val="22"/>
        </w:rPr>
        <w:t xml:space="preserve"> </w:t>
      </w:r>
      <w:r w:rsidR="006D7C11" w:rsidRPr="00201DA2">
        <w:rPr>
          <w:rFonts w:eastAsia="Calibri"/>
          <w:color w:val="000000"/>
          <w:sz w:val="22"/>
          <w:szCs w:val="22"/>
        </w:rPr>
        <w:t>The inadequate medical</w:t>
      </w:r>
      <w:r w:rsidR="00BD4565" w:rsidRPr="00201DA2">
        <w:rPr>
          <w:rFonts w:eastAsia="Calibri"/>
          <w:color w:val="000000"/>
          <w:sz w:val="22"/>
          <w:szCs w:val="22"/>
        </w:rPr>
        <w:t xml:space="preserve"> care</w:t>
      </w:r>
      <w:r w:rsidR="006D7C11" w:rsidRPr="00201DA2">
        <w:rPr>
          <w:rFonts w:eastAsia="Calibri"/>
          <w:color w:val="000000"/>
          <w:sz w:val="22"/>
          <w:szCs w:val="22"/>
        </w:rPr>
        <w:t xml:space="preserve"> provided to immigrants in certain cases </w:t>
      </w:r>
      <w:r w:rsidR="00BD4565" w:rsidRPr="00201DA2">
        <w:rPr>
          <w:rFonts w:eastAsia="Calibri"/>
          <w:color w:val="000000"/>
          <w:sz w:val="22"/>
          <w:szCs w:val="22"/>
        </w:rPr>
        <w:t xml:space="preserve">violates </w:t>
      </w:r>
      <w:r w:rsidR="006D7C11" w:rsidRPr="00201DA2">
        <w:rPr>
          <w:rFonts w:eastAsia="Calibri"/>
          <w:color w:val="000000"/>
          <w:sz w:val="22"/>
          <w:szCs w:val="22"/>
        </w:rPr>
        <w:t>the Committee’s requirement that State Parties provide</w:t>
      </w:r>
      <w:r w:rsidR="005C2312" w:rsidRPr="00201DA2">
        <w:rPr>
          <w:rFonts w:eastAsia="Calibri"/>
          <w:color w:val="000000"/>
          <w:sz w:val="22"/>
          <w:szCs w:val="22"/>
        </w:rPr>
        <w:t xml:space="preserve"> “adequate medical care during detention.”</w:t>
      </w:r>
      <w:r w:rsidR="005C2312" w:rsidRPr="00201DA2">
        <w:rPr>
          <w:rStyle w:val="FootnoteReference"/>
          <w:rFonts w:eastAsia="Calibri"/>
          <w:color w:val="000000"/>
          <w:sz w:val="22"/>
          <w:szCs w:val="22"/>
        </w:rPr>
        <w:footnoteReference w:id="85"/>
      </w:r>
      <w:r w:rsidR="006D7C11" w:rsidRPr="00201DA2">
        <w:rPr>
          <w:rFonts w:eastAsia="Calibri"/>
          <w:color w:val="000000"/>
          <w:sz w:val="22"/>
          <w:szCs w:val="22"/>
        </w:rPr>
        <w:t xml:space="preserve"> </w:t>
      </w:r>
    </w:p>
    <w:p w14:paraId="4B453CA2" w14:textId="24070442" w:rsidR="005C2312" w:rsidRPr="00201DA2" w:rsidRDefault="00D91D7B" w:rsidP="00F059C7">
      <w:pPr>
        <w:pStyle w:val="NormalWeb"/>
        <w:shd w:val="clear" w:color="auto" w:fill="FFFFFF"/>
        <w:rPr>
          <w:sz w:val="22"/>
          <w:szCs w:val="22"/>
        </w:rPr>
      </w:pPr>
      <w:r w:rsidRPr="00201DA2">
        <w:rPr>
          <w:sz w:val="22"/>
          <w:szCs w:val="22"/>
        </w:rPr>
        <w:t xml:space="preserve">Immigration detention of children, alone, or with their families is inconsistent with international standards, particularly the fundamental principle—reflected in both international and US law—that </w:t>
      </w:r>
      <w:r w:rsidR="002C40E7" w:rsidRPr="00201DA2">
        <w:rPr>
          <w:sz w:val="22"/>
          <w:szCs w:val="22"/>
        </w:rPr>
        <w:t xml:space="preserve">the </w:t>
      </w:r>
      <w:r w:rsidRPr="00201DA2">
        <w:rPr>
          <w:sz w:val="22"/>
          <w:szCs w:val="22"/>
        </w:rPr>
        <w:t>“best interest of the child” should govern the state’s actions toward children.</w:t>
      </w:r>
      <w:r w:rsidRPr="00201DA2">
        <w:rPr>
          <w:rStyle w:val="FootnoteReference"/>
          <w:sz w:val="22"/>
          <w:szCs w:val="22"/>
        </w:rPr>
        <w:footnoteReference w:id="86"/>
      </w:r>
      <w:r w:rsidRPr="00201DA2">
        <w:rPr>
          <w:sz w:val="22"/>
          <w:szCs w:val="22"/>
        </w:rPr>
        <w:t xml:space="preserve"> </w:t>
      </w:r>
      <w:r w:rsidR="003A6C71" w:rsidRPr="00201DA2">
        <w:rPr>
          <w:sz w:val="22"/>
          <w:szCs w:val="22"/>
        </w:rPr>
        <w:t>For these and other reasons, international standards recognize that children should not be detained solely because of their or their parents’ immigration status.</w:t>
      </w:r>
      <w:r w:rsidR="00995EBC" w:rsidRPr="00201DA2">
        <w:rPr>
          <w:rStyle w:val="FootnoteReference"/>
          <w:sz w:val="22"/>
          <w:szCs w:val="22"/>
        </w:rPr>
        <w:footnoteReference w:id="87"/>
      </w:r>
      <w:r w:rsidR="003A6C71" w:rsidRPr="00201DA2">
        <w:rPr>
          <w:sz w:val="22"/>
          <w:szCs w:val="22"/>
        </w:rPr>
        <w:t xml:space="preserve"> Moreover, deprivation of liberty has a negative effect on children’s </w:t>
      </w:r>
      <w:r w:rsidR="003A6C71" w:rsidRPr="00201DA2">
        <w:rPr>
          <w:sz w:val="22"/>
          <w:szCs w:val="22"/>
        </w:rPr>
        <w:lastRenderedPageBreak/>
        <w:t>capacity to realize other fundamental rights, including the rights to education, health, and family unity, and can result in constructive (or indirect) refoulement.</w:t>
      </w:r>
      <w:r w:rsidR="00FA35BE" w:rsidRPr="00201DA2">
        <w:rPr>
          <w:rStyle w:val="FootnoteReference"/>
          <w:sz w:val="22"/>
          <w:szCs w:val="22"/>
        </w:rPr>
        <w:footnoteReference w:id="88"/>
      </w:r>
    </w:p>
    <w:p w14:paraId="5FF14B27" w14:textId="52D9DF8D" w:rsidR="00154853" w:rsidRPr="00201DA2" w:rsidRDefault="00154853" w:rsidP="00154853">
      <w:pPr>
        <w:pBdr>
          <w:top w:val="nil"/>
          <w:left w:val="nil"/>
          <w:bottom w:val="nil"/>
          <w:right w:val="nil"/>
          <w:between w:val="nil"/>
        </w:pBdr>
        <w:contextualSpacing/>
        <w:rPr>
          <w:rFonts w:eastAsia="Calibri"/>
          <w:b/>
          <w:color w:val="000000"/>
          <w:sz w:val="22"/>
          <w:szCs w:val="22"/>
        </w:rPr>
      </w:pPr>
      <w:r w:rsidRPr="00201DA2">
        <w:rPr>
          <w:rFonts w:eastAsia="Calibri"/>
          <w:b/>
          <w:color w:val="000000"/>
          <w:sz w:val="22"/>
          <w:szCs w:val="22"/>
        </w:rPr>
        <w:t>Recommended Questions</w:t>
      </w:r>
    </w:p>
    <w:p w14:paraId="0B61F9F2" w14:textId="671EA7D1" w:rsidR="003056F2" w:rsidRPr="00201DA2" w:rsidRDefault="003056F2" w:rsidP="003056F2">
      <w:pPr>
        <w:pStyle w:val="ListParagraph"/>
        <w:numPr>
          <w:ilvl w:val="0"/>
          <w:numId w:val="17"/>
        </w:numPr>
        <w:pBdr>
          <w:top w:val="nil"/>
          <w:left w:val="nil"/>
          <w:bottom w:val="nil"/>
          <w:right w:val="nil"/>
          <w:between w:val="nil"/>
        </w:pBdr>
        <w:rPr>
          <w:rFonts w:eastAsia="Calibri"/>
          <w:b/>
          <w:color w:val="000000"/>
          <w:sz w:val="22"/>
          <w:szCs w:val="22"/>
        </w:rPr>
      </w:pPr>
      <w:r w:rsidRPr="00201DA2">
        <w:rPr>
          <w:rFonts w:eastAsia="Calibri"/>
          <w:color w:val="000000"/>
          <w:sz w:val="22"/>
          <w:szCs w:val="22"/>
        </w:rPr>
        <w:t>How can the State Party square its treaty obligations with its polic</w:t>
      </w:r>
      <w:r w:rsidR="001B6AD0" w:rsidRPr="00201DA2">
        <w:rPr>
          <w:rFonts w:eastAsia="Calibri"/>
          <w:color w:val="000000"/>
          <w:sz w:val="22"/>
          <w:szCs w:val="22"/>
        </w:rPr>
        <w:t>i</w:t>
      </w:r>
      <w:r w:rsidRPr="00201DA2">
        <w:rPr>
          <w:rFonts w:eastAsia="Calibri"/>
          <w:color w:val="000000"/>
          <w:sz w:val="22"/>
          <w:szCs w:val="22"/>
        </w:rPr>
        <w:t xml:space="preserve">es and practices that have: 1) led to the deaths of immigrant detainees due to inadequate medical care and that have 2) separated families during the course of detention and deportation policies and that have 3) </w:t>
      </w:r>
      <w:r w:rsidR="00457390" w:rsidRPr="00201DA2">
        <w:rPr>
          <w:rFonts w:eastAsia="Calibri"/>
          <w:color w:val="000000"/>
          <w:sz w:val="22"/>
          <w:szCs w:val="22"/>
        </w:rPr>
        <w:t xml:space="preserve">effected the detention of </w:t>
      </w:r>
      <w:r w:rsidRPr="00201DA2">
        <w:rPr>
          <w:rFonts w:eastAsia="Calibri"/>
          <w:color w:val="000000"/>
          <w:sz w:val="22"/>
          <w:szCs w:val="22"/>
        </w:rPr>
        <w:t>children?</w:t>
      </w:r>
    </w:p>
    <w:p w14:paraId="37623D42" w14:textId="1E18E2FB" w:rsidR="003056F2" w:rsidRPr="00201DA2" w:rsidRDefault="003056F2" w:rsidP="003056F2">
      <w:pPr>
        <w:pStyle w:val="ListParagraph"/>
        <w:numPr>
          <w:ilvl w:val="0"/>
          <w:numId w:val="17"/>
        </w:numPr>
        <w:pBdr>
          <w:top w:val="nil"/>
          <w:left w:val="nil"/>
          <w:bottom w:val="nil"/>
          <w:right w:val="nil"/>
          <w:between w:val="nil"/>
        </w:pBdr>
        <w:rPr>
          <w:rFonts w:eastAsia="Calibri"/>
          <w:b/>
          <w:color w:val="000000"/>
          <w:sz w:val="22"/>
          <w:szCs w:val="22"/>
        </w:rPr>
      </w:pPr>
      <w:r w:rsidRPr="00201DA2">
        <w:rPr>
          <w:rFonts w:eastAsia="Calibri"/>
          <w:color w:val="000000"/>
          <w:sz w:val="22"/>
          <w:szCs w:val="22"/>
        </w:rPr>
        <w:t xml:space="preserve">What steps </w:t>
      </w:r>
      <w:r w:rsidR="009A4B24" w:rsidRPr="00201DA2">
        <w:rPr>
          <w:rFonts w:eastAsia="Calibri"/>
          <w:color w:val="000000"/>
          <w:sz w:val="22"/>
          <w:szCs w:val="22"/>
        </w:rPr>
        <w:t xml:space="preserve">if any </w:t>
      </w:r>
      <w:r w:rsidRPr="00201DA2">
        <w:rPr>
          <w:rFonts w:eastAsia="Calibri"/>
          <w:color w:val="000000"/>
          <w:sz w:val="22"/>
          <w:szCs w:val="22"/>
        </w:rPr>
        <w:t xml:space="preserve">will the State Party take to ensure the </w:t>
      </w:r>
      <w:r w:rsidR="001B6AD0" w:rsidRPr="00201DA2">
        <w:rPr>
          <w:rFonts w:eastAsia="Calibri"/>
          <w:color w:val="000000"/>
          <w:sz w:val="22"/>
          <w:szCs w:val="22"/>
        </w:rPr>
        <w:t>non-refoulement</w:t>
      </w:r>
      <w:r w:rsidRPr="00201DA2">
        <w:rPr>
          <w:rFonts w:eastAsia="Calibri"/>
          <w:color w:val="000000"/>
          <w:sz w:val="22"/>
          <w:szCs w:val="22"/>
        </w:rPr>
        <w:t xml:space="preserve"> of </w:t>
      </w:r>
      <w:r w:rsidR="00457390" w:rsidRPr="00201DA2">
        <w:rPr>
          <w:rFonts w:eastAsia="Calibri"/>
          <w:color w:val="000000"/>
          <w:sz w:val="22"/>
          <w:szCs w:val="22"/>
        </w:rPr>
        <w:t xml:space="preserve">people </w:t>
      </w:r>
      <w:r w:rsidR="00A56269" w:rsidRPr="00201DA2">
        <w:rPr>
          <w:rFonts w:eastAsia="Calibri"/>
          <w:color w:val="000000"/>
          <w:sz w:val="22"/>
          <w:szCs w:val="22"/>
        </w:rPr>
        <w:t>seeking asylum from persecution in the United States</w:t>
      </w:r>
      <w:r w:rsidRPr="00201DA2">
        <w:rPr>
          <w:rFonts w:eastAsia="Calibri"/>
          <w:color w:val="000000"/>
          <w:sz w:val="22"/>
          <w:szCs w:val="22"/>
        </w:rPr>
        <w:t>?</w:t>
      </w:r>
    </w:p>
    <w:p w14:paraId="2E26990A" w14:textId="21959E7B" w:rsidR="00A56269" w:rsidRPr="00201DA2" w:rsidRDefault="009A4B24" w:rsidP="003056F2">
      <w:pPr>
        <w:pStyle w:val="ListParagraph"/>
        <w:numPr>
          <w:ilvl w:val="0"/>
          <w:numId w:val="17"/>
        </w:numPr>
        <w:pBdr>
          <w:top w:val="nil"/>
          <w:left w:val="nil"/>
          <w:bottom w:val="nil"/>
          <w:right w:val="nil"/>
          <w:between w:val="nil"/>
        </w:pBdr>
        <w:rPr>
          <w:rFonts w:eastAsia="Calibri"/>
          <w:b/>
          <w:color w:val="000000"/>
          <w:sz w:val="22"/>
          <w:szCs w:val="22"/>
        </w:rPr>
      </w:pPr>
      <w:r w:rsidRPr="00201DA2">
        <w:rPr>
          <w:rFonts w:eastAsia="Calibri"/>
          <w:color w:val="000000"/>
          <w:sz w:val="22"/>
          <w:szCs w:val="22"/>
        </w:rPr>
        <w:t>What steps if any will</w:t>
      </w:r>
      <w:r w:rsidR="00A56269" w:rsidRPr="00201DA2">
        <w:rPr>
          <w:rFonts w:eastAsia="Calibri"/>
          <w:color w:val="000000"/>
          <w:sz w:val="22"/>
          <w:szCs w:val="22"/>
        </w:rPr>
        <w:t xml:space="preserve"> the State Party </w:t>
      </w:r>
      <w:r w:rsidRPr="00201DA2">
        <w:rPr>
          <w:rFonts w:eastAsia="Calibri"/>
          <w:color w:val="000000"/>
          <w:sz w:val="22"/>
          <w:szCs w:val="22"/>
        </w:rPr>
        <w:t xml:space="preserve">take to </w:t>
      </w:r>
      <w:r w:rsidR="00A56269" w:rsidRPr="00201DA2">
        <w:rPr>
          <w:rFonts w:eastAsia="Calibri"/>
          <w:color w:val="000000"/>
          <w:sz w:val="22"/>
          <w:szCs w:val="22"/>
        </w:rPr>
        <w:t>reform its deportation laws and policies to ensure that individuals</w:t>
      </w:r>
      <w:r w:rsidR="00457390" w:rsidRPr="00201DA2">
        <w:rPr>
          <w:rFonts w:eastAsia="Calibri"/>
          <w:color w:val="000000"/>
          <w:sz w:val="22"/>
          <w:szCs w:val="22"/>
        </w:rPr>
        <w:t>’</w:t>
      </w:r>
      <w:r w:rsidR="00A56269" w:rsidRPr="00201DA2">
        <w:rPr>
          <w:rFonts w:eastAsia="Calibri"/>
          <w:color w:val="000000"/>
          <w:sz w:val="22"/>
          <w:szCs w:val="22"/>
        </w:rPr>
        <w:t xml:space="preserve"> rights to family, and non-interference with home and privacy are </w:t>
      </w:r>
      <w:r w:rsidR="00457390" w:rsidRPr="00201DA2">
        <w:rPr>
          <w:rFonts w:eastAsia="Calibri"/>
          <w:color w:val="000000"/>
          <w:sz w:val="22"/>
          <w:szCs w:val="22"/>
        </w:rPr>
        <w:t>adequately weighed against any legitimate government interest in deporting that person</w:t>
      </w:r>
      <w:r w:rsidR="00A56269" w:rsidRPr="00201DA2">
        <w:rPr>
          <w:rFonts w:eastAsia="Calibri"/>
          <w:color w:val="000000"/>
          <w:sz w:val="22"/>
          <w:szCs w:val="22"/>
        </w:rPr>
        <w:t>?</w:t>
      </w:r>
    </w:p>
    <w:p w14:paraId="46DCFE1F" w14:textId="77777777" w:rsidR="00154853" w:rsidRPr="00201DA2" w:rsidRDefault="00154853" w:rsidP="00154853">
      <w:pPr>
        <w:pBdr>
          <w:top w:val="nil"/>
          <w:left w:val="nil"/>
          <w:bottom w:val="nil"/>
          <w:right w:val="nil"/>
          <w:between w:val="nil"/>
        </w:pBdr>
        <w:contextualSpacing/>
        <w:rPr>
          <w:rFonts w:eastAsia="Calibri"/>
          <w:color w:val="000000"/>
          <w:sz w:val="22"/>
          <w:szCs w:val="22"/>
        </w:rPr>
      </w:pPr>
    </w:p>
    <w:p w14:paraId="6762444C" w14:textId="311177DD" w:rsidR="00154853" w:rsidRPr="00201DA2" w:rsidRDefault="00154853" w:rsidP="00154853">
      <w:pPr>
        <w:pBdr>
          <w:top w:val="nil"/>
          <w:left w:val="nil"/>
          <w:bottom w:val="nil"/>
          <w:right w:val="nil"/>
          <w:between w:val="nil"/>
        </w:pBdr>
        <w:rPr>
          <w:rFonts w:eastAsia="Calibri"/>
          <w:b/>
          <w:color w:val="000000"/>
          <w:sz w:val="22"/>
          <w:szCs w:val="22"/>
        </w:rPr>
      </w:pPr>
      <w:r w:rsidRPr="00201DA2">
        <w:rPr>
          <w:rFonts w:eastAsia="Calibri"/>
          <w:b/>
          <w:color w:val="000000"/>
          <w:sz w:val="22"/>
          <w:szCs w:val="22"/>
        </w:rPr>
        <w:t>Suggested Recommendations</w:t>
      </w:r>
    </w:p>
    <w:p w14:paraId="0630159B" w14:textId="03EDA1DD" w:rsidR="002D3E6A" w:rsidRPr="00201DA2" w:rsidRDefault="002D3E6A" w:rsidP="002D3E6A">
      <w:pPr>
        <w:pStyle w:val="ListParagraph"/>
        <w:numPr>
          <w:ilvl w:val="0"/>
          <w:numId w:val="18"/>
        </w:numPr>
        <w:pBdr>
          <w:top w:val="nil"/>
          <w:left w:val="nil"/>
          <w:bottom w:val="nil"/>
          <w:right w:val="nil"/>
          <w:between w:val="nil"/>
        </w:pBdr>
        <w:rPr>
          <w:rFonts w:eastAsia="Calibri"/>
          <w:b/>
          <w:color w:val="000000"/>
          <w:sz w:val="22"/>
          <w:szCs w:val="22"/>
        </w:rPr>
      </w:pPr>
      <w:r w:rsidRPr="00201DA2">
        <w:rPr>
          <w:rFonts w:eastAsia="Calibri"/>
          <w:color w:val="000000"/>
          <w:sz w:val="22"/>
          <w:szCs w:val="22"/>
        </w:rPr>
        <w:t xml:space="preserve">The State Party should review its policies of mandatory detention and deportation in order to allow for individualized decisions in both </w:t>
      </w:r>
      <w:r w:rsidR="00242EE3" w:rsidRPr="00201DA2">
        <w:rPr>
          <w:rFonts w:eastAsia="Calibri"/>
          <w:color w:val="000000"/>
          <w:sz w:val="22"/>
          <w:szCs w:val="22"/>
        </w:rPr>
        <w:t>instances</w:t>
      </w:r>
      <w:r w:rsidRPr="00201DA2">
        <w:rPr>
          <w:rFonts w:eastAsia="Calibri"/>
          <w:color w:val="000000"/>
          <w:sz w:val="22"/>
          <w:szCs w:val="22"/>
        </w:rPr>
        <w:t>.</w:t>
      </w:r>
    </w:p>
    <w:p w14:paraId="7E8172D8" w14:textId="77777777" w:rsidR="002D3E6A" w:rsidRPr="00201DA2" w:rsidRDefault="002D3E6A" w:rsidP="002D3E6A">
      <w:pPr>
        <w:pStyle w:val="ListParagraph"/>
        <w:numPr>
          <w:ilvl w:val="0"/>
          <w:numId w:val="18"/>
        </w:numPr>
        <w:pBdr>
          <w:top w:val="nil"/>
          <w:left w:val="nil"/>
          <w:bottom w:val="nil"/>
          <w:right w:val="nil"/>
          <w:between w:val="nil"/>
        </w:pBdr>
        <w:rPr>
          <w:rFonts w:eastAsia="Calibri"/>
          <w:b/>
          <w:color w:val="000000"/>
          <w:sz w:val="22"/>
          <w:szCs w:val="22"/>
        </w:rPr>
      </w:pPr>
      <w:r w:rsidRPr="00201DA2">
        <w:rPr>
          <w:rFonts w:eastAsia="Calibri"/>
          <w:color w:val="000000"/>
          <w:sz w:val="22"/>
          <w:szCs w:val="22"/>
        </w:rPr>
        <w:t>The State Party should reverse all policies that put at risk of refoulement refugees seeking asylum from persecution in the United States.</w:t>
      </w:r>
    </w:p>
    <w:p w14:paraId="4B198D6D" w14:textId="69E4F96A" w:rsidR="002D3E6A" w:rsidRPr="00201DA2" w:rsidRDefault="002D3E6A" w:rsidP="002D3E6A">
      <w:pPr>
        <w:pStyle w:val="ListParagraph"/>
        <w:numPr>
          <w:ilvl w:val="0"/>
          <w:numId w:val="18"/>
        </w:numPr>
        <w:pBdr>
          <w:top w:val="nil"/>
          <w:left w:val="nil"/>
          <w:bottom w:val="nil"/>
          <w:right w:val="nil"/>
          <w:between w:val="nil"/>
        </w:pBdr>
        <w:rPr>
          <w:rFonts w:eastAsia="Calibri"/>
          <w:b/>
          <w:color w:val="000000"/>
          <w:sz w:val="22"/>
          <w:szCs w:val="22"/>
        </w:rPr>
      </w:pPr>
      <w:r w:rsidRPr="00201DA2">
        <w:rPr>
          <w:rFonts w:eastAsia="Calibri"/>
          <w:color w:val="000000"/>
          <w:sz w:val="22"/>
          <w:szCs w:val="22"/>
        </w:rPr>
        <w:t xml:space="preserve">The State Party should ensure that immigration detention is only used if </w:t>
      </w:r>
      <w:r w:rsidRPr="00201DA2">
        <w:rPr>
          <w:sz w:val="22"/>
          <w:szCs w:val="22"/>
        </w:rPr>
        <w:t xml:space="preserve">reasonable, necessary and proportionate in the light of the circumstances and that there are mechanisms to reassess its proportionality as it extends in time. </w:t>
      </w:r>
      <w:bookmarkStart w:id="6" w:name="_Hlk534810124"/>
      <w:r w:rsidR="00DC2E0A" w:rsidRPr="00201DA2">
        <w:rPr>
          <w:sz w:val="22"/>
          <w:szCs w:val="22"/>
        </w:rPr>
        <w:t xml:space="preserve">The State Party should take measures to end immigration detention of persons below the age of 18 when the sole basis of detention is immigration status. </w:t>
      </w:r>
    </w:p>
    <w:bookmarkEnd w:id="6"/>
    <w:p w14:paraId="7B26C61C" w14:textId="198B1D4E" w:rsidR="00154853" w:rsidRPr="00201DA2" w:rsidRDefault="00154853" w:rsidP="00154853">
      <w:pPr>
        <w:pBdr>
          <w:top w:val="nil"/>
          <w:left w:val="nil"/>
          <w:bottom w:val="nil"/>
          <w:right w:val="nil"/>
          <w:between w:val="nil"/>
        </w:pBdr>
        <w:rPr>
          <w:rFonts w:eastAsia="Calibri"/>
          <w:b/>
          <w:color w:val="000000"/>
          <w:sz w:val="22"/>
          <w:szCs w:val="22"/>
        </w:rPr>
      </w:pPr>
    </w:p>
    <w:p w14:paraId="7B17ECA9" w14:textId="77777777" w:rsidR="001D44D1" w:rsidRPr="00201DA2" w:rsidRDefault="001D44D1" w:rsidP="001D44D1">
      <w:pPr>
        <w:jc w:val="center"/>
        <w:rPr>
          <w:b/>
          <w:sz w:val="22"/>
          <w:szCs w:val="22"/>
        </w:rPr>
      </w:pPr>
      <w:r w:rsidRPr="00201DA2">
        <w:rPr>
          <w:b/>
          <w:sz w:val="22"/>
          <w:szCs w:val="22"/>
        </w:rPr>
        <w:t>Women’s and Girls’ Health</w:t>
      </w:r>
    </w:p>
    <w:p w14:paraId="5FDF0D59" w14:textId="77777777" w:rsidR="001D44D1" w:rsidRPr="00201DA2" w:rsidRDefault="001D44D1" w:rsidP="001D44D1">
      <w:pPr>
        <w:rPr>
          <w:rFonts w:eastAsia="Calibri"/>
          <w:b/>
          <w:color w:val="000000"/>
          <w:sz w:val="22"/>
          <w:szCs w:val="22"/>
        </w:rPr>
      </w:pPr>
    </w:p>
    <w:p w14:paraId="0B0FF636" w14:textId="77777777" w:rsidR="001D44D1" w:rsidRPr="00201DA2" w:rsidRDefault="001D44D1" w:rsidP="001D44D1">
      <w:pPr>
        <w:rPr>
          <w:rFonts w:eastAsia="Calibri"/>
          <w:b/>
          <w:color w:val="000000"/>
          <w:sz w:val="22"/>
          <w:szCs w:val="22"/>
        </w:rPr>
      </w:pPr>
      <w:r w:rsidRPr="00201DA2">
        <w:rPr>
          <w:rFonts w:eastAsia="Calibri"/>
          <w:b/>
          <w:color w:val="000000"/>
          <w:sz w:val="22"/>
          <w:szCs w:val="22"/>
        </w:rPr>
        <w:t>Summary</w:t>
      </w:r>
    </w:p>
    <w:p w14:paraId="7E653826" w14:textId="481880ED" w:rsidR="001D44D1" w:rsidRPr="00201DA2" w:rsidRDefault="001D44D1" w:rsidP="001D44D1">
      <w:pPr>
        <w:rPr>
          <w:rFonts w:eastAsia="Calibri"/>
          <w:color w:val="000000"/>
          <w:sz w:val="22"/>
          <w:szCs w:val="22"/>
        </w:rPr>
      </w:pPr>
      <w:r w:rsidRPr="00201DA2">
        <w:rPr>
          <w:rFonts w:eastAsia="Calibri"/>
          <w:color w:val="000000"/>
          <w:sz w:val="22"/>
          <w:szCs w:val="22"/>
        </w:rPr>
        <w:t xml:space="preserve">The United States has </w:t>
      </w:r>
      <w:r w:rsidR="0018072E" w:rsidRPr="00201DA2">
        <w:rPr>
          <w:rFonts w:eastAsia="Calibri"/>
          <w:color w:val="000000"/>
          <w:sz w:val="22"/>
          <w:szCs w:val="22"/>
        </w:rPr>
        <w:t xml:space="preserve">a </w:t>
      </w:r>
      <w:r w:rsidRPr="00201DA2">
        <w:rPr>
          <w:rFonts w:eastAsia="Calibri"/>
          <w:color w:val="000000"/>
          <w:sz w:val="22"/>
          <w:szCs w:val="22"/>
        </w:rPr>
        <w:t>patchwork of healthcare coverage and access</w:t>
      </w:r>
      <w:r w:rsidR="00BF4AE9" w:rsidRPr="00201DA2">
        <w:rPr>
          <w:rFonts w:eastAsia="Calibri"/>
          <w:color w:val="000000"/>
          <w:sz w:val="22"/>
          <w:szCs w:val="22"/>
        </w:rPr>
        <w:t xml:space="preserve"> that</w:t>
      </w:r>
      <w:r w:rsidRPr="00201DA2">
        <w:rPr>
          <w:rFonts w:eastAsia="Calibri"/>
          <w:color w:val="000000"/>
          <w:sz w:val="22"/>
          <w:szCs w:val="22"/>
        </w:rPr>
        <w:t xml:space="preserve"> leaves many women and girls uninsured, and </w:t>
      </w:r>
      <w:r w:rsidR="0081159F" w:rsidRPr="00201DA2">
        <w:rPr>
          <w:rFonts w:eastAsia="Calibri"/>
          <w:color w:val="000000"/>
          <w:sz w:val="22"/>
          <w:szCs w:val="22"/>
        </w:rPr>
        <w:t xml:space="preserve">contributes to an </w:t>
      </w:r>
      <w:r w:rsidRPr="00201DA2">
        <w:rPr>
          <w:rFonts w:eastAsia="Calibri"/>
          <w:color w:val="000000"/>
          <w:sz w:val="22"/>
          <w:szCs w:val="22"/>
        </w:rPr>
        <w:t>environment where women die at high rates, compared to other similarly resourced countries, from preventable maternal and gynecological cancer related deaths. Recently, state and federal authorities have adopted a variety of laws and policies that further threaten women</w:t>
      </w:r>
      <w:r w:rsidR="0081159F" w:rsidRPr="00201DA2">
        <w:rPr>
          <w:rFonts w:eastAsia="Calibri"/>
          <w:color w:val="000000"/>
          <w:sz w:val="22"/>
          <w:szCs w:val="22"/>
        </w:rPr>
        <w:t>’s</w:t>
      </w:r>
      <w:r w:rsidRPr="00201DA2">
        <w:rPr>
          <w:rFonts w:eastAsia="Calibri"/>
          <w:color w:val="000000"/>
          <w:sz w:val="22"/>
          <w:szCs w:val="22"/>
        </w:rPr>
        <w:t xml:space="preserve"> and girls’ rights to</w:t>
      </w:r>
      <w:r w:rsidRPr="00201DA2">
        <w:rPr>
          <w:sz w:val="22"/>
          <w:szCs w:val="22"/>
        </w:rPr>
        <w:t xml:space="preserve"> health. </w:t>
      </w:r>
    </w:p>
    <w:p w14:paraId="0C281566" w14:textId="77777777" w:rsidR="001D44D1" w:rsidRPr="00201DA2" w:rsidRDefault="001D44D1" w:rsidP="001D44D1">
      <w:pPr>
        <w:rPr>
          <w:rFonts w:eastAsia="Calibri"/>
          <w:color w:val="000000"/>
          <w:sz w:val="22"/>
          <w:szCs w:val="22"/>
        </w:rPr>
      </w:pPr>
    </w:p>
    <w:p w14:paraId="78C9ACD0" w14:textId="77777777" w:rsidR="001D44D1" w:rsidRPr="00201DA2" w:rsidRDefault="001D44D1" w:rsidP="001D44D1">
      <w:pPr>
        <w:rPr>
          <w:rFonts w:eastAsia="Calibri"/>
          <w:b/>
          <w:color w:val="000000"/>
          <w:sz w:val="22"/>
          <w:szCs w:val="22"/>
          <w:lang w:val="fr-FR"/>
        </w:rPr>
      </w:pPr>
      <w:r w:rsidRPr="00201DA2">
        <w:rPr>
          <w:rFonts w:eastAsia="Calibri"/>
          <w:b/>
          <w:color w:val="000000"/>
          <w:sz w:val="22"/>
          <w:szCs w:val="22"/>
          <w:lang w:val="fr-FR"/>
        </w:rPr>
        <w:t>Relevant ICCPR Articles</w:t>
      </w:r>
    </w:p>
    <w:p w14:paraId="6BF7A1B1" w14:textId="77777777" w:rsidR="001D44D1" w:rsidRPr="00201DA2" w:rsidRDefault="001D44D1" w:rsidP="001D44D1">
      <w:pPr>
        <w:rPr>
          <w:rFonts w:eastAsia="Calibri"/>
          <w:color w:val="000000"/>
          <w:sz w:val="22"/>
          <w:szCs w:val="22"/>
          <w:lang w:val="fr-FR"/>
        </w:rPr>
      </w:pPr>
      <w:r w:rsidRPr="00201DA2">
        <w:rPr>
          <w:rFonts w:eastAsia="Calibri"/>
          <w:color w:val="000000"/>
          <w:sz w:val="22"/>
          <w:szCs w:val="22"/>
          <w:lang w:val="fr-FR"/>
        </w:rPr>
        <w:t>Articles 2, 3, 6 and 26.</w:t>
      </w:r>
    </w:p>
    <w:p w14:paraId="16030681" w14:textId="77777777" w:rsidR="001D44D1" w:rsidRPr="00201DA2" w:rsidRDefault="001D44D1" w:rsidP="001D44D1">
      <w:pPr>
        <w:rPr>
          <w:rFonts w:eastAsia="Calibri"/>
          <w:color w:val="000000"/>
          <w:sz w:val="22"/>
          <w:szCs w:val="22"/>
          <w:lang w:val="fr-FR"/>
        </w:rPr>
      </w:pPr>
    </w:p>
    <w:p w14:paraId="0D1D3871" w14:textId="77777777" w:rsidR="001D44D1" w:rsidRPr="00201DA2" w:rsidRDefault="001D44D1" w:rsidP="001D44D1">
      <w:pPr>
        <w:rPr>
          <w:rFonts w:eastAsia="Calibri"/>
          <w:b/>
          <w:color w:val="000000"/>
          <w:sz w:val="22"/>
          <w:szCs w:val="22"/>
        </w:rPr>
      </w:pPr>
      <w:r w:rsidRPr="00201DA2">
        <w:rPr>
          <w:rFonts w:eastAsia="Calibri"/>
          <w:b/>
          <w:color w:val="000000"/>
          <w:sz w:val="22"/>
          <w:szCs w:val="22"/>
        </w:rPr>
        <w:t>Prior Recommendations</w:t>
      </w:r>
    </w:p>
    <w:p w14:paraId="350AF5A8" w14:textId="2BBD0AA9" w:rsidR="001D44D1" w:rsidRPr="00201DA2" w:rsidRDefault="001D44D1" w:rsidP="001D44D1">
      <w:pPr>
        <w:pStyle w:val="ListParagraph"/>
        <w:numPr>
          <w:ilvl w:val="0"/>
          <w:numId w:val="20"/>
        </w:numPr>
        <w:jc w:val="both"/>
        <w:rPr>
          <w:sz w:val="22"/>
          <w:szCs w:val="22"/>
        </w:rPr>
      </w:pPr>
      <w:r w:rsidRPr="00201DA2">
        <w:rPr>
          <w:rFonts w:eastAsia="Calibri"/>
          <w:color w:val="000000"/>
          <w:sz w:val="22"/>
          <w:szCs w:val="22"/>
        </w:rPr>
        <w:t>In its 2006 Concluding Observations, the Committee recommended that the United States, “</w:t>
      </w:r>
      <w:r w:rsidRPr="00201DA2">
        <w:rPr>
          <w:sz w:val="22"/>
          <w:szCs w:val="22"/>
        </w:rPr>
        <w:t>should take all steps necessary, including at state level, to ensure the equality of women before the law and equal protection of the law, as well as effective protection against discrimination on the ground of sex, in particular in the area of employment.” (para. 28)</w:t>
      </w:r>
      <w:r w:rsidR="00343CE7" w:rsidRPr="00201DA2">
        <w:rPr>
          <w:sz w:val="22"/>
          <w:szCs w:val="22"/>
        </w:rPr>
        <w:t>.</w:t>
      </w:r>
    </w:p>
    <w:p w14:paraId="007F0720" w14:textId="77777777" w:rsidR="001D44D1" w:rsidRPr="00201DA2" w:rsidRDefault="001D44D1" w:rsidP="001D44D1">
      <w:pPr>
        <w:ind w:left="1440" w:hanging="720"/>
        <w:rPr>
          <w:rFonts w:eastAsia="Calibri"/>
          <w:color w:val="000000"/>
          <w:sz w:val="22"/>
          <w:szCs w:val="22"/>
        </w:rPr>
      </w:pPr>
    </w:p>
    <w:p w14:paraId="244108FB" w14:textId="77777777" w:rsidR="001D44D1" w:rsidRPr="00201DA2" w:rsidRDefault="001D44D1" w:rsidP="001D44D1">
      <w:pPr>
        <w:rPr>
          <w:rFonts w:eastAsia="Calibri"/>
          <w:b/>
          <w:color w:val="000000"/>
          <w:sz w:val="22"/>
          <w:szCs w:val="22"/>
        </w:rPr>
      </w:pPr>
      <w:r w:rsidRPr="00201DA2">
        <w:rPr>
          <w:rFonts w:eastAsia="Calibri"/>
          <w:b/>
          <w:sz w:val="22"/>
          <w:szCs w:val="22"/>
        </w:rPr>
        <w:t xml:space="preserve">Current </w:t>
      </w:r>
      <w:r w:rsidRPr="00201DA2">
        <w:rPr>
          <w:rFonts w:eastAsia="Calibri"/>
          <w:b/>
          <w:color w:val="000000"/>
          <w:sz w:val="22"/>
          <w:szCs w:val="22"/>
        </w:rPr>
        <w:t xml:space="preserve">US Government Policy or Practice </w:t>
      </w:r>
    </w:p>
    <w:p w14:paraId="6E023B0E" w14:textId="652D6CD0" w:rsidR="001D44D1" w:rsidRPr="00201DA2" w:rsidRDefault="001D44D1" w:rsidP="001D44D1">
      <w:pPr>
        <w:rPr>
          <w:sz w:val="22"/>
          <w:szCs w:val="22"/>
        </w:rPr>
      </w:pPr>
      <w:r w:rsidRPr="00201DA2">
        <w:rPr>
          <w:sz w:val="22"/>
          <w:szCs w:val="22"/>
        </w:rPr>
        <w:t xml:space="preserve">This Committee raised concerns in 2014 that the Affordable Care Act (ACA) did not extend healthcare coverage to millions of undocumented immigrants. The ACA did however create access to care for millions of people. States that expanded Medicaid eligibility saw the greatest gains in coverage. The ACA has been targeted consistently for repeal, and </w:t>
      </w:r>
      <w:bookmarkStart w:id="7" w:name="_Hlk534810273"/>
      <w:r w:rsidRPr="00201DA2">
        <w:rPr>
          <w:sz w:val="22"/>
          <w:szCs w:val="22"/>
        </w:rPr>
        <w:t xml:space="preserve">a tax reform that eliminated the individual mandate could </w:t>
      </w:r>
      <w:r w:rsidRPr="00201DA2">
        <w:rPr>
          <w:sz w:val="22"/>
          <w:szCs w:val="22"/>
        </w:rPr>
        <w:lastRenderedPageBreak/>
        <w:t>lead to 13 million people to be without insurance coverage.</w:t>
      </w:r>
      <w:r w:rsidR="001A628A" w:rsidRPr="00201DA2">
        <w:rPr>
          <w:rStyle w:val="FootnoteReference"/>
          <w:sz w:val="22"/>
          <w:szCs w:val="22"/>
        </w:rPr>
        <w:footnoteReference w:id="89"/>
      </w:r>
      <w:r w:rsidRPr="00201DA2">
        <w:rPr>
          <w:sz w:val="22"/>
          <w:szCs w:val="22"/>
        </w:rPr>
        <w:t xml:space="preserve"> In addition, the Medicaid program, private insurance subsidies, non-discrimination protections for lesbian, gay, bisexual, and transgender (LGBT) people, and other key elements of the ACA were targets of federal and state action to restrict access to health care. Many states, with federal support, have imposed or are seeking waivers to impose work requirements, drug testing, and other barriers to Medicaid eligibility for low income individuals. </w:t>
      </w:r>
      <w:bookmarkEnd w:id="7"/>
    </w:p>
    <w:p w14:paraId="66A0846D" w14:textId="77777777" w:rsidR="001D44D1" w:rsidRPr="00201DA2" w:rsidRDefault="001D44D1" w:rsidP="001D44D1">
      <w:pPr>
        <w:rPr>
          <w:sz w:val="22"/>
          <w:szCs w:val="22"/>
        </w:rPr>
      </w:pPr>
    </w:p>
    <w:p w14:paraId="37054741" w14:textId="77777777" w:rsidR="001D44D1" w:rsidRPr="00201DA2" w:rsidRDefault="001D44D1" w:rsidP="001D44D1">
      <w:pPr>
        <w:rPr>
          <w:sz w:val="22"/>
          <w:szCs w:val="22"/>
        </w:rPr>
      </w:pPr>
      <w:r w:rsidRPr="00201DA2">
        <w:rPr>
          <w:sz w:val="22"/>
          <w:szCs w:val="22"/>
        </w:rPr>
        <w:t>Human Rights Watch documented the harmful effects of the Trump administration’s policies on access to health care for LGBT individuals, including strengthening of moral and religious objections to provision of health care without adequate consideration of protections from discrimination and the barriers to health care, including HIV prevention and treatment, for transgender women in the US.</w:t>
      </w:r>
    </w:p>
    <w:p w14:paraId="608B538A" w14:textId="77777777" w:rsidR="001D44D1" w:rsidRPr="00201DA2" w:rsidRDefault="001D44D1" w:rsidP="001D44D1">
      <w:pPr>
        <w:rPr>
          <w:sz w:val="22"/>
          <w:szCs w:val="22"/>
        </w:rPr>
      </w:pPr>
    </w:p>
    <w:p w14:paraId="5C10C78C" w14:textId="233B78B4" w:rsidR="001D44D1" w:rsidRPr="00201DA2" w:rsidRDefault="001D44D1" w:rsidP="001D44D1">
      <w:pPr>
        <w:rPr>
          <w:sz w:val="22"/>
          <w:szCs w:val="22"/>
        </w:rPr>
      </w:pPr>
      <w:r w:rsidRPr="00201DA2">
        <w:rPr>
          <w:sz w:val="22"/>
          <w:szCs w:val="22"/>
        </w:rPr>
        <w:t xml:space="preserve">Human Rights Watch has </w:t>
      </w:r>
      <w:r w:rsidRPr="00201DA2">
        <w:rPr>
          <w:rStyle w:val="Hyperlink"/>
          <w:color w:val="auto"/>
          <w:sz w:val="22"/>
          <w:szCs w:val="22"/>
          <w:u w:val="none"/>
        </w:rPr>
        <w:t>also documented</w:t>
      </w:r>
      <w:r w:rsidR="00EA0D67" w:rsidRPr="00201DA2">
        <w:rPr>
          <w:rStyle w:val="FootnoteReference"/>
          <w:sz w:val="22"/>
          <w:szCs w:val="22"/>
        </w:rPr>
        <w:footnoteReference w:id="90"/>
      </w:r>
      <w:r w:rsidRPr="00201DA2">
        <w:rPr>
          <w:sz w:val="22"/>
          <w:szCs w:val="22"/>
        </w:rPr>
        <w:t xml:space="preserve"> how failure to expand Medicaid eligibility, along with a mix of other policies and practices, in Alabama, has </w:t>
      </w:r>
      <w:r w:rsidR="0081159F" w:rsidRPr="00201DA2">
        <w:rPr>
          <w:sz w:val="22"/>
          <w:szCs w:val="22"/>
        </w:rPr>
        <w:t>contributed to</w:t>
      </w:r>
      <w:r w:rsidRPr="00201DA2">
        <w:rPr>
          <w:sz w:val="22"/>
          <w:szCs w:val="22"/>
        </w:rPr>
        <w:t xml:space="preserve"> a high rate of preventable cervical cancer deaths that disproportionately impacts Black women in the state. The Alabama public health care system is not structured to ensure consistent access to care for poor women. </w:t>
      </w:r>
      <w:bookmarkStart w:id="8" w:name="_Hlk534810301"/>
      <w:r w:rsidRPr="00201DA2">
        <w:rPr>
          <w:sz w:val="22"/>
          <w:szCs w:val="22"/>
        </w:rPr>
        <w:t>Alabama, along with Texas, has the lowest Medicaid eligibility levels in the nation and is seeking a waiver to make eligibility even more difficult.</w:t>
      </w:r>
      <w:r w:rsidR="00A34A75" w:rsidRPr="00201DA2">
        <w:rPr>
          <w:rStyle w:val="FootnoteReference"/>
          <w:sz w:val="22"/>
          <w:szCs w:val="22"/>
        </w:rPr>
        <w:footnoteReference w:id="91"/>
      </w:r>
    </w:p>
    <w:p w14:paraId="0AC42DB7" w14:textId="77777777" w:rsidR="001D44D1" w:rsidRPr="00201DA2" w:rsidRDefault="001D44D1" w:rsidP="001D44D1">
      <w:pPr>
        <w:rPr>
          <w:sz w:val="22"/>
          <w:szCs w:val="22"/>
        </w:rPr>
      </w:pPr>
    </w:p>
    <w:bookmarkEnd w:id="8"/>
    <w:p w14:paraId="231A6F84" w14:textId="22C269A5" w:rsidR="001D44D1" w:rsidRPr="00201DA2" w:rsidRDefault="001D44D1" w:rsidP="001D44D1">
      <w:pPr>
        <w:rPr>
          <w:sz w:val="22"/>
          <w:szCs w:val="22"/>
        </w:rPr>
      </w:pPr>
      <w:r w:rsidRPr="00201DA2">
        <w:rPr>
          <w:sz w:val="22"/>
          <w:szCs w:val="22"/>
        </w:rPr>
        <w:t xml:space="preserve">The US is also taking steps </w:t>
      </w:r>
      <w:r w:rsidR="0081159F" w:rsidRPr="00201DA2">
        <w:rPr>
          <w:sz w:val="22"/>
          <w:szCs w:val="22"/>
        </w:rPr>
        <w:t xml:space="preserve">that would </w:t>
      </w:r>
      <w:r w:rsidRPr="00201DA2">
        <w:rPr>
          <w:sz w:val="22"/>
          <w:szCs w:val="22"/>
        </w:rPr>
        <w:t xml:space="preserve">reduce access to other safety net programs and insurance coverage for reproductive healthcare services or </w:t>
      </w:r>
      <w:r w:rsidR="0081159F" w:rsidRPr="00201DA2">
        <w:rPr>
          <w:sz w:val="22"/>
          <w:szCs w:val="22"/>
        </w:rPr>
        <w:t xml:space="preserve">which would </w:t>
      </w:r>
      <w:r w:rsidRPr="00201DA2">
        <w:rPr>
          <w:sz w:val="22"/>
          <w:szCs w:val="22"/>
        </w:rPr>
        <w:t xml:space="preserve">allow discrimination in the healthcare system. </w:t>
      </w:r>
    </w:p>
    <w:p w14:paraId="4834F0F8" w14:textId="77777777" w:rsidR="001D44D1" w:rsidRPr="00201DA2" w:rsidRDefault="001D44D1" w:rsidP="001D44D1">
      <w:pPr>
        <w:rPr>
          <w:sz w:val="22"/>
          <w:szCs w:val="22"/>
        </w:rPr>
      </w:pPr>
    </w:p>
    <w:p w14:paraId="320D4804" w14:textId="17112A4C" w:rsidR="001D44D1" w:rsidRPr="00201DA2" w:rsidRDefault="001D44D1" w:rsidP="001D44D1">
      <w:pPr>
        <w:rPr>
          <w:sz w:val="22"/>
          <w:szCs w:val="22"/>
        </w:rPr>
      </w:pPr>
      <w:bookmarkStart w:id="9" w:name="_Hlk534810327"/>
      <w:r w:rsidRPr="00201DA2">
        <w:rPr>
          <w:sz w:val="22"/>
          <w:szCs w:val="22"/>
        </w:rPr>
        <w:t>Congress passed legislation in 2017 making it easier for states to restrict Title X grants by creating eligibility requirements that could exclude certain family planning providers, like Planned Parenthood.</w:t>
      </w:r>
      <w:r w:rsidR="00A34A75" w:rsidRPr="00201DA2">
        <w:rPr>
          <w:rStyle w:val="FootnoteReference"/>
          <w:sz w:val="22"/>
          <w:szCs w:val="22"/>
        </w:rPr>
        <w:footnoteReference w:id="92"/>
      </w:r>
      <w:r w:rsidRPr="00201DA2">
        <w:rPr>
          <w:sz w:val="22"/>
          <w:szCs w:val="22"/>
        </w:rPr>
        <w:t xml:space="preserve"> </w:t>
      </w:r>
      <w:bookmarkEnd w:id="9"/>
      <w:r w:rsidRPr="00201DA2">
        <w:rPr>
          <w:sz w:val="22"/>
          <w:szCs w:val="22"/>
        </w:rPr>
        <w:t xml:space="preserve">Title X is a national family planning program that funds services to more than 4 million Americans. The Department of Health and Human Services (HHS) </w:t>
      </w:r>
      <w:r w:rsidRPr="00201DA2">
        <w:rPr>
          <w:rStyle w:val="Hyperlink"/>
          <w:color w:val="auto"/>
          <w:sz w:val="22"/>
          <w:szCs w:val="22"/>
          <w:u w:val="none"/>
        </w:rPr>
        <w:t>proposed a “gag” rule</w:t>
      </w:r>
      <w:r w:rsidRPr="00201DA2">
        <w:rPr>
          <w:sz w:val="22"/>
          <w:szCs w:val="22"/>
        </w:rPr>
        <w:t xml:space="preserve"> in May to stop doctors receiving Title X funding from giving women the full range of pregnancy options and to eliminate a requirement that doctors give neutral and factual information to pregnant women.</w:t>
      </w:r>
      <w:r w:rsidR="00EA0D67" w:rsidRPr="00201DA2">
        <w:rPr>
          <w:rStyle w:val="FootnoteReference"/>
          <w:sz w:val="22"/>
          <w:szCs w:val="22"/>
        </w:rPr>
        <w:footnoteReference w:id="93"/>
      </w:r>
      <w:r w:rsidRPr="00201DA2">
        <w:rPr>
          <w:sz w:val="22"/>
          <w:szCs w:val="22"/>
        </w:rPr>
        <w:t xml:space="preserve"> </w:t>
      </w:r>
    </w:p>
    <w:p w14:paraId="429086D6" w14:textId="77777777" w:rsidR="001D44D1" w:rsidRPr="00201DA2" w:rsidRDefault="001D44D1" w:rsidP="001D44D1">
      <w:pPr>
        <w:rPr>
          <w:sz w:val="22"/>
          <w:szCs w:val="22"/>
        </w:rPr>
      </w:pPr>
    </w:p>
    <w:p w14:paraId="3D91A139" w14:textId="7E04522B" w:rsidR="001D44D1" w:rsidRPr="00201DA2" w:rsidRDefault="001D44D1" w:rsidP="001D44D1">
      <w:pPr>
        <w:rPr>
          <w:sz w:val="22"/>
          <w:szCs w:val="22"/>
        </w:rPr>
      </w:pPr>
      <w:r w:rsidRPr="00201DA2">
        <w:rPr>
          <w:sz w:val="22"/>
          <w:szCs w:val="22"/>
        </w:rPr>
        <w:t xml:space="preserve">In 2017, HHS issued a rule exempting nearly any employer claiming </w:t>
      </w:r>
      <w:r w:rsidRPr="00201DA2">
        <w:rPr>
          <w:rStyle w:val="Hyperlink"/>
          <w:color w:val="auto"/>
          <w:sz w:val="22"/>
          <w:szCs w:val="22"/>
          <w:u w:val="none"/>
        </w:rPr>
        <w:t>religious</w:t>
      </w:r>
      <w:r w:rsidR="00F2644D" w:rsidRPr="00201DA2">
        <w:rPr>
          <w:rStyle w:val="FootnoteReference"/>
          <w:sz w:val="22"/>
          <w:szCs w:val="22"/>
        </w:rPr>
        <w:footnoteReference w:id="94"/>
      </w:r>
      <w:r w:rsidRPr="00201DA2">
        <w:rPr>
          <w:sz w:val="22"/>
          <w:szCs w:val="22"/>
        </w:rPr>
        <w:t xml:space="preserve"> or </w:t>
      </w:r>
      <w:r w:rsidRPr="00201DA2">
        <w:rPr>
          <w:rStyle w:val="Hyperlink"/>
          <w:color w:val="auto"/>
          <w:sz w:val="22"/>
          <w:szCs w:val="22"/>
          <w:u w:val="none"/>
        </w:rPr>
        <w:t>moral</w:t>
      </w:r>
      <w:r w:rsidR="00000BC6" w:rsidRPr="00201DA2">
        <w:rPr>
          <w:rStyle w:val="FootnoteReference"/>
          <w:sz w:val="22"/>
          <w:szCs w:val="22"/>
        </w:rPr>
        <w:footnoteReference w:id="95"/>
      </w:r>
      <w:r w:rsidRPr="00201DA2">
        <w:rPr>
          <w:sz w:val="22"/>
          <w:szCs w:val="22"/>
        </w:rPr>
        <w:t xml:space="preserve"> objections to birth control from the ACA’s requirement that they provide contraceptive coverage as part of their employee health insurance plans. In March 2018, it proposed </w:t>
      </w:r>
      <w:r w:rsidRPr="00201DA2">
        <w:rPr>
          <w:rStyle w:val="Hyperlink"/>
          <w:color w:val="auto"/>
          <w:sz w:val="22"/>
          <w:szCs w:val="22"/>
          <w:u w:val="none"/>
        </w:rPr>
        <w:t>another rule</w:t>
      </w:r>
      <w:r w:rsidRPr="00201DA2">
        <w:rPr>
          <w:sz w:val="22"/>
          <w:szCs w:val="22"/>
        </w:rPr>
        <w:t xml:space="preserve"> that would dramatically expand healthcare providers’ ability to turn away patients based on religious or moral objections, including women seeking reproductive health services and lesbian, gay, bisexual, and transgender people.</w:t>
      </w:r>
      <w:r w:rsidR="00537285" w:rsidRPr="00201DA2">
        <w:rPr>
          <w:rStyle w:val="FootnoteReference"/>
          <w:sz w:val="22"/>
          <w:szCs w:val="22"/>
        </w:rPr>
        <w:footnoteReference w:id="96"/>
      </w:r>
      <w:r w:rsidRPr="00201DA2">
        <w:rPr>
          <w:sz w:val="22"/>
          <w:szCs w:val="22"/>
        </w:rPr>
        <w:t xml:space="preserve"> At time of writing, the rule had not been finalized. </w:t>
      </w:r>
    </w:p>
    <w:p w14:paraId="16E2ED9D" w14:textId="77777777" w:rsidR="001D44D1" w:rsidRPr="00201DA2" w:rsidRDefault="001D44D1" w:rsidP="001D44D1">
      <w:pPr>
        <w:rPr>
          <w:sz w:val="22"/>
          <w:szCs w:val="22"/>
        </w:rPr>
      </w:pPr>
    </w:p>
    <w:p w14:paraId="1AC254B6" w14:textId="6D04A705" w:rsidR="001D44D1" w:rsidRPr="00201DA2" w:rsidRDefault="001D44D1" w:rsidP="001D44D1">
      <w:pPr>
        <w:rPr>
          <w:sz w:val="22"/>
          <w:szCs w:val="22"/>
        </w:rPr>
      </w:pPr>
      <w:r w:rsidRPr="00201DA2">
        <w:rPr>
          <w:sz w:val="22"/>
          <w:szCs w:val="22"/>
        </w:rPr>
        <w:t>This is coupled with actions taken at the state</w:t>
      </w:r>
      <w:r w:rsidR="0081159F" w:rsidRPr="00201DA2">
        <w:rPr>
          <w:sz w:val="22"/>
          <w:szCs w:val="22"/>
        </w:rPr>
        <w:t xml:space="preserve"> </w:t>
      </w:r>
      <w:r w:rsidRPr="00201DA2">
        <w:rPr>
          <w:sz w:val="22"/>
          <w:szCs w:val="22"/>
        </w:rPr>
        <w:t xml:space="preserve">level in several jurisdictions to </w:t>
      </w:r>
      <w:r w:rsidRPr="00201DA2">
        <w:rPr>
          <w:rStyle w:val="Hyperlink"/>
          <w:color w:val="auto"/>
          <w:sz w:val="22"/>
          <w:szCs w:val="22"/>
          <w:u w:val="none"/>
        </w:rPr>
        <w:t>adopt</w:t>
      </w:r>
      <w:r w:rsidRPr="00201DA2">
        <w:rPr>
          <w:sz w:val="22"/>
          <w:szCs w:val="22"/>
        </w:rPr>
        <w:t xml:space="preserve"> highly restrictive laws on abortion and reproductive health.</w:t>
      </w:r>
      <w:r w:rsidR="00537285" w:rsidRPr="00201DA2">
        <w:rPr>
          <w:rStyle w:val="FootnoteReference"/>
          <w:sz w:val="22"/>
          <w:szCs w:val="22"/>
        </w:rPr>
        <w:footnoteReference w:id="97"/>
      </w:r>
      <w:r w:rsidRPr="00201DA2">
        <w:rPr>
          <w:sz w:val="22"/>
          <w:szCs w:val="22"/>
        </w:rPr>
        <w:t xml:space="preserve"> </w:t>
      </w:r>
    </w:p>
    <w:p w14:paraId="2C389832" w14:textId="77777777" w:rsidR="001D44D1" w:rsidRPr="00201DA2" w:rsidRDefault="001D44D1" w:rsidP="001D44D1">
      <w:pPr>
        <w:rPr>
          <w:sz w:val="22"/>
          <w:szCs w:val="22"/>
        </w:rPr>
      </w:pPr>
    </w:p>
    <w:p w14:paraId="123373FC" w14:textId="5EAA0AD8" w:rsidR="001D44D1" w:rsidRPr="00201DA2" w:rsidRDefault="001D44D1" w:rsidP="001D44D1">
      <w:pPr>
        <w:rPr>
          <w:sz w:val="22"/>
          <w:szCs w:val="22"/>
        </w:rPr>
      </w:pPr>
      <w:r w:rsidRPr="00201DA2">
        <w:rPr>
          <w:sz w:val="22"/>
          <w:szCs w:val="22"/>
        </w:rPr>
        <w:lastRenderedPageBreak/>
        <w:t xml:space="preserve">The US has also adopted a policy that strips US health funding from foreign nongovernmental organizations if they use funds from any source to supply information about abortions, provide abortions, or advocate to liberalize abortion laws. </w:t>
      </w:r>
      <w:bookmarkStart w:id="10" w:name="_Hlk534810349"/>
      <w:r w:rsidRPr="00201DA2">
        <w:rPr>
          <w:sz w:val="22"/>
          <w:szCs w:val="22"/>
        </w:rPr>
        <w:t>Human Rights Watch research in 2017 demonstrated that some organizations providing essential health services are already reporting negative impacts.</w:t>
      </w:r>
      <w:bookmarkEnd w:id="10"/>
      <w:r w:rsidR="005D1B78" w:rsidRPr="00201DA2">
        <w:rPr>
          <w:rStyle w:val="FootnoteReference"/>
          <w:sz w:val="22"/>
          <w:szCs w:val="22"/>
        </w:rPr>
        <w:footnoteReference w:id="98"/>
      </w:r>
    </w:p>
    <w:p w14:paraId="5AF53867" w14:textId="77777777" w:rsidR="001D44D1" w:rsidRPr="00201DA2" w:rsidRDefault="001D44D1" w:rsidP="001D44D1">
      <w:pPr>
        <w:ind w:left="1440" w:hanging="720"/>
        <w:rPr>
          <w:rFonts w:eastAsia="Calibri"/>
          <w:color w:val="000000"/>
          <w:sz w:val="22"/>
          <w:szCs w:val="22"/>
        </w:rPr>
      </w:pPr>
    </w:p>
    <w:p w14:paraId="0C81A78E" w14:textId="77777777" w:rsidR="001D44D1" w:rsidRPr="00201DA2" w:rsidRDefault="001D44D1" w:rsidP="001D44D1">
      <w:pPr>
        <w:rPr>
          <w:rFonts w:eastAsia="Calibri"/>
          <w:b/>
          <w:color w:val="000000"/>
          <w:sz w:val="22"/>
          <w:szCs w:val="22"/>
        </w:rPr>
      </w:pPr>
      <w:r w:rsidRPr="00201DA2">
        <w:rPr>
          <w:rFonts w:eastAsia="Calibri"/>
          <w:b/>
          <w:color w:val="000000"/>
          <w:sz w:val="22"/>
          <w:szCs w:val="22"/>
        </w:rPr>
        <w:t>Human Rights Committee General Comments and Related UN Body Recommendations</w:t>
      </w:r>
    </w:p>
    <w:p w14:paraId="6505A7C8" w14:textId="444205FC" w:rsidR="001D44D1" w:rsidRPr="00201DA2" w:rsidRDefault="001D44D1" w:rsidP="001D44D1">
      <w:pPr>
        <w:rPr>
          <w:rFonts w:eastAsia="Calibri"/>
          <w:color w:val="000000"/>
          <w:sz w:val="22"/>
          <w:szCs w:val="22"/>
        </w:rPr>
      </w:pPr>
      <w:r w:rsidRPr="00201DA2">
        <w:rPr>
          <w:sz w:val="22"/>
          <w:szCs w:val="22"/>
        </w:rPr>
        <w:t>The right to health is inseparable from provisions on the right to life and the right to be free from discrimination, protections included the ICCPR. The Committee, in its most recent General</w:t>
      </w:r>
      <w:r w:rsidRPr="00201DA2">
        <w:rPr>
          <w:color w:val="444444"/>
          <w:sz w:val="22"/>
          <w:szCs w:val="22"/>
        </w:rPr>
        <w:t xml:space="preserve"> Comment 36, stated clearly that “</w:t>
      </w:r>
      <w:r w:rsidRPr="00201DA2">
        <w:rPr>
          <w:rFonts w:eastAsia="Calibri"/>
          <w:color w:val="000000"/>
          <w:sz w:val="22"/>
          <w:szCs w:val="22"/>
        </w:rPr>
        <w:t>The duty to protect life also implies that States parties should take appropriate measures to address the general conditions in society that may give rise to direct threats to life or prevent individuals from enjoying their right to life with dignity.”</w:t>
      </w:r>
      <w:r w:rsidRPr="00201DA2">
        <w:rPr>
          <w:rStyle w:val="FootnoteReference"/>
          <w:rFonts w:eastAsia="Calibri"/>
          <w:color w:val="000000"/>
          <w:sz w:val="22"/>
          <w:szCs w:val="22"/>
        </w:rPr>
        <w:footnoteReference w:id="99"/>
      </w:r>
      <w:r w:rsidRPr="00201DA2">
        <w:rPr>
          <w:rFonts w:eastAsia="Calibri"/>
          <w:color w:val="000000"/>
          <w:sz w:val="22"/>
          <w:szCs w:val="22"/>
        </w:rPr>
        <w:t xml:space="preserve"> The Committee further states these general conditions may include health</w:t>
      </w:r>
      <w:r w:rsidR="009373B6" w:rsidRPr="00201DA2">
        <w:rPr>
          <w:rFonts w:eastAsia="Calibri"/>
          <w:color w:val="000000"/>
          <w:sz w:val="22"/>
          <w:szCs w:val="22"/>
        </w:rPr>
        <w:t xml:space="preserve"> </w:t>
      </w:r>
      <w:r w:rsidRPr="00201DA2">
        <w:rPr>
          <w:rFonts w:eastAsia="Calibri"/>
          <w:color w:val="000000"/>
          <w:sz w:val="22"/>
          <w:szCs w:val="22"/>
        </w:rPr>
        <w:t xml:space="preserve">care and that </w:t>
      </w:r>
      <w:r w:rsidR="009373B6" w:rsidRPr="00201DA2">
        <w:rPr>
          <w:rFonts w:eastAsia="Calibri"/>
          <w:color w:val="000000"/>
          <w:sz w:val="22"/>
          <w:szCs w:val="22"/>
        </w:rPr>
        <w:t>the right to life may</w:t>
      </w:r>
      <w:r w:rsidRPr="00201DA2">
        <w:rPr>
          <w:rFonts w:eastAsia="Calibri"/>
          <w:color w:val="000000"/>
          <w:sz w:val="22"/>
          <w:szCs w:val="22"/>
        </w:rPr>
        <w:t xml:space="preserve"> </w:t>
      </w:r>
      <w:r w:rsidR="009373B6" w:rsidRPr="00201DA2">
        <w:rPr>
          <w:rFonts w:eastAsia="Calibri"/>
          <w:color w:val="000000"/>
          <w:sz w:val="22"/>
          <w:szCs w:val="22"/>
        </w:rPr>
        <w:t>require</w:t>
      </w:r>
      <w:r w:rsidRPr="00201DA2">
        <w:rPr>
          <w:rFonts w:eastAsia="Calibri"/>
          <w:color w:val="000000"/>
          <w:sz w:val="22"/>
          <w:szCs w:val="22"/>
        </w:rPr>
        <w:t xml:space="preserve"> developing strategic plans to advance enjoyment of the right to life, such as “for improving access to medical examinations and treatments designed to reduce maternal and infant mortality."</w:t>
      </w:r>
      <w:r w:rsidRPr="00201DA2">
        <w:rPr>
          <w:rStyle w:val="FootnoteReference"/>
          <w:rFonts w:eastAsia="Calibri"/>
          <w:color w:val="000000"/>
          <w:sz w:val="22"/>
          <w:szCs w:val="22"/>
        </w:rPr>
        <w:footnoteReference w:id="100"/>
      </w:r>
      <w:r w:rsidRPr="00201DA2">
        <w:rPr>
          <w:rFonts w:eastAsia="Calibri"/>
          <w:color w:val="000000"/>
          <w:sz w:val="22"/>
          <w:szCs w:val="22"/>
        </w:rPr>
        <w:t xml:space="preserve"> It also has made clear that restrictions on women</w:t>
      </w:r>
      <w:r w:rsidR="009373B6" w:rsidRPr="00201DA2">
        <w:rPr>
          <w:rFonts w:eastAsia="Calibri"/>
          <w:color w:val="000000"/>
          <w:sz w:val="22"/>
          <w:szCs w:val="22"/>
        </w:rPr>
        <w:t>’s</w:t>
      </w:r>
      <w:r w:rsidRPr="00201DA2">
        <w:rPr>
          <w:rFonts w:eastAsia="Calibri"/>
          <w:color w:val="000000"/>
          <w:sz w:val="22"/>
          <w:szCs w:val="22"/>
        </w:rPr>
        <w:t xml:space="preserve"> or girls</w:t>
      </w:r>
      <w:r w:rsidR="009373B6" w:rsidRPr="00201DA2">
        <w:rPr>
          <w:rFonts w:eastAsia="Calibri"/>
          <w:color w:val="000000"/>
          <w:sz w:val="22"/>
          <w:szCs w:val="22"/>
        </w:rPr>
        <w:t>’</w:t>
      </w:r>
      <w:r w:rsidRPr="00201DA2">
        <w:rPr>
          <w:rFonts w:eastAsia="Calibri"/>
          <w:color w:val="000000"/>
          <w:sz w:val="22"/>
          <w:szCs w:val="22"/>
        </w:rPr>
        <w:t xml:space="preserve"> ability to seek abortion mu</w:t>
      </w:r>
      <w:r w:rsidR="00343CE7" w:rsidRPr="00201DA2">
        <w:rPr>
          <w:rFonts w:eastAsia="Calibri"/>
          <w:color w:val="000000"/>
          <w:sz w:val="22"/>
          <w:szCs w:val="22"/>
        </w:rPr>
        <w:t>st</w:t>
      </w:r>
      <w:r w:rsidRPr="00201DA2">
        <w:rPr>
          <w:rFonts w:eastAsia="Calibri"/>
          <w:color w:val="000000"/>
          <w:sz w:val="22"/>
          <w:szCs w:val="22"/>
        </w:rPr>
        <w:t xml:space="preserve"> not “jeopardize their lives, subject them to physical or mental pain or suffering which violates article 7, discriminate against them or arbitrarily interfere with their privacy,” and that new barriers to accessing abortion should not be introduced, “including barriers caused as a result of the exercise of conscientious objection by individual medical providers.”</w:t>
      </w:r>
      <w:r w:rsidRPr="00201DA2">
        <w:rPr>
          <w:rStyle w:val="FootnoteReference"/>
          <w:rFonts w:eastAsia="Calibri"/>
          <w:color w:val="000000"/>
          <w:sz w:val="22"/>
          <w:szCs w:val="22"/>
        </w:rPr>
        <w:footnoteReference w:id="101"/>
      </w:r>
      <w:r w:rsidRPr="00201DA2">
        <w:rPr>
          <w:rFonts w:eastAsia="Calibri"/>
          <w:color w:val="000000"/>
          <w:sz w:val="22"/>
          <w:szCs w:val="22"/>
        </w:rPr>
        <w:t xml:space="preserve"> </w:t>
      </w:r>
    </w:p>
    <w:p w14:paraId="2502A283" w14:textId="77777777" w:rsidR="001D44D1" w:rsidRPr="00201DA2" w:rsidRDefault="001D44D1" w:rsidP="001D44D1">
      <w:pPr>
        <w:rPr>
          <w:rFonts w:eastAsia="Calibri"/>
          <w:color w:val="000000"/>
          <w:sz w:val="22"/>
          <w:szCs w:val="22"/>
        </w:rPr>
      </w:pPr>
    </w:p>
    <w:p w14:paraId="24112E94" w14:textId="1DFC5916" w:rsidR="001D44D1" w:rsidRPr="00201DA2" w:rsidRDefault="001D44D1" w:rsidP="001D44D1">
      <w:pPr>
        <w:rPr>
          <w:rFonts w:eastAsia="Calibri"/>
          <w:b/>
          <w:color w:val="000000"/>
          <w:sz w:val="22"/>
          <w:szCs w:val="22"/>
        </w:rPr>
      </w:pPr>
      <w:r w:rsidRPr="00201DA2">
        <w:rPr>
          <w:rFonts w:eastAsia="Calibri"/>
          <w:b/>
          <w:color w:val="000000"/>
          <w:sz w:val="22"/>
          <w:szCs w:val="22"/>
        </w:rPr>
        <w:t>Recommended Questions</w:t>
      </w:r>
    </w:p>
    <w:p w14:paraId="4234AB53" w14:textId="313D1F9E" w:rsidR="001D44D1" w:rsidRPr="00201DA2" w:rsidRDefault="001D44D1" w:rsidP="001D44D1">
      <w:pPr>
        <w:pStyle w:val="ListParagraph"/>
        <w:numPr>
          <w:ilvl w:val="0"/>
          <w:numId w:val="11"/>
        </w:numPr>
        <w:pBdr>
          <w:top w:val="nil"/>
          <w:left w:val="nil"/>
          <w:bottom w:val="nil"/>
          <w:right w:val="nil"/>
          <w:between w:val="nil"/>
        </w:pBdr>
        <w:rPr>
          <w:rFonts w:eastAsia="Calibri"/>
          <w:b/>
          <w:color w:val="000000"/>
          <w:sz w:val="22"/>
          <w:szCs w:val="22"/>
        </w:rPr>
      </w:pPr>
      <w:bookmarkStart w:id="11" w:name="_Hlk534810398"/>
      <w:r w:rsidRPr="00201DA2">
        <w:rPr>
          <w:rFonts w:eastAsia="Calibri"/>
          <w:color w:val="000000"/>
          <w:sz w:val="22"/>
          <w:szCs w:val="22"/>
        </w:rPr>
        <w:t xml:space="preserve">Why do so many laws and policies related to health and healthcare seek to </w:t>
      </w:r>
      <w:r w:rsidR="00ED4773" w:rsidRPr="00201DA2">
        <w:rPr>
          <w:rFonts w:eastAsia="Calibri"/>
          <w:color w:val="000000"/>
          <w:sz w:val="22"/>
          <w:szCs w:val="22"/>
        </w:rPr>
        <w:t xml:space="preserve">restrict </w:t>
      </w:r>
      <w:r w:rsidRPr="00201DA2">
        <w:rPr>
          <w:rFonts w:eastAsia="Calibri"/>
          <w:color w:val="000000"/>
          <w:sz w:val="22"/>
          <w:szCs w:val="22"/>
        </w:rPr>
        <w:t xml:space="preserve">or </w:t>
      </w:r>
      <w:r w:rsidR="00ED4773" w:rsidRPr="00201DA2">
        <w:rPr>
          <w:rFonts w:eastAsia="Calibri"/>
          <w:color w:val="000000"/>
          <w:sz w:val="22"/>
          <w:szCs w:val="22"/>
        </w:rPr>
        <w:t xml:space="preserve">heavily </w:t>
      </w:r>
      <w:r w:rsidRPr="00201DA2">
        <w:rPr>
          <w:rFonts w:eastAsia="Calibri"/>
          <w:color w:val="000000"/>
          <w:sz w:val="22"/>
          <w:szCs w:val="22"/>
        </w:rPr>
        <w:t xml:space="preserve">regulate services used nearly exclusively by women and girls? </w:t>
      </w:r>
    </w:p>
    <w:bookmarkEnd w:id="11"/>
    <w:p w14:paraId="799D5488" w14:textId="13057E9A" w:rsidR="001D44D1" w:rsidRPr="00201DA2" w:rsidRDefault="001D44D1" w:rsidP="001D44D1">
      <w:pPr>
        <w:pStyle w:val="ListParagraph"/>
        <w:numPr>
          <w:ilvl w:val="0"/>
          <w:numId w:val="11"/>
        </w:numPr>
        <w:pBdr>
          <w:top w:val="nil"/>
          <w:left w:val="nil"/>
          <w:bottom w:val="nil"/>
          <w:right w:val="nil"/>
          <w:between w:val="nil"/>
        </w:pBdr>
        <w:rPr>
          <w:rFonts w:eastAsia="Calibri"/>
          <w:b/>
          <w:color w:val="000000"/>
          <w:sz w:val="22"/>
          <w:szCs w:val="22"/>
        </w:rPr>
      </w:pPr>
      <w:r w:rsidRPr="00201DA2">
        <w:rPr>
          <w:rFonts w:eastAsia="Calibri"/>
          <w:color w:val="000000"/>
          <w:sz w:val="22"/>
          <w:szCs w:val="22"/>
        </w:rPr>
        <w:t xml:space="preserve">Millions of people living in the United States lack healthcare coverage, exacerbating barriers to care and worsening health outcomes for many already marginalized populations. What </w:t>
      </w:r>
      <w:r w:rsidR="009A4B24" w:rsidRPr="00201DA2">
        <w:rPr>
          <w:rFonts w:eastAsia="Calibri"/>
          <w:color w:val="000000"/>
          <w:sz w:val="22"/>
          <w:szCs w:val="22"/>
        </w:rPr>
        <w:t xml:space="preserve">if anything </w:t>
      </w:r>
      <w:r w:rsidRPr="00201DA2">
        <w:rPr>
          <w:rFonts w:eastAsia="Calibri"/>
          <w:color w:val="000000"/>
          <w:sz w:val="22"/>
          <w:szCs w:val="22"/>
        </w:rPr>
        <w:t xml:space="preserve">is the </w:t>
      </w:r>
      <w:r w:rsidR="00343CE7" w:rsidRPr="00201DA2">
        <w:rPr>
          <w:rFonts w:eastAsia="Calibri"/>
          <w:color w:val="000000"/>
          <w:sz w:val="22"/>
          <w:szCs w:val="22"/>
        </w:rPr>
        <w:t>S</w:t>
      </w:r>
      <w:r w:rsidRPr="00201DA2">
        <w:rPr>
          <w:rFonts w:eastAsia="Calibri"/>
          <w:color w:val="000000"/>
          <w:sz w:val="22"/>
          <w:szCs w:val="22"/>
        </w:rPr>
        <w:t xml:space="preserve">tate </w:t>
      </w:r>
      <w:r w:rsidR="00343CE7" w:rsidRPr="00201DA2">
        <w:rPr>
          <w:rFonts w:eastAsia="Calibri"/>
          <w:color w:val="000000"/>
          <w:sz w:val="22"/>
          <w:szCs w:val="22"/>
        </w:rPr>
        <w:t>P</w:t>
      </w:r>
      <w:r w:rsidRPr="00201DA2">
        <w:rPr>
          <w:rFonts w:eastAsia="Calibri"/>
          <w:color w:val="000000"/>
          <w:sz w:val="22"/>
          <w:szCs w:val="22"/>
        </w:rPr>
        <w:t xml:space="preserve">arty doing to address this lack of access to care, and does it believe recent policies and laws that </w:t>
      </w:r>
      <w:r w:rsidR="00D6071B" w:rsidRPr="00201DA2">
        <w:rPr>
          <w:rFonts w:eastAsia="Calibri"/>
          <w:color w:val="000000"/>
          <w:sz w:val="22"/>
          <w:szCs w:val="22"/>
        </w:rPr>
        <w:t xml:space="preserve">have the effect of </w:t>
      </w:r>
      <w:r w:rsidRPr="00201DA2">
        <w:rPr>
          <w:rFonts w:eastAsia="Calibri"/>
          <w:color w:val="000000"/>
          <w:sz w:val="22"/>
          <w:szCs w:val="22"/>
        </w:rPr>
        <w:t>restrict</w:t>
      </w:r>
      <w:r w:rsidR="00D6071B" w:rsidRPr="00201DA2">
        <w:rPr>
          <w:rFonts w:eastAsia="Calibri"/>
          <w:color w:val="000000"/>
          <w:sz w:val="22"/>
          <w:szCs w:val="22"/>
        </w:rPr>
        <w:t>ing</w:t>
      </w:r>
      <w:r w:rsidRPr="00201DA2">
        <w:rPr>
          <w:rFonts w:eastAsia="Calibri"/>
          <w:color w:val="000000"/>
          <w:sz w:val="22"/>
          <w:szCs w:val="22"/>
        </w:rPr>
        <w:t xml:space="preserve"> access</w:t>
      </w:r>
      <w:r w:rsidR="00D6071B" w:rsidRPr="00201DA2">
        <w:rPr>
          <w:rFonts w:eastAsia="Calibri"/>
          <w:color w:val="000000"/>
          <w:sz w:val="22"/>
          <w:szCs w:val="22"/>
        </w:rPr>
        <w:t xml:space="preserve"> to some key services</w:t>
      </w:r>
      <w:r w:rsidRPr="00201DA2">
        <w:rPr>
          <w:rFonts w:eastAsia="Calibri"/>
          <w:color w:val="000000"/>
          <w:sz w:val="22"/>
          <w:szCs w:val="22"/>
        </w:rPr>
        <w:t xml:space="preserve"> conform with its obligations? </w:t>
      </w:r>
    </w:p>
    <w:p w14:paraId="23C0ED41" w14:textId="1EF9A3C1" w:rsidR="001D44D1" w:rsidRPr="00201DA2" w:rsidRDefault="001D44D1" w:rsidP="001D44D1">
      <w:pPr>
        <w:pStyle w:val="ListParagraph"/>
        <w:numPr>
          <w:ilvl w:val="0"/>
          <w:numId w:val="11"/>
        </w:numPr>
        <w:pBdr>
          <w:top w:val="nil"/>
          <w:left w:val="nil"/>
          <w:bottom w:val="nil"/>
          <w:right w:val="nil"/>
          <w:between w:val="nil"/>
        </w:pBdr>
        <w:rPr>
          <w:rFonts w:eastAsia="Calibri"/>
          <w:b/>
          <w:color w:val="000000"/>
          <w:sz w:val="22"/>
          <w:szCs w:val="22"/>
        </w:rPr>
      </w:pPr>
      <w:r w:rsidRPr="00201DA2">
        <w:rPr>
          <w:rFonts w:eastAsia="Calibri"/>
          <w:color w:val="000000"/>
          <w:sz w:val="22"/>
          <w:szCs w:val="22"/>
        </w:rPr>
        <w:t xml:space="preserve">Please explain, </w:t>
      </w:r>
      <w:r w:rsidR="00A95C94" w:rsidRPr="00201DA2">
        <w:rPr>
          <w:rFonts w:eastAsia="Calibri"/>
          <w:color w:val="000000"/>
          <w:sz w:val="22"/>
          <w:szCs w:val="22"/>
        </w:rPr>
        <w:t xml:space="preserve">with </w:t>
      </w:r>
      <w:r w:rsidRPr="00201DA2">
        <w:rPr>
          <w:rFonts w:eastAsia="Calibri"/>
          <w:color w:val="000000"/>
          <w:sz w:val="22"/>
          <w:szCs w:val="22"/>
        </w:rPr>
        <w:t xml:space="preserve">detailed reference to data, </w:t>
      </w:r>
      <w:r w:rsidR="009A4B24" w:rsidRPr="00201DA2">
        <w:rPr>
          <w:rFonts w:eastAsia="Calibri"/>
          <w:color w:val="000000"/>
          <w:sz w:val="22"/>
          <w:szCs w:val="22"/>
        </w:rPr>
        <w:t xml:space="preserve">whether and </w:t>
      </w:r>
      <w:r w:rsidRPr="00201DA2">
        <w:rPr>
          <w:rFonts w:eastAsia="Calibri"/>
          <w:color w:val="000000"/>
          <w:sz w:val="22"/>
          <w:szCs w:val="22"/>
        </w:rPr>
        <w:t>how the State Party believes it is upholding its obligation to protect the right to life</w:t>
      </w:r>
      <w:r w:rsidR="00497DA6" w:rsidRPr="00201DA2">
        <w:rPr>
          <w:rFonts w:eastAsia="Calibri"/>
          <w:color w:val="000000"/>
          <w:sz w:val="22"/>
          <w:szCs w:val="22"/>
        </w:rPr>
        <w:t>,</w:t>
      </w:r>
      <w:r w:rsidRPr="00201DA2">
        <w:rPr>
          <w:rFonts w:eastAsia="Calibri"/>
          <w:color w:val="000000"/>
          <w:sz w:val="22"/>
          <w:szCs w:val="22"/>
        </w:rPr>
        <w:t xml:space="preserve"> in relation to death</w:t>
      </w:r>
      <w:r w:rsidR="00497DA6" w:rsidRPr="00201DA2">
        <w:rPr>
          <w:rFonts w:eastAsia="Calibri"/>
          <w:color w:val="000000"/>
          <w:sz w:val="22"/>
          <w:szCs w:val="22"/>
        </w:rPr>
        <w:t>s</w:t>
      </w:r>
      <w:r w:rsidRPr="00201DA2">
        <w:rPr>
          <w:rFonts w:eastAsia="Calibri"/>
          <w:color w:val="000000"/>
          <w:sz w:val="22"/>
          <w:szCs w:val="22"/>
        </w:rPr>
        <w:t xml:space="preserve"> that could reasonably be prevented through access to healthcare, with a focus on preventable maternal deaths and deaths from cervical and other preventable gynecological cancers. </w:t>
      </w:r>
    </w:p>
    <w:p w14:paraId="3B5A963A" w14:textId="77777777" w:rsidR="001D44D1" w:rsidRPr="00201DA2" w:rsidRDefault="001D44D1" w:rsidP="001D44D1">
      <w:pPr>
        <w:rPr>
          <w:rFonts w:eastAsia="Calibri"/>
          <w:color w:val="000000"/>
          <w:sz w:val="22"/>
          <w:szCs w:val="22"/>
        </w:rPr>
      </w:pPr>
    </w:p>
    <w:p w14:paraId="1D421114" w14:textId="77777777" w:rsidR="001D44D1" w:rsidRPr="00201DA2" w:rsidRDefault="001D44D1" w:rsidP="001D44D1">
      <w:pPr>
        <w:rPr>
          <w:rFonts w:eastAsia="Calibri"/>
          <w:b/>
          <w:color w:val="000000"/>
          <w:sz w:val="22"/>
          <w:szCs w:val="22"/>
        </w:rPr>
      </w:pPr>
      <w:r w:rsidRPr="00201DA2">
        <w:rPr>
          <w:rFonts w:eastAsia="Calibri"/>
          <w:b/>
          <w:color w:val="000000"/>
          <w:sz w:val="22"/>
          <w:szCs w:val="22"/>
        </w:rPr>
        <w:t>Suggested Recommendations</w:t>
      </w:r>
    </w:p>
    <w:p w14:paraId="0A95F639" w14:textId="0D137FCE" w:rsidR="001D44D1" w:rsidRPr="00201DA2" w:rsidRDefault="001D44D1" w:rsidP="001D44D1">
      <w:pPr>
        <w:pStyle w:val="ListParagraph"/>
        <w:numPr>
          <w:ilvl w:val="0"/>
          <w:numId w:val="10"/>
        </w:numPr>
        <w:pBdr>
          <w:top w:val="nil"/>
          <w:left w:val="nil"/>
          <w:bottom w:val="nil"/>
          <w:right w:val="nil"/>
          <w:between w:val="nil"/>
        </w:pBdr>
        <w:rPr>
          <w:rFonts w:eastAsia="Calibri"/>
          <w:color w:val="000000"/>
          <w:sz w:val="22"/>
          <w:szCs w:val="22"/>
        </w:rPr>
      </w:pPr>
      <w:r w:rsidRPr="00201DA2">
        <w:rPr>
          <w:rFonts w:eastAsia="Calibri"/>
          <w:color w:val="000000"/>
          <w:sz w:val="22"/>
          <w:szCs w:val="22"/>
        </w:rPr>
        <w:t xml:space="preserve">The State Party should take steps to increase access to </w:t>
      </w:r>
      <w:r w:rsidR="006F0B3C" w:rsidRPr="00201DA2">
        <w:rPr>
          <w:rFonts w:eastAsia="Calibri"/>
          <w:color w:val="000000"/>
          <w:sz w:val="22"/>
          <w:szCs w:val="22"/>
        </w:rPr>
        <w:t xml:space="preserve">all necessary </w:t>
      </w:r>
      <w:r w:rsidRPr="00201DA2">
        <w:rPr>
          <w:rFonts w:eastAsia="Calibri"/>
          <w:color w:val="000000"/>
          <w:sz w:val="22"/>
          <w:szCs w:val="22"/>
        </w:rPr>
        <w:t xml:space="preserve">health services to reduce preventable deaths, such as infant and maternal deaths, deaths from HIV, and preventable gynecological cancers. </w:t>
      </w:r>
    </w:p>
    <w:p w14:paraId="0ABA0564" w14:textId="37F3951C" w:rsidR="001D44D1" w:rsidRPr="00201DA2" w:rsidRDefault="001D44D1" w:rsidP="001D44D1">
      <w:pPr>
        <w:pStyle w:val="ListParagraph"/>
        <w:numPr>
          <w:ilvl w:val="0"/>
          <w:numId w:val="10"/>
        </w:numPr>
        <w:pBdr>
          <w:top w:val="nil"/>
          <w:left w:val="nil"/>
          <w:bottom w:val="nil"/>
          <w:right w:val="nil"/>
          <w:between w:val="nil"/>
        </w:pBdr>
        <w:rPr>
          <w:rFonts w:eastAsia="Calibri"/>
          <w:color w:val="000000"/>
          <w:sz w:val="22"/>
          <w:szCs w:val="22"/>
        </w:rPr>
      </w:pPr>
      <w:bookmarkStart w:id="12" w:name="_Hlk534810587"/>
      <w:r w:rsidRPr="00201DA2">
        <w:rPr>
          <w:rFonts w:eastAsia="Calibri"/>
          <w:color w:val="000000"/>
          <w:sz w:val="22"/>
          <w:szCs w:val="22"/>
        </w:rPr>
        <w:t>The State Party should collect and publicize data on the impact range of recent laws, policies and regulations on unplanned pregnancies rates, maternal mortality and morbidity and infant mortality.</w:t>
      </w:r>
    </w:p>
    <w:bookmarkEnd w:id="12"/>
    <w:p w14:paraId="708722AA" w14:textId="095E88FD" w:rsidR="00154853" w:rsidRPr="00201DA2" w:rsidRDefault="001D44D1" w:rsidP="001D44D1">
      <w:pPr>
        <w:pStyle w:val="ListParagraph"/>
        <w:numPr>
          <w:ilvl w:val="0"/>
          <w:numId w:val="10"/>
        </w:numPr>
        <w:pBdr>
          <w:top w:val="nil"/>
          <w:left w:val="nil"/>
          <w:bottom w:val="nil"/>
          <w:right w:val="nil"/>
          <w:between w:val="nil"/>
        </w:pBdr>
        <w:rPr>
          <w:rFonts w:eastAsia="Calibri"/>
          <w:color w:val="000000"/>
          <w:sz w:val="22"/>
          <w:szCs w:val="22"/>
        </w:rPr>
      </w:pPr>
      <w:r w:rsidRPr="00201DA2">
        <w:rPr>
          <w:rFonts w:eastAsia="Calibri"/>
          <w:color w:val="000000"/>
          <w:sz w:val="22"/>
          <w:szCs w:val="22"/>
        </w:rPr>
        <w:t>The State Party should take all effective steps necessary to end discrimination in access to healthcare.</w:t>
      </w:r>
    </w:p>
    <w:p w14:paraId="4D95E4D2" w14:textId="77777777" w:rsidR="00F04760" w:rsidRPr="00201DA2" w:rsidRDefault="00F04760" w:rsidP="00F40CCE">
      <w:pPr>
        <w:pBdr>
          <w:top w:val="nil"/>
          <w:left w:val="nil"/>
          <w:bottom w:val="nil"/>
          <w:right w:val="nil"/>
          <w:between w:val="nil"/>
        </w:pBdr>
        <w:contextualSpacing/>
        <w:jc w:val="center"/>
        <w:rPr>
          <w:b/>
          <w:sz w:val="22"/>
          <w:szCs w:val="22"/>
        </w:rPr>
      </w:pPr>
    </w:p>
    <w:p w14:paraId="3257FF29" w14:textId="04690FF5" w:rsidR="00154853" w:rsidRPr="00201DA2" w:rsidRDefault="00154853" w:rsidP="00F40CCE">
      <w:pPr>
        <w:pBdr>
          <w:top w:val="nil"/>
          <w:left w:val="nil"/>
          <w:bottom w:val="nil"/>
          <w:right w:val="nil"/>
          <w:between w:val="nil"/>
        </w:pBdr>
        <w:contextualSpacing/>
        <w:jc w:val="center"/>
        <w:rPr>
          <w:b/>
          <w:sz w:val="22"/>
          <w:szCs w:val="22"/>
        </w:rPr>
      </w:pPr>
      <w:r w:rsidRPr="00201DA2">
        <w:rPr>
          <w:b/>
          <w:sz w:val="22"/>
          <w:szCs w:val="22"/>
        </w:rPr>
        <w:t>Sexual Orientation and Gender Identity</w:t>
      </w:r>
    </w:p>
    <w:p w14:paraId="292C0EE2" w14:textId="1A43CDCB" w:rsidR="00154853" w:rsidRPr="00201DA2" w:rsidRDefault="00154853" w:rsidP="00154853">
      <w:pPr>
        <w:pBdr>
          <w:top w:val="nil"/>
          <w:left w:val="nil"/>
          <w:bottom w:val="nil"/>
          <w:right w:val="nil"/>
          <w:between w:val="nil"/>
        </w:pBdr>
        <w:contextualSpacing/>
        <w:rPr>
          <w:rFonts w:eastAsia="Calibri"/>
          <w:b/>
          <w:color w:val="000000"/>
          <w:sz w:val="22"/>
          <w:szCs w:val="22"/>
        </w:rPr>
      </w:pPr>
    </w:p>
    <w:p w14:paraId="035E5852" w14:textId="31C2D10F" w:rsidR="00154853" w:rsidRPr="00201DA2" w:rsidRDefault="00154853" w:rsidP="00154853">
      <w:pPr>
        <w:pBdr>
          <w:top w:val="nil"/>
          <w:left w:val="nil"/>
          <w:bottom w:val="nil"/>
          <w:right w:val="nil"/>
          <w:between w:val="nil"/>
        </w:pBdr>
        <w:contextualSpacing/>
        <w:rPr>
          <w:rFonts w:eastAsia="Calibri"/>
          <w:b/>
          <w:color w:val="000000"/>
          <w:sz w:val="22"/>
          <w:szCs w:val="22"/>
        </w:rPr>
      </w:pPr>
      <w:r w:rsidRPr="00201DA2">
        <w:rPr>
          <w:rFonts w:eastAsia="Calibri"/>
          <w:b/>
          <w:color w:val="000000"/>
          <w:sz w:val="22"/>
          <w:szCs w:val="22"/>
        </w:rPr>
        <w:t>Summary</w:t>
      </w:r>
    </w:p>
    <w:p w14:paraId="19DAFE46" w14:textId="5F5078CB" w:rsidR="00322ED2" w:rsidRPr="00201DA2" w:rsidRDefault="00322ED2" w:rsidP="00154853">
      <w:pPr>
        <w:pBdr>
          <w:top w:val="nil"/>
          <w:left w:val="nil"/>
          <w:bottom w:val="nil"/>
          <w:right w:val="nil"/>
          <w:between w:val="nil"/>
        </w:pBdr>
        <w:contextualSpacing/>
        <w:rPr>
          <w:rFonts w:eastAsia="Calibri"/>
          <w:color w:val="000000"/>
          <w:sz w:val="22"/>
          <w:szCs w:val="22"/>
        </w:rPr>
      </w:pPr>
      <w:r w:rsidRPr="00201DA2">
        <w:rPr>
          <w:rFonts w:eastAsia="Calibri"/>
          <w:color w:val="000000"/>
          <w:sz w:val="22"/>
          <w:szCs w:val="22"/>
        </w:rPr>
        <w:lastRenderedPageBreak/>
        <w:t>A variety of policies in state and federal law heighten discrimination against persons based on sexual orientation and gender identity.</w:t>
      </w:r>
    </w:p>
    <w:p w14:paraId="556EE8E7" w14:textId="77777777" w:rsidR="00154853" w:rsidRPr="00201DA2" w:rsidRDefault="00154853" w:rsidP="00154853">
      <w:pPr>
        <w:pBdr>
          <w:top w:val="nil"/>
          <w:left w:val="nil"/>
          <w:bottom w:val="nil"/>
          <w:right w:val="nil"/>
          <w:between w:val="nil"/>
        </w:pBdr>
        <w:rPr>
          <w:rFonts w:eastAsia="Calibri"/>
          <w:color w:val="000000"/>
          <w:sz w:val="22"/>
          <w:szCs w:val="22"/>
        </w:rPr>
      </w:pPr>
    </w:p>
    <w:p w14:paraId="1AE9B8B7" w14:textId="3533E0E1" w:rsidR="00154853" w:rsidRPr="00201DA2" w:rsidRDefault="00154853" w:rsidP="00154853">
      <w:pPr>
        <w:pBdr>
          <w:top w:val="nil"/>
          <w:left w:val="nil"/>
          <w:bottom w:val="nil"/>
          <w:right w:val="nil"/>
          <w:between w:val="nil"/>
        </w:pBdr>
        <w:contextualSpacing/>
        <w:rPr>
          <w:rFonts w:eastAsia="Calibri"/>
          <w:b/>
          <w:color w:val="000000"/>
          <w:sz w:val="22"/>
          <w:szCs w:val="22"/>
          <w:lang w:val="fr-FR"/>
        </w:rPr>
      </w:pPr>
      <w:r w:rsidRPr="00201DA2">
        <w:rPr>
          <w:rFonts w:eastAsia="Calibri"/>
          <w:b/>
          <w:color w:val="000000"/>
          <w:sz w:val="22"/>
          <w:szCs w:val="22"/>
          <w:lang w:val="fr-FR"/>
        </w:rPr>
        <w:t>Relevant ICCPR Articles</w:t>
      </w:r>
    </w:p>
    <w:p w14:paraId="2246D6D4" w14:textId="5B967947" w:rsidR="0028736B" w:rsidRPr="00201DA2" w:rsidRDefault="0028736B" w:rsidP="00154853">
      <w:pPr>
        <w:pBdr>
          <w:top w:val="nil"/>
          <w:left w:val="nil"/>
          <w:bottom w:val="nil"/>
          <w:right w:val="nil"/>
          <w:between w:val="nil"/>
        </w:pBdr>
        <w:contextualSpacing/>
        <w:rPr>
          <w:rFonts w:eastAsia="Calibri"/>
          <w:color w:val="000000"/>
          <w:sz w:val="22"/>
          <w:szCs w:val="22"/>
          <w:lang w:val="fr-FR"/>
        </w:rPr>
      </w:pPr>
      <w:r w:rsidRPr="00201DA2">
        <w:rPr>
          <w:rFonts w:eastAsia="Calibri"/>
          <w:color w:val="000000"/>
          <w:sz w:val="22"/>
          <w:szCs w:val="22"/>
          <w:lang w:val="fr-FR"/>
        </w:rPr>
        <w:t xml:space="preserve">Articles 2 </w:t>
      </w:r>
      <w:r w:rsidR="002B0A68" w:rsidRPr="00201DA2">
        <w:rPr>
          <w:rFonts w:eastAsia="Calibri"/>
          <w:color w:val="000000"/>
          <w:sz w:val="22"/>
          <w:szCs w:val="22"/>
          <w:lang w:val="fr-FR"/>
        </w:rPr>
        <w:t>,17, 18, 19, 21, 22</w:t>
      </w:r>
      <w:r w:rsidR="00C626C2" w:rsidRPr="00201DA2">
        <w:rPr>
          <w:rFonts w:eastAsia="Calibri"/>
          <w:color w:val="000000"/>
          <w:sz w:val="22"/>
          <w:szCs w:val="22"/>
          <w:lang w:val="fr-FR"/>
        </w:rPr>
        <w:t xml:space="preserve"> </w:t>
      </w:r>
      <w:r w:rsidRPr="00201DA2">
        <w:rPr>
          <w:rFonts w:eastAsia="Calibri"/>
          <w:color w:val="000000"/>
          <w:sz w:val="22"/>
          <w:szCs w:val="22"/>
          <w:lang w:val="fr-FR"/>
        </w:rPr>
        <w:t>and 26.</w:t>
      </w:r>
    </w:p>
    <w:p w14:paraId="1360134F" w14:textId="77777777" w:rsidR="00154853" w:rsidRPr="00201DA2" w:rsidRDefault="00154853" w:rsidP="00154853">
      <w:pPr>
        <w:pBdr>
          <w:top w:val="nil"/>
          <w:left w:val="nil"/>
          <w:bottom w:val="nil"/>
          <w:right w:val="nil"/>
          <w:between w:val="nil"/>
        </w:pBdr>
        <w:contextualSpacing/>
        <w:rPr>
          <w:rFonts w:eastAsia="Calibri"/>
          <w:color w:val="000000"/>
          <w:sz w:val="22"/>
          <w:szCs w:val="22"/>
          <w:lang w:val="fr-FR"/>
        </w:rPr>
      </w:pPr>
    </w:p>
    <w:p w14:paraId="67D17478" w14:textId="520E766F" w:rsidR="00154853" w:rsidRPr="00201DA2" w:rsidRDefault="00154853" w:rsidP="00154853">
      <w:pPr>
        <w:pBdr>
          <w:top w:val="nil"/>
          <w:left w:val="nil"/>
          <w:bottom w:val="nil"/>
          <w:right w:val="nil"/>
          <w:between w:val="nil"/>
        </w:pBdr>
        <w:contextualSpacing/>
        <w:rPr>
          <w:rFonts w:eastAsia="Calibri"/>
          <w:b/>
          <w:color w:val="000000"/>
          <w:sz w:val="22"/>
          <w:szCs w:val="22"/>
        </w:rPr>
      </w:pPr>
      <w:r w:rsidRPr="00201DA2">
        <w:rPr>
          <w:rFonts w:eastAsia="Calibri"/>
          <w:b/>
          <w:color w:val="000000"/>
          <w:sz w:val="22"/>
          <w:szCs w:val="22"/>
        </w:rPr>
        <w:t>Prior Recommendations</w:t>
      </w:r>
    </w:p>
    <w:p w14:paraId="0FE26EC6" w14:textId="5ADD91C1" w:rsidR="0028736B" w:rsidRPr="00201DA2" w:rsidRDefault="0028736B" w:rsidP="0028736B">
      <w:pPr>
        <w:pStyle w:val="ListParagraph"/>
        <w:numPr>
          <w:ilvl w:val="0"/>
          <w:numId w:val="21"/>
        </w:numPr>
        <w:pBdr>
          <w:top w:val="nil"/>
          <w:left w:val="nil"/>
          <w:bottom w:val="nil"/>
          <w:right w:val="nil"/>
          <w:between w:val="nil"/>
        </w:pBdr>
        <w:rPr>
          <w:rFonts w:eastAsia="Calibri"/>
          <w:color w:val="000000"/>
          <w:sz w:val="22"/>
          <w:szCs w:val="22"/>
        </w:rPr>
      </w:pPr>
      <w:r w:rsidRPr="00201DA2">
        <w:rPr>
          <w:rFonts w:eastAsia="Calibri"/>
          <w:color w:val="000000"/>
          <w:sz w:val="22"/>
          <w:szCs w:val="22"/>
        </w:rPr>
        <w:t xml:space="preserve">The Committee recommended in </w:t>
      </w:r>
      <w:r w:rsidR="006E6004" w:rsidRPr="00201DA2">
        <w:rPr>
          <w:rFonts w:eastAsia="Calibri"/>
          <w:color w:val="000000"/>
          <w:sz w:val="22"/>
          <w:szCs w:val="22"/>
        </w:rPr>
        <w:t xml:space="preserve">its </w:t>
      </w:r>
      <w:r w:rsidRPr="00201DA2">
        <w:rPr>
          <w:rFonts w:eastAsia="Calibri"/>
          <w:color w:val="000000"/>
          <w:sz w:val="22"/>
          <w:szCs w:val="22"/>
        </w:rPr>
        <w:t xml:space="preserve">2006 </w:t>
      </w:r>
      <w:r w:rsidR="006E6004" w:rsidRPr="00201DA2">
        <w:rPr>
          <w:rFonts w:eastAsia="Calibri"/>
          <w:color w:val="000000"/>
          <w:sz w:val="22"/>
          <w:szCs w:val="22"/>
        </w:rPr>
        <w:t xml:space="preserve">Concluding Observations </w:t>
      </w:r>
      <w:r w:rsidRPr="00201DA2">
        <w:rPr>
          <w:rFonts w:eastAsia="Calibri"/>
          <w:color w:val="000000"/>
          <w:sz w:val="22"/>
          <w:szCs w:val="22"/>
        </w:rPr>
        <w:t xml:space="preserve">that </w:t>
      </w:r>
      <w:r w:rsidR="00322ED2" w:rsidRPr="00201DA2">
        <w:rPr>
          <w:rFonts w:eastAsia="Calibri"/>
          <w:color w:val="000000"/>
          <w:sz w:val="22"/>
          <w:szCs w:val="22"/>
        </w:rPr>
        <w:t xml:space="preserve">the United States </w:t>
      </w:r>
      <w:r w:rsidRPr="00201DA2">
        <w:rPr>
          <w:rFonts w:eastAsia="Calibri"/>
          <w:color w:val="000000"/>
          <w:sz w:val="22"/>
          <w:szCs w:val="22"/>
        </w:rPr>
        <w:t>“</w:t>
      </w:r>
      <w:r w:rsidRPr="00201DA2">
        <w:rPr>
          <w:bCs/>
          <w:sz w:val="22"/>
          <w:szCs w:val="22"/>
        </w:rPr>
        <w:t xml:space="preserve">should acknowledge its legal obligation under articles 2 and 26 to ensure to everyone the rights recognized by the Covenant, as well as equality before the law and equal protection of the law, without discrimination on the basis of sexual orientation. The State </w:t>
      </w:r>
      <w:r w:rsidR="003950FE" w:rsidRPr="00201DA2">
        <w:rPr>
          <w:bCs/>
          <w:sz w:val="22"/>
          <w:szCs w:val="22"/>
        </w:rPr>
        <w:t>P</w:t>
      </w:r>
      <w:r w:rsidRPr="00201DA2">
        <w:rPr>
          <w:bCs/>
          <w:sz w:val="22"/>
          <w:szCs w:val="22"/>
        </w:rPr>
        <w:t>arty should ensure that its hate crime legislation, both at the federal and state levels, address sexual orientation-related violence and that federal and state employment legislation outlaw discrimination on the basis of sexual orientation.</w:t>
      </w:r>
      <w:r w:rsidR="00322ED2" w:rsidRPr="00201DA2">
        <w:rPr>
          <w:bCs/>
          <w:sz w:val="22"/>
          <w:szCs w:val="22"/>
        </w:rPr>
        <w:t>”</w:t>
      </w:r>
      <w:r w:rsidR="006E6004" w:rsidRPr="00201DA2">
        <w:rPr>
          <w:bCs/>
          <w:sz w:val="22"/>
          <w:szCs w:val="22"/>
        </w:rPr>
        <w:t xml:space="preserve"> (para. 25).</w:t>
      </w:r>
    </w:p>
    <w:p w14:paraId="696E1754" w14:textId="77777777" w:rsidR="00154853" w:rsidRPr="00201DA2" w:rsidRDefault="00154853" w:rsidP="00154853">
      <w:pPr>
        <w:pBdr>
          <w:top w:val="nil"/>
          <w:left w:val="nil"/>
          <w:bottom w:val="nil"/>
          <w:right w:val="nil"/>
          <w:between w:val="nil"/>
        </w:pBdr>
        <w:ind w:left="1440" w:hanging="720"/>
        <w:rPr>
          <w:rFonts w:eastAsia="Calibri"/>
          <w:color w:val="000000"/>
          <w:sz w:val="22"/>
          <w:szCs w:val="22"/>
        </w:rPr>
      </w:pPr>
    </w:p>
    <w:p w14:paraId="3F81D565" w14:textId="40A0F773" w:rsidR="00154853" w:rsidRPr="00201DA2" w:rsidRDefault="00154853" w:rsidP="00154853">
      <w:pPr>
        <w:pBdr>
          <w:top w:val="nil"/>
          <w:left w:val="nil"/>
          <w:bottom w:val="nil"/>
          <w:right w:val="nil"/>
          <w:between w:val="nil"/>
        </w:pBdr>
        <w:contextualSpacing/>
        <w:rPr>
          <w:rFonts w:eastAsia="Calibri"/>
          <w:b/>
          <w:color w:val="000000"/>
          <w:sz w:val="22"/>
          <w:szCs w:val="22"/>
        </w:rPr>
      </w:pPr>
      <w:r w:rsidRPr="00201DA2">
        <w:rPr>
          <w:rFonts w:eastAsia="Calibri"/>
          <w:b/>
          <w:sz w:val="22"/>
          <w:szCs w:val="22"/>
        </w:rPr>
        <w:t xml:space="preserve">Current </w:t>
      </w:r>
      <w:r w:rsidRPr="00201DA2">
        <w:rPr>
          <w:rFonts w:eastAsia="Calibri"/>
          <w:b/>
          <w:color w:val="000000"/>
          <w:sz w:val="22"/>
          <w:szCs w:val="22"/>
        </w:rPr>
        <w:t xml:space="preserve">US Government Policy or Practice </w:t>
      </w:r>
    </w:p>
    <w:p w14:paraId="09C157B9" w14:textId="1679538B" w:rsidR="00C626C2" w:rsidRPr="00201DA2" w:rsidRDefault="00C626C2" w:rsidP="00C626C2">
      <w:pPr>
        <w:rPr>
          <w:sz w:val="22"/>
          <w:szCs w:val="22"/>
        </w:rPr>
      </w:pPr>
      <w:r w:rsidRPr="00201DA2">
        <w:rPr>
          <w:sz w:val="22"/>
          <w:szCs w:val="22"/>
        </w:rPr>
        <w:t>In February 2017, the Departments of Justice and Education withdrew guidance clarifying that discrimination against transgender students constitutes sex discrimination under federal law. The withdrawal of these protections</w:t>
      </w:r>
      <w:r w:rsidR="004938A4" w:rsidRPr="00201DA2">
        <w:rPr>
          <w:sz w:val="22"/>
          <w:szCs w:val="22"/>
        </w:rPr>
        <w:t xml:space="preserve"> jeopardizes transgender students’ safety, health, privacy, and ability to learn</w:t>
      </w:r>
      <w:r w:rsidRPr="00201DA2">
        <w:rPr>
          <w:sz w:val="22"/>
          <w:szCs w:val="22"/>
        </w:rPr>
        <w:t>.</w:t>
      </w:r>
      <w:r w:rsidR="00282723" w:rsidRPr="00201DA2">
        <w:rPr>
          <w:rStyle w:val="FootnoteReference"/>
          <w:sz w:val="22"/>
          <w:szCs w:val="22"/>
        </w:rPr>
        <w:footnoteReference w:id="102"/>
      </w:r>
      <w:r w:rsidRPr="00201DA2">
        <w:rPr>
          <w:sz w:val="22"/>
          <w:szCs w:val="22"/>
        </w:rPr>
        <w:t xml:space="preserve"> LGBT students</w:t>
      </w:r>
      <w:r w:rsidR="004938A4" w:rsidRPr="00201DA2">
        <w:rPr>
          <w:sz w:val="22"/>
          <w:szCs w:val="22"/>
        </w:rPr>
        <w:t xml:space="preserve"> also experience </w:t>
      </w:r>
      <w:r w:rsidRPr="00201DA2">
        <w:rPr>
          <w:sz w:val="22"/>
          <w:szCs w:val="22"/>
        </w:rPr>
        <w:t>bullying and harassment in schools; restrictions on freedom of expression, assembly, and association; and restrictions on access to information, particularly in seven states with laws prohibiting LGBT-inclusive curricula in sexuality education.</w:t>
      </w:r>
      <w:r w:rsidR="00F16873" w:rsidRPr="00201DA2">
        <w:rPr>
          <w:rStyle w:val="FootnoteReference"/>
          <w:sz w:val="22"/>
          <w:szCs w:val="22"/>
        </w:rPr>
        <w:footnoteReference w:id="103"/>
      </w:r>
    </w:p>
    <w:p w14:paraId="594F01E9" w14:textId="77777777" w:rsidR="00C626C2" w:rsidRPr="00201DA2" w:rsidRDefault="00C626C2" w:rsidP="00C626C2">
      <w:pPr>
        <w:rPr>
          <w:sz w:val="22"/>
          <w:szCs w:val="22"/>
        </w:rPr>
      </w:pPr>
    </w:p>
    <w:p w14:paraId="47094034" w14:textId="2D36FEA1" w:rsidR="00C626C2" w:rsidRPr="00201DA2" w:rsidRDefault="00C626C2" w:rsidP="00C626C2">
      <w:pPr>
        <w:rPr>
          <w:sz w:val="22"/>
          <w:szCs w:val="22"/>
        </w:rPr>
      </w:pPr>
      <w:r w:rsidRPr="00201DA2">
        <w:rPr>
          <w:sz w:val="22"/>
          <w:szCs w:val="22"/>
        </w:rPr>
        <w:t>In July 2017, President Trump announced on Twitter that transgender people would no longer be permitted to serve in the US military. The ban has been blocked by federal courts and has not yet taken effect.</w:t>
      </w:r>
      <w:r w:rsidR="006F0B3C" w:rsidRPr="00201DA2">
        <w:rPr>
          <w:rStyle w:val="FootnoteReference"/>
          <w:sz w:val="22"/>
          <w:szCs w:val="22"/>
        </w:rPr>
        <w:footnoteReference w:id="104"/>
      </w:r>
    </w:p>
    <w:p w14:paraId="21F65915" w14:textId="77777777" w:rsidR="00C626C2" w:rsidRPr="00201DA2" w:rsidRDefault="00C626C2" w:rsidP="007A4556">
      <w:pPr>
        <w:rPr>
          <w:sz w:val="22"/>
          <w:szCs w:val="22"/>
        </w:rPr>
      </w:pPr>
    </w:p>
    <w:p w14:paraId="47AE28EF" w14:textId="6712EAAA" w:rsidR="007A4556" w:rsidRPr="00201DA2" w:rsidRDefault="007A4556" w:rsidP="007A4556">
      <w:pPr>
        <w:rPr>
          <w:sz w:val="22"/>
          <w:szCs w:val="22"/>
        </w:rPr>
      </w:pPr>
      <w:r w:rsidRPr="00201DA2">
        <w:rPr>
          <w:sz w:val="22"/>
          <w:szCs w:val="22"/>
        </w:rPr>
        <w:t xml:space="preserve">The Department of Health and Human Services </w:t>
      </w:r>
      <w:r w:rsidR="00342C21" w:rsidRPr="00201DA2">
        <w:rPr>
          <w:sz w:val="22"/>
          <w:szCs w:val="22"/>
        </w:rPr>
        <w:t xml:space="preserve">has </w:t>
      </w:r>
      <w:r w:rsidRPr="00201DA2">
        <w:rPr>
          <w:sz w:val="22"/>
          <w:szCs w:val="22"/>
        </w:rPr>
        <w:t>announced plans to roll back a federal rule clarifying that the Affordable Care Act’s prohibition on sex discrimination includes discrimination based on gender identity.</w:t>
      </w:r>
      <w:r w:rsidR="00C626C2" w:rsidRPr="00201DA2">
        <w:rPr>
          <w:sz w:val="22"/>
          <w:szCs w:val="22"/>
        </w:rPr>
        <w:t xml:space="preserve"> LGBT people</w:t>
      </w:r>
      <w:r w:rsidR="004938A4" w:rsidRPr="00201DA2">
        <w:rPr>
          <w:sz w:val="22"/>
          <w:szCs w:val="22"/>
        </w:rPr>
        <w:t xml:space="preserve"> face significant barriers when seeking health care in the US</w:t>
      </w:r>
      <w:r w:rsidR="00C626C2" w:rsidRPr="00201DA2">
        <w:rPr>
          <w:sz w:val="22"/>
          <w:szCs w:val="22"/>
        </w:rPr>
        <w:t>, and these rule changes will exacerbate existing health care disparities.</w:t>
      </w:r>
      <w:r w:rsidR="002B15B7" w:rsidRPr="00201DA2">
        <w:rPr>
          <w:rStyle w:val="FootnoteReference"/>
          <w:sz w:val="22"/>
          <w:szCs w:val="22"/>
        </w:rPr>
        <w:footnoteReference w:id="105"/>
      </w:r>
    </w:p>
    <w:p w14:paraId="7F6544F1" w14:textId="0DA42F9A" w:rsidR="007A4556" w:rsidRPr="00201DA2" w:rsidRDefault="007A4556" w:rsidP="007A4556">
      <w:pPr>
        <w:rPr>
          <w:sz w:val="22"/>
          <w:szCs w:val="22"/>
        </w:rPr>
      </w:pPr>
    </w:p>
    <w:p w14:paraId="039751BE" w14:textId="04901E89" w:rsidR="00C626C2" w:rsidRPr="00201DA2" w:rsidRDefault="00C626C2" w:rsidP="00C626C2">
      <w:pPr>
        <w:rPr>
          <w:sz w:val="22"/>
          <w:szCs w:val="22"/>
        </w:rPr>
      </w:pPr>
      <w:r w:rsidRPr="00201DA2">
        <w:rPr>
          <w:sz w:val="22"/>
          <w:szCs w:val="22"/>
        </w:rPr>
        <w:t>In 2018, the Bureau of Prisons announced it would default to housing transgender prisoners according to their sex assigned at birth</w:t>
      </w:r>
      <w:r w:rsidR="004938A4" w:rsidRPr="00201DA2">
        <w:rPr>
          <w:sz w:val="22"/>
          <w:szCs w:val="22"/>
        </w:rPr>
        <w:t>, a decision which will exacerbate the alarming rates of physical and sexual abuse that transgender persons experience in detention</w:t>
      </w:r>
      <w:r w:rsidRPr="00201DA2">
        <w:rPr>
          <w:sz w:val="22"/>
          <w:szCs w:val="22"/>
        </w:rPr>
        <w:t>.</w:t>
      </w:r>
      <w:r w:rsidR="0030578D" w:rsidRPr="00201DA2">
        <w:rPr>
          <w:rStyle w:val="FootnoteReference"/>
          <w:sz w:val="22"/>
          <w:szCs w:val="22"/>
        </w:rPr>
        <w:footnoteReference w:id="106"/>
      </w:r>
      <w:r w:rsidRPr="00201DA2">
        <w:rPr>
          <w:sz w:val="22"/>
          <w:szCs w:val="22"/>
        </w:rPr>
        <w:t xml:space="preserve"> </w:t>
      </w:r>
    </w:p>
    <w:p w14:paraId="0EDE5CB5" w14:textId="77777777" w:rsidR="00C626C2" w:rsidRPr="00201DA2" w:rsidRDefault="00C626C2" w:rsidP="007A4556">
      <w:pPr>
        <w:rPr>
          <w:sz w:val="22"/>
          <w:szCs w:val="22"/>
        </w:rPr>
      </w:pPr>
    </w:p>
    <w:p w14:paraId="6B12D5DF" w14:textId="5CE4BD1D" w:rsidR="007A4556" w:rsidRPr="00201DA2" w:rsidRDefault="007A4556" w:rsidP="007A4556">
      <w:pPr>
        <w:rPr>
          <w:sz w:val="22"/>
          <w:szCs w:val="22"/>
        </w:rPr>
      </w:pPr>
      <w:r w:rsidRPr="00201DA2">
        <w:rPr>
          <w:sz w:val="22"/>
          <w:szCs w:val="22"/>
        </w:rPr>
        <w:t xml:space="preserve">In 2018, Oklahoma, Kansas, and South Carolina enacted laws permitting adoption and foster care providers asserting a religious objection to refuse to place children with LGBT people. </w:t>
      </w:r>
      <w:r w:rsidR="00C626C2" w:rsidRPr="00201DA2">
        <w:rPr>
          <w:sz w:val="22"/>
          <w:szCs w:val="22"/>
        </w:rPr>
        <w:t xml:space="preserve">Similar laws exist in Alabama, Michigan, North Dakota, South Dakota, Texas, and Virginia. </w:t>
      </w:r>
      <w:r w:rsidRPr="00201DA2">
        <w:rPr>
          <w:sz w:val="22"/>
          <w:szCs w:val="22"/>
        </w:rPr>
        <w:t>A similar provision was added to an appropriations bill in the US House of Representatives but did not become law.</w:t>
      </w:r>
    </w:p>
    <w:p w14:paraId="4CA3C3D2" w14:textId="77777777" w:rsidR="007A4556" w:rsidRPr="00201DA2" w:rsidRDefault="007A4556" w:rsidP="007A4556">
      <w:pPr>
        <w:rPr>
          <w:sz w:val="22"/>
          <w:szCs w:val="22"/>
        </w:rPr>
      </w:pPr>
    </w:p>
    <w:p w14:paraId="65DA9137" w14:textId="6C191CA7" w:rsidR="00C626C2" w:rsidRPr="00201DA2" w:rsidRDefault="00C626C2" w:rsidP="00C626C2">
      <w:pPr>
        <w:rPr>
          <w:sz w:val="22"/>
          <w:szCs w:val="22"/>
        </w:rPr>
      </w:pPr>
      <w:r w:rsidRPr="00201DA2">
        <w:rPr>
          <w:sz w:val="22"/>
          <w:szCs w:val="22"/>
        </w:rPr>
        <w:t xml:space="preserve">Mississippi permits a wide range of service providers to refuse goods and services to LGBT people based on the provider’s religious or moral objections. Tennessee allows counselors and therapists to decline to work with LGBT patients if they assert a religious or moral objection. These “license to discriminate” </w:t>
      </w:r>
      <w:r w:rsidRPr="00201DA2">
        <w:rPr>
          <w:sz w:val="22"/>
          <w:szCs w:val="22"/>
        </w:rPr>
        <w:lastRenderedPageBreak/>
        <w:t>law</w:t>
      </w:r>
      <w:r w:rsidR="004938A4" w:rsidRPr="00201DA2">
        <w:rPr>
          <w:sz w:val="22"/>
          <w:szCs w:val="22"/>
        </w:rPr>
        <w:t>s deprive LGBT people of goods and services, make them reluctant to seek out goods and services, and harm their dignity.</w:t>
      </w:r>
      <w:r w:rsidR="00CE486D" w:rsidRPr="00201DA2">
        <w:rPr>
          <w:rStyle w:val="FootnoteReference"/>
          <w:sz w:val="22"/>
          <w:szCs w:val="22"/>
        </w:rPr>
        <w:footnoteReference w:id="107"/>
      </w:r>
      <w:r w:rsidRPr="00201DA2">
        <w:rPr>
          <w:sz w:val="22"/>
          <w:szCs w:val="22"/>
        </w:rPr>
        <w:t xml:space="preserve"> </w:t>
      </w:r>
    </w:p>
    <w:p w14:paraId="00345722" w14:textId="77777777" w:rsidR="00C626C2" w:rsidRPr="00201DA2" w:rsidRDefault="00C626C2" w:rsidP="007A4556">
      <w:pPr>
        <w:pBdr>
          <w:top w:val="nil"/>
          <w:left w:val="nil"/>
          <w:bottom w:val="nil"/>
          <w:right w:val="nil"/>
          <w:between w:val="nil"/>
        </w:pBdr>
        <w:contextualSpacing/>
        <w:rPr>
          <w:sz w:val="22"/>
          <w:szCs w:val="22"/>
        </w:rPr>
      </w:pPr>
    </w:p>
    <w:p w14:paraId="7A41C1A1" w14:textId="12AA42BC" w:rsidR="007A4556" w:rsidRPr="00201DA2" w:rsidRDefault="00342C21" w:rsidP="007A4556">
      <w:pPr>
        <w:pBdr>
          <w:top w:val="nil"/>
          <w:left w:val="nil"/>
          <w:bottom w:val="nil"/>
          <w:right w:val="nil"/>
          <w:between w:val="nil"/>
        </w:pBdr>
        <w:contextualSpacing/>
        <w:rPr>
          <w:rFonts w:eastAsia="Calibri"/>
          <w:color w:val="000000"/>
          <w:sz w:val="22"/>
          <w:szCs w:val="22"/>
        </w:rPr>
      </w:pPr>
      <w:r w:rsidRPr="00201DA2">
        <w:rPr>
          <w:sz w:val="22"/>
          <w:szCs w:val="22"/>
        </w:rPr>
        <w:t>F</w:t>
      </w:r>
      <w:r w:rsidR="00C626C2" w:rsidRPr="00201DA2">
        <w:rPr>
          <w:sz w:val="22"/>
          <w:szCs w:val="22"/>
        </w:rPr>
        <w:t xml:space="preserve">ederal law does not expressly prohibit discrimination based on “sexual orientation” or “gender identity” in employment, education, housing, or health care. </w:t>
      </w:r>
      <w:bookmarkStart w:id="13" w:name="_Hlk534811046"/>
      <w:r w:rsidR="00C626C2" w:rsidRPr="00201DA2">
        <w:rPr>
          <w:sz w:val="22"/>
          <w:szCs w:val="22"/>
        </w:rPr>
        <w:t xml:space="preserve">Nineteen </w:t>
      </w:r>
      <w:r w:rsidR="007A4556" w:rsidRPr="00201DA2">
        <w:rPr>
          <w:sz w:val="22"/>
          <w:szCs w:val="22"/>
        </w:rPr>
        <w:t>states have laws expressly banning discrimination based on both sexual orientation and gender identity in employment, housing, and public accommodations.</w:t>
      </w:r>
      <w:r w:rsidR="00FB339B" w:rsidRPr="00201DA2">
        <w:rPr>
          <w:rStyle w:val="FootnoteReference"/>
          <w:sz w:val="22"/>
          <w:szCs w:val="22"/>
        </w:rPr>
        <w:footnoteReference w:id="108"/>
      </w:r>
      <w:r w:rsidR="007A4556" w:rsidRPr="00201DA2">
        <w:rPr>
          <w:sz w:val="22"/>
          <w:szCs w:val="22"/>
        </w:rPr>
        <w:t xml:space="preserve"> Wisconsin and New York prohibit discrimination based on sexual orientation but not gender identity, and Utah only prohibits discrimination in employment and housing.</w:t>
      </w:r>
      <w:r w:rsidR="00FB339B" w:rsidRPr="00201DA2">
        <w:rPr>
          <w:rStyle w:val="FootnoteReference"/>
          <w:sz w:val="22"/>
          <w:szCs w:val="22"/>
        </w:rPr>
        <w:footnoteReference w:id="109"/>
      </w:r>
      <w:r w:rsidR="007A4556" w:rsidRPr="00201DA2">
        <w:rPr>
          <w:sz w:val="22"/>
          <w:szCs w:val="22"/>
        </w:rPr>
        <w:t xml:space="preserve"> Michigan, New York, and Pennsylvania interpret their statutory prohibition on sex discrimination to include discrimination based on sexual orientation and/or gender identity.</w:t>
      </w:r>
      <w:bookmarkEnd w:id="13"/>
      <w:r w:rsidR="00FB339B" w:rsidRPr="00201DA2">
        <w:rPr>
          <w:rStyle w:val="FootnoteReference"/>
          <w:sz w:val="22"/>
          <w:szCs w:val="22"/>
        </w:rPr>
        <w:footnoteReference w:id="110"/>
      </w:r>
    </w:p>
    <w:p w14:paraId="72E46266" w14:textId="77777777" w:rsidR="00154853" w:rsidRPr="00201DA2" w:rsidRDefault="00154853" w:rsidP="00154853">
      <w:pPr>
        <w:pBdr>
          <w:top w:val="nil"/>
          <w:left w:val="nil"/>
          <w:bottom w:val="nil"/>
          <w:right w:val="nil"/>
          <w:between w:val="nil"/>
        </w:pBdr>
        <w:ind w:left="1440" w:hanging="720"/>
        <w:rPr>
          <w:rFonts w:eastAsia="Calibri"/>
          <w:color w:val="000000"/>
          <w:sz w:val="22"/>
          <w:szCs w:val="22"/>
        </w:rPr>
      </w:pPr>
    </w:p>
    <w:p w14:paraId="3E9FD3AC" w14:textId="7D7383BD" w:rsidR="00154853" w:rsidRPr="00201DA2" w:rsidRDefault="00154853" w:rsidP="00154853">
      <w:pPr>
        <w:pBdr>
          <w:top w:val="nil"/>
          <w:left w:val="nil"/>
          <w:bottom w:val="nil"/>
          <w:right w:val="nil"/>
          <w:between w:val="nil"/>
        </w:pBdr>
        <w:contextualSpacing/>
        <w:rPr>
          <w:rFonts w:eastAsia="Calibri"/>
          <w:b/>
          <w:color w:val="000000"/>
          <w:sz w:val="22"/>
          <w:szCs w:val="22"/>
        </w:rPr>
      </w:pPr>
      <w:r w:rsidRPr="00201DA2">
        <w:rPr>
          <w:rFonts w:eastAsia="Calibri"/>
          <w:b/>
          <w:color w:val="000000"/>
          <w:sz w:val="22"/>
          <w:szCs w:val="22"/>
        </w:rPr>
        <w:t>Human Rights Committee General Comments and Related UN Body Recommendations</w:t>
      </w:r>
    </w:p>
    <w:p w14:paraId="2170F048" w14:textId="77777777" w:rsidR="00C626C2" w:rsidRPr="00201DA2" w:rsidRDefault="00C626C2" w:rsidP="00C626C2">
      <w:pPr>
        <w:rPr>
          <w:sz w:val="22"/>
          <w:szCs w:val="22"/>
        </w:rPr>
      </w:pPr>
      <w:r w:rsidRPr="00201DA2">
        <w:rPr>
          <w:sz w:val="22"/>
          <w:szCs w:val="22"/>
        </w:rPr>
        <w:t>The Human Rights Committee has repeatedly recognized that discrimination based on sexual orientation and gender identity is impermissible under the ICCPR.</w:t>
      </w:r>
      <w:r w:rsidRPr="00201DA2">
        <w:rPr>
          <w:rStyle w:val="FootnoteReference"/>
          <w:sz w:val="22"/>
          <w:szCs w:val="22"/>
        </w:rPr>
        <w:footnoteReference w:id="111"/>
      </w:r>
      <w:r w:rsidRPr="00201DA2">
        <w:rPr>
          <w:sz w:val="22"/>
          <w:szCs w:val="22"/>
        </w:rPr>
        <w:t xml:space="preserve"> </w:t>
      </w:r>
    </w:p>
    <w:p w14:paraId="04BEB50E" w14:textId="77777777" w:rsidR="00C626C2" w:rsidRPr="00201DA2" w:rsidRDefault="00C626C2" w:rsidP="00C626C2">
      <w:pPr>
        <w:rPr>
          <w:sz w:val="22"/>
          <w:szCs w:val="22"/>
        </w:rPr>
      </w:pPr>
    </w:p>
    <w:p w14:paraId="233484B9" w14:textId="77777777" w:rsidR="00C626C2" w:rsidRPr="00201DA2" w:rsidRDefault="00C626C2" w:rsidP="00C626C2">
      <w:pPr>
        <w:rPr>
          <w:sz w:val="22"/>
          <w:szCs w:val="22"/>
        </w:rPr>
      </w:pPr>
      <w:r w:rsidRPr="00201DA2">
        <w:rPr>
          <w:sz w:val="22"/>
          <w:szCs w:val="22"/>
        </w:rPr>
        <w:t>The Human Rights Committee has recognized that LGBT youth should be safe from violence and bullying in school environments. Article 9 of the ICCPR guarantees the right to liberty and security of person. This encompasses an obligation on the part of governments to protect people’s right to personal security against attacks by private persons.</w:t>
      </w:r>
      <w:r w:rsidRPr="00201DA2">
        <w:rPr>
          <w:rStyle w:val="FootnoteReference"/>
          <w:sz w:val="22"/>
          <w:szCs w:val="22"/>
        </w:rPr>
        <w:footnoteReference w:id="112"/>
      </w:r>
      <w:r w:rsidRPr="00201DA2">
        <w:rPr>
          <w:sz w:val="22"/>
          <w:szCs w:val="22"/>
        </w:rPr>
        <w:t xml:space="preserve"> Under Article 24 of the ICCPR, the US government has an additional responsibility to undertake “such measures of protection” to protect the rights of children “as are required by [their] status as minor[s].”</w:t>
      </w:r>
      <w:r w:rsidRPr="00201DA2">
        <w:rPr>
          <w:rStyle w:val="FootnoteReference"/>
          <w:sz w:val="22"/>
          <w:szCs w:val="22"/>
        </w:rPr>
        <w:footnoteReference w:id="113"/>
      </w:r>
      <w:r w:rsidRPr="00201DA2">
        <w:rPr>
          <w:sz w:val="22"/>
          <w:szCs w:val="22"/>
        </w:rPr>
        <w:t xml:space="preserve"> The Human Rights Committee has previously expressed concern about violence and harassment against LGBT people.</w:t>
      </w:r>
      <w:r w:rsidRPr="00201DA2">
        <w:rPr>
          <w:rStyle w:val="FootnoteReference"/>
          <w:sz w:val="22"/>
          <w:szCs w:val="22"/>
        </w:rPr>
        <w:footnoteReference w:id="114"/>
      </w:r>
    </w:p>
    <w:p w14:paraId="30D46E3F" w14:textId="77777777" w:rsidR="00C626C2" w:rsidRPr="00201DA2" w:rsidRDefault="00C626C2" w:rsidP="00C626C2">
      <w:pPr>
        <w:rPr>
          <w:sz w:val="22"/>
          <w:szCs w:val="22"/>
        </w:rPr>
      </w:pPr>
    </w:p>
    <w:p w14:paraId="609633D6" w14:textId="012D713C" w:rsidR="00C626C2" w:rsidRPr="00201DA2" w:rsidRDefault="00C626C2" w:rsidP="00C626C2">
      <w:pPr>
        <w:rPr>
          <w:sz w:val="22"/>
          <w:szCs w:val="22"/>
        </w:rPr>
      </w:pPr>
      <w:r w:rsidRPr="00201DA2">
        <w:rPr>
          <w:sz w:val="22"/>
          <w:szCs w:val="22"/>
        </w:rPr>
        <w:t>Article 17 of the ICCPR specifies that “[n]o one shall be subjected to arbitrary or unlawful interference with [their] privacy</w:t>
      </w:r>
      <w:r w:rsidR="00445A8D" w:rsidRPr="00201DA2">
        <w:rPr>
          <w:sz w:val="22"/>
          <w:szCs w:val="22"/>
        </w:rPr>
        <w:t>.</w:t>
      </w:r>
      <w:r w:rsidRPr="00201DA2">
        <w:rPr>
          <w:sz w:val="22"/>
          <w:szCs w:val="22"/>
        </w:rPr>
        <w:t>”</w:t>
      </w:r>
      <w:r w:rsidRPr="00201DA2">
        <w:rPr>
          <w:rStyle w:val="FootnoteReference"/>
          <w:sz w:val="22"/>
          <w:szCs w:val="22"/>
        </w:rPr>
        <w:footnoteReference w:id="115"/>
      </w:r>
      <w:r w:rsidRPr="00201DA2">
        <w:rPr>
          <w:sz w:val="22"/>
          <w:szCs w:val="22"/>
        </w:rPr>
        <w:t xml:space="preserve"> </w:t>
      </w:r>
      <w:r w:rsidR="00342C21" w:rsidRPr="00201DA2">
        <w:rPr>
          <w:sz w:val="22"/>
          <w:szCs w:val="22"/>
        </w:rPr>
        <w:t>State efforts to guarantee that right</w:t>
      </w:r>
      <w:r w:rsidR="00445A8D" w:rsidRPr="00201DA2">
        <w:rPr>
          <w:sz w:val="22"/>
          <w:szCs w:val="22"/>
        </w:rPr>
        <w:t xml:space="preserve"> </w:t>
      </w:r>
      <w:r w:rsidR="00342C21" w:rsidRPr="00201DA2">
        <w:rPr>
          <w:sz w:val="22"/>
          <w:szCs w:val="22"/>
        </w:rPr>
        <w:t xml:space="preserve">should include </w:t>
      </w:r>
      <w:r w:rsidRPr="00201DA2">
        <w:rPr>
          <w:sz w:val="22"/>
          <w:szCs w:val="22"/>
        </w:rPr>
        <w:t xml:space="preserve">steps </w:t>
      </w:r>
      <w:r w:rsidR="00342C21" w:rsidRPr="00201DA2">
        <w:rPr>
          <w:sz w:val="22"/>
          <w:szCs w:val="22"/>
        </w:rPr>
        <w:t xml:space="preserve">to </w:t>
      </w:r>
      <w:r w:rsidRPr="00201DA2">
        <w:rPr>
          <w:sz w:val="22"/>
          <w:szCs w:val="22"/>
        </w:rPr>
        <w:t>respect the gender identity of transgender people</w:t>
      </w:r>
      <w:r w:rsidR="00445A8D" w:rsidRPr="00201DA2">
        <w:rPr>
          <w:sz w:val="22"/>
          <w:szCs w:val="22"/>
        </w:rPr>
        <w:t xml:space="preserve"> and</w:t>
      </w:r>
      <w:r w:rsidRPr="00201DA2">
        <w:rPr>
          <w:sz w:val="22"/>
          <w:szCs w:val="22"/>
        </w:rPr>
        <w:t xml:space="preserve"> refrain from classifying or treating transgender individuals in a manner that could “out” them against their will to other members of the community. </w:t>
      </w:r>
    </w:p>
    <w:p w14:paraId="7D4F877C" w14:textId="77777777" w:rsidR="00C626C2" w:rsidRPr="00201DA2" w:rsidRDefault="00C626C2" w:rsidP="00C626C2">
      <w:pPr>
        <w:rPr>
          <w:sz w:val="22"/>
          <w:szCs w:val="22"/>
        </w:rPr>
      </w:pPr>
    </w:p>
    <w:p w14:paraId="6F0D8BB7" w14:textId="53AEC1E8" w:rsidR="00C626C2" w:rsidRPr="00201DA2" w:rsidRDefault="00C626C2" w:rsidP="00C626C2">
      <w:pPr>
        <w:rPr>
          <w:sz w:val="22"/>
          <w:szCs w:val="22"/>
        </w:rPr>
      </w:pPr>
      <w:r w:rsidRPr="00201DA2">
        <w:rPr>
          <w:sz w:val="22"/>
          <w:szCs w:val="22"/>
        </w:rPr>
        <w:lastRenderedPageBreak/>
        <w:t>The UN Human Rights Committee has clarified that the freedom of thought, conscience, and religion does not protect religiously motivated discrimination against women, or racial and religious minorities.</w:t>
      </w:r>
      <w:r w:rsidRPr="00201DA2">
        <w:rPr>
          <w:rStyle w:val="FootnoteReference"/>
          <w:sz w:val="22"/>
          <w:szCs w:val="22"/>
        </w:rPr>
        <w:footnoteReference w:id="116"/>
      </w:r>
      <w:r w:rsidRPr="00201DA2">
        <w:rPr>
          <w:sz w:val="22"/>
          <w:szCs w:val="22"/>
        </w:rPr>
        <w:t xml:space="preserve"> It has urged states considering restrictions on the manifestation of religion or belief to “proceed from the need to protect all rights guaranteed under the Covenant, including the right to equality and non-discrimination.”</w:t>
      </w:r>
      <w:r w:rsidRPr="00201DA2">
        <w:rPr>
          <w:rStyle w:val="FootnoteReference"/>
          <w:sz w:val="22"/>
          <w:szCs w:val="22"/>
        </w:rPr>
        <w:footnoteReference w:id="117"/>
      </w:r>
    </w:p>
    <w:p w14:paraId="75B5EC6E" w14:textId="77777777" w:rsidR="00C626C2" w:rsidRPr="00201DA2" w:rsidRDefault="00C626C2" w:rsidP="00C626C2">
      <w:pPr>
        <w:pBdr>
          <w:top w:val="nil"/>
          <w:left w:val="nil"/>
          <w:bottom w:val="nil"/>
          <w:right w:val="nil"/>
          <w:between w:val="nil"/>
        </w:pBdr>
        <w:contextualSpacing/>
        <w:rPr>
          <w:rFonts w:eastAsia="Calibri"/>
          <w:color w:val="000000"/>
          <w:sz w:val="22"/>
          <w:szCs w:val="22"/>
        </w:rPr>
      </w:pPr>
    </w:p>
    <w:p w14:paraId="55700059" w14:textId="23B683EF" w:rsidR="00C626C2" w:rsidRPr="00F92F40" w:rsidRDefault="00F00DAB" w:rsidP="00F00DAB">
      <w:r w:rsidRPr="00201DA2">
        <w:rPr>
          <w:sz w:val="22"/>
          <w:szCs w:val="22"/>
        </w:rPr>
        <w:t>Article 19 of the ICCPR protects the freedom of expression and freedom to seek, receive, and impart information.</w:t>
      </w:r>
      <w:r w:rsidRPr="00201DA2">
        <w:rPr>
          <w:rStyle w:val="FootnoteReference"/>
          <w:sz w:val="22"/>
          <w:szCs w:val="22"/>
        </w:rPr>
        <w:footnoteReference w:id="118"/>
      </w:r>
      <w:r w:rsidRPr="00201DA2">
        <w:rPr>
          <w:sz w:val="22"/>
          <w:szCs w:val="22"/>
        </w:rPr>
        <w:t xml:space="preserve"> The ICCPR also recognizes the right of peaceful assembly under Article 21 and the right to freedom of association with others under Article 22.</w:t>
      </w:r>
      <w:r w:rsidRPr="00201DA2">
        <w:rPr>
          <w:rStyle w:val="FootnoteReference"/>
          <w:sz w:val="22"/>
          <w:szCs w:val="22"/>
        </w:rPr>
        <w:footnoteReference w:id="119"/>
      </w:r>
      <w:r w:rsidRPr="00201DA2">
        <w:rPr>
          <w:sz w:val="22"/>
          <w:szCs w:val="22"/>
        </w:rPr>
        <w:t xml:space="preserve"> </w:t>
      </w:r>
      <w:r w:rsidR="00C626C2" w:rsidRPr="00201DA2">
        <w:rPr>
          <w:sz w:val="22"/>
          <w:szCs w:val="22"/>
        </w:rPr>
        <w:t>The many obstacles that LGBT youth encounter when forming or operating LGBT student groups threaten to unduly limit or restrict LGBT students’ rights to expression, association, and assembly in schools. The absence of education related to LGBT issues and the continued existence of so-called “no promo homo” laws undermines the right to freedom of expression for both students and teachers. The UN Human Rights Committee, reviewing a conviction under Russia’s law prohibiting “propaganda of homosexuality among minors,” concluded that “there is no doubt that there has been a restriction on the exercise of the author’s right to freedom of expression” under such laws</w:t>
      </w:r>
      <w:r w:rsidR="0007215E" w:rsidRPr="00201DA2">
        <w:rPr>
          <w:sz w:val="22"/>
          <w:szCs w:val="22"/>
        </w:rPr>
        <w:t xml:space="preserve"> and that the restriction constituted a violation of </w:t>
      </w:r>
      <w:r w:rsidR="003821C3" w:rsidRPr="00201DA2">
        <w:rPr>
          <w:sz w:val="22"/>
          <w:szCs w:val="22"/>
        </w:rPr>
        <w:t>A</w:t>
      </w:r>
      <w:r w:rsidR="0007215E" w:rsidRPr="00201DA2">
        <w:rPr>
          <w:sz w:val="22"/>
          <w:szCs w:val="22"/>
        </w:rPr>
        <w:t>rticle</w:t>
      </w:r>
      <w:r w:rsidR="0007215E" w:rsidRPr="00F92F40">
        <w:t xml:space="preserve"> </w:t>
      </w:r>
      <w:r w:rsidR="0007215E" w:rsidRPr="00201DA2">
        <w:rPr>
          <w:sz w:val="22"/>
          <w:szCs w:val="22"/>
        </w:rPr>
        <w:t xml:space="preserve">19.2 read in conjunction with </w:t>
      </w:r>
      <w:r w:rsidR="003821C3" w:rsidRPr="00201DA2">
        <w:rPr>
          <w:sz w:val="22"/>
          <w:szCs w:val="22"/>
        </w:rPr>
        <w:t>A</w:t>
      </w:r>
      <w:r w:rsidR="0007215E" w:rsidRPr="00201DA2">
        <w:rPr>
          <w:sz w:val="22"/>
          <w:szCs w:val="22"/>
        </w:rPr>
        <w:t>rticle 26 of the Covenant</w:t>
      </w:r>
      <w:r w:rsidR="00C626C2" w:rsidRPr="00201DA2">
        <w:rPr>
          <w:sz w:val="22"/>
          <w:szCs w:val="22"/>
        </w:rPr>
        <w:t>.</w:t>
      </w:r>
      <w:r w:rsidR="00283C23" w:rsidRPr="00201DA2">
        <w:rPr>
          <w:rStyle w:val="FootnoteReference"/>
          <w:sz w:val="22"/>
          <w:szCs w:val="22"/>
        </w:rPr>
        <w:footnoteReference w:id="120"/>
      </w:r>
      <w:r w:rsidR="00C626C2" w:rsidRPr="00201DA2">
        <w:rPr>
          <w:sz w:val="22"/>
          <w:szCs w:val="22"/>
        </w:rPr>
        <w:t xml:space="preserve"> </w:t>
      </w:r>
    </w:p>
    <w:p w14:paraId="61E61403" w14:textId="77777777" w:rsidR="00F26876" w:rsidRPr="00201DA2" w:rsidRDefault="00F26876" w:rsidP="00154853">
      <w:pPr>
        <w:pBdr>
          <w:top w:val="nil"/>
          <w:left w:val="nil"/>
          <w:bottom w:val="nil"/>
          <w:right w:val="nil"/>
          <w:between w:val="nil"/>
        </w:pBdr>
        <w:contextualSpacing/>
        <w:rPr>
          <w:rFonts w:eastAsia="Calibri"/>
          <w:b/>
          <w:color w:val="000000"/>
          <w:sz w:val="22"/>
          <w:szCs w:val="22"/>
        </w:rPr>
      </w:pPr>
    </w:p>
    <w:p w14:paraId="4B308C4E" w14:textId="4FBEB301" w:rsidR="00154853" w:rsidRPr="00201DA2" w:rsidRDefault="00154853" w:rsidP="00154853">
      <w:pPr>
        <w:pBdr>
          <w:top w:val="nil"/>
          <w:left w:val="nil"/>
          <w:bottom w:val="nil"/>
          <w:right w:val="nil"/>
          <w:between w:val="nil"/>
        </w:pBdr>
        <w:contextualSpacing/>
        <w:rPr>
          <w:rFonts w:eastAsia="Calibri"/>
          <w:b/>
          <w:color w:val="000000"/>
          <w:sz w:val="22"/>
          <w:szCs w:val="22"/>
        </w:rPr>
      </w:pPr>
      <w:r w:rsidRPr="00201DA2">
        <w:rPr>
          <w:rFonts w:eastAsia="Calibri"/>
          <w:b/>
          <w:color w:val="000000"/>
          <w:sz w:val="22"/>
          <w:szCs w:val="22"/>
        </w:rPr>
        <w:t>Recommended Questions</w:t>
      </w:r>
    </w:p>
    <w:p w14:paraId="55375131" w14:textId="41D5F76F" w:rsidR="00C626C2" w:rsidRPr="00201DA2" w:rsidRDefault="00C626C2" w:rsidP="00C626C2">
      <w:pPr>
        <w:pStyle w:val="ListParagraph"/>
        <w:numPr>
          <w:ilvl w:val="0"/>
          <w:numId w:val="21"/>
        </w:numPr>
        <w:pBdr>
          <w:top w:val="nil"/>
          <w:left w:val="nil"/>
          <w:bottom w:val="nil"/>
          <w:right w:val="nil"/>
          <w:between w:val="nil"/>
        </w:pBdr>
        <w:rPr>
          <w:rFonts w:eastAsia="Calibri"/>
          <w:color w:val="000000"/>
          <w:sz w:val="22"/>
          <w:szCs w:val="22"/>
        </w:rPr>
      </w:pPr>
      <w:r w:rsidRPr="00201DA2">
        <w:rPr>
          <w:rFonts w:eastAsia="Calibri"/>
          <w:color w:val="000000"/>
          <w:sz w:val="22"/>
          <w:szCs w:val="22"/>
        </w:rPr>
        <w:t xml:space="preserve">As it weakens sex discrimination protections for LGBT people, what concrete steps </w:t>
      </w:r>
      <w:r w:rsidR="009A4B24" w:rsidRPr="00201DA2">
        <w:rPr>
          <w:rFonts w:eastAsia="Calibri"/>
          <w:color w:val="000000"/>
          <w:sz w:val="22"/>
          <w:szCs w:val="22"/>
        </w:rPr>
        <w:t xml:space="preserve">if any </w:t>
      </w:r>
      <w:r w:rsidRPr="00201DA2">
        <w:rPr>
          <w:rFonts w:eastAsia="Calibri"/>
          <w:color w:val="000000"/>
          <w:sz w:val="22"/>
          <w:szCs w:val="22"/>
        </w:rPr>
        <w:t>is the federal government taking to prohibit discrimination based on sexual orientation and gender identity in keeping with Articles 2 and 26 of the ICCPR?</w:t>
      </w:r>
    </w:p>
    <w:p w14:paraId="4632A8FB" w14:textId="0128B0A1" w:rsidR="00C626C2" w:rsidRPr="00201DA2" w:rsidRDefault="00C626C2" w:rsidP="00C626C2">
      <w:pPr>
        <w:pStyle w:val="ListParagraph"/>
        <w:numPr>
          <w:ilvl w:val="0"/>
          <w:numId w:val="21"/>
        </w:numPr>
        <w:pBdr>
          <w:top w:val="nil"/>
          <w:left w:val="nil"/>
          <w:bottom w:val="nil"/>
          <w:right w:val="nil"/>
          <w:between w:val="nil"/>
        </w:pBdr>
        <w:rPr>
          <w:rFonts w:eastAsia="Calibri"/>
          <w:color w:val="000000"/>
          <w:sz w:val="22"/>
          <w:szCs w:val="22"/>
        </w:rPr>
      </w:pPr>
      <w:r w:rsidRPr="00201DA2">
        <w:rPr>
          <w:rFonts w:eastAsia="Calibri"/>
          <w:color w:val="000000"/>
          <w:sz w:val="22"/>
          <w:szCs w:val="22"/>
        </w:rPr>
        <w:t>What steps</w:t>
      </w:r>
      <w:r w:rsidR="009A4B24" w:rsidRPr="00201DA2">
        <w:rPr>
          <w:rFonts w:eastAsia="Calibri"/>
          <w:color w:val="000000"/>
          <w:sz w:val="22"/>
          <w:szCs w:val="22"/>
        </w:rPr>
        <w:t xml:space="preserve"> if any</w:t>
      </w:r>
      <w:r w:rsidRPr="00201DA2">
        <w:rPr>
          <w:rFonts w:eastAsia="Calibri"/>
          <w:color w:val="000000"/>
          <w:sz w:val="22"/>
          <w:szCs w:val="22"/>
        </w:rPr>
        <w:t xml:space="preserve"> is the government taking to ensure that religious exemptions do not infringe on the rights of LGBT individuals?</w:t>
      </w:r>
    </w:p>
    <w:p w14:paraId="20837B9B" w14:textId="77777777" w:rsidR="00154853" w:rsidRPr="00201DA2" w:rsidRDefault="00154853" w:rsidP="00154853">
      <w:pPr>
        <w:pBdr>
          <w:top w:val="nil"/>
          <w:left w:val="nil"/>
          <w:bottom w:val="nil"/>
          <w:right w:val="nil"/>
          <w:between w:val="nil"/>
        </w:pBdr>
        <w:contextualSpacing/>
        <w:rPr>
          <w:rFonts w:eastAsia="Calibri"/>
          <w:color w:val="000000"/>
          <w:sz w:val="22"/>
          <w:szCs w:val="22"/>
        </w:rPr>
      </w:pPr>
    </w:p>
    <w:p w14:paraId="44DA3163" w14:textId="632ECB0D" w:rsidR="00322ED2" w:rsidRPr="00201DA2" w:rsidRDefault="00154853" w:rsidP="00322ED2">
      <w:pPr>
        <w:pBdr>
          <w:top w:val="nil"/>
          <w:left w:val="nil"/>
          <w:bottom w:val="nil"/>
          <w:right w:val="nil"/>
          <w:between w:val="nil"/>
        </w:pBdr>
        <w:contextualSpacing/>
        <w:rPr>
          <w:rFonts w:eastAsia="Calibri"/>
          <w:color w:val="000000"/>
          <w:sz w:val="22"/>
          <w:szCs w:val="22"/>
        </w:rPr>
      </w:pPr>
      <w:r w:rsidRPr="00201DA2">
        <w:rPr>
          <w:rFonts w:eastAsia="Calibri"/>
          <w:b/>
          <w:color w:val="000000"/>
          <w:sz w:val="22"/>
          <w:szCs w:val="22"/>
        </w:rPr>
        <w:t>Suggested Recommendations</w:t>
      </w:r>
    </w:p>
    <w:p w14:paraId="0A6FC53D" w14:textId="0173C6C8" w:rsidR="00C626C2" w:rsidRPr="00201DA2" w:rsidRDefault="00C626C2" w:rsidP="00C626C2">
      <w:pPr>
        <w:pStyle w:val="ListParagraph"/>
        <w:numPr>
          <w:ilvl w:val="0"/>
          <w:numId w:val="26"/>
        </w:numPr>
        <w:pBdr>
          <w:top w:val="nil"/>
          <w:left w:val="nil"/>
          <w:bottom w:val="nil"/>
          <w:right w:val="nil"/>
          <w:between w:val="nil"/>
        </w:pBdr>
        <w:rPr>
          <w:rFonts w:eastAsia="Calibri"/>
          <w:color w:val="000000"/>
          <w:sz w:val="22"/>
          <w:szCs w:val="22"/>
        </w:rPr>
      </w:pPr>
      <w:r w:rsidRPr="00201DA2">
        <w:rPr>
          <w:rFonts w:eastAsia="Calibri"/>
          <w:color w:val="000000"/>
          <w:sz w:val="22"/>
          <w:szCs w:val="22"/>
        </w:rPr>
        <w:t xml:space="preserve">The </w:t>
      </w:r>
      <w:r w:rsidR="003821C3" w:rsidRPr="00201DA2">
        <w:rPr>
          <w:rFonts w:eastAsia="Calibri"/>
          <w:color w:val="000000"/>
          <w:sz w:val="22"/>
          <w:szCs w:val="22"/>
        </w:rPr>
        <w:t>S</w:t>
      </w:r>
      <w:r w:rsidRPr="00201DA2">
        <w:rPr>
          <w:rFonts w:eastAsia="Calibri"/>
          <w:color w:val="000000"/>
          <w:sz w:val="22"/>
          <w:szCs w:val="22"/>
        </w:rPr>
        <w:t xml:space="preserve">tate </w:t>
      </w:r>
      <w:r w:rsidR="003821C3" w:rsidRPr="00201DA2">
        <w:rPr>
          <w:rFonts w:eastAsia="Calibri"/>
          <w:color w:val="000000"/>
          <w:sz w:val="22"/>
          <w:szCs w:val="22"/>
        </w:rPr>
        <w:t>P</w:t>
      </w:r>
      <w:r w:rsidRPr="00201DA2">
        <w:rPr>
          <w:rFonts w:eastAsia="Calibri"/>
          <w:color w:val="000000"/>
          <w:sz w:val="22"/>
          <w:szCs w:val="22"/>
        </w:rPr>
        <w:t>arty should expressly prohibit discrimination on the basis of sexual orientation and gender identity in employment, education, housing, health care, and other relevant domains.</w:t>
      </w:r>
    </w:p>
    <w:p w14:paraId="44BE663C" w14:textId="25B90154" w:rsidR="00342C21" w:rsidRPr="00201DA2" w:rsidRDefault="00C626C2" w:rsidP="00C626C2">
      <w:pPr>
        <w:pStyle w:val="ListParagraph"/>
        <w:numPr>
          <w:ilvl w:val="0"/>
          <w:numId w:val="26"/>
        </w:numPr>
        <w:pBdr>
          <w:top w:val="nil"/>
          <w:left w:val="nil"/>
          <w:bottom w:val="nil"/>
          <w:right w:val="nil"/>
          <w:between w:val="nil"/>
        </w:pBdr>
        <w:rPr>
          <w:rFonts w:eastAsia="Calibri"/>
          <w:color w:val="000000"/>
          <w:sz w:val="22"/>
          <w:szCs w:val="22"/>
        </w:rPr>
      </w:pPr>
      <w:r w:rsidRPr="00201DA2">
        <w:rPr>
          <w:rFonts w:eastAsia="Calibri"/>
          <w:color w:val="000000"/>
          <w:sz w:val="22"/>
          <w:szCs w:val="22"/>
        </w:rPr>
        <w:t xml:space="preserve">The </w:t>
      </w:r>
      <w:r w:rsidR="003821C3" w:rsidRPr="00201DA2">
        <w:rPr>
          <w:rFonts w:eastAsia="Calibri"/>
          <w:color w:val="000000"/>
          <w:sz w:val="22"/>
          <w:szCs w:val="22"/>
        </w:rPr>
        <w:t>S</w:t>
      </w:r>
      <w:r w:rsidRPr="00201DA2">
        <w:rPr>
          <w:rFonts w:eastAsia="Calibri"/>
          <w:color w:val="000000"/>
          <w:sz w:val="22"/>
          <w:szCs w:val="22"/>
        </w:rPr>
        <w:t xml:space="preserve">tate </w:t>
      </w:r>
      <w:r w:rsidR="003821C3" w:rsidRPr="00201DA2">
        <w:rPr>
          <w:rFonts w:eastAsia="Calibri"/>
          <w:color w:val="000000"/>
          <w:sz w:val="22"/>
          <w:szCs w:val="22"/>
        </w:rPr>
        <w:t>P</w:t>
      </w:r>
      <w:r w:rsidRPr="00201DA2">
        <w:rPr>
          <w:rFonts w:eastAsia="Calibri"/>
          <w:color w:val="000000"/>
          <w:sz w:val="22"/>
          <w:szCs w:val="22"/>
        </w:rPr>
        <w:t xml:space="preserve">arty should withdraw its ban on transgender military service. </w:t>
      </w:r>
    </w:p>
    <w:p w14:paraId="1E04CE68" w14:textId="2B30C22A" w:rsidR="00C626C2" w:rsidRPr="00201DA2" w:rsidRDefault="00C626C2" w:rsidP="00C626C2">
      <w:pPr>
        <w:pStyle w:val="ListParagraph"/>
        <w:numPr>
          <w:ilvl w:val="0"/>
          <w:numId w:val="26"/>
        </w:numPr>
        <w:pBdr>
          <w:top w:val="nil"/>
          <w:left w:val="nil"/>
          <w:bottom w:val="nil"/>
          <w:right w:val="nil"/>
          <w:between w:val="nil"/>
        </w:pBdr>
        <w:rPr>
          <w:rFonts w:eastAsia="Calibri"/>
          <w:color w:val="000000"/>
          <w:sz w:val="22"/>
          <w:szCs w:val="22"/>
        </w:rPr>
      </w:pPr>
      <w:r w:rsidRPr="00201DA2">
        <w:rPr>
          <w:rFonts w:eastAsia="Calibri"/>
          <w:color w:val="000000"/>
          <w:sz w:val="22"/>
          <w:szCs w:val="22"/>
        </w:rPr>
        <w:t xml:space="preserve">The </w:t>
      </w:r>
      <w:r w:rsidR="003821C3" w:rsidRPr="00201DA2">
        <w:rPr>
          <w:rFonts w:eastAsia="Calibri"/>
          <w:color w:val="000000"/>
          <w:sz w:val="22"/>
          <w:szCs w:val="22"/>
        </w:rPr>
        <w:t>S</w:t>
      </w:r>
      <w:r w:rsidRPr="00201DA2">
        <w:rPr>
          <w:rFonts w:eastAsia="Calibri"/>
          <w:color w:val="000000"/>
          <w:sz w:val="22"/>
          <w:szCs w:val="22"/>
        </w:rPr>
        <w:t xml:space="preserve">tate </w:t>
      </w:r>
      <w:r w:rsidR="003821C3" w:rsidRPr="00201DA2">
        <w:rPr>
          <w:rFonts w:eastAsia="Calibri"/>
          <w:color w:val="000000"/>
          <w:sz w:val="22"/>
          <w:szCs w:val="22"/>
        </w:rPr>
        <w:t>P</w:t>
      </w:r>
      <w:r w:rsidRPr="00201DA2">
        <w:rPr>
          <w:rFonts w:eastAsia="Calibri"/>
          <w:color w:val="000000"/>
          <w:sz w:val="22"/>
          <w:szCs w:val="22"/>
        </w:rPr>
        <w:t>arty should withdraw its policy housing transgender prisoners according to their sex assigned at birth and undertake a holistic assessment that respects a person’s gender identity.</w:t>
      </w:r>
    </w:p>
    <w:p w14:paraId="396F3D9B" w14:textId="6ECBD656" w:rsidR="00C626C2" w:rsidRPr="00201DA2" w:rsidRDefault="00C626C2" w:rsidP="00C626C2">
      <w:pPr>
        <w:pStyle w:val="ListParagraph"/>
        <w:numPr>
          <w:ilvl w:val="0"/>
          <w:numId w:val="26"/>
        </w:numPr>
        <w:pBdr>
          <w:top w:val="nil"/>
          <w:left w:val="nil"/>
          <w:bottom w:val="nil"/>
          <w:right w:val="nil"/>
          <w:between w:val="nil"/>
        </w:pBdr>
        <w:rPr>
          <w:rFonts w:eastAsia="Calibri"/>
          <w:color w:val="000000"/>
          <w:sz w:val="22"/>
          <w:szCs w:val="22"/>
        </w:rPr>
      </w:pPr>
      <w:r w:rsidRPr="00201DA2">
        <w:rPr>
          <w:rFonts w:eastAsia="Calibri"/>
          <w:color w:val="000000"/>
          <w:sz w:val="22"/>
          <w:szCs w:val="22"/>
        </w:rPr>
        <w:t xml:space="preserve">The </w:t>
      </w:r>
      <w:r w:rsidR="003821C3" w:rsidRPr="00201DA2">
        <w:rPr>
          <w:rFonts w:eastAsia="Calibri"/>
          <w:color w:val="000000"/>
          <w:sz w:val="22"/>
          <w:szCs w:val="22"/>
        </w:rPr>
        <w:t>S</w:t>
      </w:r>
      <w:r w:rsidRPr="00201DA2">
        <w:rPr>
          <w:rFonts w:eastAsia="Calibri"/>
          <w:color w:val="000000"/>
          <w:sz w:val="22"/>
          <w:szCs w:val="22"/>
        </w:rPr>
        <w:t xml:space="preserve">tate </w:t>
      </w:r>
      <w:r w:rsidR="003821C3" w:rsidRPr="00201DA2">
        <w:rPr>
          <w:rFonts w:eastAsia="Calibri"/>
          <w:color w:val="000000"/>
          <w:sz w:val="22"/>
          <w:szCs w:val="22"/>
        </w:rPr>
        <w:t>P</w:t>
      </w:r>
      <w:r w:rsidRPr="00201DA2">
        <w:rPr>
          <w:rFonts w:eastAsia="Calibri"/>
          <w:color w:val="000000"/>
          <w:sz w:val="22"/>
          <w:szCs w:val="22"/>
        </w:rPr>
        <w:t>arty should strengthen protections for LGBT youth in schools by enacting LGBT-inclusive anti-bullying laws, repealing no promo homo laws, promulgating LGBT-inclusive curricula, and prohibiting discrimination against LGBT youth in schools.</w:t>
      </w:r>
    </w:p>
    <w:p w14:paraId="3AACAE98" w14:textId="71099B1B" w:rsidR="00C626C2" w:rsidRPr="00201DA2" w:rsidRDefault="00C626C2" w:rsidP="00C626C2">
      <w:pPr>
        <w:pStyle w:val="ListParagraph"/>
        <w:numPr>
          <w:ilvl w:val="0"/>
          <w:numId w:val="26"/>
        </w:numPr>
        <w:pBdr>
          <w:top w:val="nil"/>
          <w:left w:val="nil"/>
          <w:bottom w:val="nil"/>
          <w:right w:val="nil"/>
          <w:between w:val="nil"/>
        </w:pBdr>
        <w:rPr>
          <w:rFonts w:eastAsia="Calibri"/>
          <w:color w:val="000000"/>
          <w:sz w:val="22"/>
          <w:szCs w:val="22"/>
        </w:rPr>
      </w:pPr>
      <w:r w:rsidRPr="00201DA2">
        <w:rPr>
          <w:rFonts w:eastAsia="Calibri"/>
          <w:color w:val="000000"/>
          <w:sz w:val="22"/>
          <w:szCs w:val="22"/>
        </w:rPr>
        <w:t xml:space="preserve">The </w:t>
      </w:r>
      <w:r w:rsidR="003821C3" w:rsidRPr="00201DA2">
        <w:rPr>
          <w:rFonts w:eastAsia="Calibri"/>
          <w:color w:val="000000"/>
          <w:sz w:val="22"/>
          <w:szCs w:val="22"/>
        </w:rPr>
        <w:t>S</w:t>
      </w:r>
      <w:r w:rsidRPr="00201DA2">
        <w:rPr>
          <w:rFonts w:eastAsia="Calibri"/>
          <w:color w:val="000000"/>
          <w:sz w:val="22"/>
          <w:szCs w:val="22"/>
        </w:rPr>
        <w:t xml:space="preserve">tate </w:t>
      </w:r>
      <w:r w:rsidR="003821C3" w:rsidRPr="00201DA2">
        <w:rPr>
          <w:rFonts w:eastAsia="Calibri"/>
          <w:color w:val="000000"/>
          <w:sz w:val="22"/>
          <w:szCs w:val="22"/>
        </w:rPr>
        <w:t>P</w:t>
      </w:r>
      <w:r w:rsidRPr="00201DA2">
        <w:rPr>
          <w:rFonts w:eastAsia="Calibri"/>
          <w:color w:val="000000"/>
          <w:sz w:val="22"/>
          <w:szCs w:val="22"/>
        </w:rPr>
        <w:t xml:space="preserve">arty should </w:t>
      </w:r>
      <w:r w:rsidR="00E8705B" w:rsidRPr="00201DA2">
        <w:rPr>
          <w:rFonts w:eastAsia="Calibri"/>
          <w:color w:val="000000"/>
          <w:sz w:val="22"/>
          <w:szCs w:val="22"/>
        </w:rPr>
        <w:t xml:space="preserve">press states to </w:t>
      </w:r>
      <w:r w:rsidRPr="00201DA2">
        <w:rPr>
          <w:rFonts w:eastAsia="Calibri"/>
          <w:color w:val="000000"/>
          <w:sz w:val="22"/>
          <w:szCs w:val="22"/>
        </w:rPr>
        <w:t>repeal “license to discriminate” laws that permit religious or moral objectors to deny LGBT people goods and services they provide to the general public.</w:t>
      </w:r>
    </w:p>
    <w:p w14:paraId="01A736B3" w14:textId="77777777" w:rsidR="006D0D9B" w:rsidRPr="00201DA2" w:rsidRDefault="006D0D9B" w:rsidP="00F40CCE">
      <w:pPr>
        <w:pBdr>
          <w:top w:val="nil"/>
          <w:left w:val="nil"/>
          <w:bottom w:val="nil"/>
          <w:right w:val="nil"/>
          <w:between w:val="nil"/>
        </w:pBdr>
        <w:contextualSpacing/>
        <w:jc w:val="center"/>
        <w:rPr>
          <w:b/>
          <w:sz w:val="22"/>
          <w:szCs w:val="22"/>
        </w:rPr>
      </w:pPr>
    </w:p>
    <w:p w14:paraId="65368E11" w14:textId="4F1C098D" w:rsidR="00F40CCE" w:rsidRPr="00201DA2" w:rsidRDefault="00F40CCE" w:rsidP="00F40CCE">
      <w:pPr>
        <w:pBdr>
          <w:top w:val="nil"/>
          <w:left w:val="nil"/>
          <w:bottom w:val="nil"/>
          <w:right w:val="nil"/>
          <w:between w:val="nil"/>
        </w:pBdr>
        <w:contextualSpacing/>
        <w:jc w:val="center"/>
        <w:rPr>
          <w:b/>
          <w:sz w:val="22"/>
          <w:szCs w:val="22"/>
        </w:rPr>
      </w:pPr>
      <w:r w:rsidRPr="00201DA2">
        <w:rPr>
          <w:b/>
          <w:sz w:val="22"/>
          <w:szCs w:val="22"/>
        </w:rPr>
        <w:t>Surveillance and Data Protection</w:t>
      </w:r>
    </w:p>
    <w:p w14:paraId="14A35A8A" w14:textId="59D50F43" w:rsidR="00F40CCE" w:rsidRPr="00201DA2" w:rsidRDefault="00F40CCE" w:rsidP="00154853">
      <w:pPr>
        <w:pBdr>
          <w:top w:val="nil"/>
          <w:left w:val="nil"/>
          <w:bottom w:val="nil"/>
          <w:right w:val="nil"/>
          <w:between w:val="nil"/>
        </w:pBdr>
        <w:contextualSpacing/>
        <w:rPr>
          <w:rFonts w:eastAsia="Calibri"/>
          <w:b/>
          <w:color w:val="000000"/>
          <w:sz w:val="22"/>
          <w:szCs w:val="22"/>
        </w:rPr>
      </w:pPr>
    </w:p>
    <w:p w14:paraId="5F0B20B3" w14:textId="651171E1" w:rsidR="00F40CCE" w:rsidRPr="00201DA2" w:rsidRDefault="00F40CCE" w:rsidP="00F40CCE">
      <w:pPr>
        <w:pBdr>
          <w:top w:val="nil"/>
          <w:left w:val="nil"/>
          <w:bottom w:val="nil"/>
          <w:right w:val="nil"/>
          <w:between w:val="nil"/>
        </w:pBdr>
        <w:contextualSpacing/>
        <w:rPr>
          <w:rFonts w:eastAsia="Calibri"/>
          <w:b/>
          <w:color w:val="000000"/>
          <w:sz w:val="22"/>
          <w:szCs w:val="22"/>
        </w:rPr>
      </w:pPr>
      <w:r w:rsidRPr="00201DA2">
        <w:rPr>
          <w:rFonts w:eastAsia="Calibri"/>
          <w:b/>
          <w:color w:val="000000"/>
          <w:sz w:val="22"/>
          <w:szCs w:val="22"/>
        </w:rPr>
        <w:t>Summary</w:t>
      </w:r>
    </w:p>
    <w:p w14:paraId="6485D7AC" w14:textId="1530AA5C" w:rsidR="00EE0DF8" w:rsidRPr="00201DA2" w:rsidRDefault="008A70C4" w:rsidP="00F40CCE">
      <w:pPr>
        <w:pBdr>
          <w:top w:val="nil"/>
          <w:left w:val="nil"/>
          <w:bottom w:val="nil"/>
          <w:right w:val="nil"/>
          <w:between w:val="nil"/>
        </w:pBdr>
        <w:contextualSpacing/>
        <w:rPr>
          <w:rFonts w:eastAsia="Calibri"/>
          <w:color w:val="000000"/>
          <w:sz w:val="22"/>
          <w:szCs w:val="22"/>
        </w:rPr>
      </w:pPr>
      <w:r w:rsidRPr="00201DA2">
        <w:rPr>
          <w:rFonts w:eastAsia="Calibri"/>
          <w:color w:val="000000"/>
          <w:sz w:val="22"/>
          <w:szCs w:val="22"/>
        </w:rPr>
        <w:lastRenderedPageBreak/>
        <w:t>The United States engages in a variety of surveillance</w:t>
      </w:r>
      <w:r w:rsidR="005172E6" w:rsidRPr="00201DA2">
        <w:rPr>
          <w:rFonts w:eastAsia="Calibri"/>
          <w:color w:val="000000"/>
          <w:sz w:val="22"/>
          <w:szCs w:val="22"/>
        </w:rPr>
        <w:t xml:space="preserve"> methods</w:t>
      </w:r>
      <w:r w:rsidRPr="00201DA2">
        <w:rPr>
          <w:rFonts w:eastAsia="Calibri"/>
          <w:color w:val="000000"/>
          <w:sz w:val="22"/>
          <w:szCs w:val="22"/>
        </w:rPr>
        <w:t xml:space="preserve"> at the </w:t>
      </w:r>
      <w:r w:rsidR="0092157F" w:rsidRPr="00201DA2">
        <w:rPr>
          <w:rFonts w:eastAsia="Calibri"/>
          <w:color w:val="000000"/>
          <w:sz w:val="22"/>
          <w:szCs w:val="22"/>
        </w:rPr>
        <w:t>federal</w:t>
      </w:r>
      <w:r w:rsidRPr="00201DA2">
        <w:rPr>
          <w:rFonts w:eastAsia="Calibri"/>
          <w:color w:val="000000"/>
          <w:sz w:val="22"/>
          <w:szCs w:val="22"/>
        </w:rPr>
        <w:t xml:space="preserve">, state, </w:t>
      </w:r>
      <w:r w:rsidR="0092157F" w:rsidRPr="00201DA2">
        <w:rPr>
          <w:rFonts w:eastAsia="Calibri"/>
          <w:color w:val="000000"/>
          <w:sz w:val="22"/>
          <w:szCs w:val="22"/>
        </w:rPr>
        <w:t>local, and tribal</w:t>
      </w:r>
      <w:r w:rsidRPr="00201DA2">
        <w:rPr>
          <w:rFonts w:eastAsia="Calibri"/>
          <w:color w:val="000000"/>
          <w:sz w:val="22"/>
          <w:szCs w:val="22"/>
        </w:rPr>
        <w:t xml:space="preserve"> levels that may constitute</w:t>
      </w:r>
      <w:r w:rsidR="0092157F" w:rsidRPr="00201DA2">
        <w:rPr>
          <w:rFonts w:eastAsia="Calibri"/>
          <w:color w:val="000000"/>
          <w:sz w:val="22"/>
          <w:szCs w:val="22"/>
        </w:rPr>
        <w:t xml:space="preserve"> unnecessary or</w:t>
      </w:r>
      <w:r w:rsidRPr="00201DA2">
        <w:rPr>
          <w:rFonts w:eastAsia="Calibri"/>
          <w:color w:val="000000"/>
          <w:sz w:val="22"/>
          <w:szCs w:val="22"/>
        </w:rPr>
        <w:t xml:space="preserve"> disproportionate infringement</w:t>
      </w:r>
      <w:r w:rsidR="0092157F" w:rsidRPr="00201DA2">
        <w:rPr>
          <w:rFonts w:eastAsia="Calibri"/>
          <w:color w:val="000000"/>
          <w:sz w:val="22"/>
          <w:szCs w:val="22"/>
        </w:rPr>
        <w:t>s</w:t>
      </w:r>
      <w:r w:rsidRPr="00201DA2">
        <w:rPr>
          <w:rFonts w:eastAsia="Calibri"/>
          <w:color w:val="000000"/>
          <w:sz w:val="22"/>
          <w:szCs w:val="22"/>
        </w:rPr>
        <w:t xml:space="preserve"> on the right to privacy</w:t>
      </w:r>
      <w:r w:rsidR="005172E6" w:rsidRPr="00201DA2">
        <w:rPr>
          <w:rFonts w:eastAsia="Calibri"/>
          <w:color w:val="000000"/>
          <w:sz w:val="22"/>
          <w:szCs w:val="22"/>
        </w:rPr>
        <w:t xml:space="preserve">, or that may not be done in accordance with </w:t>
      </w:r>
      <w:r w:rsidR="00EE0DF8" w:rsidRPr="00201DA2">
        <w:rPr>
          <w:rFonts w:eastAsia="Calibri"/>
          <w:color w:val="000000"/>
          <w:sz w:val="22"/>
          <w:szCs w:val="22"/>
        </w:rPr>
        <w:t xml:space="preserve">clear, </w:t>
      </w:r>
      <w:r w:rsidR="005172E6" w:rsidRPr="00201DA2">
        <w:rPr>
          <w:rFonts w:eastAsia="Calibri"/>
          <w:color w:val="000000"/>
          <w:sz w:val="22"/>
          <w:szCs w:val="22"/>
        </w:rPr>
        <w:t>publicly accessible laws</w:t>
      </w:r>
      <w:r w:rsidRPr="00201DA2">
        <w:rPr>
          <w:rFonts w:eastAsia="Calibri"/>
          <w:color w:val="000000"/>
          <w:sz w:val="22"/>
          <w:szCs w:val="22"/>
        </w:rPr>
        <w:t>.</w:t>
      </w:r>
      <w:r w:rsidR="00D068A4" w:rsidRPr="00201DA2">
        <w:rPr>
          <w:rFonts w:eastAsia="Calibri"/>
          <w:color w:val="000000"/>
          <w:sz w:val="22"/>
          <w:szCs w:val="22"/>
        </w:rPr>
        <w:t xml:space="preserve"> </w:t>
      </w:r>
      <w:r w:rsidR="00EE0DF8" w:rsidRPr="00201DA2">
        <w:rPr>
          <w:rFonts w:eastAsia="Calibri"/>
          <w:color w:val="000000"/>
          <w:sz w:val="22"/>
          <w:szCs w:val="22"/>
        </w:rPr>
        <w:t xml:space="preserve">US federal laws also provide only weak and incomplete protections for the privacy of personal data. </w:t>
      </w:r>
      <w:r w:rsidR="00D068A4" w:rsidRPr="00201DA2">
        <w:rPr>
          <w:rFonts w:eastAsia="Calibri"/>
          <w:color w:val="000000"/>
          <w:sz w:val="22"/>
          <w:szCs w:val="22"/>
        </w:rPr>
        <w:t xml:space="preserve">Moreover, US law provides inadequate </w:t>
      </w:r>
      <w:r w:rsidR="00725BD2" w:rsidRPr="00201DA2">
        <w:rPr>
          <w:rFonts w:eastAsia="Calibri"/>
          <w:color w:val="000000"/>
          <w:sz w:val="22"/>
          <w:szCs w:val="22"/>
        </w:rPr>
        <w:t xml:space="preserve">access to </w:t>
      </w:r>
      <w:r w:rsidR="00D068A4" w:rsidRPr="00201DA2">
        <w:rPr>
          <w:rFonts w:eastAsia="Calibri"/>
          <w:color w:val="000000"/>
          <w:sz w:val="22"/>
          <w:szCs w:val="22"/>
        </w:rPr>
        <w:t xml:space="preserve">remedies </w:t>
      </w:r>
      <w:r w:rsidR="00445A8D" w:rsidRPr="00201DA2">
        <w:rPr>
          <w:rFonts w:eastAsia="Calibri"/>
          <w:color w:val="000000"/>
          <w:sz w:val="22"/>
          <w:szCs w:val="22"/>
        </w:rPr>
        <w:t>for</w:t>
      </w:r>
      <w:r w:rsidR="00D068A4" w:rsidRPr="00201DA2">
        <w:rPr>
          <w:rFonts w:eastAsia="Calibri"/>
          <w:color w:val="000000"/>
          <w:sz w:val="22"/>
          <w:szCs w:val="22"/>
        </w:rPr>
        <w:t xml:space="preserve"> individuals who may have experienced a violation of their right to privacy under Article 17. </w:t>
      </w:r>
    </w:p>
    <w:p w14:paraId="5A2AEB64" w14:textId="77777777" w:rsidR="00EE0DF8" w:rsidRPr="00201DA2" w:rsidRDefault="00EE0DF8" w:rsidP="00F40CCE">
      <w:pPr>
        <w:pBdr>
          <w:top w:val="nil"/>
          <w:left w:val="nil"/>
          <w:bottom w:val="nil"/>
          <w:right w:val="nil"/>
          <w:between w:val="nil"/>
        </w:pBdr>
        <w:contextualSpacing/>
        <w:rPr>
          <w:rFonts w:eastAsia="Calibri"/>
          <w:color w:val="000000"/>
          <w:sz w:val="22"/>
          <w:szCs w:val="22"/>
        </w:rPr>
      </w:pPr>
    </w:p>
    <w:p w14:paraId="694AC28A" w14:textId="6413779B" w:rsidR="008A70C4" w:rsidRPr="00201DA2" w:rsidRDefault="00D068A4" w:rsidP="00F40CCE">
      <w:pPr>
        <w:pBdr>
          <w:top w:val="nil"/>
          <w:left w:val="nil"/>
          <w:bottom w:val="nil"/>
          <w:right w:val="nil"/>
          <w:between w:val="nil"/>
        </w:pBdr>
        <w:contextualSpacing/>
        <w:rPr>
          <w:rFonts w:eastAsia="Calibri"/>
          <w:color w:val="000000"/>
          <w:sz w:val="22"/>
          <w:szCs w:val="22"/>
        </w:rPr>
      </w:pPr>
      <w:r w:rsidRPr="00201DA2">
        <w:rPr>
          <w:rFonts w:eastAsia="Calibri"/>
          <w:color w:val="000000"/>
          <w:sz w:val="22"/>
          <w:szCs w:val="22"/>
        </w:rPr>
        <w:t>Finally, US law and policy is especially problematic in protecting the rights of persons subjected to US surveillance</w:t>
      </w:r>
      <w:r w:rsidR="00F9086A" w:rsidRPr="00201DA2">
        <w:rPr>
          <w:rFonts w:eastAsia="Calibri"/>
          <w:color w:val="000000"/>
          <w:sz w:val="22"/>
          <w:szCs w:val="22"/>
        </w:rPr>
        <w:t xml:space="preserve"> executed</w:t>
      </w:r>
      <w:r w:rsidRPr="00201DA2">
        <w:rPr>
          <w:rFonts w:eastAsia="Calibri"/>
          <w:color w:val="000000"/>
          <w:sz w:val="22"/>
          <w:szCs w:val="22"/>
        </w:rPr>
        <w:t xml:space="preserve"> outside the territory of United States.</w:t>
      </w:r>
      <w:r w:rsidR="00EE0DF8" w:rsidRPr="00201DA2">
        <w:rPr>
          <w:rFonts w:eastAsia="Calibri"/>
          <w:color w:val="000000"/>
          <w:sz w:val="22"/>
          <w:szCs w:val="22"/>
        </w:rPr>
        <w:t xml:space="preserve"> Due to the global reach and routing of internet communications, including those sent to, from, or even within the United States, such persons may be located anywhere in the world—including in the US.</w:t>
      </w:r>
    </w:p>
    <w:p w14:paraId="48F251E3" w14:textId="77777777" w:rsidR="00F40CCE" w:rsidRPr="00201DA2" w:rsidRDefault="00F40CCE" w:rsidP="00F40CCE">
      <w:pPr>
        <w:pBdr>
          <w:top w:val="nil"/>
          <w:left w:val="nil"/>
          <w:bottom w:val="nil"/>
          <w:right w:val="nil"/>
          <w:between w:val="nil"/>
        </w:pBdr>
        <w:rPr>
          <w:rFonts w:eastAsia="Calibri"/>
          <w:color w:val="000000"/>
          <w:sz w:val="22"/>
          <w:szCs w:val="22"/>
        </w:rPr>
      </w:pPr>
    </w:p>
    <w:p w14:paraId="133C49A9" w14:textId="3865FFAE" w:rsidR="00F40CCE" w:rsidRPr="00201DA2" w:rsidRDefault="00F40CCE" w:rsidP="00F40CCE">
      <w:pPr>
        <w:pBdr>
          <w:top w:val="nil"/>
          <w:left w:val="nil"/>
          <w:bottom w:val="nil"/>
          <w:right w:val="nil"/>
          <w:between w:val="nil"/>
        </w:pBdr>
        <w:contextualSpacing/>
        <w:rPr>
          <w:rFonts w:eastAsia="Calibri"/>
          <w:b/>
          <w:color w:val="000000"/>
          <w:sz w:val="22"/>
          <w:szCs w:val="22"/>
          <w:lang w:val="fr-FR"/>
        </w:rPr>
      </w:pPr>
      <w:r w:rsidRPr="00201DA2">
        <w:rPr>
          <w:rFonts w:eastAsia="Calibri"/>
          <w:b/>
          <w:color w:val="000000"/>
          <w:sz w:val="22"/>
          <w:szCs w:val="22"/>
          <w:lang w:val="fr-FR"/>
        </w:rPr>
        <w:t>Relevant ICCPR Articles</w:t>
      </w:r>
    </w:p>
    <w:p w14:paraId="3C0E8749" w14:textId="18904D9A" w:rsidR="008A70C4" w:rsidRPr="00201DA2" w:rsidRDefault="008A70C4" w:rsidP="00F40CCE">
      <w:pPr>
        <w:pBdr>
          <w:top w:val="nil"/>
          <w:left w:val="nil"/>
          <w:bottom w:val="nil"/>
          <w:right w:val="nil"/>
          <w:between w:val="nil"/>
        </w:pBdr>
        <w:contextualSpacing/>
        <w:rPr>
          <w:rFonts w:eastAsia="Calibri"/>
          <w:color w:val="000000"/>
          <w:sz w:val="22"/>
          <w:szCs w:val="22"/>
          <w:lang w:val="fr-FR"/>
        </w:rPr>
      </w:pPr>
      <w:r w:rsidRPr="00201DA2">
        <w:rPr>
          <w:rFonts w:eastAsia="Calibri"/>
          <w:color w:val="000000"/>
          <w:sz w:val="22"/>
          <w:szCs w:val="22"/>
          <w:lang w:val="fr-FR"/>
        </w:rPr>
        <w:t>Article</w:t>
      </w:r>
      <w:r w:rsidR="00725BD2" w:rsidRPr="00201DA2">
        <w:rPr>
          <w:rFonts w:eastAsia="Calibri"/>
          <w:color w:val="000000"/>
          <w:sz w:val="22"/>
          <w:szCs w:val="22"/>
          <w:lang w:val="fr-FR"/>
        </w:rPr>
        <w:t>s 2</w:t>
      </w:r>
      <w:r w:rsidR="00F63373" w:rsidRPr="00201DA2">
        <w:rPr>
          <w:rFonts w:eastAsia="Calibri"/>
          <w:color w:val="000000"/>
          <w:sz w:val="22"/>
          <w:szCs w:val="22"/>
          <w:lang w:val="fr-FR"/>
        </w:rPr>
        <w:t xml:space="preserve"> and</w:t>
      </w:r>
      <w:r w:rsidRPr="00201DA2">
        <w:rPr>
          <w:rFonts w:eastAsia="Calibri"/>
          <w:color w:val="000000"/>
          <w:sz w:val="22"/>
          <w:szCs w:val="22"/>
          <w:lang w:val="fr-FR"/>
        </w:rPr>
        <w:t xml:space="preserve"> 17</w:t>
      </w:r>
      <w:r w:rsidR="00725BD2" w:rsidRPr="00201DA2">
        <w:rPr>
          <w:rFonts w:eastAsia="Calibri"/>
          <w:color w:val="000000"/>
          <w:sz w:val="22"/>
          <w:szCs w:val="22"/>
          <w:lang w:val="fr-FR"/>
        </w:rPr>
        <w:t>.</w:t>
      </w:r>
    </w:p>
    <w:p w14:paraId="0AE283DB" w14:textId="77777777" w:rsidR="00F40CCE" w:rsidRPr="00201DA2" w:rsidRDefault="00F40CCE" w:rsidP="00F40CCE">
      <w:pPr>
        <w:pBdr>
          <w:top w:val="nil"/>
          <w:left w:val="nil"/>
          <w:bottom w:val="nil"/>
          <w:right w:val="nil"/>
          <w:between w:val="nil"/>
        </w:pBdr>
        <w:contextualSpacing/>
        <w:rPr>
          <w:rFonts w:eastAsia="Calibri"/>
          <w:color w:val="000000"/>
          <w:sz w:val="22"/>
          <w:szCs w:val="22"/>
          <w:lang w:val="fr-FR"/>
        </w:rPr>
      </w:pPr>
    </w:p>
    <w:p w14:paraId="2EE92986" w14:textId="5EDC2B99" w:rsidR="00F40CCE" w:rsidRPr="00201DA2" w:rsidRDefault="00F40CCE" w:rsidP="00F40CCE">
      <w:pPr>
        <w:pBdr>
          <w:top w:val="nil"/>
          <w:left w:val="nil"/>
          <w:bottom w:val="nil"/>
          <w:right w:val="nil"/>
          <w:between w:val="nil"/>
        </w:pBdr>
        <w:contextualSpacing/>
        <w:rPr>
          <w:rFonts w:eastAsia="Calibri"/>
          <w:b/>
          <w:color w:val="000000"/>
          <w:sz w:val="22"/>
          <w:szCs w:val="22"/>
          <w:lang w:val="fr-FR"/>
        </w:rPr>
      </w:pPr>
      <w:r w:rsidRPr="00201DA2">
        <w:rPr>
          <w:rFonts w:eastAsia="Calibri"/>
          <w:b/>
          <w:color w:val="000000"/>
          <w:sz w:val="22"/>
          <w:szCs w:val="22"/>
          <w:lang w:val="fr-FR"/>
        </w:rPr>
        <w:t>Prior Recommendations</w:t>
      </w:r>
    </w:p>
    <w:p w14:paraId="5B419420" w14:textId="0E4B76F0" w:rsidR="00725BD2" w:rsidRPr="00201DA2" w:rsidRDefault="00F16A7C" w:rsidP="00725BD2">
      <w:pPr>
        <w:pStyle w:val="ListParagraph"/>
        <w:numPr>
          <w:ilvl w:val="0"/>
          <w:numId w:val="21"/>
        </w:numPr>
        <w:pBdr>
          <w:top w:val="nil"/>
          <w:left w:val="nil"/>
          <w:bottom w:val="nil"/>
          <w:right w:val="nil"/>
          <w:between w:val="nil"/>
        </w:pBdr>
        <w:rPr>
          <w:rFonts w:eastAsia="Calibri"/>
          <w:color w:val="000000"/>
          <w:sz w:val="22"/>
          <w:szCs w:val="22"/>
        </w:rPr>
      </w:pPr>
      <w:r w:rsidRPr="00201DA2">
        <w:rPr>
          <w:rFonts w:eastAsia="Calibri"/>
          <w:color w:val="000000"/>
          <w:sz w:val="22"/>
          <w:szCs w:val="22"/>
        </w:rPr>
        <w:t>In its 2006 Concluding Observation</w:t>
      </w:r>
      <w:r w:rsidR="00725BD2" w:rsidRPr="00201DA2">
        <w:rPr>
          <w:rFonts w:eastAsia="Calibri"/>
          <w:color w:val="000000"/>
          <w:sz w:val="22"/>
          <w:szCs w:val="22"/>
        </w:rPr>
        <w:t>s</w:t>
      </w:r>
      <w:r w:rsidRPr="00201DA2">
        <w:rPr>
          <w:rFonts w:eastAsia="Calibri"/>
          <w:color w:val="000000"/>
          <w:sz w:val="22"/>
          <w:szCs w:val="22"/>
        </w:rPr>
        <w:t>, the Committee instructed the United States to “</w:t>
      </w:r>
      <w:r w:rsidRPr="00201DA2">
        <w:rPr>
          <w:bCs/>
          <w:sz w:val="22"/>
          <w:szCs w:val="22"/>
        </w:rPr>
        <w:t>ensure that any infringement on individual’s rights to privacy is strictly necessary and duly authorized by law, and that the rights of individuals to follow suit in this regard are respected.”</w:t>
      </w:r>
      <w:r w:rsidR="00882C30" w:rsidRPr="00201DA2">
        <w:rPr>
          <w:bCs/>
          <w:sz w:val="22"/>
          <w:szCs w:val="22"/>
        </w:rPr>
        <w:t xml:space="preserve"> (para. 21)</w:t>
      </w:r>
      <w:r w:rsidR="00F63373" w:rsidRPr="00201DA2">
        <w:rPr>
          <w:bCs/>
          <w:sz w:val="22"/>
          <w:szCs w:val="22"/>
        </w:rPr>
        <w:t>.</w:t>
      </w:r>
      <w:r w:rsidR="00882C30" w:rsidRPr="00201DA2">
        <w:rPr>
          <w:bCs/>
          <w:sz w:val="22"/>
          <w:szCs w:val="22"/>
        </w:rPr>
        <w:t xml:space="preserve"> </w:t>
      </w:r>
    </w:p>
    <w:p w14:paraId="1E2CDFC6" w14:textId="72FDCAE9" w:rsidR="00F16A7C" w:rsidRPr="00201DA2" w:rsidRDefault="00F16A7C" w:rsidP="00AA3D3D">
      <w:pPr>
        <w:pStyle w:val="ListParagraph"/>
        <w:numPr>
          <w:ilvl w:val="0"/>
          <w:numId w:val="21"/>
        </w:numPr>
        <w:pBdr>
          <w:top w:val="nil"/>
          <w:left w:val="nil"/>
          <w:bottom w:val="nil"/>
          <w:right w:val="nil"/>
          <w:between w:val="nil"/>
        </w:pBdr>
        <w:rPr>
          <w:sz w:val="22"/>
          <w:szCs w:val="22"/>
        </w:rPr>
      </w:pPr>
      <w:r w:rsidRPr="00201DA2">
        <w:rPr>
          <w:rFonts w:eastAsia="Calibri"/>
          <w:color w:val="000000"/>
          <w:sz w:val="22"/>
          <w:szCs w:val="22"/>
        </w:rPr>
        <w:t xml:space="preserve">In its 2014 </w:t>
      </w:r>
      <w:r w:rsidR="00725BD2" w:rsidRPr="00201DA2">
        <w:rPr>
          <w:rFonts w:eastAsia="Calibri"/>
          <w:color w:val="000000"/>
          <w:sz w:val="22"/>
          <w:szCs w:val="22"/>
        </w:rPr>
        <w:t>Concluding Observations, the Committee expressed detailed concerns about United States surveillance and data practices and recommended that the United States</w:t>
      </w:r>
      <w:r w:rsidR="006D0D9B" w:rsidRPr="00201DA2">
        <w:rPr>
          <w:rFonts w:eastAsia="Calibri"/>
          <w:color w:val="000000"/>
          <w:sz w:val="22"/>
          <w:szCs w:val="22"/>
        </w:rPr>
        <w:t xml:space="preserve">, </w:t>
      </w:r>
      <w:r w:rsidR="006D0D9B" w:rsidRPr="00201DA2">
        <w:rPr>
          <w:rFonts w:eastAsia="Calibri"/>
          <w:i/>
          <w:color w:val="000000"/>
          <w:sz w:val="22"/>
          <w:szCs w:val="22"/>
        </w:rPr>
        <w:t>inter alia</w:t>
      </w:r>
      <w:r w:rsidR="006D0D9B" w:rsidRPr="00201DA2">
        <w:rPr>
          <w:rFonts w:eastAsia="Calibri"/>
          <w:color w:val="000000"/>
          <w:sz w:val="22"/>
          <w:szCs w:val="22"/>
        </w:rPr>
        <w:t xml:space="preserve">, </w:t>
      </w:r>
      <w:r w:rsidR="00F63373" w:rsidRPr="00201DA2">
        <w:rPr>
          <w:sz w:val="22"/>
          <w:szCs w:val="22"/>
        </w:rPr>
        <w:t>“</w:t>
      </w:r>
      <w:r w:rsidR="00725BD2" w:rsidRPr="00201DA2">
        <w:rPr>
          <w:sz w:val="22"/>
          <w:szCs w:val="22"/>
        </w:rPr>
        <w:t>Take all necessary measures to ensure that its surveillance activities, both within and outside the United States, conform to its obligations under the Covenant, including article 17; in particular, measures should be taken to ensure that any interference with the right to privacy complies with the principles of legality, proportionality and necessity, regardless of the nationality or location of the individuals whose communications are under direct surveillance</w:t>
      </w:r>
      <w:r w:rsidR="006D0D9B" w:rsidRPr="00201DA2">
        <w:rPr>
          <w:sz w:val="22"/>
          <w:szCs w:val="22"/>
        </w:rPr>
        <w:t xml:space="preserve">. . .  .” </w:t>
      </w:r>
      <w:r w:rsidR="00882C30" w:rsidRPr="00201DA2">
        <w:rPr>
          <w:sz w:val="22"/>
          <w:szCs w:val="22"/>
        </w:rPr>
        <w:t>(para. 22)</w:t>
      </w:r>
      <w:r w:rsidR="00F63373" w:rsidRPr="00201DA2">
        <w:rPr>
          <w:sz w:val="22"/>
          <w:szCs w:val="22"/>
        </w:rPr>
        <w:t>.</w:t>
      </w:r>
    </w:p>
    <w:p w14:paraId="41EABFAA" w14:textId="77777777" w:rsidR="00F40CCE" w:rsidRPr="00201DA2" w:rsidRDefault="00F40CCE" w:rsidP="00F40CCE">
      <w:pPr>
        <w:pBdr>
          <w:top w:val="nil"/>
          <w:left w:val="nil"/>
          <w:bottom w:val="nil"/>
          <w:right w:val="nil"/>
          <w:between w:val="nil"/>
        </w:pBdr>
        <w:ind w:left="1440" w:hanging="720"/>
        <w:rPr>
          <w:rFonts w:eastAsia="Calibri"/>
          <w:color w:val="000000"/>
          <w:sz w:val="22"/>
          <w:szCs w:val="22"/>
        </w:rPr>
      </w:pPr>
    </w:p>
    <w:p w14:paraId="65C7A942" w14:textId="22AA07C9" w:rsidR="00F40CCE" w:rsidRPr="00201DA2" w:rsidRDefault="00F40CCE" w:rsidP="00F40CCE">
      <w:pPr>
        <w:pBdr>
          <w:top w:val="nil"/>
          <w:left w:val="nil"/>
          <w:bottom w:val="nil"/>
          <w:right w:val="nil"/>
          <w:between w:val="nil"/>
        </w:pBdr>
        <w:contextualSpacing/>
        <w:rPr>
          <w:rFonts w:eastAsia="Calibri"/>
          <w:b/>
          <w:color w:val="000000"/>
          <w:sz w:val="22"/>
          <w:szCs w:val="22"/>
        </w:rPr>
      </w:pPr>
      <w:r w:rsidRPr="00201DA2">
        <w:rPr>
          <w:rFonts w:eastAsia="Calibri"/>
          <w:b/>
          <w:sz w:val="22"/>
          <w:szCs w:val="22"/>
        </w:rPr>
        <w:t xml:space="preserve">Current </w:t>
      </w:r>
      <w:r w:rsidRPr="00201DA2">
        <w:rPr>
          <w:rFonts w:eastAsia="Calibri"/>
          <w:b/>
          <w:color w:val="000000"/>
          <w:sz w:val="22"/>
          <w:szCs w:val="22"/>
        </w:rPr>
        <w:t xml:space="preserve">US Government Policy or Practice </w:t>
      </w:r>
    </w:p>
    <w:p w14:paraId="587EAC72" w14:textId="56005D23" w:rsidR="00F9086A" w:rsidRPr="00201DA2" w:rsidRDefault="00F9086A" w:rsidP="00B54955">
      <w:pPr>
        <w:rPr>
          <w:sz w:val="22"/>
          <w:szCs w:val="22"/>
        </w:rPr>
      </w:pPr>
      <w:r w:rsidRPr="00201DA2">
        <w:rPr>
          <w:sz w:val="22"/>
          <w:szCs w:val="22"/>
        </w:rPr>
        <w:t>Since 1981, US intelligence agencies have had the power under Executive Order 12333 to execute surveillance techniques outside the US that may entail massive</w:t>
      </w:r>
      <w:r w:rsidR="00600148" w:rsidRPr="00201DA2">
        <w:rPr>
          <w:sz w:val="22"/>
          <w:szCs w:val="22"/>
        </w:rPr>
        <w:t xml:space="preserve"> communications</w:t>
      </w:r>
      <w:r w:rsidRPr="00201DA2">
        <w:rPr>
          <w:sz w:val="22"/>
          <w:szCs w:val="22"/>
        </w:rPr>
        <w:t xml:space="preserve"> monitoring—including of </w:t>
      </w:r>
      <w:r w:rsidR="00600148" w:rsidRPr="00201DA2">
        <w:rPr>
          <w:sz w:val="22"/>
          <w:szCs w:val="22"/>
        </w:rPr>
        <w:t xml:space="preserve">correspondence or other data </w:t>
      </w:r>
      <w:r w:rsidRPr="00201DA2">
        <w:rPr>
          <w:sz w:val="22"/>
          <w:szCs w:val="22"/>
        </w:rPr>
        <w:t>belonging to people within or outside the US—and are not subject to judicial or other independent authorization.</w:t>
      </w:r>
      <w:r w:rsidR="00600148" w:rsidRPr="00201DA2">
        <w:rPr>
          <w:rStyle w:val="FootnoteReference"/>
          <w:sz w:val="22"/>
          <w:szCs w:val="22"/>
        </w:rPr>
        <w:footnoteReference w:id="121"/>
      </w:r>
      <w:r w:rsidRPr="00201DA2">
        <w:rPr>
          <w:sz w:val="22"/>
          <w:szCs w:val="22"/>
        </w:rPr>
        <w:t xml:space="preserve"> </w:t>
      </w:r>
      <w:bookmarkStart w:id="14" w:name="_Hlk535176753"/>
      <w:r w:rsidR="00A02EBA" w:rsidRPr="00201DA2">
        <w:rPr>
          <w:sz w:val="22"/>
          <w:szCs w:val="22"/>
        </w:rPr>
        <w:t xml:space="preserve">Executive Order 12333 was the subject of comment during the second cycle of the Universal Periodic Review of the United States, but the </w:t>
      </w:r>
      <w:r w:rsidR="00974452" w:rsidRPr="00201DA2">
        <w:rPr>
          <w:sz w:val="22"/>
          <w:szCs w:val="22"/>
        </w:rPr>
        <w:t>O</w:t>
      </w:r>
      <w:r w:rsidR="00A02EBA" w:rsidRPr="00201DA2">
        <w:rPr>
          <w:sz w:val="22"/>
          <w:szCs w:val="22"/>
        </w:rPr>
        <w:t>rder and</w:t>
      </w:r>
      <w:r w:rsidR="00600148" w:rsidRPr="00201DA2">
        <w:rPr>
          <w:sz w:val="22"/>
          <w:szCs w:val="22"/>
        </w:rPr>
        <w:t xml:space="preserve"> </w:t>
      </w:r>
      <w:r w:rsidR="00E87C8B" w:rsidRPr="00201DA2">
        <w:rPr>
          <w:sz w:val="22"/>
          <w:szCs w:val="22"/>
        </w:rPr>
        <w:t>its</w:t>
      </w:r>
      <w:r w:rsidR="00A02EBA" w:rsidRPr="00201DA2">
        <w:rPr>
          <w:sz w:val="22"/>
          <w:szCs w:val="22"/>
        </w:rPr>
        <w:t xml:space="preserve"> potential for</w:t>
      </w:r>
      <w:r w:rsidR="00600148" w:rsidRPr="00201DA2">
        <w:rPr>
          <w:sz w:val="22"/>
          <w:szCs w:val="22"/>
        </w:rPr>
        <w:t xml:space="preserve"> </w:t>
      </w:r>
      <w:r w:rsidR="00A02EBA" w:rsidRPr="00201DA2">
        <w:rPr>
          <w:sz w:val="22"/>
          <w:szCs w:val="22"/>
        </w:rPr>
        <w:t>abuse remain unchanged.</w:t>
      </w:r>
      <w:bookmarkEnd w:id="14"/>
      <w:r w:rsidR="002918DD" w:rsidRPr="00201DA2">
        <w:rPr>
          <w:rStyle w:val="FootnoteReference"/>
          <w:sz w:val="22"/>
          <w:szCs w:val="22"/>
        </w:rPr>
        <w:footnoteReference w:id="122"/>
      </w:r>
      <w:r w:rsidR="00A02EBA" w:rsidRPr="00201DA2">
        <w:rPr>
          <w:sz w:val="22"/>
          <w:szCs w:val="22"/>
        </w:rPr>
        <w:t xml:space="preserve"> In 2017, Human Rights Watch </w:t>
      </w:r>
      <w:r w:rsidR="00397CF5" w:rsidRPr="00201DA2">
        <w:rPr>
          <w:sz w:val="22"/>
          <w:szCs w:val="22"/>
        </w:rPr>
        <w:t xml:space="preserve">revealed a US government policy </w:t>
      </w:r>
      <w:r w:rsidR="00773BB6" w:rsidRPr="00201DA2">
        <w:rPr>
          <w:sz w:val="22"/>
          <w:szCs w:val="22"/>
        </w:rPr>
        <w:t>allowing unknown forms of monitoring under Executive Order 12333 of people in the US whom the government regards as “homegrown violent extremists” based on criteria it has not disclosed.</w:t>
      </w:r>
      <w:r w:rsidR="0048669D" w:rsidRPr="00201DA2">
        <w:rPr>
          <w:rStyle w:val="FootnoteReference"/>
          <w:sz w:val="22"/>
          <w:szCs w:val="22"/>
        </w:rPr>
        <w:footnoteReference w:id="123"/>
      </w:r>
    </w:p>
    <w:p w14:paraId="3DD56C46" w14:textId="77777777" w:rsidR="00F9086A" w:rsidRPr="00201DA2" w:rsidRDefault="00F9086A" w:rsidP="00B54955">
      <w:pPr>
        <w:rPr>
          <w:sz w:val="22"/>
          <w:szCs w:val="22"/>
        </w:rPr>
      </w:pPr>
    </w:p>
    <w:p w14:paraId="340B4F47" w14:textId="6CD1CBEA" w:rsidR="00600148" w:rsidRPr="00201DA2" w:rsidRDefault="00B54955" w:rsidP="00B54955">
      <w:pPr>
        <w:rPr>
          <w:sz w:val="22"/>
          <w:szCs w:val="22"/>
          <w:shd w:val="clear" w:color="auto" w:fill="FFFFFF"/>
        </w:rPr>
      </w:pPr>
      <w:r w:rsidRPr="00201DA2">
        <w:rPr>
          <w:sz w:val="22"/>
          <w:szCs w:val="22"/>
        </w:rPr>
        <w:t>In January</w:t>
      </w:r>
      <w:r w:rsidR="00F9086A" w:rsidRPr="00201DA2">
        <w:rPr>
          <w:sz w:val="22"/>
          <w:szCs w:val="22"/>
        </w:rPr>
        <w:t xml:space="preserve"> 2018</w:t>
      </w:r>
      <w:r w:rsidRPr="00201DA2">
        <w:rPr>
          <w:sz w:val="22"/>
          <w:szCs w:val="22"/>
        </w:rPr>
        <w:t>, Congress</w:t>
      </w:r>
      <w:r w:rsidR="001911DF" w:rsidRPr="00201DA2">
        <w:rPr>
          <w:sz w:val="22"/>
          <w:szCs w:val="22"/>
        </w:rPr>
        <w:t xml:space="preserve"> re-authorized </w:t>
      </w:r>
      <w:r w:rsidRPr="00201DA2">
        <w:rPr>
          <w:sz w:val="22"/>
          <w:szCs w:val="22"/>
        </w:rPr>
        <w:t>Section 702 of the Foreign Intelligence Surveillance Act, a law permitting the warrantless surveillance of foreign people and entities overseas, as well as the capture and search</w:t>
      </w:r>
      <w:r w:rsidR="00600148" w:rsidRPr="00201DA2">
        <w:rPr>
          <w:sz w:val="22"/>
          <w:szCs w:val="22"/>
        </w:rPr>
        <w:t>ing</w:t>
      </w:r>
      <w:r w:rsidRPr="00201DA2">
        <w:rPr>
          <w:sz w:val="22"/>
          <w:szCs w:val="22"/>
        </w:rPr>
        <w:t xml:space="preserve"> of </w:t>
      </w:r>
      <w:r w:rsidR="00397CF5" w:rsidRPr="00201DA2">
        <w:rPr>
          <w:sz w:val="22"/>
          <w:szCs w:val="22"/>
        </w:rPr>
        <w:t xml:space="preserve">the </w:t>
      </w:r>
      <w:r w:rsidRPr="00201DA2">
        <w:rPr>
          <w:sz w:val="22"/>
          <w:szCs w:val="22"/>
        </w:rPr>
        <w:t xml:space="preserve">communications </w:t>
      </w:r>
      <w:r w:rsidR="00397CF5" w:rsidRPr="00201DA2">
        <w:rPr>
          <w:sz w:val="22"/>
          <w:szCs w:val="22"/>
        </w:rPr>
        <w:t xml:space="preserve">of people in the US </w:t>
      </w:r>
      <w:r w:rsidRPr="00201DA2">
        <w:rPr>
          <w:sz w:val="22"/>
          <w:szCs w:val="22"/>
        </w:rPr>
        <w:t>in the process.</w:t>
      </w:r>
      <w:r w:rsidR="003A335A" w:rsidRPr="00201DA2">
        <w:rPr>
          <w:rStyle w:val="FootnoteReference"/>
          <w:sz w:val="22"/>
          <w:szCs w:val="22"/>
        </w:rPr>
        <w:footnoteReference w:id="124"/>
      </w:r>
      <w:r w:rsidRPr="00201DA2">
        <w:rPr>
          <w:sz w:val="22"/>
          <w:szCs w:val="22"/>
        </w:rPr>
        <w:t xml:space="preserve"> </w:t>
      </w:r>
      <w:r w:rsidR="00600148" w:rsidRPr="00201DA2">
        <w:rPr>
          <w:sz w:val="22"/>
          <w:szCs w:val="22"/>
          <w:shd w:val="clear" w:color="auto" w:fill="FFFFFF"/>
        </w:rPr>
        <w:t>Under laws such as Section 702 and Executive Order 12333</w:t>
      </w:r>
      <w:r w:rsidR="00F178EA" w:rsidRPr="00201DA2">
        <w:rPr>
          <w:sz w:val="22"/>
          <w:szCs w:val="22"/>
          <w:shd w:val="clear" w:color="auto" w:fill="FFFFFF"/>
        </w:rPr>
        <w:t>, the US</w:t>
      </w:r>
      <w:r w:rsidR="00600148" w:rsidRPr="00201DA2">
        <w:rPr>
          <w:sz w:val="22"/>
          <w:szCs w:val="22"/>
          <w:shd w:val="clear" w:color="auto" w:fill="FFFFFF"/>
        </w:rPr>
        <w:t xml:space="preserve"> continues to</w:t>
      </w:r>
      <w:r w:rsidR="00F178EA" w:rsidRPr="00201DA2">
        <w:rPr>
          <w:sz w:val="22"/>
          <w:szCs w:val="22"/>
          <w:shd w:val="clear" w:color="auto" w:fill="FFFFFF"/>
        </w:rPr>
        <w:t xml:space="preserve"> provide significantly weaker protections for the right to privacy for “non-US persons.”</w:t>
      </w:r>
      <w:r w:rsidR="00D068A4" w:rsidRPr="00201DA2">
        <w:rPr>
          <w:rStyle w:val="FootnoteReference"/>
          <w:sz w:val="22"/>
          <w:szCs w:val="22"/>
          <w:shd w:val="clear" w:color="auto" w:fill="FFFFFF"/>
        </w:rPr>
        <w:footnoteReference w:id="125"/>
      </w:r>
      <w:r w:rsidR="00D068A4" w:rsidRPr="00201DA2">
        <w:rPr>
          <w:sz w:val="22"/>
          <w:szCs w:val="22"/>
          <w:shd w:val="clear" w:color="auto" w:fill="FFFFFF"/>
        </w:rPr>
        <w:t xml:space="preserve"> </w:t>
      </w:r>
    </w:p>
    <w:p w14:paraId="129874C2" w14:textId="77777777" w:rsidR="00600148" w:rsidRPr="00201DA2" w:rsidRDefault="00600148" w:rsidP="00B54955">
      <w:pPr>
        <w:rPr>
          <w:sz w:val="22"/>
          <w:szCs w:val="22"/>
          <w:shd w:val="clear" w:color="auto" w:fill="FFFFFF"/>
        </w:rPr>
      </w:pPr>
    </w:p>
    <w:p w14:paraId="515B8B12" w14:textId="2D1D3A69" w:rsidR="00B54955" w:rsidRPr="00201DA2" w:rsidRDefault="001911DF" w:rsidP="00B54955">
      <w:pPr>
        <w:rPr>
          <w:sz w:val="22"/>
          <w:szCs w:val="22"/>
        </w:rPr>
      </w:pPr>
      <w:r w:rsidRPr="00201DA2">
        <w:rPr>
          <w:sz w:val="22"/>
          <w:szCs w:val="22"/>
          <w:shd w:val="clear" w:color="auto" w:fill="FFFFFF"/>
        </w:rPr>
        <w:t xml:space="preserve">Under the Supreme Court’s 2012 ruling in </w:t>
      </w:r>
      <w:r w:rsidRPr="00201DA2">
        <w:rPr>
          <w:i/>
          <w:sz w:val="22"/>
          <w:szCs w:val="22"/>
          <w:shd w:val="clear" w:color="auto" w:fill="FFFFFF"/>
        </w:rPr>
        <w:t>Clapper v. Amnesty</w:t>
      </w:r>
      <w:r w:rsidRPr="00201DA2">
        <w:rPr>
          <w:sz w:val="22"/>
          <w:szCs w:val="22"/>
          <w:shd w:val="clear" w:color="auto" w:fill="FFFFFF"/>
        </w:rPr>
        <w:t xml:space="preserve">, </w:t>
      </w:r>
      <w:r w:rsidR="00F16A7C" w:rsidRPr="00201DA2">
        <w:rPr>
          <w:sz w:val="22"/>
          <w:szCs w:val="22"/>
          <w:shd w:val="clear" w:color="auto" w:fill="FFFFFF"/>
        </w:rPr>
        <w:t xml:space="preserve">a remedy against abuse </w:t>
      </w:r>
      <w:r w:rsidRPr="00201DA2">
        <w:rPr>
          <w:sz w:val="22"/>
          <w:szCs w:val="22"/>
          <w:shd w:val="clear" w:color="auto" w:fill="FFFFFF"/>
        </w:rPr>
        <w:t xml:space="preserve">in the surveillance context </w:t>
      </w:r>
      <w:r w:rsidR="00F16A7C" w:rsidRPr="00201DA2">
        <w:rPr>
          <w:sz w:val="22"/>
          <w:szCs w:val="22"/>
          <w:shd w:val="clear" w:color="auto" w:fill="FFFFFF"/>
        </w:rPr>
        <w:t>is not meaningfully available</w:t>
      </w:r>
      <w:r w:rsidRPr="00201DA2">
        <w:rPr>
          <w:sz w:val="22"/>
          <w:szCs w:val="22"/>
          <w:shd w:val="clear" w:color="auto" w:fill="FFFFFF"/>
        </w:rPr>
        <w:t xml:space="preserve">. The decision </w:t>
      </w:r>
      <w:r w:rsidR="00F16A7C" w:rsidRPr="00201DA2">
        <w:rPr>
          <w:sz w:val="22"/>
          <w:szCs w:val="22"/>
          <w:shd w:val="clear" w:color="auto" w:fill="FFFFFF"/>
        </w:rPr>
        <w:t>effectively requires plaintiff</w:t>
      </w:r>
      <w:r w:rsidR="00103076" w:rsidRPr="00201DA2">
        <w:rPr>
          <w:sz w:val="22"/>
          <w:szCs w:val="22"/>
          <w:shd w:val="clear" w:color="auto" w:fill="FFFFFF"/>
        </w:rPr>
        <w:t xml:space="preserve">s show that they have been or </w:t>
      </w:r>
      <w:r w:rsidR="00F16A7C" w:rsidRPr="00201DA2">
        <w:rPr>
          <w:sz w:val="22"/>
          <w:szCs w:val="22"/>
          <w:shd w:val="clear" w:color="auto" w:fill="FFFFFF"/>
        </w:rPr>
        <w:t>will be monitored in order to establish standing to challenge the legality of a surveillance law or practice.</w:t>
      </w:r>
      <w:r w:rsidR="00600148" w:rsidRPr="00201DA2">
        <w:rPr>
          <w:sz w:val="22"/>
          <w:szCs w:val="22"/>
          <w:shd w:val="clear" w:color="auto" w:fill="FFFFFF"/>
        </w:rPr>
        <w:t xml:space="preserve"> Due to the secretive nature of intelligence surveillance </w:t>
      </w:r>
      <w:r w:rsidR="00103076" w:rsidRPr="00201DA2">
        <w:rPr>
          <w:sz w:val="22"/>
          <w:szCs w:val="22"/>
          <w:shd w:val="clear" w:color="auto" w:fill="FFFFFF"/>
        </w:rPr>
        <w:t>establishing these facts i</w:t>
      </w:r>
      <w:r w:rsidR="00543FD9" w:rsidRPr="00201DA2">
        <w:rPr>
          <w:sz w:val="22"/>
          <w:szCs w:val="22"/>
          <w:shd w:val="clear" w:color="auto" w:fill="FFFFFF"/>
        </w:rPr>
        <w:t>s</w:t>
      </w:r>
      <w:r w:rsidR="00103076" w:rsidRPr="00201DA2">
        <w:rPr>
          <w:sz w:val="22"/>
          <w:szCs w:val="22"/>
          <w:shd w:val="clear" w:color="auto" w:fill="FFFFFF"/>
        </w:rPr>
        <w:t xml:space="preserve"> virtually impossible</w:t>
      </w:r>
      <w:r w:rsidR="00037BC7" w:rsidRPr="00201DA2">
        <w:rPr>
          <w:sz w:val="22"/>
          <w:szCs w:val="22"/>
          <w:shd w:val="clear" w:color="auto" w:fill="FFFFFF"/>
        </w:rPr>
        <w:t>.</w:t>
      </w:r>
    </w:p>
    <w:p w14:paraId="3FF2FF8A" w14:textId="77777777" w:rsidR="00B54955" w:rsidRPr="00201DA2" w:rsidRDefault="00B54955" w:rsidP="00B54955">
      <w:pPr>
        <w:rPr>
          <w:sz w:val="22"/>
          <w:szCs w:val="22"/>
        </w:rPr>
      </w:pPr>
    </w:p>
    <w:p w14:paraId="68422E57" w14:textId="01091299" w:rsidR="00B54955" w:rsidRPr="00201DA2" w:rsidRDefault="00716BFF" w:rsidP="00B54955">
      <w:pPr>
        <w:rPr>
          <w:sz w:val="22"/>
          <w:szCs w:val="22"/>
        </w:rPr>
      </w:pPr>
      <w:r w:rsidRPr="00201DA2">
        <w:rPr>
          <w:sz w:val="22"/>
          <w:szCs w:val="22"/>
        </w:rPr>
        <w:t xml:space="preserve">After </w:t>
      </w:r>
      <w:r w:rsidRPr="00201DA2">
        <w:rPr>
          <w:i/>
          <w:sz w:val="22"/>
          <w:szCs w:val="22"/>
        </w:rPr>
        <w:t xml:space="preserve">Clapper, </w:t>
      </w:r>
      <w:r w:rsidRPr="00201DA2">
        <w:rPr>
          <w:sz w:val="22"/>
          <w:szCs w:val="22"/>
        </w:rPr>
        <w:t>one of the few means by which surveillance might be established is in the context of a criminal prosecution, when defendants have rights to discover and challenge how the government obtained evidence. However, in January 2018, Human Rights Watch reported that US authorities may be failing to notify criminal defendants about the use of secret intelligence surveillance or other potentially controversial monitoring to obtain evidence in their cases, instead deliberately concealing the true origins of information by finding alternative ways to obtain it.</w:t>
      </w:r>
      <w:r w:rsidRPr="00201DA2">
        <w:rPr>
          <w:rStyle w:val="FootnoteReference"/>
          <w:sz w:val="22"/>
          <w:szCs w:val="22"/>
        </w:rPr>
        <w:footnoteReference w:id="126"/>
      </w:r>
      <w:r w:rsidRPr="00201DA2">
        <w:rPr>
          <w:sz w:val="22"/>
          <w:szCs w:val="22"/>
        </w:rPr>
        <w:t xml:space="preserve"> This practice, known as “parallel construction,” can prevent legitimate rights-based challenges. </w:t>
      </w:r>
    </w:p>
    <w:p w14:paraId="4DF8BE4F" w14:textId="77777777" w:rsidR="00B54955" w:rsidRPr="00201DA2" w:rsidRDefault="00B54955" w:rsidP="00B54955">
      <w:pPr>
        <w:rPr>
          <w:sz w:val="22"/>
          <w:szCs w:val="22"/>
        </w:rPr>
      </w:pPr>
    </w:p>
    <w:p w14:paraId="5AA9BC75" w14:textId="22C2E26F" w:rsidR="00B54955" w:rsidRPr="00201DA2" w:rsidRDefault="00B54955" w:rsidP="00B54955">
      <w:pPr>
        <w:rPr>
          <w:sz w:val="22"/>
          <w:szCs w:val="22"/>
        </w:rPr>
      </w:pPr>
      <w:r w:rsidRPr="00201DA2">
        <w:rPr>
          <w:sz w:val="22"/>
          <w:szCs w:val="22"/>
        </w:rPr>
        <w:t>The director of National Intelligence</w:t>
      </w:r>
      <w:r w:rsidR="001911DF" w:rsidRPr="00201DA2">
        <w:rPr>
          <w:sz w:val="22"/>
          <w:szCs w:val="22"/>
        </w:rPr>
        <w:t xml:space="preserve"> reported </w:t>
      </w:r>
      <w:r w:rsidRPr="00201DA2">
        <w:rPr>
          <w:sz w:val="22"/>
          <w:szCs w:val="22"/>
        </w:rPr>
        <w:t>in May</w:t>
      </w:r>
      <w:r w:rsidR="00037BC7" w:rsidRPr="00201DA2">
        <w:rPr>
          <w:sz w:val="22"/>
          <w:szCs w:val="22"/>
        </w:rPr>
        <w:t xml:space="preserve"> 2018</w:t>
      </w:r>
      <w:r w:rsidRPr="00201DA2">
        <w:rPr>
          <w:sz w:val="22"/>
          <w:szCs w:val="22"/>
        </w:rPr>
        <w:t xml:space="preserve"> that the number of telephone call records that intelligence authorities collect under the USA Patriot Act more than tripled in 2017, to more than 534 million.</w:t>
      </w:r>
      <w:r w:rsidR="008A7B88" w:rsidRPr="00201DA2">
        <w:rPr>
          <w:rStyle w:val="FootnoteReference"/>
          <w:sz w:val="22"/>
          <w:szCs w:val="22"/>
        </w:rPr>
        <w:footnoteReference w:id="127"/>
      </w:r>
      <w:r w:rsidRPr="00201DA2">
        <w:rPr>
          <w:sz w:val="22"/>
          <w:szCs w:val="22"/>
        </w:rPr>
        <w:t xml:space="preserve"> The next month, the National Security Agency</w:t>
      </w:r>
      <w:r w:rsidR="001911DF" w:rsidRPr="00201DA2">
        <w:rPr>
          <w:sz w:val="22"/>
          <w:szCs w:val="22"/>
        </w:rPr>
        <w:t xml:space="preserve"> revealed </w:t>
      </w:r>
      <w:r w:rsidRPr="00201DA2">
        <w:rPr>
          <w:sz w:val="22"/>
          <w:szCs w:val="22"/>
        </w:rPr>
        <w:t>that it was deleting years’ worth of these records after receiving data it “was not authorized to receive.”</w:t>
      </w:r>
      <w:r w:rsidR="009112D4" w:rsidRPr="00201DA2">
        <w:rPr>
          <w:rStyle w:val="FootnoteReference"/>
          <w:sz w:val="22"/>
          <w:szCs w:val="22"/>
        </w:rPr>
        <w:footnoteReference w:id="128"/>
      </w:r>
      <w:r w:rsidRPr="00201DA2">
        <w:rPr>
          <w:sz w:val="22"/>
          <w:szCs w:val="22"/>
        </w:rPr>
        <w:t xml:space="preserve"> </w:t>
      </w:r>
    </w:p>
    <w:p w14:paraId="3CAFB397" w14:textId="77777777" w:rsidR="00B54955" w:rsidRPr="00201DA2" w:rsidRDefault="00B54955" w:rsidP="00B54955">
      <w:pPr>
        <w:rPr>
          <w:sz w:val="22"/>
          <w:szCs w:val="22"/>
        </w:rPr>
      </w:pPr>
    </w:p>
    <w:p w14:paraId="3B896E97" w14:textId="3037DEF7" w:rsidR="00B54955" w:rsidRPr="00201DA2" w:rsidRDefault="00B95B02" w:rsidP="00B54955">
      <w:pPr>
        <w:rPr>
          <w:sz w:val="22"/>
          <w:szCs w:val="22"/>
        </w:rPr>
      </w:pPr>
      <w:r w:rsidRPr="00201DA2">
        <w:rPr>
          <w:sz w:val="22"/>
          <w:szCs w:val="22"/>
        </w:rPr>
        <w:t xml:space="preserve">In March 2018, </w:t>
      </w:r>
      <w:r w:rsidR="00B54955" w:rsidRPr="00201DA2">
        <w:rPr>
          <w:sz w:val="22"/>
          <w:szCs w:val="22"/>
        </w:rPr>
        <w:t xml:space="preserve">Congress adopted the Clarifying Lawful Overseas Use of Data (“CLOUD”) Act, which </w:t>
      </w:r>
      <w:r w:rsidR="001911DF" w:rsidRPr="00201DA2">
        <w:rPr>
          <w:sz w:val="22"/>
          <w:szCs w:val="22"/>
        </w:rPr>
        <w:t xml:space="preserve">allows </w:t>
      </w:r>
      <w:r w:rsidR="00B54955" w:rsidRPr="00201DA2">
        <w:rPr>
          <w:sz w:val="22"/>
          <w:szCs w:val="22"/>
        </w:rPr>
        <w:t xml:space="preserve">foreign governments </w:t>
      </w:r>
      <w:r w:rsidR="00821C57" w:rsidRPr="00201DA2">
        <w:rPr>
          <w:sz w:val="22"/>
          <w:szCs w:val="22"/>
        </w:rPr>
        <w:t xml:space="preserve">(pursuant to agreements with the US executive branch) </w:t>
      </w:r>
      <w:r w:rsidR="00B54955" w:rsidRPr="00201DA2">
        <w:rPr>
          <w:sz w:val="22"/>
          <w:szCs w:val="22"/>
        </w:rPr>
        <w:t>to demand data from US companies under weak and incomplete rights standards.</w:t>
      </w:r>
      <w:r w:rsidR="009112D4" w:rsidRPr="00201DA2">
        <w:rPr>
          <w:rStyle w:val="FootnoteReference"/>
          <w:sz w:val="22"/>
          <w:szCs w:val="22"/>
        </w:rPr>
        <w:footnoteReference w:id="129"/>
      </w:r>
      <w:r w:rsidR="00B54955" w:rsidRPr="00201DA2">
        <w:rPr>
          <w:sz w:val="22"/>
          <w:szCs w:val="22"/>
        </w:rPr>
        <w:t xml:space="preserve"> At time of writing, the US was negotiating an agreement with the United Kingdom under the law, which would empower the UK to demand data under standards lower than those required by the US Constitution. The UK would then be able to pass this data back to the US, enabling US authorities to evade domestic privacy laws. </w:t>
      </w:r>
    </w:p>
    <w:p w14:paraId="2D2B94F9" w14:textId="7BFED724" w:rsidR="00B95B02" w:rsidRPr="00201DA2" w:rsidRDefault="00B95B02" w:rsidP="00B54955">
      <w:pPr>
        <w:rPr>
          <w:sz w:val="22"/>
          <w:szCs w:val="22"/>
        </w:rPr>
      </w:pPr>
    </w:p>
    <w:p w14:paraId="7A90733D" w14:textId="6C7215D8" w:rsidR="00B95B02" w:rsidRPr="00201DA2" w:rsidRDefault="00B95B02" w:rsidP="00B54955">
      <w:pPr>
        <w:rPr>
          <w:sz w:val="22"/>
          <w:szCs w:val="22"/>
        </w:rPr>
      </w:pPr>
      <w:r w:rsidRPr="00201DA2">
        <w:rPr>
          <w:sz w:val="22"/>
          <w:szCs w:val="22"/>
        </w:rPr>
        <w:t>Federal legal protections for personal data held by private companies remain</w:t>
      </w:r>
      <w:r w:rsidR="001911DF" w:rsidRPr="00201DA2">
        <w:rPr>
          <w:sz w:val="22"/>
          <w:szCs w:val="22"/>
        </w:rPr>
        <w:t xml:space="preserve"> insufficient</w:t>
      </w:r>
      <w:r w:rsidRPr="00201DA2">
        <w:rPr>
          <w:sz w:val="22"/>
          <w:szCs w:val="22"/>
        </w:rPr>
        <w:t>,</w:t>
      </w:r>
      <w:r w:rsidR="008E2DD5" w:rsidRPr="00201DA2">
        <w:rPr>
          <w:rStyle w:val="FootnoteReference"/>
          <w:sz w:val="22"/>
          <w:szCs w:val="22"/>
        </w:rPr>
        <w:footnoteReference w:id="130"/>
      </w:r>
      <w:r w:rsidRPr="00201DA2">
        <w:rPr>
          <w:sz w:val="22"/>
          <w:szCs w:val="22"/>
        </w:rPr>
        <w:t xml:space="preserve"> as demonstrated by data analysis firm</w:t>
      </w:r>
      <w:r w:rsidR="001911DF" w:rsidRPr="00201DA2">
        <w:rPr>
          <w:sz w:val="22"/>
          <w:szCs w:val="22"/>
        </w:rPr>
        <w:t xml:space="preserve"> Cambridge Analytica’s </w:t>
      </w:r>
      <w:r w:rsidRPr="00201DA2">
        <w:rPr>
          <w:sz w:val="22"/>
          <w:szCs w:val="22"/>
        </w:rPr>
        <w:t>massive access to Facebook users’ data.</w:t>
      </w:r>
      <w:r w:rsidR="00090F93" w:rsidRPr="00201DA2">
        <w:rPr>
          <w:rStyle w:val="FootnoteReference"/>
          <w:sz w:val="22"/>
          <w:szCs w:val="22"/>
        </w:rPr>
        <w:footnoteReference w:id="131"/>
      </w:r>
      <w:r w:rsidR="001643E9" w:rsidRPr="00201DA2">
        <w:rPr>
          <w:sz w:val="22"/>
          <w:szCs w:val="22"/>
        </w:rPr>
        <w:t xml:space="preserve"> Regarding most types of personal data, individuals lack rights to transparency about, or correction or deletion of, information held by other entities, or easy access to effective remedies for abuses.</w:t>
      </w:r>
    </w:p>
    <w:p w14:paraId="22645C51" w14:textId="77777777" w:rsidR="00B54955" w:rsidRPr="00201DA2" w:rsidRDefault="00B54955" w:rsidP="00B54955">
      <w:pPr>
        <w:rPr>
          <w:sz w:val="22"/>
          <w:szCs w:val="22"/>
        </w:rPr>
      </w:pPr>
    </w:p>
    <w:p w14:paraId="6FF97DC9" w14:textId="101F0B91" w:rsidR="00B54955" w:rsidRPr="00201DA2" w:rsidRDefault="00B54955" w:rsidP="00B54955">
      <w:pPr>
        <w:pBdr>
          <w:top w:val="nil"/>
          <w:left w:val="nil"/>
          <w:bottom w:val="nil"/>
          <w:right w:val="nil"/>
          <w:between w:val="nil"/>
        </w:pBdr>
        <w:contextualSpacing/>
        <w:rPr>
          <w:rFonts w:eastAsia="Calibri"/>
          <w:color w:val="000000"/>
          <w:sz w:val="22"/>
          <w:szCs w:val="22"/>
        </w:rPr>
      </w:pPr>
      <w:r w:rsidRPr="00201DA2">
        <w:rPr>
          <w:sz w:val="22"/>
          <w:szCs w:val="22"/>
        </w:rPr>
        <w:t>In a positive development, the Supreme Court</w:t>
      </w:r>
      <w:r w:rsidR="001911DF" w:rsidRPr="00201DA2">
        <w:rPr>
          <w:sz w:val="22"/>
          <w:szCs w:val="22"/>
        </w:rPr>
        <w:t xml:space="preserve"> decided </w:t>
      </w:r>
      <w:r w:rsidRPr="00201DA2">
        <w:rPr>
          <w:sz w:val="22"/>
          <w:szCs w:val="22"/>
        </w:rPr>
        <w:t>in</w:t>
      </w:r>
      <w:r w:rsidR="00FE2D0F" w:rsidRPr="00201DA2">
        <w:rPr>
          <w:sz w:val="22"/>
          <w:szCs w:val="22"/>
        </w:rPr>
        <w:t xml:space="preserve"> June 2018 in</w:t>
      </w:r>
      <w:r w:rsidRPr="00201DA2">
        <w:rPr>
          <w:sz w:val="22"/>
          <w:szCs w:val="22"/>
        </w:rPr>
        <w:t xml:space="preserve"> </w:t>
      </w:r>
      <w:r w:rsidRPr="00201DA2">
        <w:rPr>
          <w:i/>
          <w:sz w:val="22"/>
          <w:szCs w:val="22"/>
        </w:rPr>
        <w:t>Carpenter v. United States</w:t>
      </w:r>
      <w:r w:rsidRPr="00201DA2">
        <w:rPr>
          <w:sz w:val="22"/>
          <w:szCs w:val="22"/>
        </w:rPr>
        <w:t xml:space="preserve"> that police need a warrant for access to extensive historic mobile phone location data, which reveals a person’s past movements and may be highly sensitive.</w:t>
      </w:r>
      <w:r w:rsidR="00943E6A" w:rsidRPr="00201DA2">
        <w:rPr>
          <w:rStyle w:val="FootnoteReference"/>
          <w:sz w:val="22"/>
          <w:szCs w:val="22"/>
        </w:rPr>
        <w:footnoteReference w:id="132"/>
      </w:r>
      <w:r w:rsidRPr="00201DA2">
        <w:rPr>
          <w:sz w:val="22"/>
          <w:szCs w:val="22"/>
        </w:rPr>
        <w:t xml:space="preserve"> </w:t>
      </w:r>
    </w:p>
    <w:p w14:paraId="37B53446" w14:textId="77777777" w:rsidR="00F40CCE" w:rsidRPr="00201DA2" w:rsidRDefault="00F40CCE" w:rsidP="00F40CCE">
      <w:pPr>
        <w:pBdr>
          <w:top w:val="nil"/>
          <w:left w:val="nil"/>
          <w:bottom w:val="nil"/>
          <w:right w:val="nil"/>
          <w:between w:val="nil"/>
        </w:pBdr>
        <w:ind w:left="1440" w:hanging="720"/>
        <w:rPr>
          <w:rFonts w:eastAsia="Calibri"/>
          <w:color w:val="000000"/>
          <w:sz w:val="22"/>
          <w:szCs w:val="22"/>
        </w:rPr>
      </w:pPr>
    </w:p>
    <w:p w14:paraId="3DA33F77" w14:textId="5C8F1C6F" w:rsidR="00F40CCE" w:rsidRPr="00201DA2" w:rsidRDefault="00F40CCE" w:rsidP="00F40CCE">
      <w:pPr>
        <w:pBdr>
          <w:top w:val="nil"/>
          <w:left w:val="nil"/>
          <w:bottom w:val="nil"/>
          <w:right w:val="nil"/>
          <w:between w:val="nil"/>
        </w:pBdr>
        <w:contextualSpacing/>
        <w:rPr>
          <w:rFonts w:eastAsia="Calibri"/>
          <w:b/>
          <w:color w:val="000000"/>
          <w:sz w:val="22"/>
          <w:szCs w:val="22"/>
        </w:rPr>
      </w:pPr>
      <w:r w:rsidRPr="00201DA2">
        <w:rPr>
          <w:rFonts w:eastAsia="Calibri"/>
          <w:b/>
          <w:color w:val="000000"/>
          <w:sz w:val="22"/>
          <w:szCs w:val="22"/>
        </w:rPr>
        <w:t>Human Rights Committee General Comments and Related UN Body Recommendations</w:t>
      </w:r>
    </w:p>
    <w:p w14:paraId="70600927" w14:textId="7675EB69" w:rsidR="00F16A7C" w:rsidRPr="00201DA2" w:rsidRDefault="00DE089C" w:rsidP="00F40CCE">
      <w:pPr>
        <w:pBdr>
          <w:top w:val="nil"/>
          <w:left w:val="nil"/>
          <w:bottom w:val="nil"/>
          <w:right w:val="nil"/>
          <w:between w:val="nil"/>
        </w:pBdr>
        <w:contextualSpacing/>
        <w:rPr>
          <w:rFonts w:eastAsia="Calibri"/>
          <w:color w:val="000000"/>
          <w:sz w:val="22"/>
          <w:szCs w:val="22"/>
        </w:rPr>
      </w:pPr>
      <w:r w:rsidRPr="00201DA2">
        <w:rPr>
          <w:rFonts w:eastAsia="Calibri"/>
          <w:color w:val="000000"/>
          <w:sz w:val="22"/>
          <w:szCs w:val="22"/>
        </w:rPr>
        <w:t>Martin Sche</w:t>
      </w:r>
      <w:r w:rsidR="001643E9" w:rsidRPr="00201DA2">
        <w:rPr>
          <w:rFonts w:eastAsia="Calibri"/>
          <w:color w:val="000000"/>
          <w:sz w:val="22"/>
          <w:szCs w:val="22"/>
        </w:rPr>
        <w:t>i</w:t>
      </w:r>
      <w:r w:rsidRPr="00201DA2">
        <w:rPr>
          <w:rFonts w:eastAsia="Calibri"/>
          <w:color w:val="000000"/>
          <w:sz w:val="22"/>
          <w:szCs w:val="22"/>
        </w:rPr>
        <w:t xml:space="preserve">nin, </w:t>
      </w:r>
      <w:r w:rsidR="005A390C" w:rsidRPr="00201DA2">
        <w:rPr>
          <w:rFonts w:eastAsia="Calibri"/>
          <w:color w:val="000000"/>
          <w:sz w:val="22"/>
          <w:szCs w:val="22"/>
        </w:rPr>
        <w:t>then-</w:t>
      </w:r>
      <w:r w:rsidRPr="00201DA2">
        <w:rPr>
          <w:rFonts w:eastAsia="Calibri"/>
          <w:color w:val="000000"/>
          <w:sz w:val="22"/>
          <w:szCs w:val="22"/>
        </w:rPr>
        <w:t xml:space="preserve">UN </w:t>
      </w:r>
      <w:r w:rsidR="008A52E9" w:rsidRPr="00201DA2">
        <w:rPr>
          <w:rFonts w:eastAsia="Calibri"/>
          <w:color w:val="000000"/>
          <w:sz w:val="22"/>
          <w:szCs w:val="22"/>
        </w:rPr>
        <w:t>s</w:t>
      </w:r>
      <w:r w:rsidRPr="00201DA2">
        <w:rPr>
          <w:rFonts w:eastAsia="Calibri"/>
          <w:color w:val="000000"/>
          <w:sz w:val="22"/>
          <w:szCs w:val="22"/>
        </w:rPr>
        <w:t xml:space="preserve">pecial </w:t>
      </w:r>
      <w:r w:rsidR="008A52E9" w:rsidRPr="00201DA2">
        <w:rPr>
          <w:rFonts w:eastAsia="Calibri"/>
          <w:color w:val="000000"/>
          <w:sz w:val="22"/>
          <w:szCs w:val="22"/>
        </w:rPr>
        <w:t>r</w:t>
      </w:r>
      <w:r w:rsidRPr="00201DA2">
        <w:rPr>
          <w:rFonts w:eastAsia="Calibri"/>
          <w:color w:val="000000"/>
          <w:sz w:val="22"/>
          <w:szCs w:val="22"/>
        </w:rPr>
        <w:t xml:space="preserve">apporteur on </w:t>
      </w:r>
      <w:r w:rsidR="008A52E9" w:rsidRPr="00201DA2">
        <w:rPr>
          <w:rFonts w:eastAsia="Calibri"/>
          <w:color w:val="000000"/>
          <w:sz w:val="22"/>
          <w:szCs w:val="22"/>
        </w:rPr>
        <w:t>h</w:t>
      </w:r>
      <w:r w:rsidRPr="00201DA2">
        <w:rPr>
          <w:rFonts w:eastAsia="Calibri"/>
          <w:color w:val="000000"/>
          <w:sz w:val="22"/>
          <w:szCs w:val="22"/>
        </w:rPr>
        <w:t xml:space="preserve">uman </w:t>
      </w:r>
      <w:r w:rsidR="008A52E9" w:rsidRPr="00201DA2">
        <w:rPr>
          <w:rFonts w:eastAsia="Calibri"/>
          <w:color w:val="000000"/>
          <w:sz w:val="22"/>
          <w:szCs w:val="22"/>
        </w:rPr>
        <w:t>r</w:t>
      </w:r>
      <w:r w:rsidRPr="00201DA2">
        <w:rPr>
          <w:rFonts w:eastAsia="Calibri"/>
          <w:color w:val="000000"/>
          <w:sz w:val="22"/>
          <w:szCs w:val="22"/>
        </w:rPr>
        <w:t xml:space="preserve">ights and </w:t>
      </w:r>
      <w:r w:rsidR="008A52E9" w:rsidRPr="00201DA2">
        <w:rPr>
          <w:rFonts w:eastAsia="Calibri"/>
          <w:color w:val="000000"/>
          <w:sz w:val="22"/>
          <w:szCs w:val="22"/>
        </w:rPr>
        <w:t>c</w:t>
      </w:r>
      <w:r w:rsidRPr="00201DA2">
        <w:rPr>
          <w:rFonts w:eastAsia="Calibri"/>
          <w:color w:val="000000"/>
          <w:sz w:val="22"/>
          <w:szCs w:val="22"/>
        </w:rPr>
        <w:t>ounter-</w:t>
      </w:r>
      <w:r w:rsidR="008A52E9" w:rsidRPr="00201DA2">
        <w:rPr>
          <w:rFonts w:eastAsia="Calibri"/>
          <w:color w:val="000000"/>
          <w:sz w:val="22"/>
          <w:szCs w:val="22"/>
        </w:rPr>
        <w:t>t</w:t>
      </w:r>
      <w:r w:rsidRPr="00201DA2">
        <w:rPr>
          <w:rFonts w:eastAsia="Calibri"/>
          <w:color w:val="000000"/>
          <w:sz w:val="22"/>
          <w:szCs w:val="22"/>
        </w:rPr>
        <w:t>errorism</w:t>
      </w:r>
      <w:r w:rsidR="00FE2D0F" w:rsidRPr="00201DA2">
        <w:rPr>
          <w:rFonts w:eastAsia="Calibri"/>
          <w:color w:val="000000"/>
          <w:sz w:val="22"/>
          <w:szCs w:val="22"/>
        </w:rPr>
        <w:t>,</w:t>
      </w:r>
      <w:r w:rsidRPr="00201DA2">
        <w:rPr>
          <w:rFonts w:eastAsia="Calibri"/>
          <w:color w:val="000000"/>
          <w:sz w:val="22"/>
          <w:szCs w:val="22"/>
        </w:rPr>
        <w:t xml:space="preserve"> stated in 2013 that the United States has “been involved, and continue[s] to be involved, in activities that are in violation of [its] legally binding obligations under the [ICCPR].” He assert</w:t>
      </w:r>
      <w:r w:rsidR="00FE2D0F" w:rsidRPr="00201DA2">
        <w:rPr>
          <w:rFonts w:eastAsia="Calibri"/>
          <w:color w:val="000000"/>
          <w:sz w:val="22"/>
          <w:szCs w:val="22"/>
        </w:rPr>
        <w:t>ed</w:t>
      </w:r>
      <w:r w:rsidRPr="00201DA2">
        <w:rPr>
          <w:rFonts w:eastAsia="Calibri"/>
          <w:color w:val="000000"/>
          <w:sz w:val="22"/>
          <w:szCs w:val="22"/>
        </w:rPr>
        <w:t xml:space="preserve"> that US surveillance lacks</w:t>
      </w:r>
      <w:r w:rsidR="00FE2D0F" w:rsidRPr="00201DA2">
        <w:rPr>
          <w:rFonts w:eastAsia="Calibri"/>
          <w:color w:val="000000"/>
          <w:sz w:val="22"/>
          <w:szCs w:val="22"/>
        </w:rPr>
        <w:t xml:space="preserve"> an</w:t>
      </w:r>
      <w:r w:rsidRPr="00201DA2">
        <w:rPr>
          <w:rFonts w:eastAsia="Calibri"/>
          <w:color w:val="000000"/>
          <w:sz w:val="22"/>
          <w:szCs w:val="22"/>
        </w:rPr>
        <w:t xml:space="preserve"> adequate </w:t>
      </w:r>
      <w:r w:rsidRPr="00201DA2">
        <w:rPr>
          <w:rFonts w:eastAsia="Calibri"/>
          <w:color w:val="000000"/>
          <w:sz w:val="22"/>
          <w:szCs w:val="22"/>
        </w:rPr>
        <w:lastRenderedPageBreak/>
        <w:t>legal basis, intrudes into the “inviolable core of privacy,” is not necessary in a democratic society, leaves room for unfettered discretion, is disproportionate with respect to its benefits, and is open to abuse.</w:t>
      </w:r>
      <w:r w:rsidR="006B00C1" w:rsidRPr="00201DA2">
        <w:rPr>
          <w:rStyle w:val="FootnoteReference"/>
          <w:rFonts w:eastAsia="Calibri"/>
          <w:color w:val="000000"/>
          <w:sz w:val="22"/>
          <w:szCs w:val="22"/>
        </w:rPr>
        <w:footnoteReference w:id="133"/>
      </w:r>
      <w:r w:rsidR="00F75CE6" w:rsidRPr="00201DA2">
        <w:rPr>
          <w:rFonts w:eastAsia="Calibri"/>
          <w:color w:val="000000"/>
          <w:sz w:val="22"/>
          <w:szCs w:val="22"/>
        </w:rPr>
        <w:t xml:space="preserve"> </w:t>
      </w:r>
    </w:p>
    <w:p w14:paraId="08908EB3" w14:textId="2CBF1CA8" w:rsidR="00725BD2" w:rsidRPr="00201DA2" w:rsidRDefault="00725BD2" w:rsidP="00F40CCE">
      <w:pPr>
        <w:pBdr>
          <w:top w:val="nil"/>
          <w:left w:val="nil"/>
          <w:bottom w:val="nil"/>
          <w:right w:val="nil"/>
          <w:between w:val="nil"/>
        </w:pBdr>
        <w:contextualSpacing/>
        <w:rPr>
          <w:rFonts w:eastAsia="Calibri"/>
          <w:color w:val="000000"/>
          <w:sz w:val="22"/>
          <w:szCs w:val="22"/>
        </w:rPr>
      </w:pPr>
    </w:p>
    <w:p w14:paraId="3ABB1247" w14:textId="140800BE" w:rsidR="00725BD2" w:rsidRPr="00201DA2" w:rsidRDefault="00725BD2" w:rsidP="00F40CCE">
      <w:pPr>
        <w:pBdr>
          <w:top w:val="nil"/>
          <w:left w:val="nil"/>
          <w:bottom w:val="nil"/>
          <w:right w:val="nil"/>
          <w:between w:val="nil"/>
        </w:pBdr>
        <w:contextualSpacing/>
        <w:rPr>
          <w:rFonts w:eastAsia="Calibri"/>
          <w:color w:val="000000"/>
          <w:sz w:val="22"/>
          <w:szCs w:val="22"/>
        </w:rPr>
      </w:pPr>
      <w:r w:rsidRPr="00201DA2">
        <w:rPr>
          <w:rFonts w:eastAsia="Calibri"/>
          <w:color w:val="000000"/>
          <w:sz w:val="22"/>
          <w:szCs w:val="22"/>
        </w:rPr>
        <w:t xml:space="preserve">With regard to the problematic situation by which States Parties may engage in extraterritorial human rights abuses due to their interpretation of their surveillance powers, the UN </w:t>
      </w:r>
      <w:r w:rsidR="008A52E9" w:rsidRPr="00201DA2">
        <w:rPr>
          <w:rFonts w:eastAsia="Calibri"/>
          <w:color w:val="000000"/>
          <w:sz w:val="22"/>
          <w:szCs w:val="22"/>
        </w:rPr>
        <w:t>s</w:t>
      </w:r>
      <w:r w:rsidRPr="00201DA2">
        <w:rPr>
          <w:rFonts w:eastAsia="Calibri"/>
          <w:color w:val="000000"/>
          <w:sz w:val="22"/>
          <w:szCs w:val="22"/>
        </w:rPr>
        <w:t xml:space="preserve">pecial </w:t>
      </w:r>
      <w:r w:rsidR="008A52E9" w:rsidRPr="00201DA2">
        <w:rPr>
          <w:rFonts w:eastAsia="Calibri"/>
          <w:color w:val="000000"/>
          <w:sz w:val="22"/>
          <w:szCs w:val="22"/>
        </w:rPr>
        <w:t>r</w:t>
      </w:r>
      <w:r w:rsidRPr="00201DA2">
        <w:rPr>
          <w:rFonts w:eastAsia="Calibri"/>
          <w:color w:val="000000"/>
          <w:sz w:val="22"/>
          <w:szCs w:val="22"/>
        </w:rPr>
        <w:t xml:space="preserve">apporteur on the </w:t>
      </w:r>
      <w:r w:rsidR="008A52E9" w:rsidRPr="00201DA2">
        <w:rPr>
          <w:rFonts w:eastAsia="Calibri"/>
          <w:color w:val="000000"/>
          <w:sz w:val="22"/>
          <w:szCs w:val="22"/>
        </w:rPr>
        <w:t>p</w:t>
      </w:r>
      <w:r w:rsidRPr="00201DA2">
        <w:rPr>
          <w:rFonts w:eastAsia="Calibri"/>
          <w:color w:val="000000"/>
          <w:sz w:val="22"/>
          <w:szCs w:val="22"/>
        </w:rPr>
        <w:t xml:space="preserve">romotion and </w:t>
      </w:r>
      <w:r w:rsidR="008A52E9" w:rsidRPr="00201DA2">
        <w:rPr>
          <w:rFonts w:eastAsia="Calibri"/>
          <w:color w:val="000000"/>
          <w:sz w:val="22"/>
          <w:szCs w:val="22"/>
        </w:rPr>
        <w:t>p</w:t>
      </w:r>
      <w:r w:rsidRPr="00201DA2">
        <w:rPr>
          <w:rFonts w:eastAsia="Calibri"/>
          <w:color w:val="000000"/>
          <w:sz w:val="22"/>
          <w:szCs w:val="22"/>
        </w:rPr>
        <w:t xml:space="preserve">rotection of the </w:t>
      </w:r>
      <w:r w:rsidR="008A52E9" w:rsidRPr="00201DA2">
        <w:rPr>
          <w:rFonts w:eastAsia="Calibri"/>
          <w:color w:val="000000"/>
          <w:sz w:val="22"/>
          <w:szCs w:val="22"/>
        </w:rPr>
        <w:t>r</w:t>
      </w:r>
      <w:r w:rsidRPr="00201DA2">
        <w:rPr>
          <w:rFonts w:eastAsia="Calibri"/>
          <w:color w:val="000000"/>
          <w:sz w:val="22"/>
          <w:szCs w:val="22"/>
        </w:rPr>
        <w:t xml:space="preserve">ight to </w:t>
      </w:r>
      <w:r w:rsidR="008A52E9" w:rsidRPr="00201DA2">
        <w:rPr>
          <w:rFonts w:eastAsia="Calibri"/>
          <w:color w:val="000000"/>
          <w:sz w:val="22"/>
          <w:szCs w:val="22"/>
        </w:rPr>
        <w:t>f</w:t>
      </w:r>
      <w:r w:rsidRPr="00201DA2">
        <w:rPr>
          <w:rFonts w:eastAsia="Calibri"/>
          <w:color w:val="000000"/>
          <w:sz w:val="22"/>
          <w:szCs w:val="22"/>
        </w:rPr>
        <w:t xml:space="preserve">reedom of </w:t>
      </w:r>
      <w:r w:rsidR="008A52E9" w:rsidRPr="00201DA2">
        <w:rPr>
          <w:rFonts w:eastAsia="Calibri"/>
          <w:color w:val="000000"/>
          <w:sz w:val="22"/>
          <w:szCs w:val="22"/>
        </w:rPr>
        <w:t>o</w:t>
      </w:r>
      <w:r w:rsidRPr="00201DA2">
        <w:rPr>
          <w:rFonts w:eastAsia="Calibri"/>
          <w:color w:val="000000"/>
          <w:sz w:val="22"/>
          <w:szCs w:val="22"/>
        </w:rPr>
        <w:t xml:space="preserve">pinion and </w:t>
      </w:r>
      <w:r w:rsidR="008A52E9" w:rsidRPr="00201DA2">
        <w:rPr>
          <w:rFonts w:eastAsia="Calibri"/>
          <w:color w:val="000000"/>
          <w:sz w:val="22"/>
          <w:szCs w:val="22"/>
        </w:rPr>
        <w:t>e</w:t>
      </w:r>
      <w:r w:rsidRPr="00201DA2">
        <w:rPr>
          <w:rFonts w:eastAsia="Calibri"/>
          <w:color w:val="000000"/>
          <w:sz w:val="22"/>
          <w:szCs w:val="22"/>
        </w:rPr>
        <w:t>xpression, while noting problematic United States law on this point, has raised “</w:t>
      </w:r>
      <w:r w:rsidRPr="00201DA2">
        <w:rPr>
          <w:sz w:val="22"/>
          <w:szCs w:val="22"/>
        </w:rPr>
        <w:t>serious concern with regard to the extra-territorial commission of human rights violations and the inability of individuals to know that they might be subject to foreign surveillance, challenge decisions with respect to foreign surveillance, or seek remedies.”</w:t>
      </w:r>
      <w:r w:rsidRPr="00201DA2">
        <w:rPr>
          <w:rStyle w:val="FootnoteReference"/>
          <w:rFonts w:eastAsia="Calibri"/>
          <w:color w:val="000000"/>
          <w:sz w:val="22"/>
          <w:szCs w:val="22"/>
        </w:rPr>
        <w:footnoteReference w:id="134"/>
      </w:r>
    </w:p>
    <w:p w14:paraId="1637D573" w14:textId="4D9C3886" w:rsidR="00F16A7C" w:rsidRPr="00201DA2" w:rsidRDefault="00F16A7C" w:rsidP="00F40CCE">
      <w:pPr>
        <w:pBdr>
          <w:top w:val="nil"/>
          <w:left w:val="nil"/>
          <w:bottom w:val="nil"/>
          <w:right w:val="nil"/>
          <w:between w:val="nil"/>
        </w:pBdr>
        <w:contextualSpacing/>
        <w:rPr>
          <w:rFonts w:eastAsia="Calibri"/>
          <w:color w:val="000000"/>
          <w:sz w:val="22"/>
          <w:szCs w:val="22"/>
        </w:rPr>
      </w:pPr>
    </w:p>
    <w:p w14:paraId="7A56F5A4" w14:textId="1DF3C73C" w:rsidR="00A6523A" w:rsidRPr="00201DA2" w:rsidRDefault="0086795E" w:rsidP="00F40CCE">
      <w:pPr>
        <w:pBdr>
          <w:top w:val="nil"/>
          <w:left w:val="nil"/>
          <w:bottom w:val="nil"/>
          <w:right w:val="nil"/>
          <w:between w:val="nil"/>
        </w:pBdr>
        <w:contextualSpacing/>
        <w:rPr>
          <w:rFonts w:eastAsia="Calibri"/>
          <w:color w:val="000000"/>
          <w:sz w:val="22"/>
          <w:szCs w:val="22"/>
        </w:rPr>
      </w:pPr>
      <w:r w:rsidRPr="00201DA2">
        <w:rPr>
          <w:rFonts w:eastAsia="Calibri"/>
          <w:color w:val="000000"/>
          <w:sz w:val="22"/>
          <w:szCs w:val="22"/>
        </w:rPr>
        <w:t>W</w:t>
      </w:r>
      <w:r w:rsidR="00F16A7C" w:rsidRPr="00201DA2">
        <w:rPr>
          <w:rFonts w:eastAsia="Calibri"/>
          <w:color w:val="000000"/>
          <w:sz w:val="22"/>
          <w:szCs w:val="22"/>
        </w:rPr>
        <w:t xml:space="preserve">ith regard to </w:t>
      </w:r>
      <w:r w:rsidR="00DF0051" w:rsidRPr="00201DA2">
        <w:rPr>
          <w:rFonts w:eastAsia="Calibri"/>
          <w:color w:val="000000"/>
          <w:sz w:val="22"/>
          <w:szCs w:val="22"/>
        </w:rPr>
        <w:t>personal data</w:t>
      </w:r>
      <w:r w:rsidR="00E87C8B" w:rsidRPr="00201DA2">
        <w:rPr>
          <w:rFonts w:eastAsia="Calibri"/>
          <w:color w:val="000000"/>
          <w:sz w:val="22"/>
          <w:szCs w:val="22"/>
        </w:rPr>
        <w:t xml:space="preserve"> protection</w:t>
      </w:r>
      <w:r w:rsidR="00F16A7C" w:rsidRPr="00201DA2">
        <w:rPr>
          <w:rFonts w:eastAsia="Calibri"/>
          <w:color w:val="000000"/>
          <w:sz w:val="22"/>
          <w:szCs w:val="22"/>
        </w:rPr>
        <w:t>, the Committee</w:t>
      </w:r>
      <w:r w:rsidRPr="00201DA2">
        <w:rPr>
          <w:rFonts w:eastAsia="Calibri"/>
          <w:color w:val="000000"/>
          <w:sz w:val="22"/>
          <w:szCs w:val="22"/>
        </w:rPr>
        <w:t xml:space="preserve"> has</w:t>
      </w:r>
      <w:r w:rsidR="00F16A7C" w:rsidRPr="00201DA2">
        <w:rPr>
          <w:rFonts w:eastAsia="Calibri"/>
          <w:color w:val="000000"/>
          <w:sz w:val="22"/>
          <w:szCs w:val="22"/>
        </w:rPr>
        <w:t xml:space="preserve"> explain</w:t>
      </w:r>
      <w:r w:rsidRPr="00201DA2">
        <w:rPr>
          <w:rFonts w:eastAsia="Calibri"/>
          <w:color w:val="000000"/>
          <w:sz w:val="22"/>
          <w:szCs w:val="22"/>
        </w:rPr>
        <w:t>ed</w:t>
      </w:r>
      <w:r w:rsidR="00F16A7C" w:rsidRPr="00201DA2">
        <w:rPr>
          <w:rFonts w:eastAsia="Calibri"/>
          <w:color w:val="000000"/>
          <w:sz w:val="22"/>
          <w:szCs w:val="22"/>
        </w:rPr>
        <w:t xml:space="preserve"> </w:t>
      </w:r>
      <w:r w:rsidR="005F1DEF" w:rsidRPr="00201DA2">
        <w:rPr>
          <w:rFonts w:eastAsia="Calibri"/>
          <w:color w:val="000000"/>
          <w:sz w:val="22"/>
          <w:szCs w:val="22"/>
        </w:rPr>
        <w:t xml:space="preserve">in its General Comment 16 </w:t>
      </w:r>
      <w:r w:rsidR="00F16A7C" w:rsidRPr="00201DA2">
        <w:rPr>
          <w:rFonts w:eastAsia="Calibri"/>
          <w:color w:val="000000"/>
          <w:sz w:val="22"/>
          <w:szCs w:val="22"/>
        </w:rPr>
        <w:t>that “In order to have the most effective protection of his private life, every individual should have the right to ascertain in an intelligible form, whether, and if so, what personal data is stored in automatic data files, and for what purposes. Every individual should also be able to ascertain which public [authorities] or private individuals or bodies control or may control their files. If such files contain incorrect personal data or have been collected or processed contrary to the provisions of the law, every individual should have the right to request rectification or elimination.”</w:t>
      </w:r>
    </w:p>
    <w:p w14:paraId="3AC6907F" w14:textId="77777777" w:rsidR="00F40CCE" w:rsidRPr="00201DA2" w:rsidRDefault="00F40CCE" w:rsidP="00F40CCE">
      <w:pPr>
        <w:pBdr>
          <w:top w:val="nil"/>
          <w:left w:val="nil"/>
          <w:bottom w:val="nil"/>
          <w:right w:val="nil"/>
          <w:between w:val="nil"/>
        </w:pBdr>
        <w:ind w:left="1440" w:hanging="720"/>
        <w:rPr>
          <w:rFonts w:eastAsia="Calibri"/>
          <w:color w:val="000000"/>
          <w:sz w:val="22"/>
          <w:szCs w:val="22"/>
        </w:rPr>
      </w:pPr>
    </w:p>
    <w:p w14:paraId="6EA230ED" w14:textId="7F08C3D5" w:rsidR="00F40CCE" w:rsidRPr="00201DA2" w:rsidRDefault="00F40CCE" w:rsidP="00F40CCE">
      <w:pPr>
        <w:pBdr>
          <w:top w:val="nil"/>
          <w:left w:val="nil"/>
          <w:bottom w:val="nil"/>
          <w:right w:val="nil"/>
          <w:between w:val="nil"/>
        </w:pBdr>
        <w:contextualSpacing/>
        <w:rPr>
          <w:rFonts w:eastAsia="Calibri"/>
          <w:b/>
          <w:color w:val="000000"/>
          <w:sz w:val="22"/>
          <w:szCs w:val="22"/>
        </w:rPr>
      </w:pPr>
      <w:r w:rsidRPr="00201DA2">
        <w:rPr>
          <w:rFonts w:eastAsia="Calibri"/>
          <w:b/>
          <w:color w:val="000000"/>
          <w:sz w:val="22"/>
          <w:szCs w:val="22"/>
        </w:rPr>
        <w:t>Recommended Questions</w:t>
      </w:r>
    </w:p>
    <w:p w14:paraId="54B29A3E" w14:textId="3173E894" w:rsidR="00725BD2" w:rsidRPr="00201DA2" w:rsidRDefault="00A41E90" w:rsidP="00A41E90">
      <w:pPr>
        <w:pStyle w:val="ListParagraph"/>
        <w:numPr>
          <w:ilvl w:val="0"/>
          <w:numId w:val="25"/>
        </w:numPr>
        <w:pBdr>
          <w:top w:val="nil"/>
          <w:left w:val="nil"/>
          <w:bottom w:val="nil"/>
          <w:right w:val="nil"/>
          <w:between w:val="nil"/>
        </w:pBdr>
        <w:rPr>
          <w:rFonts w:eastAsia="Calibri"/>
          <w:b/>
          <w:color w:val="000000"/>
          <w:sz w:val="22"/>
          <w:szCs w:val="22"/>
        </w:rPr>
      </w:pPr>
      <w:r w:rsidRPr="00201DA2">
        <w:rPr>
          <w:rFonts w:eastAsia="Calibri"/>
          <w:color w:val="000000"/>
          <w:sz w:val="22"/>
          <w:szCs w:val="22"/>
        </w:rPr>
        <w:t xml:space="preserve">Will the State Party declassify and publish all policies and legal interpretations concerning surveillance </w:t>
      </w:r>
      <w:r w:rsidR="00E87C8B" w:rsidRPr="00201DA2">
        <w:rPr>
          <w:rFonts w:eastAsia="Calibri"/>
          <w:color w:val="000000"/>
          <w:sz w:val="22"/>
          <w:szCs w:val="22"/>
        </w:rPr>
        <w:t>powers under Executive Order 12333</w:t>
      </w:r>
      <w:r w:rsidRPr="00201DA2">
        <w:rPr>
          <w:rFonts w:eastAsia="Calibri"/>
          <w:color w:val="000000"/>
          <w:sz w:val="22"/>
          <w:szCs w:val="22"/>
        </w:rPr>
        <w:t>?</w:t>
      </w:r>
    </w:p>
    <w:p w14:paraId="7182BD4F" w14:textId="4CC6ADFB" w:rsidR="00A41E90" w:rsidRPr="00201DA2" w:rsidRDefault="00530431" w:rsidP="00A41E90">
      <w:pPr>
        <w:pStyle w:val="ListParagraph"/>
        <w:numPr>
          <w:ilvl w:val="0"/>
          <w:numId w:val="25"/>
        </w:numPr>
        <w:pBdr>
          <w:top w:val="nil"/>
          <w:left w:val="nil"/>
          <w:bottom w:val="nil"/>
          <w:right w:val="nil"/>
          <w:between w:val="nil"/>
        </w:pBdr>
        <w:rPr>
          <w:rFonts w:eastAsia="Calibri"/>
          <w:b/>
          <w:color w:val="000000"/>
          <w:sz w:val="22"/>
          <w:szCs w:val="22"/>
        </w:rPr>
      </w:pPr>
      <w:r w:rsidRPr="00201DA2">
        <w:rPr>
          <w:rFonts w:eastAsia="Calibri"/>
          <w:color w:val="000000"/>
          <w:sz w:val="22"/>
          <w:szCs w:val="22"/>
        </w:rPr>
        <w:t xml:space="preserve">Will the State Party ensure that in every criminal prosecution in which </w:t>
      </w:r>
      <w:r w:rsidR="00E87C8B" w:rsidRPr="00201DA2">
        <w:rPr>
          <w:rFonts w:eastAsia="Calibri"/>
          <w:color w:val="000000"/>
          <w:sz w:val="22"/>
          <w:szCs w:val="22"/>
        </w:rPr>
        <w:t>US</w:t>
      </w:r>
      <w:r w:rsidRPr="00201DA2">
        <w:rPr>
          <w:rFonts w:eastAsia="Calibri"/>
          <w:color w:val="000000"/>
          <w:sz w:val="22"/>
          <w:szCs w:val="22"/>
        </w:rPr>
        <w:t xml:space="preserve"> authorities have obtained information through surveillance activities, </w:t>
      </w:r>
      <w:r w:rsidR="001643E9" w:rsidRPr="00201DA2">
        <w:rPr>
          <w:rFonts w:eastAsia="Calibri"/>
          <w:color w:val="000000"/>
          <w:sz w:val="22"/>
          <w:szCs w:val="22"/>
        </w:rPr>
        <w:t xml:space="preserve">the defendant receives timely notice and an opportunity to challenge the legality of the monitoring regardless of whether the information was later re-obtained in a different way? </w:t>
      </w:r>
    </w:p>
    <w:p w14:paraId="7F9C48C2" w14:textId="4DE83405" w:rsidR="00530431" w:rsidRPr="00201DA2" w:rsidRDefault="00530431" w:rsidP="0015399A">
      <w:pPr>
        <w:pStyle w:val="ListParagraph"/>
        <w:numPr>
          <w:ilvl w:val="0"/>
          <w:numId w:val="25"/>
        </w:numPr>
        <w:pBdr>
          <w:top w:val="nil"/>
          <w:left w:val="nil"/>
          <w:bottom w:val="nil"/>
          <w:right w:val="nil"/>
          <w:between w:val="nil"/>
        </w:pBdr>
        <w:rPr>
          <w:rFonts w:eastAsia="Calibri"/>
          <w:b/>
          <w:color w:val="000000"/>
          <w:sz w:val="22"/>
          <w:szCs w:val="22"/>
        </w:rPr>
      </w:pPr>
      <w:r w:rsidRPr="00201DA2">
        <w:rPr>
          <w:rFonts w:eastAsia="Calibri"/>
          <w:color w:val="000000"/>
          <w:sz w:val="22"/>
          <w:szCs w:val="22"/>
        </w:rPr>
        <w:t xml:space="preserve">What steps will the State Party take to increase </w:t>
      </w:r>
      <w:r w:rsidR="00CA1041" w:rsidRPr="00201DA2">
        <w:rPr>
          <w:rFonts w:eastAsia="Calibri"/>
          <w:color w:val="000000"/>
          <w:sz w:val="22"/>
          <w:szCs w:val="22"/>
        </w:rPr>
        <w:t xml:space="preserve">federal </w:t>
      </w:r>
      <w:r w:rsidRPr="00201DA2">
        <w:rPr>
          <w:rFonts w:eastAsia="Calibri"/>
          <w:color w:val="000000"/>
          <w:sz w:val="22"/>
          <w:szCs w:val="22"/>
        </w:rPr>
        <w:t xml:space="preserve">protections for personal data, including that held by private companies, </w:t>
      </w:r>
      <w:r w:rsidR="00E87C8B" w:rsidRPr="00201DA2">
        <w:rPr>
          <w:rFonts w:eastAsia="Calibri"/>
          <w:color w:val="000000"/>
          <w:sz w:val="22"/>
          <w:szCs w:val="22"/>
        </w:rPr>
        <w:t>in law and practice</w:t>
      </w:r>
      <w:r w:rsidRPr="00201DA2">
        <w:rPr>
          <w:rFonts w:eastAsia="Calibri"/>
          <w:color w:val="000000"/>
          <w:sz w:val="22"/>
          <w:szCs w:val="22"/>
        </w:rPr>
        <w:t>?</w:t>
      </w:r>
    </w:p>
    <w:p w14:paraId="5F3BD74D" w14:textId="77777777" w:rsidR="00F40CCE" w:rsidRPr="00201DA2" w:rsidRDefault="00F40CCE" w:rsidP="00F40CCE">
      <w:pPr>
        <w:pBdr>
          <w:top w:val="nil"/>
          <w:left w:val="nil"/>
          <w:bottom w:val="nil"/>
          <w:right w:val="nil"/>
          <w:between w:val="nil"/>
        </w:pBdr>
        <w:contextualSpacing/>
        <w:rPr>
          <w:rFonts w:eastAsia="Calibri"/>
          <w:color w:val="000000"/>
          <w:sz w:val="22"/>
          <w:szCs w:val="22"/>
        </w:rPr>
      </w:pPr>
    </w:p>
    <w:p w14:paraId="15BF91B2" w14:textId="531485DA" w:rsidR="00F40CCE" w:rsidRPr="00201DA2" w:rsidRDefault="00F40CCE" w:rsidP="00F40CCE">
      <w:pPr>
        <w:pBdr>
          <w:top w:val="nil"/>
          <w:left w:val="nil"/>
          <w:bottom w:val="nil"/>
          <w:right w:val="nil"/>
          <w:between w:val="nil"/>
        </w:pBdr>
        <w:contextualSpacing/>
        <w:rPr>
          <w:rFonts w:eastAsia="Calibri"/>
          <w:b/>
          <w:color w:val="000000"/>
          <w:sz w:val="22"/>
          <w:szCs w:val="22"/>
        </w:rPr>
      </w:pPr>
      <w:r w:rsidRPr="00201DA2">
        <w:rPr>
          <w:rFonts w:eastAsia="Calibri"/>
          <w:b/>
          <w:color w:val="000000"/>
          <w:sz w:val="22"/>
          <w:szCs w:val="22"/>
        </w:rPr>
        <w:t>Suggested Recommendations</w:t>
      </w:r>
    </w:p>
    <w:p w14:paraId="73C16F75" w14:textId="0F821254" w:rsidR="00776DC1" w:rsidRPr="00201DA2" w:rsidRDefault="00776DC1" w:rsidP="0086795E">
      <w:pPr>
        <w:pStyle w:val="ListParagraph"/>
        <w:numPr>
          <w:ilvl w:val="0"/>
          <w:numId w:val="22"/>
        </w:numPr>
        <w:pBdr>
          <w:top w:val="nil"/>
          <w:left w:val="nil"/>
          <w:bottom w:val="nil"/>
          <w:right w:val="nil"/>
          <w:between w:val="nil"/>
        </w:pBdr>
        <w:rPr>
          <w:rFonts w:eastAsia="Calibri"/>
          <w:b/>
          <w:color w:val="000000"/>
          <w:sz w:val="22"/>
          <w:szCs w:val="22"/>
        </w:rPr>
      </w:pPr>
      <w:r w:rsidRPr="00201DA2">
        <w:rPr>
          <w:rFonts w:eastAsia="Calibri"/>
          <w:color w:val="000000"/>
          <w:sz w:val="22"/>
          <w:szCs w:val="22"/>
        </w:rPr>
        <w:t>The State Party should respect the right to privacy of non-US persons outside the United States.</w:t>
      </w:r>
      <w:r w:rsidR="00495DBF" w:rsidRPr="00201DA2">
        <w:rPr>
          <w:rFonts w:eastAsia="Calibri"/>
          <w:color w:val="000000"/>
          <w:sz w:val="22"/>
          <w:szCs w:val="22"/>
        </w:rPr>
        <w:t xml:space="preserve"> Due to the nature of global communications, this will also help ensure respect for US persons’ rights.</w:t>
      </w:r>
    </w:p>
    <w:p w14:paraId="555FE28C" w14:textId="521E521C" w:rsidR="0086795E" w:rsidRPr="00201DA2" w:rsidRDefault="00530431" w:rsidP="0086795E">
      <w:pPr>
        <w:pStyle w:val="ListParagraph"/>
        <w:numPr>
          <w:ilvl w:val="0"/>
          <w:numId w:val="22"/>
        </w:numPr>
        <w:pBdr>
          <w:top w:val="nil"/>
          <w:left w:val="nil"/>
          <w:bottom w:val="nil"/>
          <w:right w:val="nil"/>
          <w:between w:val="nil"/>
        </w:pBdr>
        <w:rPr>
          <w:rFonts w:eastAsia="Calibri"/>
          <w:b/>
          <w:color w:val="000000"/>
          <w:sz w:val="22"/>
          <w:szCs w:val="22"/>
        </w:rPr>
      </w:pPr>
      <w:r w:rsidRPr="00201DA2">
        <w:rPr>
          <w:rFonts w:eastAsia="Calibri"/>
          <w:color w:val="000000"/>
          <w:sz w:val="22"/>
          <w:szCs w:val="22"/>
        </w:rPr>
        <w:t xml:space="preserve">The State Party should ensure that authorities only engage in surveillance when specifically authorized by a judge or </w:t>
      </w:r>
      <w:r w:rsidR="00A47017" w:rsidRPr="00201DA2">
        <w:rPr>
          <w:rFonts w:eastAsia="Calibri"/>
          <w:color w:val="000000"/>
          <w:sz w:val="22"/>
          <w:szCs w:val="22"/>
        </w:rPr>
        <w:t>similarly independent</w:t>
      </w:r>
      <w:r w:rsidRPr="00201DA2">
        <w:rPr>
          <w:rFonts w:eastAsia="Calibri"/>
          <w:color w:val="000000"/>
          <w:sz w:val="22"/>
          <w:szCs w:val="22"/>
        </w:rPr>
        <w:t xml:space="preserve"> body, and when the activity is necessary and proportionate to achieving a legitimate aim.</w:t>
      </w:r>
    </w:p>
    <w:p w14:paraId="7A921063" w14:textId="77DE974A" w:rsidR="00530431" w:rsidRPr="00201DA2" w:rsidRDefault="00530431" w:rsidP="0086795E">
      <w:pPr>
        <w:pStyle w:val="ListParagraph"/>
        <w:numPr>
          <w:ilvl w:val="0"/>
          <w:numId w:val="22"/>
        </w:numPr>
        <w:pBdr>
          <w:top w:val="nil"/>
          <w:left w:val="nil"/>
          <w:bottom w:val="nil"/>
          <w:right w:val="nil"/>
          <w:between w:val="nil"/>
        </w:pBdr>
        <w:rPr>
          <w:rFonts w:eastAsia="Calibri"/>
          <w:b/>
          <w:color w:val="000000"/>
          <w:sz w:val="22"/>
          <w:szCs w:val="22"/>
        </w:rPr>
      </w:pPr>
      <w:r w:rsidRPr="00201DA2">
        <w:rPr>
          <w:rFonts w:eastAsia="Calibri"/>
          <w:color w:val="000000"/>
          <w:sz w:val="22"/>
          <w:szCs w:val="22"/>
        </w:rPr>
        <w:t>The State Party should facilitate greater congressional and judicial oversight and review of intelligence surveillance activities.</w:t>
      </w:r>
    </w:p>
    <w:p w14:paraId="315EFC20" w14:textId="7DF7B62D" w:rsidR="00530431" w:rsidRPr="00201DA2" w:rsidRDefault="00530431" w:rsidP="0086795E">
      <w:pPr>
        <w:pStyle w:val="ListParagraph"/>
        <w:numPr>
          <w:ilvl w:val="0"/>
          <w:numId w:val="22"/>
        </w:numPr>
        <w:pBdr>
          <w:top w:val="nil"/>
          <w:left w:val="nil"/>
          <w:bottom w:val="nil"/>
          <w:right w:val="nil"/>
          <w:between w:val="nil"/>
        </w:pBdr>
        <w:rPr>
          <w:rFonts w:eastAsia="Calibri"/>
          <w:b/>
          <w:color w:val="000000"/>
          <w:sz w:val="22"/>
          <w:szCs w:val="22"/>
        </w:rPr>
      </w:pPr>
      <w:r w:rsidRPr="00201DA2">
        <w:rPr>
          <w:rFonts w:eastAsia="Calibri"/>
          <w:color w:val="000000"/>
          <w:sz w:val="22"/>
          <w:szCs w:val="22"/>
        </w:rPr>
        <w:t>The State Party should prohibit authorities from engaging in or requesting parallel construction. Any surveillance leading to information that informs a criminal investigation should be disclosed to the defendant.</w:t>
      </w:r>
    </w:p>
    <w:p w14:paraId="5DB760D8" w14:textId="3607675E" w:rsidR="00F40CCE" w:rsidRPr="00201DA2" w:rsidRDefault="00F40CCE" w:rsidP="00154853">
      <w:pPr>
        <w:pBdr>
          <w:top w:val="nil"/>
          <w:left w:val="nil"/>
          <w:bottom w:val="nil"/>
          <w:right w:val="nil"/>
          <w:between w:val="nil"/>
        </w:pBdr>
        <w:contextualSpacing/>
        <w:rPr>
          <w:rFonts w:eastAsia="Calibri"/>
          <w:b/>
          <w:color w:val="000000"/>
          <w:sz w:val="22"/>
          <w:szCs w:val="22"/>
        </w:rPr>
      </w:pPr>
    </w:p>
    <w:p w14:paraId="551561E1" w14:textId="5F71764A" w:rsidR="00F40CCE" w:rsidRPr="00201DA2" w:rsidRDefault="00F40CCE" w:rsidP="00F40CCE">
      <w:pPr>
        <w:pBdr>
          <w:top w:val="nil"/>
          <w:left w:val="nil"/>
          <w:bottom w:val="nil"/>
          <w:right w:val="nil"/>
          <w:between w:val="nil"/>
        </w:pBdr>
        <w:contextualSpacing/>
        <w:jc w:val="center"/>
        <w:rPr>
          <w:b/>
          <w:sz w:val="22"/>
          <w:szCs w:val="22"/>
        </w:rPr>
      </w:pPr>
      <w:r w:rsidRPr="00201DA2">
        <w:rPr>
          <w:b/>
          <w:sz w:val="22"/>
          <w:szCs w:val="22"/>
        </w:rPr>
        <w:t>National Security</w:t>
      </w:r>
    </w:p>
    <w:p w14:paraId="1ED3EBF2" w14:textId="430F6E71" w:rsidR="00F40CCE" w:rsidRPr="00201DA2" w:rsidRDefault="00F40CCE" w:rsidP="00154853">
      <w:pPr>
        <w:pBdr>
          <w:top w:val="nil"/>
          <w:left w:val="nil"/>
          <w:bottom w:val="nil"/>
          <w:right w:val="nil"/>
          <w:between w:val="nil"/>
        </w:pBdr>
        <w:contextualSpacing/>
        <w:rPr>
          <w:rFonts w:eastAsia="Calibri"/>
          <w:b/>
          <w:color w:val="000000"/>
          <w:sz w:val="22"/>
          <w:szCs w:val="22"/>
        </w:rPr>
      </w:pPr>
    </w:p>
    <w:p w14:paraId="7E8DFC4A" w14:textId="77777777" w:rsidR="00F40CCE" w:rsidRPr="00201DA2" w:rsidRDefault="00F40CCE" w:rsidP="00F40CCE">
      <w:pPr>
        <w:pBdr>
          <w:top w:val="nil"/>
          <w:left w:val="nil"/>
          <w:bottom w:val="nil"/>
          <w:right w:val="nil"/>
          <w:between w:val="nil"/>
        </w:pBdr>
        <w:contextualSpacing/>
        <w:rPr>
          <w:rFonts w:eastAsia="Calibri"/>
          <w:color w:val="000000"/>
          <w:sz w:val="22"/>
          <w:szCs w:val="22"/>
        </w:rPr>
      </w:pPr>
      <w:r w:rsidRPr="00201DA2">
        <w:rPr>
          <w:rFonts w:eastAsia="Calibri"/>
          <w:b/>
          <w:color w:val="000000"/>
          <w:sz w:val="22"/>
          <w:szCs w:val="22"/>
        </w:rPr>
        <w:t>Summary</w:t>
      </w:r>
    </w:p>
    <w:p w14:paraId="28149CA5" w14:textId="1F85064B" w:rsidR="00F40CCE" w:rsidRPr="00201DA2" w:rsidRDefault="002B0A4D" w:rsidP="00F40CCE">
      <w:pPr>
        <w:pBdr>
          <w:top w:val="nil"/>
          <w:left w:val="nil"/>
          <w:bottom w:val="nil"/>
          <w:right w:val="nil"/>
          <w:between w:val="nil"/>
        </w:pBdr>
        <w:rPr>
          <w:rFonts w:eastAsia="Calibri"/>
          <w:color w:val="000000"/>
          <w:sz w:val="22"/>
          <w:szCs w:val="22"/>
        </w:rPr>
      </w:pPr>
      <w:r w:rsidRPr="00201DA2">
        <w:rPr>
          <w:rFonts w:eastAsia="Calibri"/>
          <w:color w:val="000000"/>
          <w:sz w:val="22"/>
          <w:szCs w:val="22"/>
        </w:rPr>
        <w:t>The United States reportedly changed its policy with respect to the use of armed drones</w:t>
      </w:r>
      <w:r w:rsidR="001F3F68" w:rsidRPr="00201DA2">
        <w:rPr>
          <w:rFonts w:eastAsia="Calibri"/>
          <w:color w:val="000000"/>
          <w:sz w:val="22"/>
          <w:szCs w:val="22"/>
        </w:rPr>
        <w:t xml:space="preserve"> without public notice</w:t>
      </w:r>
      <w:r w:rsidRPr="00201DA2">
        <w:rPr>
          <w:rFonts w:eastAsia="Calibri"/>
          <w:color w:val="000000"/>
          <w:sz w:val="22"/>
          <w:szCs w:val="22"/>
        </w:rPr>
        <w:t xml:space="preserve"> – which already </w:t>
      </w:r>
      <w:r w:rsidR="001F3F68" w:rsidRPr="00201DA2">
        <w:rPr>
          <w:rFonts w:eastAsia="Calibri"/>
          <w:color w:val="000000"/>
          <w:sz w:val="22"/>
          <w:szCs w:val="22"/>
        </w:rPr>
        <w:t>implicates</w:t>
      </w:r>
      <w:r w:rsidRPr="00201DA2">
        <w:rPr>
          <w:rFonts w:eastAsia="Calibri"/>
          <w:color w:val="000000"/>
          <w:sz w:val="22"/>
          <w:szCs w:val="22"/>
        </w:rPr>
        <w:t xml:space="preserve"> the right to life – by eliminating the requirements that the </w:t>
      </w:r>
      <w:r w:rsidR="001F3F68" w:rsidRPr="00201DA2">
        <w:rPr>
          <w:rFonts w:eastAsia="Calibri"/>
          <w:color w:val="000000"/>
          <w:sz w:val="22"/>
          <w:szCs w:val="22"/>
        </w:rPr>
        <w:t xml:space="preserve">individual </w:t>
      </w:r>
      <w:r w:rsidRPr="00201DA2">
        <w:rPr>
          <w:rFonts w:eastAsia="Calibri"/>
          <w:color w:val="000000"/>
          <w:sz w:val="22"/>
          <w:szCs w:val="22"/>
        </w:rPr>
        <w:t>target</w:t>
      </w:r>
      <w:r w:rsidR="001F3F68" w:rsidRPr="00201DA2">
        <w:rPr>
          <w:rFonts w:eastAsia="Calibri"/>
          <w:color w:val="000000"/>
          <w:sz w:val="22"/>
          <w:szCs w:val="22"/>
        </w:rPr>
        <w:t>ed</w:t>
      </w:r>
      <w:r w:rsidRPr="00201DA2">
        <w:rPr>
          <w:rFonts w:eastAsia="Calibri"/>
          <w:color w:val="000000"/>
          <w:sz w:val="22"/>
          <w:szCs w:val="22"/>
        </w:rPr>
        <w:t xml:space="preserve"> pose an “imminent threat” to the United States and that there be “near certainty” the target is </w:t>
      </w:r>
      <w:r w:rsidRPr="00201DA2">
        <w:rPr>
          <w:rFonts w:eastAsia="Calibri"/>
          <w:color w:val="000000"/>
          <w:sz w:val="22"/>
          <w:szCs w:val="22"/>
        </w:rPr>
        <w:lastRenderedPageBreak/>
        <w:t>present</w:t>
      </w:r>
      <w:r w:rsidR="001F3F68" w:rsidRPr="00201DA2">
        <w:rPr>
          <w:rFonts w:eastAsia="Calibri"/>
          <w:color w:val="000000"/>
          <w:sz w:val="22"/>
          <w:szCs w:val="22"/>
        </w:rPr>
        <w:t xml:space="preserve"> at the attack site</w:t>
      </w:r>
      <w:r w:rsidRPr="00201DA2">
        <w:rPr>
          <w:rFonts w:eastAsia="Calibri"/>
          <w:color w:val="000000"/>
          <w:sz w:val="22"/>
          <w:szCs w:val="22"/>
        </w:rPr>
        <w:t xml:space="preserve">. </w:t>
      </w:r>
      <w:r w:rsidR="005F1DEF" w:rsidRPr="00201DA2">
        <w:rPr>
          <w:rFonts w:eastAsia="Calibri"/>
          <w:color w:val="000000"/>
          <w:sz w:val="22"/>
          <w:szCs w:val="22"/>
        </w:rPr>
        <w:t xml:space="preserve">The </w:t>
      </w:r>
      <w:r w:rsidR="001F3F68" w:rsidRPr="00201DA2">
        <w:rPr>
          <w:rFonts w:eastAsia="Calibri"/>
          <w:color w:val="000000"/>
          <w:sz w:val="22"/>
          <w:szCs w:val="22"/>
        </w:rPr>
        <w:t xml:space="preserve">US </w:t>
      </w:r>
      <w:r w:rsidR="005F1DEF" w:rsidRPr="00201DA2">
        <w:rPr>
          <w:rFonts w:eastAsia="Calibri"/>
          <w:color w:val="000000"/>
          <w:sz w:val="22"/>
          <w:szCs w:val="22"/>
        </w:rPr>
        <w:t>has assisted</w:t>
      </w:r>
      <w:r w:rsidRPr="00201DA2">
        <w:rPr>
          <w:rFonts w:eastAsia="Calibri"/>
          <w:color w:val="000000"/>
          <w:sz w:val="22"/>
          <w:szCs w:val="22"/>
        </w:rPr>
        <w:t xml:space="preserve"> </w:t>
      </w:r>
      <w:r w:rsidR="001F3F68" w:rsidRPr="00201DA2">
        <w:rPr>
          <w:rFonts w:eastAsia="Calibri"/>
          <w:color w:val="000000"/>
          <w:sz w:val="22"/>
          <w:szCs w:val="22"/>
        </w:rPr>
        <w:t>non-state armed groups</w:t>
      </w:r>
      <w:r w:rsidRPr="00201DA2">
        <w:rPr>
          <w:rFonts w:eastAsia="Calibri"/>
          <w:color w:val="000000"/>
          <w:sz w:val="22"/>
          <w:szCs w:val="22"/>
        </w:rPr>
        <w:t xml:space="preserve"> </w:t>
      </w:r>
      <w:r w:rsidR="005F1DEF" w:rsidRPr="00201DA2">
        <w:rPr>
          <w:rFonts w:eastAsia="Calibri"/>
          <w:color w:val="000000"/>
          <w:sz w:val="22"/>
          <w:szCs w:val="22"/>
        </w:rPr>
        <w:t xml:space="preserve">running detention facilities in northern Syria </w:t>
      </w:r>
      <w:r w:rsidRPr="00201DA2">
        <w:rPr>
          <w:rFonts w:eastAsia="Calibri"/>
          <w:color w:val="000000"/>
          <w:sz w:val="22"/>
          <w:szCs w:val="22"/>
        </w:rPr>
        <w:t xml:space="preserve">and has </w:t>
      </w:r>
      <w:r w:rsidR="005F1DEF" w:rsidRPr="00201DA2">
        <w:rPr>
          <w:rFonts w:eastAsia="Calibri"/>
          <w:color w:val="000000"/>
          <w:sz w:val="22"/>
          <w:szCs w:val="22"/>
        </w:rPr>
        <w:t>transferred detainees under unclear processes to safeguard against abuse</w:t>
      </w:r>
      <w:r w:rsidRPr="00201DA2">
        <w:rPr>
          <w:rFonts w:eastAsia="Calibri"/>
          <w:color w:val="000000"/>
          <w:sz w:val="22"/>
          <w:szCs w:val="22"/>
        </w:rPr>
        <w:t xml:space="preserve"> to several countries</w:t>
      </w:r>
      <w:r w:rsidR="00147F65" w:rsidRPr="00201DA2">
        <w:rPr>
          <w:rFonts w:eastAsia="Calibri"/>
          <w:color w:val="000000"/>
          <w:sz w:val="22"/>
          <w:szCs w:val="22"/>
        </w:rPr>
        <w:t xml:space="preserve">. </w:t>
      </w:r>
      <w:r w:rsidR="005F1DEF" w:rsidRPr="00201DA2">
        <w:rPr>
          <w:rFonts w:eastAsia="Calibri"/>
          <w:color w:val="000000"/>
          <w:sz w:val="22"/>
          <w:szCs w:val="22"/>
        </w:rPr>
        <w:t xml:space="preserve">The US </w:t>
      </w:r>
      <w:r w:rsidRPr="00201DA2">
        <w:rPr>
          <w:rFonts w:eastAsia="Calibri"/>
          <w:color w:val="000000"/>
          <w:sz w:val="22"/>
          <w:szCs w:val="22"/>
        </w:rPr>
        <w:t xml:space="preserve">also </w:t>
      </w:r>
      <w:r w:rsidR="005F1DEF" w:rsidRPr="00201DA2">
        <w:rPr>
          <w:rFonts w:eastAsia="Calibri"/>
          <w:color w:val="000000"/>
          <w:sz w:val="22"/>
          <w:szCs w:val="22"/>
        </w:rPr>
        <w:t xml:space="preserve">continues to hold </w:t>
      </w:r>
      <w:r w:rsidRPr="00201DA2">
        <w:rPr>
          <w:rFonts w:eastAsia="Calibri"/>
          <w:color w:val="000000"/>
          <w:sz w:val="22"/>
          <w:szCs w:val="22"/>
        </w:rPr>
        <w:t xml:space="preserve">40 men </w:t>
      </w:r>
      <w:r w:rsidR="005F1DEF" w:rsidRPr="00201DA2">
        <w:rPr>
          <w:rFonts w:eastAsia="Calibri"/>
          <w:color w:val="000000"/>
          <w:sz w:val="22"/>
          <w:szCs w:val="22"/>
        </w:rPr>
        <w:t>at the Gua</w:t>
      </w:r>
      <w:r w:rsidR="00B22DA7" w:rsidRPr="00201DA2">
        <w:rPr>
          <w:rFonts w:eastAsia="Calibri"/>
          <w:color w:val="000000"/>
          <w:sz w:val="22"/>
          <w:szCs w:val="22"/>
        </w:rPr>
        <w:t>n</w:t>
      </w:r>
      <w:r w:rsidR="005F1DEF" w:rsidRPr="00201DA2">
        <w:rPr>
          <w:rFonts w:eastAsia="Calibri"/>
          <w:color w:val="000000"/>
          <w:sz w:val="22"/>
          <w:szCs w:val="22"/>
        </w:rPr>
        <w:t xml:space="preserve">tanamo Bay detention facility, </w:t>
      </w:r>
      <w:r w:rsidR="00B22DA7" w:rsidRPr="00201DA2">
        <w:rPr>
          <w:rFonts w:eastAsia="Calibri"/>
          <w:color w:val="000000"/>
          <w:sz w:val="22"/>
          <w:szCs w:val="22"/>
        </w:rPr>
        <w:t xml:space="preserve">31 of them indefinitely without charge, and was </w:t>
      </w:r>
      <w:r w:rsidR="005F1DEF" w:rsidRPr="00201DA2">
        <w:rPr>
          <w:rFonts w:eastAsia="Calibri"/>
          <w:color w:val="000000"/>
          <w:sz w:val="22"/>
          <w:szCs w:val="22"/>
        </w:rPr>
        <w:t>reportedly considering transferring new detainees</w:t>
      </w:r>
      <w:r w:rsidR="00B22DA7" w:rsidRPr="00201DA2">
        <w:rPr>
          <w:rFonts w:eastAsia="Calibri"/>
          <w:color w:val="000000"/>
          <w:sz w:val="22"/>
          <w:szCs w:val="22"/>
        </w:rPr>
        <w:t xml:space="preserve"> there</w:t>
      </w:r>
      <w:r w:rsidR="005F1DEF" w:rsidRPr="00201DA2">
        <w:rPr>
          <w:rFonts w:eastAsia="Calibri"/>
          <w:color w:val="000000"/>
          <w:sz w:val="22"/>
          <w:szCs w:val="22"/>
        </w:rPr>
        <w:t>.</w:t>
      </w:r>
    </w:p>
    <w:p w14:paraId="4564984D" w14:textId="77777777" w:rsidR="005F1DEF" w:rsidRPr="00201DA2" w:rsidRDefault="005F1DEF" w:rsidP="00F40CCE">
      <w:pPr>
        <w:pBdr>
          <w:top w:val="nil"/>
          <w:left w:val="nil"/>
          <w:bottom w:val="nil"/>
          <w:right w:val="nil"/>
          <w:between w:val="nil"/>
        </w:pBdr>
        <w:rPr>
          <w:rFonts w:eastAsia="Calibri"/>
          <w:color w:val="000000"/>
          <w:sz w:val="22"/>
          <w:szCs w:val="22"/>
        </w:rPr>
      </w:pPr>
    </w:p>
    <w:p w14:paraId="39CA1FDD" w14:textId="6E7BC101" w:rsidR="00F40CCE" w:rsidRPr="00201DA2" w:rsidRDefault="00F40CCE" w:rsidP="00F40CCE">
      <w:pPr>
        <w:pBdr>
          <w:top w:val="nil"/>
          <w:left w:val="nil"/>
          <w:bottom w:val="nil"/>
          <w:right w:val="nil"/>
          <w:between w:val="nil"/>
        </w:pBdr>
        <w:contextualSpacing/>
        <w:rPr>
          <w:rFonts w:eastAsia="Calibri"/>
          <w:b/>
          <w:color w:val="000000"/>
          <w:sz w:val="22"/>
          <w:szCs w:val="22"/>
          <w:lang w:val="fr-FR"/>
        </w:rPr>
      </w:pPr>
      <w:r w:rsidRPr="00201DA2">
        <w:rPr>
          <w:rFonts w:eastAsia="Calibri"/>
          <w:b/>
          <w:color w:val="000000"/>
          <w:sz w:val="22"/>
          <w:szCs w:val="22"/>
          <w:lang w:val="fr-FR"/>
        </w:rPr>
        <w:t>Relevant ICCPR Articles</w:t>
      </w:r>
    </w:p>
    <w:p w14:paraId="1CA83CC0" w14:textId="1C34C010" w:rsidR="005F1DEF" w:rsidRPr="00201DA2" w:rsidRDefault="005F1DEF" w:rsidP="00F40CCE">
      <w:pPr>
        <w:pBdr>
          <w:top w:val="nil"/>
          <w:left w:val="nil"/>
          <w:bottom w:val="nil"/>
          <w:right w:val="nil"/>
          <w:between w:val="nil"/>
        </w:pBdr>
        <w:contextualSpacing/>
        <w:rPr>
          <w:rFonts w:eastAsia="Calibri"/>
          <w:color w:val="000000"/>
          <w:sz w:val="22"/>
          <w:szCs w:val="22"/>
          <w:lang w:val="fr-FR"/>
        </w:rPr>
      </w:pPr>
      <w:r w:rsidRPr="00201DA2">
        <w:rPr>
          <w:rFonts w:eastAsia="Calibri"/>
          <w:color w:val="000000"/>
          <w:sz w:val="22"/>
          <w:szCs w:val="22"/>
          <w:lang w:val="fr-FR"/>
        </w:rPr>
        <w:t xml:space="preserve">Articles 2, </w:t>
      </w:r>
      <w:r w:rsidR="00473E5B" w:rsidRPr="00201DA2">
        <w:rPr>
          <w:rFonts w:eastAsia="Calibri"/>
          <w:color w:val="000000"/>
          <w:sz w:val="22"/>
          <w:szCs w:val="22"/>
          <w:lang w:val="fr-FR"/>
        </w:rPr>
        <w:t xml:space="preserve">4, </w:t>
      </w:r>
      <w:r w:rsidR="00147F65" w:rsidRPr="00201DA2">
        <w:rPr>
          <w:rFonts w:eastAsia="Calibri"/>
          <w:color w:val="000000"/>
          <w:sz w:val="22"/>
          <w:szCs w:val="22"/>
          <w:lang w:val="fr-FR"/>
        </w:rPr>
        <w:t xml:space="preserve">6, </w:t>
      </w:r>
      <w:r w:rsidRPr="00201DA2">
        <w:rPr>
          <w:rFonts w:eastAsia="Calibri"/>
          <w:color w:val="000000"/>
          <w:sz w:val="22"/>
          <w:szCs w:val="22"/>
          <w:lang w:val="fr-FR"/>
        </w:rPr>
        <w:t>7, 9</w:t>
      </w:r>
      <w:r w:rsidR="00147F65" w:rsidRPr="00201DA2">
        <w:rPr>
          <w:rFonts w:eastAsia="Calibri"/>
          <w:color w:val="000000"/>
          <w:sz w:val="22"/>
          <w:szCs w:val="22"/>
          <w:lang w:val="fr-FR"/>
        </w:rPr>
        <w:t>, and 14</w:t>
      </w:r>
      <w:r w:rsidRPr="00201DA2">
        <w:rPr>
          <w:rFonts w:eastAsia="Calibri"/>
          <w:color w:val="000000"/>
          <w:sz w:val="22"/>
          <w:szCs w:val="22"/>
          <w:lang w:val="fr-FR"/>
        </w:rPr>
        <w:t>.</w:t>
      </w:r>
    </w:p>
    <w:p w14:paraId="1A35246C" w14:textId="77777777" w:rsidR="00F40CCE" w:rsidRPr="00201DA2" w:rsidRDefault="00F40CCE" w:rsidP="00F40CCE">
      <w:pPr>
        <w:pBdr>
          <w:top w:val="nil"/>
          <w:left w:val="nil"/>
          <w:bottom w:val="nil"/>
          <w:right w:val="nil"/>
          <w:between w:val="nil"/>
        </w:pBdr>
        <w:contextualSpacing/>
        <w:rPr>
          <w:rFonts w:eastAsia="Calibri"/>
          <w:color w:val="000000"/>
          <w:sz w:val="22"/>
          <w:szCs w:val="22"/>
          <w:lang w:val="fr-FR"/>
        </w:rPr>
      </w:pPr>
    </w:p>
    <w:p w14:paraId="03C3137D" w14:textId="10DF7347" w:rsidR="00F40CCE" w:rsidRPr="00201DA2" w:rsidRDefault="00F40CCE" w:rsidP="00F40CCE">
      <w:pPr>
        <w:pBdr>
          <w:top w:val="nil"/>
          <w:left w:val="nil"/>
          <w:bottom w:val="nil"/>
          <w:right w:val="nil"/>
          <w:between w:val="nil"/>
        </w:pBdr>
        <w:contextualSpacing/>
        <w:rPr>
          <w:rFonts w:eastAsia="Calibri"/>
          <w:b/>
          <w:color w:val="000000"/>
          <w:sz w:val="22"/>
          <w:szCs w:val="22"/>
        </w:rPr>
      </w:pPr>
      <w:r w:rsidRPr="00201DA2">
        <w:rPr>
          <w:rFonts w:eastAsia="Calibri"/>
          <w:b/>
          <w:color w:val="000000"/>
          <w:sz w:val="22"/>
          <w:szCs w:val="22"/>
        </w:rPr>
        <w:t>Prior Recommendations</w:t>
      </w:r>
    </w:p>
    <w:p w14:paraId="6FDC8DA6" w14:textId="7040D4CF" w:rsidR="008B6A98" w:rsidRPr="00201DA2" w:rsidRDefault="005F1DEF" w:rsidP="00B22DA7">
      <w:pPr>
        <w:pStyle w:val="ListParagraph"/>
        <w:numPr>
          <w:ilvl w:val="0"/>
          <w:numId w:val="22"/>
        </w:numPr>
        <w:pBdr>
          <w:top w:val="nil"/>
          <w:left w:val="nil"/>
          <w:bottom w:val="nil"/>
          <w:right w:val="nil"/>
          <w:between w:val="nil"/>
        </w:pBdr>
        <w:rPr>
          <w:rFonts w:eastAsia="Calibri"/>
          <w:color w:val="000000"/>
          <w:sz w:val="22"/>
          <w:szCs w:val="22"/>
        </w:rPr>
      </w:pPr>
      <w:r w:rsidRPr="00201DA2">
        <w:rPr>
          <w:rFonts w:eastAsia="Calibri"/>
          <w:color w:val="000000"/>
          <w:sz w:val="22"/>
          <w:szCs w:val="22"/>
        </w:rPr>
        <w:t>In 2006, the Committee offered detailed recommendations relat</w:t>
      </w:r>
      <w:r w:rsidR="00B22DA7" w:rsidRPr="00201DA2">
        <w:rPr>
          <w:rFonts w:eastAsia="Calibri"/>
          <w:color w:val="000000"/>
          <w:sz w:val="22"/>
          <w:szCs w:val="22"/>
        </w:rPr>
        <w:t xml:space="preserve">ed </w:t>
      </w:r>
      <w:r w:rsidRPr="00201DA2">
        <w:rPr>
          <w:rFonts w:eastAsia="Calibri"/>
          <w:color w:val="000000"/>
          <w:sz w:val="22"/>
          <w:szCs w:val="22"/>
        </w:rPr>
        <w:t>to detention</w:t>
      </w:r>
      <w:r w:rsidR="00B22DA7" w:rsidRPr="00201DA2">
        <w:rPr>
          <w:rFonts w:eastAsia="Calibri"/>
          <w:color w:val="000000"/>
          <w:sz w:val="22"/>
          <w:szCs w:val="22"/>
        </w:rPr>
        <w:t>s</w:t>
      </w:r>
      <w:r w:rsidRPr="00201DA2">
        <w:rPr>
          <w:rFonts w:eastAsia="Calibri"/>
          <w:color w:val="000000"/>
          <w:sz w:val="22"/>
          <w:szCs w:val="22"/>
        </w:rPr>
        <w:t xml:space="preserve"> </w:t>
      </w:r>
      <w:r w:rsidR="00B22DA7" w:rsidRPr="00201DA2">
        <w:rPr>
          <w:rFonts w:eastAsia="Calibri"/>
          <w:color w:val="000000"/>
          <w:sz w:val="22"/>
          <w:szCs w:val="22"/>
        </w:rPr>
        <w:t xml:space="preserve">at the </w:t>
      </w:r>
      <w:r w:rsidRPr="00201DA2">
        <w:rPr>
          <w:rFonts w:eastAsia="Calibri"/>
          <w:color w:val="000000"/>
          <w:sz w:val="22"/>
          <w:szCs w:val="22"/>
        </w:rPr>
        <w:t>Guantanamo Bay</w:t>
      </w:r>
      <w:r w:rsidR="00B22DA7" w:rsidRPr="00201DA2">
        <w:rPr>
          <w:rFonts w:eastAsia="Calibri"/>
          <w:color w:val="000000"/>
          <w:sz w:val="22"/>
          <w:szCs w:val="22"/>
        </w:rPr>
        <w:t xml:space="preserve"> detention facility, transfers of detainees to the custody of other governments or forces, and accountability for the use of torture and mistreatment after the September 11, 2001 attacks on the US World Trade Center</w:t>
      </w:r>
      <w:r w:rsidRPr="00201DA2">
        <w:rPr>
          <w:rFonts w:eastAsia="Calibri"/>
          <w:color w:val="000000"/>
          <w:sz w:val="22"/>
          <w:szCs w:val="22"/>
        </w:rPr>
        <w:t>. (para</w:t>
      </w:r>
      <w:r w:rsidR="008B6A98" w:rsidRPr="00201DA2">
        <w:rPr>
          <w:rFonts w:eastAsia="Calibri"/>
          <w:color w:val="000000"/>
          <w:sz w:val="22"/>
          <w:szCs w:val="22"/>
        </w:rPr>
        <w:t>s</w:t>
      </w:r>
      <w:r w:rsidRPr="00201DA2">
        <w:rPr>
          <w:rFonts w:eastAsia="Calibri"/>
          <w:color w:val="000000"/>
          <w:sz w:val="22"/>
          <w:szCs w:val="22"/>
        </w:rPr>
        <w:t>.</w:t>
      </w:r>
      <w:r w:rsidR="008B6A98" w:rsidRPr="00201DA2">
        <w:rPr>
          <w:rFonts w:eastAsia="Calibri"/>
          <w:color w:val="000000"/>
          <w:sz w:val="22"/>
          <w:szCs w:val="22"/>
        </w:rPr>
        <w:t xml:space="preserve"> 14, 15, </w:t>
      </w:r>
      <w:r w:rsidR="00B22DA7" w:rsidRPr="00201DA2">
        <w:rPr>
          <w:rFonts w:eastAsia="Calibri"/>
          <w:color w:val="000000"/>
          <w:sz w:val="22"/>
          <w:szCs w:val="22"/>
        </w:rPr>
        <w:t xml:space="preserve">16, </w:t>
      </w:r>
      <w:r w:rsidR="008B6A98" w:rsidRPr="00201DA2">
        <w:rPr>
          <w:rFonts w:eastAsia="Calibri"/>
          <w:color w:val="000000"/>
          <w:sz w:val="22"/>
          <w:szCs w:val="22"/>
        </w:rPr>
        <w:t>18, 20</w:t>
      </w:r>
      <w:r w:rsidR="00B22DA7" w:rsidRPr="00201DA2">
        <w:rPr>
          <w:rFonts w:eastAsia="Calibri"/>
          <w:color w:val="000000"/>
          <w:sz w:val="22"/>
          <w:szCs w:val="22"/>
        </w:rPr>
        <w:t>, 21</w:t>
      </w:r>
      <w:r w:rsidR="008B6A98" w:rsidRPr="00201DA2">
        <w:rPr>
          <w:rFonts w:eastAsia="Calibri"/>
          <w:color w:val="000000"/>
          <w:sz w:val="22"/>
          <w:szCs w:val="22"/>
        </w:rPr>
        <w:t>)</w:t>
      </w:r>
      <w:r w:rsidR="00B22DA7" w:rsidRPr="00201DA2">
        <w:rPr>
          <w:rFonts w:eastAsia="Calibri"/>
          <w:color w:val="000000"/>
          <w:sz w:val="22"/>
          <w:szCs w:val="22"/>
        </w:rPr>
        <w:t xml:space="preserve">. Specifically, it </w:t>
      </w:r>
      <w:r w:rsidRPr="00201DA2">
        <w:rPr>
          <w:rFonts w:eastAsia="Calibri"/>
          <w:color w:val="000000"/>
          <w:sz w:val="22"/>
          <w:szCs w:val="22"/>
        </w:rPr>
        <w:t>recommended that the United States “take all necessary measures to ensure that individuals, including those it detains outside its own territory, are not returned to another country by way of inter alia, their transfer, rendition, extradition, expulsion or refoulement if there are substantial reasons for believing that they would be in danger of being subjected to torture or cruel, inhuman or degrading treatment or punishment.</w:t>
      </w:r>
      <w:r w:rsidR="00A47017" w:rsidRPr="00201DA2">
        <w:rPr>
          <w:rFonts w:eastAsia="Calibri"/>
          <w:color w:val="000000"/>
          <w:sz w:val="22"/>
          <w:szCs w:val="22"/>
        </w:rPr>
        <w:t>”</w:t>
      </w:r>
      <w:r w:rsidRPr="00201DA2">
        <w:rPr>
          <w:rFonts w:eastAsia="Calibri"/>
          <w:color w:val="000000"/>
          <w:sz w:val="22"/>
          <w:szCs w:val="22"/>
        </w:rPr>
        <w:t xml:space="preserve"> </w:t>
      </w:r>
      <w:r w:rsidR="00B22DA7" w:rsidRPr="00201DA2">
        <w:rPr>
          <w:rFonts w:eastAsia="Calibri"/>
          <w:color w:val="000000"/>
          <w:sz w:val="22"/>
          <w:szCs w:val="22"/>
        </w:rPr>
        <w:t xml:space="preserve">It also recommended that the US have mechanisms in place to ensure credible investigations of torture and mistreatment of persons transferred in these ways; such transfers are adequately monitored; and that victims of mistreatment or torture in such contexts have an effective remedy. </w:t>
      </w:r>
      <w:r w:rsidR="008B6A98" w:rsidRPr="00201DA2">
        <w:rPr>
          <w:rFonts w:eastAsia="Calibri"/>
          <w:color w:val="000000"/>
          <w:sz w:val="22"/>
          <w:szCs w:val="22"/>
        </w:rPr>
        <w:t>(para. 16)</w:t>
      </w:r>
      <w:r w:rsidR="00A47017" w:rsidRPr="00201DA2">
        <w:rPr>
          <w:rFonts w:eastAsia="Calibri"/>
          <w:color w:val="000000"/>
          <w:sz w:val="22"/>
          <w:szCs w:val="22"/>
        </w:rPr>
        <w:t>.</w:t>
      </w:r>
    </w:p>
    <w:p w14:paraId="25C53DDB" w14:textId="023104D6" w:rsidR="00955B9A" w:rsidRPr="00201DA2" w:rsidRDefault="008B6A98" w:rsidP="00103076">
      <w:pPr>
        <w:pStyle w:val="ListParagraph"/>
        <w:numPr>
          <w:ilvl w:val="0"/>
          <w:numId w:val="22"/>
        </w:numPr>
        <w:pBdr>
          <w:top w:val="nil"/>
          <w:left w:val="nil"/>
          <w:bottom w:val="nil"/>
          <w:right w:val="nil"/>
          <w:between w:val="nil"/>
        </w:pBdr>
        <w:rPr>
          <w:rFonts w:eastAsia="Calibri"/>
          <w:color w:val="000000"/>
          <w:sz w:val="22"/>
          <w:szCs w:val="22"/>
        </w:rPr>
      </w:pPr>
      <w:r w:rsidRPr="00201DA2">
        <w:rPr>
          <w:rFonts w:eastAsia="Calibri"/>
          <w:color w:val="000000"/>
          <w:sz w:val="22"/>
          <w:szCs w:val="22"/>
        </w:rPr>
        <w:t xml:space="preserve">In 2014, the Committee </w:t>
      </w:r>
      <w:r w:rsidR="00B22DA7" w:rsidRPr="00201DA2">
        <w:rPr>
          <w:rFonts w:eastAsia="Calibri"/>
          <w:color w:val="000000"/>
          <w:sz w:val="22"/>
          <w:szCs w:val="22"/>
        </w:rPr>
        <w:t xml:space="preserve">reiterated its recommendation that the US strictly apply the absolute prohibition against refoulement under </w:t>
      </w:r>
      <w:r w:rsidR="00A47017" w:rsidRPr="00201DA2">
        <w:rPr>
          <w:rFonts w:eastAsia="Calibri"/>
          <w:color w:val="000000"/>
          <w:sz w:val="22"/>
          <w:szCs w:val="22"/>
        </w:rPr>
        <w:t>A</w:t>
      </w:r>
      <w:r w:rsidR="00B22DA7" w:rsidRPr="00201DA2">
        <w:rPr>
          <w:rFonts w:eastAsia="Calibri"/>
          <w:color w:val="000000"/>
          <w:sz w:val="22"/>
          <w:szCs w:val="22"/>
        </w:rPr>
        <w:t xml:space="preserve">rticles 6 and 7 of the Covenant; </w:t>
      </w:r>
      <w:r w:rsidRPr="00201DA2">
        <w:rPr>
          <w:rFonts w:eastAsia="Calibri"/>
          <w:color w:val="000000"/>
          <w:sz w:val="22"/>
          <w:szCs w:val="22"/>
        </w:rPr>
        <w:t>expedite the transfer of</w:t>
      </w:r>
      <w:r w:rsidR="00B22DA7" w:rsidRPr="00201DA2">
        <w:rPr>
          <w:rFonts w:eastAsia="Calibri"/>
          <w:color w:val="000000"/>
          <w:sz w:val="22"/>
          <w:szCs w:val="22"/>
        </w:rPr>
        <w:t xml:space="preserve"> Guantanamo </w:t>
      </w:r>
      <w:r w:rsidRPr="00201DA2">
        <w:rPr>
          <w:rFonts w:eastAsia="Calibri"/>
          <w:color w:val="000000"/>
          <w:sz w:val="22"/>
          <w:szCs w:val="22"/>
        </w:rPr>
        <w:t xml:space="preserve">detainees designated for </w:t>
      </w:r>
      <w:r w:rsidR="00B22DA7" w:rsidRPr="00201DA2">
        <w:rPr>
          <w:rFonts w:eastAsia="Calibri"/>
          <w:color w:val="000000"/>
          <w:sz w:val="22"/>
          <w:szCs w:val="22"/>
        </w:rPr>
        <w:t xml:space="preserve">transfer out of the facility; </w:t>
      </w:r>
      <w:r w:rsidRPr="00201DA2">
        <w:rPr>
          <w:rFonts w:eastAsia="Calibri"/>
          <w:color w:val="000000"/>
          <w:sz w:val="22"/>
          <w:szCs w:val="22"/>
        </w:rPr>
        <w:t xml:space="preserve">review </w:t>
      </w:r>
      <w:r w:rsidR="00B22DA7" w:rsidRPr="00201DA2">
        <w:rPr>
          <w:rFonts w:eastAsia="Calibri"/>
          <w:color w:val="000000"/>
          <w:sz w:val="22"/>
          <w:szCs w:val="22"/>
        </w:rPr>
        <w:t>the cases of those it continues to detain</w:t>
      </w:r>
      <w:r w:rsidR="00955B9A" w:rsidRPr="00201DA2">
        <w:rPr>
          <w:rFonts w:eastAsia="Calibri"/>
          <w:color w:val="000000"/>
          <w:sz w:val="22"/>
          <w:szCs w:val="22"/>
        </w:rPr>
        <w:t xml:space="preserve">; </w:t>
      </w:r>
      <w:r w:rsidRPr="00201DA2">
        <w:rPr>
          <w:rFonts w:eastAsia="Calibri"/>
          <w:color w:val="000000"/>
          <w:sz w:val="22"/>
          <w:szCs w:val="22"/>
        </w:rPr>
        <w:t>end detention without charge or trial</w:t>
      </w:r>
      <w:r w:rsidR="00955B9A" w:rsidRPr="00201DA2">
        <w:rPr>
          <w:rFonts w:eastAsia="Calibri"/>
          <w:color w:val="000000"/>
          <w:sz w:val="22"/>
          <w:szCs w:val="22"/>
        </w:rPr>
        <w:t xml:space="preserve"> at Guantanamo;</w:t>
      </w:r>
      <w:r w:rsidRPr="00201DA2">
        <w:rPr>
          <w:rFonts w:eastAsia="Calibri"/>
          <w:color w:val="000000"/>
          <w:sz w:val="22"/>
          <w:szCs w:val="22"/>
        </w:rPr>
        <w:t xml:space="preserve"> and ensure that any </w:t>
      </w:r>
      <w:r w:rsidR="00955B9A" w:rsidRPr="00201DA2">
        <w:rPr>
          <w:rFonts w:eastAsia="Calibri"/>
          <w:color w:val="000000"/>
          <w:sz w:val="22"/>
          <w:szCs w:val="22"/>
        </w:rPr>
        <w:t xml:space="preserve">detainees charged with </w:t>
      </w:r>
      <w:r w:rsidRPr="00201DA2">
        <w:rPr>
          <w:rFonts w:eastAsia="Calibri"/>
          <w:color w:val="000000"/>
          <w:sz w:val="22"/>
          <w:szCs w:val="22"/>
        </w:rPr>
        <w:t>crim</w:t>
      </w:r>
      <w:r w:rsidR="00955B9A" w:rsidRPr="00201DA2">
        <w:rPr>
          <w:rFonts w:eastAsia="Calibri"/>
          <w:color w:val="000000"/>
          <w:sz w:val="22"/>
          <w:szCs w:val="22"/>
        </w:rPr>
        <w:t xml:space="preserve">es are prosecuted in </w:t>
      </w:r>
      <w:r w:rsidRPr="00201DA2">
        <w:rPr>
          <w:rFonts w:eastAsia="Calibri"/>
          <w:color w:val="000000"/>
          <w:sz w:val="22"/>
          <w:szCs w:val="22"/>
        </w:rPr>
        <w:t xml:space="preserve">the criminal justice system rather than military commissions and are afforded fair trial guarantees. (para. </w:t>
      </w:r>
      <w:r w:rsidR="00955B9A" w:rsidRPr="00201DA2">
        <w:rPr>
          <w:rFonts w:eastAsia="Calibri"/>
          <w:color w:val="000000"/>
          <w:sz w:val="22"/>
          <w:szCs w:val="22"/>
        </w:rPr>
        <w:t xml:space="preserve">13, </w:t>
      </w:r>
      <w:r w:rsidRPr="00201DA2">
        <w:rPr>
          <w:rFonts w:eastAsia="Calibri"/>
          <w:color w:val="000000"/>
          <w:sz w:val="22"/>
          <w:szCs w:val="22"/>
        </w:rPr>
        <w:t>21)</w:t>
      </w:r>
      <w:r w:rsidR="00A47017" w:rsidRPr="00201DA2">
        <w:rPr>
          <w:rFonts w:eastAsia="Calibri"/>
          <w:color w:val="000000"/>
          <w:sz w:val="22"/>
          <w:szCs w:val="22"/>
        </w:rPr>
        <w:t>.</w:t>
      </w:r>
    </w:p>
    <w:p w14:paraId="072C2742" w14:textId="57BDB107" w:rsidR="00955B9A" w:rsidRPr="00201DA2" w:rsidRDefault="001F3F68" w:rsidP="00955B9A">
      <w:pPr>
        <w:pStyle w:val="ListParagraph"/>
        <w:numPr>
          <w:ilvl w:val="0"/>
          <w:numId w:val="22"/>
        </w:numPr>
        <w:pBdr>
          <w:top w:val="nil"/>
          <w:left w:val="nil"/>
          <w:bottom w:val="nil"/>
          <w:right w:val="nil"/>
          <w:between w:val="nil"/>
        </w:pBdr>
        <w:rPr>
          <w:rFonts w:eastAsia="Calibri"/>
          <w:color w:val="000000"/>
          <w:sz w:val="22"/>
          <w:szCs w:val="22"/>
        </w:rPr>
      </w:pPr>
      <w:r w:rsidRPr="00201DA2">
        <w:rPr>
          <w:rFonts w:eastAsia="Calibri"/>
          <w:color w:val="000000"/>
          <w:sz w:val="22"/>
          <w:szCs w:val="22"/>
        </w:rPr>
        <w:t xml:space="preserve">The Committee </w:t>
      </w:r>
      <w:r w:rsidR="00955B9A" w:rsidRPr="00201DA2">
        <w:rPr>
          <w:rFonts w:eastAsia="Calibri"/>
          <w:color w:val="000000"/>
          <w:sz w:val="22"/>
          <w:szCs w:val="22"/>
        </w:rPr>
        <w:t>also urged the US to revisit its position regarding legal justifications for the use of deadly force through drone attacks</w:t>
      </w:r>
      <w:r w:rsidR="00103076" w:rsidRPr="00201DA2">
        <w:rPr>
          <w:rFonts w:eastAsia="Calibri"/>
          <w:color w:val="000000"/>
          <w:sz w:val="22"/>
          <w:szCs w:val="22"/>
        </w:rPr>
        <w:t xml:space="preserve">, urging </w:t>
      </w:r>
      <w:r w:rsidR="00955B9A" w:rsidRPr="00201DA2">
        <w:rPr>
          <w:rFonts w:eastAsia="Calibri"/>
          <w:color w:val="000000"/>
          <w:sz w:val="22"/>
          <w:szCs w:val="22"/>
        </w:rPr>
        <w:t xml:space="preserve">the US to ensure that any use of armed drones fully complies with obligations under </w:t>
      </w:r>
      <w:r w:rsidR="00A47017" w:rsidRPr="00201DA2">
        <w:rPr>
          <w:rFonts w:eastAsia="Calibri"/>
          <w:color w:val="000000"/>
          <w:sz w:val="22"/>
          <w:szCs w:val="22"/>
        </w:rPr>
        <w:t>A</w:t>
      </w:r>
      <w:r w:rsidR="00955B9A" w:rsidRPr="00201DA2">
        <w:rPr>
          <w:rFonts w:eastAsia="Calibri"/>
          <w:color w:val="000000"/>
          <w:sz w:val="22"/>
          <w:szCs w:val="22"/>
        </w:rPr>
        <w:t>rticle 6 of the Covenant; that the US disclose the criteria used for targeting in drone strikes; provide for independent supervision and oversi</w:t>
      </w:r>
      <w:r w:rsidR="00A47017" w:rsidRPr="00201DA2">
        <w:rPr>
          <w:rFonts w:eastAsia="Calibri"/>
          <w:color w:val="000000"/>
          <w:sz w:val="22"/>
          <w:szCs w:val="22"/>
        </w:rPr>
        <w:t>ght in</w:t>
      </w:r>
      <w:r w:rsidR="00955B9A" w:rsidRPr="00201DA2">
        <w:rPr>
          <w:rFonts w:eastAsia="Calibri"/>
          <w:color w:val="000000"/>
          <w:sz w:val="22"/>
          <w:szCs w:val="22"/>
        </w:rPr>
        <w:t xml:space="preserve"> their use; take all feasible precautions to protect civilians; conduct independent, impartial, prompt and effective investigations of violations of the Covenant, and in such cases, establish accountability and provide victims or their families with an effective remedy. (para. 9). </w:t>
      </w:r>
    </w:p>
    <w:p w14:paraId="6DCF4420" w14:textId="77777777" w:rsidR="00F40CCE" w:rsidRPr="00201DA2" w:rsidRDefault="00F40CCE" w:rsidP="00184DD9">
      <w:pPr>
        <w:pBdr>
          <w:top w:val="nil"/>
          <w:left w:val="nil"/>
          <w:bottom w:val="nil"/>
          <w:right w:val="nil"/>
          <w:between w:val="nil"/>
        </w:pBdr>
        <w:rPr>
          <w:rFonts w:eastAsia="Calibri"/>
          <w:color w:val="000000"/>
          <w:sz w:val="22"/>
          <w:szCs w:val="22"/>
        </w:rPr>
      </w:pPr>
    </w:p>
    <w:p w14:paraId="437575C9" w14:textId="722350CE" w:rsidR="00F40CCE" w:rsidRPr="00201DA2" w:rsidRDefault="00F40CCE" w:rsidP="00F40CCE">
      <w:pPr>
        <w:pBdr>
          <w:top w:val="nil"/>
          <w:left w:val="nil"/>
          <w:bottom w:val="nil"/>
          <w:right w:val="nil"/>
          <w:between w:val="nil"/>
        </w:pBdr>
        <w:contextualSpacing/>
        <w:rPr>
          <w:rFonts w:eastAsia="Calibri"/>
          <w:b/>
          <w:color w:val="000000"/>
          <w:sz w:val="22"/>
          <w:szCs w:val="22"/>
        </w:rPr>
      </w:pPr>
      <w:r w:rsidRPr="00201DA2">
        <w:rPr>
          <w:rFonts w:eastAsia="Calibri"/>
          <w:b/>
          <w:sz w:val="22"/>
          <w:szCs w:val="22"/>
        </w:rPr>
        <w:t xml:space="preserve">Current </w:t>
      </w:r>
      <w:r w:rsidRPr="00201DA2">
        <w:rPr>
          <w:rFonts w:eastAsia="Calibri"/>
          <w:b/>
          <w:color w:val="000000"/>
          <w:sz w:val="22"/>
          <w:szCs w:val="22"/>
        </w:rPr>
        <w:t xml:space="preserve">US Government Policy </w:t>
      </w:r>
      <w:r w:rsidR="001F3F68" w:rsidRPr="00201DA2">
        <w:rPr>
          <w:rFonts w:eastAsia="Calibri"/>
          <w:b/>
          <w:color w:val="000000"/>
          <w:sz w:val="22"/>
          <w:szCs w:val="22"/>
        </w:rPr>
        <w:t xml:space="preserve">and </w:t>
      </w:r>
      <w:r w:rsidRPr="00201DA2">
        <w:rPr>
          <w:rFonts w:eastAsia="Calibri"/>
          <w:b/>
          <w:color w:val="000000"/>
          <w:sz w:val="22"/>
          <w:szCs w:val="22"/>
        </w:rPr>
        <w:t xml:space="preserve">Practice </w:t>
      </w:r>
    </w:p>
    <w:p w14:paraId="31FA16F0" w14:textId="0850185F" w:rsidR="00B54955" w:rsidRPr="00201DA2" w:rsidRDefault="00B54955" w:rsidP="00B54955">
      <w:pPr>
        <w:rPr>
          <w:sz w:val="22"/>
          <w:szCs w:val="22"/>
        </w:rPr>
      </w:pPr>
      <w:r w:rsidRPr="00201DA2">
        <w:rPr>
          <w:sz w:val="22"/>
          <w:szCs w:val="22"/>
        </w:rPr>
        <w:t xml:space="preserve">The US </w:t>
      </w:r>
      <w:r w:rsidR="00E85F05" w:rsidRPr="00201DA2">
        <w:rPr>
          <w:sz w:val="22"/>
          <w:szCs w:val="22"/>
        </w:rPr>
        <w:t xml:space="preserve">has been assisting </w:t>
      </w:r>
      <w:r w:rsidRPr="00201DA2">
        <w:rPr>
          <w:sz w:val="22"/>
          <w:szCs w:val="22"/>
        </w:rPr>
        <w:t>Syrian Democratic Forces (SDF)</w:t>
      </w:r>
      <w:r w:rsidR="00A47017" w:rsidRPr="00201DA2">
        <w:rPr>
          <w:sz w:val="22"/>
          <w:szCs w:val="22"/>
        </w:rPr>
        <w:t xml:space="preserve"> to</w:t>
      </w:r>
      <w:r w:rsidRPr="00201DA2">
        <w:rPr>
          <w:sz w:val="22"/>
          <w:szCs w:val="22"/>
        </w:rPr>
        <w:t xml:space="preserve"> run and secure detention facilities in northern Syria where</w:t>
      </w:r>
      <w:r w:rsidR="00E85F05" w:rsidRPr="00201DA2">
        <w:rPr>
          <w:sz w:val="22"/>
          <w:szCs w:val="22"/>
        </w:rPr>
        <w:t>, as of July 2018,</w:t>
      </w:r>
      <w:r w:rsidRPr="00201DA2">
        <w:rPr>
          <w:sz w:val="22"/>
          <w:szCs w:val="22"/>
        </w:rPr>
        <w:t xml:space="preserve"> the SDF were holding nearly 600 men from 47 countries accused of being Islamic State (ISIS) fighters or members.</w:t>
      </w:r>
      <w:r w:rsidR="008027E4" w:rsidRPr="00201DA2">
        <w:rPr>
          <w:rStyle w:val="FootnoteReference"/>
          <w:sz w:val="22"/>
          <w:szCs w:val="22"/>
        </w:rPr>
        <w:footnoteReference w:id="135"/>
      </w:r>
      <w:r w:rsidRPr="00201DA2">
        <w:rPr>
          <w:sz w:val="22"/>
          <w:szCs w:val="22"/>
        </w:rPr>
        <w:t xml:space="preserve"> </w:t>
      </w:r>
      <w:r w:rsidR="00E85F05" w:rsidRPr="00201DA2">
        <w:rPr>
          <w:sz w:val="22"/>
          <w:szCs w:val="22"/>
        </w:rPr>
        <w:t>T</w:t>
      </w:r>
      <w:r w:rsidRPr="00201DA2">
        <w:rPr>
          <w:sz w:val="22"/>
          <w:szCs w:val="22"/>
        </w:rPr>
        <w:t>he US had</w:t>
      </w:r>
      <w:r w:rsidR="00762DEC" w:rsidRPr="00201DA2">
        <w:rPr>
          <w:sz w:val="22"/>
          <w:szCs w:val="22"/>
        </w:rPr>
        <w:t xml:space="preserve"> also transferred</w:t>
      </w:r>
      <w:r w:rsidR="00762DEC" w:rsidRPr="00201DA2">
        <w:rPr>
          <w:rStyle w:val="FootnoteReference"/>
          <w:sz w:val="22"/>
          <w:szCs w:val="22"/>
        </w:rPr>
        <w:footnoteReference w:id="136"/>
      </w:r>
      <w:r w:rsidRPr="00201DA2">
        <w:rPr>
          <w:sz w:val="22"/>
          <w:szCs w:val="22"/>
        </w:rPr>
        <w:t xml:space="preserve"> at least</w:t>
      </w:r>
      <w:r w:rsidR="00E85F05" w:rsidRPr="00201DA2">
        <w:rPr>
          <w:sz w:val="22"/>
          <w:szCs w:val="22"/>
        </w:rPr>
        <w:t xml:space="preserve"> eight</w:t>
      </w:r>
      <w:r w:rsidR="00762DEC" w:rsidRPr="00201DA2">
        <w:rPr>
          <w:rStyle w:val="FootnoteReference"/>
          <w:sz w:val="22"/>
          <w:szCs w:val="22"/>
        </w:rPr>
        <w:footnoteReference w:id="137"/>
      </w:r>
      <w:r w:rsidRPr="00201DA2">
        <w:rPr>
          <w:sz w:val="22"/>
          <w:szCs w:val="22"/>
        </w:rPr>
        <w:t xml:space="preserve"> detainees from SDF custody to Lebanon, seven to Macedonia, and</w:t>
      </w:r>
      <w:r w:rsidR="00E85F05" w:rsidRPr="00201DA2">
        <w:rPr>
          <w:sz w:val="22"/>
          <w:szCs w:val="22"/>
        </w:rPr>
        <w:t xml:space="preserve"> other foreign nationals</w:t>
      </w:r>
      <w:r w:rsidR="00E85F05" w:rsidRPr="00201DA2">
        <w:rPr>
          <w:rStyle w:val="FootnoteReference"/>
          <w:sz w:val="22"/>
          <w:szCs w:val="22"/>
        </w:rPr>
        <w:footnoteReference w:id="138"/>
      </w:r>
      <w:r w:rsidR="00E85F05" w:rsidRPr="00201DA2">
        <w:rPr>
          <w:sz w:val="22"/>
          <w:szCs w:val="22"/>
        </w:rPr>
        <w:t xml:space="preserve"> </w:t>
      </w:r>
      <w:r w:rsidRPr="00201DA2">
        <w:rPr>
          <w:sz w:val="22"/>
          <w:szCs w:val="22"/>
        </w:rPr>
        <w:t>to Iraq. One dual US-Saudi citizen</w:t>
      </w:r>
      <w:r w:rsidR="00E85F05" w:rsidRPr="00201DA2">
        <w:rPr>
          <w:sz w:val="22"/>
          <w:szCs w:val="22"/>
        </w:rPr>
        <w:t xml:space="preserve"> was held in US custody for over a year</w:t>
      </w:r>
      <w:r w:rsidR="00762DEC" w:rsidRPr="00201DA2">
        <w:rPr>
          <w:rStyle w:val="FootnoteReference"/>
          <w:sz w:val="22"/>
          <w:szCs w:val="22"/>
        </w:rPr>
        <w:footnoteReference w:id="139"/>
      </w:r>
      <w:r w:rsidRPr="00201DA2">
        <w:rPr>
          <w:sz w:val="22"/>
          <w:szCs w:val="22"/>
        </w:rPr>
        <w:t xml:space="preserve"> </w:t>
      </w:r>
      <w:r w:rsidR="00E85F05" w:rsidRPr="00201DA2">
        <w:rPr>
          <w:sz w:val="22"/>
          <w:szCs w:val="22"/>
        </w:rPr>
        <w:t xml:space="preserve">before </w:t>
      </w:r>
      <w:r w:rsidRPr="00201DA2">
        <w:rPr>
          <w:sz w:val="22"/>
          <w:szCs w:val="22"/>
        </w:rPr>
        <w:t>the US</w:t>
      </w:r>
      <w:r w:rsidR="00E85F05" w:rsidRPr="00201DA2">
        <w:rPr>
          <w:sz w:val="22"/>
          <w:szCs w:val="22"/>
        </w:rPr>
        <w:t>,</w:t>
      </w:r>
      <w:r w:rsidRPr="00201DA2">
        <w:rPr>
          <w:sz w:val="22"/>
          <w:szCs w:val="22"/>
        </w:rPr>
        <w:t xml:space="preserve"> pressured through litigation</w:t>
      </w:r>
      <w:r w:rsidR="00E85F05" w:rsidRPr="00201DA2">
        <w:rPr>
          <w:sz w:val="22"/>
          <w:szCs w:val="22"/>
        </w:rPr>
        <w:t xml:space="preserve">, </w:t>
      </w:r>
      <w:r w:rsidRPr="00201DA2">
        <w:rPr>
          <w:sz w:val="22"/>
          <w:szCs w:val="22"/>
        </w:rPr>
        <w:t>release</w:t>
      </w:r>
      <w:r w:rsidR="00E85F05" w:rsidRPr="00201DA2">
        <w:rPr>
          <w:sz w:val="22"/>
          <w:szCs w:val="22"/>
        </w:rPr>
        <w:t>d</w:t>
      </w:r>
      <w:r w:rsidRPr="00201DA2">
        <w:rPr>
          <w:sz w:val="22"/>
          <w:szCs w:val="22"/>
        </w:rPr>
        <w:t xml:space="preserve"> him. The US was</w:t>
      </w:r>
      <w:r w:rsidR="007C1BE5" w:rsidRPr="00201DA2">
        <w:rPr>
          <w:sz w:val="22"/>
          <w:szCs w:val="22"/>
        </w:rPr>
        <w:t xml:space="preserve"> also reportedly considering </w:t>
      </w:r>
      <w:r w:rsidRPr="00201DA2">
        <w:rPr>
          <w:sz w:val="22"/>
          <w:szCs w:val="22"/>
        </w:rPr>
        <w:t xml:space="preserve">transferring hundreds more </w:t>
      </w:r>
      <w:r w:rsidR="001F3F68" w:rsidRPr="00201DA2">
        <w:rPr>
          <w:sz w:val="22"/>
          <w:szCs w:val="22"/>
        </w:rPr>
        <w:t xml:space="preserve">detainees </w:t>
      </w:r>
      <w:r w:rsidRPr="00201DA2">
        <w:rPr>
          <w:sz w:val="22"/>
          <w:szCs w:val="22"/>
        </w:rPr>
        <w:lastRenderedPageBreak/>
        <w:t>from SDF custody to Iraq, Tunisia, other countries</w:t>
      </w:r>
      <w:r w:rsidR="007C1BE5" w:rsidRPr="00201DA2">
        <w:rPr>
          <w:sz w:val="22"/>
          <w:szCs w:val="22"/>
        </w:rPr>
        <w:t xml:space="preserve">, and </w:t>
      </w:r>
      <w:r w:rsidR="001F3F68" w:rsidRPr="00201DA2">
        <w:rPr>
          <w:sz w:val="22"/>
          <w:szCs w:val="22"/>
        </w:rPr>
        <w:t xml:space="preserve">possibly </w:t>
      </w:r>
      <w:r w:rsidR="007C1BE5" w:rsidRPr="00201DA2">
        <w:rPr>
          <w:sz w:val="22"/>
          <w:szCs w:val="22"/>
        </w:rPr>
        <w:t>Guantanamo Bay</w:t>
      </w:r>
      <w:r w:rsidRPr="00201DA2">
        <w:rPr>
          <w:sz w:val="22"/>
          <w:szCs w:val="22"/>
        </w:rPr>
        <w:t xml:space="preserve"> for detention</w:t>
      </w:r>
      <w:r w:rsidR="007C1BE5" w:rsidRPr="00201DA2">
        <w:rPr>
          <w:sz w:val="22"/>
          <w:szCs w:val="22"/>
        </w:rPr>
        <w:t>.</w:t>
      </w:r>
      <w:r w:rsidR="007C1BE5" w:rsidRPr="00201DA2">
        <w:rPr>
          <w:rStyle w:val="FootnoteReference"/>
          <w:sz w:val="22"/>
          <w:szCs w:val="22"/>
        </w:rPr>
        <w:footnoteReference w:id="140"/>
      </w:r>
      <w:r w:rsidRPr="00201DA2">
        <w:rPr>
          <w:sz w:val="22"/>
          <w:szCs w:val="22"/>
        </w:rPr>
        <w:t xml:space="preserve"> It was not clear what kind of process to safeguard against abuse the US was providing detainees transferred, but the transfers</w:t>
      </w:r>
      <w:r w:rsidR="007C1BE5" w:rsidRPr="00201DA2">
        <w:rPr>
          <w:sz w:val="22"/>
          <w:szCs w:val="22"/>
        </w:rPr>
        <w:t xml:space="preserve"> raised concerns</w:t>
      </w:r>
      <w:r w:rsidRPr="00201DA2">
        <w:rPr>
          <w:sz w:val="22"/>
          <w:szCs w:val="22"/>
        </w:rPr>
        <w:t xml:space="preserve"> that detainees may face torture</w:t>
      </w:r>
      <w:r w:rsidR="001F3F68" w:rsidRPr="00201DA2">
        <w:rPr>
          <w:sz w:val="22"/>
          <w:szCs w:val="22"/>
        </w:rPr>
        <w:t>, ill-treatment</w:t>
      </w:r>
      <w:r w:rsidRPr="00201DA2">
        <w:rPr>
          <w:sz w:val="22"/>
          <w:szCs w:val="22"/>
        </w:rPr>
        <w:t xml:space="preserve"> or unfair trial, and not have an opportunity to challenge their transfers before they occur.</w:t>
      </w:r>
      <w:r w:rsidR="007C1BE5" w:rsidRPr="00201DA2">
        <w:rPr>
          <w:rStyle w:val="FootnoteReference"/>
          <w:sz w:val="22"/>
          <w:szCs w:val="22"/>
        </w:rPr>
        <w:footnoteReference w:id="141"/>
      </w:r>
      <w:r w:rsidRPr="00201DA2">
        <w:rPr>
          <w:sz w:val="22"/>
          <w:szCs w:val="22"/>
        </w:rPr>
        <w:t xml:space="preserve"> </w:t>
      </w:r>
    </w:p>
    <w:p w14:paraId="1EAB858E" w14:textId="77777777" w:rsidR="00B54955" w:rsidRPr="00201DA2" w:rsidRDefault="00B54955" w:rsidP="00B54955">
      <w:pPr>
        <w:rPr>
          <w:sz w:val="22"/>
          <w:szCs w:val="22"/>
        </w:rPr>
      </w:pPr>
    </w:p>
    <w:p w14:paraId="352F6DB5" w14:textId="43EF4D61" w:rsidR="00B54955" w:rsidRPr="00201DA2" w:rsidRDefault="00B54955" w:rsidP="00B54955">
      <w:pPr>
        <w:rPr>
          <w:sz w:val="22"/>
          <w:szCs w:val="22"/>
        </w:rPr>
      </w:pPr>
      <w:r w:rsidRPr="00201DA2">
        <w:rPr>
          <w:sz w:val="22"/>
          <w:szCs w:val="22"/>
        </w:rPr>
        <w:t xml:space="preserve">The US continues to hold 31 men indefinitely without charge at Guantanamo, all of whom have been there for 12 years or </w:t>
      </w:r>
      <w:r w:rsidR="001F3F68" w:rsidRPr="00201DA2">
        <w:rPr>
          <w:sz w:val="22"/>
          <w:szCs w:val="22"/>
        </w:rPr>
        <w:t>longer</w:t>
      </w:r>
      <w:r w:rsidRPr="00201DA2">
        <w:rPr>
          <w:sz w:val="22"/>
          <w:szCs w:val="22"/>
        </w:rPr>
        <w:t xml:space="preserve">. It also continued to </w:t>
      </w:r>
      <w:r w:rsidR="001F3F68" w:rsidRPr="00201DA2">
        <w:rPr>
          <w:sz w:val="22"/>
          <w:szCs w:val="22"/>
        </w:rPr>
        <w:t xml:space="preserve">hold </w:t>
      </w:r>
      <w:r w:rsidRPr="00201DA2">
        <w:rPr>
          <w:sz w:val="22"/>
          <w:szCs w:val="22"/>
        </w:rPr>
        <w:t xml:space="preserve">7 men for </w:t>
      </w:r>
      <w:r w:rsidR="001F3F68" w:rsidRPr="00201DA2">
        <w:rPr>
          <w:sz w:val="22"/>
          <w:szCs w:val="22"/>
        </w:rPr>
        <w:t>trial for alleged terrorist offenses</w:t>
      </w:r>
      <w:r w:rsidRPr="00201DA2">
        <w:rPr>
          <w:sz w:val="22"/>
          <w:szCs w:val="22"/>
        </w:rPr>
        <w:t>, including the September 11, 2001 attacks on the US, in Guantanamo’s military commissions system</w:t>
      </w:r>
      <w:r w:rsidR="001F3F68" w:rsidRPr="00201DA2">
        <w:rPr>
          <w:sz w:val="22"/>
          <w:szCs w:val="22"/>
        </w:rPr>
        <w:t>. The military commissions do</w:t>
      </w:r>
      <w:r w:rsidRPr="00201DA2">
        <w:rPr>
          <w:sz w:val="22"/>
          <w:szCs w:val="22"/>
        </w:rPr>
        <w:t xml:space="preserve"> not meet international fair trial standards and </w:t>
      </w:r>
      <w:r w:rsidR="001F3F68" w:rsidRPr="00201DA2">
        <w:rPr>
          <w:sz w:val="22"/>
          <w:szCs w:val="22"/>
        </w:rPr>
        <w:t xml:space="preserve">have </w:t>
      </w:r>
      <w:r w:rsidRPr="00201DA2">
        <w:rPr>
          <w:sz w:val="22"/>
          <w:szCs w:val="22"/>
        </w:rPr>
        <w:t>been plagued by</w:t>
      </w:r>
      <w:r w:rsidR="00C14C4C" w:rsidRPr="00201DA2">
        <w:rPr>
          <w:sz w:val="22"/>
          <w:szCs w:val="22"/>
        </w:rPr>
        <w:t xml:space="preserve"> procedural problems</w:t>
      </w:r>
      <w:r w:rsidRPr="00201DA2">
        <w:rPr>
          <w:sz w:val="22"/>
          <w:szCs w:val="22"/>
        </w:rPr>
        <w:t xml:space="preserve"> and years of delay</w:t>
      </w:r>
      <w:r w:rsidR="001F3F68" w:rsidRPr="00201DA2">
        <w:rPr>
          <w:sz w:val="22"/>
          <w:szCs w:val="22"/>
        </w:rPr>
        <w:t>. T</w:t>
      </w:r>
      <w:r w:rsidRPr="00201DA2">
        <w:rPr>
          <w:sz w:val="22"/>
          <w:szCs w:val="22"/>
        </w:rPr>
        <w:t>wo men convicted by the commissions</w:t>
      </w:r>
      <w:r w:rsidR="001F3F68" w:rsidRPr="00201DA2">
        <w:rPr>
          <w:sz w:val="22"/>
          <w:szCs w:val="22"/>
        </w:rPr>
        <w:t xml:space="preserve"> are serving their sentences at Guantanamo</w:t>
      </w:r>
      <w:r w:rsidRPr="00201DA2">
        <w:rPr>
          <w:sz w:val="22"/>
          <w:szCs w:val="22"/>
        </w:rPr>
        <w:t>.</w:t>
      </w:r>
      <w:r w:rsidR="007C1BE5" w:rsidRPr="00201DA2">
        <w:rPr>
          <w:rStyle w:val="FootnoteReference"/>
          <w:sz w:val="22"/>
          <w:szCs w:val="22"/>
        </w:rPr>
        <w:footnoteReference w:id="142"/>
      </w:r>
      <w:r w:rsidRPr="00201DA2">
        <w:rPr>
          <w:sz w:val="22"/>
          <w:szCs w:val="22"/>
        </w:rPr>
        <w:t xml:space="preserve"> </w:t>
      </w:r>
      <w:r w:rsidR="0004092A">
        <w:rPr>
          <w:sz w:val="22"/>
          <w:szCs w:val="22"/>
        </w:rPr>
        <w:t>The US has still not adequately accounted for its past use of torture. It has not adequately investigated or prosecuted those responsible or provided redress to victims.</w:t>
      </w:r>
      <w:r w:rsidR="0004092A">
        <w:rPr>
          <w:rStyle w:val="FootnoteReference"/>
          <w:sz w:val="22"/>
          <w:szCs w:val="22"/>
        </w:rPr>
        <w:footnoteReference w:id="143"/>
      </w:r>
    </w:p>
    <w:p w14:paraId="0C348B18" w14:textId="77777777" w:rsidR="00F40CCE" w:rsidRPr="00201DA2" w:rsidRDefault="00F40CCE" w:rsidP="00F40CCE">
      <w:pPr>
        <w:pBdr>
          <w:top w:val="nil"/>
          <w:left w:val="nil"/>
          <w:bottom w:val="nil"/>
          <w:right w:val="nil"/>
          <w:between w:val="nil"/>
        </w:pBdr>
        <w:ind w:left="1440" w:hanging="720"/>
        <w:rPr>
          <w:rFonts w:eastAsia="Calibri"/>
          <w:color w:val="000000"/>
          <w:sz w:val="22"/>
          <w:szCs w:val="22"/>
        </w:rPr>
      </w:pPr>
    </w:p>
    <w:p w14:paraId="56C8E0D9" w14:textId="48CFF359" w:rsidR="00F40CCE" w:rsidRPr="00201DA2" w:rsidRDefault="00F40CCE" w:rsidP="00F40CCE">
      <w:pPr>
        <w:pBdr>
          <w:top w:val="nil"/>
          <w:left w:val="nil"/>
          <w:bottom w:val="nil"/>
          <w:right w:val="nil"/>
          <w:between w:val="nil"/>
        </w:pBdr>
        <w:contextualSpacing/>
        <w:rPr>
          <w:rFonts w:eastAsia="Calibri"/>
          <w:b/>
          <w:color w:val="000000"/>
          <w:sz w:val="22"/>
          <w:szCs w:val="22"/>
        </w:rPr>
      </w:pPr>
      <w:r w:rsidRPr="00201DA2">
        <w:rPr>
          <w:rFonts w:eastAsia="Calibri"/>
          <w:b/>
          <w:color w:val="000000"/>
          <w:sz w:val="22"/>
          <w:szCs w:val="22"/>
        </w:rPr>
        <w:t>Human Rights Committee General Comments and Related UN Body Recommendations</w:t>
      </w:r>
    </w:p>
    <w:p w14:paraId="12FC91B9" w14:textId="241AC0A2" w:rsidR="00274AE4" w:rsidRPr="00201DA2" w:rsidRDefault="00274AE4" w:rsidP="00274AE4">
      <w:pPr>
        <w:pStyle w:val="ListParagraph"/>
        <w:numPr>
          <w:ilvl w:val="0"/>
          <w:numId w:val="27"/>
        </w:numPr>
        <w:pBdr>
          <w:top w:val="nil"/>
          <w:left w:val="nil"/>
          <w:bottom w:val="nil"/>
          <w:right w:val="nil"/>
          <w:between w:val="nil"/>
        </w:pBdr>
        <w:rPr>
          <w:rFonts w:eastAsia="Calibri"/>
          <w:color w:val="000000"/>
          <w:sz w:val="22"/>
          <w:szCs w:val="22"/>
        </w:rPr>
      </w:pPr>
      <w:r w:rsidRPr="00201DA2">
        <w:rPr>
          <w:rFonts w:eastAsia="Calibri"/>
          <w:color w:val="000000"/>
          <w:sz w:val="22"/>
          <w:szCs w:val="22"/>
        </w:rPr>
        <w:t>In 2014, the UN Committee Against Torture, in their</w:t>
      </w:r>
      <w:r w:rsidR="00473E5B" w:rsidRPr="00201DA2">
        <w:rPr>
          <w:rFonts w:eastAsia="Calibri"/>
          <w:color w:val="000000"/>
          <w:sz w:val="22"/>
          <w:szCs w:val="22"/>
        </w:rPr>
        <w:t xml:space="preserve"> Concluding Observations</w:t>
      </w:r>
      <w:r w:rsidRPr="00201DA2">
        <w:rPr>
          <w:rFonts w:eastAsia="Calibri"/>
          <w:color w:val="000000"/>
          <w:sz w:val="22"/>
          <w:szCs w:val="22"/>
        </w:rPr>
        <w:t xml:space="preserve"> reiterated that indefinite detention at Guantanamo constitutes per se a violation of the Convention</w:t>
      </w:r>
      <w:r w:rsidR="001F3F68" w:rsidRPr="00201DA2">
        <w:rPr>
          <w:rFonts w:eastAsia="Calibri"/>
          <w:color w:val="000000"/>
          <w:sz w:val="22"/>
          <w:szCs w:val="22"/>
        </w:rPr>
        <w:t xml:space="preserve"> against Torture</w:t>
      </w:r>
      <w:r w:rsidRPr="00201DA2">
        <w:rPr>
          <w:rFonts w:eastAsia="Calibri"/>
          <w:color w:val="000000"/>
          <w:sz w:val="22"/>
          <w:szCs w:val="22"/>
        </w:rPr>
        <w:t>, urged the US to end detentions there, comply with non-refoulement obligations, and conduct thorough and credible investigations into past use of torture and mistreatment.</w:t>
      </w:r>
      <w:r w:rsidR="00C14C4C" w:rsidRPr="00201DA2">
        <w:rPr>
          <w:rStyle w:val="FootnoteReference"/>
          <w:rFonts w:eastAsia="Calibri"/>
          <w:color w:val="000000"/>
          <w:sz w:val="22"/>
          <w:szCs w:val="22"/>
        </w:rPr>
        <w:footnoteReference w:id="144"/>
      </w:r>
      <w:r w:rsidRPr="00201DA2">
        <w:rPr>
          <w:rFonts w:eastAsia="Calibri"/>
          <w:color w:val="000000"/>
          <w:sz w:val="22"/>
          <w:szCs w:val="22"/>
        </w:rPr>
        <w:t xml:space="preserve"> </w:t>
      </w:r>
    </w:p>
    <w:p w14:paraId="7366C975" w14:textId="77777777" w:rsidR="00F40CCE" w:rsidRPr="00201DA2" w:rsidRDefault="00F40CCE" w:rsidP="00F40CCE">
      <w:pPr>
        <w:pBdr>
          <w:top w:val="nil"/>
          <w:left w:val="nil"/>
          <w:bottom w:val="nil"/>
          <w:right w:val="nil"/>
          <w:between w:val="nil"/>
        </w:pBdr>
        <w:ind w:left="1440" w:hanging="720"/>
        <w:rPr>
          <w:rFonts w:eastAsia="Calibri"/>
          <w:color w:val="000000"/>
          <w:sz w:val="22"/>
          <w:szCs w:val="22"/>
        </w:rPr>
      </w:pPr>
    </w:p>
    <w:p w14:paraId="494B8B88" w14:textId="37ED61A9" w:rsidR="00F40CCE" w:rsidRPr="00201DA2" w:rsidRDefault="00F40CCE" w:rsidP="00F40CCE">
      <w:pPr>
        <w:pBdr>
          <w:top w:val="nil"/>
          <w:left w:val="nil"/>
          <w:bottom w:val="nil"/>
          <w:right w:val="nil"/>
          <w:between w:val="nil"/>
        </w:pBdr>
        <w:contextualSpacing/>
        <w:rPr>
          <w:rFonts w:eastAsia="Calibri"/>
          <w:b/>
          <w:color w:val="000000"/>
          <w:sz w:val="22"/>
          <w:szCs w:val="22"/>
        </w:rPr>
      </w:pPr>
      <w:r w:rsidRPr="00201DA2">
        <w:rPr>
          <w:rFonts w:eastAsia="Calibri"/>
          <w:b/>
          <w:color w:val="000000"/>
          <w:sz w:val="22"/>
          <w:szCs w:val="22"/>
        </w:rPr>
        <w:t>Recommended Questions</w:t>
      </w:r>
    </w:p>
    <w:p w14:paraId="28C87061" w14:textId="3C08720C" w:rsidR="00147F65" w:rsidRPr="00201DA2" w:rsidRDefault="00147F65" w:rsidP="00147F65">
      <w:pPr>
        <w:pStyle w:val="ListParagraph"/>
        <w:numPr>
          <w:ilvl w:val="0"/>
          <w:numId w:val="24"/>
        </w:numPr>
        <w:pBdr>
          <w:top w:val="nil"/>
          <w:left w:val="nil"/>
          <w:bottom w:val="nil"/>
          <w:right w:val="nil"/>
          <w:between w:val="nil"/>
        </w:pBdr>
        <w:rPr>
          <w:rFonts w:eastAsia="Calibri"/>
          <w:b/>
          <w:color w:val="000000"/>
          <w:sz w:val="22"/>
          <w:szCs w:val="22"/>
        </w:rPr>
      </w:pPr>
      <w:r w:rsidRPr="00201DA2">
        <w:rPr>
          <w:rFonts w:eastAsia="Calibri"/>
          <w:color w:val="000000"/>
          <w:sz w:val="22"/>
          <w:szCs w:val="22"/>
        </w:rPr>
        <w:t xml:space="preserve">What </w:t>
      </w:r>
      <w:r w:rsidR="0019659D" w:rsidRPr="00201DA2">
        <w:rPr>
          <w:rFonts w:eastAsia="Calibri"/>
          <w:color w:val="000000"/>
          <w:sz w:val="22"/>
          <w:szCs w:val="22"/>
        </w:rPr>
        <w:t xml:space="preserve">laws or policies govern the </w:t>
      </w:r>
      <w:r w:rsidR="00274AE4" w:rsidRPr="00201DA2">
        <w:rPr>
          <w:rFonts w:eastAsia="Calibri"/>
          <w:color w:val="000000"/>
          <w:sz w:val="22"/>
          <w:szCs w:val="22"/>
        </w:rPr>
        <w:t xml:space="preserve">US </w:t>
      </w:r>
      <w:r w:rsidR="0019659D" w:rsidRPr="00201DA2">
        <w:rPr>
          <w:rFonts w:eastAsia="Calibri"/>
          <w:color w:val="000000"/>
          <w:sz w:val="22"/>
          <w:szCs w:val="22"/>
        </w:rPr>
        <w:t xml:space="preserve">transfer of detainees to </w:t>
      </w:r>
      <w:r w:rsidR="00274AE4" w:rsidRPr="00201DA2">
        <w:rPr>
          <w:rFonts w:eastAsia="Calibri"/>
          <w:color w:val="000000"/>
          <w:sz w:val="22"/>
          <w:szCs w:val="22"/>
        </w:rPr>
        <w:t>the custody of other governments or forces</w:t>
      </w:r>
      <w:r w:rsidR="0019659D" w:rsidRPr="00201DA2">
        <w:rPr>
          <w:rFonts w:eastAsia="Calibri"/>
          <w:color w:val="000000"/>
          <w:sz w:val="22"/>
          <w:szCs w:val="22"/>
        </w:rPr>
        <w:t xml:space="preserve">, including what safeguards are used to ensure no violations of the Covenant occur as a result of such a transfer. </w:t>
      </w:r>
      <w:r w:rsidR="00274AE4" w:rsidRPr="00201DA2">
        <w:rPr>
          <w:rFonts w:eastAsia="Calibri"/>
          <w:color w:val="000000"/>
          <w:sz w:val="22"/>
          <w:szCs w:val="22"/>
        </w:rPr>
        <w:t xml:space="preserve">Can </w:t>
      </w:r>
      <w:r w:rsidR="0019659D" w:rsidRPr="00201DA2">
        <w:rPr>
          <w:rFonts w:eastAsia="Calibri"/>
          <w:color w:val="000000"/>
          <w:sz w:val="22"/>
          <w:szCs w:val="22"/>
        </w:rPr>
        <w:t>detainees challenge the decision to transfer?</w:t>
      </w:r>
    </w:p>
    <w:p w14:paraId="1A10BC96" w14:textId="74D70318" w:rsidR="0019659D" w:rsidRPr="00201DA2" w:rsidRDefault="00D17551" w:rsidP="00147F65">
      <w:pPr>
        <w:pStyle w:val="ListParagraph"/>
        <w:numPr>
          <w:ilvl w:val="0"/>
          <w:numId w:val="24"/>
        </w:numPr>
        <w:pBdr>
          <w:top w:val="nil"/>
          <w:left w:val="nil"/>
          <w:bottom w:val="nil"/>
          <w:right w:val="nil"/>
          <w:between w:val="nil"/>
        </w:pBdr>
        <w:rPr>
          <w:rFonts w:eastAsia="Calibri"/>
          <w:b/>
          <w:color w:val="000000"/>
          <w:sz w:val="22"/>
          <w:szCs w:val="22"/>
        </w:rPr>
      </w:pPr>
      <w:r w:rsidRPr="00201DA2">
        <w:rPr>
          <w:rFonts w:eastAsia="Calibri"/>
          <w:color w:val="000000"/>
          <w:sz w:val="22"/>
          <w:szCs w:val="22"/>
        </w:rPr>
        <w:t xml:space="preserve">Since continued indefinite detention without charge at Guantanamo violates the State Party’s Convention obligations, when will </w:t>
      </w:r>
      <w:r w:rsidR="00274AE4" w:rsidRPr="00201DA2">
        <w:rPr>
          <w:rFonts w:eastAsia="Calibri"/>
          <w:color w:val="000000"/>
          <w:sz w:val="22"/>
          <w:szCs w:val="22"/>
        </w:rPr>
        <w:t xml:space="preserve">the detention facility there </w:t>
      </w:r>
      <w:r w:rsidRPr="00201DA2">
        <w:rPr>
          <w:rFonts w:eastAsia="Calibri"/>
          <w:color w:val="000000"/>
          <w:sz w:val="22"/>
          <w:szCs w:val="22"/>
        </w:rPr>
        <w:t xml:space="preserve">be closed, individuals held there transferred to </w:t>
      </w:r>
      <w:r w:rsidR="00274AE4" w:rsidRPr="00201DA2">
        <w:rPr>
          <w:rFonts w:eastAsia="Calibri"/>
          <w:color w:val="000000"/>
          <w:sz w:val="22"/>
          <w:szCs w:val="22"/>
        </w:rPr>
        <w:t xml:space="preserve">safe </w:t>
      </w:r>
      <w:r w:rsidRPr="00201DA2">
        <w:rPr>
          <w:rFonts w:eastAsia="Calibri"/>
          <w:color w:val="000000"/>
          <w:sz w:val="22"/>
          <w:szCs w:val="22"/>
        </w:rPr>
        <w:t>countr</w:t>
      </w:r>
      <w:r w:rsidR="00274AE4" w:rsidRPr="00201DA2">
        <w:rPr>
          <w:rFonts w:eastAsia="Calibri"/>
          <w:color w:val="000000"/>
          <w:sz w:val="22"/>
          <w:szCs w:val="22"/>
        </w:rPr>
        <w:t>ies</w:t>
      </w:r>
      <w:r w:rsidRPr="00201DA2">
        <w:rPr>
          <w:rFonts w:eastAsia="Calibri"/>
          <w:color w:val="000000"/>
          <w:sz w:val="22"/>
          <w:szCs w:val="22"/>
        </w:rPr>
        <w:t>, or properly charged with a criminal offense and provided fair trials?</w:t>
      </w:r>
    </w:p>
    <w:p w14:paraId="6DC97437" w14:textId="233D33FC" w:rsidR="00274AE4" w:rsidRPr="00201DA2" w:rsidRDefault="00274AE4" w:rsidP="00147F65">
      <w:pPr>
        <w:pStyle w:val="ListParagraph"/>
        <w:numPr>
          <w:ilvl w:val="0"/>
          <w:numId w:val="24"/>
        </w:numPr>
        <w:pBdr>
          <w:top w:val="nil"/>
          <w:left w:val="nil"/>
          <w:bottom w:val="nil"/>
          <w:right w:val="nil"/>
          <w:between w:val="nil"/>
        </w:pBdr>
        <w:rPr>
          <w:rFonts w:eastAsia="Calibri"/>
          <w:b/>
          <w:color w:val="000000"/>
          <w:sz w:val="22"/>
          <w:szCs w:val="22"/>
        </w:rPr>
      </w:pPr>
      <w:r w:rsidRPr="00201DA2">
        <w:rPr>
          <w:rFonts w:eastAsia="Calibri"/>
          <w:color w:val="000000"/>
          <w:sz w:val="22"/>
          <w:szCs w:val="22"/>
        </w:rPr>
        <w:t xml:space="preserve">What if any steps have been taken to ensure that </w:t>
      </w:r>
      <w:r w:rsidR="00AF7673" w:rsidRPr="00201DA2">
        <w:rPr>
          <w:rFonts w:eastAsia="Calibri"/>
          <w:color w:val="000000"/>
          <w:sz w:val="22"/>
          <w:szCs w:val="22"/>
        </w:rPr>
        <w:t>US</w:t>
      </w:r>
      <w:r w:rsidRPr="00201DA2">
        <w:rPr>
          <w:rFonts w:eastAsia="Calibri"/>
          <w:color w:val="000000"/>
          <w:sz w:val="22"/>
          <w:szCs w:val="22"/>
        </w:rPr>
        <w:t xml:space="preserve"> use of armed drones is consistent with </w:t>
      </w:r>
      <w:r w:rsidR="00012E9B" w:rsidRPr="00201DA2">
        <w:rPr>
          <w:rFonts w:eastAsia="Calibri"/>
          <w:color w:val="000000"/>
          <w:sz w:val="22"/>
          <w:szCs w:val="22"/>
        </w:rPr>
        <w:t>A</w:t>
      </w:r>
      <w:r w:rsidRPr="00201DA2">
        <w:rPr>
          <w:rFonts w:eastAsia="Calibri"/>
          <w:color w:val="000000"/>
          <w:sz w:val="22"/>
          <w:szCs w:val="22"/>
        </w:rPr>
        <w:t>rticle 6</w:t>
      </w:r>
      <w:r w:rsidR="00AF7673" w:rsidRPr="00201DA2">
        <w:rPr>
          <w:rFonts w:eastAsia="Calibri"/>
          <w:color w:val="000000"/>
          <w:sz w:val="22"/>
          <w:szCs w:val="22"/>
        </w:rPr>
        <w:t>?</w:t>
      </w:r>
      <w:r w:rsidRPr="00201DA2">
        <w:rPr>
          <w:rFonts w:eastAsia="Calibri"/>
          <w:color w:val="000000"/>
          <w:sz w:val="22"/>
          <w:szCs w:val="22"/>
        </w:rPr>
        <w:t xml:space="preserve"> </w:t>
      </w:r>
      <w:r w:rsidR="00AF7673" w:rsidRPr="00201DA2">
        <w:rPr>
          <w:rFonts w:eastAsia="Calibri"/>
          <w:color w:val="000000"/>
          <w:sz w:val="22"/>
          <w:szCs w:val="22"/>
        </w:rPr>
        <w:t>S</w:t>
      </w:r>
      <w:r w:rsidRPr="00201DA2">
        <w:rPr>
          <w:rFonts w:eastAsia="Calibri"/>
          <w:color w:val="000000"/>
          <w:sz w:val="22"/>
          <w:szCs w:val="22"/>
        </w:rPr>
        <w:t>pecifically</w:t>
      </w:r>
      <w:r w:rsidR="00AF7673" w:rsidRPr="00201DA2">
        <w:rPr>
          <w:rFonts w:eastAsia="Calibri"/>
          <w:color w:val="000000"/>
          <w:sz w:val="22"/>
          <w:szCs w:val="22"/>
        </w:rPr>
        <w:t>,</w:t>
      </w:r>
      <w:r w:rsidRPr="00201DA2">
        <w:rPr>
          <w:rFonts w:eastAsia="Calibri"/>
          <w:color w:val="000000"/>
          <w:sz w:val="22"/>
          <w:szCs w:val="22"/>
        </w:rPr>
        <w:t xml:space="preserve"> have any steps been taken to disclose</w:t>
      </w:r>
      <w:r w:rsidR="00AF7673" w:rsidRPr="00201DA2">
        <w:rPr>
          <w:rFonts w:eastAsia="Calibri"/>
          <w:color w:val="000000"/>
          <w:sz w:val="22"/>
          <w:szCs w:val="22"/>
        </w:rPr>
        <w:t xml:space="preserve"> publicly</w:t>
      </w:r>
      <w:r w:rsidRPr="00201DA2">
        <w:rPr>
          <w:rFonts w:eastAsia="Calibri"/>
          <w:color w:val="000000"/>
          <w:sz w:val="22"/>
          <w:szCs w:val="22"/>
        </w:rPr>
        <w:t xml:space="preserve"> the legal basis for identifying targets, to protect civilians </w:t>
      </w:r>
      <w:r w:rsidR="00AF7673" w:rsidRPr="00201DA2">
        <w:rPr>
          <w:rFonts w:eastAsia="Calibri"/>
          <w:color w:val="000000"/>
          <w:sz w:val="22"/>
          <w:szCs w:val="22"/>
        </w:rPr>
        <w:t xml:space="preserve">in target areas, </w:t>
      </w:r>
      <w:r w:rsidRPr="00201DA2">
        <w:rPr>
          <w:rFonts w:eastAsia="Calibri"/>
          <w:color w:val="000000"/>
          <w:sz w:val="22"/>
          <w:szCs w:val="22"/>
        </w:rPr>
        <w:t xml:space="preserve">and </w:t>
      </w:r>
      <w:r w:rsidR="00AF7673" w:rsidRPr="00201DA2">
        <w:rPr>
          <w:rFonts w:eastAsia="Calibri"/>
          <w:color w:val="000000"/>
          <w:sz w:val="22"/>
          <w:szCs w:val="22"/>
        </w:rPr>
        <w:t xml:space="preserve">to </w:t>
      </w:r>
      <w:r w:rsidRPr="00201DA2">
        <w:rPr>
          <w:rFonts w:eastAsia="Calibri"/>
          <w:color w:val="000000"/>
          <w:sz w:val="22"/>
          <w:szCs w:val="22"/>
        </w:rPr>
        <w:t>conduct independent,</w:t>
      </w:r>
      <w:r w:rsidR="00AF7673" w:rsidRPr="00201DA2">
        <w:rPr>
          <w:rFonts w:eastAsia="Calibri"/>
          <w:color w:val="000000"/>
          <w:sz w:val="22"/>
          <w:szCs w:val="22"/>
        </w:rPr>
        <w:t xml:space="preserve"> impartial,</w:t>
      </w:r>
      <w:r w:rsidRPr="00201DA2">
        <w:rPr>
          <w:rFonts w:eastAsia="Calibri"/>
          <w:color w:val="000000"/>
          <w:sz w:val="22"/>
          <w:szCs w:val="22"/>
        </w:rPr>
        <w:t xml:space="preserve"> thorough and transparent investigations of potential violations of the Covenant, including providing redress to victims and their families where appropriate?</w:t>
      </w:r>
    </w:p>
    <w:p w14:paraId="7234CE53" w14:textId="77777777" w:rsidR="00F40CCE" w:rsidRPr="00201DA2" w:rsidRDefault="00F40CCE" w:rsidP="00F40CCE">
      <w:pPr>
        <w:pBdr>
          <w:top w:val="nil"/>
          <w:left w:val="nil"/>
          <w:bottom w:val="nil"/>
          <w:right w:val="nil"/>
          <w:between w:val="nil"/>
        </w:pBdr>
        <w:contextualSpacing/>
        <w:rPr>
          <w:rFonts w:eastAsia="Calibri"/>
          <w:color w:val="000000"/>
          <w:sz w:val="22"/>
          <w:szCs w:val="22"/>
        </w:rPr>
      </w:pPr>
    </w:p>
    <w:p w14:paraId="6EDC31E6" w14:textId="6E6E6D6E" w:rsidR="00F40CCE" w:rsidRPr="00201DA2" w:rsidRDefault="00F40CCE" w:rsidP="00F40CCE">
      <w:pPr>
        <w:pBdr>
          <w:top w:val="nil"/>
          <w:left w:val="nil"/>
          <w:bottom w:val="nil"/>
          <w:right w:val="nil"/>
          <w:between w:val="nil"/>
        </w:pBdr>
        <w:contextualSpacing/>
        <w:rPr>
          <w:rFonts w:eastAsia="Calibri"/>
          <w:b/>
          <w:color w:val="000000"/>
          <w:sz w:val="22"/>
          <w:szCs w:val="22"/>
        </w:rPr>
      </w:pPr>
      <w:r w:rsidRPr="00201DA2">
        <w:rPr>
          <w:rFonts w:eastAsia="Calibri"/>
          <w:b/>
          <w:color w:val="000000"/>
          <w:sz w:val="22"/>
          <w:szCs w:val="22"/>
        </w:rPr>
        <w:t>Suggested Recommendations</w:t>
      </w:r>
    </w:p>
    <w:p w14:paraId="1D68FD7D" w14:textId="3ED0B81B" w:rsidR="00450381" w:rsidRPr="00201DA2" w:rsidRDefault="00450381" w:rsidP="00450381">
      <w:pPr>
        <w:pStyle w:val="ListParagraph"/>
        <w:numPr>
          <w:ilvl w:val="0"/>
          <w:numId w:val="23"/>
        </w:numPr>
        <w:pBdr>
          <w:top w:val="nil"/>
          <w:left w:val="nil"/>
          <w:bottom w:val="nil"/>
          <w:right w:val="nil"/>
          <w:between w:val="nil"/>
        </w:pBdr>
        <w:rPr>
          <w:rFonts w:eastAsia="Calibri"/>
          <w:sz w:val="22"/>
          <w:szCs w:val="22"/>
        </w:rPr>
      </w:pPr>
      <w:r w:rsidRPr="00201DA2">
        <w:rPr>
          <w:rFonts w:eastAsia="Calibri"/>
          <w:sz w:val="22"/>
          <w:szCs w:val="22"/>
        </w:rPr>
        <w:t>The State Party should</w:t>
      </w:r>
      <w:r w:rsidR="00184DD9" w:rsidRPr="00201DA2">
        <w:rPr>
          <w:rFonts w:eastAsia="Calibri"/>
          <w:sz w:val="22"/>
          <w:szCs w:val="22"/>
        </w:rPr>
        <w:t xml:space="preserve"> </w:t>
      </w:r>
      <w:r w:rsidR="00184DD9" w:rsidRPr="00201DA2">
        <w:rPr>
          <w:rFonts w:eastAsia="Calibri"/>
          <w:color w:val="000000"/>
          <w:sz w:val="22"/>
          <w:szCs w:val="22"/>
        </w:rPr>
        <w:t>strictly apply the absolute prohibition against refoulement including whenever it plays any kind of material role in the custody, control, or extraterritorial transfers of detainees</w:t>
      </w:r>
      <w:r w:rsidR="004222A5" w:rsidRPr="00201DA2">
        <w:rPr>
          <w:rFonts w:eastAsia="Calibri"/>
          <w:color w:val="000000"/>
          <w:sz w:val="22"/>
          <w:szCs w:val="22"/>
        </w:rPr>
        <w:t>,</w:t>
      </w:r>
      <w:r w:rsidR="00274AE4" w:rsidRPr="00201DA2">
        <w:rPr>
          <w:rFonts w:eastAsia="Calibri"/>
          <w:color w:val="000000"/>
          <w:sz w:val="22"/>
          <w:szCs w:val="22"/>
        </w:rPr>
        <w:t xml:space="preserve"> and ensure people have an opportunity to contest their transfers through fair process</w:t>
      </w:r>
      <w:r w:rsidR="00147F65" w:rsidRPr="00201DA2">
        <w:rPr>
          <w:rFonts w:eastAsia="Calibri"/>
          <w:sz w:val="22"/>
          <w:szCs w:val="22"/>
        </w:rPr>
        <w:t>.</w:t>
      </w:r>
    </w:p>
    <w:p w14:paraId="02B91C63" w14:textId="7E001E3D" w:rsidR="00274AE4" w:rsidRPr="00201DA2" w:rsidRDefault="00274AE4" w:rsidP="00450381">
      <w:pPr>
        <w:pStyle w:val="ListParagraph"/>
        <w:numPr>
          <w:ilvl w:val="0"/>
          <w:numId w:val="23"/>
        </w:numPr>
        <w:pBdr>
          <w:top w:val="nil"/>
          <w:left w:val="nil"/>
          <w:bottom w:val="nil"/>
          <w:right w:val="nil"/>
          <w:between w:val="nil"/>
        </w:pBdr>
        <w:rPr>
          <w:rFonts w:eastAsia="Calibri"/>
          <w:sz w:val="22"/>
          <w:szCs w:val="22"/>
        </w:rPr>
      </w:pPr>
      <w:r w:rsidRPr="00201DA2">
        <w:rPr>
          <w:rFonts w:eastAsia="Calibri"/>
          <w:sz w:val="22"/>
          <w:szCs w:val="22"/>
        </w:rPr>
        <w:t xml:space="preserve">The US has made progress in reducing the population at </w:t>
      </w:r>
      <w:r w:rsidR="00012E9B" w:rsidRPr="00201DA2">
        <w:rPr>
          <w:rFonts w:eastAsia="Calibri"/>
          <w:sz w:val="22"/>
          <w:szCs w:val="22"/>
        </w:rPr>
        <w:t>Guantanamo,</w:t>
      </w:r>
      <w:r w:rsidRPr="00201DA2">
        <w:rPr>
          <w:rFonts w:eastAsia="Calibri"/>
          <w:sz w:val="22"/>
          <w:szCs w:val="22"/>
        </w:rPr>
        <w:t xml:space="preserve"> but it should end indefinite detentions without charge there and ensure those who are accused of wrongdoing are prosecuted in a fair system, not the military commissions at Guantanamo. It should also independently </w:t>
      </w:r>
      <w:r w:rsidRPr="00201DA2">
        <w:rPr>
          <w:rFonts w:eastAsia="Calibri"/>
          <w:sz w:val="22"/>
          <w:szCs w:val="22"/>
        </w:rPr>
        <w:lastRenderedPageBreak/>
        <w:t xml:space="preserve">investigate and prosecute those responsible for torture and </w:t>
      </w:r>
      <w:r w:rsidR="00AF7673" w:rsidRPr="00201DA2">
        <w:rPr>
          <w:rFonts w:eastAsia="Calibri"/>
          <w:sz w:val="22"/>
          <w:szCs w:val="22"/>
        </w:rPr>
        <w:t xml:space="preserve">Ill-treatment </w:t>
      </w:r>
      <w:r w:rsidRPr="00201DA2">
        <w:rPr>
          <w:rFonts w:eastAsia="Calibri"/>
          <w:sz w:val="22"/>
          <w:szCs w:val="22"/>
        </w:rPr>
        <w:t xml:space="preserve">of detainees in US custody after </w:t>
      </w:r>
      <w:r w:rsidR="00AF7673" w:rsidRPr="00201DA2">
        <w:rPr>
          <w:rFonts w:eastAsia="Calibri"/>
          <w:sz w:val="22"/>
          <w:szCs w:val="22"/>
        </w:rPr>
        <w:t>the September 11, 2001</w:t>
      </w:r>
      <w:r w:rsidRPr="00201DA2">
        <w:rPr>
          <w:rFonts w:eastAsia="Calibri"/>
          <w:sz w:val="22"/>
          <w:szCs w:val="22"/>
        </w:rPr>
        <w:t xml:space="preserve"> attacks and cooperate with international tribunals investigating the same incidents.  </w:t>
      </w:r>
    </w:p>
    <w:p w14:paraId="49DACE4F" w14:textId="04C1BE9C" w:rsidR="00184DD9" w:rsidRPr="00201DA2" w:rsidRDefault="00274AE4" w:rsidP="00450381">
      <w:pPr>
        <w:pStyle w:val="ListParagraph"/>
        <w:numPr>
          <w:ilvl w:val="0"/>
          <w:numId w:val="23"/>
        </w:numPr>
        <w:pBdr>
          <w:top w:val="nil"/>
          <w:left w:val="nil"/>
          <w:bottom w:val="nil"/>
          <w:right w:val="nil"/>
          <w:between w:val="nil"/>
        </w:pBdr>
        <w:rPr>
          <w:rFonts w:eastAsia="Calibri"/>
          <w:sz w:val="22"/>
          <w:szCs w:val="22"/>
        </w:rPr>
      </w:pPr>
      <w:r w:rsidRPr="00201DA2">
        <w:rPr>
          <w:rFonts w:eastAsia="Calibri"/>
          <w:sz w:val="22"/>
          <w:szCs w:val="22"/>
        </w:rPr>
        <w:t>Disclose the legal an</w:t>
      </w:r>
      <w:r w:rsidR="00473E5B" w:rsidRPr="00201DA2">
        <w:rPr>
          <w:rFonts w:eastAsia="Calibri"/>
          <w:sz w:val="22"/>
          <w:szCs w:val="22"/>
        </w:rPr>
        <w:t>d</w:t>
      </w:r>
      <w:r w:rsidRPr="00201DA2">
        <w:rPr>
          <w:rFonts w:eastAsia="Calibri"/>
          <w:sz w:val="22"/>
          <w:szCs w:val="22"/>
        </w:rPr>
        <w:t xml:space="preserve"> policy framework for the use of armed drones, including the selection and identification of targets, methods of investigation to ensure accountability, and any process for providing redress to victims and their families in case of violations.  </w:t>
      </w:r>
    </w:p>
    <w:p w14:paraId="10732631" w14:textId="3114759D" w:rsidR="00F40CCE" w:rsidRDefault="00F40CCE" w:rsidP="00F40CCE">
      <w:pPr>
        <w:rPr>
          <w:sz w:val="22"/>
          <w:szCs w:val="22"/>
        </w:rPr>
      </w:pPr>
    </w:p>
    <w:p w14:paraId="78F0CB05" w14:textId="210FF701" w:rsidR="009F55AA" w:rsidRPr="00201DA2" w:rsidRDefault="009F55AA" w:rsidP="009F55AA">
      <w:pPr>
        <w:jc w:val="center"/>
        <w:rPr>
          <w:sz w:val="22"/>
          <w:szCs w:val="22"/>
        </w:rPr>
      </w:pPr>
      <w:r>
        <w:rPr>
          <w:sz w:val="22"/>
          <w:szCs w:val="22"/>
        </w:rPr>
        <w:t>***</w:t>
      </w:r>
    </w:p>
    <w:p w14:paraId="0ECB8882" w14:textId="77777777" w:rsidR="009F55AA" w:rsidRPr="009F55AA" w:rsidRDefault="009F55AA" w:rsidP="009F55AA">
      <w:pPr>
        <w:rPr>
          <w:rFonts w:ascii="Times" w:hAnsi="Times"/>
          <w:color w:val="000000"/>
          <w:sz w:val="22"/>
          <w:szCs w:val="22"/>
        </w:rPr>
      </w:pPr>
      <w:r w:rsidRPr="009F55AA">
        <w:rPr>
          <w:rFonts w:ascii="Times" w:hAnsi="Times"/>
          <w:b/>
          <w:color w:val="000000"/>
          <w:sz w:val="22"/>
          <w:szCs w:val="22"/>
        </w:rPr>
        <w:t>For more information, please contact:</w:t>
      </w:r>
      <w:r w:rsidRPr="009F55AA">
        <w:rPr>
          <w:rFonts w:ascii="Times" w:hAnsi="Times"/>
          <w:color w:val="000000"/>
          <w:sz w:val="22"/>
          <w:szCs w:val="22"/>
        </w:rPr>
        <w:t xml:space="preserve"> </w:t>
      </w:r>
    </w:p>
    <w:p w14:paraId="4686EF40" w14:textId="62FD735D" w:rsidR="009F55AA" w:rsidRDefault="009F55AA" w:rsidP="009F55AA">
      <w:pPr>
        <w:rPr>
          <w:rFonts w:ascii="Times" w:hAnsi="Times"/>
          <w:color w:val="000000"/>
          <w:sz w:val="22"/>
          <w:szCs w:val="22"/>
        </w:rPr>
      </w:pPr>
      <w:r w:rsidRPr="009F55AA">
        <w:rPr>
          <w:rFonts w:ascii="Times" w:hAnsi="Times"/>
          <w:color w:val="000000"/>
          <w:sz w:val="22"/>
          <w:szCs w:val="22"/>
        </w:rPr>
        <w:t xml:space="preserve">In Washington, DC, Jasmine L. Tyler (English): +1-202-294-8292 (mobile); or tylerj@hrw.org. Twitter: @jazzyjtyler </w:t>
      </w:r>
    </w:p>
    <w:p w14:paraId="303F9BA4" w14:textId="7F52086C" w:rsidR="00C67F9E" w:rsidRPr="00C67F9E" w:rsidRDefault="00C67F9E" w:rsidP="009F55AA">
      <w:pPr>
        <w:rPr>
          <w:sz w:val="22"/>
          <w:szCs w:val="22"/>
        </w:rPr>
      </w:pPr>
      <w:r w:rsidRPr="009F55AA">
        <w:rPr>
          <w:rFonts w:ascii="Times" w:hAnsi="Times"/>
          <w:color w:val="000000"/>
          <w:sz w:val="22"/>
          <w:szCs w:val="22"/>
        </w:rPr>
        <w:t>In San Francisco, Alison Parker (English): +1-917-535-9796 (mobile); or parkera@hrw.org. Twitter: @alisonHRW</w:t>
      </w:r>
    </w:p>
    <w:p w14:paraId="16287A9E" w14:textId="77777777" w:rsidR="009F55AA" w:rsidRPr="009F55AA" w:rsidRDefault="009F55AA" w:rsidP="009F55AA">
      <w:pPr>
        <w:rPr>
          <w:rFonts w:ascii="Times" w:hAnsi="Times"/>
          <w:color w:val="000000"/>
          <w:sz w:val="22"/>
          <w:szCs w:val="22"/>
        </w:rPr>
      </w:pPr>
      <w:r w:rsidRPr="009F55AA">
        <w:rPr>
          <w:rFonts w:ascii="Times" w:hAnsi="Times"/>
          <w:color w:val="000000"/>
          <w:sz w:val="22"/>
          <w:szCs w:val="22"/>
        </w:rPr>
        <w:t xml:space="preserve">In New York, Laura Pitter (English): +1-917-450-4361 (mobile); or pitterl@hrw.org. Twitter: @Laurapitter </w:t>
      </w:r>
    </w:p>
    <w:p w14:paraId="420CC27D" w14:textId="77777777" w:rsidR="00F40CCE" w:rsidRPr="00201DA2" w:rsidRDefault="00F40CCE" w:rsidP="00154853">
      <w:pPr>
        <w:pBdr>
          <w:top w:val="nil"/>
          <w:left w:val="nil"/>
          <w:bottom w:val="nil"/>
          <w:right w:val="nil"/>
          <w:between w:val="nil"/>
        </w:pBdr>
        <w:contextualSpacing/>
        <w:rPr>
          <w:rFonts w:eastAsia="Calibri"/>
          <w:b/>
          <w:color w:val="000000"/>
          <w:sz w:val="22"/>
          <w:szCs w:val="22"/>
        </w:rPr>
      </w:pPr>
    </w:p>
    <w:p w14:paraId="185A4B97" w14:textId="77777777" w:rsidR="00154853" w:rsidRPr="00201DA2" w:rsidRDefault="00154853" w:rsidP="00154853">
      <w:pPr>
        <w:pBdr>
          <w:top w:val="nil"/>
          <w:left w:val="nil"/>
          <w:bottom w:val="nil"/>
          <w:right w:val="nil"/>
          <w:between w:val="nil"/>
        </w:pBdr>
        <w:rPr>
          <w:rFonts w:eastAsia="Calibri"/>
          <w:b/>
          <w:color w:val="000000"/>
          <w:sz w:val="22"/>
          <w:szCs w:val="22"/>
        </w:rPr>
      </w:pPr>
    </w:p>
    <w:p w14:paraId="0C290E86" w14:textId="77777777" w:rsidR="00FB1100" w:rsidRPr="00201DA2" w:rsidRDefault="00FB1100" w:rsidP="002D2AF9">
      <w:pPr>
        <w:pBdr>
          <w:top w:val="nil"/>
          <w:left w:val="nil"/>
          <w:bottom w:val="nil"/>
          <w:right w:val="nil"/>
          <w:between w:val="nil"/>
        </w:pBdr>
        <w:rPr>
          <w:sz w:val="22"/>
          <w:szCs w:val="22"/>
        </w:rPr>
      </w:pPr>
    </w:p>
    <w:sectPr w:rsidR="00FB1100" w:rsidRPr="00201DA2" w:rsidSect="008D5B13">
      <w:footerReference w:type="even" r:id="rId9"/>
      <w:footerReference w:type="default" r:id="rId1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5E2D0" w14:textId="77777777" w:rsidR="00682F05" w:rsidRDefault="00682F05" w:rsidP="00140458">
      <w:r>
        <w:separator/>
      </w:r>
    </w:p>
  </w:endnote>
  <w:endnote w:type="continuationSeparator" w:id="0">
    <w:p w14:paraId="08EBED05" w14:textId="77777777" w:rsidR="00682F05" w:rsidRDefault="00682F05" w:rsidP="0014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mbria"/>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MetaPro-Norm">
    <w:altName w:val="Calibri"/>
    <w:panose1 w:val="020B0604020202020204"/>
    <w:charset w:val="00"/>
    <w:family w:val="swiss"/>
    <w:notTrueType/>
    <w:pitch w:val="variable"/>
    <w:sig w:usb0="A00002F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6619613"/>
      <w:docPartObj>
        <w:docPartGallery w:val="Page Numbers (Bottom of Page)"/>
        <w:docPartUnique/>
      </w:docPartObj>
    </w:sdtPr>
    <w:sdtEndPr>
      <w:rPr>
        <w:rStyle w:val="PageNumber"/>
      </w:rPr>
    </w:sdtEndPr>
    <w:sdtContent>
      <w:p w14:paraId="53DBBCD3" w14:textId="6C0A892E" w:rsidR="00FB0CCE" w:rsidRDefault="00FB0CCE" w:rsidP="008D5B1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A0975E" w14:textId="77777777" w:rsidR="00FB0CCE" w:rsidRDefault="00FB0CCE" w:rsidP="001404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2"/>
        <w:szCs w:val="22"/>
      </w:rPr>
      <w:id w:val="299659867"/>
      <w:docPartObj>
        <w:docPartGallery w:val="Page Numbers (Bottom of Page)"/>
        <w:docPartUnique/>
      </w:docPartObj>
    </w:sdtPr>
    <w:sdtEndPr>
      <w:rPr>
        <w:rStyle w:val="PageNumber"/>
      </w:rPr>
    </w:sdtEndPr>
    <w:sdtContent>
      <w:p w14:paraId="54ED7AD9" w14:textId="01DBDFA3" w:rsidR="008D5B13" w:rsidRPr="008D5B13" w:rsidRDefault="008D5B13" w:rsidP="008D5B13">
        <w:pPr>
          <w:pStyle w:val="Footer"/>
          <w:framePr w:wrap="notBeside" w:vAnchor="text" w:hAnchor="margin" w:xAlign="center" w:y="1"/>
          <w:rPr>
            <w:rStyle w:val="PageNumber"/>
            <w:sz w:val="22"/>
            <w:szCs w:val="22"/>
          </w:rPr>
        </w:pPr>
        <w:r w:rsidRPr="008D5B13">
          <w:rPr>
            <w:rStyle w:val="PageNumber"/>
            <w:sz w:val="22"/>
            <w:szCs w:val="22"/>
          </w:rPr>
          <w:fldChar w:fldCharType="begin"/>
        </w:r>
        <w:r w:rsidRPr="008D5B13">
          <w:rPr>
            <w:rStyle w:val="PageNumber"/>
            <w:sz w:val="22"/>
            <w:szCs w:val="22"/>
          </w:rPr>
          <w:instrText xml:space="preserve"> PAGE </w:instrText>
        </w:r>
        <w:r w:rsidRPr="008D5B13">
          <w:rPr>
            <w:rStyle w:val="PageNumber"/>
            <w:sz w:val="22"/>
            <w:szCs w:val="22"/>
          </w:rPr>
          <w:fldChar w:fldCharType="separate"/>
        </w:r>
        <w:r w:rsidRPr="008D5B13">
          <w:rPr>
            <w:rStyle w:val="PageNumber"/>
            <w:noProof/>
            <w:sz w:val="22"/>
            <w:szCs w:val="22"/>
          </w:rPr>
          <w:t>2</w:t>
        </w:r>
        <w:r w:rsidRPr="008D5B13">
          <w:rPr>
            <w:rStyle w:val="PageNumber"/>
            <w:sz w:val="22"/>
            <w:szCs w:val="22"/>
          </w:rPr>
          <w:fldChar w:fldCharType="end"/>
        </w:r>
      </w:p>
    </w:sdtContent>
  </w:sdt>
  <w:p w14:paraId="13A8FC8D" w14:textId="77777777" w:rsidR="008D5B13" w:rsidRDefault="008D5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77D9A" w14:textId="77777777" w:rsidR="00682F05" w:rsidRDefault="00682F05" w:rsidP="00140458">
      <w:r>
        <w:separator/>
      </w:r>
    </w:p>
  </w:footnote>
  <w:footnote w:type="continuationSeparator" w:id="0">
    <w:p w14:paraId="470E793D" w14:textId="77777777" w:rsidR="00682F05" w:rsidRDefault="00682F05" w:rsidP="00140458">
      <w:r>
        <w:continuationSeparator/>
      </w:r>
    </w:p>
  </w:footnote>
  <w:footnote w:id="1">
    <w:p w14:paraId="5CCFCDB5" w14:textId="1E80B329"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Prison Policy Initiative, “Mass Incarceration: The Whole Pie 2018,”May 14, 2018, </w:t>
      </w:r>
      <w:hyperlink r:id="rId1" w:history="1">
        <w:r w:rsidRPr="00201DA2">
          <w:rPr>
            <w:rStyle w:val="Hyperlink"/>
            <w:color w:val="000000" w:themeColor="text1"/>
            <w:sz w:val="16"/>
            <w:szCs w:val="16"/>
          </w:rPr>
          <w:t>https://www.prisonpolicy.org/reports/pie2018.html</w:t>
        </w:r>
      </w:hyperlink>
      <w:r w:rsidRPr="00201DA2">
        <w:rPr>
          <w:color w:val="000000" w:themeColor="text1"/>
          <w:sz w:val="16"/>
          <w:szCs w:val="16"/>
        </w:rPr>
        <w:t xml:space="preserve"> (accessed January 5, 2019). </w:t>
      </w:r>
    </w:p>
  </w:footnote>
  <w:footnote w:id="2">
    <w:p w14:paraId="7048478E" w14:textId="54E9AB08"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Human Rights Watch and the American Civil Liberties Union, </w:t>
      </w:r>
      <w:r w:rsidRPr="00201DA2">
        <w:rPr>
          <w:i/>
          <w:color w:val="000000" w:themeColor="text1"/>
          <w:sz w:val="16"/>
          <w:szCs w:val="16"/>
        </w:rPr>
        <w:t>You Miss So Much When You’re Gone: The Lasting Harm of Jailing Mothers Before Trial in Oklahoma</w:t>
      </w:r>
      <w:r w:rsidRPr="00201DA2">
        <w:rPr>
          <w:color w:val="000000" w:themeColor="text1"/>
          <w:sz w:val="16"/>
          <w:szCs w:val="16"/>
        </w:rPr>
        <w:t>, September 28, 2018, https://www.hrw.org/sites/default/files/report_pdf/us0918_web_0.pdf, p. 16, citing The Sentencing Project, “Incarcerated Women and Girls, 1980-2016,” May 2018, https://www.sentencingproject.org/ publications/incarcerated-women-and-girls/ (accessed July 16, 2018), p. 1.</w:t>
      </w:r>
    </w:p>
  </w:footnote>
  <w:footnote w:id="3">
    <w:p w14:paraId="3D1F0530" w14:textId="78FF4C7A"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Ibid.</w:t>
      </w:r>
    </w:p>
  </w:footnote>
  <w:footnote w:id="4">
    <w:p w14:paraId="2BDB9133" w14:textId="23532B39"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Human Rights Watch and the American Civil Liberties Union, </w:t>
      </w:r>
      <w:r w:rsidRPr="00201DA2">
        <w:rPr>
          <w:i/>
          <w:color w:val="000000" w:themeColor="text1"/>
          <w:sz w:val="16"/>
          <w:szCs w:val="16"/>
        </w:rPr>
        <w:t>You Miss So Much When You’re Gone: The Lasting Harm of Jailing Mothers Before Trial in Oklahoma</w:t>
      </w:r>
      <w:r w:rsidRPr="00201DA2">
        <w:rPr>
          <w:color w:val="000000" w:themeColor="text1"/>
          <w:sz w:val="16"/>
          <w:szCs w:val="16"/>
        </w:rPr>
        <w:t xml:space="preserve">, September 28, 2018, </w:t>
      </w:r>
      <w:hyperlink r:id="rId2" w:history="1">
        <w:r w:rsidRPr="00201DA2">
          <w:rPr>
            <w:rStyle w:val="Hyperlink"/>
            <w:color w:val="000000" w:themeColor="text1"/>
            <w:sz w:val="16"/>
            <w:szCs w:val="16"/>
          </w:rPr>
          <w:t>https://www.hrw.org/sites/default/files/report_pdf/us0918_web_0.pdf</w:t>
        </w:r>
      </w:hyperlink>
      <w:r w:rsidRPr="00201DA2">
        <w:rPr>
          <w:color w:val="000000" w:themeColor="text1"/>
          <w:sz w:val="16"/>
          <w:szCs w:val="16"/>
        </w:rPr>
        <w:t>.</w:t>
      </w:r>
    </w:p>
  </w:footnote>
  <w:footnote w:id="5">
    <w:p w14:paraId="276FE5DF" w14:textId="5357DA7B"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w:t>
      </w:r>
      <w:bookmarkStart w:id="2" w:name="_Hlk534804198"/>
      <w:r w:rsidRPr="00201DA2">
        <w:rPr>
          <w:color w:val="000000" w:themeColor="text1"/>
          <w:sz w:val="16"/>
          <w:szCs w:val="16"/>
        </w:rPr>
        <w:t xml:space="preserve">Prison Policy Initiative, “How much do incarcerated people earn in each state?” April 10, 2017, </w:t>
      </w:r>
      <w:hyperlink r:id="rId3" w:history="1">
        <w:r w:rsidRPr="00201DA2">
          <w:rPr>
            <w:rStyle w:val="Hyperlink"/>
            <w:color w:val="000000" w:themeColor="text1"/>
            <w:sz w:val="16"/>
            <w:szCs w:val="16"/>
          </w:rPr>
          <w:t>https://www.prisonpolicy.org/blog/2017/04/10/wages/</w:t>
        </w:r>
      </w:hyperlink>
      <w:r w:rsidRPr="00201DA2">
        <w:rPr>
          <w:color w:val="000000" w:themeColor="text1"/>
          <w:sz w:val="16"/>
          <w:szCs w:val="16"/>
        </w:rPr>
        <w:t xml:space="preserve"> (accessed January 6, 2019); Jasmine L. Tyler (Human Rights Watch), “Prisoners striking for fair wages, humane conditions deserve support,” Op-ed, </w:t>
      </w:r>
      <w:r w:rsidRPr="00201DA2">
        <w:rPr>
          <w:i/>
          <w:color w:val="000000" w:themeColor="text1"/>
          <w:sz w:val="16"/>
          <w:szCs w:val="16"/>
        </w:rPr>
        <w:t>The Hill</w:t>
      </w:r>
      <w:r w:rsidRPr="00201DA2">
        <w:rPr>
          <w:color w:val="000000" w:themeColor="text1"/>
          <w:sz w:val="16"/>
          <w:szCs w:val="16"/>
        </w:rPr>
        <w:t>, September 5, 2018, https://www.hrw.org/news/2018/09/05/prisoners-striking-fair-wages-humane-conditions-deserve-support.</w:t>
      </w:r>
    </w:p>
    <w:bookmarkEnd w:id="2"/>
  </w:footnote>
  <w:footnote w:id="6">
    <w:p w14:paraId="788F8777" w14:textId="4061F714"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Rebecca R. Ruiz, “Attorney General Orders Tougher Sentences, Rolling Back Obama Policy,” </w:t>
      </w:r>
      <w:r w:rsidRPr="00201DA2">
        <w:rPr>
          <w:i/>
          <w:color w:val="000000" w:themeColor="text1"/>
          <w:sz w:val="16"/>
          <w:szCs w:val="16"/>
        </w:rPr>
        <w:t>New York Times</w:t>
      </w:r>
      <w:r w:rsidRPr="00201DA2">
        <w:rPr>
          <w:color w:val="000000" w:themeColor="text1"/>
          <w:sz w:val="16"/>
          <w:szCs w:val="16"/>
        </w:rPr>
        <w:t xml:space="preserve">, March 12, 2017, </w:t>
      </w:r>
      <w:hyperlink r:id="rId4" w:history="1">
        <w:r w:rsidRPr="00201DA2">
          <w:rPr>
            <w:rStyle w:val="Hyperlink"/>
            <w:color w:val="000000" w:themeColor="text1"/>
            <w:sz w:val="16"/>
            <w:szCs w:val="16"/>
          </w:rPr>
          <w:t>https://www.nytimes.com/2017/05/12/us/politics/attorney-general-jeff-sessions-drug-offenses-penalties.html</w:t>
        </w:r>
      </w:hyperlink>
      <w:r w:rsidRPr="00201DA2">
        <w:rPr>
          <w:color w:val="000000" w:themeColor="text1"/>
          <w:sz w:val="16"/>
          <w:szCs w:val="16"/>
        </w:rPr>
        <w:t xml:space="preserve"> (accessed January 5, 2019). </w:t>
      </w:r>
    </w:p>
  </w:footnote>
  <w:footnote w:id="7">
    <w:p w14:paraId="0FE321CB" w14:textId="73EF064F"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“’Memorandum For All United States Attorneys’ on the Subject of ‘Marijuana Enforcement,’” from US Attorney General Jeff Sessions, January 4, 2018, </w:t>
      </w:r>
      <w:hyperlink r:id="rId5" w:history="1">
        <w:r w:rsidRPr="00201DA2">
          <w:rPr>
            <w:rStyle w:val="Hyperlink"/>
            <w:color w:val="000000" w:themeColor="text1"/>
            <w:sz w:val="16"/>
            <w:szCs w:val="16"/>
          </w:rPr>
          <w:t>https://www.justice.gov/opa/press-release/file/1022196/download</w:t>
        </w:r>
      </w:hyperlink>
      <w:r w:rsidRPr="00201DA2">
        <w:rPr>
          <w:color w:val="000000" w:themeColor="text1"/>
          <w:sz w:val="16"/>
          <w:szCs w:val="16"/>
        </w:rPr>
        <w:t xml:space="preserve"> (accessed January 5, 2019).</w:t>
      </w:r>
    </w:p>
  </w:footnote>
  <w:footnote w:id="8">
    <w:p w14:paraId="3B906612" w14:textId="4E73F40E"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The Brennan Center, “The State of Voting Rights Litigation (December 2018),” December 13, 2018, </w:t>
      </w:r>
      <w:hyperlink r:id="rId6" w:history="1">
        <w:r w:rsidRPr="00201DA2">
          <w:rPr>
            <w:rStyle w:val="Hyperlink"/>
            <w:color w:val="000000" w:themeColor="text1"/>
            <w:sz w:val="16"/>
            <w:szCs w:val="16"/>
          </w:rPr>
          <w:t>https://www.brennancenter.org/analysis/state-voting-rights-litigation-december-2018</w:t>
        </w:r>
      </w:hyperlink>
      <w:r w:rsidRPr="00201DA2">
        <w:rPr>
          <w:color w:val="000000" w:themeColor="text1"/>
          <w:sz w:val="16"/>
          <w:szCs w:val="16"/>
        </w:rPr>
        <w:t xml:space="preserve">, (accessed January 5, 2019); Nicole Chavez, “Florida restores voting rights to more than 1 million felons,” </w:t>
      </w:r>
      <w:r w:rsidRPr="00201DA2">
        <w:rPr>
          <w:i/>
          <w:color w:val="000000" w:themeColor="text1"/>
          <w:sz w:val="16"/>
          <w:szCs w:val="16"/>
        </w:rPr>
        <w:t>CNN</w:t>
      </w:r>
      <w:r w:rsidRPr="00201DA2">
        <w:rPr>
          <w:color w:val="000000" w:themeColor="text1"/>
          <w:sz w:val="16"/>
          <w:szCs w:val="16"/>
        </w:rPr>
        <w:t xml:space="preserve">, November 7, 2018, </w:t>
      </w:r>
      <w:hyperlink r:id="rId7" w:history="1">
        <w:r w:rsidRPr="00201DA2">
          <w:rPr>
            <w:rStyle w:val="Hyperlink"/>
            <w:color w:val="000000" w:themeColor="text1"/>
            <w:sz w:val="16"/>
            <w:szCs w:val="16"/>
          </w:rPr>
          <w:t>https://www.cnn.com/2018/11/07/politics/florida-felons-voting-rights/index.html</w:t>
        </w:r>
      </w:hyperlink>
      <w:r w:rsidRPr="00201DA2">
        <w:rPr>
          <w:color w:val="000000" w:themeColor="text1"/>
          <w:sz w:val="16"/>
          <w:szCs w:val="16"/>
        </w:rPr>
        <w:t xml:space="preserve"> (accessed January 5, 2019).</w:t>
      </w:r>
    </w:p>
  </w:footnote>
  <w:footnote w:id="9">
    <w:p w14:paraId="17789173" w14:textId="6B0E8D5B"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Jasmine L. Tyler, “Human Rights Win Out in US Election,” commentary, Human Rights Watch Dispatch, November 13, 2018 </w:t>
      </w:r>
      <w:hyperlink r:id="rId8" w:history="1">
        <w:r w:rsidRPr="00201DA2">
          <w:rPr>
            <w:rStyle w:val="Hyperlink"/>
            <w:color w:val="000000" w:themeColor="text1"/>
            <w:sz w:val="16"/>
            <w:szCs w:val="16"/>
          </w:rPr>
          <w:t>https://www.hrw.org/news/2018/11/13/human-rights-win-out-us-election</w:t>
        </w:r>
      </w:hyperlink>
      <w:r w:rsidRPr="00201DA2">
        <w:rPr>
          <w:color w:val="000000" w:themeColor="text1"/>
          <w:sz w:val="16"/>
          <w:szCs w:val="16"/>
        </w:rPr>
        <w:t xml:space="preserve">; The Sentencing Project, “Reform and the 2018 Midterms,” November 7, 2018, https://www.sentencingproject.org/news/state-criminal-justice-reform-2018-midterms/ (accessed January 5, 2019). </w:t>
      </w:r>
    </w:p>
  </w:footnote>
  <w:footnote w:id="10">
    <w:p w14:paraId="64229A6A" w14:textId="188E7D86"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Death Penalty Information Center, “Executions in 2018,” </w:t>
      </w:r>
      <w:hyperlink r:id="rId9" w:history="1">
        <w:r w:rsidRPr="00201DA2">
          <w:rPr>
            <w:rStyle w:val="Hyperlink"/>
            <w:color w:val="000000" w:themeColor="text1"/>
            <w:sz w:val="16"/>
            <w:szCs w:val="16"/>
          </w:rPr>
          <w:t>https://deathpenaltyinfo.org/execution-list-2018</w:t>
        </w:r>
      </w:hyperlink>
      <w:r w:rsidRPr="00201DA2">
        <w:rPr>
          <w:color w:val="000000" w:themeColor="text1"/>
          <w:sz w:val="16"/>
          <w:szCs w:val="16"/>
        </w:rPr>
        <w:t xml:space="preserve"> (accessed January 5, 2019). </w:t>
      </w:r>
    </w:p>
  </w:footnote>
  <w:footnote w:id="11">
    <w:p w14:paraId="36AA77B7" w14:textId="2EDFC73F"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Jasmine L. Tyler (Human Rights Watch), “To end the opioid epidemic, save lives, don’t take them,” Op-ed, </w:t>
      </w:r>
      <w:r w:rsidRPr="00201DA2">
        <w:rPr>
          <w:i/>
          <w:color w:val="000000" w:themeColor="text1"/>
          <w:sz w:val="16"/>
          <w:szCs w:val="16"/>
        </w:rPr>
        <w:t>The Hill</w:t>
      </w:r>
      <w:r w:rsidRPr="00201DA2">
        <w:rPr>
          <w:color w:val="000000" w:themeColor="text1"/>
          <w:sz w:val="16"/>
          <w:szCs w:val="16"/>
        </w:rPr>
        <w:t xml:space="preserve">, April 4, 2018, https://www.hrw.org/news/2018/04/04/end-opioid-epidemic-save-lives-dont-take-them; Salvador Rizzo, “President Trump’s claim that death sentences would stop drug trafficking,” </w:t>
      </w:r>
      <w:r w:rsidRPr="00201DA2">
        <w:rPr>
          <w:i/>
          <w:color w:val="000000" w:themeColor="text1"/>
          <w:sz w:val="16"/>
          <w:szCs w:val="16"/>
        </w:rPr>
        <w:t>Washington Post</w:t>
      </w:r>
      <w:r w:rsidRPr="00201DA2">
        <w:rPr>
          <w:color w:val="000000" w:themeColor="text1"/>
          <w:sz w:val="16"/>
          <w:szCs w:val="16"/>
        </w:rPr>
        <w:t xml:space="preserve">, April 25, 2018, </w:t>
      </w:r>
      <w:hyperlink r:id="rId10" w:history="1">
        <w:r w:rsidRPr="00201DA2">
          <w:rPr>
            <w:rStyle w:val="Hyperlink"/>
            <w:color w:val="000000" w:themeColor="text1"/>
            <w:sz w:val="16"/>
            <w:szCs w:val="16"/>
          </w:rPr>
          <w:t>https://www.washingtonpost.com/news/fact-checker/wp/2018/04/25/president-trumps-claim-that-death-sentences-would-stop-drug-trafficking/?utm_term=.da97816c7ff3</w:t>
        </w:r>
      </w:hyperlink>
      <w:r w:rsidRPr="00201DA2">
        <w:rPr>
          <w:color w:val="000000" w:themeColor="text1"/>
          <w:sz w:val="16"/>
          <w:szCs w:val="16"/>
        </w:rPr>
        <w:t xml:space="preserve"> (accessed January 5, 2019); Sarah N. Lynch, “Federal Prosecutors Told to Seek Death Penalty in Drug Cases,” Reuters, March 21, 2018, </w:t>
      </w:r>
      <w:hyperlink r:id="rId11" w:history="1">
        <w:r w:rsidRPr="00201DA2">
          <w:rPr>
            <w:rStyle w:val="Hyperlink"/>
            <w:color w:val="000000" w:themeColor="text1"/>
            <w:sz w:val="16"/>
            <w:szCs w:val="16"/>
          </w:rPr>
          <w:t>https://www.reuters.com/article/us-usa-opioids-deathpenalty/federal-prosecutors-told-to-seek-death-penalty-in-drug-cases-idUSKBN1GX25A</w:t>
        </w:r>
      </w:hyperlink>
      <w:r w:rsidRPr="00201DA2">
        <w:rPr>
          <w:color w:val="000000" w:themeColor="text1"/>
          <w:sz w:val="16"/>
          <w:szCs w:val="16"/>
        </w:rPr>
        <w:t xml:space="preserve"> (accessed January 9, 2019).</w:t>
      </w:r>
    </w:p>
  </w:footnote>
  <w:footnote w:id="12">
    <w:p w14:paraId="023104F1" w14:textId="59EB77E7"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UN Human Rights Committee, General Comment 31, The Nature of the General Legal Obligation Imposed on State Parties to the Covenant (Eightieth session, 2004), Compilation of General Comments and General Recommendations Adopted by Human Rights Treaty Bodies</w:t>
      </w:r>
      <w:r w:rsidRPr="00201DA2">
        <w:rPr>
          <w:iCs/>
          <w:color w:val="000000" w:themeColor="text1"/>
          <w:sz w:val="16"/>
          <w:szCs w:val="16"/>
        </w:rPr>
        <w:t>,</w:t>
      </w:r>
      <w:r w:rsidRPr="00201DA2">
        <w:rPr>
          <w:color w:val="000000" w:themeColor="text1"/>
          <w:sz w:val="16"/>
          <w:szCs w:val="16"/>
        </w:rPr>
        <w:t xml:space="preserve"> UN Doc. CCPR/C/21/Rev.1/Add. 1326 (2004), para. 6.</w:t>
      </w:r>
    </w:p>
  </w:footnote>
  <w:footnote w:id="13">
    <w:p w14:paraId="3242343E" w14:textId="5BD2FB48"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UN Human Rights Committee, General Comment 27, Article 12 (Freedom of Movement) (Sixty-seventh session, 1999), Compilation of General Comments and General Recommendations Adopted by Human Rights Treaty Bodies, UN Doc. CCPR/C/21/Rev.1/Add.9 (1999), para. 14.</w:t>
      </w:r>
    </w:p>
  </w:footnote>
  <w:footnote w:id="14">
    <w:p w14:paraId="100D389D" w14:textId="53D88CA8"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The Inter-American Court of Human Rights has ruled, in the context of sentencing, that “no one may be subjected to arrest or imprisonment for reasons and by methods which, although classified as legal, could be deemed to be incompatible with the respect for the fundamental rights of the individual because, among other things, they are unreasonable, unforeseeable or lacking in proportionality,” Inter-American Court of Human Rights</w:t>
      </w:r>
      <w:r w:rsidRPr="00201DA2">
        <w:rPr>
          <w:i/>
          <w:color w:val="000000" w:themeColor="text1"/>
          <w:sz w:val="16"/>
          <w:szCs w:val="16"/>
        </w:rPr>
        <w:t xml:space="preserve">, </w:t>
      </w:r>
      <w:r w:rsidRPr="00201DA2">
        <w:rPr>
          <w:color w:val="000000" w:themeColor="text1"/>
          <w:sz w:val="16"/>
          <w:szCs w:val="16"/>
        </w:rPr>
        <w:t>Gangaram Pandey Case, Judgement of January 21, 1994, Inter-Am.Ct.H.R., (Ser. C) No. 16 (1994), para. 48.</w:t>
      </w:r>
    </w:p>
  </w:footnote>
  <w:footnote w:id="15">
    <w:p w14:paraId="512CB514" w14:textId="3598FA53"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w:t>
      </w:r>
      <w:bookmarkStart w:id="3" w:name="_Hlk534980081"/>
      <w:r w:rsidRPr="00201DA2">
        <w:rPr>
          <w:color w:val="000000" w:themeColor="text1"/>
          <w:sz w:val="16"/>
          <w:szCs w:val="16"/>
        </w:rPr>
        <w:t>UN Human Rights Council, “Report of the Working Group on Arbitrary Detention,” June 30, 2014</w:t>
      </w:r>
      <w:bookmarkEnd w:id="3"/>
      <w:r w:rsidRPr="00201DA2">
        <w:rPr>
          <w:color w:val="000000" w:themeColor="text1"/>
          <w:sz w:val="16"/>
          <w:szCs w:val="16"/>
        </w:rPr>
        <w:t xml:space="preserve">, </w:t>
      </w:r>
      <w:hyperlink r:id="rId12" w:history="1">
        <w:r w:rsidRPr="00201DA2">
          <w:rPr>
            <w:rStyle w:val="Hyperlink"/>
            <w:color w:val="000000" w:themeColor="text1"/>
            <w:sz w:val="16"/>
            <w:szCs w:val="16"/>
          </w:rPr>
          <w:t>https://www.ohchr.org/en/hrbodies/hrc/regularsessions/session27/documents/a_hrc_27_48_eng.doc</w:t>
        </w:r>
      </w:hyperlink>
      <w:r w:rsidRPr="00201DA2">
        <w:rPr>
          <w:color w:val="000000" w:themeColor="text1"/>
          <w:sz w:val="16"/>
          <w:szCs w:val="16"/>
        </w:rPr>
        <w:t xml:space="preserve"> (accessed January 11, 2019), para 88. (“All measures of detention should be justified, adequate, necessary and proportional to the aim sought.”).</w:t>
      </w:r>
    </w:p>
  </w:footnote>
  <w:footnote w:id="16">
    <w:p w14:paraId="0340A150" w14:textId="4CB99164"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United Nations Standard Minimum Rules for the Treatment of Prisoners (Standard Minimum Rules), adopted by the First United Nations Congress on the Prevention of Crime and the Treatment of Offenders, held at Geneva in 1955, and approved by the Economic and Social Council by its resolution 663 C (XXIV) of July 31, 1957, and 2076 (LXII) of May 13, 1977, paras. 58-59.</w:t>
      </w:r>
    </w:p>
  </w:footnote>
  <w:footnote w:id="17">
    <w:p w14:paraId="14A09B64" w14:textId="481666B0"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United Nations Standard Minimum Rules for Non-custodial Measures (“The Tokyo Rules”), adopted December 14, 1990 G.A. res. 45/110, annex, 45 UN GAOR Supp. (No. 49A) at 197, UN Doc. A/45/49 (1990), Rule 2.3. </w:t>
      </w:r>
    </w:p>
  </w:footnote>
  <w:footnote w:id="18">
    <w:p w14:paraId="0713D55E" w14:textId="06689E9E"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Rome Statute of the International Criminal Court (Rome Statute), A/CONF.183/9, July 17, 1998, entered into force July 1, 2002, art. 110.</w:t>
      </w:r>
    </w:p>
  </w:footnote>
  <w:footnote w:id="19">
    <w:p w14:paraId="324964BA" w14:textId="1E19CC6E"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The Sentencing Project , “The Color of Justice: Racial and Ethnic Disparity in State Prisons,” June 2016, </w:t>
      </w:r>
      <w:hyperlink r:id="rId13" w:history="1">
        <w:r w:rsidRPr="00201DA2">
          <w:rPr>
            <w:rStyle w:val="Hyperlink"/>
            <w:color w:val="000000" w:themeColor="text1"/>
            <w:sz w:val="16"/>
            <w:szCs w:val="16"/>
          </w:rPr>
          <w:t>https://www.sentencingproject.org/wp-content/uploads/2016/06/The-Color-of-Justice-Racial-and-Ethnic-Disparity-in-State-Prisons.pdf</w:t>
        </w:r>
      </w:hyperlink>
      <w:r w:rsidRPr="00201DA2">
        <w:rPr>
          <w:color w:val="000000" w:themeColor="text1"/>
          <w:sz w:val="16"/>
          <w:szCs w:val="16"/>
        </w:rPr>
        <w:t xml:space="preserve"> (accessed January 5, 2019).  </w:t>
      </w:r>
    </w:p>
  </w:footnote>
  <w:footnote w:id="20">
    <w:p w14:paraId="75F00F36" w14:textId="13E5263B"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Human Rights Watch and the American Civil Liberties Union, </w:t>
      </w:r>
      <w:r w:rsidRPr="00201DA2">
        <w:rPr>
          <w:i/>
          <w:color w:val="000000" w:themeColor="text1"/>
          <w:sz w:val="16"/>
          <w:szCs w:val="16"/>
        </w:rPr>
        <w:t>Every 25 Seconds</w:t>
      </w:r>
      <w:r w:rsidRPr="00201DA2">
        <w:rPr>
          <w:color w:val="000000" w:themeColor="text1"/>
          <w:sz w:val="16"/>
          <w:szCs w:val="16"/>
        </w:rPr>
        <w:t>, pp. 5 and 43-50.</w:t>
      </w:r>
    </w:p>
  </w:footnote>
  <w:footnote w:id="21">
    <w:p w14:paraId="5D7828F8" w14:textId="58F84EDE"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“Fatal Force,” </w:t>
      </w:r>
      <w:r w:rsidRPr="00201DA2">
        <w:rPr>
          <w:i/>
          <w:color w:val="000000" w:themeColor="text1"/>
          <w:sz w:val="16"/>
          <w:szCs w:val="16"/>
        </w:rPr>
        <w:t>Washington Post</w:t>
      </w:r>
      <w:r w:rsidRPr="00201DA2">
        <w:rPr>
          <w:color w:val="000000" w:themeColor="text1"/>
          <w:sz w:val="16"/>
          <w:szCs w:val="16"/>
        </w:rPr>
        <w:t xml:space="preserve">, updated January 3, 2019, </w:t>
      </w:r>
      <w:hyperlink r:id="rId14" w:history="1">
        <w:r w:rsidRPr="00201DA2">
          <w:rPr>
            <w:rStyle w:val="Hyperlink"/>
            <w:color w:val="000000" w:themeColor="text1"/>
            <w:sz w:val="16"/>
            <w:szCs w:val="16"/>
          </w:rPr>
          <w:t>https://www.washingtonpost.com/graphics/2018/national/police-shootings-2018/?utm_term=.08e8dffc4721</w:t>
        </w:r>
      </w:hyperlink>
      <w:r w:rsidRPr="00201DA2">
        <w:rPr>
          <w:rStyle w:val="Hyperlink"/>
          <w:color w:val="000000" w:themeColor="text1"/>
          <w:sz w:val="16"/>
          <w:szCs w:val="16"/>
        </w:rPr>
        <w:t xml:space="preserve"> </w:t>
      </w:r>
      <w:r w:rsidRPr="00201DA2">
        <w:rPr>
          <w:color w:val="000000" w:themeColor="text1"/>
          <w:sz w:val="16"/>
          <w:szCs w:val="16"/>
        </w:rPr>
        <w:t>(accessed January 11, 2019).</w:t>
      </w:r>
    </w:p>
  </w:footnote>
  <w:footnote w:id="22">
    <w:p w14:paraId="5085F023" w14:textId="35AC498E"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Ibid.</w:t>
      </w:r>
    </w:p>
  </w:footnote>
  <w:footnote w:id="23">
    <w:p w14:paraId="6276216A" w14:textId="0D18896B"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Ibid.</w:t>
      </w:r>
    </w:p>
  </w:footnote>
  <w:footnote w:id="24">
    <w:p w14:paraId="09CC9580" w14:textId="48F685A5"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German Lopez, “There are Huge Racial Disparities in How US Police Use Force,” </w:t>
      </w:r>
      <w:r w:rsidRPr="00201DA2">
        <w:rPr>
          <w:i/>
          <w:color w:val="000000" w:themeColor="text1"/>
          <w:sz w:val="16"/>
          <w:szCs w:val="16"/>
        </w:rPr>
        <w:t>Vox</w:t>
      </w:r>
      <w:r w:rsidRPr="00201DA2">
        <w:rPr>
          <w:color w:val="000000" w:themeColor="text1"/>
          <w:sz w:val="16"/>
          <w:szCs w:val="16"/>
        </w:rPr>
        <w:t xml:space="preserve">, November 14, 2018, https://www.vox.com/identities/2016/8/13/17938186/police-shootings-killings-racism-racial-disparities (January 9, 2019); </w:t>
      </w:r>
    </w:p>
    <w:p w14:paraId="2B988DE7" w14:textId="1D21BEDF" w:rsidR="00FB0CCE" w:rsidRPr="00201DA2" w:rsidRDefault="00FB0CCE">
      <w:pPr>
        <w:pStyle w:val="FootnoteText"/>
        <w:rPr>
          <w:color w:val="000000" w:themeColor="text1"/>
          <w:sz w:val="16"/>
          <w:szCs w:val="16"/>
        </w:rPr>
      </w:pPr>
      <w:r w:rsidRPr="00201DA2">
        <w:rPr>
          <w:color w:val="000000" w:themeColor="text1"/>
          <w:sz w:val="16"/>
          <w:szCs w:val="16"/>
        </w:rPr>
        <w:t xml:space="preserve">Joel Rubin &amp; Ben Poston, “L.A. County deputies stopped thousands of innocent Latinos on the 5 Freeway in hopes of their next drug bust,” </w:t>
      </w:r>
      <w:r w:rsidRPr="00201DA2">
        <w:rPr>
          <w:i/>
          <w:color w:val="000000" w:themeColor="text1"/>
          <w:sz w:val="16"/>
          <w:szCs w:val="16"/>
        </w:rPr>
        <w:t>Los Angeles Times</w:t>
      </w:r>
      <w:r w:rsidRPr="00201DA2">
        <w:rPr>
          <w:color w:val="000000" w:themeColor="text1"/>
          <w:sz w:val="16"/>
          <w:szCs w:val="16"/>
        </w:rPr>
        <w:t xml:space="preserve">, October 4, 2018, </w:t>
      </w:r>
      <w:hyperlink r:id="rId15" w:history="1">
        <w:r w:rsidRPr="00201DA2">
          <w:rPr>
            <w:rStyle w:val="Hyperlink"/>
            <w:color w:val="000000" w:themeColor="text1"/>
            <w:sz w:val="16"/>
            <w:szCs w:val="16"/>
          </w:rPr>
          <w:t>https://www.latimes.com/local/lanow/la-me-sheriff-latino-drug-stops-grapevine-20181004-htmlstory.html</w:t>
        </w:r>
      </w:hyperlink>
      <w:r w:rsidRPr="00201DA2">
        <w:rPr>
          <w:color w:val="000000" w:themeColor="text1"/>
          <w:sz w:val="16"/>
          <w:szCs w:val="16"/>
        </w:rPr>
        <w:t xml:space="preserve"> (accessed January 9, 2019). </w:t>
      </w:r>
    </w:p>
  </w:footnote>
  <w:footnote w:id="25">
    <w:p w14:paraId="7B46CC15" w14:textId="11585EE2" w:rsidR="00FB0CCE" w:rsidRPr="00201DA2" w:rsidRDefault="00FB0CCE" w:rsidP="00466C75">
      <w:pPr>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John Eligon, “Hate Crimes Increase for the Third Consecutive Year, F.B.I. Reports,” </w:t>
      </w:r>
      <w:r w:rsidRPr="00201DA2">
        <w:rPr>
          <w:i/>
          <w:color w:val="000000" w:themeColor="text1"/>
          <w:sz w:val="16"/>
          <w:szCs w:val="16"/>
        </w:rPr>
        <w:t>New York Times</w:t>
      </w:r>
      <w:r w:rsidRPr="00201DA2">
        <w:rPr>
          <w:color w:val="000000" w:themeColor="text1"/>
          <w:sz w:val="16"/>
          <w:szCs w:val="16"/>
        </w:rPr>
        <w:t xml:space="preserve">, November 3, 2018, </w:t>
      </w:r>
      <w:hyperlink r:id="rId16" w:history="1">
        <w:r w:rsidRPr="00201DA2">
          <w:rPr>
            <w:rStyle w:val="Hyperlink"/>
            <w:color w:val="000000" w:themeColor="text1"/>
            <w:sz w:val="16"/>
            <w:szCs w:val="16"/>
          </w:rPr>
          <w:t>https://www.nytimes.com/2018/11/13/us/hate-crimes-fbi-2017.html</w:t>
        </w:r>
      </w:hyperlink>
      <w:r w:rsidRPr="00201DA2">
        <w:rPr>
          <w:color w:val="000000" w:themeColor="text1"/>
          <w:sz w:val="16"/>
          <w:szCs w:val="16"/>
        </w:rPr>
        <w:t xml:space="preserve"> (accessed January 5, 2019); Center for the Study of Hate and Extremism, “Hate Crimes Rise in U.S. Cities and Counties in Time of Division &amp; Foreign Interference,” May 14, 2018, </w:t>
      </w:r>
      <w:hyperlink r:id="rId17" w:history="1">
        <w:r w:rsidRPr="00201DA2">
          <w:rPr>
            <w:rStyle w:val="Hyperlink"/>
            <w:color w:val="000000" w:themeColor="text1"/>
            <w:sz w:val="16"/>
            <w:szCs w:val="16"/>
          </w:rPr>
          <w:t>https://csbs.csusb.edu/sites/csusb_csbs/files/2018%20Hate%20Final%20Report%205-14.pdf</w:t>
        </w:r>
      </w:hyperlink>
      <w:r w:rsidRPr="00201DA2">
        <w:rPr>
          <w:color w:val="000000" w:themeColor="text1"/>
          <w:sz w:val="16"/>
          <w:szCs w:val="16"/>
        </w:rPr>
        <w:t xml:space="preserve"> (accessed January 5, 2019); “U.S. anti-Muslim hate crimes rose 15 percent in 2017: advocacy group,” Reuters, April 23, 2018, https://www.reuters.com/article/us-usa-islam-hatecrime/u-s-anti-muslim-hate-crimes-rose-15-percent-in-2017-advocacy-group-idUSKBN1HU240 (accessed January 5, 2019); Council on American Islamic Relations, “CAIR Report: Anti-Muslim Bias Incidents, Hate Crimes Spike in Second Quarter of 2018,” July 12, 2018,  </w:t>
      </w:r>
      <w:hyperlink r:id="rId18" w:history="1">
        <w:r w:rsidRPr="00201DA2">
          <w:rPr>
            <w:rStyle w:val="Hyperlink"/>
            <w:color w:val="000000" w:themeColor="text1"/>
            <w:sz w:val="16"/>
            <w:szCs w:val="16"/>
          </w:rPr>
          <w:t>https://www.cair.com/cair_report_anti_muslim_bias_incidents_hate_crimes_spike_in_second_quarter_of_2018</w:t>
        </w:r>
      </w:hyperlink>
      <w:r w:rsidRPr="00201DA2">
        <w:rPr>
          <w:color w:val="000000" w:themeColor="text1"/>
          <w:sz w:val="16"/>
          <w:szCs w:val="16"/>
        </w:rPr>
        <w:t xml:space="preserve"> (accessed January 5, 2018); South Asian Americans Leading Together, “This Week in Hate: hate continues to rise, our communities continue to suffer,” April 20, 2018, http://saalt.org/this-week-in-hate-hate-continues-to-rise-our-communities-continue-to-suffer/</w:t>
      </w:r>
      <w:r w:rsidRPr="00201DA2" w:rsidDel="00513C9E">
        <w:rPr>
          <w:color w:val="000000" w:themeColor="text1"/>
          <w:sz w:val="16"/>
          <w:szCs w:val="16"/>
        </w:rPr>
        <w:t xml:space="preserve"> </w:t>
      </w:r>
      <w:r w:rsidRPr="00201DA2">
        <w:rPr>
          <w:color w:val="000000" w:themeColor="text1"/>
          <w:sz w:val="16"/>
          <w:szCs w:val="16"/>
        </w:rPr>
        <w:t xml:space="preserve">(accessed January 5, 2019); Anti-Violence Project, “A Crisis of Hate: A Report on Lesbian, Gay, Bisexual, Transgender, and Queer, Hate Violence Homicides in 2017,” January 22, 2018, http://avp.org/wp-content/uploads/2018/01/a-crisis-of-hate-january-release-12218.pdf (accessed January 5, 2019); California State University, “Report to the Nation: Hate Crimes Rise in US Cities and Counties in Time of Division and Foreign Interference,” May 2018, </w:t>
      </w:r>
      <w:hyperlink r:id="rId19" w:history="1">
        <w:r w:rsidRPr="00201DA2">
          <w:rPr>
            <w:rStyle w:val="Hyperlink"/>
            <w:color w:val="000000" w:themeColor="text1"/>
            <w:sz w:val="16"/>
            <w:szCs w:val="16"/>
          </w:rPr>
          <w:t>https://csbs.csusb.edu/sites/csusb_csbs/files/2018%20Hate%20Final%20Report%205-14.pdf</w:t>
        </w:r>
      </w:hyperlink>
      <w:r w:rsidRPr="00201DA2">
        <w:rPr>
          <w:color w:val="000000" w:themeColor="text1"/>
          <w:sz w:val="16"/>
          <w:szCs w:val="16"/>
        </w:rPr>
        <w:t xml:space="preserve"> (accessed January 6, 2019).</w:t>
      </w:r>
    </w:p>
  </w:footnote>
  <w:footnote w:id="26">
    <w:p w14:paraId="663B8A5C" w14:textId="6116A90D"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John Eligon, “Hate Crimes Rise for the Third Straight Year,” </w:t>
      </w:r>
      <w:r w:rsidRPr="00201DA2">
        <w:rPr>
          <w:i/>
          <w:color w:val="000000" w:themeColor="text1"/>
          <w:sz w:val="16"/>
          <w:szCs w:val="16"/>
        </w:rPr>
        <w:t>New York Times,</w:t>
      </w:r>
      <w:r w:rsidRPr="00201DA2">
        <w:rPr>
          <w:color w:val="000000" w:themeColor="text1"/>
          <w:sz w:val="16"/>
          <w:szCs w:val="16"/>
        </w:rPr>
        <w:t xml:space="preserve"> November 13, 2018, </w:t>
      </w:r>
      <w:hyperlink r:id="rId20" w:history="1">
        <w:r w:rsidRPr="00201DA2">
          <w:rPr>
            <w:rStyle w:val="Hyperlink"/>
            <w:color w:val="000000" w:themeColor="text1"/>
            <w:sz w:val="16"/>
            <w:szCs w:val="16"/>
          </w:rPr>
          <w:t>https://www.nytimes.com/2018/11/13/us/hate-crimes-fbi-2017.html</w:t>
        </w:r>
      </w:hyperlink>
      <w:r w:rsidRPr="00201DA2">
        <w:rPr>
          <w:color w:val="000000" w:themeColor="text1"/>
          <w:sz w:val="16"/>
          <w:szCs w:val="16"/>
        </w:rPr>
        <w:t xml:space="preserve"> (accessed January 6, 2019).</w:t>
      </w:r>
    </w:p>
  </w:footnote>
  <w:footnote w:id="27">
    <w:p w14:paraId="7F9BA803" w14:textId="1FD71098"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Seth Freed Wessler, “The Coast Guard’s ‘Floating Guantánamos’,” </w:t>
      </w:r>
      <w:r w:rsidRPr="00201DA2">
        <w:rPr>
          <w:i/>
          <w:color w:val="000000" w:themeColor="text1"/>
          <w:sz w:val="16"/>
          <w:szCs w:val="16"/>
        </w:rPr>
        <w:t xml:space="preserve">New York Times </w:t>
      </w:r>
      <w:r w:rsidRPr="00201DA2">
        <w:rPr>
          <w:color w:val="000000" w:themeColor="text1"/>
          <w:sz w:val="16"/>
          <w:szCs w:val="16"/>
        </w:rPr>
        <w:t xml:space="preserve">magazine, November 20, 2017, </w:t>
      </w:r>
      <w:hyperlink r:id="rId21" w:history="1">
        <w:r w:rsidRPr="00201DA2">
          <w:rPr>
            <w:rStyle w:val="Hyperlink"/>
            <w:color w:val="000000" w:themeColor="text1"/>
            <w:sz w:val="16"/>
            <w:szCs w:val="16"/>
          </w:rPr>
          <w:t>https://www.nytimes.com/2017/11/20/magazine/the-coast-guards-floating-guantanamos.html</w:t>
        </w:r>
      </w:hyperlink>
      <w:r w:rsidRPr="00201DA2">
        <w:rPr>
          <w:color w:val="000000" w:themeColor="text1"/>
          <w:sz w:val="16"/>
          <w:szCs w:val="16"/>
        </w:rPr>
        <w:t xml:space="preserve"> (accessed January 6, 2019), (Prisoners on board boats have been held up to 90 days during which they reported being chained together on board decks, exposed to the wind, rain and sun, denied food, forced to sleep on the ground, and defecate in buckets); See, also, Seth Wessler, “U.S. Coast Guard detentions of drug smugglers 'violating international law,' and Canada may be complicit,” </w:t>
      </w:r>
      <w:r w:rsidRPr="00201DA2">
        <w:rPr>
          <w:i/>
          <w:color w:val="000000" w:themeColor="text1"/>
          <w:sz w:val="16"/>
          <w:szCs w:val="16"/>
        </w:rPr>
        <w:t>CBC</w:t>
      </w:r>
      <w:r w:rsidRPr="00201DA2">
        <w:rPr>
          <w:color w:val="000000" w:themeColor="text1"/>
          <w:sz w:val="16"/>
          <w:szCs w:val="16"/>
        </w:rPr>
        <w:t xml:space="preserve">, June 6, 2018, </w:t>
      </w:r>
      <w:hyperlink r:id="rId22" w:history="1">
        <w:r w:rsidRPr="00201DA2">
          <w:rPr>
            <w:rStyle w:val="Hyperlink"/>
            <w:color w:val="000000" w:themeColor="text1"/>
            <w:sz w:val="16"/>
            <w:szCs w:val="16"/>
          </w:rPr>
          <w:t>https://www.cbc.ca/radio/thecurrent/coast-guard-detainees-canada-1.4673272</w:t>
        </w:r>
      </w:hyperlink>
      <w:r w:rsidRPr="00201DA2">
        <w:rPr>
          <w:color w:val="000000" w:themeColor="text1"/>
          <w:sz w:val="16"/>
          <w:szCs w:val="16"/>
        </w:rPr>
        <w:t xml:space="preserve"> (accessed January 6, 2019); and Laura Pitter, “National Security and Court Deference: Ramifications and Worrying Trends,” in </w:t>
      </w:r>
      <w:r w:rsidRPr="00201DA2">
        <w:rPr>
          <w:i/>
          <w:color w:val="000000" w:themeColor="text1"/>
          <w:sz w:val="16"/>
          <w:szCs w:val="16"/>
        </w:rPr>
        <w:t>Re-Imagining the National Security State</w:t>
      </w:r>
      <w:r w:rsidRPr="00201DA2">
        <w:rPr>
          <w:color w:val="000000" w:themeColor="text1"/>
          <w:sz w:val="16"/>
          <w:szCs w:val="16"/>
        </w:rPr>
        <w:t xml:space="preserve"> (Cambridge University Press: New York, forthcoming).</w:t>
      </w:r>
    </w:p>
  </w:footnote>
  <w:footnote w:id="28">
    <w:p w14:paraId="7838F900" w14:textId="75A6943C"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UN Human Rights Committee, General Comment 18, Non-discrimination (Thirty-seventh session, 1989), Compilation of General Comments and General Recommendations Adopted by Human Rights Treaty Bodies, UN Doc. HRI\GEN\1\Rev.1 (1994).</w:t>
      </w:r>
    </w:p>
  </w:footnote>
  <w:footnote w:id="29">
    <w:p w14:paraId="04FD7539" w14:textId="60EE5299"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International Convention on the Elimination of All Forms of Racial Discrimination (ICERD), adopted December 21, 1965, G.A. Res. 2106 (XX), annex, 20 UN GAOR Supp. (No. 14) at 47, UN Doc. A/6014 (1966), 660 UNT.S. 195, entered into force January 4, 1969, para. I, art 1.3. </w:t>
      </w:r>
    </w:p>
  </w:footnote>
  <w:footnote w:id="30">
    <w:p w14:paraId="55425C8D" w14:textId="06D6F25A"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See ICERD, General Recommendation XIV (42) on art. 1, para. 1, of the Convention, UN GAOR, 48th Sess., Supp. No. 18, at 176, UN Doc. A/48/18(1993). See also, Theodor Meron, "The Meaning and Reach of the International Convention on the Elimination of All Forms of Racial Discrimination," </w:t>
      </w:r>
      <w:r w:rsidRPr="00201DA2">
        <w:rPr>
          <w:i/>
          <w:color w:val="000000" w:themeColor="text1"/>
          <w:sz w:val="16"/>
          <w:szCs w:val="16"/>
        </w:rPr>
        <w:t>American Journal of International Law</w:t>
      </w:r>
      <w:r w:rsidRPr="00201DA2">
        <w:rPr>
          <w:color w:val="000000" w:themeColor="text1"/>
          <w:sz w:val="16"/>
          <w:szCs w:val="16"/>
        </w:rPr>
        <w:t>, vol. 79 (1985), pp. 283 and 287-88.</w:t>
      </w:r>
    </w:p>
  </w:footnote>
  <w:footnote w:id="31">
    <w:p w14:paraId="32A36C18" w14:textId="723F7052"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Committee on the Elimination of Racial Discrimination, General Recommendation on para. I, art. 1 of ICERD.</w:t>
      </w:r>
    </w:p>
  </w:footnote>
  <w:footnote w:id="32">
    <w:p w14:paraId="44C734E9" w14:textId="721AC317"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UN Human Rights Committee, General Comment 18.</w:t>
      </w:r>
    </w:p>
  </w:footnote>
  <w:footnote w:id="33">
    <w:p w14:paraId="6B0DC9D4" w14:textId="2669C6CA"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US Department of Justice, Office of Juvenile Justice and Delinquency Prevention, “Statistical Briefing Book,” https://www.ojjdp.gov/ojstatbb/crime/JAR_Display.asp?ID=qa05200 (accessed January 5, 2019). </w:t>
      </w:r>
    </w:p>
  </w:footnote>
  <w:footnote w:id="34">
    <w:p w14:paraId="18885E05" w14:textId="42FC00B5"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National Conference of State Legislatures, “Racial and Ethnic Disparities in the Juvenile Justice System,” January 11, 2018, </w:t>
      </w:r>
      <w:hyperlink r:id="rId23" w:history="1">
        <w:r w:rsidRPr="00201DA2">
          <w:rPr>
            <w:rStyle w:val="Hyperlink"/>
            <w:color w:val="000000" w:themeColor="text1"/>
            <w:sz w:val="16"/>
            <w:szCs w:val="16"/>
          </w:rPr>
          <w:t>http://www.ncsl.org/research/civil-and-criminal-justice/racial-and-ethnic-disparities-in-the-juvenile-justice-system.aspx</w:t>
        </w:r>
      </w:hyperlink>
      <w:r w:rsidRPr="00201DA2">
        <w:rPr>
          <w:color w:val="000000" w:themeColor="text1"/>
          <w:sz w:val="16"/>
          <w:szCs w:val="16"/>
        </w:rPr>
        <w:t xml:space="preserve"> (accessed January 5, 2019). </w:t>
      </w:r>
    </w:p>
  </w:footnote>
  <w:footnote w:id="35">
    <w:p w14:paraId="78C28FE2" w14:textId="02208A9D"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The Sentencing Project, “Still increase in racial disparities in juvenile justice,” October 20, 2017, https://www.sentencingproject.org/news/still-increase-racial-disparities-juvenile-justice/ (accessed January 5, 2019). </w:t>
      </w:r>
    </w:p>
  </w:footnote>
  <w:footnote w:id="36">
    <w:p w14:paraId="3AA3C84F" w14:textId="01424906"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Citizens’ Committee for Children of New York, “New Report Examines Youth Incarcerated In Adult Jails,” August 28, 2018, </w:t>
      </w:r>
      <w:hyperlink r:id="rId24" w:history="1">
        <w:r w:rsidRPr="00201DA2">
          <w:rPr>
            <w:rStyle w:val="Hyperlink"/>
            <w:color w:val="000000" w:themeColor="text1"/>
            <w:sz w:val="16"/>
            <w:szCs w:val="16"/>
          </w:rPr>
          <w:t>https://www.cccnewyork.org/press/releases/new-report-examines-youth-incarcerated-in-adult-jails/</w:t>
        </w:r>
      </w:hyperlink>
      <w:r w:rsidRPr="00201DA2">
        <w:rPr>
          <w:color w:val="000000" w:themeColor="text1"/>
          <w:sz w:val="16"/>
          <w:szCs w:val="16"/>
        </w:rPr>
        <w:t xml:space="preserve"> (accessed January 5, 2019). </w:t>
      </w:r>
    </w:p>
  </w:footnote>
  <w:footnote w:id="37">
    <w:p w14:paraId="7E584849" w14:textId="66F822ED"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US Department of Justice, Office of Juvenile Justice and Delinquency Programs, “Juvenile Offenders and Victims: National Report Series,” September 2011, </w:t>
      </w:r>
      <w:hyperlink r:id="rId25" w:history="1">
        <w:r w:rsidRPr="00201DA2">
          <w:rPr>
            <w:rStyle w:val="Hyperlink"/>
            <w:color w:val="000000" w:themeColor="text1"/>
            <w:sz w:val="16"/>
            <w:szCs w:val="16"/>
          </w:rPr>
          <w:t>https://www.ncjrs.gov/pdffiles1/ojjdp/232434.pdf</w:t>
        </w:r>
      </w:hyperlink>
      <w:r w:rsidRPr="00201DA2">
        <w:rPr>
          <w:color w:val="000000" w:themeColor="text1"/>
          <w:sz w:val="16"/>
          <w:szCs w:val="16"/>
        </w:rPr>
        <w:t xml:space="preserve"> (accessed January 5, 2019). </w:t>
      </w:r>
    </w:p>
  </w:footnote>
  <w:footnote w:id="38">
    <w:p w14:paraId="2B2ECA20" w14:textId="124C4604"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The Campaign for the Fair Sentencing of Youth, “Montgomery Momentum: Two Years of Progress Since Montgomery v. Louisiana,” January 25, 2018, </w:t>
      </w:r>
      <w:hyperlink r:id="rId26" w:history="1">
        <w:r w:rsidRPr="00201DA2">
          <w:rPr>
            <w:rStyle w:val="Hyperlink"/>
            <w:color w:val="000000" w:themeColor="text1"/>
            <w:sz w:val="16"/>
            <w:szCs w:val="16"/>
          </w:rPr>
          <w:t>https://www.fairsentencingofyouth.org/wp-content/uploads/Montgomery-Anniversary-2018-Snapshot1.pdf</w:t>
        </w:r>
      </w:hyperlink>
      <w:r w:rsidRPr="00201DA2">
        <w:rPr>
          <w:color w:val="000000" w:themeColor="text1"/>
          <w:sz w:val="16"/>
          <w:szCs w:val="16"/>
        </w:rPr>
        <w:t xml:space="preserve"> (accessed January 5, 2019).</w:t>
      </w:r>
    </w:p>
  </w:footnote>
  <w:footnote w:id="39">
    <w:p w14:paraId="506D9151" w14:textId="6BFDE12A"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Paige Cornwell and Hannah Rodriguez, “Washington Supreme Court rules sentencing youth to life without parole is unconstitutional,” </w:t>
      </w:r>
      <w:r w:rsidRPr="00201DA2">
        <w:rPr>
          <w:i/>
          <w:color w:val="000000" w:themeColor="text1"/>
          <w:sz w:val="16"/>
          <w:szCs w:val="16"/>
        </w:rPr>
        <w:t>The Seattle Times</w:t>
      </w:r>
      <w:r w:rsidRPr="00201DA2">
        <w:rPr>
          <w:color w:val="000000" w:themeColor="text1"/>
          <w:sz w:val="16"/>
          <w:szCs w:val="16"/>
        </w:rPr>
        <w:t xml:space="preserve">, October 18, 2018, </w:t>
      </w:r>
      <w:hyperlink r:id="rId27" w:history="1">
        <w:r w:rsidRPr="00201DA2">
          <w:rPr>
            <w:rStyle w:val="Hyperlink"/>
            <w:color w:val="000000" w:themeColor="text1"/>
            <w:sz w:val="16"/>
            <w:szCs w:val="16"/>
          </w:rPr>
          <w:t>https://www.seattletimes.com/seattle-news/washington-supreme-court-rules-life-sentence-without-parole-for-youth-unconstitutional/</w:t>
        </w:r>
      </w:hyperlink>
      <w:r w:rsidRPr="00201DA2">
        <w:rPr>
          <w:color w:val="000000" w:themeColor="text1"/>
          <w:sz w:val="16"/>
          <w:szCs w:val="16"/>
        </w:rPr>
        <w:t xml:space="preserve"> (accessed January 11, 2019).</w:t>
      </w:r>
    </w:p>
  </w:footnote>
  <w:footnote w:id="40">
    <w:p w14:paraId="1B78E5E0" w14:textId="6333FE09"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Samantha Michaels, “The Washington Supreme Court Just Banned Life-Without-Parole Sentences for Teens,” </w:t>
      </w:r>
      <w:r w:rsidRPr="00201DA2">
        <w:rPr>
          <w:i/>
          <w:color w:val="000000" w:themeColor="text1"/>
          <w:sz w:val="16"/>
          <w:szCs w:val="16"/>
        </w:rPr>
        <w:t>Mother Jones</w:t>
      </w:r>
      <w:r w:rsidRPr="00201DA2">
        <w:rPr>
          <w:color w:val="000000" w:themeColor="text1"/>
          <w:sz w:val="16"/>
          <w:szCs w:val="16"/>
        </w:rPr>
        <w:t xml:space="preserve">, October 18, 2018, https://www.motherjones.com/crime-justice/2018/10/washington-supreme-court-bans-lifers-parole/ (accessed January 5, 2019). </w:t>
      </w:r>
    </w:p>
  </w:footnote>
  <w:footnote w:id="41">
    <w:p w14:paraId="54ED0448" w14:textId="04F886EF"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David Greenwald, “Governor Brown Signs Bill Ending Sentencing of 14- and 15-Year-Olds in Adult Court,” </w:t>
      </w:r>
      <w:r w:rsidRPr="00201DA2">
        <w:rPr>
          <w:i/>
          <w:color w:val="000000" w:themeColor="text1"/>
          <w:sz w:val="16"/>
          <w:szCs w:val="16"/>
        </w:rPr>
        <w:t>The Davis Vanguard</w:t>
      </w:r>
      <w:r w:rsidRPr="00201DA2">
        <w:rPr>
          <w:color w:val="000000" w:themeColor="text1"/>
          <w:sz w:val="16"/>
          <w:szCs w:val="16"/>
        </w:rPr>
        <w:t xml:space="preserve">, October 2, 2018, </w:t>
      </w:r>
      <w:hyperlink r:id="rId28" w:history="1">
        <w:r w:rsidRPr="00201DA2">
          <w:rPr>
            <w:rStyle w:val="Hyperlink"/>
            <w:color w:val="000000" w:themeColor="text1"/>
            <w:sz w:val="16"/>
            <w:szCs w:val="16"/>
          </w:rPr>
          <w:t>https://www.davisvanguard.org/2018/10/governor-brown-signs-bill-ending-sentencing-14-15-years-olds-adult-court/</w:t>
        </w:r>
      </w:hyperlink>
      <w:r w:rsidRPr="00201DA2">
        <w:rPr>
          <w:color w:val="000000" w:themeColor="text1"/>
          <w:sz w:val="16"/>
          <w:szCs w:val="16"/>
        </w:rPr>
        <w:t xml:space="preserve"> (accessed January 5, 2019). </w:t>
      </w:r>
    </w:p>
  </w:footnote>
  <w:footnote w:id="42">
    <w:p w14:paraId="5A1B2FFA" w14:textId="7D248B39"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Eli Hager, “The Fine Print in New York’s Raise the Age Law,” </w:t>
      </w:r>
      <w:r w:rsidRPr="00201DA2">
        <w:rPr>
          <w:i/>
          <w:color w:val="000000" w:themeColor="text1"/>
          <w:sz w:val="16"/>
          <w:szCs w:val="16"/>
        </w:rPr>
        <w:t>The Marshall Project,</w:t>
      </w:r>
      <w:r w:rsidRPr="00201DA2">
        <w:rPr>
          <w:color w:val="000000" w:themeColor="text1"/>
          <w:sz w:val="16"/>
          <w:szCs w:val="16"/>
        </w:rPr>
        <w:t xml:space="preserve"> April 14, 2017,  </w:t>
      </w:r>
      <w:hyperlink r:id="rId29" w:history="1">
        <w:r w:rsidRPr="00201DA2">
          <w:rPr>
            <w:rStyle w:val="Hyperlink"/>
            <w:color w:val="000000" w:themeColor="text1"/>
            <w:sz w:val="16"/>
            <w:szCs w:val="16"/>
          </w:rPr>
          <w:t>https://www.themarshallproject.org/2017/04/14/the-fine-print-in-new-york-s-raise-the-age-law</w:t>
        </w:r>
      </w:hyperlink>
      <w:r w:rsidRPr="00201DA2">
        <w:rPr>
          <w:color w:val="000000" w:themeColor="text1"/>
          <w:sz w:val="16"/>
          <w:szCs w:val="16"/>
        </w:rPr>
        <w:t xml:space="preserve"> (accessed January 5, 2019). </w:t>
      </w:r>
    </w:p>
  </w:footnote>
  <w:footnote w:id="43">
    <w:p w14:paraId="49605E42" w14:textId="01FFBBD8"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Human Rights Watch, </w:t>
      </w:r>
      <w:r w:rsidRPr="00201DA2">
        <w:rPr>
          <w:i/>
          <w:color w:val="000000" w:themeColor="text1"/>
          <w:sz w:val="16"/>
          <w:szCs w:val="16"/>
        </w:rPr>
        <w:t>Branded for Life: Florida’s Prosecution of Children as Adults under its 'Direct File' Statute,</w:t>
      </w:r>
      <w:r w:rsidRPr="00201DA2">
        <w:rPr>
          <w:color w:val="000000" w:themeColor="text1"/>
          <w:sz w:val="16"/>
          <w:szCs w:val="16"/>
        </w:rPr>
        <w:t xml:space="preserve"> April 10, 2014, </w:t>
      </w:r>
      <w:hyperlink r:id="rId30" w:history="1">
        <w:r w:rsidRPr="00201DA2">
          <w:rPr>
            <w:rStyle w:val="Hyperlink"/>
            <w:color w:val="000000" w:themeColor="text1"/>
            <w:sz w:val="16"/>
            <w:szCs w:val="16"/>
          </w:rPr>
          <w:t>https://www.hrw.org/report/2014/04/10/branded-life/floridas-prosecution-children-adults-under-its-direct-file-statute#</w:t>
        </w:r>
      </w:hyperlink>
      <w:r w:rsidRPr="00201DA2">
        <w:rPr>
          <w:color w:val="000000" w:themeColor="text1"/>
          <w:sz w:val="16"/>
          <w:szCs w:val="16"/>
        </w:rPr>
        <w:t>.</w:t>
      </w:r>
    </w:p>
  </w:footnote>
  <w:footnote w:id="44">
    <w:p w14:paraId="06EFAFA7" w14:textId="7DFE06E9"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Human Rights Watch and the American Civil Liberties Union, </w:t>
      </w:r>
      <w:r w:rsidRPr="00201DA2">
        <w:rPr>
          <w:i/>
          <w:color w:val="000000" w:themeColor="text1"/>
          <w:sz w:val="16"/>
          <w:szCs w:val="16"/>
        </w:rPr>
        <w:t>Growing Up Locked Down: Youth in Solitary Confinement in Jails and Prisons Across the United States</w:t>
      </w:r>
      <w:r w:rsidRPr="00201DA2">
        <w:rPr>
          <w:color w:val="000000" w:themeColor="text1"/>
          <w:sz w:val="16"/>
          <w:szCs w:val="16"/>
        </w:rPr>
        <w:t xml:space="preserve">, October 4, 2012, </w:t>
      </w:r>
      <w:hyperlink r:id="rId31" w:history="1">
        <w:r w:rsidRPr="00201DA2">
          <w:rPr>
            <w:rStyle w:val="Hyperlink"/>
            <w:color w:val="000000" w:themeColor="text1"/>
            <w:sz w:val="16"/>
            <w:szCs w:val="16"/>
          </w:rPr>
          <w:t>https://www.hrw.org/sites/default/files/reports/us1012ForUpload.pdf</w:t>
        </w:r>
      </w:hyperlink>
      <w:r w:rsidRPr="00201DA2">
        <w:rPr>
          <w:color w:val="000000" w:themeColor="text1"/>
          <w:sz w:val="16"/>
          <w:szCs w:val="16"/>
        </w:rPr>
        <w:t xml:space="preserve">. </w:t>
      </w:r>
    </w:p>
  </w:footnote>
  <w:footnote w:id="45">
    <w:p w14:paraId="43A3EC06" w14:textId="0674AE23" w:rsidR="00FB0CCE" w:rsidRPr="00201DA2" w:rsidRDefault="00FB0CCE" w:rsidP="00E53D02">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w:t>
      </w:r>
      <w:r w:rsidRPr="00201DA2">
        <w:rPr>
          <w:color w:val="000000" w:themeColor="text1"/>
          <w:sz w:val="16"/>
          <w:szCs w:val="16"/>
          <w:shd w:val="clear" w:color="auto" w:fill="FFFFFF"/>
        </w:rPr>
        <w:t xml:space="preserve">UN Human Rights Committee, “Concluding observations on the fourth periodic report of the United States of America,” </w:t>
      </w:r>
      <w:r w:rsidRPr="00201DA2">
        <w:rPr>
          <w:bCs/>
          <w:color w:val="000000" w:themeColor="text1"/>
          <w:sz w:val="16"/>
          <w:szCs w:val="16"/>
          <w:shd w:val="clear" w:color="auto" w:fill="FFFFFF"/>
        </w:rPr>
        <w:t>CCPR/C/USA/CO/4</w:t>
      </w:r>
      <w:r w:rsidRPr="00201DA2">
        <w:rPr>
          <w:color w:val="000000" w:themeColor="text1"/>
          <w:sz w:val="16"/>
          <w:szCs w:val="16"/>
          <w:shd w:val="clear" w:color="auto" w:fill="FFFFFF"/>
        </w:rPr>
        <w:t xml:space="preserve"> April 23, 2014, </w:t>
      </w:r>
      <w:hyperlink r:id="rId32" w:history="1">
        <w:r w:rsidRPr="00201DA2">
          <w:rPr>
            <w:rStyle w:val="Hyperlink"/>
            <w:color w:val="000000" w:themeColor="text1"/>
            <w:sz w:val="16"/>
            <w:szCs w:val="16"/>
            <w:shd w:val="clear" w:color="auto" w:fill="FFFFFF"/>
          </w:rPr>
          <w:t>http://tbinternet.ohchr.org/_layouts/treatybodyexternal/Download.aspx?symbolno=CCPR%2fC%2fUSA%2fCO%2f4&amp;Lang=en</w:t>
        </w:r>
      </w:hyperlink>
      <w:r w:rsidRPr="00201DA2">
        <w:rPr>
          <w:color w:val="000000" w:themeColor="text1"/>
          <w:sz w:val="16"/>
          <w:szCs w:val="16"/>
          <w:shd w:val="clear" w:color="auto" w:fill="FFFFFF"/>
        </w:rPr>
        <w:t xml:space="preserve"> (accessed January 11, 2019), para. 20. </w:t>
      </w:r>
    </w:p>
  </w:footnote>
  <w:footnote w:id="46">
    <w:p w14:paraId="2688E47F" w14:textId="24C83842"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“Q &amp; A: Pretrial Incarceration, Bail and Profile Based Risk Assessment in the United States,” Human Rights Watch news release, June 1, 2018, </w:t>
      </w:r>
      <w:hyperlink r:id="rId33" w:history="1">
        <w:r w:rsidRPr="00201DA2">
          <w:rPr>
            <w:rStyle w:val="Hyperlink"/>
            <w:color w:val="000000" w:themeColor="text1"/>
            <w:sz w:val="16"/>
            <w:szCs w:val="16"/>
          </w:rPr>
          <w:t>https://www.hrw.org/news/2018/06/01/q-pretrial-incarceration-bail-and-profile-based-risk-assessment-united-states</w:t>
        </w:r>
      </w:hyperlink>
      <w:r w:rsidRPr="00201DA2">
        <w:rPr>
          <w:color w:val="000000" w:themeColor="text1"/>
          <w:sz w:val="16"/>
          <w:szCs w:val="16"/>
        </w:rPr>
        <w:t xml:space="preserve">. </w:t>
      </w:r>
    </w:p>
  </w:footnote>
  <w:footnote w:id="47">
    <w:p w14:paraId="551BB8F4" w14:textId="47856419"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John Raphling (Human Rights Watch) and Pete White, “California's new money bail reform won't actually reform an unjust system,” Op-ed, </w:t>
      </w:r>
      <w:r w:rsidRPr="00201DA2">
        <w:rPr>
          <w:i/>
          <w:color w:val="000000" w:themeColor="text1"/>
          <w:sz w:val="16"/>
          <w:szCs w:val="16"/>
        </w:rPr>
        <w:t>Los Angeles Times</w:t>
      </w:r>
      <w:r w:rsidRPr="00201DA2">
        <w:rPr>
          <w:color w:val="000000" w:themeColor="text1"/>
          <w:sz w:val="16"/>
          <w:szCs w:val="16"/>
        </w:rPr>
        <w:t xml:space="preserve">, September 5, 2018, https://www.hrw.org/news/2018/09/05/californias-new-money-bail-reform-wont-actually-reform-unjust-system. </w:t>
      </w:r>
    </w:p>
  </w:footnote>
  <w:footnote w:id="48">
    <w:p w14:paraId="5125A010" w14:textId="3AC8506E"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John Raphling (Human Rights Watch), “California Ended Cash Bail—but May Have Replaced It With Something Even Worse,” Op-ed, </w:t>
      </w:r>
      <w:r w:rsidRPr="00201DA2">
        <w:rPr>
          <w:i/>
          <w:color w:val="000000" w:themeColor="text1"/>
          <w:sz w:val="16"/>
          <w:szCs w:val="16"/>
        </w:rPr>
        <w:t>The Nation</w:t>
      </w:r>
      <w:r w:rsidRPr="00201DA2">
        <w:rPr>
          <w:color w:val="000000" w:themeColor="text1"/>
          <w:sz w:val="16"/>
          <w:szCs w:val="16"/>
        </w:rPr>
        <w:t xml:space="preserve">, September 24, 2018, https://www.hrw.org/news/2018/09/24/california-ended-cash-bail-may-have-replaced-it-something-even-worse. </w:t>
      </w:r>
    </w:p>
  </w:footnote>
  <w:footnote w:id="49">
    <w:p w14:paraId="760F37AF" w14:textId="79001621"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“Q &amp; A: Profile Based Risk Assessment for US Pretrial Incarceration, Release Decisions,” Human Rights Watch news release, June 1, 2018, </w:t>
      </w:r>
      <w:hyperlink r:id="rId34" w:history="1">
        <w:r w:rsidRPr="00201DA2">
          <w:rPr>
            <w:rStyle w:val="Hyperlink"/>
            <w:color w:val="000000" w:themeColor="text1"/>
            <w:sz w:val="16"/>
            <w:szCs w:val="16"/>
          </w:rPr>
          <w:t>https://www.hrw.org/news/2018/06/01/q-profile-based-risk-assessment-us-pretrial-incarceration-release-decisions</w:t>
        </w:r>
      </w:hyperlink>
      <w:r w:rsidRPr="00201DA2">
        <w:rPr>
          <w:color w:val="000000" w:themeColor="text1"/>
          <w:sz w:val="16"/>
          <w:szCs w:val="16"/>
        </w:rPr>
        <w:t>.</w:t>
      </w:r>
    </w:p>
  </w:footnote>
  <w:footnote w:id="50">
    <w:p w14:paraId="26FBAD87" w14:textId="135DE64E"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US Department of Justice, Civil Rights Division, “Investigation of the Ferguson Police Department,” March 4, 2015, </w:t>
      </w:r>
      <w:hyperlink r:id="rId35" w:history="1">
        <w:r w:rsidRPr="00201DA2">
          <w:rPr>
            <w:rStyle w:val="Hyperlink"/>
            <w:color w:val="000000" w:themeColor="text1"/>
            <w:sz w:val="16"/>
            <w:szCs w:val="16"/>
          </w:rPr>
          <w:t>https://www.justice.gov/sites/default/files/opa/press-releases/attachments/2015/03/04/ferguson_police_department_report.pdf</w:t>
        </w:r>
      </w:hyperlink>
      <w:r w:rsidRPr="00201DA2">
        <w:rPr>
          <w:color w:val="000000" w:themeColor="text1"/>
          <w:sz w:val="16"/>
          <w:szCs w:val="16"/>
        </w:rPr>
        <w:t xml:space="preserve"> (accessed January 11, 2019). </w:t>
      </w:r>
    </w:p>
  </w:footnote>
  <w:footnote w:id="51">
    <w:p w14:paraId="10519EEA" w14:textId="30402875"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Human Rights Watch, </w:t>
      </w:r>
      <w:r w:rsidRPr="00201DA2">
        <w:rPr>
          <w:i/>
          <w:color w:val="000000" w:themeColor="text1"/>
          <w:sz w:val="16"/>
          <w:szCs w:val="16"/>
        </w:rPr>
        <w:t>Set Up to Fail: The Impact of Offender-Funded Private Probation on the Poor</w:t>
      </w:r>
      <w:r w:rsidRPr="00201DA2">
        <w:rPr>
          <w:color w:val="000000" w:themeColor="text1"/>
          <w:sz w:val="16"/>
          <w:szCs w:val="16"/>
        </w:rPr>
        <w:t xml:space="preserve">, February 20, 2018, </w:t>
      </w:r>
      <w:hyperlink r:id="rId36" w:history="1">
        <w:r w:rsidRPr="00201DA2">
          <w:rPr>
            <w:rStyle w:val="Hyperlink"/>
            <w:color w:val="000000" w:themeColor="text1"/>
            <w:sz w:val="16"/>
            <w:szCs w:val="16"/>
          </w:rPr>
          <w:t>https://www.hrw.org/report/2018/02/20/set-fail/impact-offender-funded-private-probation-poor#</w:t>
        </w:r>
      </w:hyperlink>
      <w:r w:rsidRPr="00201DA2">
        <w:rPr>
          <w:color w:val="000000" w:themeColor="text1"/>
          <w:sz w:val="16"/>
          <w:szCs w:val="16"/>
        </w:rPr>
        <w:t xml:space="preserve">. </w:t>
      </w:r>
    </w:p>
  </w:footnote>
  <w:footnote w:id="52">
    <w:p w14:paraId="59AFE580" w14:textId="7CC57804" w:rsidR="00FB0CCE" w:rsidRPr="00201DA2" w:rsidRDefault="00FB0CCE" w:rsidP="003D5695">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UN Commission on Human Rights, Report of the Special Rapporteur on extreme poverty and human rights on his mission to the United States of America, Philip Alston, Visit to United States of America, A/HRC/38/33/Add.1, May 4, 2018, https://digitallibrary.un.org/record/1629536?ln=en</w:t>
      </w:r>
      <w:r w:rsidRPr="00201DA2" w:rsidDel="00911AF0">
        <w:rPr>
          <w:color w:val="000000" w:themeColor="text1"/>
          <w:sz w:val="16"/>
          <w:szCs w:val="16"/>
        </w:rPr>
        <w:t xml:space="preserve"> </w:t>
      </w:r>
      <w:r w:rsidRPr="00201DA2">
        <w:rPr>
          <w:color w:val="000000" w:themeColor="text1"/>
          <w:sz w:val="16"/>
          <w:szCs w:val="16"/>
        </w:rPr>
        <w:t xml:space="preserve">(accessed January 1, 2019). </w:t>
      </w:r>
    </w:p>
  </w:footnote>
  <w:footnote w:id="53">
    <w:p w14:paraId="07905013" w14:textId="09FA5ADB"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“US: Separated Families Report Trauma, Lies, Coercion,” Human Rights Watch news release, July 26, 2018 </w:t>
      </w:r>
      <w:hyperlink r:id="rId37" w:history="1">
        <w:r w:rsidRPr="00201DA2">
          <w:rPr>
            <w:rStyle w:val="Hyperlink"/>
            <w:color w:val="000000" w:themeColor="text1"/>
            <w:sz w:val="16"/>
            <w:szCs w:val="16"/>
          </w:rPr>
          <w:t>https://www.hrw.org/news/2018/07/26/us-separated-families-report-trauma-lies-coercion</w:t>
        </w:r>
      </w:hyperlink>
      <w:r w:rsidRPr="00201DA2">
        <w:rPr>
          <w:color w:val="000000" w:themeColor="text1"/>
          <w:sz w:val="16"/>
          <w:szCs w:val="16"/>
        </w:rPr>
        <w:t xml:space="preserve">. </w:t>
      </w:r>
    </w:p>
  </w:footnote>
  <w:footnote w:id="54">
    <w:p w14:paraId="1346C3F4" w14:textId="0AA3399A"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“US: Deported Parents’ Agonizing Wait,” Human Rights Watch news release, September 5, 2018, </w:t>
      </w:r>
      <w:hyperlink r:id="rId38" w:history="1">
        <w:r w:rsidRPr="00201DA2">
          <w:rPr>
            <w:rStyle w:val="Hyperlink"/>
            <w:color w:val="000000" w:themeColor="text1"/>
            <w:sz w:val="16"/>
            <w:szCs w:val="16"/>
          </w:rPr>
          <w:t>https://www.hrw.org/news/2018/09/05/us-deported-parents-agonizing-wait</w:t>
        </w:r>
      </w:hyperlink>
      <w:r w:rsidRPr="00201DA2">
        <w:rPr>
          <w:color w:val="000000" w:themeColor="text1"/>
          <w:sz w:val="16"/>
          <w:szCs w:val="16"/>
        </w:rPr>
        <w:t>.</w:t>
      </w:r>
    </w:p>
  </w:footnote>
  <w:footnote w:id="55">
    <w:p w14:paraId="1E924A25" w14:textId="29F68635"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Ginger Thompson, “Families Are Still Being Separated at the Border, Months After “Zero Tolerance” Was Reversed,” </w:t>
      </w:r>
      <w:r w:rsidRPr="00201DA2">
        <w:rPr>
          <w:i/>
          <w:color w:val="000000" w:themeColor="text1"/>
          <w:sz w:val="16"/>
          <w:szCs w:val="16"/>
        </w:rPr>
        <w:t>ProPublica</w:t>
      </w:r>
      <w:r w:rsidRPr="00201DA2">
        <w:rPr>
          <w:color w:val="000000" w:themeColor="text1"/>
          <w:sz w:val="16"/>
          <w:szCs w:val="16"/>
        </w:rPr>
        <w:t>, November 27, 2018, https://www.propublica.org/article/border-patrol-families-still-being-separated-at-border-after-zero-tolerance-immigration-policy-reversed (accessed January 5, 2019).</w:t>
      </w:r>
    </w:p>
  </w:footnote>
  <w:footnote w:id="56">
    <w:p w14:paraId="4A9611E8" w14:textId="7201FBF5"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Martin Teicher, “Childhood trauma and the enduring consequences of forcibly separating children from parents at the United States border,” </w:t>
      </w:r>
      <w:r w:rsidRPr="00201DA2">
        <w:rPr>
          <w:i/>
          <w:color w:val="000000" w:themeColor="text1"/>
          <w:sz w:val="16"/>
          <w:szCs w:val="16"/>
        </w:rPr>
        <w:t xml:space="preserve">BMC Med </w:t>
      </w:r>
      <w:r w:rsidRPr="00201DA2">
        <w:rPr>
          <w:color w:val="000000" w:themeColor="text1"/>
          <w:sz w:val="16"/>
          <w:szCs w:val="16"/>
        </w:rPr>
        <w:t xml:space="preserve">16 (2018): 146, accessed January 11, 2019, doi:10.1186/s12916-018-1147-y; Colleen Kraft, “Separating parents from their kids at the border contradicts everything we know about children's welfare,” </w:t>
      </w:r>
      <w:r w:rsidRPr="00201DA2">
        <w:rPr>
          <w:i/>
          <w:color w:val="000000" w:themeColor="text1"/>
          <w:sz w:val="16"/>
          <w:szCs w:val="16"/>
        </w:rPr>
        <w:t>Los Angeles Times</w:t>
      </w:r>
      <w:r w:rsidRPr="00201DA2">
        <w:rPr>
          <w:color w:val="000000" w:themeColor="text1"/>
          <w:sz w:val="16"/>
          <w:szCs w:val="16"/>
        </w:rPr>
        <w:t>, May 3, 2018, https://www.latimes.com/opinion/op-ed/la-oe-kraft-border-separation-suit-20180503-story.html (January 5, 2019).</w:t>
      </w:r>
    </w:p>
  </w:footnote>
  <w:footnote w:id="57">
    <w:p w14:paraId="50B69C80" w14:textId="51538B93"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“US: Deported Parents’ Agonizing Wait,” Human Rights Watch news release, September 5, 2018, </w:t>
      </w:r>
      <w:hyperlink r:id="rId39" w:history="1">
        <w:r w:rsidRPr="00201DA2">
          <w:rPr>
            <w:rStyle w:val="Hyperlink"/>
            <w:color w:val="000000" w:themeColor="text1"/>
            <w:sz w:val="16"/>
            <w:szCs w:val="16"/>
          </w:rPr>
          <w:t>https://www.hrw.org/news/2018/09/05/us-deported-parents-agonizing-wait</w:t>
        </w:r>
      </w:hyperlink>
      <w:r w:rsidRPr="00201DA2">
        <w:rPr>
          <w:color w:val="000000" w:themeColor="text1"/>
          <w:sz w:val="16"/>
          <w:szCs w:val="16"/>
        </w:rPr>
        <w:t xml:space="preserve">. </w:t>
      </w:r>
    </w:p>
  </w:footnote>
  <w:footnote w:id="58">
    <w:p w14:paraId="2BB2E1DA" w14:textId="71876370"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“US Rolls Back Protections for Asylum Seekers, Again,” Human Rights Watch news release, June 13, 2018, </w:t>
      </w:r>
      <w:hyperlink r:id="rId40" w:history="1">
        <w:r w:rsidRPr="00201DA2">
          <w:rPr>
            <w:rStyle w:val="Hyperlink"/>
            <w:color w:val="000000" w:themeColor="text1"/>
            <w:sz w:val="16"/>
            <w:szCs w:val="16"/>
          </w:rPr>
          <w:t>https://www.hrw.org/news/2018/06/13/us-rolls-back-protections-asylum-seekers-again</w:t>
        </w:r>
      </w:hyperlink>
      <w:r w:rsidRPr="00201DA2">
        <w:rPr>
          <w:color w:val="000000" w:themeColor="text1"/>
          <w:sz w:val="16"/>
          <w:szCs w:val="16"/>
        </w:rPr>
        <w:t>.</w:t>
      </w:r>
    </w:p>
  </w:footnote>
  <w:footnote w:id="59">
    <w:p w14:paraId="04D12A99" w14:textId="70886233" w:rsidR="00FB0CCE" w:rsidRPr="00201DA2" w:rsidRDefault="00FB0CCE" w:rsidP="00D2326D">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“US: Proposed Asylum Regulation Violates Law,” Human Rights Watch news release, November 8, 2018, </w:t>
      </w:r>
      <w:hyperlink r:id="rId41" w:history="1">
        <w:r w:rsidRPr="00201DA2">
          <w:rPr>
            <w:rStyle w:val="Hyperlink"/>
            <w:color w:val="000000" w:themeColor="text1"/>
            <w:sz w:val="16"/>
            <w:szCs w:val="16"/>
          </w:rPr>
          <w:t>https://www.hrw.org/news/2018/11/08/us-proposed-asylum-regulation-violates-law</w:t>
        </w:r>
      </w:hyperlink>
      <w:r w:rsidRPr="00201DA2">
        <w:rPr>
          <w:color w:val="000000" w:themeColor="text1"/>
          <w:sz w:val="16"/>
          <w:szCs w:val="16"/>
        </w:rPr>
        <w:t>.</w:t>
      </w:r>
    </w:p>
  </w:footnote>
  <w:footnote w:id="60">
    <w:p w14:paraId="6BA1EE82" w14:textId="744753CE"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Emily Sullivan, “Federal Court Blocks Trump Administration's Asylum Ban,” </w:t>
      </w:r>
      <w:r w:rsidRPr="00201DA2">
        <w:rPr>
          <w:i/>
          <w:color w:val="000000" w:themeColor="text1"/>
          <w:sz w:val="16"/>
          <w:szCs w:val="16"/>
        </w:rPr>
        <w:t>National Public Radio</w:t>
      </w:r>
      <w:r w:rsidRPr="00201DA2">
        <w:rPr>
          <w:color w:val="000000" w:themeColor="text1"/>
          <w:sz w:val="16"/>
          <w:szCs w:val="16"/>
        </w:rPr>
        <w:t xml:space="preserve">, November 20, 2018, </w:t>
      </w:r>
      <w:hyperlink r:id="rId42" w:history="1">
        <w:r w:rsidRPr="00201DA2">
          <w:rPr>
            <w:rStyle w:val="Hyperlink"/>
            <w:color w:val="000000" w:themeColor="text1"/>
            <w:sz w:val="16"/>
            <w:szCs w:val="16"/>
          </w:rPr>
          <w:t>https://www.npr.org/2018/11/20/669471110/federal-court-blocks-trump-administrations-asylum-ban</w:t>
        </w:r>
      </w:hyperlink>
      <w:r w:rsidRPr="00201DA2">
        <w:rPr>
          <w:color w:val="000000" w:themeColor="text1"/>
          <w:sz w:val="16"/>
          <w:szCs w:val="16"/>
        </w:rPr>
        <w:t xml:space="preserve"> (accessed January 5, 2019).</w:t>
      </w:r>
    </w:p>
  </w:footnote>
  <w:footnote w:id="61">
    <w:p w14:paraId="623311B5" w14:textId="2C555356"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Jonathan Pedneault, “A Peaceful Demonstration Turns Ugly at the US Border,” commentary, Human Rights Watch Dispatch, November 26, 2018, </w:t>
      </w:r>
      <w:hyperlink r:id="rId43" w:history="1">
        <w:r w:rsidRPr="00201DA2">
          <w:rPr>
            <w:rStyle w:val="Hyperlink"/>
            <w:color w:val="000000" w:themeColor="text1"/>
            <w:sz w:val="16"/>
            <w:szCs w:val="16"/>
          </w:rPr>
          <w:t>https://www.hrw.org/news/2018/11/26/peaceful-demonstration-turns-ugly-us-border</w:t>
        </w:r>
      </w:hyperlink>
      <w:r w:rsidRPr="00201DA2">
        <w:rPr>
          <w:color w:val="000000" w:themeColor="text1"/>
          <w:sz w:val="16"/>
          <w:szCs w:val="16"/>
        </w:rPr>
        <w:t>.</w:t>
      </w:r>
    </w:p>
  </w:footnote>
  <w:footnote w:id="62">
    <w:p w14:paraId="1143A971" w14:textId="606AD3D2" w:rsidR="00FB0CCE" w:rsidRPr="00201DA2" w:rsidRDefault="00FB0CCE" w:rsidP="00CE14D6">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Adam Liptak and Michael D. Shear, “Trump’s Travel Ban is Upheld by the Supreme Court,” </w:t>
      </w:r>
      <w:r w:rsidRPr="00201DA2">
        <w:rPr>
          <w:i/>
          <w:color w:val="000000" w:themeColor="text1"/>
          <w:sz w:val="16"/>
          <w:szCs w:val="16"/>
        </w:rPr>
        <w:t>New York Times</w:t>
      </w:r>
      <w:r w:rsidRPr="00201DA2">
        <w:rPr>
          <w:color w:val="000000" w:themeColor="text1"/>
          <w:sz w:val="16"/>
          <w:szCs w:val="16"/>
        </w:rPr>
        <w:t xml:space="preserve">, June 26, 2018, </w:t>
      </w:r>
      <w:hyperlink r:id="rId44" w:history="1">
        <w:r w:rsidRPr="00201DA2">
          <w:rPr>
            <w:rStyle w:val="Hyperlink"/>
            <w:color w:val="000000" w:themeColor="text1"/>
            <w:sz w:val="16"/>
            <w:szCs w:val="16"/>
          </w:rPr>
          <w:t>https://www.nytimes.com/2018/06/26/us/politics/supreme-court-trump-travel-ban.html</w:t>
        </w:r>
      </w:hyperlink>
      <w:r w:rsidRPr="00201DA2">
        <w:rPr>
          <w:color w:val="000000" w:themeColor="text1"/>
          <w:sz w:val="16"/>
          <w:szCs w:val="16"/>
        </w:rPr>
        <w:t xml:space="preserve"> (accessed January 5, 2019); Caroline Kelly, Ariane de Vogue, and Dan Berman, “Supreme Court upholds block on Trump's asylum ban,” </w:t>
      </w:r>
      <w:r w:rsidRPr="00201DA2">
        <w:rPr>
          <w:i/>
          <w:color w:val="000000" w:themeColor="text1"/>
          <w:sz w:val="16"/>
          <w:szCs w:val="16"/>
        </w:rPr>
        <w:t>CNN</w:t>
      </w:r>
      <w:r w:rsidRPr="00201DA2">
        <w:rPr>
          <w:color w:val="000000" w:themeColor="text1"/>
          <w:sz w:val="16"/>
          <w:szCs w:val="16"/>
        </w:rPr>
        <w:t>, December 22, 2018,</w:t>
      </w:r>
    </w:p>
    <w:p w14:paraId="759EF5AC" w14:textId="7D4D075C" w:rsidR="00FB0CCE" w:rsidRPr="00201DA2" w:rsidRDefault="00FB0CCE" w:rsidP="00CE14D6">
      <w:pPr>
        <w:pStyle w:val="FootnoteText"/>
        <w:rPr>
          <w:color w:val="000000" w:themeColor="text1"/>
          <w:sz w:val="16"/>
          <w:szCs w:val="16"/>
        </w:rPr>
      </w:pPr>
      <w:r w:rsidRPr="00201DA2" w:rsidDel="00CE14D6">
        <w:rPr>
          <w:color w:val="000000" w:themeColor="text1"/>
          <w:sz w:val="16"/>
          <w:szCs w:val="16"/>
        </w:rPr>
        <w:t xml:space="preserve"> </w:t>
      </w:r>
      <w:r w:rsidRPr="00201DA2">
        <w:rPr>
          <w:color w:val="000000" w:themeColor="text1"/>
          <w:sz w:val="16"/>
          <w:szCs w:val="16"/>
        </w:rPr>
        <w:t>https://www.cnn.com/2018/12/21/politics/supreme-court-upholds-block-on-trumps-asylum-ban/index.html (accessed January 9, 2019).</w:t>
      </w:r>
    </w:p>
  </w:footnote>
  <w:footnote w:id="63">
    <w:p w14:paraId="569B87E6" w14:textId="402667C5"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Bill Frelick, “US Supreme Court Disregards Trumps Discriminatory Words to Uphold Travel Ban,” commentary, Human Rights Watch Dispatch, June 26, 2018, </w:t>
      </w:r>
      <w:hyperlink r:id="rId45" w:history="1">
        <w:r w:rsidRPr="00201DA2">
          <w:rPr>
            <w:rStyle w:val="Hyperlink"/>
            <w:color w:val="000000" w:themeColor="text1"/>
            <w:sz w:val="16"/>
            <w:szCs w:val="16"/>
          </w:rPr>
          <w:t>https://www.hrw.org/news/2018/06/26/us-supreme-court-disregards-trumps-discriminatory-words-uphold-travel-ban</w:t>
        </w:r>
      </w:hyperlink>
      <w:r w:rsidRPr="00201DA2">
        <w:rPr>
          <w:color w:val="000000" w:themeColor="text1"/>
          <w:sz w:val="16"/>
          <w:szCs w:val="16"/>
        </w:rPr>
        <w:t>.</w:t>
      </w:r>
    </w:p>
  </w:footnote>
  <w:footnote w:id="64">
    <w:p w14:paraId="09187144" w14:textId="55E67CC7"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“’Temporary’ US Status but Long-term US Lives,” Human Rights Watch news release, April 4, 2018, </w:t>
      </w:r>
      <w:hyperlink r:id="rId46" w:history="1">
        <w:r w:rsidRPr="00201DA2">
          <w:rPr>
            <w:rStyle w:val="Hyperlink"/>
            <w:color w:val="000000" w:themeColor="text1"/>
            <w:sz w:val="16"/>
            <w:szCs w:val="16"/>
          </w:rPr>
          <w:t>https://www.hrw.org/news/2018/04/04/temporary-status-long-term-us-lives</w:t>
        </w:r>
      </w:hyperlink>
      <w:r w:rsidRPr="00201DA2">
        <w:rPr>
          <w:color w:val="000000" w:themeColor="text1"/>
          <w:sz w:val="16"/>
          <w:szCs w:val="16"/>
        </w:rPr>
        <w:t>.</w:t>
      </w:r>
    </w:p>
  </w:footnote>
  <w:footnote w:id="65">
    <w:p w14:paraId="4AE9FCAC" w14:textId="71442380"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Grace Meng, “Trump’s Zero Tolerance Approach Goes Beyond Border,” commentary, Human Rights Watch Dispatch, July 11, 2018, </w:t>
      </w:r>
      <w:hyperlink r:id="rId47" w:history="1">
        <w:r w:rsidRPr="00201DA2">
          <w:rPr>
            <w:rStyle w:val="Hyperlink"/>
            <w:color w:val="000000" w:themeColor="text1"/>
            <w:sz w:val="16"/>
            <w:szCs w:val="16"/>
          </w:rPr>
          <w:t>https://www.hrw.org/news/2018/07/11/trumps-zero-tolerance-approach-goes-beyond-border</w:t>
        </w:r>
      </w:hyperlink>
      <w:r w:rsidRPr="00201DA2">
        <w:rPr>
          <w:color w:val="000000" w:themeColor="text1"/>
          <w:sz w:val="16"/>
          <w:szCs w:val="16"/>
        </w:rPr>
        <w:t>.</w:t>
      </w:r>
    </w:p>
  </w:footnote>
  <w:footnote w:id="66">
    <w:p w14:paraId="48036A79" w14:textId="13EC5432"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“Comments on Proposed Rule Regarding Detention of Children,” Human Rights Watch news release, November 6, 2018, </w:t>
      </w:r>
      <w:hyperlink r:id="rId48" w:history="1">
        <w:r w:rsidRPr="00201DA2">
          <w:rPr>
            <w:rStyle w:val="Hyperlink"/>
            <w:color w:val="000000" w:themeColor="text1"/>
            <w:sz w:val="16"/>
            <w:szCs w:val="16"/>
          </w:rPr>
          <w:t>https://www.hrw.org/news/2018/11/06/human-rights-watch-submits-comments-proposed-rule-regarding-detention-children-and</w:t>
        </w:r>
      </w:hyperlink>
      <w:r w:rsidRPr="00201DA2">
        <w:rPr>
          <w:color w:val="000000" w:themeColor="text1"/>
          <w:sz w:val="16"/>
          <w:szCs w:val="16"/>
        </w:rPr>
        <w:t>.</w:t>
      </w:r>
    </w:p>
  </w:footnote>
  <w:footnote w:id="67">
    <w:p w14:paraId="1727A8DA" w14:textId="2B1D184C"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Human Rights Watch, </w:t>
      </w:r>
      <w:r w:rsidRPr="00201DA2">
        <w:rPr>
          <w:i/>
          <w:color w:val="000000" w:themeColor="text1"/>
          <w:sz w:val="16"/>
          <w:szCs w:val="16"/>
        </w:rPr>
        <w:t>Code Red: Fatal Consequences of Dangerously Substandard Medical Care in Immigration Detention</w:t>
      </w:r>
      <w:r w:rsidRPr="00201DA2">
        <w:rPr>
          <w:color w:val="000000" w:themeColor="text1"/>
          <w:sz w:val="16"/>
          <w:szCs w:val="16"/>
        </w:rPr>
        <w:t xml:space="preserve">, June 20, 2018, </w:t>
      </w:r>
      <w:hyperlink r:id="rId49" w:history="1">
        <w:r w:rsidRPr="00201DA2">
          <w:rPr>
            <w:rStyle w:val="Hyperlink"/>
            <w:color w:val="000000" w:themeColor="text1"/>
            <w:sz w:val="16"/>
            <w:szCs w:val="16"/>
          </w:rPr>
          <w:t>https://www.hrw.org/report/2018/06/20/code-red/fatal-consequences-dangerously-substandard-medical-care-immigration</w:t>
        </w:r>
      </w:hyperlink>
      <w:r w:rsidRPr="00201DA2">
        <w:rPr>
          <w:color w:val="000000" w:themeColor="text1"/>
          <w:sz w:val="16"/>
          <w:szCs w:val="16"/>
        </w:rPr>
        <w:t>.</w:t>
      </w:r>
    </w:p>
  </w:footnote>
  <w:footnote w:id="68">
    <w:p w14:paraId="763C243D" w14:textId="6CB6DC20"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Henry J. Kaiser Family Foundation, “Fact Sheet: Proposed Changes to Public Charge Policies for Immigrants: Implications for Health Coverage,” September 24, 2018, </w:t>
      </w:r>
      <w:hyperlink r:id="rId50" w:history="1">
        <w:r w:rsidRPr="00201DA2">
          <w:rPr>
            <w:rStyle w:val="Hyperlink"/>
            <w:color w:val="000000" w:themeColor="text1"/>
            <w:sz w:val="16"/>
            <w:szCs w:val="16"/>
          </w:rPr>
          <w:t>https://www.kff.org/disparities-policy/fact-sheet/proposed-changes-to-public-charge-policies-for-immigrants-implications-for-health-coverage/</w:t>
        </w:r>
      </w:hyperlink>
      <w:r w:rsidRPr="00201DA2">
        <w:rPr>
          <w:color w:val="000000" w:themeColor="text1"/>
          <w:sz w:val="16"/>
          <w:szCs w:val="16"/>
        </w:rPr>
        <w:t xml:space="preserve"> (January 5, 2019).</w:t>
      </w:r>
    </w:p>
  </w:footnote>
  <w:footnote w:id="69">
    <w:p w14:paraId="63A2FED4" w14:textId="5103CE64" w:rsidR="00FB0CCE" w:rsidRPr="00201DA2" w:rsidRDefault="00FB0CCE" w:rsidP="00DC2FF6">
      <w:pPr>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Atenas Burrola, “US Rolls Back Protections for Asylum Seekers, Again,” commentary, Human Rights Watch Dispatch, June 13, 2018, </w:t>
      </w:r>
      <w:hyperlink r:id="rId51" w:history="1">
        <w:r w:rsidRPr="00201DA2">
          <w:rPr>
            <w:rStyle w:val="Hyperlink"/>
            <w:color w:val="000000" w:themeColor="text1"/>
            <w:sz w:val="16"/>
            <w:szCs w:val="16"/>
          </w:rPr>
          <w:t>https://www.hrw.org/news/2018/06/13/us-rolls-back-protections-asylum-seekers-again</w:t>
        </w:r>
      </w:hyperlink>
      <w:r w:rsidRPr="00201DA2">
        <w:rPr>
          <w:color w:val="000000" w:themeColor="text1"/>
          <w:sz w:val="16"/>
          <w:szCs w:val="16"/>
        </w:rPr>
        <w:t>.</w:t>
      </w:r>
    </w:p>
  </w:footnote>
  <w:footnote w:id="70">
    <w:p w14:paraId="0DE4EB46" w14:textId="5181C413"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“US: Don’t Return Asylum Seekers to Mexico,” Human Rights Watch news release, December 21, 2018, </w:t>
      </w:r>
      <w:hyperlink r:id="rId52" w:history="1">
        <w:r w:rsidRPr="00201DA2">
          <w:rPr>
            <w:rStyle w:val="Hyperlink"/>
            <w:color w:val="000000" w:themeColor="text1"/>
            <w:sz w:val="16"/>
            <w:szCs w:val="16"/>
          </w:rPr>
          <w:t>https://www.hrw.org/news/2018/12/21/us-dont-return-asylum-seekers-mexico</w:t>
        </w:r>
      </w:hyperlink>
      <w:r w:rsidRPr="00201DA2">
        <w:rPr>
          <w:color w:val="000000" w:themeColor="text1"/>
          <w:sz w:val="16"/>
          <w:szCs w:val="16"/>
        </w:rPr>
        <w:t>.</w:t>
      </w:r>
    </w:p>
  </w:footnote>
  <w:footnote w:id="71">
    <w:p w14:paraId="04F96FAF" w14:textId="14EF3F28" w:rsidR="00FB0CCE" w:rsidRPr="00201DA2" w:rsidRDefault="00FB0CCE" w:rsidP="000B7EF5">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w:t>
      </w:r>
      <w:r w:rsidRPr="00201DA2">
        <w:rPr>
          <w:color w:val="000000" w:themeColor="text1"/>
          <w:sz w:val="16"/>
          <w:szCs w:val="16"/>
          <w:shd w:val="clear" w:color="auto" w:fill="FFFFFF"/>
        </w:rPr>
        <w:t xml:space="preserve">UN Human Rights Committee, General Comment 15, The Position of Aliens Under the Covenant (Twenty-seventh session, 1986), </w:t>
      </w:r>
      <w:r w:rsidRPr="00201DA2">
        <w:rPr>
          <w:color w:val="000000" w:themeColor="text1"/>
          <w:sz w:val="16"/>
          <w:szCs w:val="16"/>
        </w:rPr>
        <w:t xml:space="preserve">Compilation of General Comments and General Recommendations Adopted by Human Rights Treaty Bodies, </w:t>
      </w:r>
      <w:r w:rsidRPr="00201DA2">
        <w:rPr>
          <w:bCs/>
          <w:color w:val="000000" w:themeColor="text1"/>
          <w:sz w:val="16"/>
          <w:szCs w:val="16"/>
        </w:rPr>
        <w:t>UN Doc</w:t>
      </w:r>
      <w:r w:rsidRPr="00201DA2">
        <w:rPr>
          <w:color w:val="000000" w:themeColor="text1"/>
          <w:sz w:val="16"/>
          <w:szCs w:val="16"/>
        </w:rPr>
        <w:t>. HRI/GEN/1/Rev.1 at 18 (1994),</w:t>
      </w:r>
      <w:r w:rsidRPr="00201DA2">
        <w:rPr>
          <w:color w:val="000000" w:themeColor="text1"/>
          <w:sz w:val="16"/>
          <w:szCs w:val="16"/>
          <w:shd w:val="clear" w:color="auto" w:fill="FFFFFF"/>
        </w:rPr>
        <w:t xml:space="preserve"> paras. 5 and 7.</w:t>
      </w:r>
    </w:p>
  </w:footnote>
  <w:footnote w:id="72">
    <w:p w14:paraId="1482D903" w14:textId="78CB26E2" w:rsidR="00FB0CCE" w:rsidRPr="00201DA2" w:rsidRDefault="00FB0CCE" w:rsidP="00CB5C23">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w:t>
      </w:r>
      <w:r w:rsidRPr="00201DA2">
        <w:rPr>
          <w:color w:val="000000" w:themeColor="text1"/>
          <w:sz w:val="16"/>
          <w:szCs w:val="16"/>
          <w:shd w:val="clear" w:color="auto" w:fill="FFFFFF"/>
        </w:rPr>
        <w:t xml:space="preserve">UN Human Rights Committee, General Comment 19, Article 23 (The Family) Protection of the Family, the Right to Marriage and Equality of the Spouses (Thirty-ninth session, 1990), </w:t>
      </w:r>
      <w:r w:rsidRPr="00201DA2">
        <w:rPr>
          <w:color w:val="000000" w:themeColor="text1"/>
          <w:sz w:val="16"/>
          <w:szCs w:val="16"/>
        </w:rPr>
        <w:t>Compilation of General Comments and General Recommendations Adopted by Human Rights Treaty Bodies,</w:t>
      </w:r>
      <w:r w:rsidRPr="00201DA2">
        <w:rPr>
          <w:color w:val="000000" w:themeColor="text1"/>
          <w:sz w:val="16"/>
          <w:szCs w:val="16"/>
          <w:shd w:val="clear" w:color="auto" w:fill="FFFFFF"/>
        </w:rPr>
        <w:t xml:space="preserve"> UN Doc. HRI/GEN/1/Rev.6 at 149 (2003), para. 5.</w:t>
      </w:r>
    </w:p>
  </w:footnote>
  <w:footnote w:id="73">
    <w:p w14:paraId="5F955994" w14:textId="6E284C79"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w:t>
      </w:r>
      <w:r w:rsidRPr="00201DA2">
        <w:rPr>
          <w:i/>
          <w:iCs/>
          <w:color w:val="000000" w:themeColor="text1"/>
          <w:sz w:val="16"/>
          <w:szCs w:val="16"/>
          <w:shd w:val="clear" w:color="auto" w:fill="FFFFFF"/>
        </w:rPr>
        <w:t>Winata v. Australia</w:t>
      </w:r>
      <w:r w:rsidRPr="00201DA2">
        <w:rPr>
          <w:color w:val="000000" w:themeColor="text1"/>
          <w:sz w:val="16"/>
          <w:szCs w:val="16"/>
          <w:shd w:val="clear" w:color="auto" w:fill="FFFFFF"/>
        </w:rPr>
        <w:t>, Communication No. 930/2000, UN Doc. CCPR/C/72/D/930/2000 (2001).</w:t>
      </w:r>
    </w:p>
  </w:footnote>
  <w:footnote w:id="74">
    <w:p w14:paraId="6AEB08B6" w14:textId="249F9753" w:rsidR="00FB0CCE" w:rsidRPr="00201DA2" w:rsidRDefault="00FB0CCE" w:rsidP="00CB5C23">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w:t>
      </w:r>
      <w:r w:rsidRPr="00201DA2">
        <w:rPr>
          <w:color w:val="000000" w:themeColor="text1"/>
          <w:sz w:val="16"/>
          <w:szCs w:val="16"/>
          <w:shd w:val="clear" w:color="auto" w:fill="FFFFFF"/>
        </w:rPr>
        <w:t>See, for example, </w:t>
      </w:r>
      <w:r w:rsidRPr="00201DA2">
        <w:rPr>
          <w:i/>
          <w:iCs/>
          <w:color w:val="000000" w:themeColor="text1"/>
          <w:sz w:val="16"/>
          <w:szCs w:val="16"/>
          <w:shd w:val="clear" w:color="auto" w:fill="FFFFFF"/>
        </w:rPr>
        <w:t>Madaferri v. Australia</w:t>
      </w:r>
      <w:r w:rsidRPr="00201DA2">
        <w:rPr>
          <w:color w:val="000000" w:themeColor="text1"/>
          <w:sz w:val="16"/>
          <w:szCs w:val="16"/>
          <w:shd w:val="clear" w:color="auto" w:fill="FFFFFF"/>
        </w:rPr>
        <w:t xml:space="preserve">, Communication No. 1011/2001, UN Doc. CCPR/C/81/D/1011/2001 (2004). See, also, </w:t>
      </w:r>
      <w:r w:rsidRPr="00201DA2">
        <w:rPr>
          <w:i/>
          <w:color w:val="000000" w:themeColor="text1"/>
          <w:sz w:val="16"/>
          <w:szCs w:val="16"/>
          <w:shd w:val="clear" w:color="auto" w:fill="FFFFFF"/>
        </w:rPr>
        <w:t>Husseini v. Denmark</w:t>
      </w:r>
      <w:r w:rsidRPr="00201DA2">
        <w:rPr>
          <w:color w:val="000000" w:themeColor="text1"/>
          <w:sz w:val="16"/>
          <w:szCs w:val="16"/>
          <w:shd w:val="clear" w:color="auto" w:fill="FFFFFF"/>
        </w:rPr>
        <w:t xml:space="preserve">, Communication No. 2243/2013, UN Doc. CCPR/C/112/D/2243/2013 (2014); </w:t>
      </w:r>
      <w:r w:rsidRPr="00201DA2">
        <w:rPr>
          <w:i/>
          <w:color w:val="000000" w:themeColor="text1"/>
          <w:sz w:val="16"/>
          <w:szCs w:val="16"/>
          <w:shd w:val="clear" w:color="auto" w:fill="FFFFFF"/>
        </w:rPr>
        <w:t>MGC v. Australia</w:t>
      </w:r>
      <w:r w:rsidRPr="00201DA2">
        <w:rPr>
          <w:color w:val="000000" w:themeColor="text1"/>
          <w:sz w:val="16"/>
          <w:szCs w:val="16"/>
          <w:shd w:val="clear" w:color="auto" w:fill="FFFFFF"/>
        </w:rPr>
        <w:t>, Communication No. 1875/2009, UN Doc. CCPR/C/113/D/1875/2009 (2015).</w:t>
      </w:r>
    </w:p>
  </w:footnote>
  <w:footnote w:id="75">
    <w:p w14:paraId="55BA2746" w14:textId="77777777" w:rsidR="00FB0CCE" w:rsidRPr="00201DA2" w:rsidRDefault="00FB0CCE" w:rsidP="00CB5C23">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w:t>
      </w:r>
      <w:r w:rsidRPr="00201DA2">
        <w:rPr>
          <w:color w:val="000000" w:themeColor="text1"/>
          <w:sz w:val="16"/>
          <w:szCs w:val="16"/>
          <w:shd w:val="clear" w:color="auto" w:fill="FFFFFF"/>
        </w:rPr>
        <w:t>UN Office of the High Commissioner for Human Rights (OHCHR), The Rights of Non-Citizens, 2006, HR/PUB/06/11, http://www.refworld.org/docid/46ceabb22.html (accessed 3 December 2017).</w:t>
      </w:r>
    </w:p>
  </w:footnote>
  <w:footnote w:id="76">
    <w:p w14:paraId="61819DB1" w14:textId="4B013A3D" w:rsidR="00FB0CCE" w:rsidRPr="00201DA2" w:rsidRDefault="00FB0CCE" w:rsidP="00CB5C23">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UN Human Rights Committee, General Comment 27, Article 12 (Freedom of Movement) (Sixty-seventh session, 1999), Compilation of General Comments and General Recommendations Adopted by Human Rights Treaty Bodies, UN Doc. CCPR/C/21/Rev.1/Add.9 (1999), </w:t>
      </w:r>
      <w:r w:rsidRPr="00201DA2">
        <w:rPr>
          <w:color w:val="000000" w:themeColor="text1"/>
          <w:sz w:val="16"/>
          <w:szCs w:val="16"/>
          <w:shd w:val="clear" w:color="auto" w:fill="FFFFFF"/>
        </w:rPr>
        <w:t>para. 20.</w:t>
      </w:r>
    </w:p>
  </w:footnote>
  <w:footnote w:id="77">
    <w:p w14:paraId="448B7368" w14:textId="49864AA7" w:rsidR="00FB0CCE" w:rsidRPr="00201DA2" w:rsidRDefault="00FB0CCE" w:rsidP="00CB5C23">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w:t>
      </w:r>
      <w:r w:rsidRPr="00201DA2">
        <w:rPr>
          <w:color w:val="000000" w:themeColor="text1"/>
          <w:sz w:val="16"/>
          <w:szCs w:val="16"/>
          <w:shd w:val="clear" w:color="auto" w:fill="FFFFFF"/>
        </w:rPr>
        <w:t xml:space="preserve">UN Human Rights Committee, </w:t>
      </w:r>
      <w:r w:rsidRPr="00201DA2">
        <w:rPr>
          <w:i/>
          <w:color w:val="000000" w:themeColor="text1"/>
          <w:sz w:val="16"/>
          <w:szCs w:val="16"/>
          <w:shd w:val="clear" w:color="auto" w:fill="FFFFFF"/>
        </w:rPr>
        <w:t>Nystrom v. Australia</w:t>
      </w:r>
      <w:r w:rsidRPr="00201DA2">
        <w:rPr>
          <w:color w:val="000000" w:themeColor="text1"/>
          <w:sz w:val="16"/>
          <w:szCs w:val="16"/>
          <w:shd w:val="clear" w:color="auto" w:fill="FFFFFF"/>
        </w:rPr>
        <w:t xml:space="preserve">, Communication No. 1557/07, UN Doc. CCPR/C/102/D/1557/2007; UN Human Rights Committee, </w:t>
      </w:r>
      <w:r w:rsidRPr="00201DA2">
        <w:rPr>
          <w:i/>
          <w:color w:val="000000" w:themeColor="text1"/>
          <w:sz w:val="16"/>
          <w:szCs w:val="16"/>
          <w:shd w:val="clear" w:color="auto" w:fill="FFFFFF"/>
        </w:rPr>
        <w:t>Warsame v. Canada</w:t>
      </w:r>
      <w:r w:rsidRPr="00201DA2">
        <w:rPr>
          <w:color w:val="000000" w:themeColor="text1"/>
          <w:sz w:val="16"/>
          <w:szCs w:val="16"/>
          <w:shd w:val="clear" w:color="auto" w:fill="FFFFFF"/>
        </w:rPr>
        <w:t>, Communication No. 1959/10, UN Doc. CCPR/C/102/D/1959/2010 (2011).</w:t>
      </w:r>
    </w:p>
  </w:footnote>
  <w:footnote w:id="78">
    <w:p w14:paraId="01FE889D" w14:textId="2D0E5160"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w:t>
      </w:r>
      <w:r w:rsidRPr="00201DA2">
        <w:rPr>
          <w:color w:val="000000" w:themeColor="text1"/>
          <w:sz w:val="16"/>
          <w:szCs w:val="16"/>
          <w:shd w:val="clear" w:color="auto" w:fill="FFFFFF"/>
        </w:rPr>
        <w:t xml:space="preserve">UN Human Rights Committee, General Comment 16, Article 17 (Right to Privacy) The Right to Respect of Privacy, Family, Home and Correspondence, and Protection of Honour and Reputation (Thirty-second session, 1988), </w:t>
      </w:r>
      <w:r w:rsidRPr="00201DA2">
        <w:rPr>
          <w:color w:val="000000" w:themeColor="text1"/>
          <w:sz w:val="16"/>
          <w:szCs w:val="16"/>
        </w:rPr>
        <w:t>Compilation of General Comments and General Recommendations Adopted by Human Rights Treaty Bodies</w:t>
      </w:r>
      <w:r w:rsidRPr="00201DA2">
        <w:rPr>
          <w:color w:val="000000" w:themeColor="text1"/>
          <w:sz w:val="16"/>
          <w:szCs w:val="16"/>
          <w:shd w:val="clear" w:color="auto" w:fill="FFFFFF"/>
        </w:rPr>
        <w:t>, UN Doc. HRI/GEN/1/Rev.6 at 142 (1988), para. 5.</w:t>
      </w:r>
    </w:p>
  </w:footnote>
  <w:footnote w:id="79">
    <w:p w14:paraId="3E590D56" w14:textId="19549DCE"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UN Human Rights Committee, General Comment 31, </w:t>
      </w:r>
      <w:r w:rsidRPr="00201DA2">
        <w:rPr>
          <w:bCs/>
          <w:color w:val="000000" w:themeColor="text1"/>
          <w:sz w:val="16"/>
          <w:szCs w:val="16"/>
        </w:rPr>
        <w:t xml:space="preserve">The Nature of the General Legal Obligation Imposed on States Parties to the Covenant (Eightieth session, 2004), </w:t>
      </w:r>
      <w:r w:rsidRPr="00201DA2">
        <w:rPr>
          <w:color w:val="000000" w:themeColor="text1"/>
          <w:sz w:val="16"/>
          <w:szCs w:val="16"/>
        </w:rPr>
        <w:t>Compilation of General Comments and General Recommendations Adopted by Human Rights Treaty Bodies, UN Doc. CCPR/C/21/Rev.1/Add. 1326 (May 2004), para. 12.</w:t>
      </w:r>
    </w:p>
  </w:footnote>
  <w:footnote w:id="80">
    <w:p w14:paraId="29DA9B63" w14:textId="6F6723F0" w:rsidR="00FB0CCE" w:rsidRPr="00201DA2" w:rsidRDefault="00FB0CCE">
      <w:pPr>
        <w:pStyle w:val="FootnoteText"/>
        <w:rPr>
          <w:b/>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w:t>
      </w:r>
      <w:r w:rsidRPr="00201DA2">
        <w:rPr>
          <w:color w:val="000000" w:themeColor="text1"/>
          <w:sz w:val="16"/>
          <w:szCs w:val="16"/>
          <w:lang w:val="en-GB"/>
        </w:rPr>
        <w:t xml:space="preserve">Committee against Torture, General Comment 4, </w:t>
      </w:r>
      <w:r w:rsidRPr="00201DA2">
        <w:rPr>
          <w:color w:val="000000" w:themeColor="text1"/>
          <w:sz w:val="16"/>
          <w:szCs w:val="16"/>
        </w:rPr>
        <w:t>On the implementation of article 3 of the Convention in the context of article 22</w:t>
      </w:r>
      <w:r w:rsidRPr="00201DA2">
        <w:rPr>
          <w:color w:val="000000" w:themeColor="text1"/>
          <w:sz w:val="16"/>
          <w:szCs w:val="16"/>
        </w:rPr>
        <w:sym w:font="Symbol" w:char="F02A"/>
      </w:r>
      <w:r w:rsidRPr="00201DA2">
        <w:rPr>
          <w:color w:val="000000" w:themeColor="text1"/>
          <w:sz w:val="16"/>
          <w:szCs w:val="16"/>
        </w:rPr>
        <w:t>, UN Doc. CAT/C/GC/4</w:t>
      </w:r>
      <w:r w:rsidRPr="00201DA2">
        <w:rPr>
          <w:b/>
          <w:color w:val="000000" w:themeColor="text1"/>
          <w:sz w:val="16"/>
          <w:szCs w:val="16"/>
        </w:rPr>
        <w:t xml:space="preserve"> </w:t>
      </w:r>
      <w:r w:rsidRPr="00201DA2">
        <w:rPr>
          <w:color w:val="000000" w:themeColor="text1"/>
          <w:sz w:val="16"/>
          <w:szCs w:val="16"/>
        </w:rPr>
        <w:t>(2018)</w:t>
      </w:r>
      <w:r w:rsidRPr="00201DA2">
        <w:rPr>
          <w:b/>
          <w:color w:val="000000" w:themeColor="text1"/>
          <w:sz w:val="16"/>
          <w:szCs w:val="16"/>
        </w:rPr>
        <w:t xml:space="preserve">, </w:t>
      </w:r>
      <w:r w:rsidRPr="00201DA2">
        <w:rPr>
          <w:color w:val="000000" w:themeColor="text1"/>
          <w:sz w:val="16"/>
          <w:szCs w:val="16"/>
          <w:lang w:val="en-GB"/>
        </w:rPr>
        <w:t>para. 14.</w:t>
      </w:r>
    </w:p>
  </w:footnote>
  <w:footnote w:id="81">
    <w:p w14:paraId="3D35AD07" w14:textId="0BF7076E"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See International Law Commission, Draft Articles on the Expulsion of Aliens, with Commentaries (2014), art. 10.</w:t>
      </w:r>
    </w:p>
  </w:footnote>
  <w:footnote w:id="82">
    <w:p w14:paraId="2E3549A8" w14:textId="62DAB3EF" w:rsidR="00FB0CCE" w:rsidRPr="00201DA2" w:rsidRDefault="00FB0CCE" w:rsidP="00D91D7B">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w:t>
      </w:r>
      <w:r w:rsidRPr="00201DA2">
        <w:rPr>
          <w:color w:val="000000" w:themeColor="text1"/>
          <w:sz w:val="16"/>
          <w:szCs w:val="16"/>
          <w:shd w:val="clear" w:color="auto" w:fill="FFFFFF"/>
        </w:rPr>
        <w:t>UN Human Rights Committee, General Comment 35, Article 9 (Liberty and Security of Person), UN Doc. CCPR/C/GC/35 (2014), para. 18.</w:t>
      </w:r>
    </w:p>
  </w:footnote>
  <w:footnote w:id="83">
    <w:p w14:paraId="4D576BCD" w14:textId="15755D40" w:rsidR="00FB0CCE" w:rsidRPr="00201DA2" w:rsidRDefault="00FB0CCE" w:rsidP="00D91D7B">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w:t>
      </w:r>
      <w:r w:rsidRPr="00201DA2">
        <w:rPr>
          <w:color w:val="000000" w:themeColor="text1"/>
          <w:sz w:val="16"/>
          <w:szCs w:val="16"/>
          <w:shd w:val="clear" w:color="auto" w:fill="FFFFFF"/>
        </w:rPr>
        <w:t xml:space="preserve">UN Commission on Human Rights, “Report of the Working Group on Arbitrary Detention,” A/HRC/13/30, January 18, 2010, </w:t>
      </w:r>
      <w:hyperlink r:id="rId53" w:history="1">
        <w:r w:rsidRPr="00201DA2">
          <w:rPr>
            <w:rStyle w:val="Hyperlink"/>
            <w:color w:val="000000" w:themeColor="text1"/>
            <w:sz w:val="16"/>
            <w:szCs w:val="16"/>
            <w:shd w:val="clear" w:color="auto" w:fill="FFFFFF"/>
          </w:rPr>
          <w:t>https://www2.ohchr.org/english/bodies/hrcouncil/docs/13session/A.HRC.13.30_AEV.pdf</w:t>
        </w:r>
      </w:hyperlink>
      <w:r w:rsidRPr="00201DA2">
        <w:rPr>
          <w:color w:val="000000" w:themeColor="text1"/>
          <w:sz w:val="16"/>
          <w:szCs w:val="16"/>
          <w:shd w:val="clear" w:color="auto" w:fill="FFFFFF"/>
        </w:rPr>
        <w:t xml:space="preserve"> (accessed January 11, 2019), para. 59.</w:t>
      </w:r>
    </w:p>
  </w:footnote>
  <w:footnote w:id="84">
    <w:p w14:paraId="417A9338" w14:textId="77777777" w:rsidR="00FB0CCE" w:rsidRPr="00201DA2" w:rsidRDefault="00FB0CCE" w:rsidP="00D91D7B">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w:t>
      </w:r>
      <w:r w:rsidRPr="00201DA2">
        <w:rPr>
          <w:color w:val="000000" w:themeColor="text1"/>
          <w:sz w:val="16"/>
          <w:szCs w:val="16"/>
          <w:shd w:val="clear" w:color="auto" w:fill="FFFFFF"/>
        </w:rPr>
        <w:t>UN Human Rights Committee, General Comment No. 35, Article 9 (Liberty and Security of Person), para. 18.</w:t>
      </w:r>
    </w:p>
  </w:footnote>
  <w:footnote w:id="85">
    <w:p w14:paraId="4CFACF86" w14:textId="273EDE17"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UN Human Rights Committee, Decision: </w:t>
      </w:r>
      <w:r w:rsidRPr="00201DA2">
        <w:rPr>
          <w:i/>
          <w:iCs/>
          <w:color w:val="000000" w:themeColor="text1"/>
          <w:sz w:val="16"/>
          <w:szCs w:val="16"/>
          <w:shd w:val="clear" w:color="auto" w:fill="FFFFFF"/>
        </w:rPr>
        <w:t>Pinto v. Trinidad and Tobago</w:t>
      </w:r>
      <w:r w:rsidRPr="00201DA2">
        <w:rPr>
          <w:iCs/>
          <w:color w:val="000000" w:themeColor="text1"/>
          <w:sz w:val="16"/>
          <w:szCs w:val="16"/>
          <w:shd w:val="clear" w:color="auto" w:fill="FFFFFF"/>
        </w:rPr>
        <w:t>,</w:t>
      </w:r>
      <w:r w:rsidRPr="00201DA2">
        <w:rPr>
          <w:i/>
          <w:iCs/>
          <w:color w:val="000000" w:themeColor="text1"/>
          <w:sz w:val="16"/>
          <w:szCs w:val="16"/>
          <w:shd w:val="clear" w:color="auto" w:fill="FFFFFF"/>
        </w:rPr>
        <w:t xml:space="preserve"> </w:t>
      </w:r>
      <w:r w:rsidRPr="00201DA2">
        <w:rPr>
          <w:color w:val="000000" w:themeColor="text1"/>
          <w:sz w:val="16"/>
          <w:szCs w:val="16"/>
          <w:shd w:val="clear" w:color="auto" w:fill="FFFFFF"/>
        </w:rPr>
        <w:t xml:space="preserve">Communication no. 232/1987, July 20, 1990, </w:t>
      </w:r>
      <w:hyperlink r:id="rId54" w:history="1">
        <w:r w:rsidRPr="00201DA2">
          <w:rPr>
            <w:rStyle w:val="Hyperlink"/>
            <w:color w:val="000000" w:themeColor="text1"/>
            <w:sz w:val="16"/>
            <w:szCs w:val="16"/>
            <w:shd w:val="clear" w:color="auto" w:fill="FFFFFF"/>
          </w:rPr>
          <w:t>http://www.worldcourts.com/hrc/eng/decisions/1990.07.20_Pinto_v_Trinidad_and_Tobago.htm</w:t>
        </w:r>
      </w:hyperlink>
      <w:r w:rsidRPr="00201DA2">
        <w:rPr>
          <w:color w:val="000000" w:themeColor="text1"/>
          <w:sz w:val="16"/>
          <w:szCs w:val="16"/>
          <w:shd w:val="clear" w:color="auto" w:fill="FFFFFF"/>
        </w:rPr>
        <w:t xml:space="preserve"> (accessed January 11, 2019),  p. 69.</w:t>
      </w:r>
    </w:p>
  </w:footnote>
  <w:footnote w:id="86">
    <w:p w14:paraId="7D9D30B0" w14:textId="655F4242" w:rsidR="00FB0CCE" w:rsidRPr="00201DA2" w:rsidRDefault="00FB0CCE">
      <w:pPr>
        <w:pStyle w:val="FootnoteText"/>
        <w:rPr>
          <w:color w:val="000000" w:themeColor="text1"/>
          <w:sz w:val="16"/>
          <w:szCs w:val="16"/>
          <w:shd w:val="clear" w:color="auto" w:fill="FFFFFF"/>
        </w:rPr>
      </w:pPr>
      <w:r w:rsidRPr="00201DA2">
        <w:rPr>
          <w:rStyle w:val="FootnoteReference"/>
          <w:color w:val="000000" w:themeColor="text1"/>
          <w:sz w:val="16"/>
          <w:szCs w:val="16"/>
        </w:rPr>
        <w:footnoteRef/>
      </w:r>
      <w:r w:rsidRPr="00201DA2">
        <w:rPr>
          <w:color w:val="000000" w:themeColor="text1"/>
          <w:sz w:val="16"/>
          <w:szCs w:val="16"/>
        </w:rPr>
        <w:t xml:space="preserve"> </w:t>
      </w:r>
      <w:r w:rsidRPr="00201DA2">
        <w:rPr>
          <w:color w:val="000000" w:themeColor="text1"/>
          <w:sz w:val="16"/>
          <w:szCs w:val="16"/>
          <w:shd w:val="clear" w:color="auto" w:fill="FFFFFF"/>
        </w:rPr>
        <w:t>The Convention on the Rights of the Child provides that children have the right to have their best interests assessed and taken into account as a primary consideration in all actions or decisions that concern them, both in the public and private sphere. Convention on the Rights of the Child, art. 3(1). The United States has not ratified the convention but has signed it. As such, the United States is not bound by the convention but cannot take actions that are contrary to the object and purpose of the treaty. The Committee on the Rights of the Child, which monitors adherence to the convention, has identified the best interests principle as one of four general principles for interpreting and implementing all rights of the child, and applies it as a dynamic concept that requires an assessment appropriate to the specific context. Committee on the Rights of the Child, General Comment No. 14 (2013) on the Right of the Child to Have His or Her Best Interests Taken as a Primary Consideration, UN Doc. CRC/C/GC/14 (May 29, 2014), para. 1.</w:t>
      </w:r>
    </w:p>
  </w:footnote>
  <w:footnote w:id="87">
    <w:p w14:paraId="0E9463E9" w14:textId="07A635B2" w:rsidR="003C69FF" w:rsidRPr="00201DA2" w:rsidRDefault="00FB0CCE" w:rsidP="003C69FF">
      <w:pPr>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See, for example, </w:t>
      </w:r>
      <w:r w:rsidR="003C69FF" w:rsidRPr="00201DA2">
        <w:rPr>
          <w:color w:val="000000" w:themeColor="text1"/>
          <w:sz w:val="16"/>
          <w:szCs w:val="16"/>
        </w:rPr>
        <w:t xml:space="preserve">UN Commission on Human Rights, Deliberation of the </w:t>
      </w:r>
      <w:r w:rsidRPr="00201DA2">
        <w:rPr>
          <w:color w:val="000000" w:themeColor="text1"/>
          <w:sz w:val="16"/>
          <w:szCs w:val="16"/>
        </w:rPr>
        <w:t>Working Group on Arbitrary Detention, Revised Deliberation No. 5 on Deprivation of Liberty of Migrants,</w:t>
      </w:r>
      <w:r w:rsidR="003C69FF" w:rsidRPr="00201DA2">
        <w:rPr>
          <w:color w:val="000000" w:themeColor="text1"/>
          <w:sz w:val="16"/>
          <w:szCs w:val="16"/>
        </w:rPr>
        <w:t xml:space="preserve"> A/HRC/39/45</w:t>
      </w:r>
    </w:p>
    <w:p w14:paraId="5787F560" w14:textId="30561027" w:rsidR="00FB0CCE" w:rsidRPr="00201DA2" w:rsidRDefault="003C69FF" w:rsidP="00D25463">
      <w:pPr>
        <w:rPr>
          <w:color w:val="000000" w:themeColor="text1"/>
          <w:sz w:val="16"/>
          <w:szCs w:val="16"/>
        </w:rPr>
      </w:pPr>
      <w:r w:rsidRPr="00201DA2">
        <w:rPr>
          <w:color w:val="000000" w:themeColor="text1"/>
          <w:sz w:val="16"/>
          <w:szCs w:val="16"/>
        </w:rPr>
        <w:t>February 7, 2018,</w:t>
      </w:r>
      <w:r w:rsidR="00FB0CCE" w:rsidRPr="00201DA2">
        <w:rPr>
          <w:color w:val="000000" w:themeColor="text1"/>
          <w:sz w:val="16"/>
          <w:szCs w:val="16"/>
        </w:rPr>
        <w:t xml:space="preserve"> para. 11; </w:t>
      </w:r>
      <w:r w:rsidR="00D25463" w:rsidRPr="00201DA2">
        <w:rPr>
          <w:color w:val="000000" w:themeColor="text1"/>
          <w:sz w:val="16"/>
          <w:szCs w:val="16"/>
        </w:rPr>
        <w:t xml:space="preserve">UN </w:t>
      </w:r>
      <w:r w:rsidR="00A42328" w:rsidRPr="00201DA2">
        <w:rPr>
          <w:color w:val="000000" w:themeColor="text1"/>
          <w:sz w:val="16"/>
          <w:szCs w:val="16"/>
        </w:rPr>
        <w:t>Committee on the Protection of the Rights of All Migrant Workers and Members of Their Families and the Committee on the Rights of the Child</w:t>
      </w:r>
      <w:r w:rsidR="00FB0CCE" w:rsidRPr="00201DA2">
        <w:rPr>
          <w:color w:val="000000" w:themeColor="text1"/>
          <w:sz w:val="16"/>
          <w:szCs w:val="16"/>
        </w:rPr>
        <w:t xml:space="preserve">, </w:t>
      </w:r>
      <w:r w:rsidR="00D25463" w:rsidRPr="00201DA2">
        <w:rPr>
          <w:color w:val="000000" w:themeColor="text1"/>
          <w:sz w:val="16"/>
          <w:szCs w:val="16"/>
        </w:rPr>
        <w:t>Joint general comment No. 3 (2017) of the Committee on the Protection of the Rights of All Migrant Workers and Members of Their Families and No. 22 (2017) of the Committee on the Rights of the Child on the general principles regarding the human rights of children in the context of international migration</w:t>
      </w:r>
      <w:r w:rsidR="00FB0CCE" w:rsidRPr="00201DA2">
        <w:rPr>
          <w:color w:val="000000" w:themeColor="text1"/>
          <w:sz w:val="16"/>
          <w:szCs w:val="16"/>
        </w:rPr>
        <w:t xml:space="preserve">, UN Doc. </w:t>
      </w:r>
      <w:r w:rsidR="00D25463" w:rsidRPr="00201DA2">
        <w:rPr>
          <w:color w:val="000000" w:themeColor="text1"/>
          <w:sz w:val="16"/>
          <w:szCs w:val="16"/>
        </w:rPr>
        <w:t xml:space="preserve">CMW/C/GC/3-CRC/C/GC/22* </w:t>
      </w:r>
      <w:r w:rsidR="00FB0CCE" w:rsidRPr="00201DA2">
        <w:rPr>
          <w:color w:val="000000" w:themeColor="text1"/>
          <w:sz w:val="16"/>
          <w:szCs w:val="16"/>
        </w:rPr>
        <w:t xml:space="preserve">( 2017), paras. 5-13; </w:t>
      </w:r>
      <w:r w:rsidR="00D25463" w:rsidRPr="00201DA2">
        <w:rPr>
          <w:color w:val="000000" w:themeColor="text1"/>
          <w:sz w:val="16"/>
          <w:szCs w:val="16"/>
        </w:rPr>
        <w:t xml:space="preserve">UN </w:t>
      </w:r>
      <w:r w:rsidR="00FB0CCE" w:rsidRPr="00201DA2">
        <w:rPr>
          <w:color w:val="000000" w:themeColor="text1"/>
          <w:sz w:val="16"/>
          <w:szCs w:val="16"/>
        </w:rPr>
        <w:t>Committee on the Rights of the Child, General Comment 6</w:t>
      </w:r>
      <w:r w:rsidR="00D25463" w:rsidRPr="00201DA2">
        <w:rPr>
          <w:color w:val="000000" w:themeColor="text1"/>
          <w:sz w:val="16"/>
          <w:szCs w:val="16"/>
        </w:rPr>
        <w:t xml:space="preserve">, </w:t>
      </w:r>
      <w:r w:rsidR="00FB0CCE" w:rsidRPr="00201DA2">
        <w:rPr>
          <w:color w:val="000000" w:themeColor="text1"/>
          <w:sz w:val="16"/>
          <w:szCs w:val="16"/>
        </w:rPr>
        <w:t>Treatment of Unaccompanied and Separated Children Outside Their Country of Origin, UN Doc. CRC/C/GC/2005/6 (2005), para. 61.</w:t>
      </w:r>
    </w:p>
  </w:footnote>
  <w:footnote w:id="88">
    <w:p w14:paraId="4858C3CB" w14:textId="449A879C" w:rsidR="00FB0CCE" w:rsidRPr="00201DA2" w:rsidRDefault="00FB0CCE" w:rsidP="00F92F40">
      <w:pPr>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See, for example, Committee against Torture, General Commen</w:t>
      </w:r>
      <w:r w:rsidR="00F92F40" w:rsidRPr="00201DA2">
        <w:rPr>
          <w:color w:val="000000" w:themeColor="text1"/>
          <w:sz w:val="16"/>
          <w:szCs w:val="16"/>
        </w:rPr>
        <w:t>t</w:t>
      </w:r>
      <w:r w:rsidRPr="00201DA2">
        <w:rPr>
          <w:color w:val="000000" w:themeColor="text1"/>
          <w:sz w:val="16"/>
          <w:szCs w:val="16"/>
        </w:rPr>
        <w:t xml:space="preserve"> 4</w:t>
      </w:r>
      <w:r w:rsidR="00F92F40" w:rsidRPr="00201DA2">
        <w:rPr>
          <w:color w:val="000000" w:themeColor="text1"/>
          <w:sz w:val="16"/>
          <w:szCs w:val="16"/>
        </w:rPr>
        <w:t>,</w:t>
      </w:r>
      <w:r w:rsidRPr="00201DA2">
        <w:rPr>
          <w:color w:val="000000" w:themeColor="text1"/>
          <w:sz w:val="16"/>
          <w:szCs w:val="16"/>
        </w:rPr>
        <w:t xml:space="preserve"> </w:t>
      </w:r>
      <w:r w:rsidR="00F92F40" w:rsidRPr="00201DA2">
        <w:rPr>
          <w:color w:val="000000" w:themeColor="text1"/>
          <w:sz w:val="16"/>
          <w:szCs w:val="16"/>
        </w:rPr>
        <w:t>General comment No. 4 (2017) on the implementation of article 3 of the Convention in the context of article 22</w:t>
      </w:r>
      <w:r w:rsidRPr="00201DA2">
        <w:rPr>
          <w:color w:val="000000" w:themeColor="text1"/>
          <w:sz w:val="16"/>
          <w:szCs w:val="16"/>
        </w:rPr>
        <w:t>, UN Doc. CAT/C/GC/4 (2018), para. 14</w:t>
      </w:r>
      <w:r w:rsidR="00F92F40" w:rsidRPr="00201DA2">
        <w:rPr>
          <w:color w:val="000000" w:themeColor="text1"/>
          <w:sz w:val="16"/>
          <w:szCs w:val="16"/>
        </w:rPr>
        <w:t>.</w:t>
      </w:r>
      <w:r w:rsidRPr="00201DA2">
        <w:rPr>
          <w:color w:val="000000" w:themeColor="text1"/>
          <w:sz w:val="16"/>
          <w:szCs w:val="16"/>
        </w:rPr>
        <w:t xml:space="preserve"> (</w:t>
      </w:r>
      <w:r w:rsidR="00F92F40" w:rsidRPr="00201DA2">
        <w:rPr>
          <w:color w:val="000000" w:themeColor="text1"/>
          <w:sz w:val="16"/>
          <w:szCs w:val="16"/>
        </w:rPr>
        <w:t>C</w:t>
      </w:r>
      <w:r w:rsidRPr="00201DA2">
        <w:rPr>
          <w:color w:val="000000" w:themeColor="text1"/>
          <w:sz w:val="16"/>
          <w:szCs w:val="16"/>
        </w:rPr>
        <w:t>alling on states not to adopt “dissuasive measures” that would compel return to risk of torture and other ill-treatment).</w:t>
      </w:r>
    </w:p>
  </w:footnote>
  <w:footnote w:id="89">
    <w:p w14:paraId="1AB453FD" w14:textId="1261DAEF" w:rsidR="00FB0CCE" w:rsidRPr="00201DA2" w:rsidRDefault="00FB0CCE" w:rsidP="00466C75">
      <w:pPr>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US Congressional Budget Office, “Repealing the Individual Health Insurance Mandate: An Updated Estimate,” November 2017, </w:t>
      </w:r>
      <w:hyperlink r:id="rId55" w:history="1">
        <w:r w:rsidRPr="00201DA2">
          <w:rPr>
            <w:rStyle w:val="Hyperlink"/>
            <w:color w:val="000000" w:themeColor="text1"/>
            <w:sz w:val="16"/>
            <w:szCs w:val="16"/>
          </w:rPr>
          <w:t>https://www.cbo.gov/system/files?file=115th-congress-2017-2018/reports/53300-individualmandate.pdf</w:t>
        </w:r>
      </w:hyperlink>
      <w:r w:rsidRPr="00201DA2">
        <w:rPr>
          <w:color w:val="000000" w:themeColor="text1"/>
          <w:sz w:val="16"/>
          <w:szCs w:val="16"/>
        </w:rPr>
        <w:t xml:space="preserve"> (accessed January 11, 2019).</w:t>
      </w:r>
    </w:p>
  </w:footnote>
  <w:footnote w:id="90">
    <w:p w14:paraId="1732E6E9" w14:textId="68120E98" w:rsidR="00FB0CCE" w:rsidRPr="00201DA2" w:rsidRDefault="00FB0CCE" w:rsidP="00EA0D67">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Human Rights Watch, </w:t>
      </w:r>
      <w:r w:rsidRPr="00201DA2">
        <w:rPr>
          <w:i/>
          <w:color w:val="000000" w:themeColor="text1"/>
          <w:sz w:val="16"/>
          <w:szCs w:val="16"/>
        </w:rPr>
        <w:t>It Should Not Happen: Alabama’s Failure to Prevent Cervical Cancer Death in the Black Belt</w:t>
      </w:r>
      <w:r w:rsidRPr="00201DA2">
        <w:rPr>
          <w:color w:val="000000" w:themeColor="text1"/>
          <w:sz w:val="16"/>
          <w:szCs w:val="16"/>
        </w:rPr>
        <w:t xml:space="preserve">, November 29, 2018, </w:t>
      </w:r>
      <w:hyperlink r:id="rId56" w:history="1">
        <w:r w:rsidRPr="00201DA2">
          <w:rPr>
            <w:rStyle w:val="Hyperlink"/>
            <w:color w:val="000000" w:themeColor="text1"/>
            <w:sz w:val="16"/>
            <w:szCs w:val="16"/>
          </w:rPr>
          <w:t>https://www.hrw.org/report/2018/11/29/it-should-not-happen/alabamas-failure-prevent-cervical-cancer-death-black-belt#</w:t>
        </w:r>
      </w:hyperlink>
      <w:r w:rsidRPr="00201DA2">
        <w:rPr>
          <w:color w:val="000000" w:themeColor="text1"/>
          <w:sz w:val="16"/>
          <w:szCs w:val="16"/>
        </w:rPr>
        <w:t>.</w:t>
      </w:r>
    </w:p>
  </w:footnote>
  <w:footnote w:id="91">
    <w:p w14:paraId="3B9249AA" w14:textId="7747F73F"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Kaiser Family Foundation, “Where are States Today? Medicaid and CHIP eligibility levels for children, pregnant people and adults,” March 28, 2018, </w:t>
      </w:r>
      <w:hyperlink r:id="rId57" w:anchor="table3" w:history="1">
        <w:r w:rsidRPr="00201DA2">
          <w:rPr>
            <w:rStyle w:val="Hyperlink"/>
            <w:color w:val="000000" w:themeColor="text1"/>
            <w:sz w:val="16"/>
            <w:szCs w:val="16"/>
          </w:rPr>
          <w:t>https://www.kff.org/medicaid/fact-sheet/where-are-states-today-medicaid-and-chip/#table3</w:t>
        </w:r>
      </w:hyperlink>
      <w:r w:rsidRPr="00201DA2">
        <w:rPr>
          <w:color w:val="000000" w:themeColor="text1"/>
          <w:sz w:val="16"/>
          <w:szCs w:val="16"/>
        </w:rPr>
        <w:t xml:space="preserve"> (accessed January 11, 2019).</w:t>
      </w:r>
    </w:p>
  </w:footnote>
  <w:footnote w:id="92">
    <w:p w14:paraId="0890598A" w14:textId="2A3C1256"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Amanda Klasing, “US Congress Finds New Route to Attack Planned Parenthood,” commentary, Human Rights Watch Dispatch, March 30, 2017, </w:t>
      </w:r>
      <w:hyperlink r:id="rId58" w:history="1">
        <w:r w:rsidRPr="00201DA2">
          <w:rPr>
            <w:rStyle w:val="Hyperlink"/>
            <w:color w:val="000000" w:themeColor="text1"/>
            <w:sz w:val="16"/>
            <w:szCs w:val="16"/>
          </w:rPr>
          <w:t>https://www.hrw.org/news/2017/03/30/us-congress-finds-new-route-attack-planned-parenthood</w:t>
        </w:r>
      </w:hyperlink>
      <w:r w:rsidRPr="00201DA2">
        <w:rPr>
          <w:color w:val="000000" w:themeColor="text1"/>
          <w:sz w:val="16"/>
          <w:szCs w:val="16"/>
        </w:rPr>
        <w:t xml:space="preserve">. </w:t>
      </w:r>
    </w:p>
  </w:footnote>
  <w:footnote w:id="93">
    <w:p w14:paraId="07AD0F31" w14:textId="41C7B9D0" w:rsidR="00FB0CCE" w:rsidRPr="00201DA2" w:rsidRDefault="00FB0CCE" w:rsidP="00EA0D67">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Amanda Klasing, “US to Strip Funding from Women’s Health Providers: Trump’s New Rule Will Hit Poor Women, Women of Color Hardest,” commentary, Human Rights Dispatch, May 22, 2018, </w:t>
      </w:r>
      <w:hyperlink r:id="rId59" w:history="1">
        <w:r w:rsidRPr="00201DA2">
          <w:rPr>
            <w:rStyle w:val="Hyperlink"/>
            <w:color w:val="000000" w:themeColor="text1"/>
            <w:sz w:val="16"/>
            <w:szCs w:val="16"/>
          </w:rPr>
          <w:t>https://www.hrw.org/news/2018/05/22/us-strip-funding-womens-health-providers</w:t>
        </w:r>
      </w:hyperlink>
      <w:r w:rsidRPr="00201DA2">
        <w:rPr>
          <w:color w:val="000000" w:themeColor="text1"/>
          <w:sz w:val="16"/>
          <w:szCs w:val="16"/>
        </w:rPr>
        <w:t>.</w:t>
      </w:r>
    </w:p>
  </w:footnote>
  <w:footnote w:id="94">
    <w:p w14:paraId="191EE39C" w14:textId="246565C5"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“Comment on Interim Final Rule on Religious Exemptions and Accommodations under the ACA,” Human Rights Watch news release, December 5, 2017, </w:t>
      </w:r>
      <w:hyperlink r:id="rId60" w:history="1">
        <w:r w:rsidRPr="00201DA2">
          <w:rPr>
            <w:rStyle w:val="Hyperlink"/>
            <w:color w:val="000000" w:themeColor="text1"/>
            <w:sz w:val="16"/>
            <w:szCs w:val="16"/>
          </w:rPr>
          <w:t>https://www.hrw.org/news/2017/12/05/human-rights-watch-comment-interim-final-rule-religious-exemptions-and</w:t>
        </w:r>
      </w:hyperlink>
      <w:r w:rsidRPr="00201DA2">
        <w:rPr>
          <w:color w:val="000000" w:themeColor="text1"/>
          <w:sz w:val="16"/>
          <w:szCs w:val="16"/>
        </w:rPr>
        <w:t>.</w:t>
      </w:r>
    </w:p>
  </w:footnote>
  <w:footnote w:id="95">
    <w:p w14:paraId="6084A3AF" w14:textId="084A14CC"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“Comment on Interim Final Rule on Moral Exemptions and Accommodations under the ACA,” Human Rights Watch news release, December 5, 2017, </w:t>
      </w:r>
      <w:hyperlink r:id="rId61" w:history="1">
        <w:r w:rsidRPr="00201DA2">
          <w:rPr>
            <w:rStyle w:val="Hyperlink"/>
            <w:color w:val="000000" w:themeColor="text1"/>
            <w:sz w:val="16"/>
            <w:szCs w:val="16"/>
          </w:rPr>
          <w:t>https://www.hrw.org/news/2017/12/05/human-rights-watch-comment-interim-final-rule-moral-exemptions-and-accommodations-0</w:t>
        </w:r>
      </w:hyperlink>
      <w:r w:rsidRPr="00201DA2">
        <w:rPr>
          <w:color w:val="000000" w:themeColor="text1"/>
          <w:sz w:val="16"/>
          <w:szCs w:val="16"/>
        </w:rPr>
        <w:t>.</w:t>
      </w:r>
    </w:p>
  </w:footnote>
  <w:footnote w:id="96">
    <w:p w14:paraId="1273B0AE" w14:textId="37D5DC61"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Letter from Human Rights Watch to US Secretary of Health and Human Services Alex Azar, March 27, 2018, </w:t>
      </w:r>
      <w:hyperlink r:id="rId62" w:history="1">
        <w:r w:rsidRPr="00201DA2">
          <w:rPr>
            <w:rStyle w:val="Hyperlink"/>
            <w:color w:val="000000" w:themeColor="text1"/>
            <w:sz w:val="16"/>
            <w:szCs w:val="16"/>
          </w:rPr>
          <w:t>https://www.hrw.org/news/2018/03/27/human-rights-watch-letter-us-secretary-health-and-human-services-alex-azar</w:t>
        </w:r>
      </w:hyperlink>
      <w:r w:rsidRPr="00201DA2">
        <w:rPr>
          <w:color w:val="000000" w:themeColor="text1"/>
          <w:sz w:val="16"/>
          <w:szCs w:val="16"/>
        </w:rPr>
        <w:t>.</w:t>
      </w:r>
    </w:p>
  </w:footnote>
  <w:footnote w:id="97">
    <w:p w14:paraId="5B6DC2D1" w14:textId="083092E5"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Guttmacher Institute, “Policy Trends in the States: First Quarter 2018,” April 2018, </w:t>
      </w:r>
      <w:hyperlink r:id="rId63" w:history="1">
        <w:r w:rsidRPr="00201DA2">
          <w:rPr>
            <w:rStyle w:val="Hyperlink"/>
            <w:color w:val="000000" w:themeColor="text1"/>
            <w:sz w:val="16"/>
            <w:szCs w:val="16"/>
          </w:rPr>
          <w:t>https://www.guttmacher.org/article/2018/04/policy-trends-states-first-quarter-2018</w:t>
        </w:r>
      </w:hyperlink>
      <w:r w:rsidRPr="00201DA2">
        <w:rPr>
          <w:color w:val="000000" w:themeColor="text1"/>
          <w:sz w:val="16"/>
          <w:szCs w:val="16"/>
        </w:rPr>
        <w:t xml:space="preserve"> (accessed January 6, 2019).</w:t>
      </w:r>
    </w:p>
  </w:footnote>
  <w:footnote w:id="98">
    <w:p w14:paraId="3C6EEE8A" w14:textId="1B01DAD1"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“US: Trump Policy Harming Kenya, Uganda Health Services,” Human Rights Watch news release, October 26, 2017, </w:t>
      </w:r>
      <w:hyperlink r:id="rId64" w:history="1">
        <w:r w:rsidRPr="00201DA2">
          <w:rPr>
            <w:rStyle w:val="Hyperlink"/>
            <w:color w:val="000000" w:themeColor="text1"/>
            <w:sz w:val="16"/>
            <w:szCs w:val="16"/>
          </w:rPr>
          <w:t>https://www.hrw.org/news/2017/10/26/us-trump-policy-harming-kenya-uganda-health-services</w:t>
        </w:r>
      </w:hyperlink>
      <w:r w:rsidRPr="00201DA2">
        <w:rPr>
          <w:color w:val="000000" w:themeColor="text1"/>
          <w:sz w:val="16"/>
          <w:szCs w:val="16"/>
        </w:rPr>
        <w:t xml:space="preserve">. </w:t>
      </w:r>
    </w:p>
  </w:footnote>
  <w:footnote w:id="99">
    <w:p w14:paraId="50EF0724" w14:textId="17E5F0EB" w:rsidR="00FB0CCE" w:rsidRPr="00201DA2" w:rsidRDefault="00FB0CCE" w:rsidP="001D44D1">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UN Human Rights Committee, General comment No 36, On article 6 of the International Covenant on Civil and Political Rights, on the right to life (One-hundred and twenty-fourth session, 2018), Compilation of General Comments and General Recommendations Adopted by Human Rights Treaty Bodies, UN doc. CCPR/C/GC/36, para. 26.</w:t>
      </w:r>
    </w:p>
  </w:footnote>
  <w:footnote w:id="100">
    <w:p w14:paraId="7CF1CD83" w14:textId="77777777" w:rsidR="00FB0CCE" w:rsidRPr="00201DA2" w:rsidRDefault="00FB0CCE" w:rsidP="001D44D1">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Ibid. </w:t>
      </w:r>
    </w:p>
  </w:footnote>
  <w:footnote w:id="101">
    <w:p w14:paraId="636607D5" w14:textId="77777777" w:rsidR="00FB0CCE" w:rsidRPr="00201DA2" w:rsidRDefault="00FB0CCE" w:rsidP="001D44D1">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Ibid, para. 8. </w:t>
      </w:r>
    </w:p>
  </w:footnote>
  <w:footnote w:id="102">
    <w:p w14:paraId="35C8AAAC" w14:textId="6B582E40" w:rsidR="00FB0CCE" w:rsidRPr="00201DA2" w:rsidRDefault="00FB0CCE" w:rsidP="00282723">
      <w:pPr>
        <w:pStyle w:val="FootnoteText"/>
        <w:rPr>
          <w:i/>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Human Rights Watch, </w:t>
      </w:r>
      <w:r w:rsidRPr="00201DA2">
        <w:rPr>
          <w:i/>
          <w:color w:val="000000" w:themeColor="text1"/>
          <w:sz w:val="16"/>
          <w:szCs w:val="16"/>
        </w:rPr>
        <w:t>Shut Out: Restrictions on Bathroom and Locker Room</w:t>
      </w:r>
    </w:p>
    <w:p w14:paraId="5FF1C5CB" w14:textId="66F24E39" w:rsidR="00FB0CCE" w:rsidRPr="00201DA2" w:rsidRDefault="00FB0CCE" w:rsidP="00282723">
      <w:pPr>
        <w:pStyle w:val="FootnoteText"/>
        <w:rPr>
          <w:color w:val="000000" w:themeColor="text1"/>
          <w:sz w:val="16"/>
          <w:szCs w:val="16"/>
        </w:rPr>
      </w:pPr>
      <w:r w:rsidRPr="00201DA2">
        <w:rPr>
          <w:i/>
          <w:color w:val="000000" w:themeColor="text1"/>
          <w:sz w:val="16"/>
          <w:szCs w:val="16"/>
        </w:rPr>
        <w:t xml:space="preserve">Access for Transgender Youth in US Schools, </w:t>
      </w:r>
      <w:r w:rsidRPr="00201DA2">
        <w:rPr>
          <w:color w:val="000000" w:themeColor="text1"/>
          <w:sz w:val="16"/>
          <w:szCs w:val="16"/>
        </w:rPr>
        <w:t xml:space="preserve">September 2016, </w:t>
      </w:r>
      <w:hyperlink r:id="rId65" w:history="1">
        <w:r w:rsidRPr="00201DA2">
          <w:rPr>
            <w:rStyle w:val="Hyperlink"/>
            <w:color w:val="000000" w:themeColor="text1"/>
            <w:sz w:val="16"/>
            <w:szCs w:val="16"/>
          </w:rPr>
          <w:t>https://www.hrw.org/sites/default/files/report_pdf/uslgbttrans0916_web.pdf</w:t>
        </w:r>
      </w:hyperlink>
      <w:r w:rsidRPr="00201DA2">
        <w:rPr>
          <w:color w:val="000000" w:themeColor="text1"/>
          <w:sz w:val="16"/>
          <w:szCs w:val="16"/>
        </w:rPr>
        <w:t>.</w:t>
      </w:r>
    </w:p>
  </w:footnote>
  <w:footnote w:id="103">
    <w:p w14:paraId="75E8843E" w14:textId="3F3B4DF0"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Human Rights Watch, </w:t>
      </w:r>
      <w:r w:rsidRPr="00201DA2">
        <w:rPr>
          <w:i/>
          <w:color w:val="000000" w:themeColor="text1"/>
          <w:sz w:val="16"/>
          <w:szCs w:val="16"/>
        </w:rPr>
        <w:t>“Like Walking Through a Hailstorm”: Discrimination Against LGBT Youth in US Schools</w:t>
      </w:r>
      <w:r w:rsidRPr="00201DA2">
        <w:rPr>
          <w:color w:val="000000" w:themeColor="text1"/>
          <w:sz w:val="16"/>
          <w:szCs w:val="16"/>
        </w:rPr>
        <w:t xml:space="preserve">, December 2016, </w:t>
      </w:r>
      <w:hyperlink r:id="rId66" w:history="1">
        <w:r w:rsidRPr="00201DA2">
          <w:rPr>
            <w:rStyle w:val="Hyperlink"/>
            <w:color w:val="000000" w:themeColor="text1"/>
            <w:sz w:val="16"/>
            <w:szCs w:val="16"/>
          </w:rPr>
          <w:t>https://www.hrw.org/sites/default/files/report_pdf/uslgbt1216web_2.pdf</w:t>
        </w:r>
      </w:hyperlink>
      <w:r w:rsidRPr="00201DA2">
        <w:rPr>
          <w:color w:val="000000" w:themeColor="text1"/>
          <w:sz w:val="16"/>
          <w:szCs w:val="16"/>
        </w:rPr>
        <w:t>.</w:t>
      </w:r>
    </w:p>
  </w:footnote>
  <w:footnote w:id="104">
    <w:p w14:paraId="31D33C22" w14:textId="6854EE86"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Order: </w:t>
      </w:r>
      <w:r w:rsidRPr="00201DA2">
        <w:rPr>
          <w:i/>
          <w:color w:val="000000" w:themeColor="text1"/>
          <w:sz w:val="16"/>
          <w:szCs w:val="16"/>
        </w:rPr>
        <w:t>Jane Doe 2 v. James Mattis</w:t>
      </w:r>
      <w:r w:rsidRPr="00201DA2">
        <w:rPr>
          <w:color w:val="000000" w:themeColor="text1"/>
          <w:sz w:val="16"/>
          <w:szCs w:val="16"/>
        </w:rPr>
        <w:t>, Civil Action No. 17-1597, US District Court for the District of Columbia, November 30, 2018, https://ecf.dcd.uscourts.gov/cgi-bin/show_public_doc?2017cv1597-187.</w:t>
      </w:r>
    </w:p>
  </w:footnote>
  <w:footnote w:id="105">
    <w:p w14:paraId="71DA375D" w14:textId="1C2F7518"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Human Rights Watch, </w:t>
      </w:r>
      <w:r w:rsidRPr="00201DA2">
        <w:rPr>
          <w:i/>
          <w:color w:val="000000" w:themeColor="text1"/>
          <w:sz w:val="16"/>
          <w:szCs w:val="16"/>
        </w:rPr>
        <w:t>“You Don’t Want Second Best”: Anti-LGBT Discrimination in US Health Care</w:t>
      </w:r>
      <w:r w:rsidRPr="00201DA2">
        <w:rPr>
          <w:color w:val="000000" w:themeColor="text1"/>
          <w:sz w:val="16"/>
          <w:szCs w:val="16"/>
        </w:rPr>
        <w:t xml:space="preserve">, July 2018, </w:t>
      </w:r>
      <w:hyperlink r:id="rId67" w:history="1">
        <w:r w:rsidRPr="00201DA2">
          <w:rPr>
            <w:rStyle w:val="Hyperlink"/>
            <w:color w:val="000000" w:themeColor="text1"/>
            <w:sz w:val="16"/>
            <w:szCs w:val="16"/>
          </w:rPr>
          <w:t>https://www.hrw.org/sites/default/files/report_pdf/us_lgbt0718_web.pdf</w:t>
        </w:r>
      </w:hyperlink>
      <w:r w:rsidRPr="00201DA2">
        <w:rPr>
          <w:color w:val="000000" w:themeColor="text1"/>
          <w:sz w:val="16"/>
          <w:szCs w:val="16"/>
        </w:rPr>
        <w:t>.</w:t>
      </w:r>
    </w:p>
  </w:footnote>
  <w:footnote w:id="106">
    <w:p w14:paraId="39834165" w14:textId="6B859B70"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Megan McLemore, “US Bureau of Prisons Policy Change Endangers Transgender Prisoners,” commentary, Human Rights Dispatch, May 14, 2018, </w:t>
      </w:r>
      <w:hyperlink r:id="rId68" w:history="1">
        <w:r w:rsidRPr="00201DA2">
          <w:rPr>
            <w:rStyle w:val="Hyperlink"/>
            <w:color w:val="000000" w:themeColor="text1"/>
            <w:sz w:val="16"/>
            <w:szCs w:val="16"/>
          </w:rPr>
          <w:t>https://www.hrw.org/news/2018/05/14/us-bureau-prisons-policy-change-endangers-transgender-prisoners</w:t>
        </w:r>
      </w:hyperlink>
      <w:r w:rsidRPr="00201DA2">
        <w:rPr>
          <w:color w:val="000000" w:themeColor="text1"/>
          <w:sz w:val="16"/>
          <w:szCs w:val="16"/>
        </w:rPr>
        <w:t>.</w:t>
      </w:r>
    </w:p>
  </w:footnote>
  <w:footnote w:id="107">
    <w:p w14:paraId="011F35AD" w14:textId="117A0072" w:rsidR="00FB0CCE" w:rsidRPr="00201DA2" w:rsidRDefault="00FB0CCE" w:rsidP="00CE486D">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Human Rights Watch, </w:t>
      </w:r>
      <w:r w:rsidRPr="00201DA2">
        <w:rPr>
          <w:i/>
          <w:color w:val="000000" w:themeColor="text1"/>
          <w:sz w:val="16"/>
          <w:szCs w:val="16"/>
        </w:rPr>
        <w:t>“All We Want is Equality”: Religious Exemptions and Discrimination against LGBT People in the United States</w:t>
      </w:r>
      <w:r w:rsidRPr="00201DA2">
        <w:rPr>
          <w:color w:val="000000" w:themeColor="text1"/>
          <w:sz w:val="16"/>
          <w:szCs w:val="16"/>
        </w:rPr>
        <w:t xml:space="preserve">, February 2018, </w:t>
      </w:r>
      <w:hyperlink r:id="rId69" w:history="1">
        <w:r w:rsidRPr="00201DA2">
          <w:rPr>
            <w:rStyle w:val="Hyperlink"/>
            <w:color w:val="000000" w:themeColor="text1"/>
            <w:sz w:val="16"/>
            <w:szCs w:val="16"/>
          </w:rPr>
          <w:t>https://www.hrw.org/sites/default/files/report_pdf/lgbt0218_web_1.pdf</w:t>
        </w:r>
      </w:hyperlink>
      <w:r w:rsidRPr="00201DA2">
        <w:rPr>
          <w:color w:val="000000" w:themeColor="text1"/>
          <w:sz w:val="16"/>
          <w:szCs w:val="16"/>
        </w:rPr>
        <w:t>.</w:t>
      </w:r>
    </w:p>
  </w:footnote>
  <w:footnote w:id="108">
    <w:p w14:paraId="7143FC04" w14:textId="11EA11A4"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Movement Advancement Project, "Non-Discrimination Laws," http://www.lgbtmap.org/equality-maps/non_discrimination_laws (accessed Jan. 10, 2018).</w:t>
      </w:r>
    </w:p>
  </w:footnote>
  <w:footnote w:id="109">
    <w:p w14:paraId="714876EA" w14:textId="1C91710A"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Ibid.</w:t>
      </w:r>
    </w:p>
  </w:footnote>
  <w:footnote w:id="110">
    <w:p w14:paraId="28CEDF52" w14:textId="41EA8AD9"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Ibid.</w:t>
      </w:r>
    </w:p>
  </w:footnote>
  <w:footnote w:id="111">
    <w:p w14:paraId="21FECF21" w14:textId="65C5DB57" w:rsidR="00FB0CCE" w:rsidRPr="00201DA2" w:rsidRDefault="00FB0CCE" w:rsidP="00C626C2">
      <w:pPr>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International Covenant on Civil and Political Rights (ICCPR), adopted December 16, 1966, G.A. Res. 2200A (XXI), 21 U.N. GAOR Supp. (No. 16) at 52, U.N. Doc. A/6316 (1966), 999 U.N.T.S. 171, entered into force March 23, 1976, Art 26. See, for example, also, UN Human Rights Committee, </w:t>
      </w:r>
      <w:r w:rsidRPr="00201DA2">
        <w:rPr>
          <w:i/>
          <w:color w:val="000000" w:themeColor="text1"/>
          <w:sz w:val="16"/>
          <w:szCs w:val="16"/>
        </w:rPr>
        <w:t>Young v. Australia</w:t>
      </w:r>
      <w:r w:rsidRPr="00201DA2">
        <w:rPr>
          <w:color w:val="000000" w:themeColor="text1"/>
          <w:sz w:val="16"/>
          <w:szCs w:val="16"/>
        </w:rPr>
        <w:t xml:space="preserve">, UN Doc. CCPR/C/78/D/941/2000 (September 18, 2003), http://hrlibrary.umn.edu/undocs/941-2000.html (accessed October 20, 2016); UN Human Rights Committee, </w:t>
      </w:r>
      <w:r w:rsidRPr="00201DA2">
        <w:rPr>
          <w:i/>
          <w:color w:val="000000" w:themeColor="text1"/>
          <w:sz w:val="16"/>
          <w:szCs w:val="16"/>
        </w:rPr>
        <w:t>Toonen v. Australia</w:t>
      </w:r>
      <w:r w:rsidRPr="00201DA2">
        <w:rPr>
          <w:color w:val="000000" w:themeColor="text1"/>
          <w:sz w:val="16"/>
          <w:szCs w:val="16"/>
        </w:rPr>
        <w:t xml:space="preserve">, UN Doc. CCPR/C/50/D/488/1992 (March 31, 1994), http://hrlibrary.umn.edu/undocs/html/vws488.htm (accessed October 20, 2016); UN Human Rights Committee, “Concluding Observations: Azerbaijan,” UN Doc. CCPR/C/AZE/CO/4 (November 16, 2016), paras. 8-9; UN Human Rights Committee, “Concluding Observations: Burkina Faso,” UN Doc. CCPR/C/BFA/CO/1 (October 17, 2016), paras. 13-14; UN Human Rights Committee, “Concluding Observations: Colombia,” UN Doc. CCPR/C/COL/CO/7 (November 17, 2016), paras. 16-17; UN Human Rights Committee, “Concluding Observations: Costa Rica,” UN Doc. CCPR/C/CRI/CO/6 (April 21, 2016), paras. 11-12; UN Human Rights Committee, “Concluding Observations: Denmark,” UN Doc. CCPR/C/DNK/CO/6 (August 15, 2016), paras. 13-14; UN Human Rights Committee, “Concluding Observations: Ecuador,” UN Doc. CCPR/C/ECU/CO/6 (August 11, 2016), paras. 11-12; UN Human Rights Committee, “Concluding Observations: Ghana,” UN Doc. CCPR/C/GHA/CO/1 (August 9, 2016), paras. 43-44; UN Human Rights Committee, “Concluding Observations: Jamaica,” UN Doc. CCPR/C/JAM/CO/4 (November 22, 2016), paras. 15-16; UN Human Rights Committee, “Concluding Observations: Kazakhstan,” UN Doc. CCPR/C/KAZ/CO/2 (August 9, 2016), paras. 9-10; UN Human Rights Committee, “Concluding Observations: Kuwait,” UN Doc. CCPR/C/KWT/CO/3 (August 11, 2016), paras. 12-13; UN Human Rights Committee, “Concluding Observations: Morocco,” UN Doc. CCPR/C/MAR/CO/6 (December 1, 2016), paras. 11-12; UN Human Rights Committee, “Concluding Observations: Slovakia,” UN Doc. CCPR/C/SVK/CO/4 (November 22, 2016), paras. 14-15; UN Human Rights Committee, “Concluding Observations: South Africa,” UN Doc. CCPR/C/ZAF/CO/1 (April 27, 2016), paras. 20-21. </w:t>
      </w:r>
    </w:p>
  </w:footnote>
  <w:footnote w:id="112">
    <w:p w14:paraId="475CF9CF" w14:textId="77777777" w:rsidR="00FB0CCE" w:rsidRPr="00201DA2" w:rsidRDefault="00FB0CCE" w:rsidP="00C626C2">
      <w:pPr>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ICCPR Art 9. See also UN Human Rights Committee, </w:t>
      </w:r>
      <w:r w:rsidRPr="00201DA2">
        <w:rPr>
          <w:i/>
          <w:color w:val="000000" w:themeColor="text1"/>
          <w:sz w:val="16"/>
          <w:szCs w:val="16"/>
        </w:rPr>
        <w:t>Delgado Paez v. Colombia</w:t>
      </w:r>
      <w:r w:rsidRPr="00201DA2">
        <w:rPr>
          <w:color w:val="000000" w:themeColor="text1"/>
          <w:sz w:val="16"/>
          <w:szCs w:val="16"/>
        </w:rPr>
        <w:t xml:space="preserve">, CCPR/C/39/D/195/1985, August 23, 1990, http://hrlibrary.umn.edu/undocs/session39/195-1985.html (accessed October 20, 2016). </w:t>
      </w:r>
    </w:p>
  </w:footnote>
  <w:footnote w:id="113">
    <w:p w14:paraId="54E8455A" w14:textId="66B77848" w:rsidR="00FB0CCE" w:rsidRPr="00201DA2" w:rsidRDefault="00FB0CCE" w:rsidP="00C626C2">
      <w:pPr>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ICCPR, Art. 24 (1).</w:t>
      </w:r>
    </w:p>
  </w:footnote>
  <w:footnote w:id="114">
    <w:p w14:paraId="6DB96EA6" w14:textId="1B00BC5B" w:rsidR="00FB0CCE" w:rsidRPr="00201DA2" w:rsidRDefault="00FB0CCE" w:rsidP="00C626C2">
      <w:pPr>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See, for example, UN Human Rights Committee, “Concluding Observations: Russian Federation,” UN Doc. CCPR/C/RUS/CO/6 (November 24, 2009), para. 27; UN Human Rights Committee, “Concluding Observations: Cambodia,” UN Doc. CCPR/C/COL/CO/6 (August 4, 2010), para. 12; UN Human Rights Committee, “Concluding Observations: Ireland,” UN Doc. CCPR/C/IRL/CO/3 (July 30, 2008), para. 8. </w:t>
      </w:r>
    </w:p>
  </w:footnote>
  <w:footnote w:id="115">
    <w:p w14:paraId="7DD6D827" w14:textId="77777777" w:rsidR="00FB0CCE" w:rsidRPr="00201DA2" w:rsidRDefault="00FB0CCE" w:rsidP="00C626C2">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ICCPR, Art. 17.</w:t>
      </w:r>
    </w:p>
  </w:footnote>
  <w:footnote w:id="116">
    <w:p w14:paraId="362F4821" w14:textId="39BA4225" w:rsidR="00FB0CCE" w:rsidRPr="00201DA2" w:rsidRDefault="00FB0CCE" w:rsidP="00C626C2">
      <w:pPr>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See, for example, UN Human Rights Committee, General Comment 28, Article 3 (The equality of rights between men and women) (Sixty-eighth session, 2000), Compilation of General Comments and General Recommendations Adopted by Human Rights Treaty Bodies, UN Doc. CCPR/C/21/Rev.1/Add.10 (2000), para. 21 (“Article 18 may not be relied upon to justify discrimination against women by reference to freedom of thought, conscience, and religion.”); UN Human Rights Committee, General Comment 22, Article 18 (Forty-ninth session, 1993), Compilation of General Comments and General Recommendations Adopted by Human Rights Treaty Bodies, UN Doc. CCPR/C/21/Rev.1/Add.4, para. 2 (“The committee therefore views with concern any tendency to discriminate against any religion or belief for any reason, including the fact that they are newly established, or represent religious minorities that may be the subject of hostility on the part of a predominant religious community.”); ibid. at para. 7: (noting that “no manifestation of religions or beliefs may amount to … advocacy of national, racial, or religious hatred that constitutes incitement to discrimination” and that “States parties are under the obligation to enact laws to prohibit such acts.”). </w:t>
      </w:r>
    </w:p>
  </w:footnote>
  <w:footnote w:id="117">
    <w:p w14:paraId="4EEEEC7C" w14:textId="3E7D0D2F" w:rsidR="00FB0CCE" w:rsidRPr="00201DA2" w:rsidRDefault="00FB0CCE" w:rsidP="00C626C2">
      <w:pPr>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UN Human Rights Committee, General Comment 22, Article 18 (Forty-ninth session, 1993), Compilation of General Comments and General Recommendations Adopted by Human Rights Treaty Bodies, UN Doc. CCPR/C/21/Rev.1/Add.4, para. 8. </w:t>
      </w:r>
    </w:p>
  </w:footnote>
  <w:footnote w:id="118">
    <w:p w14:paraId="36AE6B1E" w14:textId="77513732"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ICCPR, Ar</w:t>
      </w:r>
      <w:r w:rsidR="00F92F40" w:rsidRPr="00201DA2">
        <w:rPr>
          <w:color w:val="000000" w:themeColor="text1"/>
          <w:sz w:val="16"/>
          <w:szCs w:val="16"/>
        </w:rPr>
        <w:t>t.</w:t>
      </w:r>
      <w:r w:rsidRPr="00201DA2">
        <w:rPr>
          <w:color w:val="000000" w:themeColor="text1"/>
          <w:sz w:val="16"/>
          <w:szCs w:val="16"/>
        </w:rPr>
        <w:t xml:space="preserve"> 19.</w:t>
      </w:r>
    </w:p>
  </w:footnote>
  <w:footnote w:id="119">
    <w:p w14:paraId="2BF0293D" w14:textId="2A29D6B0"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ICCPR, Art</w:t>
      </w:r>
      <w:r w:rsidR="00F92F40" w:rsidRPr="00201DA2">
        <w:rPr>
          <w:color w:val="000000" w:themeColor="text1"/>
          <w:sz w:val="16"/>
          <w:szCs w:val="16"/>
        </w:rPr>
        <w:t>.</w:t>
      </w:r>
      <w:r w:rsidRPr="00201DA2">
        <w:rPr>
          <w:color w:val="000000" w:themeColor="text1"/>
          <w:sz w:val="16"/>
          <w:szCs w:val="16"/>
        </w:rPr>
        <w:t xml:space="preserve"> 21</w:t>
      </w:r>
      <w:r w:rsidR="00F92F40" w:rsidRPr="00201DA2">
        <w:rPr>
          <w:color w:val="000000" w:themeColor="text1"/>
          <w:sz w:val="16"/>
          <w:szCs w:val="16"/>
        </w:rPr>
        <w:t xml:space="preserve"> and</w:t>
      </w:r>
      <w:r w:rsidRPr="00201DA2">
        <w:rPr>
          <w:color w:val="000000" w:themeColor="text1"/>
          <w:sz w:val="16"/>
          <w:szCs w:val="16"/>
        </w:rPr>
        <w:t xml:space="preserve"> </w:t>
      </w:r>
      <w:r w:rsidR="00F92F40" w:rsidRPr="00201DA2">
        <w:rPr>
          <w:color w:val="000000" w:themeColor="text1"/>
          <w:sz w:val="16"/>
          <w:szCs w:val="16"/>
        </w:rPr>
        <w:t xml:space="preserve">Art. </w:t>
      </w:r>
      <w:r w:rsidRPr="00201DA2">
        <w:rPr>
          <w:color w:val="000000" w:themeColor="text1"/>
          <w:sz w:val="16"/>
          <w:szCs w:val="16"/>
        </w:rPr>
        <w:t>22.</w:t>
      </w:r>
    </w:p>
  </w:footnote>
  <w:footnote w:id="120">
    <w:p w14:paraId="11D6CF32" w14:textId="03F06845"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UN Human Rights Committee, Communication No. 1932/2010: Views Adopted by the Committee at its 106th Session, UN Doc. CCPR/C/106/D/1932/2010 (2012), para. 10.2.</w:t>
      </w:r>
    </w:p>
  </w:footnote>
  <w:footnote w:id="121">
    <w:p w14:paraId="7422E1B0" w14:textId="0729AF72"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w:t>
      </w:r>
      <w:r w:rsidRPr="00201DA2">
        <w:rPr>
          <w:color w:val="000000" w:themeColor="text1"/>
          <w:sz w:val="16"/>
          <w:szCs w:val="16"/>
          <w:shd w:val="clear" w:color="auto" w:fill="FFFFFF"/>
        </w:rPr>
        <w:t>Executive Order 12333 governs the US intelligence agencies’ activities (including, but not limited to, electronic surveillance). The order imposes certain broad restrictions concerning the surveillance of US persons’ communications under it; however, it appears to grant free rein to the agencies to conduct surveillance overseas of the communications of non-US persons who are outside the US. Executive Order 12333: United States Intelligence Activities (as amended), available at </w:t>
      </w:r>
      <w:hyperlink r:id="rId70" w:tgtFrame="_blank" w:history="1">
        <w:r w:rsidRPr="00201DA2">
          <w:rPr>
            <w:rStyle w:val="Hyperlink"/>
            <w:color w:val="000000" w:themeColor="text1"/>
            <w:sz w:val="16"/>
            <w:szCs w:val="16"/>
            <w:shd w:val="clear" w:color="auto" w:fill="FFFFFF"/>
          </w:rPr>
          <w:t>https://fas.org/irp/offdocs/eo/eo-12333-2008.pdf</w:t>
        </w:r>
      </w:hyperlink>
      <w:r w:rsidRPr="00201DA2">
        <w:rPr>
          <w:color w:val="000000" w:themeColor="text1"/>
          <w:sz w:val="16"/>
          <w:szCs w:val="16"/>
          <w:shd w:val="clear" w:color="auto" w:fill="FFFFFF"/>
        </w:rPr>
        <w:t>.</w:t>
      </w:r>
    </w:p>
  </w:footnote>
  <w:footnote w:id="122">
    <w:p w14:paraId="64BFAAA3" w14:textId="35A3BF5A" w:rsidR="00FB0CCE" w:rsidRPr="00201DA2" w:rsidRDefault="00FB0CCE" w:rsidP="00B12B63">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w:t>
      </w:r>
      <w:bookmarkStart w:id="15" w:name="_Hlk535176691"/>
      <w:r w:rsidRPr="00201DA2">
        <w:rPr>
          <w:color w:val="000000" w:themeColor="text1"/>
          <w:sz w:val="16"/>
          <w:szCs w:val="16"/>
        </w:rPr>
        <w:t>UN Human Rights Council, “Universal Periodic Review - United States of America, Second Cycle,” May 2015,</w:t>
      </w:r>
    </w:p>
    <w:p w14:paraId="61F0431F" w14:textId="1147067C" w:rsidR="00FB0CCE" w:rsidRPr="00201DA2" w:rsidRDefault="00FB0CCE" w:rsidP="00B12B63">
      <w:pPr>
        <w:pStyle w:val="FootnoteText"/>
        <w:rPr>
          <w:color w:val="000000" w:themeColor="text1"/>
          <w:sz w:val="16"/>
          <w:szCs w:val="16"/>
        </w:rPr>
      </w:pPr>
      <w:r w:rsidRPr="00201DA2">
        <w:rPr>
          <w:color w:val="000000" w:themeColor="text1"/>
          <w:sz w:val="16"/>
          <w:szCs w:val="16"/>
        </w:rPr>
        <w:t xml:space="preserve"> https://documents-dds-ny.un.org/doc/UNDOC/GEN/G15/024/66/PDF/G1502466.pdf?OpenElement</w:t>
      </w:r>
      <w:r w:rsidRPr="00201DA2" w:rsidDel="00B12B63">
        <w:rPr>
          <w:color w:val="000000" w:themeColor="text1"/>
          <w:sz w:val="16"/>
          <w:szCs w:val="16"/>
        </w:rPr>
        <w:t xml:space="preserve"> </w:t>
      </w:r>
      <w:r w:rsidRPr="00201DA2">
        <w:rPr>
          <w:color w:val="000000" w:themeColor="text1"/>
          <w:sz w:val="16"/>
          <w:szCs w:val="16"/>
        </w:rPr>
        <w:t>(accessed January 11, 2019, para. 176.298 – Switzerland. Other State comments raised the issue without specifically mentioning 12333.</w:t>
      </w:r>
      <w:bookmarkEnd w:id="15"/>
    </w:p>
  </w:footnote>
  <w:footnote w:id="123">
    <w:p w14:paraId="05F6B864" w14:textId="40245293" w:rsidR="00FB0CCE" w:rsidRPr="00201DA2" w:rsidRDefault="00FB0CCE" w:rsidP="00B12B63">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“US: New Evidence Suggests Monitoring of Americans,” Human Rights Watch news release, October 25, 2017,</w:t>
      </w:r>
    </w:p>
    <w:p w14:paraId="6F381359" w14:textId="7A88917F" w:rsidR="00FB0CCE" w:rsidRPr="00201DA2" w:rsidRDefault="00FB0CCE">
      <w:pPr>
        <w:pStyle w:val="FootnoteText"/>
        <w:rPr>
          <w:color w:val="000000" w:themeColor="text1"/>
          <w:sz w:val="16"/>
          <w:szCs w:val="16"/>
        </w:rPr>
      </w:pPr>
      <w:r w:rsidRPr="00201DA2">
        <w:rPr>
          <w:color w:val="000000" w:themeColor="text1"/>
          <w:sz w:val="16"/>
          <w:szCs w:val="16"/>
        </w:rPr>
        <w:t>https://www.hrw.org/news/2017/10/25/us-new-evidence-suggests-monitoring-americans.</w:t>
      </w:r>
    </w:p>
  </w:footnote>
  <w:footnote w:id="124">
    <w:p w14:paraId="48A84EDA" w14:textId="6D2E080B"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Louise Matsakis, “Congress Renews Warrantless Surveillance – and Makes It Even Worse,” </w:t>
      </w:r>
      <w:r w:rsidRPr="00201DA2">
        <w:rPr>
          <w:i/>
          <w:color w:val="000000" w:themeColor="text1"/>
          <w:sz w:val="16"/>
          <w:szCs w:val="16"/>
        </w:rPr>
        <w:t>Wired</w:t>
      </w:r>
      <w:r w:rsidRPr="00201DA2">
        <w:rPr>
          <w:color w:val="000000" w:themeColor="text1"/>
          <w:sz w:val="16"/>
          <w:szCs w:val="16"/>
        </w:rPr>
        <w:t xml:space="preserve">, January 11, 2018, </w:t>
      </w:r>
      <w:hyperlink r:id="rId71" w:history="1">
        <w:r w:rsidRPr="00201DA2">
          <w:rPr>
            <w:rStyle w:val="Hyperlink"/>
            <w:color w:val="000000" w:themeColor="text1"/>
            <w:sz w:val="16"/>
            <w:szCs w:val="16"/>
          </w:rPr>
          <w:t>https://www.wired.com/story/fisa-section-702-renewal-congress/</w:t>
        </w:r>
      </w:hyperlink>
      <w:r w:rsidRPr="00201DA2">
        <w:rPr>
          <w:color w:val="000000" w:themeColor="text1"/>
          <w:sz w:val="16"/>
          <w:szCs w:val="16"/>
        </w:rPr>
        <w:t xml:space="preserve"> (accessed January 5, 2019).</w:t>
      </w:r>
    </w:p>
  </w:footnote>
  <w:footnote w:id="125">
    <w:p w14:paraId="332402AE" w14:textId="2F8207A3"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Under US law, “US Person” refers to citizens of the United States, aliens lawfully admitted for permanent residence, an unincorporated association with a substantial number of members who are citizens of the US or are aliens lawfully admitted for permanent residence, or a corporation that is incorporated in the US. Foreign Intelligence Surveillance Act, 50 USC 1801(i).</w:t>
      </w:r>
    </w:p>
  </w:footnote>
  <w:footnote w:id="126">
    <w:p w14:paraId="176F6699" w14:textId="74F98CE3" w:rsidR="00FB0CCE" w:rsidRPr="00201DA2" w:rsidRDefault="00FB0CCE" w:rsidP="00716BFF">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“US: Secret Surveillance Erodes Fair Trial Rights,” Human Rights Watch news release, January 9, 2018, </w:t>
      </w:r>
      <w:hyperlink r:id="rId72" w:history="1">
        <w:r w:rsidRPr="00201DA2">
          <w:rPr>
            <w:rStyle w:val="Hyperlink"/>
            <w:color w:val="000000" w:themeColor="text1"/>
            <w:sz w:val="16"/>
            <w:szCs w:val="16"/>
          </w:rPr>
          <w:t>https://www.hrw.org/news/2018/01/09/us-secret-evidence-erodes-fair-trial-rights</w:t>
        </w:r>
      </w:hyperlink>
      <w:r w:rsidRPr="00201DA2">
        <w:rPr>
          <w:color w:val="000000" w:themeColor="text1"/>
          <w:sz w:val="16"/>
          <w:szCs w:val="16"/>
        </w:rPr>
        <w:t>.</w:t>
      </w:r>
    </w:p>
  </w:footnote>
  <w:footnote w:id="127">
    <w:p w14:paraId="4E9F48E8" w14:textId="674F5CD0"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US Office of the Director of National Intelligence, “Statistical Transparency Report,” April 5, 2018, </w:t>
      </w:r>
      <w:hyperlink r:id="rId73" w:history="1">
        <w:r w:rsidRPr="00201DA2">
          <w:rPr>
            <w:rStyle w:val="Hyperlink"/>
            <w:color w:val="000000" w:themeColor="text1"/>
            <w:sz w:val="16"/>
            <w:szCs w:val="16"/>
          </w:rPr>
          <w:t>https://www.dni.gov/files/documents/icotr/2018-ASTR----CY2017----FINAL-for-Release-5.4.18.pdf</w:t>
        </w:r>
      </w:hyperlink>
      <w:r w:rsidRPr="00201DA2">
        <w:rPr>
          <w:color w:val="000000" w:themeColor="text1"/>
          <w:sz w:val="16"/>
          <w:szCs w:val="16"/>
        </w:rPr>
        <w:t xml:space="preserve"> (accessed January 5, 2019).</w:t>
      </w:r>
    </w:p>
  </w:footnote>
  <w:footnote w:id="128">
    <w:p w14:paraId="53AF2F6D" w14:textId="249EC5D8"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US National Security Agency, “Press Room,” </w:t>
      </w:r>
      <w:hyperlink r:id="rId74" w:history="1">
        <w:r w:rsidRPr="00201DA2">
          <w:rPr>
            <w:rStyle w:val="Hyperlink"/>
            <w:color w:val="000000" w:themeColor="text1"/>
            <w:sz w:val="16"/>
            <w:szCs w:val="16"/>
          </w:rPr>
          <w:t>https://www.nsa.gov/news-features/press-room/statements/</w:t>
        </w:r>
      </w:hyperlink>
      <w:r w:rsidRPr="00201DA2">
        <w:rPr>
          <w:color w:val="000000" w:themeColor="text1"/>
          <w:sz w:val="16"/>
          <w:szCs w:val="16"/>
        </w:rPr>
        <w:t xml:space="preserve"> (accessed January 11, 2019).</w:t>
      </w:r>
    </w:p>
  </w:footnote>
  <w:footnote w:id="129">
    <w:p w14:paraId="2B5E5A41" w14:textId="2290FD27"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Sarah St. Vincent, “US May Give Foreign Governments and Itself Easier Access to Data,” commentary, Human Rights Watch Dispatch, February 13, 2018, </w:t>
      </w:r>
      <w:hyperlink r:id="rId75" w:history="1">
        <w:r w:rsidRPr="00201DA2">
          <w:rPr>
            <w:rStyle w:val="Hyperlink"/>
            <w:color w:val="000000" w:themeColor="text1"/>
            <w:sz w:val="16"/>
            <w:szCs w:val="16"/>
          </w:rPr>
          <w:t>https://www.hrw.org/news/2018/02/13/us-may-give-foreign-governments-and-itself-easier-access-data</w:t>
        </w:r>
      </w:hyperlink>
      <w:r w:rsidRPr="00201DA2">
        <w:rPr>
          <w:color w:val="000000" w:themeColor="text1"/>
          <w:sz w:val="16"/>
          <w:szCs w:val="16"/>
        </w:rPr>
        <w:t>.</w:t>
      </w:r>
    </w:p>
  </w:footnote>
  <w:footnote w:id="130">
    <w:p w14:paraId="0068C1D1" w14:textId="5848CE2D"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Sarah St. Vincent, “US Should Create Laws and Protect Social Media Users Data,” commentary, Human Rights Watch Dispatch, April 5, 2018, </w:t>
      </w:r>
      <w:hyperlink r:id="rId76" w:history="1">
        <w:r w:rsidRPr="00201DA2">
          <w:rPr>
            <w:rStyle w:val="Hyperlink"/>
            <w:color w:val="000000" w:themeColor="text1"/>
            <w:sz w:val="16"/>
            <w:szCs w:val="16"/>
          </w:rPr>
          <w:t>https://www.hrw.org/news/2018/04/05/us-should-create-laws-protect-social-media-users-data</w:t>
        </w:r>
      </w:hyperlink>
      <w:r w:rsidRPr="00201DA2">
        <w:rPr>
          <w:color w:val="000000" w:themeColor="text1"/>
          <w:sz w:val="16"/>
          <w:szCs w:val="16"/>
        </w:rPr>
        <w:t>.</w:t>
      </w:r>
    </w:p>
  </w:footnote>
  <w:footnote w:id="131">
    <w:p w14:paraId="79B5151A" w14:textId="12B063A6"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Sarah St. Vincent, “US Should Create Laws and Protect Social Media Users Data,” commentary, Human Rights Watch Dispatch, April 5, 2018, </w:t>
      </w:r>
      <w:hyperlink r:id="rId77" w:history="1">
        <w:r w:rsidRPr="00201DA2">
          <w:rPr>
            <w:rStyle w:val="Hyperlink"/>
            <w:color w:val="000000" w:themeColor="text1"/>
            <w:sz w:val="16"/>
            <w:szCs w:val="16"/>
          </w:rPr>
          <w:t>https://www.hrw.org/news/2018/04/05/us-should-create-laws-protect-social-media-users-data</w:t>
        </w:r>
      </w:hyperlink>
      <w:r w:rsidRPr="00201DA2">
        <w:rPr>
          <w:color w:val="000000" w:themeColor="text1"/>
          <w:sz w:val="16"/>
          <w:szCs w:val="16"/>
        </w:rPr>
        <w:t>.</w:t>
      </w:r>
    </w:p>
  </w:footnote>
  <w:footnote w:id="132">
    <w:p w14:paraId="1CE1CD9B" w14:textId="27636F6F"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Sarah St. Vincent, “Supreme Court Cell Phone Decision Is a Victory for Reality,” commentary, Human Rights Watch Dispatch, June 22, 2018, </w:t>
      </w:r>
      <w:hyperlink r:id="rId78" w:history="1">
        <w:r w:rsidRPr="00201DA2">
          <w:rPr>
            <w:rStyle w:val="Hyperlink"/>
            <w:color w:val="000000" w:themeColor="text1"/>
            <w:sz w:val="16"/>
            <w:szCs w:val="16"/>
          </w:rPr>
          <w:t>https://www.hrw.org/news/2018/06/22/supreme-court-cell-phone-decision-victory-reality</w:t>
        </w:r>
      </w:hyperlink>
      <w:r w:rsidRPr="00201DA2">
        <w:rPr>
          <w:color w:val="000000" w:themeColor="text1"/>
          <w:sz w:val="16"/>
          <w:szCs w:val="16"/>
        </w:rPr>
        <w:t>.</w:t>
      </w:r>
    </w:p>
  </w:footnote>
  <w:footnote w:id="133">
    <w:p w14:paraId="6C395459" w14:textId="4C17A49A"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Statement by Professor Martin Scheinin, Hearing before the LIBE Committee Inquiry on Electronic Mass Surveillance of EU Citizens, European Parliament, October, 14, 2013, </w:t>
      </w:r>
      <w:hyperlink r:id="rId79" w:history="1">
        <w:r w:rsidRPr="00201DA2">
          <w:rPr>
            <w:rStyle w:val="Hyperlink"/>
            <w:color w:val="000000" w:themeColor="text1"/>
            <w:sz w:val="16"/>
            <w:szCs w:val="16"/>
          </w:rPr>
          <w:t>http://www.europarl.europa.eu/document/activities/cont/201310/20131017ATT72929/20131017ATT72929EN.pdf</w:t>
        </w:r>
      </w:hyperlink>
      <w:r w:rsidRPr="00201DA2">
        <w:rPr>
          <w:color w:val="000000" w:themeColor="text1"/>
          <w:sz w:val="16"/>
          <w:szCs w:val="16"/>
        </w:rPr>
        <w:t xml:space="preserve"> (accessed January 11, 2019). </w:t>
      </w:r>
    </w:p>
  </w:footnote>
  <w:footnote w:id="134">
    <w:p w14:paraId="15193287" w14:textId="75645CBA" w:rsidR="00FB0CCE" w:rsidRPr="00201DA2" w:rsidRDefault="00FB0CCE" w:rsidP="00725BD2">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UN Human Rights Council, Report of the Special Rapporteur on the promotion and protection of the right to freedom of opinion and expression, Frank La Rue, UN Doc. A/HRC/23/40, Apr. 17, 2013,  </w:t>
      </w:r>
      <w:hyperlink r:id="rId80" w:history="1">
        <w:r w:rsidRPr="00201DA2">
          <w:rPr>
            <w:rStyle w:val="Hyperlink"/>
            <w:color w:val="000000" w:themeColor="text1"/>
            <w:sz w:val="16"/>
            <w:szCs w:val="16"/>
          </w:rPr>
          <w:t>https://www.ohchr.org/Documents/HRBodies/HRCouncil/RegularSession/Session23/A.HRC.23.40_EN.pdf</w:t>
        </w:r>
      </w:hyperlink>
      <w:r w:rsidRPr="00201DA2">
        <w:rPr>
          <w:color w:val="000000" w:themeColor="text1"/>
          <w:sz w:val="16"/>
          <w:szCs w:val="16"/>
        </w:rPr>
        <w:t xml:space="preserve"> (accessed January 11, 2019).  </w:t>
      </w:r>
    </w:p>
  </w:footnote>
  <w:footnote w:id="135">
    <w:p w14:paraId="6E04E187" w14:textId="6C910248"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Charlie Savage, “</w:t>
      </w:r>
      <w:r w:rsidRPr="00201DA2">
        <w:rPr>
          <w:color w:val="000000" w:themeColor="text1"/>
          <w:spacing w:val="3"/>
          <w:sz w:val="16"/>
          <w:szCs w:val="16"/>
          <w:shd w:val="clear" w:color="auto" w:fill="FFFFFF"/>
        </w:rPr>
        <w:t xml:space="preserve">As ISIS Fighters Fill Prisons in Syria, Their Home Nations Look Away,” </w:t>
      </w:r>
      <w:r w:rsidRPr="00201DA2">
        <w:rPr>
          <w:i/>
          <w:color w:val="000000" w:themeColor="text1"/>
          <w:sz w:val="16"/>
          <w:szCs w:val="16"/>
        </w:rPr>
        <w:t>New York Times</w:t>
      </w:r>
      <w:r w:rsidRPr="00201DA2">
        <w:rPr>
          <w:color w:val="000000" w:themeColor="text1"/>
          <w:sz w:val="16"/>
          <w:szCs w:val="16"/>
        </w:rPr>
        <w:t xml:space="preserve">, July 18, 2018, </w:t>
      </w:r>
      <w:hyperlink r:id="rId81" w:history="1">
        <w:r w:rsidRPr="00201DA2">
          <w:rPr>
            <w:rStyle w:val="Hyperlink"/>
            <w:color w:val="000000" w:themeColor="text1"/>
            <w:sz w:val="16"/>
            <w:szCs w:val="16"/>
          </w:rPr>
          <w:t>https://www.nytimes.com/2018/07/18/world/middleeast/islamic-state-detainees-syria-prisons.html</w:t>
        </w:r>
      </w:hyperlink>
      <w:r w:rsidRPr="00201DA2">
        <w:rPr>
          <w:color w:val="000000" w:themeColor="text1"/>
          <w:sz w:val="16"/>
          <w:szCs w:val="16"/>
        </w:rPr>
        <w:t xml:space="preserve"> (accessed January 5, 2019).</w:t>
      </w:r>
    </w:p>
  </w:footnote>
  <w:footnote w:id="136">
    <w:p w14:paraId="2487408A" w14:textId="070EFC96"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Courtney Kube, Dan De Luce and Josh Lederman, “Trump admin may send captured ISIS fighters to Iraq prison, Guantanamo,” </w:t>
      </w:r>
      <w:r w:rsidRPr="00201DA2">
        <w:rPr>
          <w:i/>
          <w:color w:val="000000" w:themeColor="text1"/>
          <w:sz w:val="16"/>
          <w:szCs w:val="16"/>
        </w:rPr>
        <w:t>NBC News</w:t>
      </w:r>
      <w:r w:rsidRPr="00201DA2">
        <w:rPr>
          <w:color w:val="000000" w:themeColor="text1"/>
          <w:sz w:val="16"/>
          <w:szCs w:val="16"/>
        </w:rPr>
        <w:t xml:space="preserve">, August 30, 2018, </w:t>
      </w:r>
      <w:hyperlink r:id="rId82" w:history="1">
        <w:r w:rsidRPr="00201DA2">
          <w:rPr>
            <w:rStyle w:val="Hyperlink"/>
            <w:color w:val="000000" w:themeColor="text1"/>
            <w:sz w:val="16"/>
            <w:szCs w:val="16"/>
          </w:rPr>
          <w:t>https://www.nbcnews.com/storyline/isis-terror/trump-admin-may-send-captured-isis-fighters-iraq-prison-guantanamo-n905066</w:t>
        </w:r>
      </w:hyperlink>
      <w:r w:rsidRPr="00201DA2">
        <w:rPr>
          <w:color w:val="000000" w:themeColor="text1"/>
          <w:sz w:val="16"/>
          <w:szCs w:val="16"/>
        </w:rPr>
        <w:t xml:space="preserve"> (accessed January 6, 2019).</w:t>
      </w:r>
    </w:p>
  </w:footnote>
  <w:footnote w:id="137">
    <w:p w14:paraId="590F01DA" w14:textId="1C692456"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w:t>
      </w:r>
      <w:bookmarkStart w:id="16" w:name="_Hlk534528111"/>
      <w:r w:rsidRPr="00201DA2">
        <w:rPr>
          <w:color w:val="000000" w:themeColor="text1"/>
          <w:sz w:val="16"/>
          <w:szCs w:val="16"/>
        </w:rPr>
        <w:t>“US Sent ISIS Detainees to Possible Abuse,” Human Rights Watch news release, August 3, 2018</w:t>
      </w:r>
      <w:bookmarkEnd w:id="16"/>
      <w:r w:rsidRPr="00201DA2">
        <w:rPr>
          <w:color w:val="000000" w:themeColor="text1"/>
          <w:sz w:val="16"/>
          <w:szCs w:val="16"/>
        </w:rPr>
        <w:t xml:space="preserve">, </w:t>
      </w:r>
      <w:hyperlink r:id="rId83" w:history="1">
        <w:r w:rsidRPr="00201DA2">
          <w:rPr>
            <w:rStyle w:val="Hyperlink"/>
            <w:color w:val="000000" w:themeColor="text1"/>
            <w:sz w:val="16"/>
            <w:szCs w:val="16"/>
          </w:rPr>
          <w:t>https://www.hrw.org/news/2018/08/03/us-sent-isis-detainees-possible-abuse</w:t>
        </w:r>
      </w:hyperlink>
      <w:r w:rsidRPr="00201DA2">
        <w:rPr>
          <w:color w:val="000000" w:themeColor="text1"/>
          <w:sz w:val="16"/>
          <w:szCs w:val="16"/>
        </w:rPr>
        <w:t>.</w:t>
      </w:r>
    </w:p>
  </w:footnote>
  <w:footnote w:id="138">
    <w:p w14:paraId="3ACBC233" w14:textId="08A3A76D"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“US: Detainees Transferred from Syria to Iraq,” Human Rights Watch news release, October 31, 2018, </w:t>
      </w:r>
      <w:hyperlink r:id="rId84" w:history="1">
        <w:r w:rsidRPr="00201DA2">
          <w:rPr>
            <w:rStyle w:val="Hyperlink"/>
            <w:color w:val="000000" w:themeColor="text1"/>
            <w:sz w:val="16"/>
            <w:szCs w:val="16"/>
          </w:rPr>
          <w:t>https://www.hrw.org/news/2018/10/31/us-detainees-transferred-syria-iraq</w:t>
        </w:r>
      </w:hyperlink>
      <w:r w:rsidRPr="00201DA2">
        <w:rPr>
          <w:color w:val="000000" w:themeColor="text1"/>
          <w:sz w:val="16"/>
          <w:szCs w:val="16"/>
        </w:rPr>
        <w:t>.</w:t>
      </w:r>
    </w:p>
  </w:footnote>
  <w:footnote w:id="139">
    <w:p w14:paraId="02C9C98E" w14:textId="6B00258A"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Charlie Savage, Rukmini Callimachi and Eric Schmitt, “American ISIS Suspect Is Freed After Being Held More Than a Year,” </w:t>
      </w:r>
      <w:r w:rsidRPr="00201DA2">
        <w:rPr>
          <w:i/>
          <w:color w:val="000000" w:themeColor="text1"/>
          <w:sz w:val="16"/>
          <w:szCs w:val="16"/>
        </w:rPr>
        <w:t>New York Times</w:t>
      </w:r>
      <w:r w:rsidRPr="00201DA2">
        <w:rPr>
          <w:color w:val="000000" w:themeColor="text1"/>
          <w:sz w:val="16"/>
          <w:szCs w:val="16"/>
        </w:rPr>
        <w:t xml:space="preserve">, October 29, 2018, </w:t>
      </w:r>
      <w:hyperlink r:id="rId85" w:history="1">
        <w:r w:rsidRPr="00201DA2">
          <w:rPr>
            <w:rStyle w:val="Hyperlink"/>
            <w:color w:val="000000" w:themeColor="text1"/>
            <w:sz w:val="16"/>
            <w:szCs w:val="16"/>
          </w:rPr>
          <w:t>https://www.nytimes.com/2018/10/29/us/politics/isis-john-doe-released-abdulrahman-alsheikh.html</w:t>
        </w:r>
      </w:hyperlink>
      <w:r w:rsidRPr="00201DA2">
        <w:rPr>
          <w:color w:val="000000" w:themeColor="text1"/>
          <w:sz w:val="16"/>
          <w:szCs w:val="16"/>
        </w:rPr>
        <w:t xml:space="preserve"> (accessed January 6, 2019).  </w:t>
      </w:r>
    </w:p>
  </w:footnote>
  <w:footnote w:id="140">
    <w:p w14:paraId="0D2C3E6D" w14:textId="768D3C27"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Courtney Kube, Dan De Luce and Josh Lederman, “Trump admin may send captured ISIS fighters to Iraq prison, Guantanamo,” </w:t>
      </w:r>
      <w:r w:rsidRPr="00201DA2">
        <w:rPr>
          <w:i/>
          <w:color w:val="000000" w:themeColor="text1"/>
          <w:sz w:val="16"/>
          <w:szCs w:val="16"/>
        </w:rPr>
        <w:t>NBC News</w:t>
      </w:r>
      <w:r w:rsidRPr="00201DA2">
        <w:rPr>
          <w:color w:val="000000" w:themeColor="text1"/>
          <w:sz w:val="16"/>
          <w:szCs w:val="16"/>
        </w:rPr>
        <w:t xml:space="preserve">, August 30, 2018, </w:t>
      </w:r>
      <w:hyperlink r:id="rId86" w:history="1">
        <w:r w:rsidRPr="00201DA2">
          <w:rPr>
            <w:rStyle w:val="Hyperlink"/>
            <w:color w:val="000000" w:themeColor="text1"/>
            <w:sz w:val="16"/>
            <w:szCs w:val="16"/>
          </w:rPr>
          <w:t>https://www.nbcnews.com/storyline/isis-terror/trump-admin-may-send-captured-isis-fighters-iraq-prison-guantanamo-n905066</w:t>
        </w:r>
      </w:hyperlink>
      <w:r w:rsidRPr="00201DA2">
        <w:rPr>
          <w:color w:val="000000" w:themeColor="text1"/>
          <w:sz w:val="16"/>
          <w:szCs w:val="16"/>
        </w:rPr>
        <w:t xml:space="preserve"> (accessed January 6, 2019).</w:t>
      </w:r>
    </w:p>
  </w:footnote>
  <w:footnote w:id="141">
    <w:p w14:paraId="2D97136F" w14:textId="5DBCA177"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“US Sent ISIS Detainees to Possible Abuse,” Human Rights Watch news release, August 30, 2018, </w:t>
      </w:r>
      <w:hyperlink r:id="rId87" w:history="1">
        <w:r w:rsidRPr="00201DA2">
          <w:rPr>
            <w:rStyle w:val="Hyperlink"/>
            <w:color w:val="000000" w:themeColor="text1"/>
            <w:sz w:val="16"/>
            <w:szCs w:val="16"/>
          </w:rPr>
          <w:t>https://www.hrw.org/news/2018/08/03/us-sent-isis-detainees-possible-abuse</w:t>
        </w:r>
      </w:hyperlink>
      <w:r w:rsidRPr="00201DA2">
        <w:rPr>
          <w:color w:val="000000" w:themeColor="text1"/>
          <w:sz w:val="16"/>
          <w:szCs w:val="16"/>
        </w:rPr>
        <w:t>; “US: Detainees Transferred from Syria to Iraq,” Human Rights Watch news release, October 31, 2018, https://www.hrw.org/news/2018/10/31/us-detainees-transferred-syria-iraq.</w:t>
      </w:r>
    </w:p>
  </w:footnote>
  <w:footnote w:id="142">
    <w:p w14:paraId="3528306F" w14:textId="6704E309"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“Q&amp;A: Guantanamo Bay, US Detentions, and the Trump Administration,” Human Rights Watch news release, June 27, 2018, https://www.hrw.org/news/2018/06/27/qa-guantanamo-bay-us-detentions-and-trump-administration; Charlie Savage, “Frustrated Military Tribunal Judge Indefinitely Halts Cole Bombing Case,” </w:t>
      </w:r>
      <w:r w:rsidRPr="00201DA2">
        <w:rPr>
          <w:i/>
          <w:color w:val="000000" w:themeColor="text1"/>
          <w:sz w:val="16"/>
          <w:szCs w:val="16"/>
        </w:rPr>
        <w:t>New York Times</w:t>
      </w:r>
      <w:r w:rsidRPr="00201DA2">
        <w:rPr>
          <w:color w:val="000000" w:themeColor="text1"/>
          <w:sz w:val="16"/>
          <w:szCs w:val="16"/>
        </w:rPr>
        <w:t xml:space="preserve">, February 16, 2018, </w:t>
      </w:r>
      <w:hyperlink r:id="rId88" w:history="1">
        <w:r w:rsidRPr="00201DA2">
          <w:rPr>
            <w:rStyle w:val="Hyperlink"/>
            <w:color w:val="000000" w:themeColor="text1"/>
            <w:sz w:val="16"/>
            <w:szCs w:val="16"/>
          </w:rPr>
          <w:t>https://www.nytimes.com/2018/02/16/us/politics/guantanamo-cole.html</w:t>
        </w:r>
      </w:hyperlink>
      <w:r w:rsidRPr="00201DA2">
        <w:rPr>
          <w:color w:val="000000" w:themeColor="text1"/>
          <w:sz w:val="16"/>
          <w:szCs w:val="16"/>
        </w:rPr>
        <w:t xml:space="preserve"> (accessed Jan. 6, 2019). </w:t>
      </w:r>
    </w:p>
  </w:footnote>
  <w:footnote w:id="143">
    <w:p w14:paraId="4E7856FB" w14:textId="79ADC5BA" w:rsidR="0004092A" w:rsidRDefault="0004092A" w:rsidP="0004092A">
      <w:pPr>
        <w:pStyle w:val="FootnoteText"/>
      </w:pPr>
      <w:r>
        <w:rPr>
          <w:rStyle w:val="FootnoteReference"/>
        </w:rPr>
        <w:footnoteRef/>
      </w:r>
      <w:r>
        <w:t xml:space="preserve"> </w:t>
      </w:r>
      <w:r w:rsidRPr="00425D3E">
        <w:rPr>
          <w:color w:val="000000" w:themeColor="text1"/>
          <w:sz w:val="16"/>
          <w:szCs w:val="16"/>
        </w:rPr>
        <w:t xml:space="preserve">Human Rights Watch, </w:t>
      </w:r>
      <w:r w:rsidRPr="00425D3E">
        <w:rPr>
          <w:i/>
          <w:color w:val="000000" w:themeColor="text1"/>
          <w:sz w:val="16"/>
          <w:szCs w:val="16"/>
        </w:rPr>
        <w:t>No More Excuses: A Roadmap to Justice for CIA Torture</w:t>
      </w:r>
      <w:r w:rsidRPr="00425D3E">
        <w:rPr>
          <w:color w:val="000000" w:themeColor="text1"/>
          <w:sz w:val="16"/>
          <w:szCs w:val="16"/>
        </w:rPr>
        <w:t>,” December 2015, https://www.hrw.org/sites/default/files/report_pdf/us1215web.pdf</w:t>
      </w:r>
      <w:r>
        <w:rPr>
          <w:color w:val="000000" w:themeColor="text1"/>
          <w:sz w:val="16"/>
          <w:szCs w:val="16"/>
        </w:rPr>
        <w:t>.</w:t>
      </w:r>
    </w:p>
  </w:footnote>
  <w:footnote w:id="144">
    <w:p w14:paraId="42ECDD0C" w14:textId="6B408BE7" w:rsidR="00FB0CCE" w:rsidRPr="00201DA2" w:rsidRDefault="00FB0CCE">
      <w:pPr>
        <w:pStyle w:val="FootnoteText"/>
        <w:rPr>
          <w:color w:val="000000" w:themeColor="text1"/>
          <w:sz w:val="16"/>
          <w:szCs w:val="16"/>
        </w:rPr>
      </w:pPr>
      <w:r w:rsidRPr="00201DA2">
        <w:rPr>
          <w:rStyle w:val="FootnoteReference"/>
          <w:color w:val="000000" w:themeColor="text1"/>
          <w:sz w:val="16"/>
          <w:szCs w:val="16"/>
        </w:rPr>
        <w:footnoteRef/>
      </w:r>
      <w:r w:rsidRPr="00201DA2">
        <w:rPr>
          <w:color w:val="000000" w:themeColor="text1"/>
          <w:sz w:val="16"/>
          <w:szCs w:val="16"/>
        </w:rPr>
        <w:t xml:space="preserve"> UN Committee against Torture, “Concluding observations on the third to fifth periodic reports of United States of America,” CAT/C/USA/CO/3-5/Add.1, November 20, 2014, http://docstore.ohchr.org/SelfServices/FilesHandler.ashx?enc=6QkG1d%2FPPRiCAqhKb7yhsuLMmIdNURtE47fFHU%2BcDW3YqC%2F3zHkM7HdrMe8Ha0T3LrxFZw2DBuPPjJtmrR1GUBC%2FjzvD8gcT%2FCPPgMygXRPGjD4yWY90dyGDoPyZiQO4 (accessed January 6, 2019).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D5C"/>
    <w:multiLevelType w:val="hybridMultilevel"/>
    <w:tmpl w:val="917A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E6CDF"/>
    <w:multiLevelType w:val="hybridMultilevel"/>
    <w:tmpl w:val="0B88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D1F30"/>
    <w:multiLevelType w:val="hybridMultilevel"/>
    <w:tmpl w:val="5344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51144"/>
    <w:multiLevelType w:val="hybridMultilevel"/>
    <w:tmpl w:val="1FD4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B55F7"/>
    <w:multiLevelType w:val="hybridMultilevel"/>
    <w:tmpl w:val="67629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820129"/>
    <w:multiLevelType w:val="hybridMultilevel"/>
    <w:tmpl w:val="83CA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D3D34"/>
    <w:multiLevelType w:val="hybridMultilevel"/>
    <w:tmpl w:val="FA42441A"/>
    <w:lvl w:ilvl="0" w:tplc="48CE587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B12F0"/>
    <w:multiLevelType w:val="hybridMultilevel"/>
    <w:tmpl w:val="45F6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16E5D"/>
    <w:multiLevelType w:val="hybridMultilevel"/>
    <w:tmpl w:val="EAF2FADA"/>
    <w:lvl w:ilvl="0" w:tplc="90E2D4B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BF0041"/>
    <w:multiLevelType w:val="hybridMultilevel"/>
    <w:tmpl w:val="F752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77D72"/>
    <w:multiLevelType w:val="hybridMultilevel"/>
    <w:tmpl w:val="80A4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04D12"/>
    <w:multiLevelType w:val="hybridMultilevel"/>
    <w:tmpl w:val="EE72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F051E"/>
    <w:multiLevelType w:val="hybridMultilevel"/>
    <w:tmpl w:val="1352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15363"/>
    <w:multiLevelType w:val="hybridMultilevel"/>
    <w:tmpl w:val="665E8AFC"/>
    <w:lvl w:ilvl="0" w:tplc="D444DF4E">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BD19DB"/>
    <w:multiLevelType w:val="hybridMultilevel"/>
    <w:tmpl w:val="2258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4469C"/>
    <w:multiLevelType w:val="hybridMultilevel"/>
    <w:tmpl w:val="405C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54F40"/>
    <w:multiLevelType w:val="hybridMultilevel"/>
    <w:tmpl w:val="E7BA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B6415"/>
    <w:multiLevelType w:val="hybridMultilevel"/>
    <w:tmpl w:val="834E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15162B"/>
    <w:multiLevelType w:val="multilevel"/>
    <w:tmpl w:val="4198CD4C"/>
    <w:lvl w:ilvl="0">
      <w:start w:val="1"/>
      <w:numFmt w:val="upperRoman"/>
      <w:lvlText w:val="%1."/>
      <w:lvlJc w:val="right"/>
      <w:pPr>
        <w:ind w:left="720" w:hanging="360"/>
      </w:pPr>
      <w:rPr>
        <w:b w:val="0"/>
        <w:vertAlign w:val="baseline"/>
      </w:rPr>
    </w:lvl>
    <w:lvl w:ilvl="1">
      <w:start w:val="1"/>
      <w:numFmt w:val="bullet"/>
      <w:lvlText w:val="▪"/>
      <w:lvlJc w:val="left"/>
      <w:pPr>
        <w:ind w:left="1440" w:hanging="360"/>
      </w:pPr>
      <w:rPr>
        <w:rFonts w:ascii="Noto Sans Symbols" w:eastAsia="Noto Sans Symbols" w:hAnsi="Noto Sans Symbols" w:cs="Noto Sans Symbols"/>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59CE0597"/>
    <w:multiLevelType w:val="hybridMultilevel"/>
    <w:tmpl w:val="DA36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437E6"/>
    <w:multiLevelType w:val="hybridMultilevel"/>
    <w:tmpl w:val="4AEE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D07F63"/>
    <w:multiLevelType w:val="hybridMultilevel"/>
    <w:tmpl w:val="8EE8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851F26"/>
    <w:multiLevelType w:val="hybridMultilevel"/>
    <w:tmpl w:val="50FE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443D06"/>
    <w:multiLevelType w:val="hybridMultilevel"/>
    <w:tmpl w:val="9C0A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A923E9"/>
    <w:multiLevelType w:val="hybridMultilevel"/>
    <w:tmpl w:val="5E74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903C8D"/>
    <w:multiLevelType w:val="hybridMultilevel"/>
    <w:tmpl w:val="4B987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E73949"/>
    <w:multiLevelType w:val="hybridMultilevel"/>
    <w:tmpl w:val="639CBDE2"/>
    <w:lvl w:ilvl="0" w:tplc="A1B41C3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BF7817"/>
    <w:multiLevelType w:val="hybridMultilevel"/>
    <w:tmpl w:val="CC10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B853EB"/>
    <w:multiLevelType w:val="hybridMultilevel"/>
    <w:tmpl w:val="59F6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4"/>
  </w:num>
  <w:num w:numId="4">
    <w:abstractNumId w:val="23"/>
  </w:num>
  <w:num w:numId="5">
    <w:abstractNumId w:val="20"/>
  </w:num>
  <w:num w:numId="6">
    <w:abstractNumId w:val="6"/>
  </w:num>
  <w:num w:numId="7">
    <w:abstractNumId w:val="13"/>
  </w:num>
  <w:num w:numId="8">
    <w:abstractNumId w:val="26"/>
  </w:num>
  <w:num w:numId="9">
    <w:abstractNumId w:val="2"/>
  </w:num>
  <w:num w:numId="10">
    <w:abstractNumId w:val="24"/>
  </w:num>
  <w:num w:numId="11">
    <w:abstractNumId w:val="5"/>
  </w:num>
  <w:num w:numId="12">
    <w:abstractNumId w:val="11"/>
  </w:num>
  <w:num w:numId="13">
    <w:abstractNumId w:val="25"/>
  </w:num>
  <w:num w:numId="14">
    <w:abstractNumId w:val="12"/>
  </w:num>
  <w:num w:numId="15">
    <w:abstractNumId w:val="16"/>
  </w:num>
  <w:num w:numId="16">
    <w:abstractNumId w:val="22"/>
  </w:num>
  <w:num w:numId="17">
    <w:abstractNumId w:val="0"/>
  </w:num>
  <w:num w:numId="18">
    <w:abstractNumId w:val="28"/>
  </w:num>
  <w:num w:numId="19">
    <w:abstractNumId w:val="3"/>
  </w:num>
  <w:num w:numId="20">
    <w:abstractNumId w:val="4"/>
  </w:num>
  <w:num w:numId="21">
    <w:abstractNumId w:val="27"/>
  </w:num>
  <w:num w:numId="22">
    <w:abstractNumId w:val="19"/>
  </w:num>
  <w:num w:numId="23">
    <w:abstractNumId w:val="21"/>
  </w:num>
  <w:num w:numId="24">
    <w:abstractNumId w:val="7"/>
  </w:num>
  <w:num w:numId="25">
    <w:abstractNumId w:val="1"/>
  </w:num>
  <w:num w:numId="26">
    <w:abstractNumId w:val="15"/>
  </w:num>
  <w:num w:numId="27">
    <w:abstractNumId w:val="10"/>
  </w:num>
  <w:num w:numId="28">
    <w:abstractNumId w:val="17"/>
  </w:num>
  <w:num w:numId="29">
    <w:abstractNumId w:val="2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E7A"/>
    <w:rsid w:val="00000BC6"/>
    <w:rsid w:val="000045C7"/>
    <w:rsid w:val="00012E9B"/>
    <w:rsid w:val="00013FB2"/>
    <w:rsid w:val="00022724"/>
    <w:rsid w:val="00023CDD"/>
    <w:rsid w:val="00035345"/>
    <w:rsid w:val="000377A7"/>
    <w:rsid w:val="00037BC7"/>
    <w:rsid w:val="0004092A"/>
    <w:rsid w:val="00044E91"/>
    <w:rsid w:val="000574A9"/>
    <w:rsid w:val="00060C15"/>
    <w:rsid w:val="00070AB8"/>
    <w:rsid w:val="0007215E"/>
    <w:rsid w:val="00072FE5"/>
    <w:rsid w:val="00074A21"/>
    <w:rsid w:val="000802F3"/>
    <w:rsid w:val="0008554B"/>
    <w:rsid w:val="00090F93"/>
    <w:rsid w:val="000B22DE"/>
    <w:rsid w:val="000B447C"/>
    <w:rsid w:val="000B4898"/>
    <w:rsid w:val="000B7EF5"/>
    <w:rsid w:val="000C2EE5"/>
    <w:rsid w:val="000C6404"/>
    <w:rsid w:val="000D19F5"/>
    <w:rsid w:val="000E3D97"/>
    <w:rsid w:val="000E4BEB"/>
    <w:rsid w:val="000F1858"/>
    <w:rsid w:val="000F4BEB"/>
    <w:rsid w:val="000F6BFE"/>
    <w:rsid w:val="001007B7"/>
    <w:rsid w:val="00103076"/>
    <w:rsid w:val="00104C3B"/>
    <w:rsid w:val="001055BE"/>
    <w:rsid w:val="001130FF"/>
    <w:rsid w:val="0011480A"/>
    <w:rsid w:val="00117C51"/>
    <w:rsid w:val="00121F49"/>
    <w:rsid w:val="00124506"/>
    <w:rsid w:val="001344DF"/>
    <w:rsid w:val="00134E19"/>
    <w:rsid w:val="00140458"/>
    <w:rsid w:val="001413A4"/>
    <w:rsid w:val="00142BE3"/>
    <w:rsid w:val="00147405"/>
    <w:rsid w:val="00147F65"/>
    <w:rsid w:val="0015399A"/>
    <w:rsid w:val="00154853"/>
    <w:rsid w:val="00155FE7"/>
    <w:rsid w:val="00156472"/>
    <w:rsid w:val="00160040"/>
    <w:rsid w:val="00162974"/>
    <w:rsid w:val="001643E9"/>
    <w:rsid w:val="00172C69"/>
    <w:rsid w:val="00177B1A"/>
    <w:rsid w:val="0018072E"/>
    <w:rsid w:val="00180D07"/>
    <w:rsid w:val="00184DD9"/>
    <w:rsid w:val="00184F6C"/>
    <w:rsid w:val="00190F96"/>
    <w:rsid w:val="001911DF"/>
    <w:rsid w:val="0019659D"/>
    <w:rsid w:val="001A628A"/>
    <w:rsid w:val="001B1DB9"/>
    <w:rsid w:val="001B640F"/>
    <w:rsid w:val="001B6AD0"/>
    <w:rsid w:val="001C3CEA"/>
    <w:rsid w:val="001D44D1"/>
    <w:rsid w:val="001D6724"/>
    <w:rsid w:val="001E1DCD"/>
    <w:rsid w:val="001E1EDD"/>
    <w:rsid w:val="001E41BF"/>
    <w:rsid w:val="001F3E51"/>
    <w:rsid w:val="001F3F68"/>
    <w:rsid w:val="00201DA2"/>
    <w:rsid w:val="0020291F"/>
    <w:rsid w:val="00216B5E"/>
    <w:rsid w:val="00223C66"/>
    <w:rsid w:val="002329D8"/>
    <w:rsid w:val="00233B83"/>
    <w:rsid w:val="0023510B"/>
    <w:rsid w:val="00242EE3"/>
    <w:rsid w:val="00250527"/>
    <w:rsid w:val="002523C6"/>
    <w:rsid w:val="00261AE3"/>
    <w:rsid w:val="00271644"/>
    <w:rsid w:val="002728BD"/>
    <w:rsid w:val="002732CB"/>
    <w:rsid w:val="00274AE4"/>
    <w:rsid w:val="00275025"/>
    <w:rsid w:val="00282133"/>
    <w:rsid w:val="00282723"/>
    <w:rsid w:val="00283C23"/>
    <w:rsid w:val="00284292"/>
    <w:rsid w:val="0028736B"/>
    <w:rsid w:val="0028781F"/>
    <w:rsid w:val="002915AE"/>
    <w:rsid w:val="002918DD"/>
    <w:rsid w:val="002977FD"/>
    <w:rsid w:val="002A5EE1"/>
    <w:rsid w:val="002A6B10"/>
    <w:rsid w:val="002B012A"/>
    <w:rsid w:val="002B0A4D"/>
    <w:rsid w:val="002B0A68"/>
    <w:rsid w:val="002B15B7"/>
    <w:rsid w:val="002C40E7"/>
    <w:rsid w:val="002C791D"/>
    <w:rsid w:val="002D16D4"/>
    <w:rsid w:val="002D2ADF"/>
    <w:rsid w:val="002D2AF9"/>
    <w:rsid w:val="002D3E6A"/>
    <w:rsid w:val="002D4A0F"/>
    <w:rsid w:val="002D4CC1"/>
    <w:rsid w:val="002E0481"/>
    <w:rsid w:val="002E5988"/>
    <w:rsid w:val="002E746A"/>
    <w:rsid w:val="002F0206"/>
    <w:rsid w:val="002F752C"/>
    <w:rsid w:val="00300EB9"/>
    <w:rsid w:val="003015DA"/>
    <w:rsid w:val="00302148"/>
    <w:rsid w:val="003056F2"/>
    <w:rsid w:val="0030578D"/>
    <w:rsid w:val="003057B3"/>
    <w:rsid w:val="00322ED2"/>
    <w:rsid w:val="00342C21"/>
    <w:rsid w:val="00343CE7"/>
    <w:rsid w:val="00353723"/>
    <w:rsid w:val="0035412C"/>
    <w:rsid w:val="00362655"/>
    <w:rsid w:val="003647CB"/>
    <w:rsid w:val="003749A6"/>
    <w:rsid w:val="00375DCA"/>
    <w:rsid w:val="00377BD0"/>
    <w:rsid w:val="003821C3"/>
    <w:rsid w:val="0038456D"/>
    <w:rsid w:val="00385933"/>
    <w:rsid w:val="00387F5D"/>
    <w:rsid w:val="003950FE"/>
    <w:rsid w:val="00396454"/>
    <w:rsid w:val="00397CF5"/>
    <w:rsid w:val="003A1D46"/>
    <w:rsid w:val="003A335A"/>
    <w:rsid w:val="003A6A8C"/>
    <w:rsid w:val="003A6C71"/>
    <w:rsid w:val="003A79BA"/>
    <w:rsid w:val="003B4A05"/>
    <w:rsid w:val="003B5306"/>
    <w:rsid w:val="003B63DB"/>
    <w:rsid w:val="003C653F"/>
    <w:rsid w:val="003C69FF"/>
    <w:rsid w:val="003D39CF"/>
    <w:rsid w:val="003D5695"/>
    <w:rsid w:val="003D5EC1"/>
    <w:rsid w:val="003E4D5A"/>
    <w:rsid w:val="003F0ABC"/>
    <w:rsid w:val="003F6730"/>
    <w:rsid w:val="00400199"/>
    <w:rsid w:val="00403CCA"/>
    <w:rsid w:val="00405DA2"/>
    <w:rsid w:val="00410827"/>
    <w:rsid w:val="00411BAB"/>
    <w:rsid w:val="00416F6A"/>
    <w:rsid w:val="00417250"/>
    <w:rsid w:val="00421C1C"/>
    <w:rsid w:val="004222A5"/>
    <w:rsid w:val="0042424D"/>
    <w:rsid w:val="004248B7"/>
    <w:rsid w:val="0044324C"/>
    <w:rsid w:val="00445A8D"/>
    <w:rsid w:val="00446983"/>
    <w:rsid w:val="00450381"/>
    <w:rsid w:val="00457390"/>
    <w:rsid w:val="00462CFF"/>
    <w:rsid w:val="00466C75"/>
    <w:rsid w:val="004731B2"/>
    <w:rsid w:val="00473E5B"/>
    <w:rsid w:val="004834A8"/>
    <w:rsid w:val="0048669D"/>
    <w:rsid w:val="0049355B"/>
    <w:rsid w:val="004938A4"/>
    <w:rsid w:val="00495DBF"/>
    <w:rsid w:val="00497DA6"/>
    <w:rsid w:val="004A617A"/>
    <w:rsid w:val="004A7D0F"/>
    <w:rsid w:val="004B055F"/>
    <w:rsid w:val="004B32FB"/>
    <w:rsid w:val="004C3658"/>
    <w:rsid w:val="004C54EA"/>
    <w:rsid w:val="004C5FED"/>
    <w:rsid w:val="004D1D86"/>
    <w:rsid w:val="004D408D"/>
    <w:rsid w:val="004E0B93"/>
    <w:rsid w:val="004E5FE9"/>
    <w:rsid w:val="004E7324"/>
    <w:rsid w:val="004F2E7F"/>
    <w:rsid w:val="005032BD"/>
    <w:rsid w:val="005035AC"/>
    <w:rsid w:val="00504750"/>
    <w:rsid w:val="005048AB"/>
    <w:rsid w:val="00511F6E"/>
    <w:rsid w:val="00512762"/>
    <w:rsid w:val="00513C9E"/>
    <w:rsid w:val="005172E6"/>
    <w:rsid w:val="00530431"/>
    <w:rsid w:val="005319FD"/>
    <w:rsid w:val="0053595B"/>
    <w:rsid w:val="005368C1"/>
    <w:rsid w:val="00536F09"/>
    <w:rsid w:val="00537285"/>
    <w:rsid w:val="00541D12"/>
    <w:rsid w:val="00543FD9"/>
    <w:rsid w:val="00552754"/>
    <w:rsid w:val="00557307"/>
    <w:rsid w:val="00561025"/>
    <w:rsid w:val="00561702"/>
    <w:rsid w:val="00563E4C"/>
    <w:rsid w:val="0056739C"/>
    <w:rsid w:val="005904CC"/>
    <w:rsid w:val="00591289"/>
    <w:rsid w:val="005A3052"/>
    <w:rsid w:val="005A390C"/>
    <w:rsid w:val="005A6514"/>
    <w:rsid w:val="005B27F7"/>
    <w:rsid w:val="005B43FD"/>
    <w:rsid w:val="005C2312"/>
    <w:rsid w:val="005C5CF4"/>
    <w:rsid w:val="005D1210"/>
    <w:rsid w:val="005D1B78"/>
    <w:rsid w:val="005D7FC7"/>
    <w:rsid w:val="005E432B"/>
    <w:rsid w:val="005E6886"/>
    <w:rsid w:val="005F1DEF"/>
    <w:rsid w:val="005F611D"/>
    <w:rsid w:val="005F7CB2"/>
    <w:rsid w:val="00600148"/>
    <w:rsid w:val="00603B80"/>
    <w:rsid w:val="00604E88"/>
    <w:rsid w:val="006079DA"/>
    <w:rsid w:val="00610DC4"/>
    <w:rsid w:val="0061382C"/>
    <w:rsid w:val="00621CCB"/>
    <w:rsid w:val="00624666"/>
    <w:rsid w:val="00641420"/>
    <w:rsid w:val="00643A4D"/>
    <w:rsid w:val="006442E9"/>
    <w:rsid w:val="00645F8B"/>
    <w:rsid w:val="00647269"/>
    <w:rsid w:val="00650E15"/>
    <w:rsid w:val="00651097"/>
    <w:rsid w:val="006511EE"/>
    <w:rsid w:val="006540F7"/>
    <w:rsid w:val="00657FFC"/>
    <w:rsid w:val="00660831"/>
    <w:rsid w:val="00661727"/>
    <w:rsid w:val="00661C57"/>
    <w:rsid w:val="00671509"/>
    <w:rsid w:val="006719E5"/>
    <w:rsid w:val="00672434"/>
    <w:rsid w:val="006744B9"/>
    <w:rsid w:val="00677F60"/>
    <w:rsid w:val="00682F05"/>
    <w:rsid w:val="00693D45"/>
    <w:rsid w:val="006A15DE"/>
    <w:rsid w:val="006A2AC8"/>
    <w:rsid w:val="006B00C1"/>
    <w:rsid w:val="006B5B6C"/>
    <w:rsid w:val="006C2031"/>
    <w:rsid w:val="006C30A3"/>
    <w:rsid w:val="006D0D9B"/>
    <w:rsid w:val="006D4786"/>
    <w:rsid w:val="006D5720"/>
    <w:rsid w:val="006D62B6"/>
    <w:rsid w:val="006D6C18"/>
    <w:rsid w:val="006D7C11"/>
    <w:rsid w:val="006E0AF9"/>
    <w:rsid w:val="006E1D8C"/>
    <w:rsid w:val="006E59B3"/>
    <w:rsid w:val="006E6004"/>
    <w:rsid w:val="006F0B3C"/>
    <w:rsid w:val="00702009"/>
    <w:rsid w:val="007063C3"/>
    <w:rsid w:val="00711762"/>
    <w:rsid w:val="007147D3"/>
    <w:rsid w:val="00716BFF"/>
    <w:rsid w:val="0071729E"/>
    <w:rsid w:val="0072356B"/>
    <w:rsid w:val="00724655"/>
    <w:rsid w:val="00725BD2"/>
    <w:rsid w:val="007275D8"/>
    <w:rsid w:val="00731A41"/>
    <w:rsid w:val="00731EE5"/>
    <w:rsid w:val="007369FB"/>
    <w:rsid w:val="00736F86"/>
    <w:rsid w:val="00740BD1"/>
    <w:rsid w:val="00762DEC"/>
    <w:rsid w:val="00763252"/>
    <w:rsid w:val="00767D4C"/>
    <w:rsid w:val="00772D8E"/>
    <w:rsid w:val="00773BB6"/>
    <w:rsid w:val="007759EB"/>
    <w:rsid w:val="00776982"/>
    <w:rsid w:val="00776DC1"/>
    <w:rsid w:val="00780713"/>
    <w:rsid w:val="00780E50"/>
    <w:rsid w:val="00783B90"/>
    <w:rsid w:val="00784DCA"/>
    <w:rsid w:val="00785BE1"/>
    <w:rsid w:val="00787828"/>
    <w:rsid w:val="00794DDB"/>
    <w:rsid w:val="007A03A9"/>
    <w:rsid w:val="007A12A6"/>
    <w:rsid w:val="007A4556"/>
    <w:rsid w:val="007A47A1"/>
    <w:rsid w:val="007B03BF"/>
    <w:rsid w:val="007B27FA"/>
    <w:rsid w:val="007B5B08"/>
    <w:rsid w:val="007B61B5"/>
    <w:rsid w:val="007C1BE5"/>
    <w:rsid w:val="007C299B"/>
    <w:rsid w:val="007D3035"/>
    <w:rsid w:val="007F03B6"/>
    <w:rsid w:val="007F2A3A"/>
    <w:rsid w:val="007F560C"/>
    <w:rsid w:val="0080131F"/>
    <w:rsid w:val="008027E4"/>
    <w:rsid w:val="00806C3F"/>
    <w:rsid w:val="0081159F"/>
    <w:rsid w:val="00811A61"/>
    <w:rsid w:val="00821C57"/>
    <w:rsid w:val="00823855"/>
    <w:rsid w:val="00833D40"/>
    <w:rsid w:val="00840089"/>
    <w:rsid w:val="00843593"/>
    <w:rsid w:val="00851C62"/>
    <w:rsid w:val="00852E61"/>
    <w:rsid w:val="00866ED2"/>
    <w:rsid w:val="0086795E"/>
    <w:rsid w:val="0087330D"/>
    <w:rsid w:val="008815B5"/>
    <w:rsid w:val="00882C30"/>
    <w:rsid w:val="0088300C"/>
    <w:rsid w:val="00883E3F"/>
    <w:rsid w:val="008938AC"/>
    <w:rsid w:val="00897945"/>
    <w:rsid w:val="008A52E9"/>
    <w:rsid w:val="008A70C4"/>
    <w:rsid w:val="008A7B88"/>
    <w:rsid w:val="008B47B9"/>
    <w:rsid w:val="008B6A98"/>
    <w:rsid w:val="008C594E"/>
    <w:rsid w:val="008C6532"/>
    <w:rsid w:val="008D5B13"/>
    <w:rsid w:val="008E2330"/>
    <w:rsid w:val="008E26BC"/>
    <w:rsid w:val="008E2DD5"/>
    <w:rsid w:val="008E2E86"/>
    <w:rsid w:val="008F0AE2"/>
    <w:rsid w:val="008F1D3A"/>
    <w:rsid w:val="0090068E"/>
    <w:rsid w:val="0090146B"/>
    <w:rsid w:val="009034EE"/>
    <w:rsid w:val="00907632"/>
    <w:rsid w:val="00910D14"/>
    <w:rsid w:val="00910ED2"/>
    <w:rsid w:val="009112D4"/>
    <w:rsid w:val="00911AF0"/>
    <w:rsid w:val="00913BE8"/>
    <w:rsid w:val="009142B0"/>
    <w:rsid w:val="009157B2"/>
    <w:rsid w:val="009173C8"/>
    <w:rsid w:val="0092157F"/>
    <w:rsid w:val="0092172D"/>
    <w:rsid w:val="0093363A"/>
    <w:rsid w:val="009362C1"/>
    <w:rsid w:val="009373B6"/>
    <w:rsid w:val="00940AC4"/>
    <w:rsid w:val="009419E2"/>
    <w:rsid w:val="00943C95"/>
    <w:rsid w:val="00943E6A"/>
    <w:rsid w:val="00946740"/>
    <w:rsid w:val="00947D94"/>
    <w:rsid w:val="00955B9A"/>
    <w:rsid w:val="00967768"/>
    <w:rsid w:val="00973BF8"/>
    <w:rsid w:val="00974452"/>
    <w:rsid w:val="00974A53"/>
    <w:rsid w:val="00977DEE"/>
    <w:rsid w:val="00980F3A"/>
    <w:rsid w:val="00995EBC"/>
    <w:rsid w:val="009A0577"/>
    <w:rsid w:val="009A2BC8"/>
    <w:rsid w:val="009A4B24"/>
    <w:rsid w:val="009A5187"/>
    <w:rsid w:val="009A6952"/>
    <w:rsid w:val="009B0D1B"/>
    <w:rsid w:val="009B2776"/>
    <w:rsid w:val="009B3F65"/>
    <w:rsid w:val="009C123D"/>
    <w:rsid w:val="009C5565"/>
    <w:rsid w:val="009E078F"/>
    <w:rsid w:val="009E1FFC"/>
    <w:rsid w:val="009F55AA"/>
    <w:rsid w:val="009F5A9B"/>
    <w:rsid w:val="009F62DC"/>
    <w:rsid w:val="00A015AE"/>
    <w:rsid w:val="00A02EBA"/>
    <w:rsid w:val="00A11B4C"/>
    <w:rsid w:val="00A14D2A"/>
    <w:rsid w:val="00A253FF"/>
    <w:rsid w:val="00A34A75"/>
    <w:rsid w:val="00A41E90"/>
    <w:rsid w:val="00A42328"/>
    <w:rsid w:val="00A425B1"/>
    <w:rsid w:val="00A4324A"/>
    <w:rsid w:val="00A4566A"/>
    <w:rsid w:val="00A45708"/>
    <w:rsid w:val="00A45BA8"/>
    <w:rsid w:val="00A47017"/>
    <w:rsid w:val="00A5331A"/>
    <w:rsid w:val="00A54A40"/>
    <w:rsid w:val="00A55B06"/>
    <w:rsid w:val="00A56269"/>
    <w:rsid w:val="00A64B8A"/>
    <w:rsid w:val="00A6523A"/>
    <w:rsid w:val="00A656CC"/>
    <w:rsid w:val="00A74862"/>
    <w:rsid w:val="00A825DF"/>
    <w:rsid w:val="00A86139"/>
    <w:rsid w:val="00A86A2D"/>
    <w:rsid w:val="00A95C94"/>
    <w:rsid w:val="00AA3D3D"/>
    <w:rsid w:val="00AA5FC4"/>
    <w:rsid w:val="00AB2BC9"/>
    <w:rsid w:val="00AB3E65"/>
    <w:rsid w:val="00AC70D4"/>
    <w:rsid w:val="00AD6E0E"/>
    <w:rsid w:val="00AE1280"/>
    <w:rsid w:val="00AE1812"/>
    <w:rsid w:val="00AE4BA2"/>
    <w:rsid w:val="00AE6E20"/>
    <w:rsid w:val="00AF35AA"/>
    <w:rsid w:val="00AF4398"/>
    <w:rsid w:val="00AF5E77"/>
    <w:rsid w:val="00AF7673"/>
    <w:rsid w:val="00B014F0"/>
    <w:rsid w:val="00B025C1"/>
    <w:rsid w:val="00B02703"/>
    <w:rsid w:val="00B068CD"/>
    <w:rsid w:val="00B10F54"/>
    <w:rsid w:val="00B12B63"/>
    <w:rsid w:val="00B14578"/>
    <w:rsid w:val="00B22DA7"/>
    <w:rsid w:val="00B239F5"/>
    <w:rsid w:val="00B24287"/>
    <w:rsid w:val="00B30FC1"/>
    <w:rsid w:val="00B378C1"/>
    <w:rsid w:val="00B420EF"/>
    <w:rsid w:val="00B47B8B"/>
    <w:rsid w:val="00B54955"/>
    <w:rsid w:val="00B5696D"/>
    <w:rsid w:val="00B56F8D"/>
    <w:rsid w:val="00B604B7"/>
    <w:rsid w:val="00B63607"/>
    <w:rsid w:val="00B63DBD"/>
    <w:rsid w:val="00B725A2"/>
    <w:rsid w:val="00B7474C"/>
    <w:rsid w:val="00B76856"/>
    <w:rsid w:val="00B811DD"/>
    <w:rsid w:val="00B86B3A"/>
    <w:rsid w:val="00B93DE6"/>
    <w:rsid w:val="00B9570A"/>
    <w:rsid w:val="00B95B02"/>
    <w:rsid w:val="00B9787A"/>
    <w:rsid w:val="00BA7AD6"/>
    <w:rsid w:val="00BB1697"/>
    <w:rsid w:val="00BB3214"/>
    <w:rsid w:val="00BB359F"/>
    <w:rsid w:val="00BC38CC"/>
    <w:rsid w:val="00BC7F92"/>
    <w:rsid w:val="00BD37ED"/>
    <w:rsid w:val="00BD4565"/>
    <w:rsid w:val="00BD5744"/>
    <w:rsid w:val="00BE0C8A"/>
    <w:rsid w:val="00BE1DE8"/>
    <w:rsid w:val="00BE2EB8"/>
    <w:rsid w:val="00BE301E"/>
    <w:rsid w:val="00BF0EF2"/>
    <w:rsid w:val="00BF1544"/>
    <w:rsid w:val="00BF181D"/>
    <w:rsid w:val="00BF3E20"/>
    <w:rsid w:val="00BF4AE9"/>
    <w:rsid w:val="00BF55D6"/>
    <w:rsid w:val="00C00A12"/>
    <w:rsid w:val="00C1279D"/>
    <w:rsid w:val="00C14C4C"/>
    <w:rsid w:val="00C2376E"/>
    <w:rsid w:val="00C25A0D"/>
    <w:rsid w:val="00C31520"/>
    <w:rsid w:val="00C34E2A"/>
    <w:rsid w:val="00C35E95"/>
    <w:rsid w:val="00C36AD3"/>
    <w:rsid w:val="00C45AA5"/>
    <w:rsid w:val="00C50D81"/>
    <w:rsid w:val="00C56D6B"/>
    <w:rsid w:val="00C60763"/>
    <w:rsid w:val="00C626C2"/>
    <w:rsid w:val="00C62D04"/>
    <w:rsid w:val="00C67F9E"/>
    <w:rsid w:val="00C73F18"/>
    <w:rsid w:val="00C74178"/>
    <w:rsid w:val="00C8266D"/>
    <w:rsid w:val="00C83424"/>
    <w:rsid w:val="00C83C76"/>
    <w:rsid w:val="00C83C78"/>
    <w:rsid w:val="00C87556"/>
    <w:rsid w:val="00C91FD2"/>
    <w:rsid w:val="00CA1041"/>
    <w:rsid w:val="00CA598D"/>
    <w:rsid w:val="00CA6582"/>
    <w:rsid w:val="00CB5192"/>
    <w:rsid w:val="00CB5C23"/>
    <w:rsid w:val="00CC366A"/>
    <w:rsid w:val="00CD2644"/>
    <w:rsid w:val="00CD7342"/>
    <w:rsid w:val="00CD7667"/>
    <w:rsid w:val="00CE14D6"/>
    <w:rsid w:val="00CE486D"/>
    <w:rsid w:val="00CE61C7"/>
    <w:rsid w:val="00CF157C"/>
    <w:rsid w:val="00CF1CC8"/>
    <w:rsid w:val="00CF26B3"/>
    <w:rsid w:val="00CF6EC2"/>
    <w:rsid w:val="00D01464"/>
    <w:rsid w:val="00D068A4"/>
    <w:rsid w:val="00D07C44"/>
    <w:rsid w:val="00D160A5"/>
    <w:rsid w:val="00D17551"/>
    <w:rsid w:val="00D2326D"/>
    <w:rsid w:val="00D25463"/>
    <w:rsid w:val="00D406CB"/>
    <w:rsid w:val="00D4318A"/>
    <w:rsid w:val="00D5258F"/>
    <w:rsid w:val="00D53525"/>
    <w:rsid w:val="00D568BD"/>
    <w:rsid w:val="00D6071B"/>
    <w:rsid w:val="00D62249"/>
    <w:rsid w:val="00D664ED"/>
    <w:rsid w:val="00D7637B"/>
    <w:rsid w:val="00D807C3"/>
    <w:rsid w:val="00D80A24"/>
    <w:rsid w:val="00D849BF"/>
    <w:rsid w:val="00D91D7B"/>
    <w:rsid w:val="00D955B6"/>
    <w:rsid w:val="00D9699C"/>
    <w:rsid w:val="00DA66B2"/>
    <w:rsid w:val="00DA7142"/>
    <w:rsid w:val="00DA74E6"/>
    <w:rsid w:val="00DB035A"/>
    <w:rsid w:val="00DB4928"/>
    <w:rsid w:val="00DB7C85"/>
    <w:rsid w:val="00DC0378"/>
    <w:rsid w:val="00DC2E0A"/>
    <w:rsid w:val="00DC2FF6"/>
    <w:rsid w:val="00DC76D6"/>
    <w:rsid w:val="00DD4BB4"/>
    <w:rsid w:val="00DD65AC"/>
    <w:rsid w:val="00DE089C"/>
    <w:rsid w:val="00DE6716"/>
    <w:rsid w:val="00DF0051"/>
    <w:rsid w:val="00DF1958"/>
    <w:rsid w:val="00E014B7"/>
    <w:rsid w:val="00E015CF"/>
    <w:rsid w:val="00E03201"/>
    <w:rsid w:val="00E03B2B"/>
    <w:rsid w:val="00E05290"/>
    <w:rsid w:val="00E1211E"/>
    <w:rsid w:val="00E15CB5"/>
    <w:rsid w:val="00E26068"/>
    <w:rsid w:val="00E35E2D"/>
    <w:rsid w:val="00E37BB4"/>
    <w:rsid w:val="00E403ED"/>
    <w:rsid w:val="00E421AC"/>
    <w:rsid w:val="00E43198"/>
    <w:rsid w:val="00E52714"/>
    <w:rsid w:val="00E53D02"/>
    <w:rsid w:val="00E53D03"/>
    <w:rsid w:val="00E56427"/>
    <w:rsid w:val="00E56DE9"/>
    <w:rsid w:val="00E64299"/>
    <w:rsid w:val="00E7255B"/>
    <w:rsid w:val="00E76586"/>
    <w:rsid w:val="00E76A5C"/>
    <w:rsid w:val="00E8348C"/>
    <w:rsid w:val="00E85F05"/>
    <w:rsid w:val="00E8705B"/>
    <w:rsid w:val="00E87AFD"/>
    <w:rsid w:val="00E87C8B"/>
    <w:rsid w:val="00E929BC"/>
    <w:rsid w:val="00E92D4C"/>
    <w:rsid w:val="00E92F2D"/>
    <w:rsid w:val="00E935A4"/>
    <w:rsid w:val="00EA0D67"/>
    <w:rsid w:val="00EA4ED0"/>
    <w:rsid w:val="00EA7A93"/>
    <w:rsid w:val="00EB285F"/>
    <w:rsid w:val="00EB3433"/>
    <w:rsid w:val="00EB3CDE"/>
    <w:rsid w:val="00EC0EF7"/>
    <w:rsid w:val="00EC6661"/>
    <w:rsid w:val="00ED4773"/>
    <w:rsid w:val="00EE0AF0"/>
    <w:rsid w:val="00EE0DF8"/>
    <w:rsid w:val="00EE4CA3"/>
    <w:rsid w:val="00EF0557"/>
    <w:rsid w:val="00EF44E7"/>
    <w:rsid w:val="00EF459F"/>
    <w:rsid w:val="00F00DAB"/>
    <w:rsid w:val="00F0102B"/>
    <w:rsid w:val="00F04329"/>
    <w:rsid w:val="00F04760"/>
    <w:rsid w:val="00F04CFA"/>
    <w:rsid w:val="00F059C7"/>
    <w:rsid w:val="00F11445"/>
    <w:rsid w:val="00F14AF6"/>
    <w:rsid w:val="00F16873"/>
    <w:rsid w:val="00F16A7C"/>
    <w:rsid w:val="00F178EA"/>
    <w:rsid w:val="00F22218"/>
    <w:rsid w:val="00F25F58"/>
    <w:rsid w:val="00F2644D"/>
    <w:rsid w:val="00F26876"/>
    <w:rsid w:val="00F34BBF"/>
    <w:rsid w:val="00F40CCE"/>
    <w:rsid w:val="00F43A58"/>
    <w:rsid w:val="00F43AFB"/>
    <w:rsid w:val="00F449D5"/>
    <w:rsid w:val="00F461F2"/>
    <w:rsid w:val="00F5421C"/>
    <w:rsid w:val="00F63373"/>
    <w:rsid w:val="00F64E9A"/>
    <w:rsid w:val="00F71100"/>
    <w:rsid w:val="00F747A3"/>
    <w:rsid w:val="00F75437"/>
    <w:rsid w:val="00F75CE6"/>
    <w:rsid w:val="00F76280"/>
    <w:rsid w:val="00F8184E"/>
    <w:rsid w:val="00F84C8D"/>
    <w:rsid w:val="00F86226"/>
    <w:rsid w:val="00F86636"/>
    <w:rsid w:val="00F87135"/>
    <w:rsid w:val="00F9086A"/>
    <w:rsid w:val="00F90E7A"/>
    <w:rsid w:val="00F92F40"/>
    <w:rsid w:val="00F95A1B"/>
    <w:rsid w:val="00F96FCD"/>
    <w:rsid w:val="00FA35BE"/>
    <w:rsid w:val="00FA45FF"/>
    <w:rsid w:val="00FA6DFD"/>
    <w:rsid w:val="00FB0CCE"/>
    <w:rsid w:val="00FB1100"/>
    <w:rsid w:val="00FB339B"/>
    <w:rsid w:val="00FB5699"/>
    <w:rsid w:val="00FD13EB"/>
    <w:rsid w:val="00FE2D0F"/>
    <w:rsid w:val="00FE426E"/>
    <w:rsid w:val="00FE4E62"/>
    <w:rsid w:val="00FE73F3"/>
    <w:rsid w:val="00FF0D08"/>
    <w:rsid w:val="00FF1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5A612"/>
  <w15:docId w15:val="{58A88D46-DC5F-8F4F-B6A4-4738A540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140458"/>
    <w:pPr>
      <w:tabs>
        <w:tab w:val="center" w:pos="4680"/>
        <w:tab w:val="right" w:pos="9360"/>
      </w:tabs>
    </w:pPr>
  </w:style>
  <w:style w:type="character" w:customStyle="1" w:styleId="FooterChar">
    <w:name w:val="Footer Char"/>
    <w:basedOn w:val="DefaultParagraphFont"/>
    <w:link w:val="Footer"/>
    <w:uiPriority w:val="99"/>
    <w:rsid w:val="00140458"/>
  </w:style>
  <w:style w:type="character" w:styleId="PageNumber">
    <w:name w:val="page number"/>
    <w:basedOn w:val="DefaultParagraphFont"/>
    <w:uiPriority w:val="99"/>
    <w:semiHidden/>
    <w:unhideWhenUsed/>
    <w:rsid w:val="00140458"/>
  </w:style>
  <w:style w:type="paragraph" w:styleId="Header">
    <w:name w:val="header"/>
    <w:basedOn w:val="Normal"/>
    <w:link w:val="HeaderChar"/>
    <w:uiPriority w:val="99"/>
    <w:unhideWhenUsed/>
    <w:rsid w:val="00140458"/>
    <w:pPr>
      <w:tabs>
        <w:tab w:val="center" w:pos="4680"/>
        <w:tab w:val="right" w:pos="9360"/>
      </w:tabs>
    </w:pPr>
  </w:style>
  <w:style w:type="character" w:customStyle="1" w:styleId="HeaderChar">
    <w:name w:val="Header Char"/>
    <w:basedOn w:val="DefaultParagraphFont"/>
    <w:link w:val="Header"/>
    <w:uiPriority w:val="99"/>
    <w:rsid w:val="00140458"/>
  </w:style>
  <w:style w:type="character" w:styleId="Hyperlink">
    <w:name w:val="Hyperlink"/>
    <w:basedOn w:val="DefaultParagraphFont"/>
    <w:uiPriority w:val="99"/>
    <w:unhideWhenUsed/>
    <w:rsid w:val="00140458"/>
    <w:rPr>
      <w:color w:val="0000FF" w:themeColor="hyperlink"/>
      <w:u w:val="single"/>
    </w:rPr>
  </w:style>
  <w:style w:type="character" w:styleId="UnresolvedMention">
    <w:name w:val="Unresolved Mention"/>
    <w:basedOn w:val="DefaultParagraphFont"/>
    <w:uiPriority w:val="99"/>
    <w:semiHidden/>
    <w:unhideWhenUsed/>
    <w:rsid w:val="00140458"/>
    <w:rPr>
      <w:color w:val="605E5C"/>
      <w:shd w:val="clear" w:color="auto" w:fill="E1DFDD"/>
    </w:rPr>
  </w:style>
  <w:style w:type="character" w:styleId="CommentReference">
    <w:name w:val="annotation reference"/>
    <w:uiPriority w:val="99"/>
    <w:rsid w:val="00EB3433"/>
    <w:rPr>
      <w:sz w:val="16"/>
      <w:szCs w:val="16"/>
    </w:rPr>
  </w:style>
  <w:style w:type="paragraph" w:styleId="CommentText">
    <w:name w:val="annotation text"/>
    <w:basedOn w:val="Normal"/>
    <w:link w:val="CommentTextChar"/>
    <w:uiPriority w:val="99"/>
    <w:rsid w:val="00EB3433"/>
    <w:rPr>
      <w:rFonts w:ascii="MetaPro-Norm" w:eastAsia="SimSun" w:hAnsi="MetaPro-Norm"/>
      <w:sz w:val="20"/>
      <w:szCs w:val="20"/>
      <w:lang w:eastAsia="zh-CN"/>
    </w:rPr>
  </w:style>
  <w:style w:type="character" w:customStyle="1" w:styleId="CommentTextChar">
    <w:name w:val="Comment Text Char"/>
    <w:basedOn w:val="DefaultParagraphFont"/>
    <w:link w:val="CommentText"/>
    <w:uiPriority w:val="99"/>
    <w:rsid w:val="00EB3433"/>
    <w:rPr>
      <w:rFonts w:ascii="MetaPro-Norm" w:eastAsia="SimSun" w:hAnsi="MetaPro-Norm"/>
      <w:sz w:val="20"/>
      <w:szCs w:val="20"/>
      <w:lang w:eastAsia="zh-CN"/>
    </w:rPr>
  </w:style>
  <w:style w:type="paragraph" w:styleId="BalloonText">
    <w:name w:val="Balloon Text"/>
    <w:basedOn w:val="Normal"/>
    <w:link w:val="BalloonTextChar"/>
    <w:uiPriority w:val="99"/>
    <w:semiHidden/>
    <w:unhideWhenUsed/>
    <w:rsid w:val="00EB34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433"/>
    <w:rPr>
      <w:rFonts w:ascii="Segoe UI" w:hAnsi="Segoe UI" w:cs="Segoe UI"/>
      <w:sz w:val="18"/>
      <w:szCs w:val="18"/>
    </w:rPr>
  </w:style>
  <w:style w:type="paragraph" w:styleId="ListParagraph">
    <w:name w:val="List Paragraph"/>
    <w:basedOn w:val="Normal"/>
    <w:uiPriority w:val="34"/>
    <w:qFormat/>
    <w:rsid w:val="005E6886"/>
    <w:pPr>
      <w:ind w:left="720"/>
      <w:contextualSpacing/>
    </w:pPr>
  </w:style>
  <w:style w:type="paragraph" w:styleId="CommentSubject">
    <w:name w:val="annotation subject"/>
    <w:basedOn w:val="CommentText"/>
    <w:next w:val="CommentText"/>
    <w:link w:val="CommentSubjectChar"/>
    <w:uiPriority w:val="99"/>
    <w:semiHidden/>
    <w:unhideWhenUsed/>
    <w:rsid w:val="00780713"/>
    <w:rPr>
      <w:rFonts w:ascii="Times New Roman" w:eastAsia="Times New Roman" w:hAnsi="Times New Roman"/>
      <w:b/>
      <w:bCs/>
      <w:lang w:eastAsia="en-US"/>
    </w:rPr>
  </w:style>
  <w:style w:type="character" w:customStyle="1" w:styleId="CommentSubjectChar">
    <w:name w:val="Comment Subject Char"/>
    <w:basedOn w:val="CommentTextChar"/>
    <w:link w:val="CommentSubject"/>
    <w:uiPriority w:val="99"/>
    <w:semiHidden/>
    <w:rsid w:val="00780713"/>
    <w:rPr>
      <w:rFonts w:ascii="MetaPro-Norm" w:eastAsia="SimSun" w:hAnsi="MetaPro-Norm"/>
      <w:b/>
      <w:bCs/>
      <w:sz w:val="20"/>
      <w:szCs w:val="20"/>
      <w:lang w:eastAsia="zh-CN"/>
    </w:rPr>
  </w:style>
  <w:style w:type="paragraph" w:styleId="FootnoteText">
    <w:name w:val="footnote text"/>
    <w:basedOn w:val="Normal"/>
    <w:link w:val="FootnoteTextChar"/>
    <w:uiPriority w:val="99"/>
    <w:unhideWhenUsed/>
    <w:rsid w:val="00C60763"/>
    <w:rPr>
      <w:sz w:val="20"/>
      <w:szCs w:val="20"/>
    </w:rPr>
  </w:style>
  <w:style w:type="character" w:customStyle="1" w:styleId="FootnoteTextChar">
    <w:name w:val="Footnote Text Char"/>
    <w:basedOn w:val="DefaultParagraphFont"/>
    <w:link w:val="FootnoteText"/>
    <w:uiPriority w:val="99"/>
    <w:rsid w:val="00C60763"/>
    <w:rPr>
      <w:sz w:val="20"/>
      <w:szCs w:val="20"/>
    </w:rPr>
  </w:style>
  <w:style w:type="character" w:styleId="FootnoteReference">
    <w:name w:val="footnote reference"/>
    <w:basedOn w:val="DefaultParagraphFont"/>
    <w:uiPriority w:val="99"/>
    <w:semiHidden/>
    <w:unhideWhenUsed/>
    <w:rsid w:val="00C60763"/>
    <w:rPr>
      <w:vertAlign w:val="superscript"/>
    </w:rPr>
  </w:style>
  <w:style w:type="character" w:styleId="Emphasis">
    <w:name w:val="Emphasis"/>
    <w:basedOn w:val="DefaultParagraphFont"/>
    <w:uiPriority w:val="20"/>
    <w:qFormat/>
    <w:rsid w:val="00F14AF6"/>
    <w:rPr>
      <w:i/>
      <w:iCs/>
    </w:rPr>
  </w:style>
  <w:style w:type="character" w:styleId="FollowedHyperlink">
    <w:name w:val="FollowedHyperlink"/>
    <w:basedOn w:val="DefaultParagraphFont"/>
    <w:uiPriority w:val="99"/>
    <w:semiHidden/>
    <w:unhideWhenUsed/>
    <w:rsid w:val="00CB5C23"/>
    <w:rPr>
      <w:color w:val="800080" w:themeColor="followedHyperlink"/>
      <w:u w:val="single"/>
    </w:rPr>
  </w:style>
  <w:style w:type="paragraph" w:styleId="NormalWeb">
    <w:name w:val="Normal (Web)"/>
    <w:basedOn w:val="Normal"/>
    <w:uiPriority w:val="99"/>
    <w:unhideWhenUsed/>
    <w:rsid w:val="00F87135"/>
    <w:pPr>
      <w:spacing w:before="100" w:beforeAutospacing="1" w:after="100" w:afterAutospacing="1"/>
    </w:pPr>
  </w:style>
  <w:style w:type="paragraph" w:customStyle="1" w:styleId="SingleTxtG">
    <w:name w:val="_ Single Txt_G"/>
    <w:basedOn w:val="Normal"/>
    <w:link w:val="SingleTxtGChar"/>
    <w:rsid w:val="008C594E"/>
    <w:pPr>
      <w:suppressAutoHyphens/>
      <w:spacing w:after="120" w:line="240" w:lineRule="atLeast"/>
      <w:ind w:left="1134" w:right="1134"/>
      <w:jc w:val="both"/>
    </w:pPr>
    <w:rPr>
      <w:sz w:val="20"/>
      <w:szCs w:val="20"/>
      <w:lang w:val="en-GB"/>
    </w:rPr>
  </w:style>
  <w:style w:type="character" w:customStyle="1" w:styleId="SingleTxtGChar">
    <w:name w:val="_ Single Txt_G Char"/>
    <w:link w:val="SingleTxtG"/>
    <w:rsid w:val="008C594E"/>
    <w:rPr>
      <w:sz w:val="20"/>
      <w:szCs w:val="20"/>
      <w:lang w:val="en-GB"/>
    </w:rPr>
  </w:style>
  <w:style w:type="paragraph" w:styleId="Revision">
    <w:name w:val="Revision"/>
    <w:hidden/>
    <w:uiPriority w:val="99"/>
    <w:semiHidden/>
    <w:rsid w:val="00645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112">
      <w:bodyDiv w:val="1"/>
      <w:marLeft w:val="0"/>
      <w:marRight w:val="0"/>
      <w:marTop w:val="0"/>
      <w:marBottom w:val="0"/>
      <w:divBdr>
        <w:top w:val="none" w:sz="0" w:space="0" w:color="auto"/>
        <w:left w:val="none" w:sz="0" w:space="0" w:color="auto"/>
        <w:bottom w:val="none" w:sz="0" w:space="0" w:color="auto"/>
        <w:right w:val="none" w:sz="0" w:space="0" w:color="auto"/>
      </w:divBdr>
    </w:div>
    <w:div w:id="32121203">
      <w:bodyDiv w:val="1"/>
      <w:marLeft w:val="0"/>
      <w:marRight w:val="0"/>
      <w:marTop w:val="0"/>
      <w:marBottom w:val="0"/>
      <w:divBdr>
        <w:top w:val="none" w:sz="0" w:space="0" w:color="auto"/>
        <w:left w:val="none" w:sz="0" w:space="0" w:color="auto"/>
        <w:bottom w:val="none" w:sz="0" w:space="0" w:color="auto"/>
        <w:right w:val="none" w:sz="0" w:space="0" w:color="auto"/>
      </w:divBdr>
    </w:div>
    <w:div w:id="93287391">
      <w:bodyDiv w:val="1"/>
      <w:marLeft w:val="0"/>
      <w:marRight w:val="0"/>
      <w:marTop w:val="0"/>
      <w:marBottom w:val="0"/>
      <w:divBdr>
        <w:top w:val="none" w:sz="0" w:space="0" w:color="auto"/>
        <w:left w:val="none" w:sz="0" w:space="0" w:color="auto"/>
        <w:bottom w:val="none" w:sz="0" w:space="0" w:color="auto"/>
        <w:right w:val="none" w:sz="0" w:space="0" w:color="auto"/>
      </w:divBdr>
    </w:div>
    <w:div w:id="94524535">
      <w:bodyDiv w:val="1"/>
      <w:marLeft w:val="0"/>
      <w:marRight w:val="0"/>
      <w:marTop w:val="0"/>
      <w:marBottom w:val="0"/>
      <w:divBdr>
        <w:top w:val="none" w:sz="0" w:space="0" w:color="auto"/>
        <w:left w:val="none" w:sz="0" w:space="0" w:color="auto"/>
        <w:bottom w:val="none" w:sz="0" w:space="0" w:color="auto"/>
        <w:right w:val="none" w:sz="0" w:space="0" w:color="auto"/>
      </w:divBdr>
    </w:div>
    <w:div w:id="96367394">
      <w:bodyDiv w:val="1"/>
      <w:marLeft w:val="0"/>
      <w:marRight w:val="0"/>
      <w:marTop w:val="0"/>
      <w:marBottom w:val="0"/>
      <w:divBdr>
        <w:top w:val="none" w:sz="0" w:space="0" w:color="auto"/>
        <w:left w:val="none" w:sz="0" w:space="0" w:color="auto"/>
        <w:bottom w:val="none" w:sz="0" w:space="0" w:color="auto"/>
        <w:right w:val="none" w:sz="0" w:space="0" w:color="auto"/>
      </w:divBdr>
    </w:div>
    <w:div w:id="163059214">
      <w:bodyDiv w:val="1"/>
      <w:marLeft w:val="0"/>
      <w:marRight w:val="0"/>
      <w:marTop w:val="0"/>
      <w:marBottom w:val="0"/>
      <w:divBdr>
        <w:top w:val="none" w:sz="0" w:space="0" w:color="auto"/>
        <w:left w:val="none" w:sz="0" w:space="0" w:color="auto"/>
        <w:bottom w:val="none" w:sz="0" w:space="0" w:color="auto"/>
        <w:right w:val="none" w:sz="0" w:space="0" w:color="auto"/>
      </w:divBdr>
    </w:div>
    <w:div w:id="299848299">
      <w:bodyDiv w:val="1"/>
      <w:marLeft w:val="0"/>
      <w:marRight w:val="0"/>
      <w:marTop w:val="0"/>
      <w:marBottom w:val="0"/>
      <w:divBdr>
        <w:top w:val="none" w:sz="0" w:space="0" w:color="auto"/>
        <w:left w:val="none" w:sz="0" w:space="0" w:color="auto"/>
        <w:bottom w:val="none" w:sz="0" w:space="0" w:color="auto"/>
        <w:right w:val="none" w:sz="0" w:space="0" w:color="auto"/>
      </w:divBdr>
    </w:div>
    <w:div w:id="330254966">
      <w:bodyDiv w:val="1"/>
      <w:marLeft w:val="0"/>
      <w:marRight w:val="0"/>
      <w:marTop w:val="0"/>
      <w:marBottom w:val="0"/>
      <w:divBdr>
        <w:top w:val="none" w:sz="0" w:space="0" w:color="auto"/>
        <w:left w:val="none" w:sz="0" w:space="0" w:color="auto"/>
        <w:bottom w:val="none" w:sz="0" w:space="0" w:color="auto"/>
        <w:right w:val="none" w:sz="0" w:space="0" w:color="auto"/>
      </w:divBdr>
    </w:div>
    <w:div w:id="368993966">
      <w:bodyDiv w:val="1"/>
      <w:marLeft w:val="0"/>
      <w:marRight w:val="0"/>
      <w:marTop w:val="0"/>
      <w:marBottom w:val="0"/>
      <w:divBdr>
        <w:top w:val="none" w:sz="0" w:space="0" w:color="auto"/>
        <w:left w:val="none" w:sz="0" w:space="0" w:color="auto"/>
        <w:bottom w:val="none" w:sz="0" w:space="0" w:color="auto"/>
        <w:right w:val="none" w:sz="0" w:space="0" w:color="auto"/>
      </w:divBdr>
    </w:div>
    <w:div w:id="415782554">
      <w:bodyDiv w:val="1"/>
      <w:marLeft w:val="0"/>
      <w:marRight w:val="0"/>
      <w:marTop w:val="0"/>
      <w:marBottom w:val="0"/>
      <w:divBdr>
        <w:top w:val="none" w:sz="0" w:space="0" w:color="auto"/>
        <w:left w:val="none" w:sz="0" w:space="0" w:color="auto"/>
        <w:bottom w:val="none" w:sz="0" w:space="0" w:color="auto"/>
        <w:right w:val="none" w:sz="0" w:space="0" w:color="auto"/>
      </w:divBdr>
    </w:div>
    <w:div w:id="457531414">
      <w:bodyDiv w:val="1"/>
      <w:marLeft w:val="0"/>
      <w:marRight w:val="0"/>
      <w:marTop w:val="0"/>
      <w:marBottom w:val="0"/>
      <w:divBdr>
        <w:top w:val="none" w:sz="0" w:space="0" w:color="auto"/>
        <w:left w:val="none" w:sz="0" w:space="0" w:color="auto"/>
        <w:bottom w:val="none" w:sz="0" w:space="0" w:color="auto"/>
        <w:right w:val="none" w:sz="0" w:space="0" w:color="auto"/>
      </w:divBdr>
    </w:div>
    <w:div w:id="475222088">
      <w:bodyDiv w:val="1"/>
      <w:marLeft w:val="0"/>
      <w:marRight w:val="0"/>
      <w:marTop w:val="0"/>
      <w:marBottom w:val="0"/>
      <w:divBdr>
        <w:top w:val="none" w:sz="0" w:space="0" w:color="auto"/>
        <w:left w:val="none" w:sz="0" w:space="0" w:color="auto"/>
        <w:bottom w:val="none" w:sz="0" w:space="0" w:color="auto"/>
        <w:right w:val="none" w:sz="0" w:space="0" w:color="auto"/>
      </w:divBdr>
    </w:div>
    <w:div w:id="488595799">
      <w:bodyDiv w:val="1"/>
      <w:marLeft w:val="0"/>
      <w:marRight w:val="0"/>
      <w:marTop w:val="0"/>
      <w:marBottom w:val="0"/>
      <w:divBdr>
        <w:top w:val="none" w:sz="0" w:space="0" w:color="auto"/>
        <w:left w:val="none" w:sz="0" w:space="0" w:color="auto"/>
        <w:bottom w:val="none" w:sz="0" w:space="0" w:color="auto"/>
        <w:right w:val="none" w:sz="0" w:space="0" w:color="auto"/>
      </w:divBdr>
    </w:div>
    <w:div w:id="507674570">
      <w:bodyDiv w:val="1"/>
      <w:marLeft w:val="0"/>
      <w:marRight w:val="0"/>
      <w:marTop w:val="0"/>
      <w:marBottom w:val="0"/>
      <w:divBdr>
        <w:top w:val="none" w:sz="0" w:space="0" w:color="auto"/>
        <w:left w:val="none" w:sz="0" w:space="0" w:color="auto"/>
        <w:bottom w:val="none" w:sz="0" w:space="0" w:color="auto"/>
        <w:right w:val="none" w:sz="0" w:space="0" w:color="auto"/>
      </w:divBdr>
    </w:div>
    <w:div w:id="610018617">
      <w:bodyDiv w:val="1"/>
      <w:marLeft w:val="0"/>
      <w:marRight w:val="0"/>
      <w:marTop w:val="0"/>
      <w:marBottom w:val="0"/>
      <w:divBdr>
        <w:top w:val="none" w:sz="0" w:space="0" w:color="auto"/>
        <w:left w:val="none" w:sz="0" w:space="0" w:color="auto"/>
        <w:bottom w:val="none" w:sz="0" w:space="0" w:color="auto"/>
        <w:right w:val="none" w:sz="0" w:space="0" w:color="auto"/>
      </w:divBdr>
    </w:div>
    <w:div w:id="654574217">
      <w:bodyDiv w:val="1"/>
      <w:marLeft w:val="0"/>
      <w:marRight w:val="0"/>
      <w:marTop w:val="0"/>
      <w:marBottom w:val="0"/>
      <w:divBdr>
        <w:top w:val="none" w:sz="0" w:space="0" w:color="auto"/>
        <w:left w:val="none" w:sz="0" w:space="0" w:color="auto"/>
        <w:bottom w:val="none" w:sz="0" w:space="0" w:color="auto"/>
        <w:right w:val="none" w:sz="0" w:space="0" w:color="auto"/>
      </w:divBdr>
    </w:div>
    <w:div w:id="663093906">
      <w:bodyDiv w:val="1"/>
      <w:marLeft w:val="0"/>
      <w:marRight w:val="0"/>
      <w:marTop w:val="0"/>
      <w:marBottom w:val="0"/>
      <w:divBdr>
        <w:top w:val="none" w:sz="0" w:space="0" w:color="auto"/>
        <w:left w:val="none" w:sz="0" w:space="0" w:color="auto"/>
        <w:bottom w:val="none" w:sz="0" w:space="0" w:color="auto"/>
        <w:right w:val="none" w:sz="0" w:space="0" w:color="auto"/>
      </w:divBdr>
    </w:div>
    <w:div w:id="877008916">
      <w:bodyDiv w:val="1"/>
      <w:marLeft w:val="0"/>
      <w:marRight w:val="0"/>
      <w:marTop w:val="0"/>
      <w:marBottom w:val="0"/>
      <w:divBdr>
        <w:top w:val="none" w:sz="0" w:space="0" w:color="auto"/>
        <w:left w:val="none" w:sz="0" w:space="0" w:color="auto"/>
        <w:bottom w:val="none" w:sz="0" w:space="0" w:color="auto"/>
        <w:right w:val="none" w:sz="0" w:space="0" w:color="auto"/>
      </w:divBdr>
    </w:div>
    <w:div w:id="895122347">
      <w:bodyDiv w:val="1"/>
      <w:marLeft w:val="0"/>
      <w:marRight w:val="0"/>
      <w:marTop w:val="0"/>
      <w:marBottom w:val="0"/>
      <w:divBdr>
        <w:top w:val="none" w:sz="0" w:space="0" w:color="auto"/>
        <w:left w:val="none" w:sz="0" w:space="0" w:color="auto"/>
        <w:bottom w:val="none" w:sz="0" w:space="0" w:color="auto"/>
        <w:right w:val="none" w:sz="0" w:space="0" w:color="auto"/>
      </w:divBdr>
    </w:div>
    <w:div w:id="927616525">
      <w:bodyDiv w:val="1"/>
      <w:marLeft w:val="0"/>
      <w:marRight w:val="0"/>
      <w:marTop w:val="0"/>
      <w:marBottom w:val="0"/>
      <w:divBdr>
        <w:top w:val="none" w:sz="0" w:space="0" w:color="auto"/>
        <w:left w:val="none" w:sz="0" w:space="0" w:color="auto"/>
        <w:bottom w:val="none" w:sz="0" w:space="0" w:color="auto"/>
        <w:right w:val="none" w:sz="0" w:space="0" w:color="auto"/>
      </w:divBdr>
    </w:div>
    <w:div w:id="962030695">
      <w:bodyDiv w:val="1"/>
      <w:marLeft w:val="0"/>
      <w:marRight w:val="0"/>
      <w:marTop w:val="0"/>
      <w:marBottom w:val="0"/>
      <w:divBdr>
        <w:top w:val="none" w:sz="0" w:space="0" w:color="auto"/>
        <w:left w:val="none" w:sz="0" w:space="0" w:color="auto"/>
        <w:bottom w:val="none" w:sz="0" w:space="0" w:color="auto"/>
        <w:right w:val="none" w:sz="0" w:space="0" w:color="auto"/>
      </w:divBdr>
    </w:div>
    <w:div w:id="1027560496">
      <w:bodyDiv w:val="1"/>
      <w:marLeft w:val="0"/>
      <w:marRight w:val="0"/>
      <w:marTop w:val="0"/>
      <w:marBottom w:val="0"/>
      <w:divBdr>
        <w:top w:val="none" w:sz="0" w:space="0" w:color="auto"/>
        <w:left w:val="none" w:sz="0" w:space="0" w:color="auto"/>
        <w:bottom w:val="none" w:sz="0" w:space="0" w:color="auto"/>
        <w:right w:val="none" w:sz="0" w:space="0" w:color="auto"/>
      </w:divBdr>
    </w:div>
    <w:div w:id="1221207461">
      <w:bodyDiv w:val="1"/>
      <w:marLeft w:val="0"/>
      <w:marRight w:val="0"/>
      <w:marTop w:val="0"/>
      <w:marBottom w:val="0"/>
      <w:divBdr>
        <w:top w:val="none" w:sz="0" w:space="0" w:color="auto"/>
        <w:left w:val="none" w:sz="0" w:space="0" w:color="auto"/>
        <w:bottom w:val="none" w:sz="0" w:space="0" w:color="auto"/>
        <w:right w:val="none" w:sz="0" w:space="0" w:color="auto"/>
      </w:divBdr>
    </w:div>
    <w:div w:id="1226179601">
      <w:bodyDiv w:val="1"/>
      <w:marLeft w:val="0"/>
      <w:marRight w:val="0"/>
      <w:marTop w:val="0"/>
      <w:marBottom w:val="0"/>
      <w:divBdr>
        <w:top w:val="none" w:sz="0" w:space="0" w:color="auto"/>
        <w:left w:val="none" w:sz="0" w:space="0" w:color="auto"/>
        <w:bottom w:val="none" w:sz="0" w:space="0" w:color="auto"/>
        <w:right w:val="none" w:sz="0" w:space="0" w:color="auto"/>
      </w:divBdr>
    </w:div>
    <w:div w:id="1275165409">
      <w:bodyDiv w:val="1"/>
      <w:marLeft w:val="0"/>
      <w:marRight w:val="0"/>
      <w:marTop w:val="0"/>
      <w:marBottom w:val="0"/>
      <w:divBdr>
        <w:top w:val="none" w:sz="0" w:space="0" w:color="auto"/>
        <w:left w:val="none" w:sz="0" w:space="0" w:color="auto"/>
        <w:bottom w:val="none" w:sz="0" w:space="0" w:color="auto"/>
        <w:right w:val="none" w:sz="0" w:space="0" w:color="auto"/>
      </w:divBdr>
    </w:div>
    <w:div w:id="1370257557">
      <w:bodyDiv w:val="1"/>
      <w:marLeft w:val="0"/>
      <w:marRight w:val="0"/>
      <w:marTop w:val="0"/>
      <w:marBottom w:val="0"/>
      <w:divBdr>
        <w:top w:val="none" w:sz="0" w:space="0" w:color="auto"/>
        <w:left w:val="none" w:sz="0" w:space="0" w:color="auto"/>
        <w:bottom w:val="none" w:sz="0" w:space="0" w:color="auto"/>
        <w:right w:val="none" w:sz="0" w:space="0" w:color="auto"/>
      </w:divBdr>
    </w:div>
    <w:div w:id="1396777069">
      <w:bodyDiv w:val="1"/>
      <w:marLeft w:val="0"/>
      <w:marRight w:val="0"/>
      <w:marTop w:val="0"/>
      <w:marBottom w:val="0"/>
      <w:divBdr>
        <w:top w:val="none" w:sz="0" w:space="0" w:color="auto"/>
        <w:left w:val="none" w:sz="0" w:space="0" w:color="auto"/>
        <w:bottom w:val="none" w:sz="0" w:space="0" w:color="auto"/>
        <w:right w:val="none" w:sz="0" w:space="0" w:color="auto"/>
      </w:divBdr>
    </w:div>
    <w:div w:id="1415053663">
      <w:bodyDiv w:val="1"/>
      <w:marLeft w:val="0"/>
      <w:marRight w:val="0"/>
      <w:marTop w:val="0"/>
      <w:marBottom w:val="0"/>
      <w:divBdr>
        <w:top w:val="none" w:sz="0" w:space="0" w:color="auto"/>
        <w:left w:val="none" w:sz="0" w:space="0" w:color="auto"/>
        <w:bottom w:val="none" w:sz="0" w:space="0" w:color="auto"/>
        <w:right w:val="none" w:sz="0" w:space="0" w:color="auto"/>
      </w:divBdr>
    </w:div>
    <w:div w:id="1451432166">
      <w:bodyDiv w:val="1"/>
      <w:marLeft w:val="0"/>
      <w:marRight w:val="0"/>
      <w:marTop w:val="0"/>
      <w:marBottom w:val="0"/>
      <w:divBdr>
        <w:top w:val="none" w:sz="0" w:space="0" w:color="auto"/>
        <w:left w:val="none" w:sz="0" w:space="0" w:color="auto"/>
        <w:bottom w:val="none" w:sz="0" w:space="0" w:color="auto"/>
        <w:right w:val="none" w:sz="0" w:space="0" w:color="auto"/>
      </w:divBdr>
    </w:div>
    <w:div w:id="1540968086">
      <w:bodyDiv w:val="1"/>
      <w:marLeft w:val="0"/>
      <w:marRight w:val="0"/>
      <w:marTop w:val="0"/>
      <w:marBottom w:val="0"/>
      <w:divBdr>
        <w:top w:val="none" w:sz="0" w:space="0" w:color="auto"/>
        <w:left w:val="none" w:sz="0" w:space="0" w:color="auto"/>
        <w:bottom w:val="none" w:sz="0" w:space="0" w:color="auto"/>
        <w:right w:val="none" w:sz="0" w:space="0" w:color="auto"/>
      </w:divBdr>
    </w:div>
    <w:div w:id="1649241319">
      <w:bodyDiv w:val="1"/>
      <w:marLeft w:val="0"/>
      <w:marRight w:val="0"/>
      <w:marTop w:val="0"/>
      <w:marBottom w:val="0"/>
      <w:divBdr>
        <w:top w:val="none" w:sz="0" w:space="0" w:color="auto"/>
        <w:left w:val="none" w:sz="0" w:space="0" w:color="auto"/>
        <w:bottom w:val="none" w:sz="0" w:space="0" w:color="auto"/>
        <w:right w:val="none" w:sz="0" w:space="0" w:color="auto"/>
      </w:divBdr>
    </w:div>
    <w:div w:id="1757365489">
      <w:bodyDiv w:val="1"/>
      <w:marLeft w:val="0"/>
      <w:marRight w:val="0"/>
      <w:marTop w:val="0"/>
      <w:marBottom w:val="0"/>
      <w:divBdr>
        <w:top w:val="none" w:sz="0" w:space="0" w:color="auto"/>
        <w:left w:val="none" w:sz="0" w:space="0" w:color="auto"/>
        <w:bottom w:val="none" w:sz="0" w:space="0" w:color="auto"/>
        <w:right w:val="none" w:sz="0" w:space="0" w:color="auto"/>
      </w:divBdr>
    </w:div>
    <w:div w:id="1758987770">
      <w:bodyDiv w:val="1"/>
      <w:marLeft w:val="0"/>
      <w:marRight w:val="0"/>
      <w:marTop w:val="0"/>
      <w:marBottom w:val="0"/>
      <w:divBdr>
        <w:top w:val="none" w:sz="0" w:space="0" w:color="auto"/>
        <w:left w:val="none" w:sz="0" w:space="0" w:color="auto"/>
        <w:bottom w:val="none" w:sz="0" w:space="0" w:color="auto"/>
        <w:right w:val="none" w:sz="0" w:space="0" w:color="auto"/>
      </w:divBdr>
    </w:div>
    <w:div w:id="1761219348">
      <w:bodyDiv w:val="1"/>
      <w:marLeft w:val="0"/>
      <w:marRight w:val="0"/>
      <w:marTop w:val="0"/>
      <w:marBottom w:val="0"/>
      <w:divBdr>
        <w:top w:val="none" w:sz="0" w:space="0" w:color="auto"/>
        <w:left w:val="none" w:sz="0" w:space="0" w:color="auto"/>
        <w:bottom w:val="none" w:sz="0" w:space="0" w:color="auto"/>
        <w:right w:val="none" w:sz="0" w:space="0" w:color="auto"/>
      </w:divBdr>
    </w:div>
    <w:div w:id="1768185137">
      <w:bodyDiv w:val="1"/>
      <w:marLeft w:val="0"/>
      <w:marRight w:val="0"/>
      <w:marTop w:val="0"/>
      <w:marBottom w:val="0"/>
      <w:divBdr>
        <w:top w:val="none" w:sz="0" w:space="0" w:color="auto"/>
        <w:left w:val="none" w:sz="0" w:space="0" w:color="auto"/>
        <w:bottom w:val="none" w:sz="0" w:space="0" w:color="auto"/>
        <w:right w:val="none" w:sz="0" w:space="0" w:color="auto"/>
      </w:divBdr>
    </w:div>
    <w:div w:id="1864779302">
      <w:bodyDiv w:val="1"/>
      <w:marLeft w:val="0"/>
      <w:marRight w:val="0"/>
      <w:marTop w:val="0"/>
      <w:marBottom w:val="0"/>
      <w:divBdr>
        <w:top w:val="none" w:sz="0" w:space="0" w:color="auto"/>
        <w:left w:val="none" w:sz="0" w:space="0" w:color="auto"/>
        <w:bottom w:val="none" w:sz="0" w:space="0" w:color="auto"/>
        <w:right w:val="none" w:sz="0" w:space="0" w:color="auto"/>
      </w:divBdr>
    </w:div>
    <w:div w:id="1896505456">
      <w:bodyDiv w:val="1"/>
      <w:marLeft w:val="0"/>
      <w:marRight w:val="0"/>
      <w:marTop w:val="0"/>
      <w:marBottom w:val="0"/>
      <w:divBdr>
        <w:top w:val="none" w:sz="0" w:space="0" w:color="auto"/>
        <w:left w:val="none" w:sz="0" w:space="0" w:color="auto"/>
        <w:bottom w:val="none" w:sz="0" w:space="0" w:color="auto"/>
        <w:right w:val="none" w:sz="0" w:space="0" w:color="auto"/>
      </w:divBdr>
    </w:div>
    <w:div w:id="1915117389">
      <w:bodyDiv w:val="1"/>
      <w:marLeft w:val="0"/>
      <w:marRight w:val="0"/>
      <w:marTop w:val="0"/>
      <w:marBottom w:val="0"/>
      <w:divBdr>
        <w:top w:val="none" w:sz="0" w:space="0" w:color="auto"/>
        <w:left w:val="none" w:sz="0" w:space="0" w:color="auto"/>
        <w:bottom w:val="none" w:sz="0" w:space="0" w:color="auto"/>
        <w:right w:val="none" w:sz="0" w:space="0" w:color="auto"/>
      </w:divBdr>
    </w:div>
    <w:div w:id="1990548524">
      <w:bodyDiv w:val="1"/>
      <w:marLeft w:val="0"/>
      <w:marRight w:val="0"/>
      <w:marTop w:val="0"/>
      <w:marBottom w:val="0"/>
      <w:divBdr>
        <w:top w:val="none" w:sz="0" w:space="0" w:color="auto"/>
        <w:left w:val="none" w:sz="0" w:space="0" w:color="auto"/>
        <w:bottom w:val="none" w:sz="0" w:space="0" w:color="auto"/>
        <w:right w:val="none" w:sz="0" w:space="0" w:color="auto"/>
      </w:divBdr>
    </w:div>
    <w:div w:id="2001763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6" Type="http://schemas.openxmlformats.org/officeDocument/2006/relationships/hyperlink" Target="https://www.fairsentencingofyouth.org/wp-content/uploads/Montgomery-Anniversary-2018-Snapshot1.pdf" TargetMode="External"/><Relationship Id="rId21" Type="http://schemas.openxmlformats.org/officeDocument/2006/relationships/hyperlink" Target="https://www.nytimes.com/2017/11/20/magazine/the-coast-guards-floating-guantanamos.html" TargetMode="External"/><Relationship Id="rId42" Type="http://schemas.openxmlformats.org/officeDocument/2006/relationships/hyperlink" Target="https://www.npr.org/2018/11/20/669471110/federal-court-blocks-trump-administrations-asylum-ban" TargetMode="External"/><Relationship Id="rId47" Type="http://schemas.openxmlformats.org/officeDocument/2006/relationships/hyperlink" Target="https://www.hrw.org/news/2018/07/11/trumps-zero-tolerance-approach-goes-beyond-border" TargetMode="External"/><Relationship Id="rId63" Type="http://schemas.openxmlformats.org/officeDocument/2006/relationships/hyperlink" Target="https://www.guttmacher.org/article/2018/04/policy-trends-states-first-quarter-2018" TargetMode="External"/><Relationship Id="rId68" Type="http://schemas.openxmlformats.org/officeDocument/2006/relationships/hyperlink" Target="https://www.hrw.org/news/2018/05/14/us-bureau-prisons-policy-change-endangers-transgender-prisoners" TargetMode="External"/><Relationship Id="rId84" Type="http://schemas.openxmlformats.org/officeDocument/2006/relationships/hyperlink" Target="https://www.hrw.org/news/2018/10/31/us-detainees-transferred-syria-iraq" TargetMode="External"/><Relationship Id="rId16" Type="http://schemas.openxmlformats.org/officeDocument/2006/relationships/hyperlink" Target="https://www.nytimes.com/2018/11/13/us/hate-crimes-fbi-2017.html" TargetMode="External"/><Relationship Id="rId11" Type="http://schemas.openxmlformats.org/officeDocument/2006/relationships/hyperlink" Target="https://www.reuters.com/article/us-usa-opioids-deathpenalty/federal-prosecutors-told-to-seek-death-penalty-in-drug-cases-idUSKBN1GX25A" TargetMode="External"/><Relationship Id="rId32" Type="http://schemas.openxmlformats.org/officeDocument/2006/relationships/hyperlink" Target="http://tbinternet.ohchr.org/_layouts/treatybodyexternal/Download.aspx?symbolno=CCPR%2fC%2fUSA%2fCO%2f4&amp;Lang=en" TargetMode="External"/><Relationship Id="rId37" Type="http://schemas.openxmlformats.org/officeDocument/2006/relationships/hyperlink" Target="https://www.hrw.org/news/2018/07/26/us-separated-families-report-trauma-lies-coercion" TargetMode="External"/><Relationship Id="rId53" Type="http://schemas.openxmlformats.org/officeDocument/2006/relationships/hyperlink" Target="https://www2.ohchr.org/english/bodies/hrcouncil/docs/13session/A.HRC.13.30_AEV.pdf" TargetMode="External"/><Relationship Id="rId58" Type="http://schemas.openxmlformats.org/officeDocument/2006/relationships/hyperlink" Target="https://www.hrw.org/news/2017/03/30/us-congress-finds-new-route-attack-planned-parenthood" TargetMode="External"/><Relationship Id="rId74" Type="http://schemas.openxmlformats.org/officeDocument/2006/relationships/hyperlink" Target="https://www.nsa.gov/news-features/press-room/statements/" TargetMode="External"/><Relationship Id="rId79" Type="http://schemas.openxmlformats.org/officeDocument/2006/relationships/hyperlink" Target="http://www.europarl.europa.eu/document/activities/cont/201310/20131017ATT72929/20131017ATT72929EN.pdf" TargetMode="External"/><Relationship Id="rId5" Type="http://schemas.openxmlformats.org/officeDocument/2006/relationships/hyperlink" Target="https://www.justice.gov/opa/press-release/file/1022196/download" TargetMode="External"/><Relationship Id="rId19" Type="http://schemas.openxmlformats.org/officeDocument/2006/relationships/hyperlink" Target="https://csbs.csusb.edu/sites/csusb_csbs/files/2018%20Hate%20Final%20Report%205-14.pdf" TargetMode="External"/><Relationship Id="rId14" Type="http://schemas.openxmlformats.org/officeDocument/2006/relationships/hyperlink" Target="https://www.washingtonpost.com/graphics/2018/national/police-shootings-2018/?utm_term=.08e8dffc4721" TargetMode="External"/><Relationship Id="rId22" Type="http://schemas.openxmlformats.org/officeDocument/2006/relationships/hyperlink" Target="https://www.cbc.ca/radio/thecurrent/coast-guard-detainees-canada-1.4673272" TargetMode="External"/><Relationship Id="rId27" Type="http://schemas.openxmlformats.org/officeDocument/2006/relationships/hyperlink" Target="https://www.seattletimes.com/seattle-news/washington-supreme-court-rules-life-sentence-without-parole-for-youth-unconstitutional/" TargetMode="External"/><Relationship Id="rId30" Type="http://schemas.openxmlformats.org/officeDocument/2006/relationships/hyperlink" Target="https://www.hrw.org/report/2014/04/10/branded-life/floridas-prosecution-children-adults-under-its-direct-file-statute" TargetMode="External"/><Relationship Id="rId35" Type="http://schemas.openxmlformats.org/officeDocument/2006/relationships/hyperlink" Target="https://www.justice.gov/sites/default/files/opa/press-releases/attachments/2015/03/04/ferguson_police_department_report.pdf" TargetMode="External"/><Relationship Id="rId43" Type="http://schemas.openxmlformats.org/officeDocument/2006/relationships/hyperlink" Target="https://www.hrw.org/news/2018/11/26/peaceful-demonstration-turns-ugly-us-border" TargetMode="External"/><Relationship Id="rId48" Type="http://schemas.openxmlformats.org/officeDocument/2006/relationships/hyperlink" Target="https://www.hrw.org/news/2018/11/06/human-rights-watch-submits-comments-proposed-rule-regarding-detention-children-and" TargetMode="External"/><Relationship Id="rId56" Type="http://schemas.openxmlformats.org/officeDocument/2006/relationships/hyperlink" Target="https://www.hrw.org/report/2018/11/29/it-should-not-happen/alabamas-failure-prevent-cervical-cancer-death-black-belt" TargetMode="External"/><Relationship Id="rId64" Type="http://schemas.openxmlformats.org/officeDocument/2006/relationships/hyperlink" Target="https://www.hrw.org/news/2017/10/26/us-trump-policy-harming-kenya-uganda-health-services" TargetMode="External"/><Relationship Id="rId69" Type="http://schemas.openxmlformats.org/officeDocument/2006/relationships/hyperlink" Target="https://www.hrw.org/sites/default/files/report_pdf/lgbt0218_web_1.pdf" TargetMode="External"/><Relationship Id="rId77" Type="http://schemas.openxmlformats.org/officeDocument/2006/relationships/hyperlink" Target="https://www.hrw.org/news/2018/04/05/us-should-create-laws-protect-social-media-users-data" TargetMode="External"/><Relationship Id="rId8" Type="http://schemas.openxmlformats.org/officeDocument/2006/relationships/hyperlink" Target="https://www.hrw.org/news/2018/11/13/human-rights-win-out-us-election" TargetMode="External"/><Relationship Id="rId51" Type="http://schemas.openxmlformats.org/officeDocument/2006/relationships/hyperlink" Target="https://www.hrw.org/news/2018/06/13/us-rolls-back-protections-asylum-seekers-again" TargetMode="External"/><Relationship Id="rId72" Type="http://schemas.openxmlformats.org/officeDocument/2006/relationships/hyperlink" Target="https://www.hrw.org/news/2018/01/09/us-secret-evidence-erodes-fair-trial-rights" TargetMode="External"/><Relationship Id="rId80" Type="http://schemas.openxmlformats.org/officeDocument/2006/relationships/hyperlink" Target="https://www.ohchr.org/Documents/HRBodies/HRCouncil/RegularSession/Session23/A.HRC.23.40_EN.pdf" TargetMode="External"/><Relationship Id="rId85" Type="http://schemas.openxmlformats.org/officeDocument/2006/relationships/hyperlink" Target="https://www.nytimes.com/2018/10/29/us/politics/isis-john-doe-released-abdulrahman-alsheikh.html" TargetMode="External"/><Relationship Id="rId3" Type="http://schemas.openxmlformats.org/officeDocument/2006/relationships/hyperlink" Target="https://www.prisonpolicy.org/blog/2017/04/10/wages/" TargetMode="External"/><Relationship Id="rId12" Type="http://schemas.openxmlformats.org/officeDocument/2006/relationships/hyperlink" Target="https://www.ohchr.org/en/hrbodies/hrc/regularsessions/session27/documents/a_hrc_27_48_eng.doc" TargetMode="External"/><Relationship Id="rId17" Type="http://schemas.openxmlformats.org/officeDocument/2006/relationships/hyperlink" Target="https://csbs.csusb.edu/sites/csusb_csbs/files/2018%20Hate%20Final%20Report%205-14.pdf" TargetMode="External"/><Relationship Id="rId25" Type="http://schemas.openxmlformats.org/officeDocument/2006/relationships/hyperlink" Target="https://www.ncjrs.gov/pdffiles1/ojjdp/232434.pdf" TargetMode="External"/><Relationship Id="rId33" Type="http://schemas.openxmlformats.org/officeDocument/2006/relationships/hyperlink" Target="https://www.hrw.org/news/2018/06/01/q-pretrial-incarceration-bail-and-profile-based-risk-assessment-united-states" TargetMode="External"/><Relationship Id="rId38" Type="http://schemas.openxmlformats.org/officeDocument/2006/relationships/hyperlink" Target="https://www.hrw.org/news/2018/09/05/us-deported-parents-agonizing-wait" TargetMode="External"/><Relationship Id="rId46" Type="http://schemas.openxmlformats.org/officeDocument/2006/relationships/hyperlink" Target="https://www.hrw.org/news/2018/04/04/temporary-status-long-term-us-lives" TargetMode="External"/><Relationship Id="rId59" Type="http://schemas.openxmlformats.org/officeDocument/2006/relationships/hyperlink" Target="https://www.hrw.org/news/2018/05/22/us-strip-funding-womens-health-providers" TargetMode="External"/><Relationship Id="rId67" Type="http://schemas.openxmlformats.org/officeDocument/2006/relationships/hyperlink" Target="https://www.hrw.org/sites/default/files/report_pdf/us_lgbt0718_web.pdf" TargetMode="External"/><Relationship Id="rId20" Type="http://schemas.openxmlformats.org/officeDocument/2006/relationships/hyperlink" Target="https://www.nytimes.com/2018/11/13/us/hate-crimes-fbi-2017.html" TargetMode="External"/><Relationship Id="rId41" Type="http://schemas.openxmlformats.org/officeDocument/2006/relationships/hyperlink" Target="https://www.hrw.org/news/2018/11/08/us-proposed-asylum-regulation-violates-law" TargetMode="External"/><Relationship Id="rId54" Type="http://schemas.openxmlformats.org/officeDocument/2006/relationships/hyperlink" Target="http://www.worldcourts.com/hrc/eng/decisions/1990.07.20_Pinto_v_Trinidad_and_Tobago.htm" TargetMode="External"/><Relationship Id="rId62" Type="http://schemas.openxmlformats.org/officeDocument/2006/relationships/hyperlink" Target="https://www.hrw.org/news/2018/03/27/human-rights-watch-letter-us-secretary-health-and-human-services-alex-azar" TargetMode="External"/><Relationship Id="rId70" Type="http://schemas.openxmlformats.org/officeDocument/2006/relationships/hyperlink" Target="https://fas.org/irp/offdocs/eo/eo-12333-2008.pdf" TargetMode="External"/><Relationship Id="rId75" Type="http://schemas.openxmlformats.org/officeDocument/2006/relationships/hyperlink" Target="https://www.hrw.org/news/2018/02/13/us-may-give-foreign-governments-and-itself-easier-access-data" TargetMode="External"/><Relationship Id="rId83" Type="http://schemas.openxmlformats.org/officeDocument/2006/relationships/hyperlink" Target="https://www.hrw.org/news/2018/08/03/us-sent-isis-detainees-possible-abuse" TargetMode="External"/><Relationship Id="rId88" Type="http://schemas.openxmlformats.org/officeDocument/2006/relationships/hyperlink" Target="https://www.nytimes.com/2018/02/16/us/politics/guantanamo-cole.html" TargetMode="External"/><Relationship Id="rId1" Type="http://schemas.openxmlformats.org/officeDocument/2006/relationships/hyperlink" Target="https://www.prisonpolicy.org/reports/pie2018.html" TargetMode="External"/><Relationship Id="rId6" Type="http://schemas.openxmlformats.org/officeDocument/2006/relationships/hyperlink" Target="https://www.brennancenter.org/analysis/state-voting-rights-litigation-december-2018" TargetMode="External"/><Relationship Id="rId15" Type="http://schemas.openxmlformats.org/officeDocument/2006/relationships/hyperlink" Target="https://www.latimes.com/local/lanow/la-me-sheriff-latino-drug-stops-grapevine-20181004-htmlstory.html" TargetMode="External"/><Relationship Id="rId23" Type="http://schemas.openxmlformats.org/officeDocument/2006/relationships/hyperlink" Target="http://www.ncsl.org/research/civil-and-criminal-justice/racial-and-ethnic-disparities-in-the-juvenile-justice-system.aspx" TargetMode="External"/><Relationship Id="rId28" Type="http://schemas.openxmlformats.org/officeDocument/2006/relationships/hyperlink" Target="https://www.davisvanguard.org/2018/10/governor-brown-signs-bill-ending-sentencing-14-15-years-olds-adult-court/" TargetMode="External"/><Relationship Id="rId36" Type="http://schemas.openxmlformats.org/officeDocument/2006/relationships/hyperlink" Target="https://www.hrw.org/report/2018/02/20/set-fail/impact-offender-funded-private-probation-poor" TargetMode="External"/><Relationship Id="rId49" Type="http://schemas.openxmlformats.org/officeDocument/2006/relationships/hyperlink" Target="https://www.hrw.org/report/2018/06/20/code-red/fatal-consequences-dangerously-substandard-medical-care-immigration" TargetMode="External"/><Relationship Id="rId57" Type="http://schemas.openxmlformats.org/officeDocument/2006/relationships/hyperlink" Target="https://www.kff.org/medicaid/fact-sheet/where-are-states-today-medicaid-and-chip/" TargetMode="External"/><Relationship Id="rId10" Type="http://schemas.openxmlformats.org/officeDocument/2006/relationships/hyperlink" Target="https://www.washingtonpost.com/news/fact-checker/wp/2018/04/25/president-trumps-claim-that-death-sentences-would-stop-drug-trafficking/?utm_term=.da97816c7ff3" TargetMode="External"/><Relationship Id="rId31" Type="http://schemas.openxmlformats.org/officeDocument/2006/relationships/hyperlink" Target="https://www.hrw.org/sites/default/files/reports/us1012ForUpload.pdf" TargetMode="External"/><Relationship Id="rId44" Type="http://schemas.openxmlformats.org/officeDocument/2006/relationships/hyperlink" Target="https://www.nytimes.com/2018/06/26/us/politics/supreme-court-trump-travel-ban.html" TargetMode="External"/><Relationship Id="rId52" Type="http://schemas.openxmlformats.org/officeDocument/2006/relationships/hyperlink" Target="https://www.hrw.org/news/2018/12/21/us-dont-return-asylum-seekers-mexico" TargetMode="External"/><Relationship Id="rId60" Type="http://schemas.openxmlformats.org/officeDocument/2006/relationships/hyperlink" Target="https://www.hrw.org/news/2017/12/05/human-rights-watch-comment-interim-final-rule-religious-exemptions-and" TargetMode="External"/><Relationship Id="rId65" Type="http://schemas.openxmlformats.org/officeDocument/2006/relationships/hyperlink" Target="https://www.hrw.org/sites/default/files/report_pdf/uslgbttrans0916_web.pdf" TargetMode="External"/><Relationship Id="rId73" Type="http://schemas.openxmlformats.org/officeDocument/2006/relationships/hyperlink" Target="https://www.dni.gov/files/documents/icotr/2018-ASTR----CY2017----FINAL-for-Release-5.4.18.pdf" TargetMode="External"/><Relationship Id="rId78" Type="http://schemas.openxmlformats.org/officeDocument/2006/relationships/hyperlink" Target="https://www.hrw.org/news/2018/06/22/supreme-court-cell-phone-decision-victory-reality" TargetMode="External"/><Relationship Id="rId81" Type="http://schemas.openxmlformats.org/officeDocument/2006/relationships/hyperlink" Target="https://www.nytimes.com/2018/07/18/world/middleeast/islamic-state-detainees-syria-prisons.html" TargetMode="External"/><Relationship Id="rId86" Type="http://schemas.openxmlformats.org/officeDocument/2006/relationships/hyperlink" Target="https://www.nbcnews.com/storyline/isis-terror/trump-admin-may-send-captured-isis-fighters-iraq-prison-guantanamo-n905066" TargetMode="External"/><Relationship Id="rId4" Type="http://schemas.openxmlformats.org/officeDocument/2006/relationships/hyperlink" Target="https://www.nytimes.com/2017/05/12/us/politics/attorney-general-jeff-sessions-drug-offenses-penalties.html" TargetMode="External"/><Relationship Id="rId9" Type="http://schemas.openxmlformats.org/officeDocument/2006/relationships/hyperlink" Target="https://deathpenaltyinfo.org/execution-list-2018" TargetMode="External"/><Relationship Id="rId13" Type="http://schemas.openxmlformats.org/officeDocument/2006/relationships/hyperlink" Target="https://www.sentencingproject.org/wp-content/uploads/2016/06/The-Color-of-Justice-Racial-and-Ethnic-Disparity-in-State-Prisons.pdf" TargetMode="External"/><Relationship Id="rId18" Type="http://schemas.openxmlformats.org/officeDocument/2006/relationships/hyperlink" Target="https://www.cair.com/cair_report_anti_muslim_bias_incidents_hate_crimes_spike_in_second_quarter_of_2018" TargetMode="External"/><Relationship Id="rId39" Type="http://schemas.openxmlformats.org/officeDocument/2006/relationships/hyperlink" Target="https://www.hrw.org/news/2018/09/05/us-deported-parents-agonizing-wait" TargetMode="External"/><Relationship Id="rId34" Type="http://schemas.openxmlformats.org/officeDocument/2006/relationships/hyperlink" Target="https://www.hrw.org/news/2018/06/01/q-profile-based-risk-assessment-us-pretrial-incarceration-release-decisions" TargetMode="External"/><Relationship Id="rId50" Type="http://schemas.openxmlformats.org/officeDocument/2006/relationships/hyperlink" Target="https://www.kff.org/disparities-policy/fact-sheet/proposed-changes-to-public-charge-policies-for-immigrants-implications-for-health-coverage/" TargetMode="External"/><Relationship Id="rId55" Type="http://schemas.openxmlformats.org/officeDocument/2006/relationships/hyperlink" Target="https://www.cbo.gov/system/files?file=115th-congress-2017-2018/reports/53300-individualmandate.pdf" TargetMode="External"/><Relationship Id="rId76" Type="http://schemas.openxmlformats.org/officeDocument/2006/relationships/hyperlink" Target="https://www.hrw.org/news/2018/04/05/us-should-create-laws-protect-social-media-users-data" TargetMode="External"/><Relationship Id="rId7" Type="http://schemas.openxmlformats.org/officeDocument/2006/relationships/hyperlink" Target="https://www.cnn.com/2018/11/07/politics/florida-felons-voting-rights/index.html" TargetMode="External"/><Relationship Id="rId71" Type="http://schemas.openxmlformats.org/officeDocument/2006/relationships/hyperlink" Target="https://www.wired.com/story/fisa-section-702-renewal-congress/" TargetMode="External"/><Relationship Id="rId2" Type="http://schemas.openxmlformats.org/officeDocument/2006/relationships/hyperlink" Target="https://www.hrw.org/sites/default/files/report_pdf/us0918_web_0.pdf" TargetMode="External"/><Relationship Id="rId29" Type="http://schemas.openxmlformats.org/officeDocument/2006/relationships/hyperlink" Target="https://www.themarshallproject.org/2017/04/14/the-fine-print-in-new-york-s-raise-the-age-law" TargetMode="External"/><Relationship Id="rId24" Type="http://schemas.openxmlformats.org/officeDocument/2006/relationships/hyperlink" Target="https://www.cccnewyork.org/press/releases/new-report-examines-youth-incarcerated-in-adult-jails/" TargetMode="External"/><Relationship Id="rId40" Type="http://schemas.openxmlformats.org/officeDocument/2006/relationships/hyperlink" Target="https://www.hrw.org/news/2018/06/13/us-rolls-back-protections-asylum-seekers-again" TargetMode="External"/><Relationship Id="rId45" Type="http://schemas.openxmlformats.org/officeDocument/2006/relationships/hyperlink" Target="https://www.hrw.org/news/2018/06/26/us-supreme-court-disregards-trumps-discriminatory-words-uphold-travel-ban" TargetMode="External"/><Relationship Id="rId66" Type="http://schemas.openxmlformats.org/officeDocument/2006/relationships/hyperlink" Target="https://www.hrw.org/sites/default/files/report_pdf/uslgbt1216web_2.pdf" TargetMode="External"/><Relationship Id="rId87" Type="http://schemas.openxmlformats.org/officeDocument/2006/relationships/hyperlink" Target="https://www.hrw.org/news/2018/08/03/us-sent-isis-detainees-possible-abuse" TargetMode="External"/><Relationship Id="rId61" Type="http://schemas.openxmlformats.org/officeDocument/2006/relationships/hyperlink" Target="https://www.hrw.org/news/2017/12/05/human-rights-watch-comment-interim-final-rule-moral-exemptions-and-accommodations-0" TargetMode="External"/><Relationship Id="rId82" Type="http://schemas.openxmlformats.org/officeDocument/2006/relationships/hyperlink" Target="https://www.nbcnews.com/storyline/isis-terror/trump-admin-may-send-captured-isis-fighters-iraq-prison-guantanamo-n905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A7FBC8-2B4C-41E3-921A-B98AC353C7AE}"/>
</file>

<file path=customXml/itemProps2.xml><?xml version="1.0" encoding="utf-8"?>
<ds:datastoreItem xmlns:ds="http://schemas.openxmlformats.org/officeDocument/2006/customXml" ds:itemID="{973B4C44-10D2-7B4E-BC22-4E07010682D8}"/>
</file>

<file path=customXml/itemProps3.xml><?xml version="1.0" encoding="utf-8"?>
<ds:datastoreItem xmlns:ds="http://schemas.openxmlformats.org/officeDocument/2006/customXml" ds:itemID="{4A1EB243-EB4B-4811-B58C-CA2EDF445F89}"/>
</file>

<file path=customXml/itemProps4.xml><?xml version="1.0" encoding="utf-8"?>
<ds:datastoreItem xmlns:ds="http://schemas.openxmlformats.org/officeDocument/2006/customXml" ds:itemID="{194F795E-B19D-4AA5-A78E-78394FDBFA06}"/>
</file>

<file path=docProps/app.xml><?xml version="1.0" encoding="utf-8"?>
<Properties xmlns="http://schemas.openxmlformats.org/officeDocument/2006/extended-properties" xmlns:vt="http://schemas.openxmlformats.org/officeDocument/2006/docPropsVTypes">
  <Template>Normal.dotm</Template>
  <TotalTime>3</TotalTime>
  <Pages>25</Pages>
  <Words>9850</Words>
  <Characters>56146</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Leal Parker</dc:creator>
  <cp:lastModifiedBy>Thomas Rachko</cp:lastModifiedBy>
  <cp:revision>6</cp:revision>
  <cp:lastPrinted>2019-01-14T22:06:00Z</cp:lastPrinted>
  <dcterms:created xsi:type="dcterms:W3CDTF">2019-01-14T22:06:00Z</dcterms:created>
  <dcterms:modified xsi:type="dcterms:W3CDTF">2019-01-14T22:27:00Z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