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1226" w14:textId="440CDFC3" w:rsidR="00C05D9B" w:rsidRPr="004B1E4E" w:rsidRDefault="00C05D9B" w:rsidP="7C4652CA"/>
    <w:p w14:paraId="455F10C6" w14:textId="77777777" w:rsidR="005403E3" w:rsidRPr="004B1E4E" w:rsidRDefault="005403E3" w:rsidP="00626C39">
      <w:pPr>
        <w:rPr>
          <w:color w:val="auto"/>
          <w:sz w:val="24"/>
          <w:szCs w:val="24"/>
        </w:rPr>
      </w:pPr>
    </w:p>
    <w:p w14:paraId="6B135504" w14:textId="77777777" w:rsidR="005403E3" w:rsidRPr="004B1E4E" w:rsidRDefault="005403E3" w:rsidP="00626C39">
      <w:pPr>
        <w:rPr>
          <w:color w:val="auto"/>
          <w:sz w:val="24"/>
          <w:szCs w:val="24"/>
        </w:rPr>
      </w:pPr>
    </w:p>
    <w:p w14:paraId="5FB17988" w14:textId="797BB133" w:rsidR="00266AA3" w:rsidRDefault="00CD46FC" w:rsidP="004B1E4E">
      <w:pPr>
        <w:jc w:val="center"/>
        <w:rPr>
          <w:b/>
          <w:sz w:val="24"/>
          <w:szCs w:val="24"/>
        </w:rPr>
      </w:pPr>
      <w:r>
        <w:rPr>
          <w:b/>
          <w:sz w:val="24"/>
          <w:szCs w:val="24"/>
        </w:rPr>
        <w:t>United Republic of Tanzania</w:t>
      </w:r>
      <w:r w:rsidR="004B1E4E" w:rsidRPr="004B1E4E">
        <w:rPr>
          <w:b/>
          <w:sz w:val="24"/>
          <w:szCs w:val="24"/>
        </w:rPr>
        <w:t xml:space="preserve">’s Compliance with </w:t>
      </w:r>
      <w:r w:rsidR="0001749F">
        <w:rPr>
          <w:b/>
          <w:sz w:val="24"/>
          <w:szCs w:val="24"/>
        </w:rPr>
        <w:t>International Covenant on Civil and Political Rights</w:t>
      </w:r>
    </w:p>
    <w:p w14:paraId="4302592B" w14:textId="77777777" w:rsidR="00F10A77" w:rsidRDefault="00F10A77" w:rsidP="004B1E4E">
      <w:pPr>
        <w:jc w:val="center"/>
        <w:rPr>
          <w:b/>
          <w:sz w:val="24"/>
          <w:szCs w:val="24"/>
        </w:rPr>
      </w:pPr>
    </w:p>
    <w:p w14:paraId="369032A5" w14:textId="1949E5D2" w:rsidR="004B1E4E" w:rsidRPr="004B1E4E" w:rsidRDefault="00266AA3" w:rsidP="004B1E4E">
      <w:pPr>
        <w:jc w:val="center"/>
        <w:rPr>
          <w:b/>
          <w:sz w:val="24"/>
          <w:szCs w:val="24"/>
        </w:rPr>
      </w:pPr>
      <w:r>
        <w:rPr>
          <w:b/>
          <w:sz w:val="24"/>
          <w:szCs w:val="24"/>
        </w:rPr>
        <w:t xml:space="preserve">Suggested List of Issues </w:t>
      </w:r>
      <w:r w:rsidR="006B3424">
        <w:rPr>
          <w:b/>
          <w:sz w:val="24"/>
          <w:szCs w:val="24"/>
        </w:rPr>
        <w:t>Prior to Reporting</w:t>
      </w:r>
    </w:p>
    <w:p w14:paraId="0D0D9E25" w14:textId="77777777" w:rsidR="0001749F" w:rsidRPr="004B1E4E" w:rsidRDefault="0001749F" w:rsidP="0001749F">
      <w:pPr>
        <w:rPr>
          <w:sz w:val="24"/>
          <w:szCs w:val="24"/>
        </w:rPr>
      </w:pPr>
    </w:p>
    <w:p w14:paraId="23772DD8"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2E266B52"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2AA92044" w14:textId="77777777" w:rsidR="00C460BE" w:rsidRDefault="00C460BE" w:rsidP="004B1E4E">
      <w:pPr>
        <w:jc w:val="center"/>
        <w:rPr>
          <w:sz w:val="24"/>
          <w:szCs w:val="24"/>
        </w:rPr>
      </w:pPr>
    </w:p>
    <w:p w14:paraId="12EFF6F1" w14:textId="6C107F20" w:rsidR="004B1E4E" w:rsidRPr="005F6090" w:rsidRDefault="005F6090" w:rsidP="004B1E4E">
      <w:pPr>
        <w:jc w:val="center"/>
        <w:rPr>
          <w:b/>
          <w:bCs/>
          <w:sz w:val="24"/>
          <w:szCs w:val="24"/>
        </w:rPr>
      </w:pPr>
      <w:r>
        <w:rPr>
          <w:b/>
          <w:bCs/>
          <w:sz w:val="24"/>
          <w:szCs w:val="24"/>
        </w:rPr>
        <w:t>The World Coalition Against the Death Penalty</w:t>
      </w:r>
    </w:p>
    <w:p w14:paraId="1B09DFD9" w14:textId="7D141237" w:rsidR="003A67DA" w:rsidRDefault="00801316" w:rsidP="004B1E4E">
      <w:pPr>
        <w:jc w:val="center"/>
        <w:rPr>
          <w:sz w:val="24"/>
          <w:szCs w:val="24"/>
        </w:rPr>
      </w:pPr>
      <w:r>
        <w:rPr>
          <w:sz w:val="24"/>
          <w:szCs w:val="24"/>
        </w:rPr>
        <w:t xml:space="preserve"> </w:t>
      </w:r>
      <w:r w:rsidR="00585ECF">
        <w:rPr>
          <w:sz w:val="24"/>
          <w:szCs w:val="24"/>
        </w:rPr>
        <w:t>a</w:t>
      </w:r>
      <w:r>
        <w:rPr>
          <w:sz w:val="24"/>
          <w:szCs w:val="24"/>
        </w:rPr>
        <w:t>nd</w:t>
      </w:r>
    </w:p>
    <w:p w14:paraId="7BF9CFA8" w14:textId="6149FEE6" w:rsidR="00801316" w:rsidRPr="007238C4" w:rsidRDefault="008E12C7" w:rsidP="004B1E4E">
      <w:pPr>
        <w:jc w:val="center"/>
        <w:rPr>
          <w:b/>
          <w:bCs/>
          <w:sz w:val="24"/>
          <w:szCs w:val="24"/>
        </w:rPr>
      </w:pPr>
      <w:r w:rsidRPr="007238C4">
        <w:rPr>
          <w:b/>
          <w:bCs/>
          <w:sz w:val="24"/>
          <w:szCs w:val="24"/>
        </w:rPr>
        <w:t xml:space="preserve">Legal and Human Rights Centre </w:t>
      </w:r>
    </w:p>
    <w:p w14:paraId="48CBEECC" w14:textId="77777777" w:rsidR="00801316" w:rsidRPr="004B1E4E" w:rsidRDefault="00801316" w:rsidP="004B1E4E">
      <w:pPr>
        <w:jc w:val="center"/>
        <w:rPr>
          <w:sz w:val="24"/>
          <w:szCs w:val="24"/>
        </w:rPr>
      </w:pPr>
    </w:p>
    <w:p w14:paraId="1AE14056" w14:textId="74AF4A6B" w:rsidR="004B1E4E" w:rsidRPr="000C380B" w:rsidRDefault="004D55EC" w:rsidP="004B1E4E">
      <w:pPr>
        <w:jc w:val="center"/>
        <w:rPr>
          <w:b/>
          <w:sz w:val="24"/>
          <w:szCs w:val="24"/>
        </w:rPr>
      </w:pPr>
      <w:r>
        <w:rPr>
          <w:b/>
          <w:sz w:val="24"/>
          <w:szCs w:val="24"/>
        </w:rPr>
        <w:t>131st</w:t>
      </w:r>
      <w:r w:rsidR="004B1E4E" w:rsidRPr="000C380B">
        <w:rPr>
          <w:b/>
          <w:sz w:val="24"/>
          <w:szCs w:val="24"/>
        </w:rPr>
        <w:t xml:space="preserve"> Session of the </w:t>
      </w:r>
      <w:r w:rsidR="00264ABB">
        <w:rPr>
          <w:b/>
          <w:sz w:val="24"/>
          <w:szCs w:val="24"/>
        </w:rPr>
        <w:t>Human Rights Committee</w:t>
      </w:r>
    </w:p>
    <w:p w14:paraId="4E6DF357" w14:textId="7EC9BB90" w:rsidR="004B1E4E" w:rsidRPr="000C380B" w:rsidRDefault="00EB08B4" w:rsidP="004B1E4E">
      <w:pPr>
        <w:jc w:val="center"/>
        <w:rPr>
          <w:b/>
          <w:sz w:val="24"/>
          <w:szCs w:val="24"/>
        </w:rPr>
      </w:pPr>
      <w:r>
        <w:rPr>
          <w:b/>
          <w:sz w:val="24"/>
          <w:szCs w:val="24"/>
        </w:rPr>
        <w:t>01 Mar</w:t>
      </w:r>
      <w:r w:rsidR="003658F1">
        <w:rPr>
          <w:b/>
          <w:sz w:val="24"/>
          <w:szCs w:val="24"/>
        </w:rPr>
        <w:t>ch</w:t>
      </w:r>
      <w:r>
        <w:rPr>
          <w:b/>
          <w:sz w:val="24"/>
          <w:szCs w:val="24"/>
        </w:rPr>
        <w:t xml:space="preserve"> 202</w:t>
      </w:r>
      <w:r w:rsidR="006F33B4">
        <w:rPr>
          <w:b/>
          <w:sz w:val="24"/>
          <w:szCs w:val="24"/>
        </w:rPr>
        <w:t>1</w:t>
      </w:r>
      <w:r w:rsidR="004B1E4E" w:rsidRPr="000C380B">
        <w:rPr>
          <w:b/>
          <w:sz w:val="24"/>
          <w:szCs w:val="24"/>
        </w:rPr>
        <w:t>–</w:t>
      </w:r>
      <w:r w:rsidR="0095308B">
        <w:rPr>
          <w:b/>
          <w:sz w:val="24"/>
          <w:szCs w:val="24"/>
        </w:rPr>
        <w:t>26 Mar</w:t>
      </w:r>
      <w:r w:rsidR="003658F1">
        <w:rPr>
          <w:b/>
          <w:sz w:val="24"/>
          <w:szCs w:val="24"/>
        </w:rPr>
        <w:t>ch</w:t>
      </w:r>
      <w:r w:rsidR="0095308B">
        <w:rPr>
          <w:b/>
          <w:sz w:val="24"/>
          <w:szCs w:val="24"/>
        </w:rPr>
        <w:t xml:space="preserve"> 2021</w:t>
      </w:r>
    </w:p>
    <w:p w14:paraId="6B1D311C" w14:textId="77777777" w:rsidR="001565F9" w:rsidRPr="004B1E4E" w:rsidRDefault="001565F9" w:rsidP="005132BB">
      <w:pPr>
        <w:rPr>
          <w:sz w:val="24"/>
          <w:szCs w:val="24"/>
          <w:lang w:val="es-ES"/>
        </w:rPr>
      </w:pPr>
    </w:p>
    <w:p w14:paraId="59F1FD93" w14:textId="74F1F288" w:rsidR="005132BB" w:rsidRPr="000C380B" w:rsidRDefault="000C380B" w:rsidP="000C380B">
      <w:pPr>
        <w:jc w:val="center"/>
        <w:rPr>
          <w:b/>
          <w:color w:val="auto"/>
          <w:sz w:val="24"/>
          <w:szCs w:val="24"/>
        </w:rPr>
      </w:pPr>
      <w:r w:rsidRPr="000C380B">
        <w:rPr>
          <w:b/>
          <w:color w:val="auto"/>
          <w:sz w:val="24"/>
          <w:szCs w:val="24"/>
        </w:rPr>
        <w:t xml:space="preserve">Submitted </w:t>
      </w:r>
      <w:r w:rsidR="00B502D4">
        <w:rPr>
          <w:b/>
          <w:color w:val="auto"/>
          <w:sz w:val="24"/>
          <w:szCs w:val="24"/>
        </w:rPr>
        <w:t>04</w:t>
      </w:r>
      <w:r w:rsidRPr="000C380B">
        <w:rPr>
          <w:b/>
          <w:color w:val="auto"/>
          <w:sz w:val="24"/>
          <w:szCs w:val="24"/>
        </w:rPr>
        <w:t xml:space="preserve"> </w:t>
      </w:r>
      <w:r w:rsidR="00B502D4">
        <w:rPr>
          <w:b/>
          <w:color w:val="auto"/>
          <w:sz w:val="24"/>
          <w:szCs w:val="24"/>
        </w:rPr>
        <w:t>Jan</w:t>
      </w:r>
      <w:r w:rsidR="003658F1">
        <w:rPr>
          <w:b/>
          <w:color w:val="auto"/>
          <w:sz w:val="24"/>
          <w:szCs w:val="24"/>
        </w:rPr>
        <w:t>uary</w:t>
      </w:r>
      <w:r w:rsidRPr="000C380B">
        <w:rPr>
          <w:b/>
          <w:color w:val="auto"/>
          <w:sz w:val="24"/>
          <w:szCs w:val="24"/>
        </w:rPr>
        <w:t xml:space="preserve"> </w:t>
      </w:r>
      <w:r w:rsidR="00B502D4">
        <w:rPr>
          <w:b/>
          <w:color w:val="auto"/>
          <w:sz w:val="24"/>
          <w:szCs w:val="24"/>
        </w:rPr>
        <w:t>2021</w:t>
      </w:r>
    </w:p>
    <w:p w14:paraId="3399DABA" w14:textId="77777777" w:rsidR="000C380B" w:rsidRPr="004B1E4E" w:rsidRDefault="000C380B" w:rsidP="00596B08">
      <w:pPr>
        <w:jc w:val="both"/>
        <w:rPr>
          <w:color w:val="auto"/>
          <w:sz w:val="24"/>
          <w:szCs w:val="24"/>
        </w:rPr>
      </w:pPr>
    </w:p>
    <w:p w14:paraId="2FD95975" w14:textId="77777777" w:rsidR="001E2FFF" w:rsidRDefault="004B1E4E" w:rsidP="001E2FFF">
      <w:pPr>
        <w:jc w:val="both"/>
        <w:rPr>
          <w:sz w:val="24"/>
          <w:szCs w:val="24"/>
        </w:rPr>
      </w:pPr>
      <w:r w:rsidRPr="004B1E4E">
        <w:rPr>
          <w:b/>
          <w:sz w:val="24"/>
          <w:szCs w:val="24"/>
        </w:rPr>
        <w:t xml:space="preserve">The Advocates for Human Rights </w:t>
      </w:r>
      <w:r w:rsidRPr="004B1E4E">
        <w:rPr>
          <w:sz w:val="24"/>
          <w:szCs w:val="24"/>
        </w:rPr>
        <w:t>(The Advocates) is a volunteer-based non</w:t>
      </w:r>
      <w:r w:rsidR="00266AA3">
        <w:rPr>
          <w:sz w:val="24"/>
          <w:szCs w:val="24"/>
        </w:rPr>
        <w:t>-</w:t>
      </w:r>
      <w:r w:rsidRPr="004B1E4E">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4B1E4E">
        <w:rPr>
          <w:sz w:val="24"/>
          <w:szCs w:val="24"/>
          <w:lang w:val="es-ES"/>
        </w:rPr>
        <w:t>including</w:t>
      </w:r>
      <w:r w:rsidRPr="004B1E4E">
        <w:rPr>
          <w:sz w:val="24"/>
          <w:szCs w:val="24"/>
        </w:rPr>
        <w:t xml:space="preserve"> monitoring and fact finding, direct legal representation, education and training, and publications. </w:t>
      </w:r>
      <w:r w:rsidR="001E2FFF" w:rsidRPr="20EBB8F7">
        <w:rPr>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4FD116CB" w14:textId="4049ADAD" w:rsidR="002079ED" w:rsidRDefault="002079ED" w:rsidP="00596B08">
      <w:pPr>
        <w:jc w:val="both"/>
        <w:rPr>
          <w:b/>
          <w:bCs/>
          <w:sz w:val="24"/>
          <w:szCs w:val="24"/>
        </w:rPr>
      </w:pPr>
    </w:p>
    <w:p w14:paraId="4629A705" w14:textId="77777777" w:rsidR="002079ED" w:rsidRPr="002079ED" w:rsidRDefault="002079ED" w:rsidP="00801316">
      <w:pPr>
        <w:jc w:val="both"/>
        <w:rPr>
          <w:color w:val="auto"/>
          <w:kern w:val="0"/>
          <w:sz w:val="24"/>
          <w:szCs w:val="24"/>
        </w:rPr>
      </w:pPr>
      <w:r w:rsidRPr="002079ED">
        <w:rPr>
          <w:b/>
          <w:bCs/>
          <w:color w:val="auto"/>
          <w:kern w:val="0"/>
          <w:sz w:val="24"/>
          <w:szCs w:val="24"/>
        </w:rPr>
        <w:t>The World Coalition Against the Death Penalty</w:t>
      </w:r>
      <w:r w:rsidRPr="002079ED">
        <w:rPr>
          <w:color w:val="auto"/>
          <w:kern w:val="0"/>
          <w:sz w:val="24"/>
          <w:szCs w:val="24"/>
        </w:rPr>
        <w:t xml:space="preserve">, an alliance of more than 150 NGOs, bar associations, local </w:t>
      </w:r>
      <w:proofErr w:type="gramStart"/>
      <w:r w:rsidRPr="002079ED">
        <w:rPr>
          <w:color w:val="auto"/>
          <w:kern w:val="0"/>
          <w:sz w:val="24"/>
          <w:szCs w:val="24"/>
        </w:rPr>
        <w:t>authorities</w:t>
      </w:r>
      <w:proofErr w:type="gramEnd"/>
      <w:r w:rsidRPr="002079ED">
        <w:rPr>
          <w:color w:val="auto"/>
          <w:kern w:val="0"/>
          <w:sz w:val="24"/>
          <w:szCs w:val="24"/>
        </w:rPr>
        <w:t xml:space="preserve">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58E63EA3" w14:textId="5294F641" w:rsidR="002079ED" w:rsidRDefault="002079ED" w:rsidP="00596B08">
      <w:pPr>
        <w:jc w:val="both"/>
        <w:rPr>
          <w:b/>
          <w:bCs/>
          <w:sz w:val="24"/>
          <w:szCs w:val="24"/>
        </w:rPr>
      </w:pPr>
    </w:p>
    <w:p w14:paraId="69507098" w14:textId="77777777" w:rsidR="006923F7" w:rsidRDefault="008E12C7" w:rsidP="006923F7">
      <w:pPr>
        <w:shd w:val="clear" w:color="auto" w:fill="FFFFFF"/>
        <w:spacing w:line="253" w:lineRule="atLeast"/>
        <w:jc w:val="both"/>
        <w:rPr>
          <w:color w:val="323130"/>
          <w:kern w:val="0"/>
          <w:sz w:val="24"/>
          <w:szCs w:val="24"/>
          <w:bdr w:val="none" w:sz="0" w:space="0" w:color="auto" w:frame="1"/>
        </w:rPr>
      </w:pPr>
      <w:r>
        <w:rPr>
          <w:b/>
          <w:bCs/>
          <w:sz w:val="24"/>
          <w:szCs w:val="24"/>
        </w:rPr>
        <w:t xml:space="preserve">Legal and Human Rights Centre </w:t>
      </w:r>
      <w:r w:rsidR="006923F7">
        <w:rPr>
          <w:b/>
          <w:bCs/>
          <w:sz w:val="24"/>
          <w:szCs w:val="24"/>
        </w:rPr>
        <w:t xml:space="preserve">(LHRC) </w:t>
      </w:r>
      <w:r w:rsidR="006923F7">
        <w:rPr>
          <w:color w:val="323130"/>
          <w:sz w:val="24"/>
          <w:szCs w:val="24"/>
          <w:bdr w:val="none" w:sz="0" w:space="0" w:color="auto" w:frame="1"/>
        </w:rPr>
        <w:t>is an independent, non-partisan and non-profit human rights organization, that seeks to promote internationally recognized human rights norms and standards in Tanzania.  The organization specializes in legal and human rights monitoring, legal aid, civic awareness, research, advocacy for policy and legal reforms.</w:t>
      </w:r>
    </w:p>
    <w:p w14:paraId="2C3662B8" w14:textId="77777777" w:rsidR="006923F7" w:rsidRDefault="006923F7">
      <w:pPr>
        <w:rPr>
          <w:b/>
          <w:bCs/>
          <w:sz w:val="24"/>
          <w:szCs w:val="24"/>
        </w:rPr>
      </w:pPr>
      <w:r>
        <w:rPr>
          <w:b/>
          <w:bCs/>
          <w:sz w:val="24"/>
          <w:szCs w:val="24"/>
        </w:rPr>
        <w:br w:type="page"/>
      </w:r>
    </w:p>
    <w:p w14:paraId="6BEF1900" w14:textId="38C30227" w:rsidR="004B1E4E" w:rsidRPr="004B1E4E" w:rsidRDefault="004B1E4E" w:rsidP="004B1E4E">
      <w:pPr>
        <w:jc w:val="center"/>
        <w:rPr>
          <w:b/>
          <w:caps/>
          <w:color w:val="auto"/>
          <w:sz w:val="24"/>
          <w:szCs w:val="24"/>
        </w:rPr>
      </w:pPr>
      <w:r w:rsidRPr="004B1E4E">
        <w:rPr>
          <w:b/>
          <w:caps/>
          <w:color w:val="auto"/>
          <w:sz w:val="24"/>
          <w:szCs w:val="24"/>
        </w:rPr>
        <w:lastRenderedPageBreak/>
        <w:t>Executive Summary</w:t>
      </w:r>
    </w:p>
    <w:p w14:paraId="4E9F0D56" w14:textId="77777777" w:rsidR="004B1E4E" w:rsidRDefault="004B1E4E" w:rsidP="00626C39">
      <w:pPr>
        <w:rPr>
          <w:color w:val="auto"/>
          <w:sz w:val="24"/>
          <w:szCs w:val="24"/>
        </w:rPr>
      </w:pPr>
    </w:p>
    <w:p w14:paraId="62298047" w14:textId="3ED97A2C" w:rsidR="0028192C" w:rsidRDefault="0028192C" w:rsidP="00974E48">
      <w:pPr>
        <w:numPr>
          <w:ilvl w:val="0"/>
          <w:numId w:val="7"/>
        </w:numPr>
        <w:spacing w:after="120"/>
        <w:ind w:left="360"/>
        <w:jc w:val="both"/>
        <w:rPr>
          <w:color w:val="auto"/>
          <w:sz w:val="24"/>
          <w:szCs w:val="24"/>
        </w:rPr>
      </w:pPr>
      <w:r>
        <w:rPr>
          <w:color w:val="auto"/>
          <w:sz w:val="24"/>
          <w:szCs w:val="24"/>
        </w:rPr>
        <w:t>This report addresses four main areas of concern relating to the death penalty in Tanzania. For each area of concern, the report suggests questions that the Committee should pose to the Tanzanian government in its List of Issues Prior to Reporting.</w:t>
      </w:r>
      <w:r w:rsidR="002E5288">
        <w:rPr>
          <w:color w:val="auto"/>
          <w:sz w:val="24"/>
          <w:szCs w:val="24"/>
        </w:rPr>
        <w:t xml:space="preserve"> The areas of concern are as follows:</w:t>
      </w:r>
    </w:p>
    <w:p w14:paraId="46CF6B4B" w14:textId="0509E766" w:rsidR="004B1E4E" w:rsidRDefault="00737572" w:rsidP="00974E48">
      <w:pPr>
        <w:numPr>
          <w:ilvl w:val="0"/>
          <w:numId w:val="7"/>
        </w:numPr>
        <w:spacing w:after="120"/>
        <w:ind w:left="360"/>
        <w:jc w:val="both"/>
        <w:rPr>
          <w:color w:val="auto"/>
          <w:sz w:val="24"/>
          <w:szCs w:val="24"/>
        </w:rPr>
      </w:pPr>
      <w:r>
        <w:rPr>
          <w:color w:val="auto"/>
          <w:sz w:val="24"/>
          <w:szCs w:val="24"/>
        </w:rPr>
        <w:t xml:space="preserve">Tanzania has </w:t>
      </w:r>
      <w:r w:rsidR="001A29DD">
        <w:rPr>
          <w:color w:val="auto"/>
          <w:sz w:val="24"/>
          <w:szCs w:val="24"/>
        </w:rPr>
        <w:t>observed</w:t>
      </w:r>
      <w:r>
        <w:rPr>
          <w:color w:val="auto"/>
          <w:sz w:val="24"/>
          <w:szCs w:val="24"/>
        </w:rPr>
        <w:t xml:space="preserve"> a de facto moratorium on executions since 1994. Nonetheless, Tanzanian courts continue to sentence people to death, and the law mandates application of the death penalty</w:t>
      </w:r>
      <w:r w:rsidR="0090077B">
        <w:rPr>
          <w:color w:val="auto"/>
          <w:sz w:val="24"/>
          <w:szCs w:val="24"/>
        </w:rPr>
        <w:t xml:space="preserve">. Tanzanian authorities have not implemented a 2019 judgment of the African Court on Human and Peoples’ Rights, which </w:t>
      </w:r>
      <w:r w:rsidR="001C4570">
        <w:rPr>
          <w:color w:val="auto"/>
          <w:sz w:val="24"/>
          <w:szCs w:val="24"/>
        </w:rPr>
        <w:t xml:space="preserve">held that the mandatory death penalty constitutes an arbitrary </w:t>
      </w:r>
      <w:r w:rsidR="00287B90">
        <w:rPr>
          <w:color w:val="auto"/>
          <w:sz w:val="24"/>
          <w:szCs w:val="24"/>
        </w:rPr>
        <w:t>deprivation</w:t>
      </w:r>
      <w:r w:rsidR="001C4570">
        <w:rPr>
          <w:color w:val="auto"/>
          <w:sz w:val="24"/>
          <w:szCs w:val="24"/>
        </w:rPr>
        <w:t xml:space="preserve"> of the right to life. </w:t>
      </w:r>
    </w:p>
    <w:p w14:paraId="62CB1808" w14:textId="00B152F8" w:rsidR="00287B90" w:rsidRDefault="007F5341" w:rsidP="00974E48">
      <w:pPr>
        <w:numPr>
          <w:ilvl w:val="0"/>
          <w:numId w:val="7"/>
        </w:numPr>
        <w:spacing w:after="120"/>
        <w:ind w:left="360"/>
        <w:jc w:val="both"/>
        <w:rPr>
          <w:color w:val="auto"/>
          <w:sz w:val="24"/>
          <w:szCs w:val="24"/>
        </w:rPr>
      </w:pPr>
      <w:r>
        <w:rPr>
          <w:color w:val="auto"/>
          <w:sz w:val="24"/>
          <w:szCs w:val="24"/>
        </w:rPr>
        <w:t xml:space="preserve">In cases in which the defendant is at risk of being sentenced to death, Tanzania does not uphold its fair trial obligations under the Covenant. Defendants </w:t>
      </w:r>
      <w:r w:rsidR="002670AF">
        <w:rPr>
          <w:color w:val="auto"/>
          <w:sz w:val="24"/>
          <w:szCs w:val="24"/>
        </w:rPr>
        <w:t xml:space="preserve">sometimes receive inadequate legal aid, resulting in wrongful convictions. In some jurisdictions, police </w:t>
      </w:r>
      <w:proofErr w:type="gramStart"/>
      <w:r w:rsidR="002670AF">
        <w:rPr>
          <w:color w:val="auto"/>
          <w:sz w:val="24"/>
          <w:szCs w:val="24"/>
        </w:rPr>
        <w:t>officers</w:t>
      </w:r>
      <w:proofErr w:type="gramEnd"/>
      <w:r w:rsidR="002670AF">
        <w:rPr>
          <w:color w:val="auto"/>
          <w:sz w:val="24"/>
          <w:szCs w:val="24"/>
        </w:rPr>
        <w:t xml:space="preserve"> parade suspected criminals before the media</w:t>
      </w:r>
      <w:r w:rsidR="00BE327A">
        <w:rPr>
          <w:color w:val="auto"/>
          <w:sz w:val="24"/>
          <w:szCs w:val="24"/>
        </w:rPr>
        <w:t xml:space="preserve">, undermining the right to be presumed innocent. Some defendants do not have adequate time or resources to prepare an adequate defense. </w:t>
      </w:r>
      <w:r w:rsidR="002773AD">
        <w:rPr>
          <w:color w:val="auto"/>
          <w:sz w:val="24"/>
          <w:szCs w:val="24"/>
        </w:rPr>
        <w:t>And there are credible reports that courts admit evidence obtained under duress</w:t>
      </w:r>
      <w:r w:rsidR="0042693C">
        <w:rPr>
          <w:color w:val="auto"/>
          <w:sz w:val="24"/>
          <w:szCs w:val="24"/>
        </w:rPr>
        <w:t>.</w:t>
      </w:r>
    </w:p>
    <w:p w14:paraId="2DC8B342" w14:textId="723AA40B" w:rsidR="0042693C" w:rsidRDefault="0042693C" w:rsidP="00974E48">
      <w:pPr>
        <w:numPr>
          <w:ilvl w:val="0"/>
          <w:numId w:val="7"/>
        </w:numPr>
        <w:spacing w:after="120"/>
        <w:ind w:left="360"/>
        <w:jc w:val="both"/>
        <w:rPr>
          <w:color w:val="auto"/>
          <w:sz w:val="24"/>
          <w:szCs w:val="24"/>
        </w:rPr>
      </w:pPr>
      <w:r>
        <w:rPr>
          <w:color w:val="auto"/>
          <w:sz w:val="24"/>
          <w:szCs w:val="24"/>
        </w:rPr>
        <w:t xml:space="preserve">People under sentence of death face </w:t>
      </w:r>
      <w:r w:rsidR="001A356A">
        <w:rPr>
          <w:color w:val="auto"/>
          <w:sz w:val="24"/>
          <w:szCs w:val="24"/>
        </w:rPr>
        <w:t xml:space="preserve">detention conditions that violate the Covenant. They face psychological torture or ill-treatment at the prospect of their execution. And along with the general prison population, they endure overcrowding, inadequate food, water, sanitation, and health care. </w:t>
      </w:r>
      <w:r w:rsidR="00C16666">
        <w:rPr>
          <w:color w:val="auto"/>
          <w:sz w:val="24"/>
          <w:szCs w:val="24"/>
        </w:rPr>
        <w:t>Abuse of people held in prisons is reportedly widespread.</w:t>
      </w:r>
    </w:p>
    <w:p w14:paraId="4EB42D03" w14:textId="3D75EA6F" w:rsidR="00C16666" w:rsidRDefault="00447B09" w:rsidP="00974E48">
      <w:pPr>
        <w:numPr>
          <w:ilvl w:val="0"/>
          <w:numId w:val="7"/>
        </w:numPr>
        <w:spacing w:after="120"/>
        <w:ind w:left="360"/>
        <w:jc w:val="both"/>
        <w:rPr>
          <w:color w:val="auto"/>
          <w:sz w:val="24"/>
          <w:szCs w:val="24"/>
        </w:rPr>
      </w:pPr>
      <w:r>
        <w:rPr>
          <w:color w:val="auto"/>
          <w:sz w:val="24"/>
          <w:szCs w:val="24"/>
        </w:rPr>
        <w:t>The procedures for requesting or obtaining a commutation of a death sentence or a pardon</w:t>
      </w:r>
      <w:r w:rsidR="0028192C">
        <w:rPr>
          <w:color w:val="auto"/>
          <w:sz w:val="24"/>
          <w:szCs w:val="24"/>
        </w:rPr>
        <w:t xml:space="preserve"> for a capital conviction are not transparent.</w:t>
      </w:r>
    </w:p>
    <w:p w14:paraId="6FAF8A00" w14:textId="77777777" w:rsidR="006923F7" w:rsidRDefault="006923F7" w:rsidP="006923F7">
      <w:pPr>
        <w:spacing w:after="120"/>
        <w:ind w:left="360"/>
        <w:jc w:val="both"/>
        <w:rPr>
          <w:color w:val="auto"/>
          <w:sz w:val="24"/>
          <w:szCs w:val="24"/>
        </w:rPr>
      </w:pPr>
    </w:p>
    <w:p w14:paraId="1E53E7ED" w14:textId="50CC7BA1" w:rsidR="008F2F99" w:rsidRDefault="00801316" w:rsidP="008F2F99">
      <w:pPr>
        <w:spacing w:after="120"/>
        <w:jc w:val="center"/>
        <w:rPr>
          <w:b/>
          <w:color w:val="auto"/>
          <w:sz w:val="24"/>
          <w:szCs w:val="24"/>
        </w:rPr>
      </w:pPr>
      <w:r>
        <w:rPr>
          <w:b/>
          <w:color w:val="auto"/>
          <w:sz w:val="24"/>
          <w:szCs w:val="24"/>
        </w:rPr>
        <w:t>Tanzania</w:t>
      </w:r>
      <w:r w:rsidR="008F2F99" w:rsidRPr="008F2F99">
        <w:rPr>
          <w:b/>
          <w:color w:val="auto"/>
          <w:sz w:val="24"/>
          <w:szCs w:val="24"/>
        </w:rPr>
        <w:t xml:space="preserve"> fails to uphold its obligations under the </w:t>
      </w:r>
      <w:r>
        <w:rPr>
          <w:b/>
          <w:color w:val="auto"/>
          <w:sz w:val="24"/>
          <w:szCs w:val="24"/>
        </w:rPr>
        <w:t>International Covenant on Civil and Political Rights</w:t>
      </w:r>
    </w:p>
    <w:p w14:paraId="40DCD4D0" w14:textId="14F2D7EB" w:rsidR="004B1E4E" w:rsidRDefault="00EF05A3" w:rsidP="00E114C5">
      <w:pPr>
        <w:keepNext/>
        <w:numPr>
          <w:ilvl w:val="0"/>
          <w:numId w:val="8"/>
        </w:numPr>
        <w:spacing w:before="240" w:after="120"/>
        <w:ind w:left="720" w:hanging="360"/>
        <w:rPr>
          <w:b/>
          <w:color w:val="auto"/>
          <w:sz w:val="24"/>
          <w:szCs w:val="24"/>
        </w:rPr>
      </w:pPr>
      <w:r>
        <w:rPr>
          <w:b/>
          <w:color w:val="auto"/>
          <w:sz w:val="24"/>
          <w:szCs w:val="24"/>
        </w:rPr>
        <w:t>Tanzanian courts continue to sentence people to death,</w:t>
      </w:r>
      <w:r w:rsidR="00243C21">
        <w:rPr>
          <w:b/>
          <w:color w:val="auto"/>
          <w:sz w:val="24"/>
          <w:szCs w:val="24"/>
        </w:rPr>
        <w:t xml:space="preserve"> and the </w:t>
      </w:r>
      <w:r w:rsidR="00520DA6">
        <w:rPr>
          <w:b/>
          <w:color w:val="auto"/>
          <w:sz w:val="24"/>
          <w:szCs w:val="24"/>
        </w:rPr>
        <w:t>Tanzanian Penal Code retains a mandatory death penalty,</w:t>
      </w:r>
      <w:r>
        <w:rPr>
          <w:b/>
          <w:color w:val="auto"/>
          <w:sz w:val="24"/>
          <w:szCs w:val="24"/>
        </w:rPr>
        <w:t xml:space="preserve"> despite the continued de facto moratorium on executions</w:t>
      </w:r>
    </w:p>
    <w:p w14:paraId="74782064" w14:textId="262FEA1F" w:rsidR="00EF05A3" w:rsidRDefault="00EF05A3" w:rsidP="00974E48">
      <w:pPr>
        <w:numPr>
          <w:ilvl w:val="0"/>
          <w:numId w:val="7"/>
        </w:numPr>
        <w:spacing w:after="120"/>
        <w:ind w:left="360"/>
        <w:jc w:val="both"/>
        <w:rPr>
          <w:color w:val="auto"/>
          <w:sz w:val="24"/>
          <w:szCs w:val="24"/>
        </w:rPr>
      </w:pPr>
      <w:r>
        <w:rPr>
          <w:color w:val="auto"/>
          <w:sz w:val="24"/>
          <w:szCs w:val="24"/>
        </w:rPr>
        <w:t xml:space="preserve">In </w:t>
      </w:r>
      <w:r w:rsidR="0021388A">
        <w:rPr>
          <w:color w:val="auto"/>
          <w:sz w:val="24"/>
          <w:szCs w:val="24"/>
        </w:rPr>
        <w:t>its 2009 Concluding Observations, the Committee identified as a positive aspect Tanzania’s “de facto moratorium on the death penalty which has been applied since 1994.”</w:t>
      </w:r>
      <w:r w:rsidR="0021388A">
        <w:rPr>
          <w:rStyle w:val="FootnoteReference"/>
          <w:color w:val="auto"/>
          <w:sz w:val="24"/>
          <w:szCs w:val="24"/>
        </w:rPr>
        <w:footnoteReference w:id="2"/>
      </w:r>
      <w:r w:rsidR="006B18F7">
        <w:rPr>
          <w:color w:val="auto"/>
          <w:sz w:val="24"/>
          <w:szCs w:val="24"/>
        </w:rPr>
        <w:t xml:space="preserve"> The Committee reiterated “its concern that courts continue to impose death sentences and [that</w:t>
      </w:r>
      <w:r w:rsidR="006B5558">
        <w:rPr>
          <w:color w:val="auto"/>
          <w:sz w:val="24"/>
          <w:szCs w:val="24"/>
        </w:rPr>
        <w:t xml:space="preserve"> there was a] high number of persons remaining on death row.”</w:t>
      </w:r>
      <w:r w:rsidR="006B5558">
        <w:rPr>
          <w:rStyle w:val="FootnoteReference"/>
          <w:color w:val="auto"/>
          <w:sz w:val="24"/>
          <w:szCs w:val="24"/>
        </w:rPr>
        <w:footnoteReference w:id="3"/>
      </w:r>
      <w:r w:rsidR="00195ED6">
        <w:rPr>
          <w:color w:val="auto"/>
          <w:sz w:val="24"/>
          <w:szCs w:val="24"/>
        </w:rPr>
        <w:t xml:space="preserve"> The Committee recommended that Tanzania “seriously consider abolishing the death penalty and becoming a party to the Second Optional Protocol of the Covenant.”</w:t>
      </w:r>
      <w:r w:rsidR="00195ED6">
        <w:rPr>
          <w:rStyle w:val="FootnoteReference"/>
          <w:color w:val="auto"/>
          <w:sz w:val="24"/>
          <w:szCs w:val="24"/>
        </w:rPr>
        <w:footnoteReference w:id="4"/>
      </w:r>
    </w:p>
    <w:p w14:paraId="17357C4F" w14:textId="7CB7DEBD" w:rsidR="00D07123" w:rsidRDefault="00EA1410" w:rsidP="00974E48">
      <w:pPr>
        <w:numPr>
          <w:ilvl w:val="0"/>
          <w:numId w:val="7"/>
        </w:numPr>
        <w:spacing w:after="120"/>
        <w:ind w:left="360"/>
        <w:jc w:val="both"/>
        <w:rPr>
          <w:color w:val="auto"/>
          <w:sz w:val="24"/>
          <w:szCs w:val="24"/>
        </w:rPr>
      </w:pPr>
      <w:r>
        <w:rPr>
          <w:color w:val="auto"/>
          <w:sz w:val="24"/>
          <w:szCs w:val="24"/>
        </w:rPr>
        <w:lastRenderedPageBreak/>
        <w:t>On 9 December 2020, i</w:t>
      </w:r>
      <w:r w:rsidR="00D07123">
        <w:rPr>
          <w:color w:val="auto"/>
          <w:sz w:val="24"/>
          <w:szCs w:val="24"/>
        </w:rPr>
        <w:t xml:space="preserve">n commemoration of </w:t>
      </w:r>
      <w:r w:rsidR="003B483D">
        <w:rPr>
          <w:color w:val="auto"/>
          <w:sz w:val="24"/>
          <w:szCs w:val="24"/>
        </w:rPr>
        <w:t xml:space="preserve">Tanzania’s Independence Day, President John </w:t>
      </w:r>
      <w:proofErr w:type="spellStart"/>
      <w:r w:rsidR="003B483D">
        <w:rPr>
          <w:color w:val="auto"/>
          <w:sz w:val="24"/>
          <w:szCs w:val="24"/>
        </w:rPr>
        <w:t>Magufuli</w:t>
      </w:r>
      <w:proofErr w:type="spellEnd"/>
      <w:r w:rsidR="003B483D">
        <w:rPr>
          <w:color w:val="auto"/>
          <w:sz w:val="24"/>
          <w:szCs w:val="24"/>
        </w:rPr>
        <w:t xml:space="preserve"> commuted the </w:t>
      </w:r>
      <w:r w:rsidR="00315BDD">
        <w:rPr>
          <w:color w:val="auto"/>
          <w:sz w:val="24"/>
          <w:szCs w:val="24"/>
        </w:rPr>
        <w:t xml:space="preserve">death </w:t>
      </w:r>
      <w:r w:rsidR="003B483D">
        <w:rPr>
          <w:color w:val="auto"/>
          <w:sz w:val="24"/>
          <w:szCs w:val="24"/>
        </w:rPr>
        <w:t>sentences of 256 persons</w:t>
      </w:r>
      <w:r w:rsidR="00311DF1">
        <w:rPr>
          <w:color w:val="auto"/>
          <w:sz w:val="24"/>
          <w:szCs w:val="24"/>
        </w:rPr>
        <w:t xml:space="preserve"> to life imprisonment.</w:t>
      </w:r>
      <w:r w:rsidR="00311DF1">
        <w:rPr>
          <w:rStyle w:val="FootnoteReference"/>
          <w:color w:val="auto"/>
          <w:sz w:val="24"/>
          <w:szCs w:val="24"/>
        </w:rPr>
        <w:footnoteReference w:id="5"/>
      </w:r>
      <w:r w:rsidR="002A7457">
        <w:rPr>
          <w:color w:val="auto"/>
          <w:sz w:val="24"/>
          <w:szCs w:val="24"/>
        </w:rPr>
        <w:t xml:space="preserve"> President </w:t>
      </w:r>
      <w:proofErr w:type="spellStart"/>
      <w:r w:rsidR="002A7457">
        <w:rPr>
          <w:color w:val="auto"/>
          <w:sz w:val="24"/>
          <w:szCs w:val="24"/>
        </w:rPr>
        <w:t>Magufuli</w:t>
      </w:r>
      <w:proofErr w:type="spellEnd"/>
      <w:r w:rsidR="002A7457">
        <w:rPr>
          <w:color w:val="auto"/>
          <w:sz w:val="24"/>
          <w:szCs w:val="24"/>
        </w:rPr>
        <w:t xml:space="preserve"> in 2017 </w:t>
      </w:r>
      <w:r w:rsidR="00E37492">
        <w:rPr>
          <w:color w:val="auto"/>
          <w:sz w:val="24"/>
          <w:szCs w:val="24"/>
        </w:rPr>
        <w:t>publicly requested that courts “not . . . submit to me the list of names of the prisoners who are in line to be hanged to death</w:t>
      </w:r>
      <w:proofErr w:type="gramStart"/>
      <w:r w:rsidR="00E37492">
        <w:rPr>
          <w:color w:val="auto"/>
          <w:sz w:val="24"/>
          <w:szCs w:val="24"/>
        </w:rPr>
        <w:t>. . . .</w:t>
      </w:r>
      <w:proofErr w:type="gramEnd"/>
      <w:r w:rsidR="00E37492">
        <w:rPr>
          <w:color w:val="auto"/>
          <w:sz w:val="24"/>
          <w:szCs w:val="24"/>
        </w:rPr>
        <w:t xml:space="preserve"> [P]lease don’t bring the list of those people to me.”</w:t>
      </w:r>
      <w:r w:rsidR="00100DB9">
        <w:rPr>
          <w:rStyle w:val="FootnoteReference"/>
          <w:color w:val="auto"/>
          <w:sz w:val="24"/>
          <w:szCs w:val="24"/>
        </w:rPr>
        <w:footnoteReference w:id="6"/>
      </w:r>
    </w:p>
    <w:p w14:paraId="3B584C41" w14:textId="0CAD03DB" w:rsidR="00485E0B" w:rsidRDefault="00383DBA" w:rsidP="00974E48">
      <w:pPr>
        <w:numPr>
          <w:ilvl w:val="0"/>
          <w:numId w:val="7"/>
        </w:numPr>
        <w:spacing w:after="120"/>
        <w:ind w:left="360"/>
        <w:jc w:val="both"/>
        <w:rPr>
          <w:color w:val="auto"/>
          <w:sz w:val="24"/>
          <w:szCs w:val="24"/>
        </w:rPr>
      </w:pPr>
      <w:r>
        <w:rPr>
          <w:color w:val="auto"/>
          <w:sz w:val="24"/>
          <w:szCs w:val="24"/>
        </w:rPr>
        <w:t xml:space="preserve">The Tanzanian Penal Code mandates </w:t>
      </w:r>
      <w:r w:rsidR="00115CEF">
        <w:rPr>
          <w:color w:val="auto"/>
          <w:sz w:val="24"/>
          <w:szCs w:val="24"/>
        </w:rPr>
        <w:t>a sentence of death for treason, “instigating invasion,” and murder.</w:t>
      </w:r>
      <w:r w:rsidR="00115CEF">
        <w:rPr>
          <w:rStyle w:val="FootnoteReference"/>
          <w:color w:val="auto"/>
          <w:sz w:val="24"/>
          <w:szCs w:val="24"/>
        </w:rPr>
        <w:footnoteReference w:id="7"/>
      </w:r>
      <w:r w:rsidR="00FE5A98">
        <w:rPr>
          <w:color w:val="auto"/>
          <w:sz w:val="24"/>
          <w:szCs w:val="24"/>
        </w:rPr>
        <w:t xml:space="preserve"> For example, article 197 of the Penal Code</w:t>
      </w:r>
      <w:r w:rsidR="00175041">
        <w:rPr>
          <w:color w:val="auto"/>
          <w:sz w:val="24"/>
          <w:szCs w:val="24"/>
        </w:rPr>
        <w:t xml:space="preserve"> of Tanzania</w:t>
      </w:r>
      <w:r w:rsidR="00FE5A98">
        <w:rPr>
          <w:color w:val="auto"/>
          <w:sz w:val="24"/>
          <w:szCs w:val="24"/>
        </w:rPr>
        <w:t xml:space="preserve"> states: “Any person convicted of murder </w:t>
      </w:r>
      <w:r w:rsidR="00FE5A98">
        <w:rPr>
          <w:color w:val="auto"/>
          <w:sz w:val="24"/>
          <w:szCs w:val="24"/>
          <w:u w:val="single"/>
        </w:rPr>
        <w:t>shall</w:t>
      </w:r>
      <w:r w:rsidR="00FE5A98">
        <w:rPr>
          <w:color w:val="auto"/>
          <w:sz w:val="24"/>
          <w:szCs w:val="24"/>
        </w:rPr>
        <w:t xml:space="preserve"> be sentenced to death.”</w:t>
      </w:r>
      <w:r w:rsidR="00C3307C">
        <w:rPr>
          <w:rStyle w:val="FootnoteReference"/>
          <w:color w:val="auto"/>
          <w:sz w:val="24"/>
          <w:szCs w:val="24"/>
        </w:rPr>
        <w:footnoteReference w:id="8"/>
      </w:r>
      <w:r w:rsidR="00173BFE">
        <w:rPr>
          <w:color w:val="auto"/>
          <w:sz w:val="24"/>
          <w:szCs w:val="24"/>
        </w:rPr>
        <w:t xml:space="preserve"> </w:t>
      </w:r>
      <w:r w:rsidR="005274C5">
        <w:rPr>
          <w:color w:val="auto"/>
          <w:sz w:val="24"/>
          <w:szCs w:val="24"/>
        </w:rPr>
        <w:t>Similarly, the Penal Act of Zanzibar provides that a person convicted of murder “shall be sentenced to death.”</w:t>
      </w:r>
      <w:r w:rsidR="005274C5">
        <w:rPr>
          <w:rStyle w:val="FootnoteReference"/>
          <w:color w:val="auto"/>
          <w:sz w:val="24"/>
          <w:szCs w:val="24"/>
        </w:rPr>
        <w:footnoteReference w:id="9"/>
      </w:r>
      <w:r w:rsidR="005274C5">
        <w:rPr>
          <w:color w:val="auto"/>
          <w:sz w:val="24"/>
          <w:szCs w:val="24"/>
        </w:rPr>
        <w:t xml:space="preserve"> </w:t>
      </w:r>
      <w:r w:rsidR="00173BFE">
        <w:rPr>
          <w:color w:val="auto"/>
          <w:sz w:val="24"/>
          <w:szCs w:val="24"/>
        </w:rPr>
        <w:t xml:space="preserve">The only exception </w:t>
      </w:r>
      <w:r w:rsidR="005274C5">
        <w:rPr>
          <w:color w:val="auto"/>
          <w:sz w:val="24"/>
          <w:szCs w:val="24"/>
        </w:rPr>
        <w:t xml:space="preserve">under Tanzanian law </w:t>
      </w:r>
      <w:r w:rsidR="00173BFE">
        <w:rPr>
          <w:color w:val="auto"/>
          <w:sz w:val="24"/>
          <w:szCs w:val="24"/>
        </w:rPr>
        <w:t xml:space="preserve">is for a </w:t>
      </w:r>
      <w:r w:rsidR="00910E68">
        <w:rPr>
          <w:color w:val="auto"/>
          <w:sz w:val="24"/>
          <w:szCs w:val="24"/>
        </w:rPr>
        <w:t xml:space="preserve">pregnant </w:t>
      </w:r>
      <w:r w:rsidR="00ED7550">
        <w:rPr>
          <w:color w:val="auto"/>
          <w:sz w:val="24"/>
          <w:szCs w:val="24"/>
        </w:rPr>
        <w:t>person</w:t>
      </w:r>
      <w:r w:rsidR="00173BFE">
        <w:rPr>
          <w:color w:val="auto"/>
          <w:sz w:val="24"/>
          <w:szCs w:val="24"/>
        </w:rPr>
        <w:t xml:space="preserve"> convicted of an offense punishable with death. </w:t>
      </w:r>
      <w:r w:rsidR="00910E68">
        <w:rPr>
          <w:color w:val="auto"/>
          <w:sz w:val="24"/>
          <w:szCs w:val="24"/>
        </w:rPr>
        <w:t>Such a person is sentenced to life imprisonment.</w:t>
      </w:r>
      <w:r w:rsidR="00910E68">
        <w:rPr>
          <w:rStyle w:val="FootnoteReference"/>
          <w:color w:val="auto"/>
          <w:sz w:val="24"/>
          <w:szCs w:val="24"/>
        </w:rPr>
        <w:footnoteReference w:id="10"/>
      </w:r>
      <w:r w:rsidR="002A6373">
        <w:rPr>
          <w:color w:val="auto"/>
          <w:sz w:val="24"/>
          <w:szCs w:val="24"/>
        </w:rPr>
        <w:t xml:space="preserve"> Breastfeeding mothers are not exempt from being sentenced to death.</w:t>
      </w:r>
      <w:r w:rsidR="005274C5">
        <w:rPr>
          <w:rStyle w:val="FootnoteReference"/>
          <w:color w:val="auto"/>
          <w:sz w:val="24"/>
          <w:szCs w:val="24"/>
        </w:rPr>
        <w:footnoteReference w:id="11"/>
      </w:r>
      <w:r w:rsidR="00D77C54">
        <w:rPr>
          <w:color w:val="auto"/>
          <w:sz w:val="24"/>
          <w:szCs w:val="24"/>
        </w:rPr>
        <w:t xml:space="preserve"> </w:t>
      </w:r>
    </w:p>
    <w:p w14:paraId="5CC552D6" w14:textId="037ED2CE" w:rsidR="00ED7550" w:rsidRDefault="006875EC" w:rsidP="00974E48">
      <w:pPr>
        <w:numPr>
          <w:ilvl w:val="0"/>
          <w:numId w:val="7"/>
        </w:numPr>
        <w:spacing w:after="120"/>
        <w:ind w:left="360"/>
        <w:jc w:val="both"/>
        <w:rPr>
          <w:color w:val="auto"/>
          <w:sz w:val="24"/>
          <w:szCs w:val="24"/>
        </w:rPr>
      </w:pPr>
      <w:r>
        <w:rPr>
          <w:color w:val="auto"/>
          <w:sz w:val="24"/>
          <w:szCs w:val="24"/>
        </w:rPr>
        <w:t xml:space="preserve">In November 2019, the African Court on Human and Peoples’ Rights </w:t>
      </w:r>
      <w:r w:rsidR="00EC531B">
        <w:rPr>
          <w:color w:val="auto"/>
          <w:sz w:val="24"/>
          <w:szCs w:val="24"/>
        </w:rPr>
        <w:t>upheld a challenge to the country’s mandatory death penalty</w:t>
      </w:r>
      <w:r w:rsidR="00EE2E0F">
        <w:rPr>
          <w:color w:val="auto"/>
          <w:sz w:val="24"/>
          <w:szCs w:val="24"/>
        </w:rPr>
        <w:t xml:space="preserve">. </w:t>
      </w:r>
      <w:r w:rsidR="00F4449F">
        <w:rPr>
          <w:color w:val="auto"/>
          <w:sz w:val="24"/>
          <w:szCs w:val="24"/>
        </w:rPr>
        <w:t xml:space="preserve">In </w:t>
      </w:r>
      <w:r w:rsidR="00F4449F">
        <w:rPr>
          <w:i/>
          <w:iCs/>
          <w:color w:val="auto"/>
          <w:sz w:val="24"/>
          <w:szCs w:val="24"/>
        </w:rPr>
        <w:t xml:space="preserve">Ally </w:t>
      </w:r>
      <w:proofErr w:type="spellStart"/>
      <w:r w:rsidR="00F4449F">
        <w:rPr>
          <w:i/>
          <w:iCs/>
          <w:color w:val="auto"/>
          <w:sz w:val="24"/>
          <w:szCs w:val="24"/>
        </w:rPr>
        <w:t>Rajabu</w:t>
      </w:r>
      <w:proofErr w:type="spellEnd"/>
      <w:r w:rsidR="00F4449F">
        <w:rPr>
          <w:i/>
          <w:iCs/>
          <w:color w:val="auto"/>
          <w:sz w:val="24"/>
          <w:szCs w:val="24"/>
        </w:rPr>
        <w:t xml:space="preserve"> and Others v. United Republic of Tanzania</w:t>
      </w:r>
      <w:r w:rsidR="00F4449F" w:rsidRPr="005456E7">
        <w:rPr>
          <w:color w:val="auto"/>
          <w:sz w:val="24"/>
          <w:szCs w:val="24"/>
        </w:rPr>
        <w:t>,</w:t>
      </w:r>
      <w:r w:rsidR="00F4449F">
        <w:rPr>
          <w:i/>
          <w:iCs/>
          <w:color w:val="auto"/>
          <w:sz w:val="24"/>
          <w:szCs w:val="24"/>
        </w:rPr>
        <w:t xml:space="preserve"> </w:t>
      </w:r>
      <w:r w:rsidR="005456E7">
        <w:rPr>
          <w:color w:val="auto"/>
          <w:sz w:val="24"/>
          <w:szCs w:val="24"/>
        </w:rPr>
        <w:t>f</w:t>
      </w:r>
      <w:r w:rsidR="00EE2E0F">
        <w:rPr>
          <w:color w:val="auto"/>
          <w:sz w:val="24"/>
          <w:szCs w:val="24"/>
        </w:rPr>
        <w:t xml:space="preserve">ive Tanzanian nationals who had been sentenced to death </w:t>
      </w:r>
      <w:r w:rsidR="00BF7AE4">
        <w:rPr>
          <w:color w:val="auto"/>
          <w:sz w:val="24"/>
          <w:szCs w:val="24"/>
        </w:rPr>
        <w:t xml:space="preserve">challenged their sentences on various grounds. The Court held that </w:t>
      </w:r>
      <w:r w:rsidR="00EB6AF7">
        <w:rPr>
          <w:color w:val="auto"/>
          <w:sz w:val="24"/>
          <w:szCs w:val="24"/>
        </w:rPr>
        <w:t>because the mandatory application of the death penalty “is automatic and mechanical</w:t>
      </w:r>
      <w:r w:rsidR="001F6EFE">
        <w:rPr>
          <w:color w:val="auto"/>
          <w:sz w:val="24"/>
          <w:szCs w:val="24"/>
        </w:rPr>
        <w:t>,” and “as such, the provision of the sentence and its imposition do not permit consideration of mitigating factors</w:t>
      </w:r>
      <w:r w:rsidR="005125E8">
        <w:rPr>
          <w:color w:val="auto"/>
          <w:sz w:val="24"/>
          <w:szCs w:val="24"/>
        </w:rPr>
        <w:t>; applies to accused persons without any distinction; takes away the discretion inherent in the exercise of the judicial function; and does not observe proportionality between the facts and the penalty,” and therefore it “does not uphold fairness and due process as guaranteed under Article 7(1) of the [African] Charter [on Human and Peoples’ Rights].”</w:t>
      </w:r>
      <w:r w:rsidR="005125E8">
        <w:rPr>
          <w:rStyle w:val="FootnoteReference"/>
          <w:color w:val="auto"/>
          <w:sz w:val="24"/>
          <w:szCs w:val="24"/>
        </w:rPr>
        <w:footnoteReference w:id="12"/>
      </w:r>
      <w:r w:rsidR="000D6EA5">
        <w:rPr>
          <w:color w:val="auto"/>
          <w:sz w:val="24"/>
          <w:szCs w:val="24"/>
        </w:rPr>
        <w:t xml:space="preserve"> The Court concluded that the mandatory death sentence in Section 197</w:t>
      </w:r>
      <w:r w:rsidR="00781E26">
        <w:rPr>
          <w:color w:val="auto"/>
          <w:sz w:val="24"/>
          <w:szCs w:val="24"/>
        </w:rPr>
        <w:t xml:space="preserve"> of the Penal Code “constitutes an arbitrary deprivation of the right to life.”</w:t>
      </w:r>
      <w:r w:rsidR="00781E26">
        <w:rPr>
          <w:rStyle w:val="FootnoteReference"/>
          <w:color w:val="auto"/>
          <w:sz w:val="24"/>
          <w:szCs w:val="24"/>
        </w:rPr>
        <w:footnoteReference w:id="13"/>
      </w:r>
      <w:r w:rsidR="00A83D9E">
        <w:rPr>
          <w:color w:val="auto"/>
          <w:sz w:val="24"/>
          <w:szCs w:val="24"/>
        </w:rPr>
        <w:t xml:space="preserve"> The Court directed Tanzania to bring its Penal Code into compliance with the African Charter by eliminating the mandatory death penalty.</w:t>
      </w:r>
      <w:r w:rsidR="00A83D9E">
        <w:rPr>
          <w:rStyle w:val="FootnoteReference"/>
          <w:color w:val="auto"/>
          <w:sz w:val="24"/>
          <w:szCs w:val="24"/>
        </w:rPr>
        <w:footnoteReference w:id="14"/>
      </w:r>
      <w:r w:rsidR="00A83D9E">
        <w:rPr>
          <w:color w:val="auto"/>
          <w:sz w:val="24"/>
          <w:szCs w:val="24"/>
        </w:rPr>
        <w:t xml:space="preserve"> </w:t>
      </w:r>
      <w:r w:rsidR="00793DE1">
        <w:rPr>
          <w:color w:val="auto"/>
          <w:sz w:val="24"/>
          <w:szCs w:val="24"/>
        </w:rPr>
        <w:t xml:space="preserve">The Court also awarded the applicants 4 million Tanzania Shillings each for moral damages, to be paid within six months of </w:t>
      </w:r>
      <w:r w:rsidR="0091680D">
        <w:rPr>
          <w:color w:val="auto"/>
          <w:sz w:val="24"/>
          <w:szCs w:val="24"/>
        </w:rPr>
        <w:t>notification of the judgment.</w:t>
      </w:r>
      <w:r w:rsidR="0091680D">
        <w:rPr>
          <w:rStyle w:val="FootnoteReference"/>
          <w:color w:val="auto"/>
          <w:sz w:val="24"/>
          <w:szCs w:val="24"/>
        </w:rPr>
        <w:footnoteReference w:id="15"/>
      </w:r>
      <w:r w:rsidR="00A57405">
        <w:rPr>
          <w:color w:val="auto"/>
          <w:sz w:val="24"/>
          <w:szCs w:val="24"/>
        </w:rPr>
        <w:t xml:space="preserve"> And the Court directed Tanzania to set aside the applicants’ death sentences and </w:t>
      </w:r>
      <w:r w:rsidR="00A57405">
        <w:rPr>
          <w:color w:val="auto"/>
          <w:sz w:val="24"/>
          <w:szCs w:val="24"/>
        </w:rPr>
        <w:lastRenderedPageBreak/>
        <w:t xml:space="preserve">replace them “with any other </w:t>
      </w:r>
      <w:r w:rsidR="00F17985">
        <w:rPr>
          <w:color w:val="auto"/>
          <w:sz w:val="24"/>
          <w:szCs w:val="24"/>
        </w:rPr>
        <w:t>order that it will deem appropriate within its domestic processes.”</w:t>
      </w:r>
      <w:r w:rsidR="00F17985">
        <w:rPr>
          <w:rStyle w:val="FootnoteReference"/>
          <w:color w:val="auto"/>
          <w:sz w:val="24"/>
          <w:szCs w:val="24"/>
        </w:rPr>
        <w:footnoteReference w:id="16"/>
      </w:r>
    </w:p>
    <w:p w14:paraId="3369EAEC" w14:textId="4302AA5A" w:rsidR="00CA2D03" w:rsidRDefault="00147FF9" w:rsidP="00974E48">
      <w:pPr>
        <w:numPr>
          <w:ilvl w:val="0"/>
          <w:numId w:val="7"/>
        </w:numPr>
        <w:spacing w:after="120"/>
        <w:ind w:left="360"/>
        <w:jc w:val="both"/>
        <w:rPr>
          <w:color w:val="auto"/>
          <w:sz w:val="24"/>
          <w:szCs w:val="24"/>
        </w:rPr>
      </w:pPr>
      <w:r>
        <w:rPr>
          <w:color w:val="auto"/>
          <w:sz w:val="24"/>
          <w:szCs w:val="24"/>
        </w:rPr>
        <w:t>Soon a</w:t>
      </w:r>
      <w:r w:rsidR="005244A4">
        <w:rPr>
          <w:color w:val="auto"/>
          <w:sz w:val="24"/>
          <w:szCs w:val="24"/>
        </w:rPr>
        <w:t xml:space="preserve">fter the African Court issued its judgment, Tanzanian Attorney General </w:t>
      </w:r>
      <w:proofErr w:type="spellStart"/>
      <w:r w:rsidR="005244A4">
        <w:rPr>
          <w:color w:val="auto"/>
          <w:sz w:val="24"/>
          <w:szCs w:val="24"/>
        </w:rPr>
        <w:t>Adelardus</w:t>
      </w:r>
      <w:proofErr w:type="spellEnd"/>
      <w:r w:rsidR="005244A4">
        <w:rPr>
          <w:color w:val="auto"/>
          <w:sz w:val="24"/>
          <w:szCs w:val="24"/>
        </w:rPr>
        <w:t xml:space="preserve"> </w:t>
      </w:r>
      <w:proofErr w:type="spellStart"/>
      <w:r w:rsidR="005244A4">
        <w:rPr>
          <w:color w:val="auto"/>
          <w:sz w:val="24"/>
          <w:szCs w:val="24"/>
        </w:rPr>
        <w:t>Kilangi</w:t>
      </w:r>
      <w:proofErr w:type="spellEnd"/>
      <w:r w:rsidR="00DD77B5">
        <w:rPr>
          <w:color w:val="auto"/>
          <w:sz w:val="24"/>
          <w:szCs w:val="24"/>
        </w:rPr>
        <w:t xml:space="preserve"> told a news outlet that the Constitution</w:t>
      </w:r>
      <w:r w:rsidR="00083015">
        <w:rPr>
          <w:color w:val="auto"/>
          <w:sz w:val="24"/>
          <w:szCs w:val="24"/>
        </w:rPr>
        <w:t xml:space="preserve"> took precedence over international judgments, thereby suggesting that Tanzania might disregard the judgment.</w:t>
      </w:r>
      <w:r w:rsidR="00083015">
        <w:rPr>
          <w:rStyle w:val="FootnoteReference"/>
          <w:color w:val="auto"/>
          <w:sz w:val="24"/>
          <w:szCs w:val="24"/>
        </w:rPr>
        <w:footnoteReference w:id="17"/>
      </w:r>
      <w:r>
        <w:rPr>
          <w:color w:val="auto"/>
          <w:sz w:val="24"/>
          <w:szCs w:val="24"/>
        </w:rPr>
        <w:t xml:space="preserve"> </w:t>
      </w:r>
      <w:r w:rsidR="007D6F61">
        <w:rPr>
          <w:color w:val="auto"/>
          <w:sz w:val="24"/>
          <w:szCs w:val="24"/>
        </w:rPr>
        <w:t>On 21 November</w:t>
      </w:r>
      <w:r>
        <w:rPr>
          <w:color w:val="auto"/>
          <w:sz w:val="24"/>
          <w:szCs w:val="24"/>
        </w:rPr>
        <w:t xml:space="preserve"> 2019, </w:t>
      </w:r>
      <w:r w:rsidR="00AB4065">
        <w:rPr>
          <w:color w:val="auto"/>
          <w:sz w:val="24"/>
          <w:szCs w:val="24"/>
        </w:rPr>
        <w:t xml:space="preserve">one week before the Court issued its judgment, </w:t>
      </w:r>
      <w:r>
        <w:rPr>
          <w:color w:val="auto"/>
          <w:sz w:val="24"/>
          <w:szCs w:val="24"/>
        </w:rPr>
        <w:t xml:space="preserve">Tanzania </w:t>
      </w:r>
      <w:r w:rsidR="00AB4065">
        <w:rPr>
          <w:color w:val="auto"/>
          <w:sz w:val="24"/>
          <w:szCs w:val="24"/>
        </w:rPr>
        <w:t xml:space="preserve">notified the African Union </w:t>
      </w:r>
      <w:r w:rsidR="00026377">
        <w:rPr>
          <w:color w:val="auto"/>
          <w:sz w:val="24"/>
          <w:szCs w:val="24"/>
        </w:rPr>
        <w:t xml:space="preserve">that it had withdrawn </w:t>
      </w:r>
      <w:r>
        <w:rPr>
          <w:color w:val="auto"/>
          <w:sz w:val="24"/>
          <w:szCs w:val="24"/>
        </w:rPr>
        <w:t>the right of individuals and non-governmental organizations to file cases directly against it at the African Court.</w:t>
      </w:r>
      <w:r>
        <w:rPr>
          <w:rStyle w:val="FootnoteReference"/>
          <w:color w:val="auto"/>
          <w:sz w:val="24"/>
          <w:szCs w:val="24"/>
        </w:rPr>
        <w:footnoteReference w:id="18"/>
      </w:r>
    </w:p>
    <w:p w14:paraId="5911C83A" w14:textId="55AB13FB" w:rsidR="00FB2074" w:rsidRDefault="00F9633F" w:rsidP="00974E48">
      <w:pPr>
        <w:numPr>
          <w:ilvl w:val="0"/>
          <w:numId w:val="7"/>
        </w:numPr>
        <w:spacing w:after="120"/>
        <w:ind w:left="360"/>
        <w:jc w:val="both"/>
        <w:rPr>
          <w:color w:val="auto"/>
          <w:sz w:val="24"/>
          <w:szCs w:val="24"/>
        </w:rPr>
      </w:pPr>
      <w:r>
        <w:rPr>
          <w:color w:val="auto"/>
          <w:sz w:val="24"/>
          <w:szCs w:val="24"/>
        </w:rPr>
        <w:t xml:space="preserve">In October 2020, Amnesty International reported that </w:t>
      </w:r>
      <w:r w:rsidR="00BF47D8">
        <w:rPr>
          <w:color w:val="auto"/>
          <w:sz w:val="24"/>
          <w:szCs w:val="24"/>
        </w:rPr>
        <w:t>Tanzania had yet to implement the Court’s judgment.</w:t>
      </w:r>
      <w:r w:rsidR="00BF47D8">
        <w:rPr>
          <w:rStyle w:val="FootnoteReference"/>
          <w:color w:val="auto"/>
          <w:sz w:val="24"/>
          <w:szCs w:val="24"/>
        </w:rPr>
        <w:footnoteReference w:id="19"/>
      </w:r>
    </w:p>
    <w:p w14:paraId="5D19D2F1" w14:textId="2E842B6F" w:rsidR="00F6493F" w:rsidRDefault="00E159FD" w:rsidP="00974E48">
      <w:pPr>
        <w:numPr>
          <w:ilvl w:val="0"/>
          <w:numId w:val="7"/>
        </w:numPr>
        <w:spacing w:after="120"/>
        <w:ind w:left="360"/>
        <w:jc w:val="both"/>
        <w:rPr>
          <w:color w:val="auto"/>
          <w:sz w:val="24"/>
          <w:szCs w:val="24"/>
        </w:rPr>
      </w:pPr>
      <w:bookmarkStart w:id="0" w:name="_Hlk42257829"/>
      <w:r>
        <w:rPr>
          <w:color w:val="auto"/>
          <w:sz w:val="24"/>
          <w:szCs w:val="24"/>
        </w:rPr>
        <w:t xml:space="preserve">Tanzanian courts continue to sentence people to death. In </w:t>
      </w:r>
      <w:r w:rsidR="0082229F">
        <w:rPr>
          <w:color w:val="auto"/>
          <w:sz w:val="24"/>
          <w:szCs w:val="24"/>
        </w:rPr>
        <w:t>September</w:t>
      </w:r>
      <w:r>
        <w:rPr>
          <w:color w:val="auto"/>
          <w:sz w:val="24"/>
          <w:szCs w:val="24"/>
        </w:rPr>
        <w:t xml:space="preserve"> 2019, for example, a court sentenced seven people to death </w:t>
      </w:r>
      <w:r w:rsidR="00DA5F5C">
        <w:rPr>
          <w:color w:val="auto"/>
          <w:sz w:val="24"/>
          <w:szCs w:val="24"/>
        </w:rPr>
        <w:t xml:space="preserve">for killing a woman </w:t>
      </w:r>
      <w:r w:rsidR="000927E5">
        <w:rPr>
          <w:color w:val="auto"/>
          <w:sz w:val="24"/>
          <w:szCs w:val="24"/>
        </w:rPr>
        <w:t>alleged to have been engaging in witchcraft.</w:t>
      </w:r>
      <w:r w:rsidR="000927E5">
        <w:rPr>
          <w:rStyle w:val="FootnoteReference"/>
          <w:color w:val="auto"/>
          <w:sz w:val="24"/>
          <w:szCs w:val="24"/>
        </w:rPr>
        <w:footnoteReference w:id="20"/>
      </w:r>
      <w:r w:rsidR="0016638A">
        <w:rPr>
          <w:color w:val="auto"/>
          <w:sz w:val="24"/>
          <w:szCs w:val="24"/>
        </w:rPr>
        <w:t xml:space="preserve"> The Legal and Human Rights Centre documented 19 death sentences in 2019</w:t>
      </w:r>
      <w:r w:rsidR="00A221F4">
        <w:rPr>
          <w:color w:val="auto"/>
          <w:sz w:val="24"/>
          <w:szCs w:val="24"/>
        </w:rPr>
        <w:t xml:space="preserve">, </w:t>
      </w:r>
      <w:r w:rsidR="004E4134">
        <w:rPr>
          <w:color w:val="auto"/>
          <w:sz w:val="24"/>
          <w:szCs w:val="24"/>
        </w:rPr>
        <w:t>up</w:t>
      </w:r>
      <w:r w:rsidR="00A221F4">
        <w:rPr>
          <w:color w:val="auto"/>
          <w:sz w:val="24"/>
          <w:szCs w:val="24"/>
        </w:rPr>
        <w:t xml:space="preserve"> from </w:t>
      </w:r>
      <w:r w:rsidR="00801571">
        <w:rPr>
          <w:color w:val="auto"/>
          <w:sz w:val="24"/>
          <w:szCs w:val="24"/>
        </w:rPr>
        <w:t>6</w:t>
      </w:r>
      <w:r w:rsidR="004E4134">
        <w:rPr>
          <w:color w:val="auto"/>
          <w:sz w:val="24"/>
          <w:szCs w:val="24"/>
        </w:rPr>
        <w:t xml:space="preserve"> </w:t>
      </w:r>
      <w:r w:rsidR="00A221F4">
        <w:rPr>
          <w:color w:val="auto"/>
          <w:sz w:val="24"/>
          <w:szCs w:val="24"/>
        </w:rPr>
        <w:t>in 2018</w:t>
      </w:r>
      <w:r w:rsidR="00801571">
        <w:rPr>
          <w:rStyle w:val="FootnoteReference"/>
          <w:color w:val="auto"/>
          <w:sz w:val="24"/>
          <w:szCs w:val="24"/>
        </w:rPr>
        <w:footnoteReference w:id="21"/>
      </w:r>
      <w:r w:rsidR="004E4134">
        <w:rPr>
          <w:color w:val="auto"/>
          <w:sz w:val="24"/>
          <w:szCs w:val="24"/>
        </w:rPr>
        <w:t xml:space="preserve"> and 15 in 2017</w:t>
      </w:r>
      <w:r w:rsidR="00A221F4">
        <w:rPr>
          <w:color w:val="auto"/>
          <w:sz w:val="24"/>
          <w:szCs w:val="24"/>
        </w:rPr>
        <w:t>.</w:t>
      </w:r>
      <w:r w:rsidR="00A221F4">
        <w:rPr>
          <w:rStyle w:val="FootnoteReference"/>
          <w:color w:val="auto"/>
          <w:sz w:val="24"/>
          <w:szCs w:val="24"/>
        </w:rPr>
        <w:footnoteReference w:id="22"/>
      </w:r>
      <w:r w:rsidR="00447DBB">
        <w:rPr>
          <w:color w:val="auto"/>
          <w:sz w:val="24"/>
          <w:szCs w:val="24"/>
        </w:rPr>
        <w:t xml:space="preserve"> </w:t>
      </w:r>
      <w:r w:rsidR="00713B5D">
        <w:rPr>
          <w:color w:val="auto"/>
          <w:sz w:val="24"/>
          <w:szCs w:val="24"/>
        </w:rPr>
        <w:t xml:space="preserve">Tanzanian courts have sentenced at least 9 people to death in 2020. </w:t>
      </w:r>
      <w:r w:rsidR="008C07FD">
        <w:rPr>
          <w:color w:val="auto"/>
          <w:sz w:val="24"/>
          <w:szCs w:val="24"/>
        </w:rPr>
        <w:t xml:space="preserve">On 18 September 2020, the High Court in </w:t>
      </w:r>
      <w:r w:rsidR="0009097D">
        <w:rPr>
          <w:color w:val="auto"/>
          <w:sz w:val="24"/>
          <w:szCs w:val="24"/>
        </w:rPr>
        <w:t>Dar es Salaam sentenced five men to death for a 2013 murder.</w:t>
      </w:r>
      <w:r w:rsidR="00C82BC6">
        <w:rPr>
          <w:rStyle w:val="FootnoteReference"/>
          <w:color w:val="auto"/>
          <w:sz w:val="24"/>
          <w:szCs w:val="24"/>
        </w:rPr>
        <w:footnoteReference w:id="23"/>
      </w:r>
      <w:r w:rsidR="0009097D">
        <w:rPr>
          <w:color w:val="auto"/>
          <w:sz w:val="24"/>
          <w:szCs w:val="24"/>
        </w:rPr>
        <w:t xml:space="preserve"> </w:t>
      </w:r>
      <w:r w:rsidR="00447DBB">
        <w:rPr>
          <w:color w:val="auto"/>
          <w:sz w:val="24"/>
          <w:szCs w:val="24"/>
        </w:rPr>
        <w:t xml:space="preserve">On 24 December 2020, </w:t>
      </w:r>
      <w:r w:rsidR="00DB5A19">
        <w:rPr>
          <w:color w:val="auto"/>
          <w:sz w:val="24"/>
          <w:szCs w:val="24"/>
        </w:rPr>
        <w:t>the High Court Mwanza Zo</w:t>
      </w:r>
      <w:r w:rsidR="007830DD">
        <w:rPr>
          <w:color w:val="auto"/>
          <w:sz w:val="24"/>
          <w:szCs w:val="24"/>
        </w:rPr>
        <w:t>n</w:t>
      </w:r>
      <w:r w:rsidR="00DB5A19">
        <w:rPr>
          <w:color w:val="auto"/>
          <w:sz w:val="24"/>
          <w:szCs w:val="24"/>
        </w:rPr>
        <w:t xml:space="preserve">e sentenced four people to death for </w:t>
      </w:r>
      <w:r w:rsidR="00E62D08">
        <w:rPr>
          <w:color w:val="auto"/>
          <w:sz w:val="24"/>
          <w:szCs w:val="24"/>
        </w:rPr>
        <w:t xml:space="preserve">a 2015 </w:t>
      </w:r>
      <w:r w:rsidR="007830DD">
        <w:rPr>
          <w:color w:val="auto"/>
          <w:sz w:val="24"/>
          <w:szCs w:val="24"/>
        </w:rPr>
        <w:t>murder.</w:t>
      </w:r>
      <w:r w:rsidR="007830DD">
        <w:rPr>
          <w:rStyle w:val="FootnoteReference"/>
          <w:color w:val="auto"/>
          <w:sz w:val="24"/>
          <w:szCs w:val="24"/>
        </w:rPr>
        <w:footnoteReference w:id="24"/>
      </w:r>
    </w:p>
    <w:p w14:paraId="3557B65E" w14:textId="70E591A9" w:rsidR="00760871" w:rsidRDefault="00760871" w:rsidP="00974E48">
      <w:pPr>
        <w:numPr>
          <w:ilvl w:val="0"/>
          <w:numId w:val="7"/>
        </w:numPr>
        <w:spacing w:after="120"/>
        <w:ind w:left="360"/>
        <w:jc w:val="both"/>
        <w:rPr>
          <w:color w:val="auto"/>
          <w:sz w:val="24"/>
          <w:szCs w:val="24"/>
        </w:rPr>
      </w:pPr>
      <w:r>
        <w:rPr>
          <w:color w:val="auto"/>
          <w:sz w:val="24"/>
          <w:szCs w:val="24"/>
        </w:rPr>
        <w:t xml:space="preserve">Tanzania has abstained from </w:t>
      </w:r>
      <w:r w:rsidR="00C1423D">
        <w:rPr>
          <w:color w:val="auto"/>
          <w:sz w:val="24"/>
          <w:szCs w:val="24"/>
        </w:rPr>
        <w:t>all eight resolutions in the General Assembly calling for a moratorium on the use of the death penalty</w:t>
      </w:r>
      <w:r w:rsidR="008A35BC">
        <w:rPr>
          <w:color w:val="auto"/>
          <w:sz w:val="24"/>
          <w:szCs w:val="24"/>
        </w:rPr>
        <w:t xml:space="preserve">, including the most recent resolution adopted on </w:t>
      </w:r>
      <w:r w:rsidR="004D3A4A">
        <w:rPr>
          <w:color w:val="auto"/>
          <w:sz w:val="24"/>
          <w:szCs w:val="24"/>
        </w:rPr>
        <w:t>16 December 2020.</w:t>
      </w:r>
      <w:r w:rsidR="00A44D60">
        <w:rPr>
          <w:color w:val="auto"/>
          <w:sz w:val="24"/>
          <w:szCs w:val="24"/>
        </w:rPr>
        <w:t xml:space="preserve"> In its second-cycle Universal Periodic Review, Tanzania noted all recommendations relating to the death penalty.</w:t>
      </w:r>
      <w:r w:rsidR="00A44D60">
        <w:rPr>
          <w:rStyle w:val="FootnoteReference"/>
          <w:color w:val="auto"/>
          <w:sz w:val="24"/>
          <w:szCs w:val="24"/>
        </w:rPr>
        <w:footnoteReference w:id="25"/>
      </w:r>
    </w:p>
    <w:p w14:paraId="3211FEF3" w14:textId="5F467559" w:rsidR="00B12BCC" w:rsidRDefault="00B12BCC" w:rsidP="00974E48">
      <w:pPr>
        <w:numPr>
          <w:ilvl w:val="0"/>
          <w:numId w:val="7"/>
        </w:numPr>
        <w:spacing w:after="120"/>
        <w:ind w:left="360"/>
        <w:jc w:val="both"/>
        <w:rPr>
          <w:color w:val="auto"/>
          <w:sz w:val="24"/>
          <w:szCs w:val="24"/>
        </w:rPr>
      </w:pPr>
      <w:r>
        <w:rPr>
          <w:color w:val="auto"/>
          <w:sz w:val="24"/>
          <w:szCs w:val="24"/>
        </w:rPr>
        <w:t>During the interactive dialogue</w:t>
      </w:r>
      <w:r w:rsidR="00875DEC">
        <w:rPr>
          <w:color w:val="auto"/>
          <w:sz w:val="24"/>
          <w:szCs w:val="24"/>
        </w:rPr>
        <w:t xml:space="preserve"> in 2016</w:t>
      </w:r>
      <w:r>
        <w:rPr>
          <w:color w:val="auto"/>
          <w:sz w:val="24"/>
          <w:szCs w:val="24"/>
        </w:rPr>
        <w:t xml:space="preserve">, the Tanzanian delegation </w:t>
      </w:r>
      <w:r w:rsidR="00A209E1">
        <w:rPr>
          <w:color w:val="auto"/>
          <w:sz w:val="24"/>
          <w:szCs w:val="24"/>
        </w:rPr>
        <w:t xml:space="preserve">stated that in capital cases, “measures, including mandatory representation and fair trial guarantees, were in place to </w:t>
      </w:r>
      <w:r w:rsidR="00A209E1">
        <w:rPr>
          <w:color w:val="auto"/>
          <w:sz w:val="24"/>
          <w:szCs w:val="24"/>
        </w:rPr>
        <w:lastRenderedPageBreak/>
        <w:t>protect the rights of suspects</w:t>
      </w:r>
      <w:r w:rsidR="0091386E">
        <w:rPr>
          <w:color w:val="auto"/>
          <w:sz w:val="24"/>
          <w:szCs w:val="24"/>
        </w:rPr>
        <w:t>.” The delegation added that people sentenced to death “had the right to appeal decisions.”</w:t>
      </w:r>
      <w:r w:rsidR="0091386E">
        <w:rPr>
          <w:rStyle w:val="FootnoteReference"/>
          <w:color w:val="auto"/>
          <w:sz w:val="24"/>
          <w:szCs w:val="24"/>
        </w:rPr>
        <w:footnoteReference w:id="26"/>
      </w:r>
    </w:p>
    <w:bookmarkEnd w:id="0"/>
    <w:p w14:paraId="1A29D09F" w14:textId="394C3946" w:rsidR="00EA0EEB" w:rsidRDefault="00EA0EEB" w:rsidP="00974E48">
      <w:pPr>
        <w:numPr>
          <w:ilvl w:val="0"/>
          <w:numId w:val="7"/>
        </w:numPr>
        <w:spacing w:after="120"/>
        <w:ind w:left="360"/>
        <w:jc w:val="both"/>
        <w:rPr>
          <w:color w:val="auto"/>
          <w:sz w:val="24"/>
          <w:szCs w:val="24"/>
        </w:rPr>
      </w:pPr>
      <w:r w:rsidRPr="00F811E7">
        <w:rPr>
          <w:b/>
          <w:color w:val="auto"/>
          <w:sz w:val="24"/>
          <w:szCs w:val="24"/>
        </w:rPr>
        <w:t>Suggested questions</w:t>
      </w:r>
      <w:r w:rsidR="00524166">
        <w:rPr>
          <w:color w:val="auto"/>
          <w:sz w:val="24"/>
          <w:szCs w:val="24"/>
        </w:rPr>
        <w:t xml:space="preserve"> relating to </w:t>
      </w:r>
      <w:r w:rsidR="00B27F56">
        <w:rPr>
          <w:color w:val="auto"/>
          <w:sz w:val="24"/>
          <w:szCs w:val="24"/>
        </w:rPr>
        <w:t>the death penalty:</w:t>
      </w:r>
    </w:p>
    <w:p w14:paraId="51351A16" w14:textId="6C3ADF5E" w:rsidR="000C380B" w:rsidRDefault="00352326" w:rsidP="00974E48">
      <w:pPr>
        <w:numPr>
          <w:ilvl w:val="1"/>
          <w:numId w:val="7"/>
        </w:numPr>
        <w:jc w:val="both"/>
        <w:rPr>
          <w:color w:val="auto"/>
          <w:sz w:val="24"/>
          <w:szCs w:val="24"/>
        </w:rPr>
      </w:pPr>
      <w:r>
        <w:rPr>
          <w:color w:val="auto"/>
          <w:sz w:val="24"/>
          <w:szCs w:val="24"/>
        </w:rPr>
        <w:t xml:space="preserve">What measures has the Tanzanian government taken to give effect to the judgment of the African Court on Human and Peoples’ Rights in the case of </w:t>
      </w:r>
      <w:r>
        <w:rPr>
          <w:i/>
          <w:iCs/>
          <w:color w:val="auto"/>
          <w:sz w:val="24"/>
          <w:szCs w:val="24"/>
        </w:rPr>
        <w:t xml:space="preserve">Ally </w:t>
      </w:r>
      <w:proofErr w:type="spellStart"/>
      <w:r>
        <w:rPr>
          <w:i/>
          <w:iCs/>
          <w:color w:val="auto"/>
          <w:sz w:val="24"/>
          <w:szCs w:val="24"/>
        </w:rPr>
        <w:t>Rajabu</w:t>
      </w:r>
      <w:proofErr w:type="spellEnd"/>
      <w:r>
        <w:rPr>
          <w:i/>
          <w:iCs/>
          <w:color w:val="auto"/>
          <w:sz w:val="24"/>
          <w:szCs w:val="24"/>
        </w:rPr>
        <w:t xml:space="preserve"> and Others v. United Republic of Tanzania</w:t>
      </w:r>
      <w:r>
        <w:rPr>
          <w:color w:val="auto"/>
          <w:sz w:val="24"/>
          <w:szCs w:val="24"/>
        </w:rPr>
        <w:t>?</w:t>
      </w:r>
    </w:p>
    <w:p w14:paraId="29980D37" w14:textId="28D4C00D" w:rsidR="009618AA" w:rsidRPr="000C380B" w:rsidRDefault="00F20CB0" w:rsidP="00974E48">
      <w:pPr>
        <w:numPr>
          <w:ilvl w:val="1"/>
          <w:numId w:val="7"/>
        </w:numPr>
        <w:jc w:val="both"/>
        <w:rPr>
          <w:color w:val="auto"/>
          <w:sz w:val="24"/>
          <w:szCs w:val="24"/>
        </w:rPr>
      </w:pPr>
      <w:r>
        <w:rPr>
          <w:color w:val="auto"/>
          <w:sz w:val="24"/>
          <w:szCs w:val="24"/>
        </w:rPr>
        <w:t xml:space="preserve">What steps have Tanzanian authorities taken to ensure the resentencing or commutation of death sentences for people </w:t>
      </w:r>
      <w:r w:rsidR="008C41B3">
        <w:rPr>
          <w:color w:val="auto"/>
          <w:sz w:val="24"/>
          <w:szCs w:val="24"/>
        </w:rPr>
        <w:t>sentenced under the mandatory death sentence provisions of the Penal Code?</w:t>
      </w:r>
    </w:p>
    <w:p w14:paraId="7D368BEA" w14:textId="432E96D1" w:rsidR="00EA0EEB" w:rsidRDefault="00241595" w:rsidP="00974E48">
      <w:pPr>
        <w:numPr>
          <w:ilvl w:val="1"/>
          <w:numId w:val="7"/>
        </w:numPr>
        <w:jc w:val="both"/>
        <w:rPr>
          <w:color w:val="auto"/>
          <w:sz w:val="24"/>
          <w:szCs w:val="24"/>
        </w:rPr>
      </w:pPr>
      <w:r>
        <w:rPr>
          <w:color w:val="auto"/>
          <w:sz w:val="24"/>
          <w:szCs w:val="24"/>
        </w:rPr>
        <w:t>What guidance is given to sentencing authorities in Tanzania to ensure the</w:t>
      </w:r>
      <w:r w:rsidR="008A0F3C">
        <w:rPr>
          <w:color w:val="auto"/>
          <w:sz w:val="24"/>
          <w:szCs w:val="24"/>
        </w:rPr>
        <w:t xml:space="preserve">y consider </w:t>
      </w:r>
      <w:r w:rsidR="00601B1E">
        <w:rPr>
          <w:color w:val="auto"/>
          <w:sz w:val="24"/>
          <w:szCs w:val="24"/>
        </w:rPr>
        <w:t xml:space="preserve">all </w:t>
      </w:r>
      <w:r w:rsidR="008A0F3C">
        <w:rPr>
          <w:color w:val="auto"/>
          <w:sz w:val="24"/>
          <w:szCs w:val="24"/>
        </w:rPr>
        <w:t>mitigating factors when determining whether to impose a sentence of death?</w:t>
      </w:r>
    </w:p>
    <w:p w14:paraId="6D5CADA9" w14:textId="3130C0A8" w:rsidR="00601B1E" w:rsidRDefault="00990137" w:rsidP="00974E48">
      <w:pPr>
        <w:numPr>
          <w:ilvl w:val="1"/>
          <w:numId w:val="7"/>
        </w:numPr>
        <w:jc w:val="both"/>
        <w:rPr>
          <w:color w:val="auto"/>
          <w:sz w:val="24"/>
          <w:szCs w:val="24"/>
        </w:rPr>
      </w:pPr>
      <w:r>
        <w:rPr>
          <w:color w:val="auto"/>
          <w:sz w:val="24"/>
          <w:szCs w:val="24"/>
        </w:rPr>
        <w:t xml:space="preserve">Please provide comprehensive data providing the number of persons </w:t>
      </w:r>
      <w:r w:rsidR="00601B1E">
        <w:rPr>
          <w:color w:val="auto"/>
          <w:sz w:val="24"/>
          <w:szCs w:val="24"/>
        </w:rPr>
        <w:t>sentenced to death in Tanzania since 2009</w:t>
      </w:r>
      <w:r>
        <w:rPr>
          <w:color w:val="auto"/>
          <w:sz w:val="24"/>
          <w:szCs w:val="24"/>
        </w:rPr>
        <w:t>, disaggregated by crime of conviction, date of sentencing</w:t>
      </w:r>
      <w:r w:rsidR="006C1D4F">
        <w:rPr>
          <w:color w:val="auto"/>
          <w:sz w:val="24"/>
          <w:szCs w:val="24"/>
        </w:rPr>
        <w:t xml:space="preserve">, demographic </w:t>
      </w:r>
      <w:r w:rsidR="009C51D1">
        <w:rPr>
          <w:color w:val="auto"/>
          <w:sz w:val="24"/>
          <w:szCs w:val="24"/>
        </w:rPr>
        <w:t>details</w:t>
      </w:r>
      <w:r w:rsidR="00A679F2">
        <w:rPr>
          <w:color w:val="auto"/>
          <w:sz w:val="24"/>
          <w:szCs w:val="24"/>
        </w:rPr>
        <w:t xml:space="preserve"> of the defendant</w:t>
      </w:r>
      <w:r w:rsidR="009C51D1">
        <w:rPr>
          <w:color w:val="auto"/>
          <w:sz w:val="24"/>
          <w:szCs w:val="24"/>
        </w:rPr>
        <w:t>,</w:t>
      </w:r>
      <w:r w:rsidR="005602CB">
        <w:rPr>
          <w:color w:val="auto"/>
          <w:sz w:val="24"/>
          <w:szCs w:val="24"/>
        </w:rPr>
        <w:t xml:space="preserve"> whether the </w:t>
      </w:r>
      <w:r w:rsidR="00C45BC9">
        <w:rPr>
          <w:color w:val="auto"/>
          <w:sz w:val="24"/>
          <w:szCs w:val="24"/>
        </w:rPr>
        <w:t>State provided the person with legal aid free of charge at trial and on appeal,</w:t>
      </w:r>
      <w:r w:rsidR="009C51D1">
        <w:rPr>
          <w:color w:val="auto"/>
          <w:sz w:val="24"/>
          <w:szCs w:val="24"/>
        </w:rPr>
        <w:t xml:space="preserve"> </w:t>
      </w:r>
      <w:r w:rsidR="00A679F2">
        <w:rPr>
          <w:color w:val="auto"/>
          <w:sz w:val="24"/>
          <w:szCs w:val="24"/>
        </w:rPr>
        <w:t>status of any appeals or requests for commutation,</w:t>
      </w:r>
      <w:r w:rsidR="00AD3A43">
        <w:rPr>
          <w:color w:val="auto"/>
          <w:sz w:val="24"/>
          <w:szCs w:val="24"/>
        </w:rPr>
        <w:t xml:space="preserve"> date of any pardon or commutation,</w:t>
      </w:r>
      <w:r w:rsidR="00A679F2">
        <w:rPr>
          <w:color w:val="auto"/>
          <w:sz w:val="24"/>
          <w:szCs w:val="24"/>
        </w:rPr>
        <w:t xml:space="preserve"> </w:t>
      </w:r>
      <w:r w:rsidR="009C51D1">
        <w:rPr>
          <w:color w:val="auto"/>
          <w:sz w:val="24"/>
          <w:szCs w:val="24"/>
        </w:rPr>
        <w:t>current sentence, and current location</w:t>
      </w:r>
      <w:r w:rsidR="00AD3A43">
        <w:rPr>
          <w:color w:val="auto"/>
          <w:sz w:val="24"/>
          <w:szCs w:val="24"/>
        </w:rPr>
        <w:t xml:space="preserve"> of detention (if any)</w:t>
      </w:r>
      <w:r w:rsidR="009C51D1">
        <w:rPr>
          <w:color w:val="auto"/>
          <w:sz w:val="24"/>
          <w:szCs w:val="24"/>
        </w:rPr>
        <w:t>.</w:t>
      </w:r>
      <w:r w:rsidR="00601B1E">
        <w:rPr>
          <w:color w:val="auto"/>
          <w:sz w:val="24"/>
          <w:szCs w:val="24"/>
        </w:rPr>
        <w:t xml:space="preserve"> </w:t>
      </w:r>
      <w:r w:rsidR="00364E1E">
        <w:rPr>
          <w:color w:val="auto"/>
          <w:sz w:val="24"/>
          <w:szCs w:val="24"/>
        </w:rPr>
        <w:t>Please indicate for each</w:t>
      </w:r>
      <w:r w:rsidR="00AD3A43">
        <w:rPr>
          <w:color w:val="auto"/>
          <w:sz w:val="24"/>
          <w:szCs w:val="24"/>
        </w:rPr>
        <w:t xml:space="preserve"> person</w:t>
      </w:r>
      <w:r w:rsidR="00364E1E">
        <w:rPr>
          <w:color w:val="auto"/>
          <w:sz w:val="24"/>
          <w:szCs w:val="24"/>
        </w:rPr>
        <w:t xml:space="preserve"> whether they were </w:t>
      </w:r>
      <w:r w:rsidR="009756F0">
        <w:rPr>
          <w:color w:val="auto"/>
          <w:sz w:val="24"/>
          <w:szCs w:val="24"/>
        </w:rPr>
        <w:t>sentenced to death by operation of penal code provisions mandating application of the death penalty</w:t>
      </w:r>
      <w:r w:rsidR="00364E1E">
        <w:rPr>
          <w:color w:val="auto"/>
          <w:sz w:val="24"/>
          <w:szCs w:val="24"/>
        </w:rPr>
        <w:t>.</w:t>
      </w:r>
    </w:p>
    <w:p w14:paraId="3E070B66" w14:textId="36BA53F2" w:rsidR="008A378E" w:rsidRDefault="008A378E" w:rsidP="00974E48">
      <w:pPr>
        <w:numPr>
          <w:ilvl w:val="1"/>
          <w:numId w:val="7"/>
        </w:numPr>
        <w:jc w:val="both"/>
        <w:rPr>
          <w:color w:val="auto"/>
          <w:sz w:val="24"/>
          <w:szCs w:val="24"/>
        </w:rPr>
      </w:pPr>
      <w:r>
        <w:rPr>
          <w:color w:val="auto"/>
          <w:sz w:val="24"/>
          <w:szCs w:val="24"/>
        </w:rPr>
        <w:t xml:space="preserve">What steps have Tanzanian authorities undertaken to </w:t>
      </w:r>
      <w:r w:rsidR="00F778A6">
        <w:rPr>
          <w:color w:val="auto"/>
          <w:sz w:val="24"/>
          <w:szCs w:val="24"/>
        </w:rPr>
        <w:t xml:space="preserve">raise public awareness </w:t>
      </w:r>
      <w:r w:rsidR="007A7362">
        <w:rPr>
          <w:color w:val="auto"/>
          <w:sz w:val="24"/>
          <w:szCs w:val="24"/>
        </w:rPr>
        <w:t>about the death penalty</w:t>
      </w:r>
      <w:r w:rsidR="00F778A6">
        <w:rPr>
          <w:color w:val="auto"/>
          <w:sz w:val="24"/>
          <w:szCs w:val="24"/>
        </w:rPr>
        <w:t xml:space="preserve">, </w:t>
      </w:r>
      <w:r w:rsidR="007A7362">
        <w:rPr>
          <w:color w:val="auto"/>
          <w:sz w:val="24"/>
          <w:szCs w:val="24"/>
        </w:rPr>
        <w:t>international human rights standards relating to the practice</w:t>
      </w:r>
      <w:r w:rsidR="00F778A6">
        <w:rPr>
          <w:color w:val="auto"/>
          <w:sz w:val="24"/>
          <w:szCs w:val="24"/>
        </w:rPr>
        <w:t>, and alternatives to the death penalty</w:t>
      </w:r>
      <w:r w:rsidR="007A7362">
        <w:rPr>
          <w:color w:val="auto"/>
          <w:sz w:val="24"/>
          <w:szCs w:val="24"/>
        </w:rPr>
        <w:t>?</w:t>
      </w:r>
    </w:p>
    <w:p w14:paraId="253339F7" w14:textId="34E8FAF6" w:rsidR="00F778A6" w:rsidRDefault="00CE3360" w:rsidP="00974E48">
      <w:pPr>
        <w:numPr>
          <w:ilvl w:val="1"/>
          <w:numId w:val="7"/>
        </w:numPr>
        <w:jc w:val="both"/>
        <w:rPr>
          <w:color w:val="auto"/>
          <w:sz w:val="24"/>
          <w:szCs w:val="24"/>
        </w:rPr>
      </w:pPr>
      <w:r>
        <w:rPr>
          <w:color w:val="auto"/>
          <w:sz w:val="24"/>
          <w:szCs w:val="24"/>
        </w:rPr>
        <w:t xml:space="preserve">What impediments is Tanzania facing in </w:t>
      </w:r>
      <w:r w:rsidR="004978DD">
        <w:rPr>
          <w:color w:val="auto"/>
          <w:sz w:val="24"/>
          <w:szCs w:val="24"/>
        </w:rPr>
        <w:t>instituting a formal, de jure moratorium on the death penalty, and becoming a party to the Second Optional Protocol to the Covenant</w:t>
      </w:r>
      <w:r w:rsidR="00B07A63">
        <w:rPr>
          <w:color w:val="auto"/>
          <w:sz w:val="24"/>
          <w:szCs w:val="24"/>
        </w:rPr>
        <w:t>?</w:t>
      </w:r>
    </w:p>
    <w:p w14:paraId="68F08469" w14:textId="3788A833" w:rsidR="00315BDD" w:rsidRPr="000C380B" w:rsidRDefault="00315BDD" w:rsidP="00974E48">
      <w:pPr>
        <w:numPr>
          <w:ilvl w:val="1"/>
          <w:numId w:val="7"/>
        </w:numPr>
        <w:jc w:val="both"/>
        <w:rPr>
          <w:color w:val="auto"/>
          <w:sz w:val="24"/>
          <w:szCs w:val="24"/>
        </w:rPr>
      </w:pPr>
      <w:r>
        <w:rPr>
          <w:color w:val="auto"/>
          <w:sz w:val="24"/>
          <w:szCs w:val="24"/>
        </w:rPr>
        <w:t xml:space="preserve">What </w:t>
      </w:r>
      <w:r w:rsidR="00766C04">
        <w:rPr>
          <w:color w:val="auto"/>
          <w:sz w:val="24"/>
          <w:szCs w:val="24"/>
        </w:rPr>
        <w:t>measures are in place to ensure that a person who is breastfeeding is not sentenced to death?</w:t>
      </w:r>
    </w:p>
    <w:p w14:paraId="3E16FC09" w14:textId="645BAB26" w:rsidR="00F32089" w:rsidRPr="004B1E4E" w:rsidRDefault="00F32089" w:rsidP="00F32089">
      <w:pPr>
        <w:keepNext/>
        <w:numPr>
          <w:ilvl w:val="0"/>
          <w:numId w:val="8"/>
        </w:numPr>
        <w:spacing w:before="240" w:after="120"/>
        <w:ind w:left="720" w:hanging="360"/>
        <w:rPr>
          <w:b/>
          <w:color w:val="auto"/>
          <w:sz w:val="24"/>
          <w:szCs w:val="24"/>
        </w:rPr>
      </w:pPr>
      <w:r>
        <w:rPr>
          <w:b/>
          <w:color w:val="auto"/>
          <w:sz w:val="24"/>
          <w:szCs w:val="24"/>
        </w:rPr>
        <w:t>Capital cases lack the fair trial guarantees required under the Covenant.</w:t>
      </w:r>
    </w:p>
    <w:p w14:paraId="285E20A4" w14:textId="2E404AFB" w:rsidR="00F32089" w:rsidRDefault="0016725D" w:rsidP="00F32089">
      <w:pPr>
        <w:numPr>
          <w:ilvl w:val="0"/>
          <w:numId w:val="7"/>
        </w:numPr>
        <w:spacing w:after="120"/>
        <w:ind w:left="360"/>
        <w:jc w:val="both"/>
        <w:rPr>
          <w:bCs/>
          <w:color w:val="auto"/>
          <w:sz w:val="24"/>
          <w:szCs w:val="24"/>
        </w:rPr>
      </w:pPr>
      <w:r>
        <w:rPr>
          <w:bCs/>
          <w:color w:val="auto"/>
          <w:sz w:val="24"/>
          <w:szCs w:val="24"/>
        </w:rPr>
        <w:t>In 2019, the Legal and Human Rights Cent</w:t>
      </w:r>
      <w:r w:rsidR="005B62A5">
        <w:rPr>
          <w:bCs/>
          <w:color w:val="auto"/>
          <w:sz w:val="24"/>
          <w:szCs w:val="24"/>
        </w:rPr>
        <w:t>re</w:t>
      </w:r>
      <w:r>
        <w:rPr>
          <w:bCs/>
          <w:color w:val="auto"/>
          <w:sz w:val="24"/>
          <w:szCs w:val="24"/>
        </w:rPr>
        <w:t xml:space="preserve"> interviewed three </w:t>
      </w:r>
      <w:r w:rsidR="00474E95">
        <w:rPr>
          <w:bCs/>
          <w:color w:val="auto"/>
          <w:sz w:val="24"/>
          <w:szCs w:val="24"/>
        </w:rPr>
        <w:t>people</w:t>
      </w:r>
      <w:r w:rsidR="00C92EBC">
        <w:rPr>
          <w:bCs/>
          <w:color w:val="auto"/>
          <w:sz w:val="24"/>
          <w:szCs w:val="24"/>
        </w:rPr>
        <w:t xml:space="preserve"> in the </w:t>
      </w:r>
      <w:proofErr w:type="spellStart"/>
      <w:r w:rsidR="00C92EBC">
        <w:rPr>
          <w:bCs/>
          <w:color w:val="auto"/>
          <w:sz w:val="24"/>
          <w:szCs w:val="24"/>
        </w:rPr>
        <w:t>Njombe</w:t>
      </w:r>
      <w:proofErr w:type="spellEnd"/>
      <w:r w:rsidR="00C92EBC">
        <w:rPr>
          <w:bCs/>
          <w:color w:val="auto"/>
          <w:sz w:val="24"/>
          <w:szCs w:val="24"/>
        </w:rPr>
        <w:t xml:space="preserve"> Region</w:t>
      </w:r>
      <w:r>
        <w:rPr>
          <w:bCs/>
          <w:color w:val="auto"/>
          <w:sz w:val="24"/>
          <w:szCs w:val="24"/>
        </w:rPr>
        <w:t xml:space="preserve"> who had been pardoned </w:t>
      </w:r>
      <w:r w:rsidR="00C006D8">
        <w:rPr>
          <w:bCs/>
          <w:color w:val="auto"/>
          <w:sz w:val="24"/>
          <w:szCs w:val="24"/>
        </w:rPr>
        <w:t>and released from custody in 2017, years after being sentenced to death.</w:t>
      </w:r>
      <w:r w:rsidR="00560651">
        <w:rPr>
          <w:rStyle w:val="FootnoteReference"/>
          <w:bCs/>
          <w:color w:val="auto"/>
          <w:sz w:val="24"/>
          <w:szCs w:val="24"/>
        </w:rPr>
        <w:footnoteReference w:id="27"/>
      </w:r>
      <w:r w:rsidR="00C006D8">
        <w:rPr>
          <w:bCs/>
          <w:color w:val="auto"/>
          <w:sz w:val="24"/>
          <w:szCs w:val="24"/>
        </w:rPr>
        <w:t xml:space="preserve"> </w:t>
      </w:r>
      <w:r w:rsidR="00474E95">
        <w:rPr>
          <w:bCs/>
          <w:color w:val="auto"/>
          <w:sz w:val="24"/>
          <w:szCs w:val="24"/>
        </w:rPr>
        <w:t xml:space="preserve">These people </w:t>
      </w:r>
      <w:r w:rsidR="009C0FAC">
        <w:rPr>
          <w:bCs/>
          <w:color w:val="auto"/>
          <w:sz w:val="24"/>
          <w:szCs w:val="24"/>
        </w:rPr>
        <w:t>attributed their convictions to inadequate legal representation in court proceedings.</w:t>
      </w:r>
      <w:r w:rsidR="009C0FAC">
        <w:rPr>
          <w:rStyle w:val="FootnoteReference"/>
          <w:bCs/>
          <w:color w:val="auto"/>
          <w:sz w:val="24"/>
          <w:szCs w:val="24"/>
        </w:rPr>
        <w:footnoteReference w:id="28"/>
      </w:r>
      <w:r w:rsidR="001C4ADE">
        <w:rPr>
          <w:bCs/>
          <w:color w:val="auto"/>
          <w:sz w:val="24"/>
          <w:szCs w:val="24"/>
        </w:rPr>
        <w:t xml:space="preserve"> </w:t>
      </w:r>
    </w:p>
    <w:p w14:paraId="752C3F6F" w14:textId="77777777" w:rsidR="00235F5A" w:rsidRDefault="007377B0" w:rsidP="00F32089">
      <w:pPr>
        <w:numPr>
          <w:ilvl w:val="0"/>
          <w:numId w:val="7"/>
        </w:numPr>
        <w:spacing w:after="120"/>
        <w:ind w:left="360"/>
        <w:jc w:val="both"/>
        <w:rPr>
          <w:bCs/>
          <w:color w:val="auto"/>
          <w:sz w:val="24"/>
          <w:szCs w:val="24"/>
        </w:rPr>
      </w:pPr>
      <w:r>
        <w:rPr>
          <w:bCs/>
          <w:color w:val="auto"/>
          <w:sz w:val="24"/>
          <w:szCs w:val="24"/>
        </w:rPr>
        <w:t>The Legal and Human Rights Centre</w:t>
      </w:r>
      <w:r w:rsidR="00807BE3">
        <w:rPr>
          <w:bCs/>
          <w:color w:val="auto"/>
          <w:sz w:val="24"/>
          <w:szCs w:val="24"/>
        </w:rPr>
        <w:t xml:space="preserve"> in its 2019 annual report</w:t>
      </w:r>
      <w:r>
        <w:rPr>
          <w:bCs/>
          <w:color w:val="auto"/>
          <w:sz w:val="24"/>
          <w:szCs w:val="24"/>
        </w:rPr>
        <w:t xml:space="preserve"> identified several practices undermining fair trial rights. </w:t>
      </w:r>
      <w:r w:rsidR="00BC1DD2">
        <w:rPr>
          <w:bCs/>
          <w:color w:val="auto"/>
          <w:sz w:val="24"/>
          <w:szCs w:val="24"/>
        </w:rPr>
        <w:t>LHRC identified as a “key concern” the practice of law enforcement officers parading</w:t>
      </w:r>
      <w:r w:rsidR="006E3BA0">
        <w:rPr>
          <w:bCs/>
          <w:color w:val="auto"/>
          <w:sz w:val="24"/>
          <w:szCs w:val="24"/>
        </w:rPr>
        <w:t xml:space="preserve"> suspected criminals before the media</w:t>
      </w:r>
      <w:r w:rsidR="0049691E">
        <w:rPr>
          <w:bCs/>
          <w:color w:val="auto"/>
          <w:sz w:val="24"/>
          <w:szCs w:val="24"/>
        </w:rPr>
        <w:t xml:space="preserve">, in contravention of the </w:t>
      </w:r>
      <w:r w:rsidR="0049691E">
        <w:rPr>
          <w:bCs/>
          <w:color w:val="auto"/>
          <w:sz w:val="24"/>
          <w:szCs w:val="24"/>
        </w:rPr>
        <w:lastRenderedPageBreak/>
        <w:t>principles of due process and the presumption of innocence.</w:t>
      </w:r>
      <w:r w:rsidR="005D2855">
        <w:rPr>
          <w:rStyle w:val="FootnoteReference"/>
          <w:bCs/>
          <w:color w:val="auto"/>
          <w:sz w:val="24"/>
          <w:szCs w:val="24"/>
        </w:rPr>
        <w:footnoteReference w:id="29"/>
      </w:r>
      <w:r w:rsidR="00314E73">
        <w:rPr>
          <w:bCs/>
          <w:color w:val="auto"/>
          <w:sz w:val="24"/>
          <w:szCs w:val="24"/>
        </w:rPr>
        <w:t xml:space="preserve"> In September 2019, Inspector General of Police Simon </w:t>
      </w:r>
      <w:proofErr w:type="spellStart"/>
      <w:r w:rsidR="00314E73">
        <w:rPr>
          <w:bCs/>
          <w:color w:val="auto"/>
          <w:sz w:val="24"/>
          <w:szCs w:val="24"/>
        </w:rPr>
        <w:t>Sirro</w:t>
      </w:r>
      <w:proofErr w:type="spellEnd"/>
      <w:r w:rsidR="00314E73">
        <w:rPr>
          <w:bCs/>
          <w:color w:val="auto"/>
          <w:sz w:val="24"/>
          <w:szCs w:val="24"/>
        </w:rPr>
        <w:t xml:space="preserve"> cautioned Regional Police Commanders against this practice</w:t>
      </w:r>
      <w:r w:rsidR="00F149CB">
        <w:rPr>
          <w:bCs/>
          <w:color w:val="auto"/>
          <w:sz w:val="24"/>
          <w:szCs w:val="24"/>
        </w:rPr>
        <w:t>.</w:t>
      </w:r>
      <w:r w:rsidR="00F149CB">
        <w:rPr>
          <w:rStyle w:val="FootnoteReference"/>
          <w:bCs/>
          <w:color w:val="auto"/>
          <w:sz w:val="24"/>
          <w:szCs w:val="24"/>
        </w:rPr>
        <w:footnoteReference w:id="30"/>
      </w:r>
      <w:r w:rsidR="0049691E">
        <w:rPr>
          <w:bCs/>
          <w:color w:val="auto"/>
          <w:sz w:val="24"/>
          <w:szCs w:val="24"/>
        </w:rPr>
        <w:t xml:space="preserve"> </w:t>
      </w:r>
    </w:p>
    <w:p w14:paraId="6710015D" w14:textId="5F8A0526" w:rsidR="007377B0" w:rsidRDefault="00CD7139" w:rsidP="00F32089">
      <w:pPr>
        <w:numPr>
          <w:ilvl w:val="0"/>
          <w:numId w:val="7"/>
        </w:numPr>
        <w:spacing w:after="120"/>
        <w:ind w:left="360"/>
        <w:jc w:val="both"/>
        <w:rPr>
          <w:bCs/>
          <w:color w:val="auto"/>
          <w:sz w:val="24"/>
          <w:szCs w:val="24"/>
        </w:rPr>
      </w:pPr>
      <w:r>
        <w:rPr>
          <w:bCs/>
          <w:color w:val="auto"/>
          <w:sz w:val="24"/>
          <w:szCs w:val="24"/>
        </w:rPr>
        <w:t xml:space="preserve">LHRC </w:t>
      </w:r>
      <w:r w:rsidR="00235F5A">
        <w:rPr>
          <w:bCs/>
          <w:color w:val="auto"/>
          <w:sz w:val="24"/>
          <w:szCs w:val="24"/>
        </w:rPr>
        <w:t>report</w:t>
      </w:r>
      <w:r w:rsidR="00DB67C1">
        <w:rPr>
          <w:bCs/>
          <w:color w:val="auto"/>
          <w:sz w:val="24"/>
          <w:szCs w:val="24"/>
        </w:rPr>
        <w:t>s</w:t>
      </w:r>
      <w:r w:rsidR="00235F5A">
        <w:rPr>
          <w:bCs/>
          <w:color w:val="auto"/>
          <w:sz w:val="24"/>
          <w:szCs w:val="24"/>
        </w:rPr>
        <w:t xml:space="preserve"> </w:t>
      </w:r>
      <w:r>
        <w:rPr>
          <w:bCs/>
          <w:color w:val="auto"/>
          <w:sz w:val="24"/>
          <w:szCs w:val="24"/>
        </w:rPr>
        <w:t xml:space="preserve">that </w:t>
      </w:r>
      <w:r w:rsidR="009153B9">
        <w:rPr>
          <w:bCs/>
          <w:color w:val="auto"/>
          <w:sz w:val="24"/>
          <w:szCs w:val="24"/>
        </w:rPr>
        <w:t>people residing in rural areas face barriers to obtaining legal aid.</w:t>
      </w:r>
      <w:r w:rsidR="009153B9">
        <w:rPr>
          <w:rStyle w:val="FootnoteReference"/>
          <w:bCs/>
          <w:color w:val="auto"/>
          <w:sz w:val="24"/>
          <w:szCs w:val="24"/>
        </w:rPr>
        <w:footnoteReference w:id="31"/>
      </w:r>
      <w:r w:rsidR="00807BE3">
        <w:rPr>
          <w:bCs/>
          <w:color w:val="auto"/>
          <w:sz w:val="24"/>
          <w:szCs w:val="24"/>
        </w:rPr>
        <w:t xml:space="preserve"> LHRC also note</w:t>
      </w:r>
      <w:r w:rsidR="00DB67C1">
        <w:rPr>
          <w:bCs/>
          <w:color w:val="auto"/>
          <w:sz w:val="24"/>
          <w:szCs w:val="24"/>
        </w:rPr>
        <w:t>s</w:t>
      </w:r>
      <w:r w:rsidR="00807BE3">
        <w:rPr>
          <w:bCs/>
          <w:color w:val="auto"/>
          <w:sz w:val="24"/>
          <w:szCs w:val="24"/>
        </w:rPr>
        <w:t xml:space="preserve"> that the judiciary faces a shortage of </w:t>
      </w:r>
      <w:r w:rsidR="006175B0">
        <w:rPr>
          <w:bCs/>
          <w:color w:val="auto"/>
          <w:sz w:val="24"/>
          <w:szCs w:val="24"/>
        </w:rPr>
        <w:t>staff, magistrates, and judges, with 42.5% of needed positions remaining unfilled.</w:t>
      </w:r>
      <w:r w:rsidR="006175B0">
        <w:rPr>
          <w:rStyle w:val="FootnoteReference"/>
          <w:bCs/>
          <w:color w:val="auto"/>
          <w:sz w:val="24"/>
          <w:szCs w:val="24"/>
        </w:rPr>
        <w:footnoteReference w:id="32"/>
      </w:r>
      <w:r w:rsidR="00906A4F">
        <w:rPr>
          <w:bCs/>
          <w:color w:val="auto"/>
          <w:sz w:val="24"/>
          <w:szCs w:val="24"/>
        </w:rPr>
        <w:t xml:space="preserve"> LHRC has also documented “a tendency of threatening lawyers who see to represent their clients, particularly in criminal cases.”</w:t>
      </w:r>
      <w:r w:rsidR="00D23380">
        <w:rPr>
          <w:rStyle w:val="FootnoteReference"/>
          <w:bCs/>
          <w:color w:val="auto"/>
          <w:sz w:val="24"/>
          <w:szCs w:val="24"/>
        </w:rPr>
        <w:footnoteReference w:id="33"/>
      </w:r>
      <w:r w:rsidR="00620ED1">
        <w:rPr>
          <w:bCs/>
          <w:color w:val="auto"/>
          <w:sz w:val="24"/>
          <w:szCs w:val="24"/>
        </w:rPr>
        <w:t xml:space="preserve"> There are reports that “[a]</w:t>
      </w:r>
      <w:proofErr w:type="spellStart"/>
      <w:r w:rsidR="00620ED1">
        <w:rPr>
          <w:bCs/>
          <w:color w:val="auto"/>
          <w:sz w:val="24"/>
          <w:szCs w:val="24"/>
        </w:rPr>
        <w:t>uthorities</w:t>
      </w:r>
      <w:proofErr w:type="spellEnd"/>
      <w:r w:rsidR="00620ED1">
        <w:rPr>
          <w:bCs/>
          <w:color w:val="auto"/>
          <w:sz w:val="24"/>
          <w:szCs w:val="24"/>
        </w:rPr>
        <w:t xml:space="preserve"> did not always allow detainees sufficient time to prepare their defense, and access to adequate facilities was limited.”</w:t>
      </w:r>
      <w:r w:rsidR="00620ED1">
        <w:rPr>
          <w:rStyle w:val="FootnoteReference"/>
          <w:bCs/>
          <w:color w:val="auto"/>
          <w:sz w:val="24"/>
          <w:szCs w:val="24"/>
        </w:rPr>
        <w:footnoteReference w:id="34"/>
      </w:r>
    </w:p>
    <w:p w14:paraId="4E73FC07" w14:textId="7EA0F204" w:rsidR="00AD621D" w:rsidRDefault="00AD621D" w:rsidP="00F32089">
      <w:pPr>
        <w:numPr>
          <w:ilvl w:val="0"/>
          <w:numId w:val="7"/>
        </w:numPr>
        <w:spacing w:after="120"/>
        <w:ind w:left="360"/>
        <w:jc w:val="both"/>
        <w:rPr>
          <w:bCs/>
          <w:color w:val="auto"/>
          <w:sz w:val="24"/>
          <w:szCs w:val="24"/>
        </w:rPr>
      </w:pPr>
      <w:r>
        <w:rPr>
          <w:bCs/>
          <w:color w:val="auto"/>
          <w:sz w:val="24"/>
          <w:szCs w:val="24"/>
        </w:rPr>
        <w:t>Tanzania’s Constitution prohibits the use of torture,</w:t>
      </w:r>
      <w:r>
        <w:rPr>
          <w:rStyle w:val="FootnoteReference"/>
          <w:bCs/>
          <w:color w:val="auto"/>
          <w:sz w:val="24"/>
          <w:szCs w:val="24"/>
        </w:rPr>
        <w:footnoteReference w:id="35"/>
      </w:r>
      <w:r>
        <w:rPr>
          <w:bCs/>
          <w:color w:val="auto"/>
          <w:sz w:val="24"/>
          <w:szCs w:val="24"/>
        </w:rPr>
        <w:t xml:space="preserve"> but </w:t>
      </w:r>
      <w:r w:rsidR="00EF6E76">
        <w:rPr>
          <w:bCs/>
          <w:color w:val="auto"/>
          <w:sz w:val="24"/>
          <w:szCs w:val="24"/>
        </w:rPr>
        <w:t>there are credible reports that law enforcement officers abuse, threaten, and otherwise mistreat suspected criminals, among others.</w:t>
      </w:r>
      <w:r w:rsidR="00EF6E76">
        <w:rPr>
          <w:rStyle w:val="FootnoteReference"/>
          <w:bCs/>
          <w:color w:val="auto"/>
          <w:sz w:val="24"/>
          <w:szCs w:val="24"/>
        </w:rPr>
        <w:footnoteReference w:id="36"/>
      </w:r>
    </w:p>
    <w:p w14:paraId="41E5A991" w14:textId="1D03EA03" w:rsidR="000D4113" w:rsidRDefault="000D4113" w:rsidP="000D4113">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 the right to a fair trial in capital cases:</w:t>
      </w:r>
    </w:p>
    <w:p w14:paraId="22A6FF36" w14:textId="3E79E658" w:rsidR="000D4113" w:rsidRPr="000C380B" w:rsidRDefault="002C3854" w:rsidP="000D4113">
      <w:pPr>
        <w:numPr>
          <w:ilvl w:val="1"/>
          <w:numId w:val="7"/>
        </w:numPr>
        <w:jc w:val="both"/>
        <w:rPr>
          <w:color w:val="auto"/>
          <w:sz w:val="24"/>
          <w:szCs w:val="24"/>
        </w:rPr>
      </w:pPr>
      <w:r>
        <w:rPr>
          <w:color w:val="auto"/>
          <w:sz w:val="24"/>
          <w:szCs w:val="24"/>
        </w:rPr>
        <w:t>What remedies are provided to individuals found to have been wrongfully convicted and sentenced to death?</w:t>
      </w:r>
    </w:p>
    <w:p w14:paraId="7F718AC5" w14:textId="1D96F54C" w:rsidR="000D4113" w:rsidRDefault="0059505F" w:rsidP="000D4113">
      <w:pPr>
        <w:numPr>
          <w:ilvl w:val="1"/>
          <w:numId w:val="7"/>
        </w:numPr>
        <w:jc w:val="both"/>
        <w:rPr>
          <w:color w:val="auto"/>
          <w:sz w:val="24"/>
          <w:szCs w:val="24"/>
        </w:rPr>
      </w:pPr>
      <w:r>
        <w:rPr>
          <w:color w:val="auto"/>
          <w:sz w:val="24"/>
          <w:szCs w:val="24"/>
        </w:rPr>
        <w:t xml:space="preserve">Please describe the procedures and practices in place for any person accused of a crime for which the death penalty may be imposed. </w:t>
      </w:r>
      <w:r w:rsidR="00982078">
        <w:rPr>
          <w:color w:val="auto"/>
          <w:sz w:val="24"/>
          <w:szCs w:val="24"/>
        </w:rPr>
        <w:t xml:space="preserve">What training does the State provide to attorneys who take on these cases through the legal aid scheme or on a </w:t>
      </w:r>
      <w:r w:rsidR="00982078">
        <w:rPr>
          <w:i/>
          <w:iCs/>
          <w:color w:val="auto"/>
          <w:sz w:val="24"/>
          <w:szCs w:val="24"/>
        </w:rPr>
        <w:t>pro bono</w:t>
      </w:r>
      <w:r w:rsidR="00982078">
        <w:rPr>
          <w:color w:val="auto"/>
          <w:sz w:val="24"/>
          <w:szCs w:val="24"/>
        </w:rPr>
        <w:t xml:space="preserve"> basis? How does the State ensure that only qualified attorneys represent defendants in these cases?</w:t>
      </w:r>
      <w:r w:rsidR="00B018F4">
        <w:rPr>
          <w:color w:val="auto"/>
          <w:sz w:val="24"/>
          <w:szCs w:val="24"/>
        </w:rPr>
        <w:t xml:space="preserve"> What financial support does the State provide to indigent defendants in capital cases to ensure that </w:t>
      </w:r>
      <w:r w:rsidR="0005765F">
        <w:rPr>
          <w:color w:val="auto"/>
          <w:sz w:val="24"/>
          <w:szCs w:val="24"/>
        </w:rPr>
        <w:t xml:space="preserve">they </w:t>
      </w:r>
      <w:proofErr w:type="gramStart"/>
      <w:r w:rsidR="0005765F">
        <w:rPr>
          <w:color w:val="auto"/>
          <w:sz w:val="24"/>
          <w:szCs w:val="24"/>
        </w:rPr>
        <w:t>are able to</w:t>
      </w:r>
      <w:proofErr w:type="gramEnd"/>
      <w:r w:rsidR="0005765F">
        <w:rPr>
          <w:color w:val="auto"/>
          <w:sz w:val="24"/>
          <w:szCs w:val="24"/>
        </w:rPr>
        <w:t xml:space="preserve"> conduct a thorough investigation and mount an adequate defense at trial?</w:t>
      </w:r>
    </w:p>
    <w:p w14:paraId="24B9A9F6" w14:textId="128010BF" w:rsidR="00B018F4" w:rsidRDefault="00B018F4" w:rsidP="000D4113">
      <w:pPr>
        <w:numPr>
          <w:ilvl w:val="1"/>
          <w:numId w:val="7"/>
        </w:numPr>
        <w:jc w:val="both"/>
        <w:rPr>
          <w:color w:val="auto"/>
          <w:sz w:val="24"/>
          <w:szCs w:val="24"/>
        </w:rPr>
      </w:pPr>
      <w:r>
        <w:rPr>
          <w:color w:val="auto"/>
          <w:sz w:val="24"/>
          <w:szCs w:val="24"/>
        </w:rPr>
        <w:t>Please provide information about the provision of legal aid in rural areas, particularly in cases in which a person is accused of a crime for which the death penalty may be imposed.</w:t>
      </w:r>
      <w:r w:rsidR="00CA2DEE">
        <w:rPr>
          <w:color w:val="auto"/>
          <w:sz w:val="24"/>
          <w:szCs w:val="24"/>
        </w:rPr>
        <w:t xml:space="preserve"> How does the State ensure that attorneys representing defendants in rural areas are able to </w:t>
      </w:r>
      <w:r w:rsidR="00FC313B">
        <w:rPr>
          <w:color w:val="auto"/>
          <w:sz w:val="24"/>
          <w:szCs w:val="24"/>
        </w:rPr>
        <w:t>meet regularly with their clients to prepare an adequate defense?</w:t>
      </w:r>
    </w:p>
    <w:p w14:paraId="560F1AC5" w14:textId="551D45DB" w:rsidR="00E66DAF" w:rsidRDefault="00E66DAF" w:rsidP="000D4113">
      <w:pPr>
        <w:numPr>
          <w:ilvl w:val="1"/>
          <w:numId w:val="7"/>
        </w:numPr>
        <w:jc w:val="both"/>
        <w:rPr>
          <w:color w:val="auto"/>
          <w:sz w:val="24"/>
          <w:szCs w:val="24"/>
        </w:rPr>
      </w:pPr>
      <w:r>
        <w:rPr>
          <w:color w:val="auto"/>
          <w:sz w:val="24"/>
          <w:szCs w:val="24"/>
        </w:rPr>
        <w:t xml:space="preserve">What legal </w:t>
      </w:r>
      <w:r w:rsidR="00FD56E4">
        <w:rPr>
          <w:color w:val="auto"/>
          <w:sz w:val="24"/>
          <w:szCs w:val="24"/>
        </w:rPr>
        <w:t xml:space="preserve">recourse is </w:t>
      </w:r>
      <w:r>
        <w:rPr>
          <w:color w:val="auto"/>
          <w:sz w:val="24"/>
          <w:szCs w:val="24"/>
        </w:rPr>
        <w:t xml:space="preserve">available to persons sentenced to death who allege that they have been convicted based on inadequate </w:t>
      </w:r>
      <w:r w:rsidR="00FD56E4">
        <w:rPr>
          <w:color w:val="auto"/>
          <w:sz w:val="24"/>
          <w:szCs w:val="24"/>
        </w:rPr>
        <w:t>or defective legal representation?</w:t>
      </w:r>
    </w:p>
    <w:p w14:paraId="5F0DD892" w14:textId="3A33F40A" w:rsidR="00FD56E4" w:rsidRDefault="00FD56E4" w:rsidP="000D4113">
      <w:pPr>
        <w:numPr>
          <w:ilvl w:val="1"/>
          <w:numId w:val="7"/>
        </w:numPr>
        <w:jc w:val="both"/>
        <w:rPr>
          <w:color w:val="auto"/>
          <w:sz w:val="24"/>
          <w:szCs w:val="24"/>
        </w:rPr>
      </w:pPr>
      <w:r>
        <w:rPr>
          <w:color w:val="auto"/>
          <w:sz w:val="24"/>
          <w:szCs w:val="24"/>
        </w:rPr>
        <w:lastRenderedPageBreak/>
        <w:t xml:space="preserve">Please describe all measures </w:t>
      </w:r>
      <w:r w:rsidR="001354A4">
        <w:rPr>
          <w:color w:val="auto"/>
          <w:sz w:val="24"/>
          <w:szCs w:val="24"/>
        </w:rPr>
        <w:t>implemented to ensure that law enforcement authorities cease the practice of parading suspected criminals before the media.</w:t>
      </w:r>
    </w:p>
    <w:p w14:paraId="7626069C" w14:textId="11018045" w:rsidR="002D5CB4" w:rsidRPr="000D4113" w:rsidRDefault="002D5CB4" w:rsidP="000D4113">
      <w:pPr>
        <w:numPr>
          <w:ilvl w:val="1"/>
          <w:numId w:val="7"/>
        </w:numPr>
        <w:jc w:val="both"/>
        <w:rPr>
          <w:color w:val="auto"/>
          <w:sz w:val="24"/>
          <w:szCs w:val="24"/>
        </w:rPr>
      </w:pPr>
      <w:r>
        <w:rPr>
          <w:color w:val="auto"/>
          <w:sz w:val="24"/>
          <w:szCs w:val="24"/>
        </w:rPr>
        <w:t>What laws and procedures are in place to prevent courts from considering evidence obtained by means of torture or other cruel, inhuman, or degrading treatment</w:t>
      </w:r>
      <w:r w:rsidR="000124D0">
        <w:rPr>
          <w:color w:val="auto"/>
          <w:sz w:val="24"/>
          <w:szCs w:val="24"/>
        </w:rPr>
        <w:t xml:space="preserve"> in criminal proceedings other than proceedings seeking to prosecute the alleged perpetrator of such treatment?</w:t>
      </w:r>
    </w:p>
    <w:p w14:paraId="30A28C9D" w14:textId="34EDF85F" w:rsidR="004B1E4E" w:rsidRPr="004B1E4E" w:rsidRDefault="00485E0B" w:rsidP="00E114C5">
      <w:pPr>
        <w:keepNext/>
        <w:numPr>
          <w:ilvl w:val="0"/>
          <w:numId w:val="8"/>
        </w:numPr>
        <w:spacing w:before="240" w:after="120"/>
        <w:ind w:left="720" w:hanging="360"/>
        <w:rPr>
          <w:b/>
          <w:color w:val="auto"/>
          <w:sz w:val="24"/>
          <w:szCs w:val="24"/>
        </w:rPr>
      </w:pPr>
      <w:r>
        <w:rPr>
          <w:b/>
          <w:color w:val="auto"/>
          <w:sz w:val="24"/>
          <w:szCs w:val="24"/>
        </w:rPr>
        <w:t>People sentenced to death face detention conditions</w:t>
      </w:r>
      <w:r w:rsidR="00A72DB3">
        <w:rPr>
          <w:b/>
          <w:color w:val="auto"/>
          <w:sz w:val="24"/>
          <w:szCs w:val="24"/>
        </w:rPr>
        <w:t xml:space="preserve"> that violate articles 7 and 10 of the Covenant</w:t>
      </w:r>
      <w:r w:rsidR="00B504D2">
        <w:rPr>
          <w:b/>
          <w:color w:val="auto"/>
          <w:sz w:val="24"/>
          <w:szCs w:val="24"/>
        </w:rPr>
        <w:t>.</w:t>
      </w:r>
    </w:p>
    <w:p w14:paraId="66F93F92" w14:textId="0D024C04" w:rsidR="00974E48" w:rsidRDefault="00A72DB3" w:rsidP="00974E48">
      <w:pPr>
        <w:numPr>
          <w:ilvl w:val="0"/>
          <w:numId w:val="7"/>
        </w:numPr>
        <w:spacing w:after="120"/>
        <w:ind w:left="360"/>
        <w:jc w:val="both"/>
        <w:rPr>
          <w:color w:val="auto"/>
          <w:sz w:val="24"/>
          <w:szCs w:val="24"/>
        </w:rPr>
      </w:pPr>
      <w:r>
        <w:rPr>
          <w:color w:val="auto"/>
          <w:sz w:val="24"/>
          <w:szCs w:val="24"/>
        </w:rPr>
        <w:t xml:space="preserve">In its 2009 Concluding Observations, the Committee expressed regret about “the lack of sufficient information on the length of time that convicted persons have spent on death row, </w:t>
      </w:r>
      <w:r w:rsidR="00B504D2">
        <w:rPr>
          <w:color w:val="auto"/>
          <w:sz w:val="24"/>
          <w:szCs w:val="24"/>
        </w:rPr>
        <w:t xml:space="preserve">[and] </w:t>
      </w:r>
      <w:r>
        <w:rPr>
          <w:color w:val="auto"/>
          <w:sz w:val="24"/>
          <w:szCs w:val="24"/>
        </w:rPr>
        <w:t>their treatment</w:t>
      </w:r>
      <w:r w:rsidR="00B504D2">
        <w:rPr>
          <w:color w:val="auto"/>
          <w:sz w:val="24"/>
          <w:szCs w:val="24"/>
        </w:rPr>
        <w:t xml:space="preserve"> in detention.”</w:t>
      </w:r>
      <w:r w:rsidR="00B504D2">
        <w:rPr>
          <w:rStyle w:val="FootnoteReference"/>
          <w:color w:val="auto"/>
          <w:sz w:val="24"/>
          <w:szCs w:val="24"/>
        </w:rPr>
        <w:footnoteReference w:id="37"/>
      </w:r>
      <w:r w:rsidR="00DF7A24">
        <w:rPr>
          <w:color w:val="auto"/>
          <w:sz w:val="24"/>
          <w:szCs w:val="24"/>
        </w:rPr>
        <w:t xml:space="preserve"> The Committee recommended that Tanzania “ensure that conditions of detention on death row do not amount to treatment contrary to articles 7 and 10 of the Covenant.”</w:t>
      </w:r>
      <w:r w:rsidR="00DF7A24">
        <w:rPr>
          <w:rStyle w:val="FootnoteReference"/>
          <w:color w:val="auto"/>
          <w:sz w:val="24"/>
          <w:szCs w:val="24"/>
        </w:rPr>
        <w:footnoteReference w:id="38"/>
      </w:r>
    </w:p>
    <w:p w14:paraId="648557AF" w14:textId="24F6B481" w:rsidR="00256B7D" w:rsidRDefault="00256B7D" w:rsidP="00974E48">
      <w:pPr>
        <w:numPr>
          <w:ilvl w:val="0"/>
          <w:numId w:val="7"/>
        </w:numPr>
        <w:spacing w:after="120"/>
        <w:ind w:left="360"/>
        <w:jc w:val="both"/>
        <w:rPr>
          <w:color w:val="auto"/>
          <w:sz w:val="24"/>
          <w:szCs w:val="24"/>
        </w:rPr>
      </w:pPr>
      <w:r>
        <w:rPr>
          <w:color w:val="auto"/>
          <w:sz w:val="24"/>
          <w:szCs w:val="24"/>
        </w:rPr>
        <w:t>The Legal and Human Rights Centre has documented that over 480 persons were on death row in Tanzania a</w:t>
      </w:r>
      <w:r w:rsidR="0090555B">
        <w:rPr>
          <w:color w:val="auto"/>
          <w:sz w:val="24"/>
          <w:szCs w:val="24"/>
        </w:rPr>
        <w:t>s of</w:t>
      </w:r>
      <w:r>
        <w:rPr>
          <w:color w:val="auto"/>
          <w:sz w:val="24"/>
          <w:szCs w:val="24"/>
        </w:rPr>
        <w:t xml:space="preserve"> the end of 2019.</w:t>
      </w:r>
      <w:r>
        <w:rPr>
          <w:rStyle w:val="FootnoteReference"/>
          <w:color w:val="auto"/>
          <w:sz w:val="24"/>
          <w:szCs w:val="24"/>
        </w:rPr>
        <w:footnoteReference w:id="39"/>
      </w:r>
      <w:r w:rsidR="009648B1">
        <w:rPr>
          <w:color w:val="auto"/>
          <w:sz w:val="24"/>
          <w:szCs w:val="24"/>
        </w:rPr>
        <w:t xml:space="preserve"> Tanzania has the third-largest death row population in Sub-Saharan Africa, after </w:t>
      </w:r>
      <w:r w:rsidR="00BF39CB">
        <w:rPr>
          <w:color w:val="auto"/>
          <w:sz w:val="24"/>
          <w:szCs w:val="24"/>
        </w:rPr>
        <w:t>Nigeria and Kenya.</w:t>
      </w:r>
      <w:r w:rsidR="00BF39CB">
        <w:rPr>
          <w:rStyle w:val="FootnoteReference"/>
          <w:color w:val="auto"/>
          <w:sz w:val="24"/>
          <w:szCs w:val="24"/>
        </w:rPr>
        <w:footnoteReference w:id="40"/>
      </w:r>
      <w:r w:rsidR="00FE33F5">
        <w:rPr>
          <w:color w:val="auto"/>
          <w:sz w:val="24"/>
          <w:szCs w:val="24"/>
        </w:rPr>
        <w:t xml:space="preserve"> LHRC </w:t>
      </w:r>
      <w:r w:rsidR="00BF39CB">
        <w:rPr>
          <w:color w:val="auto"/>
          <w:sz w:val="24"/>
          <w:szCs w:val="24"/>
        </w:rPr>
        <w:t xml:space="preserve">has </w:t>
      </w:r>
      <w:r w:rsidR="00FE33F5">
        <w:rPr>
          <w:color w:val="auto"/>
          <w:sz w:val="24"/>
          <w:szCs w:val="24"/>
        </w:rPr>
        <w:t>identified congestion in prisons as a “big problem.”</w:t>
      </w:r>
      <w:r w:rsidR="00FE33F5">
        <w:rPr>
          <w:rStyle w:val="FootnoteReference"/>
          <w:bCs/>
          <w:color w:val="auto"/>
          <w:sz w:val="24"/>
          <w:szCs w:val="24"/>
        </w:rPr>
        <w:footnoteReference w:id="41"/>
      </w:r>
    </w:p>
    <w:p w14:paraId="33F5B347" w14:textId="0718449C" w:rsidR="00974E48" w:rsidRDefault="007A7314" w:rsidP="00974E48">
      <w:pPr>
        <w:numPr>
          <w:ilvl w:val="0"/>
          <w:numId w:val="7"/>
        </w:numPr>
        <w:spacing w:after="120"/>
        <w:ind w:left="360"/>
        <w:jc w:val="both"/>
        <w:rPr>
          <w:color w:val="auto"/>
          <w:sz w:val="24"/>
          <w:szCs w:val="24"/>
        </w:rPr>
      </w:pPr>
      <w:r>
        <w:rPr>
          <w:color w:val="auto"/>
          <w:sz w:val="24"/>
          <w:szCs w:val="24"/>
        </w:rPr>
        <w:t>People under sentence of death are segregated from the rest of the prison population</w:t>
      </w:r>
      <w:r w:rsidR="00B073F0">
        <w:rPr>
          <w:color w:val="auto"/>
          <w:sz w:val="24"/>
          <w:szCs w:val="24"/>
        </w:rPr>
        <w:t>, but they live in several detention facilities spread across the country.</w:t>
      </w:r>
      <w:r w:rsidR="00B073F0">
        <w:rPr>
          <w:rStyle w:val="FootnoteReference"/>
          <w:color w:val="auto"/>
          <w:sz w:val="24"/>
          <w:szCs w:val="24"/>
        </w:rPr>
        <w:footnoteReference w:id="42"/>
      </w:r>
      <w:r w:rsidR="004F64AC">
        <w:rPr>
          <w:color w:val="auto"/>
          <w:sz w:val="24"/>
          <w:szCs w:val="24"/>
        </w:rPr>
        <w:t xml:space="preserve"> One </w:t>
      </w:r>
      <w:r w:rsidR="00BF1649">
        <w:rPr>
          <w:color w:val="auto"/>
          <w:sz w:val="24"/>
          <w:szCs w:val="24"/>
        </w:rPr>
        <w:t xml:space="preserve">person who had spent considerable time on death row before being pardoned described life on death row as “terrifying,” and stated that </w:t>
      </w:r>
      <w:r w:rsidR="0019671F">
        <w:rPr>
          <w:color w:val="auto"/>
          <w:sz w:val="24"/>
          <w:szCs w:val="24"/>
        </w:rPr>
        <w:t>he developed hypertension “because of thinking what is next for me.”</w:t>
      </w:r>
      <w:r w:rsidR="0019671F">
        <w:rPr>
          <w:rStyle w:val="FootnoteReference"/>
          <w:color w:val="auto"/>
          <w:sz w:val="24"/>
          <w:szCs w:val="24"/>
        </w:rPr>
        <w:footnoteReference w:id="43"/>
      </w:r>
      <w:r w:rsidR="00270855">
        <w:rPr>
          <w:color w:val="auto"/>
          <w:sz w:val="24"/>
          <w:szCs w:val="24"/>
        </w:rPr>
        <w:t xml:space="preserve"> Another person who had later been pardoned reported his </w:t>
      </w:r>
      <w:r w:rsidR="00EA13EF">
        <w:rPr>
          <w:color w:val="auto"/>
          <w:sz w:val="24"/>
          <w:szCs w:val="24"/>
        </w:rPr>
        <w:t>fear after learning of the building in the prison compound where the gallows are kept: “my terror intensified. Even when you try to sleep the fear mounts.”</w:t>
      </w:r>
      <w:r w:rsidR="00EA13EF">
        <w:rPr>
          <w:rStyle w:val="FootnoteReference"/>
          <w:color w:val="auto"/>
          <w:sz w:val="24"/>
          <w:szCs w:val="24"/>
        </w:rPr>
        <w:footnoteReference w:id="44"/>
      </w:r>
    </w:p>
    <w:p w14:paraId="490CD928" w14:textId="73687D5E" w:rsidR="00ED4B68" w:rsidRDefault="004320D4" w:rsidP="00974E48">
      <w:pPr>
        <w:numPr>
          <w:ilvl w:val="0"/>
          <w:numId w:val="7"/>
        </w:numPr>
        <w:spacing w:after="120"/>
        <w:ind w:left="360"/>
        <w:jc w:val="both"/>
        <w:rPr>
          <w:color w:val="auto"/>
          <w:sz w:val="24"/>
          <w:szCs w:val="24"/>
        </w:rPr>
      </w:pPr>
      <w:r>
        <w:rPr>
          <w:color w:val="auto"/>
          <w:sz w:val="24"/>
          <w:szCs w:val="24"/>
        </w:rPr>
        <w:t>Prison conditions are reportedly “harsh and life threatening,” including pervasive</w:t>
      </w:r>
      <w:r w:rsidR="007010C6">
        <w:rPr>
          <w:color w:val="auto"/>
          <w:sz w:val="24"/>
          <w:szCs w:val="24"/>
        </w:rPr>
        <w:t xml:space="preserve"> conditions of</w:t>
      </w:r>
      <w:r>
        <w:rPr>
          <w:color w:val="auto"/>
          <w:sz w:val="24"/>
          <w:szCs w:val="24"/>
        </w:rPr>
        <w:t xml:space="preserve"> “[</w:t>
      </w:r>
      <w:proofErr w:type="spellStart"/>
      <w:r>
        <w:rPr>
          <w:color w:val="auto"/>
          <w:sz w:val="24"/>
          <w:szCs w:val="24"/>
        </w:rPr>
        <w:t>i</w:t>
      </w:r>
      <w:proofErr w:type="spellEnd"/>
      <w:r>
        <w:rPr>
          <w:color w:val="auto"/>
          <w:sz w:val="24"/>
          <w:szCs w:val="24"/>
        </w:rPr>
        <w:t>]</w:t>
      </w:r>
      <w:proofErr w:type="spellStart"/>
      <w:r>
        <w:rPr>
          <w:color w:val="auto"/>
          <w:sz w:val="24"/>
          <w:szCs w:val="24"/>
        </w:rPr>
        <w:t>nadequate</w:t>
      </w:r>
      <w:proofErr w:type="spellEnd"/>
      <w:r>
        <w:rPr>
          <w:color w:val="auto"/>
          <w:sz w:val="24"/>
          <w:szCs w:val="24"/>
        </w:rPr>
        <w:t xml:space="preserve"> food, overcrowding, poor sanitation</w:t>
      </w:r>
      <w:r w:rsidR="007010C6">
        <w:rPr>
          <w:color w:val="auto"/>
          <w:sz w:val="24"/>
          <w:szCs w:val="24"/>
        </w:rPr>
        <w:t>, and insufficient medical care.”</w:t>
      </w:r>
      <w:r w:rsidR="007010C6">
        <w:rPr>
          <w:rStyle w:val="FootnoteReference"/>
          <w:color w:val="auto"/>
          <w:sz w:val="24"/>
          <w:szCs w:val="24"/>
        </w:rPr>
        <w:footnoteReference w:id="45"/>
      </w:r>
      <w:r w:rsidR="00EB15B5">
        <w:rPr>
          <w:color w:val="auto"/>
          <w:sz w:val="24"/>
          <w:szCs w:val="24"/>
        </w:rPr>
        <w:t xml:space="preserve"> Prison staff report “food and water shortages, a lack of electricity, inadequate lighting, and insufficient </w:t>
      </w:r>
      <w:r w:rsidR="00EB15B5">
        <w:rPr>
          <w:color w:val="auto"/>
          <w:sz w:val="24"/>
          <w:szCs w:val="24"/>
        </w:rPr>
        <w:lastRenderedPageBreak/>
        <w:t>medical supplies</w:t>
      </w:r>
      <w:r w:rsidR="00F04939">
        <w:rPr>
          <w:color w:val="auto"/>
          <w:sz w:val="24"/>
          <w:szCs w:val="24"/>
        </w:rPr>
        <w:t>.”</w:t>
      </w:r>
      <w:r w:rsidR="00F04939">
        <w:rPr>
          <w:rStyle w:val="FootnoteReference"/>
          <w:color w:val="auto"/>
          <w:sz w:val="24"/>
          <w:szCs w:val="24"/>
        </w:rPr>
        <w:footnoteReference w:id="46"/>
      </w:r>
      <w:r w:rsidR="00F04939">
        <w:rPr>
          <w:color w:val="auto"/>
          <w:sz w:val="24"/>
          <w:szCs w:val="24"/>
        </w:rPr>
        <w:t xml:space="preserve"> In 2018, President </w:t>
      </w:r>
      <w:proofErr w:type="spellStart"/>
      <w:r w:rsidR="00F04939">
        <w:rPr>
          <w:color w:val="auto"/>
          <w:sz w:val="24"/>
          <w:szCs w:val="24"/>
        </w:rPr>
        <w:t>Magufuli</w:t>
      </w:r>
      <w:proofErr w:type="spellEnd"/>
      <w:r w:rsidR="00F04939">
        <w:rPr>
          <w:color w:val="auto"/>
          <w:sz w:val="24"/>
          <w:szCs w:val="24"/>
        </w:rPr>
        <w:t xml:space="preserve"> told the </w:t>
      </w:r>
      <w:r w:rsidR="00790139">
        <w:rPr>
          <w:color w:val="auto"/>
          <w:sz w:val="24"/>
          <w:szCs w:val="24"/>
        </w:rPr>
        <w:t>Commissioner General of Prisons that the government would no longer feed people housed in prisons and suggested that they should cultivate their own food.</w:t>
      </w:r>
      <w:r w:rsidR="00790139">
        <w:rPr>
          <w:rStyle w:val="FootnoteReference"/>
          <w:color w:val="auto"/>
          <w:sz w:val="24"/>
          <w:szCs w:val="24"/>
        </w:rPr>
        <w:footnoteReference w:id="47"/>
      </w:r>
      <w:r w:rsidR="001E1BB1">
        <w:rPr>
          <w:color w:val="auto"/>
          <w:sz w:val="24"/>
          <w:szCs w:val="24"/>
        </w:rPr>
        <w:t xml:space="preserve"> Subsequent to that statement, </w:t>
      </w:r>
      <w:r w:rsidR="007E4829">
        <w:rPr>
          <w:color w:val="auto"/>
          <w:sz w:val="24"/>
          <w:szCs w:val="24"/>
        </w:rPr>
        <w:t>some detained persons “reported receiving no food from the prison authorities, relying solely on what family members provided.”</w:t>
      </w:r>
      <w:r w:rsidR="007E4829">
        <w:rPr>
          <w:rStyle w:val="FootnoteReference"/>
          <w:color w:val="auto"/>
          <w:sz w:val="24"/>
          <w:szCs w:val="24"/>
        </w:rPr>
        <w:footnoteReference w:id="48"/>
      </w:r>
    </w:p>
    <w:p w14:paraId="0A9E6235" w14:textId="49EFC006" w:rsidR="00880888" w:rsidRDefault="00880888" w:rsidP="00974E48">
      <w:pPr>
        <w:numPr>
          <w:ilvl w:val="0"/>
          <w:numId w:val="7"/>
        </w:numPr>
        <w:spacing w:after="120"/>
        <w:ind w:left="360"/>
        <w:jc w:val="both"/>
        <w:rPr>
          <w:color w:val="auto"/>
          <w:sz w:val="24"/>
          <w:szCs w:val="24"/>
        </w:rPr>
      </w:pPr>
      <w:r>
        <w:rPr>
          <w:color w:val="auto"/>
          <w:sz w:val="24"/>
          <w:szCs w:val="24"/>
        </w:rPr>
        <w:t>There are credible reports that physical abuse of people held in prisons is common.</w:t>
      </w:r>
      <w:r>
        <w:rPr>
          <w:rStyle w:val="FootnoteReference"/>
          <w:color w:val="auto"/>
          <w:sz w:val="24"/>
          <w:szCs w:val="24"/>
        </w:rPr>
        <w:footnoteReference w:id="49"/>
      </w:r>
    </w:p>
    <w:p w14:paraId="73EB81EF" w14:textId="16B25CBB" w:rsidR="00974E48" w:rsidRDefault="00974E48" w:rsidP="00974E48">
      <w:pPr>
        <w:numPr>
          <w:ilvl w:val="0"/>
          <w:numId w:val="7"/>
        </w:numPr>
        <w:spacing w:after="120"/>
        <w:ind w:left="360"/>
        <w:jc w:val="both"/>
        <w:rPr>
          <w:color w:val="auto"/>
          <w:sz w:val="24"/>
          <w:szCs w:val="24"/>
        </w:rPr>
      </w:pPr>
      <w:r w:rsidRPr="00F811E7">
        <w:rPr>
          <w:b/>
          <w:color w:val="auto"/>
          <w:sz w:val="24"/>
          <w:szCs w:val="24"/>
        </w:rPr>
        <w:t>Suggested questions</w:t>
      </w:r>
      <w:r>
        <w:rPr>
          <w:color w:val="auto"/>
          <w:sz w:val="24"/>
          <w:szCs w:val="24"/>
        </w:rPr>
        <w:t xml:space="preserve"> relating to</w:t>
      </w:r>
      <w:r w:rsidR="00E32D93">
        <w:rPr>
          <w:color w:val="auto"/>
          <w:sz w:val="24"/>
          <w:szCs w:val="24"/>
        </w:rPr>
        <w:t xml:space="preserve"> detention conditions:</w:t>
      </w:r>
    </w:p>
    <w:p w14:paraId="2CE4912E" w14:textId="2941D21E" w:rsidR="00974E48" w:rsidRPr="000C380B" w:rsidRDefault="00D17DA6" w:rsidP="00974E48">
      <w:pPr>
        <w:numPr>
          <w:ilvl w:val="1"/>
          <w:numId w:val="7"/>
        </w:numPr>
        <w:jc w:val="both"/>
        <w:rPr>
          <w:color w:val="auto"/>
          <w:sz w:val="24"/>
          <w:szCs w:val="24"/>
        </w:rPr>
      </w:pPr>
      <w:r>
        <w:rPr>
          <w:color w:val="auto"/>
          <w:sz w:val="24"/>
          <w:szCs w:val="24"/>
        </w:rPr>
        <w:t xml:space="preserve">What steps has Tanzania taken to reduce </w:t>
      </w:r>
      <w:r w:rsidR="003623EA">
        <w:rPr>
          <w:color w:val="auto"/>
          <w:sz w:val="24"/>
          <w:szCs w:val="24"/>
        </w:rPr>
        <w:t>the prison population, such as making all offenses bailable?</w:t>
      </w:r>
    </w:p>
    <w:p w14:paraId="57A26627" w14:textId="4FEAEC7C" w:rsidR="00974E48" w:rsidRDefault="003623EA" w:rsidP="00974E48">
      <w:pPr>
        <w:numPr>
          <w:ilvl w:val="1"/>
          <w:numId w:val="7"/>
        </w:numPr>
        <w:jc w:val="both"/>
        <w:rPr>
          <w:color w:val="auto"/>
          <w:sz w:val="24"/>
          <w:szCs w:val="24"/>
        </w:rPr>
      </w:pPr>
      <w:r>
        <w:rPr>
          <w:color w:val="auto"/>
          <w:sz w:val="24"/>
          <w:szCs w:val="24"/>
        </w:rPr>
        <w:t>Please describe the psychological care provided to people detained in Tanzania’s prisons who are under sentence of death.</w:t>
      </w:r>
    </w:p>
    <w:p w14:paraId="027F21F9" w14:textId="4058F2FD" w:rsidR="008E5101" w:rsidRDefault="008E5101" w:rsidP="00974E48">
      <w:pPr>
        <w:numPr>
          <w:ilvl w:val="1"/>
          <w:numId w:val="7"/>
        </w:numPr>
        <w:jc w:val="both"/>
        <w:rPr>
          <w:color w:val="auto"/>
          <w:sz w:val="24"/>
          <w:szCs w:val="24"/>
        </w:rPr>
      </w:pPr>
      <w:r>
        <w:rPr>
          <w:color w:val="auto"/>
          <w:sz w:val="24"/>
          <w:szCs w:val="24"/>
        </w:rPr>
        <w:t xml:space="preserve">What steps has Tanzania taken to ensure that detention conditions comply with the Nelson Mandela Rules, particularly </w:t>
      </w:r>
      <w:r w:rsidR="002A1D0F">
        <w:rPr>
          <w:color w:val="auto"/>
          <w:sz w:val="24"/>
          <w:szCs w:val="24"/>
        </w:rPr>
        <w:t>R</w:t>
      </w:r>
      <w:r>
        <w:rPr>
          <w:color w:val="auto"/>
          <w:sz w:val="24"/>
          <w:szCs w:val="24"/>
        </w:rPr>
        <w:t xml:space="preserve">ules </w:t>
      </w:r>
      <w:r w:rsidR="00656742">
        <w:rPr>
          <w:color w:val="auto"/>
          <w:sz w:val="24"/>
          <w:szCs w:val="24"/>
        </w:rPr>
        <w:t>15-1</w:t>
      </w:r>
      <w:r w:rsidR="007150A1">
        <w:rPr>
          <w:color w:val="auto"/>
          <w:sz w:val="24"/>
          <w:szCs w:val="24"/>
        </w:rPr>
        <w:t xml:space="preserve">8 regarding sanitation and personal hygiene, Rule 22 regarding food and drinking water, </w:t>
      </w:r>
      <w:r w:rsidR="002A1D0F">
        <w:rPr>
          <w:color w:val="auto"/>
          <w:sz w:val="24"/>
          <w:szCs w:val="24"/>
        </w:rPr>
        <w:t>R</w:t>
      </w:r>
      <w:r w:rsidR="007150A1">
        <w:rPr>
          <w:color w:val="auto"/>
          <w:sz w:val="24"/>
          <w:szCs w:val="24"/>
        </w:rPr>
        <w:t>ules 24-</w:t>
      </w:r>
      <w:r w:rsidR="002A1D0F">
        <w:rPr>
          <w:color w:val="auto"/>
          <w:sz w:val="24"/>
          <w:szCs w:val="24"/>
        </w:rPr>
        <w:t>3</w:t>
      </w:r>
      <w:r w:rsidR="00C25433">
        <w:rPr>
          <w:color w:val="auto"/>
          <w:sz w:val="24"/>
          <w:szCs w:val="24"/>
        </w:rPr>
        <w:t>5</w:t>
      </w:r>
      <w:r w:rsidR="002A1D0F">
        <w:rPr>
          <w:color w:val="auto"/>
          <w:sz w:val="24"/>
          <w:szCs w:val="24"/>
        </w:rPr>
        <w:t xml:space="preserve"> regarding health care services</w:t>
      </w:r>
      <w:r w:rsidR="00C25433">
        <w:rPr>
          <w:color w:val="auto"/>
          <w:sz w:val="24"/>
          <w:szCs w:val="24"/>
        </w:rPr>
        <w:t xml:space="preserve"> and </w:t>
      </w:r>
      <w:r w:rsidR="00185573">
        <w:rPr>
          <w:color w:val="auto"/>
          <w:sz w:val="24"/>
          <w:szCs w:val="24"/>
        </w:rPr>
        <w:t xml:space="preserve">health </w:t>
      </w:r>
      <w:r w:rsidR="00C25433">
        <w:rPr>
          <w:color w:val="auto"/>
          <w:sz w:val="24"/>
          <w:szCs w:val="24"/>
        </w:rPr>
        <w:t>inspections</w:t>
      </w:r>
      <w:r w:rsidR="002A1D0F">
        <w:rPr>
          <w:color w:val="auto"/>
          <w:sz w:val="24"/>
          <w:szCs w:val="24"/>
        </w:rPr>
        <w:t>,</w:t>
      </w:r>
      <w:r w:rsidR="007150A1">
        <w:rPr>
          <w:color w:val="auto"/>
          <w:sz w:val="24"/>
          <w:szCs w:val="24"/>
        </w:rPr>
        <w:t xml:space="preserve"> </w:t>
      </w:r>
      <w:r w:rsidR="003365AF">
        <w:rPr>
          <w:color w:val="auto"/>
          <w:sz w:val="24"/>
          <w:szCs w:val="24"/>
        </w:rPr>
        <w:t xml:space="preserve">Rule 43 regarding torture and other cruel, </w:t>
      </w:r>
      <w:proofErr w:type="gramStart"/>
      <w:r w:rsidR="003365AF">
        <w:rPr>
          <w:color w:val="auto"/>
          <w:sz w:val="24"/>
          <w:szCs w:val="24"/>
        </w:rPr>
        <w:t>inhuman</w:t>
      </w:r>
      <w:proofErr w:type="gramEnd"/>
      <w:r w:rsidR="003365AF">
        <w:rPr>
          <w:color w:val="auto"/>
          <w:sz w:val="24"/>
          <w:szCs w:val="24"/>
        </w:rPr>
        <w:t xml:space="preserve"> or degrading treatment or punishment, </w:t>
      </w:r>
      <w:r w:rsidR="00185573">
        <w:rPr>
          <w:color w:val="auto"/>
          <w:sz w:val="24"/>
          <w:szCs w:val="24"/>
        </w:rPr>
        <w:t>and Rules 83-</w:t>
      </w:r>
      <w:r w:rsidR="007B1A1E">
        <w:rPr>
          <w:color w:val="auto"/>
          <w:sz w:val="24"/>
          <w:szCs w:val="24"/>
        </w:rPr>
        <w:t>85 regarding inspections?</w:t>
      </w:r>
    </w:p>
    <w:p w14:paraId="2F6EB1B9" w14:textId="2BB33056" w:rsidR="0061107A" w:rsidRDefault="0061107A" w:rsidP="00974E48">
      <w:pPr>
        <w:numPr>
          <w:ilvl w:val="1"/>
          <w:numId w:val="7"/>
        </w:numPr>
        <w:jc w:val="both"/>
        <w:rPr>
          <w:color w:val="auto"/>
          <w:sz w:val="24"/>
          <w:szCs w:val="24"/>
        </w:rPr>
      </w:pPr>
      <w:r>
        <w:rPr>
          <w:color w:val="auto"/>
          <w:sz w:val="24"/>
          <w:szCs w:val="24"/>
        </w:rPr>
        <w:t xml:space="preserve">Please </w:t>
      </w:r>
      <w:r w:rsidR="008E4344">
        <w:rPr>
          <w:color w:val="auto"/>
          <w:sz w:val="24"/>
          <w:szCs w:val="24"/>
        </w:rPr>
        <w:t xml:space="preserve">describe the food and water provided at each prison facility, including </w:t>
      </w:r>
      <w:r w:rsidR="00C03E10">
        <w:rPr>
          <w:color w:val="auto"/>
          <w:sz w:val="24"/>
          <w:szCs w:val="24"/>
        </w:rPr>
        <w:t xml:space="preserve">whether </w:t>
      </w:r>
      <w:r w:rsidR="00033626">
        <w:rPr>
          <w:color w:val="auto"/>
          <w:sz w:val="24"/>
          <w:szCs w:val="24"/>
        </w:rPr>
        <w:t xml:space="preserve">prison </w:t>
      </w:r>
      <w:r w:rsidR="00C03E10">
        <w:rPr>
          <w:color w:val="auto"/>
          <w:sz w:val="24"/>
          <w:szCs w:val="24"/>
        </w:rPr>
        <w:t xml:space="preserve">authorities provide </w:t>
      </w:r>
      <w:r w:rsidR="00381099">
        <w:rPr>
          <w:color w:val="auto"/>
          <w:sz w:val="24"/>
          <w:szCs w:val="24"/>
        </w:rPr>
        <w:t xml:space="preserve">regular and nutritionally adequate meals </w:t>
      </w:r>
      <w:r w:rsidR="00C03E10">
        <w:rPr>
          <w:color w:val="auto"/>
          <w:sz w:val="24"/>
          <w:szCs w:val="24"/>
        </w:rPr>
        <w:t>to persons being detained</w:t>
      </w:r>
      <w:r w:rsidR="00381099">
        <w:rPr>
          <w:color w:val="auto"/>
          <w:sz w:val="24"/>
          <w:szCs w:val="24"/>
        </w:rPr>
        <w:t xml:space="preserve">. </w:t>
      </w:r>
    </w:p>
    <w:p w14:paraId="1452231E" w14:textId="2C3C4A04" w:rsidR="00134340" w:rsidRPr="000C380B" w:rsidRDefault="00134340" w:rsidP="00974E48">
      <w:pPr>
        <w:numPr>
          <w:ilvl w:val="1"/>
          <w:numId w:val="7"/>
        </w:numPr>
        <w:jc w:val="both"/>
        <w:rPr>
          <w:color w:val="auto"/>
          <w:sz w:val="24"/>
          <w:szCs w:val="24"/>
        </w:rPr>
      </w:pPr>
      <w:r>
        <w:rPr>
          <w:color w:val="auto"/>
          <w:sz w:val="24"/>
          <w:szCs w:val="24"/>
        </w:rPr>
        <w:t>What procedures are in place to respond to and investigate complaints of torture or ill-treatment in detention facilities?</w:t>
      </w:r>
    </w:p>
    <w:p w14:paraId="1BBC45ED" w14:textId="38B7BDCC" w:rsidR="00B504D2" w:rsidRDefault="00B504D2" w:rsidP="00B504D2">
      <w:pPr>
        <w:keepNext/>
        <w:numPr>
          <w:ilvl w:val="0"/>
          <w:numId w:val="8"/>
        </w:numPr>
        <w:spacing w:before="240" w:after="120"/>
        <w:ind w:left="720" w:hanging="360"/>
        <w:rPr>
          <w:b/>
          <w:color w:val="auto"/>
          <w:sz w:val="24"/>
          <w:szCs w:val="24"/>
        </w:rPr>
      </w:pPr>
      <w:r>
        <w:rPr>
          <w:b/>
          <w:color w:val="auto"/>
          <w:sz w:val="24"/>
          <w:szCs w:val="24"/>
        </w:rPr>
        <w:t>Procedures for commutation of death sentences are not transparent.</w:t>
      </w:r>
    </w:p>
    <w:p w14:paraId="441FEEC1" w14:textId="318CF131" w:rsidR="00F51AFD" w:rsidRDefault="00B504D2" w:rsidP="00622503">
      <w:pPr>
        <w:numPr>
          <w:ilvl w:val="0"/>
          <w:numId w:val="7"/>
        </w:numPr>
        <w:spacing w:after="120"/>
        <w:ind w:left="360"/>
        <w:jc w:val="both"/>
        <w:rPr>
          <w:bCs/>
          <w:color w:val="auto"/>
          <w:sz w:val="24"/>
          <w:szCs w:val="24"/>
        </w:rPr>
      </w:pPr>
      <w:r>
        <w:rPr>
          <w:bCs/>
          <w:color w:val="auto"/>
          <w:sz w:val="24"/>
          <w:szCs w:val="24"/>
        </w:rPr>
        <w:t xml:space="preserve">In its 2009 Concluding Observations, the Committee expressed regret about “the lack of sufficient information </w:t>
      </w:r>
      <w:r w:rsidR="00931144">
        <w:rPr>
          <w:bCs/>
          <w:color w:val="auto"/>
          <w:sz w:val="24"/>
          <w:szCs w:val="24"/>
        </w:rPr>
        <w:t>on . . . the procedures in place for the commutation of death sentences in light of the moratorium.”</w:t>
      </w:r>
      <w:r w:rsidR="00931144">
        <w:rPr>
          <w:rStyle w:val="FootnoteReference"/>
          <w:bCs/>
          <w:color w:val="auto"/>
          <w:sz w:val="24"/>
          <w:szCs w:val="24"/>
        </w:rPr>
        <w:footnoteReference w:id="50"/>
      </w:r>
      <w:r w:rsidR="00931144">
        <w:rPr>
          <w:bCs/>
          <w:color w:val="auto"/>
          <w:sz w:val="24"/>
          <w:szCs w:val="24"/>
        </w:rPr>
        <w:t xml:space="preserve"> The Committee recommended that Tanzania</w:t>
      </w:r>
      <w:r w:rsidR="00195ED6">
        <w:rPr>
          <w:bCs/>
          <w:color w:val="auto"/>
          <w:sz w:val="24"/>
          <w:szCs w:val="24"/>
        </w:rPr>
        <w:t xml:space="preserve"> “consider the early commutation of death sentences of all persons currently sentenced to death.”</w:t>
      </w:r>
      <w:r w:rsidR="00195ED6">
        <w:rPr>
          <w:rStyle w:val="FootnoteReference"/>
          <w:bCs/>
          <w:color w:val="auto"/>
          <w:sz w:val="24"/>
          <w:szCs w:val="24"/>
        </w:rPr>
        <w:footnoteReference w:id="51"/>
      </w:r>
    </w:p>
    <w:p w14:paraId="070DBDE5" w14:textId="49E75C50" w:rsidR="003E6A10" w:rsidRPr="007238C4" w:rsidRDefault="00134835" w:rsidP="00622503">
      <w:pPr>
        <w:numPr>
          <w:ilvl w:val="0"/>
          <w:numId w:val="7"/>
        </w:numPr>
        <w:spacing w:after="120"/>
        <w:ind w:left="360"/>
        <w:jc w:val="both"/>
        <w:rPr>
          <w:bCs/>
          <w:color w:val="auto"/>
          <w:sz w:val="24"/>
          <w:szCs w:val="24"/>
        </w:rPr>
      </w:pPr>
      <w:r w:rsidRPr="007238C4">
        <w:rPr>
          <w:bCs/>
          <w:color w:val="auto"/>
          <w:sz w:val="24"/>
          <w:szCs w:val="24"/>
        </w:rPr>
        <w:t>Article 45 of the United Republic of Tanzania Constitution 1977 as amended read together with section 3 of the Presidential Affairs Act Cap. 9 gives the president discretional power to exercise his prerogative</w:t>
      </w:r>
      <w:r w:rsidR="00BB6F32">
        <w:rPr>
          <w:bCs/>
          <w:color w:val="auto"/>
          <w:sz w:val="24"/>
          <w:szCs w:val="24"/>
        </w:rPr>
        <w:t xml:space="preserve"> of</w:t>
      </w:r>
      <w:r w:rsidRPr="007238C4">
        <w:rPr>
          <w:bCs/>
          <w:color w:val="auto"/>
          <w:sz w:val="24"/>
          <w:szCs w:val="24"/>
        </w:rPr>
        <w:t xml:space="preserve"> mercy but there is no procedure stipulated.</w:t>
      </w:r>
      <w:r w:rsidR="009B4514">
        <w:rPr>
          <w:rStyle w:val="FootnoteReference"/>
          <w:bCs/>
          <w:color w:val="auto"/>
          <w:sz w:val="24"/>
          <w:szCs w:val="24"/>
        </w:rPr>
        <w:footnoteReference w:id="52"/>
      </w:r>
      <w:r w:rsidRPr="007238C4">
        <w:rPr>
          <w:bCs/>
          <w:color w:val="auto"/>
          <w:sz w:val="24"/>
          <w:szCs w:val="24"/>
        </w:rPr>
        <w:t xml:space="preserve"> </w:t>
      </w:r>
    </w:p>
    <w:p w14:paraId="2BC207F1" w14:textId="35B2CEE6" w:rsidR="003E6A10" w:rsidRDefault="003E6A10" w:rsidP="009B1578">
      <w:pPr>
        <w:keepNext/>
        <w:numPr>
          <w:ilvl w:val="0"/>
          <w:numId w:val="7"/>
        </w:numPr>
        <w:spacing w:after="120"/>
        <w:ind w:left="360"/>
        <w:jc w:val="both"/>
        <w:rPr>
          <w:color w:val="auto"/>
          <w:sz w:val="24"/>
          <w:szCs w:val="24"/>
        </w:rPr>
      </w:pPr>
      <w:r w:rsidRPr="00F811E7">
        <w:rPr>
          <w:b/>
          <w:color w:val="auto"/>
          <w:sz w:val="24"/>
          <w:szCs w:val="24"/>
        </w:rPr>
        <w:lastRenderedPageBreak/>
        <w:t>Suggested questions</w:t>
      </w:r>
      <w:r>
        <w:rPr>
          <w:color w:val="auto"/>
          <w:sz w:val="24"/>
          <w:szCs w:val="24"/>
        </w:rPr>
        <w:t xml:space="preserve"> relating to commutation of death sentences:</w:t>
      </w:r>
    </w:p>
    <w:p w14:paraId="4DB77713" w14:textId="17C30C84" w:rsidR="003E6A10" w:rsidRPr="000C380B" w:rsidRDefault="00033626" w:rsidP="003E6A10">
      <w:pPr>
        <w:numPr>
          <w:ilvl w:val="1"/>
          <w:numId w:val="7"/>
        </w:numPr>
        <w:jc w:val="both"/>
        <w:rPr>
          <w:color w:val="auto"/>
          <w:sz w:val="24"/>
          <w:szCs w:val="24"/>
        </w:rPr>
      </w:pPr>
      <w:r>
        <w:rPr>
          <w:color w:val="auto"/>
          <w:sz w:val="24"/>
          <w:szCs w:val="24"/>
        </w:rPr>
        <w:t>Please describe the process by which a person may request commutation of a death sentence or a pardon</w:t>
      </w:r>
      <w:r w:rsidR="003A5FB2">
        <w:rPr>
          <w:color w:val="auto"/>
          <w:sz w:val="24"/>
          <w:szCs w:val="24"/>
        </w:rPr>
        <w:t xml:space="preserve"> from a capital conviction.</w:t>
      </w:r>
      <w:r w:rsidR="00737572">
        <w:rPr>
          <w:color w:val="auto"/>
          <w:sz w:val="24"/>
          <w:szCs w:val="24"/>
        </w:rPr>
        <w:t xml:space="preserve"> Does the State provide legal aid for individuals seeking to make such requests?</w:t>
      </w:r>
    </w:p>
    <w:p w14:paraId="3C7A2A60" w14:textId="0D3FE597" w:rsidR="003E6A10" w:rsidRDefault="003A5FB2" w:rsidP="003E6A10">
      <w:pPr>
        <w:numPr>
          <w:ilvl w:val="1"/>
          <w:numId w:val="7"/>
        </w:numPr>
        <w:jc w:val="both"/>
        <w:rPr>
          <w:color w:val="auto"/>
          <w:sz w:val="24"/>
          <w:szCs w:val="24"/>
        </w:rPr>
      </w:pPr>
      <w:r>
        <w:rPr>
          <w:color w:val="auto"/>
          <w:sz w:val="24"/>
          <w:szCs w:val="24"/>
        </w:rPr>
        <w:t>Please describe the process by which the President considers requests for commutation</w:t>
      </w:r>
      <w:r w:rsidR="009B1578">
        <w:rPr>
          <w:color w:val="auto"/>
          <w:sz w:val="24"/>
          <w:szCs w:val="24"/>
        </w:rPr>
        <w:t>,</w:t>
      </w:r>
      <w:r>
        <w:rPr>
          <w:color w:val="auto"/>
          <w:sz w:val="24"/>
          <w:szCs w:val="24"/>
        </w:rPr>
        <w:t xml:space="preserve"> pardon,</w:t>
      </w:r>
      <w:r w:rsidR="009B1578">
        <w:rPr>
          <w:color w:val="auto"/>
          <w:sz w:val="24"/>
          <w:szCs w:val="24"/>
        </w:rPr>
        <w:t xml:space="preserve"> </w:t>
      </w:r>
      <w:r w:rsidR="00A25E13">
        <w:rPr>
          <w:color w:val="auto"/>
          <w:sz w:val="24"/>
          <w:szCs w:val="24"/>
        </w:rPr>
        <w:t>and</w:t>
      </w:r>
      <w:r w:rsidR="009B1578">
        <w:rPr>
          <w:color w:val="auto"/>
          <w:sz w:val="24"/>
          <w:szCs w:val="24"/>
        </w:rPr>
        <w:t xml:space="preserve"> prerogative of mercy,</w:t>
      </w:r>
      <w:r>
        <w:rPr>
          <w:color w:val="auto"/>
          <w:sz w:val="24"/>
          <w:szCs w:val="24"/>
        </w:rPr>
        <w:t xml:space="preserve"> particularly in capital cases.</w:t>
      </w:r>
    </w:p>
    <w:p w14:paraId="75562E7F" w14:textId="33BAB9A1" w:rsidR="003A5FB2" w:rsidRPr="003E6A10" w:rsidRDefault="003A5FB2" w:rsidP="00750740">
      <w:pPr>
        <w:numPr>
          <w:ilvl w:val="1"/>
          <w:numId w:val="7"/>
        </w:numPr>
        <w:jc w:val="both"/>
        <w:rPr>
          <w:color w:val="auto"/>
          <w:sz w:val="24"/>
          <w:szCs w:val="24"/>
        </w:rPr>
      </w:pPr>
      <w:r w:rsidRPr="0091505A">
        <w:rPr>
          <w:color w:val="auto"/>
          <w:sz w:val="24"/>
          <w:szCs w:val="24"/>
        </w:rPr>
        <w:t>What procedure did the President use to select the 256 persons who benefitted from commutation of their death sentences in December 2020?</w:t>
      </w:r>
    </w:p>
    <w:sectPr w:rsidR="003A5FB2" w:rsidRPr="003E6A10"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EA6F" w14:textId="77777777" w:rsidR="00C66319" w:rsidRDefault="00C66319">
      <w:r>
        <w:separator/>
      </w:r>
    </w:p>
  </w:endnote>
  <w:endnote w:type="continuationSeparator" w:id="0">
    <w:p w14:paraId="55B23D5F" w14:textId="77777777" w:rsidR="00C66319" w:rsidRDefault="00C66319">
      <w:r>
        <w:continuationSeparator/>
      </w:r>
    </w:p>
  </w:endnote>
  <w:endnote w:type="continuationNotice" w:id="1">
    <w:p w14:paraId="5EC8337E" w14:textId="77777777" w:rsidR="00C66319" w:rsidRDefault="00C6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7F32" w14:textId="77777777" w:rsidR="00804604" w:rsidRDefault="00804604">
    <w:pPr>
      <w:pStyle w:val="Footer"/>
      <w:jc w:val="center"/>
    </w:pPr>
    <w:r>
      <w:fldChar w:fldCharType="begin"/>
    </w:r>
    <w:r>
      <w:instrText xml:space="preserve"> PAGE   \* MERGEFORMAT </w:instrText>
    </w:r>
    <w:r>
      <w:fldChar w:fldCharType="separate"/>
    </w:r>
    <w:r w:rsidR="00596B08">
      <w:rPr>
        <w:noProof/>
      </w:rPr>
      <w:t>2</w:t>
    </w:r>
    <w:r>
      <w:rPr>
        <w:noProof/>
      </w:rPr>
      <w:fldChar w:fldCharType="end"/>
    </w:r>
  </w:p>
  <w:p w14:paraId="1066A677" w14:textId="77777777" w:rsidR="00804604" w:rsidRPr="00C26130" w:rsidRDefault="0080460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63BC" w14:textId="34F39768" w:rsidR="00804604" w:rsidRPr="000F3447" w:rsidRDefault="0056409D"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1" behindDoc="0" locked="0" layoutInCell="1" allowOverlap="1" wp14:anchorId="7DD8AF1B" wp14:editId="70CAF3B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219B" id="Line 2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strokecolor="#333"/>
          </w:pict>
        </mc:Fallback>
      </mc:AlternateContent>
    </w:r>
  </w:p>
  <w:p w14:paraId="388F098A" w14:textId="27A101B6" w:rsidR="00804604" w:rsidRPr="000F3447" w:rsidRDefault="001E2A05" w:rsidP="000F3447">
    <w:pPr>
      <w:widowControl w:val="0"/>
      <w:jc w:val="center"/>
      <w:rPr>
        <w:i/>
        <w:iCs/>
        <w:color w:val="542344"/>
        <w:lang w:val="en"/>
      </w:rPr>
    </w:pPr>
    <w:r>
      <w:rPr>
        <w:color w:val="333333"/>
        <w:lang w:val="en"/>
      </w:rPr>
      <w:t>The Advocates for Human Rights</w:t>
    </w:r>
    <w:r w:rsidRPr="000F3447">
      <w:rPr>
        <w:color w:val="333333"/>
        <w:lang w:val="en"/>
      </w:rPr>
      <w:t xml:space="preserve"> •</w:t>
    </w:r>
    <w:r>
      <w:rPr>
        <w:color w:val="333333"/>
        <w:lang w:val="en"/>
      </w:rPr>
      <w:t xml:space="preserve"> </w:t>
    </w:r>
    <w:r w:rsidR="00804604" w:rsidRPr="000F3447">
      <w:rPr>
        <w:color w:val="333333"/>
        <w:lang w:val="en"/>
      </w:rPr>
      <w:t>330 Second Avenue South • Suite 800 • Minneapo</w:t>
    </w:r>
    <w:r w:rsidR="000C380B" w:rsidRPr="000F3447">
      <w:rPr>
        <w:color w:val="333333"/>
        <w:lang w:val="en"/>
      </w:rPr>
      <w:t xml:space="preserve">lis, MN </w:t>
    </w:r>
    <w:r w:rsidR="00804604" w:rsidRPr="000F3447">
      <w:rPr>
        <w:color w:val="333333"/>
        <w:lang w:val="en"/>
      </w:rPr>
      <w:t>55401</w:t>
    </w:r>
    <w:r w:rsidR="000C380B" w:rsidRPr="000F3447">
      <w:rPr>
        <w:color w:val="333333"/>
        <w:lang w:val="en"/>
      </w:rPr>
      <w:t xml:space="preserve"> </w:t>
    </w:r>
    <w:r w:rsidR="00804604" w:rsidRPr="000F3447">
      <w:rPr>
        <w:color w:val="333333"/>
        <w:lang w:val="en"/>
      </w:rPr>
      <w:t>• USA</w:t>
    </w:r>
  </w:p>
  <w:p w14:paraId="626DB405" w14:textId="77777777" w:rsidR="00804604" w:rsidRPr="000F3447" w:rsidRDefault="00804604" w:rsidP="000F3447">
    <w:pPr>
      <w:widowControl w:val="0"/>
      <w:jc w:val="center"/>
      <w:rPr>
        <w:color w:val="333333"/>
        <w:lang w:val="en"/>
      </w:rPr>
    </w:pPr>
    <w:r w:rsidRPr="000F3447">
      <w:rPr>
        <w:color w:val="333333"/>
        <w:lang w:val="en"/>
      </w:rPr>
      <w:t>Tel</w:t>
    </w:r>
    <w:r w:rsidR="000F3447">
      <w:rPr>
        <w:color w:val="333333"/>
        <w:lang w:val="en"/>
      </w:rPr>
      <w:t xml:space="preserve">: </w:t>
    </w:r>
    <w:r w:rsidR="0009644E" w:rsidRPr="000F3447">
      <w:rPr>
        <w:color w:val="333333"/>
        <w:lang w:val="en"/>
      </w:rPr>
      <w:t>612-341-</w:t>
    </w:r>
    <w:r w:rsidR="00AD0AA1" w:rsidRPr="000F3447">
      <w:rPr>
        <w:color w:val="333333"/>
        <w:lang w:val="en"/>
      </w:rPr>
      <w:t>3302</w:t>
    </w:r>
    <w:r w:rsidRPr="000F3447">
      <w:rPr>
        <w:color w:val="333333"/>
        <w:lang w:val="en"/>
      </w:rPr>
      <w:t xml:space="preserve"> •</w:t>
    </w:r>
    <w:r w:rsidR="0009644E" w:rsidRPr="000F3447">
      <w:rPr>
        <w:color w:val="333333"/>
        <w:lang w:val="en"/>
      </w:rPr>
      <w:t xml:space="preserve"> Fax:  612-341-</w:t>
    </w:r>
    <w:r w:rsidRPr="000F3447">
      <w:rPr>
        <w:color w:val="333333"/>
        <w:lang w:val="en"/>
      </w:rPr>
      <w:t>2971 •</w:t>
    </w:r>
    <w:r w:rsidR="00AD0AA1" w:rsidRPr="000F3447">
      <w:rPr>
        <w:color w:val="333333"/>
        <w:lang w:val="en"/>
      </w:rPr>
      <w:t xml:space="preserve"> Email: hrights@advrights.org</w:t>
    </w:r>
    <w:r w:rsidRPr="000F3447">
      <w:rPr>
        <w:color w:val="333333"/>
        <w:lang w:val="en"/>
      </w:rPr>
      <w:t xml:space="preserve"> •</w:t>
    </w:r>
    <w:r w:rsidR="000F3447" w:rsidRPr="000F3447">
      <w:rPr>
        <w:color w:val="333333"/>
        <w:lang w:val="en"/>
      </w:rPr>
      <w:t xml:space="preserve"> </w:t>
    </w:r>
    <w:r w:rsidR="0009644E" w:rsidRPr="000F3447">
      <w:rPr>
        <w:color w:val="333333"/>
        <w:lang w:val="en"/>
      </w:rPr>
      <w:t>www.TheAdvocatesForHumanR</w:t>
    </w:r>
    <w:r w:rsidRPr="000F3447">
      <w:rPr>
        <w:color w:val="333333"/>
        <w:lang w:val="en"/>
      </w:rPr>
      <w:t>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44AE" w14:textId="77777777" w:rsidR="00C66319" w:rsidRDefault="00C66319">
      <w:r>
        <w:separator/>
      </w:r>
    </w:p>
  </w:footnote>
  <w:footnote w:type="continuationSeparator" w:id="0">
    <w:p w14:paraId="5DFCFBCB" w14:textId="77777777" w:rsidR="00C66319" w:rsidRDefault="00C66319">
      <w:r>
        <w:continuationSeparator/>
      </w:r>
    </w:p>
  </w:footnote>
  <w:footnote w:type="continuationNotice" w:id="1">
    <w:p w14:paraId="3C798B1F" w14:textId="77777777" w:rsidR="00C66319" w:rsidRDefault="00C66319"/>
  </w:footnote>
  <w:footnote w:id="2">
    <w:p w14:paraId="27E37DCD" w14:textId="308B8AD9" w:rsidR="0021388A" w:rsidRPr="0023467F" w:rsidRDefault="0021388A" w:rsidP="0023467F">
      <w:pPr>
        <w:pStyle w:val="FootnoteText"/>
        <w:jc w:val="both"/>
      </w:pPr>
      <w:r w:rsidRPr="0023467F">
        <w:rPr>
          <w:rStyle w:val="FootnoteReference"/>
        </w:rPr>
        <w:footnoteRef/>
      </w:r>
      <w:r w:rsidRPr="0023467F">
        <w:t xml:space="preserve"> Human Rights Committee</w:t>
      </w:r>
      <w:r w:rsidRPr="0023467F">
        <w:rPr>
          <w:i/>
          <w:iCs/>
        </w:rPr>
        <w:t xml:space="preserve">, </w:t>
      </w:r>
      <w:proofErr w:type="gramStart"/>
      <w:r w:rsidRPr="0023467F">
        <w:rPr>
          <w:i/>
          <w:iCs/>
        </w:rPr>
        <w:t>Concluding</w:t>
      </w:r>
      <w:proofErr w:type="gramEnd"/>
      <w:r w:rsidRPr="0023467F">
        <w:rPr>
          <w:i/>
          <w:iCs/>
        </w:rPr>
        <w:t xml:space="preserve"> observations on the </w:t>
      </w:r>
      <w:r w:rsidR="00E41677" w:rsidRPr="0023467F">
        <w:rPr>
          <w:i/>
          <w:iCs/>
        </w:rPr>
        <w:t>fourth</w:t>
      </w:r>
      <w:r w:rsidRPr="0023467F">
        <w:rPr>
          <w:i/>
          <w:iCs/>
        </w:rPr>
        <w:t xml:space="preserve"> periodic report on the </w:t>
      </w:r>
      <w:r w:rsidR="00E41677" w:rsidRPr="0023467F">
        <w:rPr>
          <w:i/>
          <w:iCs/>
        </w:rPr>
        <w:t>United Republic of Tanzania</w:t>
      </w:r>
      <w:r w:rsidRPr="0023467F">
        <w:rPr>
          <w:i/>
          <w:iCs/>
        </w:rPr>
        <w:t xml:space="preserve">, adopted by the Committee at its </w:t>
      </w:r>
      <w:r w:rsidR="00E41677" w:rsidRPr="0023467F">
        <w:rPr>
          <w:i/>
          <w:iCs/>
        </w:rPr>
        <w:t xml:space="preserve">96th </w:t>
      </w:r>
      <w:r w:rsidRPr="0023467F">
        <w:rPr>
          <w:i/>
          <w:iCs/>
        </w:rPr>
        <w:t>session</w:t>
      </w:r>
      <w:r w:rsidRPr="0023467F">
        <w:t xml:space="preserve"> (</w:t>
      </w:r>
      <w:r w:rsidR="002466DC" w:rsidRPr="0023467F">
        <w:t>13</w:t>
      </w:r>
      <w:r w:rsidRPr="0023467F">
        <w:t>–</w:t>
      </w:r>
      <w:r w:rsidR="002466DC" w:rsidRPr="0023467F">
        <w:t>31 July 2009</w:t>
      </w:r>
      <w:r w:rsidRPr="0023467F">
        <w:t>), U.N. Doc. CCPR/C/</w:t>
      </w:r>
      <w:r w:rsidR="002466DC" w:rsidRPr="0023467F">
        <w:t>TZA</w:t>
      </w:r>
      <w:r w:rsidRPr="0023467F">
        <w:t>/CO/</w:t>
      </w:r>
      <w:r w:rsidR="002466DC" w:rsidRPr="0023467F">
        <w:t>4</w:t>
      </w:r>
      <w:r w:rsidRPr="0023467F">
        <w:t>, ⁋</w:t>
      </w:r>
      <w:r w:rsidR="006B5558" w:rsidRPr="0023467F">
        <w:t> </w:t>
      </w:r>
      <w:r w:rsidR="002466DC" w:rsidRPr="0023467F">
        <w:t>4</w:t>
      </w:r>
      <w:r w:rsidR="006B18F7" w:rsidRPr="0023467F">
        <w:t xml:space="preserve"> [hereinafter 2009 Concluding Observations]</w:t>
      </w:r>
      <w:r w:rsidRPr="0023467F">
        <w:t>.</w:t>
      </w:r>
    </w:p>
  </w:footnote>
  <w:footnote w:id="3">
    <w:p w14:paraId="1F0F6AFE" w14:textId="679DCF79" w:rsidR="006B5558" w:rsidRPr="0023467F" w:rsidRDefault="006B5558" w:rsidP="0023467F">
      <w:pPr>
        <w:pStyle w:val="FootnoteText"/>
        <w:jc w:val="both"/>
      </w:pPr>
      <w:r w:rsidRPr="0023467F">
        <w:rPr>
          <w:rStyle w:val="FootnoteReference"/>
        </w:rPr>
        <w:footnoteRef/>
      </w:r>
      <w:r w:rsidRPr="0023467F">
        <w:t xml:space="preserve"> Id. ⁋ 14.</w:t>
      </w:r>
    </w:p>
  </w:footnote>
  <w:footnote w:id="4">
    <w:p w14:paraId="5E03B3EB" w14:textId="75D80217" w:rsidR="00195ED6" w:rsidRPr="0023467F" w:rsidRDefault="00195ED6" w:rsidP="0023467F">
      <w:pPr>
        <w:pStyle w:val="FootnoteText"/>
        <w:jc w:val="both"/>
      </w:pPr>
      <w:r w:rsidRPr="0023467F">
        <w:rPr>
          <w:rStyle w:val="FootnoteReference"/>
        </w:rPr>
        <w:footnoteRef/>
      </w:r>
      <w:r w:rsidRPr="0023467F">
        <w:t xml:space="preserve"> </w:t>
      </w:r>
      <w:r w:rsidR="00DF7A24" w:rsidRPr="0023467F">
        <w:t>Ibid.</w:t>
      </w:r>
    </w:p>
  </w:footnote>
  <w:footnote w:id="5">
    <w:p w14:paraId="349C9563" w14:textId="241BE272" w:rsidR="00311DF1" w:rsidRPr="0023467F" w:rsidRDefault="00311DF1" w:rsidP="0023467F">
      <w:pPr>
        <w:pStyle w:val="FootnoteText"/>
        <w:jc w:val="both"/>
      </w:pPr>
      <w:r w:rsidRPr="0023467F">
        <w:rPr>
          <w:rStyle w:val="FootnoteReference"/>
        </w:rPr>
        <w:footnoteRef/>
      </w:r>
      <w:r w:rsidRPr="0023467F">
        <w:t xml:space="preserve"> Kizito </w:t>
      </w:r>
      <w:proofErr w:type="spellStart"/>
      <w:r w:rsidRPr="0023467F">
        <w:t>Makoye</w:t>
      </w:r>
      <w:proofErr w:type="spellEnd"/>
      <w:r w:rsidRPr="0023467F">
        <w:t xml:space="preserve">, </w:t>
      </w:r>
      <w:r w:rsidRPr="0023467F">
        <w:rPr>
          <w:i/>
          <w:iCs/>
        </w:rPr>
        <w:t>Tanzania commutes death sentences of 256 convicts</w:t>
      </w:r>
      <w:r w:rsidRPr="0023467F">
        <w:t>, Anadolu Agency</w:t>
      </w:r>
      <w:r w:rsidR="00811999" w:rsidRPr="0023467F">
        <w:t>, 9 Dec. 2020, https://www.aa.com.tr/en/africa/tanzania-commutes-death-sentences-of-256-convicts/2071191 (last visited 30 Dec. 2020).</w:t>
      </w:r>
    </w:p>
  </w:footnote>
  <w:footnote w:id="6">
    <w:p w14:paraId="7D69428D" w14:textId="542074E9" w:rsidR="00100DB9" w:rsidRPr="0023467F" w:rsidRDefault="00100DB9" w:rsidP="0023467F">
      <w:pPr>
        <w:pStyle w:val="FootnoteText"/>
        <w:jc w:val="both"/>
      </w:pPr>
      <w:r w:rsidRPr="0023467F">
        <w:rPr>
          <w:rStyle w:val="FootnoteReference"/>
        </w:rPr>
        <w:footnoteRef/>
      </w:r>
      <w:r w:rsidRPr="0023467F">
        <w:t xml:space="preserve"> Thalia </w:t>
      </w:r>
      <w:proofErr w:type="spellStart"/>
      <w:r w:rsidRPr="0023467F">
        <w:t>Gerzso</w:t>
      </w:r>
      <w:proofErr w:type="spellEnd"/>
      <w:r w:rsidRPr="0023467F">
        <w:t xml:space="preserve">, </w:t>
      </w:r>
      <w:r w:rsidRPr="0023467F">
        <w:rPr>
          <w:i/>
          <w:iCs/>
        </w:rPr>
        <w:t xml:space="preserve">Tanzania: President </w:t>
      </w:r>
      <w:proofErr w:type="spellStart"/>
      <w:r w:rsidRPr="0023467F">
        <w:rPr>
          <w:i/>
          <w:iCs/>
        </w:rPr>
        <w:t>Magufuli</w:t>
      </w:r>
      <w:proofErr w:type="spellEnd"/>
      <w:r w:rsidRPr="0023467F">
        <w:rPr>
          <w:i/>
          <w:iCs/>
        </w:rPr>
        <w:t xml:space="preserve"> declares his position against the death penalty</w:t>
      </w:r>
      <w:r w:rsidRPr="0023467F">
        <w:t xml:space="preserve">, World Coalition Against the Death Penalty, 20 Sept. 2017, </w:t>
      </w:r>
      <w:r w:rsidR="00BF5972" w:rsidRPr="0023467F">
        <w:t>http://www.worldcoalition.org/Tanzania-President-Magufuli-declares-his-position-against-the-death-penalty.html (last visited 30 Dec. 2020).</w:t>
      </w:r>
    </w:p>
  </w:footnote>
  <w:footnote w:id="7">
    <w:p w14:paraId="4E319C09" w14:textId="45AB8EA3" w:rsidR="00115CEF" w:rsidRPr="0023467F" w:rsidRDefault="00115CEF" w:rsidP="0023467F">
      <w:pPr>
        <w:pStyle w:val="FootnoteText"/>
        <w:jc w:val="both"/>
      </w:pPr>
      <w:r w:rsidRPr="0023467F">
        <w:rPr>
          <w:rStyle w:val="FootnoteReference"/>
        </w:rPr>
        <w:footnoteRef/>
      </w:r>
      <w:r w:rsidRPr="0023467F">
        <w:t xml:space="preserve"> Penal Code of Tanzania, arts. 39 (treason), 40 (instigating invasion), 196-97 (murder)</w:t>
      </w:r>
      <w:r w:rsidR="00D6152A" w:rsidRPr="0023467F">
        <w:t xml:space="preserve"> (1945)</w:t>
      </w:r>
      <w:r w:rsidR="005311DC" w:rsidRPr="0023467F">
        <w:t>. Available online at https://www.refworld.org/docid/3ae6b5de0.html.</w:t>
      </w:r>
    </w:p>
  </w:footnote>
  <w:footnote w:id="8">
    <w:p w14:paraId="67E36FAD" w14:textId="1EC90DB0" w:rsidR="00C3307C" w:rsidRPr="0023467F" w:rsidRDefault="00C3307C" w:rsidP="0023467F">
      <w:pPr>
        <w:pStyle w:val="FootnoteText"/>
        <w:jc w:val="both"/>
      </w:pPr>
      <w:r w:rsidRPr="0023467F">
        <w:rPr>
          <w:rStyle w:val="FootnoteReference"/>
        </w:rPr>
        <w:footnoteRef/>
      </w:r>
      <w:r w:rsidRPr="0023467F">
        <w:t xml:space="preserve"> Id.</w:t>
      </w:r>
      <w:r w:rsidRPr="0023467F">
        <w:rPr>
          <w:i/>
          <w:iCs/>
        </w:rPr>
        <w:t xml:space="preserve"> </w:t>
      </w:r>
      <w:r w:rsidRPr="0023467F">
        <w:t>art. 197 (emphasis added).</w:t>
      </w:r>
    </w:p>
  </w:footnote>
  <w:footnote w:id="9">
    <w:p w14:paraId="14980519" w14:textId="77777777" w:rsidR="005274C5" w:rsidRPr="0023467F" w:rsidRDefault="005274C5" w:rsidP="0023467F">
      <w:pPr>
        <w:pStyle w:val="FootnoteText"/>
        <w:jc w:val="both"/>
      </w:pPr>
      <w:r w:rsidRPr="0023467F">
        <w:rPr>
          <w:rStyle w:val="FootnoteReference"/>
        </w:rPr>
        <w:footnoteRef/>
      </w:r>
      <w:r w:rsidRPr="0023467F">
        <w:t xml:space="preserve"> Penal Act of Zanzibar, art. 180, Act No. 6 of 2018, Mar. 16, 2018.</w:t>
      </w:r>
    </w:p>
  </w:footnote>
  <w:footnote w:id="10">
    <w:p w14:paraId="5E53F11A" w14:textId="237C4372" w:rsidR="00910E68" w:rsidRPr="0023467F" w:rsidRDefault="00910E68" w:rsidP="0023467F">
      <w:pPr>
        <w:pStyle w:val="FootnoteText"/>
        <w:jc w:val="both"/>
      </w:pPr>
      <w:r w:rsidRPr="0023467F">
        <w:rPr>
          <w:rStyle w:val="FootnoteReference"/>
        </w:rPr>
        <w:footnoteRef/>
      </w:r>
      <w:r w:rsidRPr="0023467F">
        <w:t xml:space="preserve"> Ibid.</w:t>
      </w:r>
    </w:p>
  </w:footnote>
  <w:footnote w:id="11">
    <w:p w14:paraId="6479B0F0" w14:textId="4F89BE96" w:rsidR="005274C5" w:rsidRPr="0023467F" w:rsidRDefault="005274C5" w:rsidP="0023467F">
      <w:pPr>
        <w:pStyle w:val="FootnoteText"/>
        <w:jc w:val="both"/>
      </w:pPr>
      <w:r w:rsidRPr="0023467F">
        <w:rPr>
          <w:rStyle w:val="FootnoteReference"/>
        </w:rPr>
        <w:footnoteRef/>
      </w:r>
      <w:r w:rsidRPr="0023467F">
        <w:t xml:space="preserve"> </w:t>
      </w:r>
      <w:proofErr w:type="spellStart"/>
      <w:r w:rsidRPr="0023467F">
        <w:t>Zuwena</w:t>
      </w:r>
      <w:proofErr w:type="spellEnd"/>
      <w:r w:rsidRPr="0023467F">
        <w:t xml:space="preserve"> Shame, </w:t>
      </w:r>
      <w:r w:rsidRPr="0023467F">
        <w:rPr>
          <w:i/>
          <w:iCs/>
        </w:rPr>
        <w:t>Society calls upon govt to amend the Penal Code</w:t>
      </w:r>
      <w:r w:rsidRPr="0023467F">
        <w:t xml:space="preserve">, IPP Media, </w:t>
      </w:r>
      <w:r w:rsidR="001F542D" w:rsidRPr="0023467F">
        <w:t>3 Oct. 2020, https://www.ippmedia.com/en/news/society-calls-upon-govt-amend-penal-code%C2%A0 (last visited 30 Dec. 2020).</w:t>
      </w:r>
    </w:p>
  </w:footnote>
  <w:footnote w:id="12">
    <w:p w14:paraId="1C93E32C" w14:textId="41884959" w:rsidR="005125E8" w:rsidRPr="0023467F" w:rsidRDefault="005125E8" w:rsidP="0023467F">
      <w:pPr>
        <w:pStyle w:val="FootnoteText"/>
        <w:jc w:val="both"/>
      </w:pPr>
      <w:r w:rsidRPr="0023467F">
        <w:rPr>
          <w:rStyle w:val="FootnoteReference"/>
        </w:rPr>
        <w:footnoteRef/>
      </w:r>
      <w:r w:rsidRPr="0023467F">
        <w:t xml:space="preserve"> Ally </w:t>
      </w:r>
      <w:proofErr w:type="spellStart"/>
      <w:r w:rsidRPr="0023467F">
        <w:t>Rajabu</w:t>
      </w:r>
      <w:proofErr w:type="spellEnd"/>
      <w:r w:rsidRPr="0023467F">
        <w:t xml:space="preserve"> and Others v. United Republic of Tanzania, Application No. 007-2015, Judgment on Merits and Reparations, Press Release,</w:t>
      </w:r>
      <w:r w:rsidR="008F3BC0" w:rsidRPr="0023467F">
        <w:t xml:space="preserve"> African Court on Human and Peoples’ Rights,</w:t>
      </w:r>
      <w:r w:rsidRPr="0023467F">
        <w:t xml:space="preserve"> 28 Nov. 2019,</w:t>
      </w:r>
      <w:r w:rsidR="008F3BC0" w:rsidRPr="0023467F">
        <w:t xml:space="preserve"> at 6,</w:t>
      </w:r>
      <w:r w:rsidRPr="0023467F">
        <w:t xml:space="preserve"> </w:t>
      </w:r>
      <w:r w:rsidR="008F3BC0" w:rsidRPr="0023467F">
        <w:t>https://www.african-court.org/en/images/Cases/Judgment/Judgment_Summary_Application_007-2015-Ally_Rajabu_and_Others_v_Tanzania_Final.pdf.</w:t>
      </w:r>
    </w:p>
  </w:footnote>
  <w:footnote w:id="13">
    <w:p w14:paraId="364D9A12" w14:textId="2740AB16" w:rsidR="00781E26" w:rsidRPr="0023467F" w:rsidRDefault="00781E26" w:rsidP="0023467F">
      <w:pPr>
        <w:pStyle w:val="FootnoteText"/>
        <w:jc w:val="both"/>
      </w:pPr>
      <w:r w:rsidRPr="0023467F">
        <w:rPr>
          <w:rStyle w:val="FootnoteReference"/>
        </w:rPr>
        <w:footnoteRef/>
      </w:r>
      <w:r w:rsidRPr="0023467F">
        <w:t xml:space="preserve"> Ibid.</w:t>
      </w:r>
    </w:p>
  </w:footnote>
  <w:footnote w:id="14">
    <w:p w14:paraId="2A25C8DA" w14:textId="24355AA9" w:rsidR="00A83D9E" w:rsidRPr="0023467F" w:rsidRDefault="00A83D9E" w:rsidP="0023467F">
      <w:pPr>
        <w:pStyle w:val="FootnoteText"/>
        <w:jc w:val="both"/>
      </w:pPr>
      <w:r w:rsidRPr="0023467F">
        <w:rPr>
          <w:rStyle w:val="FootnoteReference"/>
        </w:rPr>
        <w:footnoteRef/>
      </w:r>
      <w:r w:rsidRPr="0023467F">
        <w:t xml:space="preserve"> Id.</w:t>
      </w:r>
      <w:r w:rsidRPr="0023467F">
        <w:rPr>
          <w:i/>
          <w:iCs/>
        </w:rPr>
        <w:t xml:space="preserve"> </w:t>
      </w:r>
      <w:r w:rsidRPr="0023467F">
        <w:t>at 7</w:t>
      </w:r>
      <w:r w:rsidR="009A65DF" w:rsidRPr="0023467F">
        <w:t>, 9</w:t>
      </w:r>
      <w:r w:rsidRPr="0023467F">
        <w:t>.</w:t>
      </w:r>
    </w:p>
  </w:footnote>
  <w:footnote w:id="15">
    <w:p w14:paraId="10B90977" w14:textId="69B80B87" w:rsidR="0091680D" w:rsidRPr="0023467F" w:rsidRDefault="0091680D" w:rsidP="0023467F">
      <w:pPr>
        <w:pStyle w:val="FootnoteText"/>
        <w:jc w:val="both"/>
      </w:pPr>
      <w:r w:rsidRPr="0023467F">
        <w:rPr>
          <w:rStyle w:val="FootnoteReference"/>
        </w:rPr>
        <w:footnoteRef/>
      </w:r>
      <w:r w:rsidRPr="0023467F">
        <w:t xml:space="preserve"> Id. at 8.</w:t>
      </w:r>
    </w:p>
  </w:footnote>
  <w:footnote w:id="16">
    <w:p w14:paraId="49A352A8" w14:textId="159C7BCA" w:rsidR="00F17985" w:rsidRPr="0023467F" w:rsidRDefault="00F17985" w:rsidP="0023467F">
      <w:pPr>
        <w:pStyle w:val="FootnoteText"/>
        <w:jc w:val="both"/>
      </w:pPr>
      <w:r w:rsidRPr="0023467F">
        <w:rPr>
          <w:rStyle w:val="FootnoteReference"/>
        </w:rPr>
        <w:footnoteRef/>
      </w:r>
      <w:r w:rsidRPr="0023467F">
        <w:t xml:space="preserve"> Id. at 9.</w:t>
      </w:r>
    </w:p>
  </w:footnote>
  <w:footnote w:id="17">
    <w:p w14:paraId="2E56E3B8" w14:textId="00450F6A" w:rsidR="00083015" w:rsidRPr="0023467F" w:rsidRDefault="00083015" w:rsidP="0023467F">
      <w:pPr>
        <w:pStyle w:val="FootnoteText"/>
        <w:jc w:val="both"/>
      </w:pPr>
      <w:r w:rsidRPr="0023467F">
        <w:rPr>
          <w:rStyle w:val="FootnoteReference"/>
        </w:rPr>
        <w:footnoteRef/>
      </w:r>
      <w:r w:rsidRPr="0023467F">
        <w:t xml:space="preserve"> </w:t>
      </w:r>
      <w:proofErr w:type="spellStart"/>
      <w:r w:rsidRPr="0023467F">
        <w:t>Faustine</w:t>
      </w:r>
      <w:proofErr w:type="spellEnd"/>
      <w:r w:rsidRPr="0023467F">
        <w:t xml:space="preserve"> </w:t>
      </w:r>
      <w:proofErr w:type="spellStart"/>
      <w:r w:rsidRPr="0023467F">
        <w:t>Kapama</w:t>
      </w:r>
      <w:proofErr w:type="spellEnd"/>
      <w:r w:rsidRPr="0023467F">
        <w:t xml:space="preserve">, </w:t>
      </w:r>
      <w:r w:rsidRPr="0023467F">
        <w:rPr>
          <w:i/>
          <w:iCs/>
        </w:rPr>
        <w:t xml:space="preserve">Tanzania: State Unhappy </w:t>
      </w:r>
      <w:proofErr w:type="gramStart"/>
      <w:r w:rsidRPr="0023467F">
        <w:rPr>
          <w:i/>
          <w:iCs/>
        </w:rPr>
        <w:t>With</w:t>
      </w:r>
      <w:proofErr w:type="gramEnd"/>
      <w:r w:rsidRPr="0023467F">
        <w:rPr>
          <w:i/>
          <w:iCs/>
        </w:rPr>
        <w:t xml:space="preserve"> Death Penalty Ruling</w:t>
      </w:r>
      <w:r w:rsidRPr="0023467F">
        <w:t xml:space="preserve">, Tanzania Daily News, 30 Nov. 2019, available at </w:t>
      </w:r>
      <w:r w:rsidR="006229A4" w:rsidRPr="0023467F">
        <w:t>https://allafrica.com/stories/201911300077.html (last visited 30 Dec. 2020).</w:t>
      </w:r>
    </w:p>
  </w:footnote>
  <w:footnote w:id="18">
    <w:p w14:paraId="0503B0EA" w14:textId="1D368784" w:rsidR="00147FF9" w:rsidRPr="0023467F" w:rsidRDefault="00147FF9" w:rsidP="0023467F">
      <w:pPr>
        <w:pStyle w:val="FootnoteText"/>
        <w:jc w:val="both"/>
      </w:pPr>
      <w:r w:rsidRPr="0023467F">
        <w:rPr>
          <w:rStyle w:val="FootnoteReference"/>
        </w:rPr>
        <w:footnoteRef/>
      </w:r>
      <w:r w:rsidRPr="0023467F">
        <w:t xml:space="preserve"> </w:t>
      </w:r>
      <w:r w:rsidRPr="0023467F">
        <w:rPr>
          <w:i/>
          <w:iCs/>
        </w:rPr>
        <w:t xml:space="preserve">Tanzania: Withdrawal of individual rights to African Court will deepen </w:t>
      </w:r>
      <w:r w:rsidR="000F5128" w:rsidRPr="0023467F">
        <w:rPr>
          <w:i/>
          <w:iCs/>
        </w:rPr>
        <w:t>repression</w:t>
      </w:r>
      <w:r w:rsidR="000F5128" w:rsidRPr="0023467F">
        <w:t xml:space="preserve">, Amnesty International, 2 Dec. 2019, </w:t>
      </w:r>
      <w:r w:rsidR="00983E09" w:rsidRPr="0023467F">
        <w:t>https://www.amnesty.org/en/latest/news/2019/12/tanzania-withdrawal-of-individual-rights-to-african-court-will-deepen-repression/ (last visited 30 Dec. 2020)</w:t>
      </w:r>
      <w:r w:rsidR="00026377" w:rsidRPr="0023467F">
        <w:t xml:space="preserve">; </w:t>
      </w:r>
      <w:r w:rsidR="00F95C5D" w:rsidRPr="0023467F">
        <w:t xml:space="preserve">Death Sentences and Executions 2019, </w:t>
      </w:r>
      <w:r w:rsidR="00026377" w:rsidRPr="0023467F">
        <w:t xml:space="preserve">Amnesty International </w:t>
      </w:r>
      <w:r w:rsidR="00F95C5D" w:rsidRPr="0023467F">
        <w:t>(2020)</w:t>
      </w:r>
      <w:r w:rsidR="00026377" w:rsidRPr="0023467F">
        <w:t>, at 51 n. 146</w:t>
      </w:r>
      <w:r w:rsidR="00F95C5D" w:rsidRPr="0023467F">
        <w:t>, https://www.amnesty.org/download/Documents/ACT5018472020ENGLISH.PDF</w:t>
      </w:r>
      <w:r w:rsidR="00026377" w:rsidRPr="0023467F">
        <w:t>.</w:t>
      </w:r>
    </w:p>
  </w:footnote>
  <w:footnote w:id="19">
    <w:p w14:paraId="1F2A5A21" w14:textId="59AAE5E8" w:rsidR="00BF47D8" w:rsidRPr="0023467F" w:rsidRDefault="00BF47D8" w:rsidP="0023467F">
      <w:pPr>
        <w:pStyle w:val="FootnoteText"/>
        <w:jc w:val="both"/>
      </w:pPr>
      <w:r w:rsidRPr="0023467F">
        <w:rPr>
          <w:rStyle w:val="FootnoteReference"/>
        </w:rPr>
        <w:footnoteRef/>
      </w:r>
      <w:r w:rsidRPr="0023467F">
        <w:t xml:space="preserve"> </w:t>
      </w:r>
      <w:r w:rsidRPr="0023467F">
        <w:rPr>
          <w:i/>
          <w:iCs/>
        </w:rPr>
        <w:t>Africa: Positive death penalty decision undermined by continued executions</w:t>
      </w:r>
      <w:r w:rsidRPr="0023467F">
        <w:t xml:space="preserve">, Amnesty International, 10 Oct. 2020, </w:t>
      </w:r>
      <w:r w:rsidR="006E2BB0" w:rsidRPr="0023467F">
        <w:t>https://www.amnesty.org/en/latest/news/2020/10/africa-positive-death-penalty-decision-undermined-by-continued-executions/ (last visited 30 Dec. 2020).</w:t>
      </w:r>
    </w:p>
  </w:footnote>
  <w:footnote w:id="20">
    <w:p w14:paraId="70BCBE3C" w14:textId="6DA676C0" w:rsidR="000927E5" w:rsidRPr="0023467F" w:rsidRDefault="000927E5" w:rsidP="0023467F">
      <w:pPr>
        <w:pStyle w:val="FootnoteText"/>
        <w:jc w:val="both"/>
      </w:pPr>
      <w:r w:rsidRPr="0023467F">
        <w:rPr>
          <w:rStyle w:val="FootnoteReference"/>
        </w:rPr>
        <w:footnoteRef/>
      </w:r>
      <w:r w:rsidRPr="0023467F">
        <w:t xml:space="preserve"> Carmel Rickard, </w:t>
      </w:r>
      <w:r w:rsidRPr="0023467F">
        <w:rPr>
          <w:i/>
          <w:iCs/>
        </w:rPr>
        <w:t>Witchcraft trial adds 7 more to Tanzania’s death row</w:t>
      </w:r>
      <w:r w:rsidRPr="0023467F">
        <w:t xml:space="preserve">, </w:t>
      </w:r>
      <w:r w:rsidR="005B7D1F" w:rsidRPr="0023467F">
        <w:t xml:space="preserve">African </w:t>
      </w:r>
      <w:proofErr w:type="spellStart"/>
      <w:r w:rsidR="005B7D1F" w:rsidRPr="0023467F">
        <w:t>Lii</w:t>
      </w:r>
      <w:proofErr w:type="spellEnd"/>
      <w:r w:rsidR="00AD521C" w:rsidRPr="0023467F">
        <w:t xml:space="preserve">, </w:t>
      </w:r>
      <w:r w:rsidRPr="0023467F">
        <w:t xml:space="preserve">10 Oct. 2019, </w:t>
      </w:r>
      <w:r w:rsidR="00AD521C" w:rsidRPr="0023467F">
        <w:t xml:space="preserve">https://africanlii.org/article/20191010/witchcraft-trial-adds-7-more-tanzanias-death-row (last visited 30 Dec. 2020). </w:t>
      </w:r>
    </w:p>
  </w:footnote>
  <w:footnote w:id="21">
    <w:p w14:paraId="3B3C0BEE" w14:textId="45911BC6" w:rsidR="00801571" w:rsidRPr="0023467F" w:rsidRDefault="00801571" w:rsidP="0023467F">
      <w:pPr>
        <w:pStyle w:val="FootnoteText"/>
        <w:jc w:val="both"/>
      </w:pPr>
      <w:r w:rsidRPr="0023467F">
        <w:rPr>
          <w:rStyle w:val="FootnoteReference"/>
        </w:rPr>
        <w:footnoteRef/>
      </w:r>
      <w:r w:rsidRPr="0023467F">
        <w:t xml:space="preserve"> See</w:t>
      </w:r>
      <w:r w:rsidR="009978BD" w:rsidRPr="0023467F">
        <w:t xml:space="preserve"> </w:t>
      </w:r>
      <w:bookmarkStart w:id="1" w:name="_Hlk60241150"/>
      <w:r w:rsidR="009978BD" w:rsidRPr="0023467F">
        <w:t>Tanzania Human Rights Report 2018, Legal and Human Rights Centre &amp; Zanzibar Legal Services Centre,</w:t>
      </w:r>
      <w:r w:rsidR="00B97A57" w:rsidRPr="0023467F">
        <w:t xml:space="preserve"> at</w:t>
      </w:r>
      <w:r w:rsidR="00A93113" w:rsidRPr="0023467F">
        <w:t xml:space="preserve"> 21 (reporting five death sentences on the mainland),</w:t>
      </w:r>
      <w:r w:rsidR="00B97A57" w:rsidRPr="0023467F">
        <w:t xml:space="preserve"> 272 (reporting one death sentence in Zanzibar)</w:t>
      </w:r>
      <w:r w:rsidR="009978BD" w:rsidRPr="0023467F">
        <w:t xml:space="preserve"> (April 2019), </w:t>
      </w:r>
      <w:r w:rsidR="00FD6A7E" w:rsidRPr="0023467F">
        <w:t>https://www.humanrights.or.tz/assets/attachments/1557832171.pdf.</w:t>
      </w:r>
      <w:bookmarkEnd w:id="1"/>
    </w:p>
  </w:footnote>
  <w:footnote w:id="22">
    <w:p w14:paraId="5C257853" w14:textId="74B0BBF6" w:rsidR="00A221F4" w:rsidRPr="0023467F" w:rsidRDefault="00A221F4" w:rsidP="0023467F">
      <w:pPr>
        <w:pStyle w:val="FootnoteText"/>
        <w:jc w:val="both"/>
      </w:pPr>
      <w:r w:rsidRPr="0023467F">
        <w:rPr>
          <w:rStyle w:val="FootnoteReference"/>
        </w:rPr>
        <w:footnoteRef/>
      </w:r>
      <w:r w:rsidRPr="0023467F">
        <w:t xml:space="preserve"> Summary of the Tanzania Human Rights Report 2019, Legal and Human Rights Centre, at 5</w:t>
      </w:r>
      <w:r w:rsidR="004E4134" w:rsidRPr="0023467F">
        <w:t>-6</w:t>
      </w:r>
      <w:r w:rsidRPr="0023467F">
        <w:t xml:space="preserve"> (April 2020), </w:t>
      </w:r>
      <w:r w:rsidR="00384CC9" w:rsidRPr="0023467F">
        <w:t>https://www.humanrights.or.tz/assets/attachments/1588571531.pdf.</w:t>
      </w:r>
    </w:p>
  </w:footnote>
  <w:footnote w:id="23">
    <w:p w14:paraId="7FA56627" w14:textId="2FB232F2" w:rsidR="00C82BC6" w:rsidRPr="0023467F" w:rsidRDefault="00C82BC6" w:rsidP="0023467F">
      <w:pPr>
        <w:pStyle w:val="FootnoteText"/>
        <w:jc w:val="both"/>
      </w:pPr>
      <w:r w:rsidRPr="0023467F">
        <w:rPr>
          <w:rStyle w:val="FootnoteReference"/>
        </w:rPr>
        <w:footnoteRef/>
      </w:r>
      <w:r w:rsidRPr="0023467F">
        <w:t xml:space="preserve"> </w:t>
      </w:r>
      <w:proofErr w:type="spellStart"/>
      <w:r w:rsidRPr="0023467F">
        <w:rPr>
          <w:i/>
          <w:iCs/>
        </w:rPr>
        <w:t>Mvungi</w:t>
      </w:r>
      <w:proofErr w:type="spellEnd"/>
      <w:r w:rsidRPr="0023467F">
        <w:rPr>
          <w:i/>
          <w:iCs/>
        </w:rPr>
        <w:t xml:space="preserve"> murder: Five city residents sentenced to death</w:t>
      </w:r>
      <w:r w:rsidRPr="0023467F">
        <w:t>, The Citizen, 19 Sept. 2020</w:t>
      </w:r>
      <w:r w:rsidR="00713B5D" w:rsidRPr="0023467F">
        <w:t>, available at https://www.thecitizen.co.tz/news/Mvungi-murder--five-city-residents-sentenced-to-death/1840340-5625254-kjvtr4z/index.html (last visited 30 Dec. 2020).</w:t>
      </w:r>
    </w:p>
  </w:footnote>
  <w:footnote w:id="24">
    <w:p w14:paraId="30DABBCB" w14:textId="0D51906A" w:rsidR="007830DD" w:rsidRPr="0023467F" w:rsidRDefault="007830DD" w:rsidP="0023467F">
      <w:pPr>
        <w:pStyle w:val="FootnoteText"/>
        <w:jc w:val="both"/>
      </w:pPr>
      <w:r w:rsidRPr="0023467F">
        <w:rPr>
          <w:rStyle w:val="FootnoteReference"/>
        </w:rPr>
        <w:footnoteRef/>
      </w:r>
      <w:r w:rsidRPr="0023467F">
        <w:t xml:space="preserve"> </w:t>
      </w:r>
      <w:r w:rsidRPr="0023467F">
        <w:rPr>
          <w:i/>
          <w:iCs/>
        </w:rPr>
        <w:t xml:space="preserve">Four get death penalty for killing </w:t>
      </w:r>
      <w:proofErr w:type="spellStart"/>
      <w:r w:rsidRPr="0023467F">
        <w:rPr>
          <w:i/>
          <w:iCs/>
        </w:rPr>
        <w:t>Chadema</w:t>
      </w:r>
      <w:proofErr w:type="spellEnd"/>
      <w:r w:rsidRPr="0023467F">
        <w:rPr>
          <w:i/>
          <w:iCs/>
        </w:rPr>
        <w:t xml:space="preserve"> official</w:t>
      </w:r>
      <w:r w:rsidRPr="0023467F">
        <w:t xml:space="preserve">, The Citizen, 25 Dec. 2020, available at </w:t>
      </w:r>
      <w:r w:rsidR="00E62D08" w:rsidRPr="0023467F">
        <w:t>https://www.thecitizen.co.tz/tanzania/news/-four-get-death-penalty-for-killing-chadema-official-3239484 (last visited 30 Dec. 2020).</w:t>
      </w:r>
    </w:p>
  </w:footnote>
  <w:footnote w:id="25">
    <w:p w14:paraId="0D3B0F15" w14:textId="59B465D5" w:rsidR="00A44D60" w:rsidRPr="0023467F" w:rsidRDefault="00A44D60" w:rsidP="0023467F">
      <w:pPr>
        <w:pStyle w:val="FootnoteText"/>
        <w:jc w:val="both"/>
      </w:pPr>
      <w:r w:rsidRPr="0023467F">
        <w:rPr>
          <w:rStyle w:val="FootnoteReference"/>
        </w:rPr>
        <w:footnoteRef/>
      </w:r>
      <w:r w:rsidRPr="0023467F">
        <w:t xml:space="preserve"> </w:t>
      </w:r>
      <w:r w:rsidR="00CE59A6" w:rsidRPr="0023467F">
        <w:t>Report of the Working Group on the Universal Periodic Review, United Republic of The United Republic of Tanzania, 14 July 2016, A/HRC/32/12, ⁋ 137.26</w:t>
      </w:r>
      <w:r w:rsidR="00D35881" w:rsidRPr="0023467F">
        <w:t>-.3</w:t>
      </w:r>
      <w:r w:rsidR="00095DE5" w:rsidRPr="0023467F">
        <w:t>2</w:t>
      </w:r>
      <w:r w:rsidR="00D35881" w:rsidRPr="0023467F">
        <w:t>, .5</w:t>
      </w:r>
      <w:r w:rsidR="00A1593E" w:rsidRPr="0023467F">
        <w:t>4</w:t>
      </w:r>
      <w:r w:rsidR="00D35881" w:rsidRPr="0023467F">
        <w:t>-.62</w:t>
      </w:r>
      <w:r w:rsidR="00095DE5" w:rsidRPr="0023467F">
        <w:t>.</w:t>
      </w:r>
    </w:p>
  </w:footnote>
  <w:footnote w:id="26">
    <w:p w14:paraId="774150A4" w14:textId="0995521B" w:rsidR="0091386E" w:rsidRPr="0023467F" w:rsidRDefault="0091386E" w:rsidP="0023467F">
      <w:pPr>
        <w:pStyle w:val="FootnoteText"/>
        <w:jc w:val="both"/>
      </w:pPr>
      <w:r w:rsidRPr="0023467F">
        <w:rPr>
          <w:rStyle w:val="FootnoteReference"/>
        </w:rPr>
        <w:footnoteRef/>
      </w:r>
      <w:r w:rsidRPr="0023467F">
        <w:t xml:space="preserve"> Report of the Working Group on the Universal Periodic Review, United Republic of The United Republic of Tanzania, 14 July 2016, A/HRC/32/12, ⁋ 77.</w:t>
      </w:r>
    </w:p>
  </w:footnote>
  <w:footnote w:id="27">
    <w:p w14:paraId="71246DC7" w14:textId="2F706C3D" w:rsidR="00560651" w:rsidRPr="0023467F" w:rsidRDefault="00560651" w:rsidP="0023467F">
      <w:pPr>
        <w:pStyle w:val="FootnoteText"/>
        <w:jc w:val="both"/>
      </w:pPr>
      <w:r w:rsidRPr="0023467F">
        <w:rPr>
          <w:rStyle w:val="FootnoteReference"/>
        </w:rPr>
        <w:footnoteRef/>
      </w:r>
      <w:r w:rsidRPr="0023467F">
        <w:t xml:space="preserve"> </w:t>
      </w:r>
      <w:r w:rsidRPr="0023467F">
        <w:rPr>
          <w:i/>
          <w:iCs/>
        </w:rPr>
        <w:t>Death penalty in Tanzania</w:t>
      </w:r>
      <w:r w:rsidR="00E87E47" w:rsidRPr="0023467F">
        <w:rPr>
          <w:i/>
          <w:iCs/>
        </w:rPr>
        <w:t>: The story of pardoned death row inmates</w:t>
      </w:r>
      <w:r w:rsidR="00E87E47" w:rsidRPr="0023467F">
        <w:t>, Legal and Human Rights Center, 25 Oct. 2019, https://www.humanrights.or.tz/posts/b/news/death-penalty-in-tanzania-the-story-of-pardoned-death-row-inmates (last visited 30 Dec. 2020).</w:t>
      </w:r>
    </w:p>
  </w:footnote>
  <w:footnote w:id="28">
    <w:p w14:paraId="4714AF15" w14:textId="6D5F6DA1" w:rsidR="009C0FAC" w:rsidRPr="0023467F" w:rsidRDefault="009C0FAC" w:rsidP="0023467F">
      <w:pPr>
        <w:pStyle w:val="FootnoteText"/>
        <w:jc w:val="both"/>
      </w:pPr>
      <w:r w:rsidRPr="0023467F">
        <w:rPr>
          <w:rStyle w:val="FootnoteReference"/>
        </w:rPr>
        <w:footnoteRef/>
      </w:r>
      <w:r w:rsidRPr="0023467F">
        <w:t xml:space="preserve"> Ibid.</w:t>
      </w:r>
    </w:p>
  </w:footnote>
  <w:footnote w:id="29">
    <w:p w14:paraId="7188629E" w14:textId="4D4E9F78" w:rsidR="005D2855" w:rsidRPr="0023467F" w:rsidRDefault="005D2855" w:rsidP="0023467F">
      <w:pPr>
        <w:pStyle w:val="FootnoteText"/>
        <w:jc w:val="both"/>
      </w:pPr>
      <w:r w:rsidRPr="0023467F">
        <w:rPr>
          <w:rStyle w:val="FootnoteReference"/>
        </w:rPr>
        <w:footnoteRef/>
      </w:r>
      <w:r w:rsidRPr="0023467F">
        <w:t xml:space="preserve"> Summary of the Tanzania Human Rights Report 2019, Legal and Human Rights Centre, at 9 (April 2020), https://www.humanrights.or.tz/assets/attachments/1588571531.pdf.</w:t>
      </w:r>
    </w:p>
  </w:footnote>
  <w:footnote w:id="30">
    <w:p w14:paraId="5547D8AD" w14:textId="7E1947B6" w:rsidR="00F149CB" w:rsidRPr="0023467F" w:rsidRDefault="00F149CB" w:rsidP="0023467F">
      <w:pPr>
        <w:pStyle w:val="FootnoteText"/>
        <w:jc w:val="both"/>
      </w:pPr>
      <w:r w:rsidRPr="0023467F">
        <w:rPr>
          <w:rStyle w:val="FootnoteReference"/>
        </w:rPr>
        <w:footnoteRef/>
      </w:r>
      <w:r w:rsidRPr="0023467F">
        <w:t xml:space="preserve"> Tanzania Human Rights Report 2019</w:t>
      </w:r>
      <w:r w:rsidR="001B6D41" w:rsidRPr="0023467F">
        <w:t>, Legal and Human Rights Centre, a</w:t>
      </w:r>
      <w:r w:rsidRPr="0023467F">
        <w:t>t 46-47</w:t>
      </w:r>
      <w:r w:rsidR="001B6D41" w:rsidRPr="0023467F">
        <w:t xml:space="preserve"> (April 2020), https://www.humanrights.or.tz/assets/images/upload/files/Tanzania%20Human%20Rights%20%20Report%202019.pdf</w:t>
      </w:r>
      <w:r w:rsidRPr="0023467F">
        <w:t>.</w:t>
      </w:r>
    </w:p>
  </w:footnote>
  <w:footnote w:id="31">
    <w:p w14:paraId="1489E09F" w14:textId="77777777" w:rsidR="009153B9" w:rsidRPr="0023467F" w:rsidRDefault="009153B9" w:rsidP="0023467F">
      <w:pPr>
        <w:pStyle w:val="FootnoteText"/>
        <w:jc w:val="both"/>
      </w:pPr>
      <w:r w:rsidRPr="0023467F">
        <w:rPr>
          <w:rStyle w:val="FootnoteReference"/>
        </w:rPr>
        <w:footnoteRef/>
      </w:r>
      <w:r w:rsidRPr="0023467F">
        <w:t xml:space="preserve"> Summary of the Tanzania Human Rights Report 2019, Legal and Human Rights Centre, at 9 (April 2020), https://www.humanrights.or.tz/assets/attachments/1588571531.pdf.</w:t>
      </w:r>
    </w:p>
  </w:footnote>
  <w:footnote w:id="32">
    <w:p w14:paraId="3FCC7543" w14:textId="26CAA8D1" w:rsidR="006175B0" w:rsidRPr="0023467F" w:rsidRDefault="006175B0" w:rsidP="0023467F">
      <w:pPr>
        <w:pStyle w:val="FootnoteText"/>
        <w:jc w:val="both"/>
      </w:pPr>
      <w:r w:rsidRPr="0023467F">
        <w:rPr>
          <w:rStyle w:val="FootnoteReference"/>
        </w:rPr>
        <w:footnoteRef/>
      </w:r>
      <w:r w:rsidRPr="0023467F">
        <w:t xml:space="preserve"> Summary of the Tanzania Human Rights Report 2019, Legal and Human Rights Centre, at 10 (April 2020), https://www.humanrights.or.tz/assets/attachments/1588571531.pdf.</w:t>
      </w:r>
    </w:p>
  </w:footnote>
  <w:footnote w:id="33">
    <w:p w14:paraId="322C7382" w14:textId="4F0AA29B" w:rsidR="00D23380" w:rsidRPr="0023467F" w:rsidRDefault="00D23380" w:rsidP="0023467F">
      <w:pPr>
        <w:pStyle w:val="FootnoteText"/>
        <w:jc w:val="both"/>
      </w:pPr>
      <w:r w:rsidRPr="0023467F">
        <w:rPr>
          <w:rStyle w:val="FootnoteReference"/>
        </w:rPr>
        <w:footnoteRef/>
      </w:r>
      <w:r w:rsidRPr="0023467F">
        <w:t xml:space="preserve"> Tanzania Human Rights Report 2018, Legal and Human Rights Centre &amp; Zanzibar Legal Services Centre, at 50 (April 2019), https://www.humanrights.or.tz/assets/attachments/1557832171.pdf.</w:t>
      </w:r>
    </w:p>
  </w:footnote>
  <w:footnote w:id="34">
    <w:p w14:paraId="4CF47B70" w14:textId="1E2CB082" w:rsidR="00620ED1" w:rsidRPr="0023467F" w:rsidRDefault="00620ED1" w:rsidP="0023467F">
      <w:pPr>
        <w:pStyle w:val="FootnoteText"/>
        <w:jc w:val="both"/>
      </w:pPr>
      <w:r w:rsidRPr="0023467F">
        <w:rPr>
          <w:rStyle w:val="FootnoteReference"/>
        </w:rPr>
        <w:footnoteRef/>
      </w:r>
      <w:r w:rsidRPr="0023467F">
        <w:t xml:space="preserve"> United States Bureau of Democracy, Human Rights and Labor, </w:t>
      </w:r>
      <w:r w:rsidRPr="0023467F">
        <w:rPr>
          <w:i/>
          <w:iCs/>
        </w:rPr>
        <w:t xml:space="preserve">2019 Country Reports on Human Rights Practices: Tanzania, </w:t>
      </w:r>
      <w:r w:rsidRPr="0023467F">
        <w:t>(Washington D.C.: United States Department of State, 2019), at 9-10. Also available online at https://www.state.gov/reports/2019-country-reports-on-human-rights-practices/tanzania/.</w:t>
      </w:r>
    </w:p>
  </w:footnote>
  <w:footnote w:id="35">
    <w:p w14:paraId="35021B58" w14:textId="6D85C404" w:rsidR="00AD621D" w:rsidRPr="0023467F" w:rsidRDefault="00AD621D" w:rsidP="0023467F">
      <w:pPr>
        <w:pStyle w:val="FootnoteText"/>
        <w:jc w:val="both"/>
      </w:pPr>
      <w:r w:rsidRPr="0023467F">
        <w:rPr>
          <w:rStyle w:val="FootnoteReference"/>
        </w:rPr>
        <w:footnoteRef/>
      </w:r>
      <w:r w:rsidRPr="0023467F">
        <w:t xml:space="preserve"> Constitution of the United Republic of Tanzania, art. 13.6.e.</w:t>
      </w:r>
    </w:p>
  </w:footnote>
  <w:footnote w:id="36">
    <w:p w14:paraId="5C8EC808" w14:textId="6E57BD41" w:rsidR="00EF6E76" w:rsidRPr="0023467F" w:rsidRDefault="00EF6E76" w:rsidP="0023467F">
      <w:pPr>
        <w:jc w:val="both"/>
      </w:pPr>
      <w:r w:rsidRPr="0023467F">
        <w:rPr>
          <w:rStyle w:val="FootnoteReference"/>
        </w:rPr>
        <w:footnoteRef/>
      </w:r>
      <w:r w:rsidRPr="0023467F">
        <w:t xml:space="preserve"> </w:t>
      </w:r>
      <w:r w:rsidR="00562800" w:rsidRPr="0023467F">
        <w:t xml:space="preserve">United States Bureau of Democracy, Human Rights and Labor, </w:t>
      </w:r>
      <w:r w:rsidR="00562800" w:rsidRPr="0023467F">
        <w:rPr>
          <w:i/>
          <w:iCs/>
        </w:rPr>
        <w:t xml:space="preserve">2019 Country Reports on Human Rights Practices: Tanzania, </w:t>
      </w:r>
      <w:r w:rsidR="00562800" w:rsidRPr="0023467F">
        <w:t>(Washington D.C.: United States Department of State, 2019), at 3. Also available online at https://www.state.gov/reports/2019-country-reports-on-human-rights-practices/tanzania/.</w:t>
      </w:r>
    </w:p>
  </w:footnote>
  <w:footnote w:id="37">
    <w:p w14:paraId="10742866" w14:textId="0D71F4BF" w:rsidR="00B504D2" w:rsidRPr="0023467F" w:rsidRDefault="00B504D2" w:rsidP="0023467F">
      <w:pPr>
        <w:pStyle w:val="FootnoteText"/>
        <w:jc w:val="both"/>
      </w:pPr>
      <w:r w:rsidRPr="0023467F">
        <w:rPr>
          <w:rStyle w:val="FootnoteReference"/>
        </w:rPr>
        <w:footnoteRef/>
      </w:r>
      <w:r w:rsidRPr="0023467F">
        <w:t xml:space="preserve"> 2009 Concluding Observations, ⁋ 14.</w:t>
      </w:r>
    </w:p>
  </w:footnote>
  <w:footnote w:id="38">
    <w:p w14:paraId="2C2AE722" w14:textId="56F809DE" w:rsidR="00DF7A24" w:rsidRPr="0023467F" w:rsidRDefault="00DF7A24" w:rsidP="0023467F">
      <w:pPr>
        <w:pStyle w:val="FootnoteText"/>
        <w:jc w:val="both"/>
      </w:pPr>
      <w:r w:rsidRPr="0023467F">
        <w:rPr>
          <w:rStyle w:val="FootnoteReference"/>
        </w:rPr>
        <w:footnoteRef/>
      </w:r>
      <w:r w:rsidRPr="0023467F">
        <w:t xml:space="preserve"> 2009 Concluding Observations, ⁋ 14.</w:t>
      </w:r>
    </w:p>
  </w:footnote>
  <w:footnote w:id="39">
    <w:p w14:paraId="6DB81BA0" w14:textId="64608B30" w:rsidR="00256B7D" w:rsidRPr="0023467F" w:rsidRDefault="00256B7D" w:rsidP="0023467F">
      <w:pPr>
        <w:pStyle w:val="FootnoteText"/>
        <w:jc w:val="both"/>
      </w:pPr>
      <w:r w:rsidRPr="0023467F">
        <w:rPr>
          <w:rStyle w:val="FootnoteReference"/>
        </w:rPr>
        <w:footnoteRef/>
      </w:r>
      <w:r w:rsidRPr="0023467F">
        <w:t xml:space="preserve"> </w:t>
      </w:r>
      <w:r w:rsidR="000E3F53" w:rsidRPr="0023467F">
        <w:t>Summary of the Tanzania Human Rights Report 2019, Legal and Human Rights Centre, at 5 (April 2020), https://www.humanrights.or.tz/assets/attachments/1588571531.pdf.</w:t>
      </w:r>
    </w:p>
  </w:footnote>
  <w:footnote w:id="40">
    <w:p w14:paraId="27778C69" w14:textId="689935C6" w:rsidR="00BF39CB" w:rsidRPr="0023467F" w:rsidRDefault="00BF39CB" w:rsidP="0023467F">
      <w:pPr>
        <w:pStyle w:val="FootnoteText"/>
        <w:jc w:val="both"/>
      </w:pPr>
      <w:r w:rsidRPr="0023467F">
        <w:rPr>
          <w:rStyle w:val="FootnoteReference"/>
        </w:rPr>
        <w:footnoteRef/>
      </w:r>
      <w:r w:rsidRPr="0023467F">
        <w:t xml:space="preserve"> Death Sentences and Executions 2019, Amnesty International (2020), at 44-45, https://www.amnesty.org/download/Documents/ACT5018472020ENGLISH.PDF.</w:t>
      </w:r>
    </w:p>
  </w:footnote>
  <w:footnote w:id="41">
    <w:p w14:paraId="5781A2A5" w14:textId="77777777" w:rsidR="00FE33F5" w:rsidRPr="0023467F" w:rsidRDefault="00FE33F5" w:rsidP="0023467F">
      <w:pPr>
        <w:pStyle w:val="FootnoteText"/>
        <w:jc w:val="both"/>
      </w:pPr>
      <w:r w:rsidRPr="0023467F">
        <w:rPr>
          <w:rStyle w:val="FootnoteReference"/>
        </w:rPr>
        <w:footnoteRef/>
      </w:r>
      <w:r w:rsidRPr="0023467F">
        <w:t xml:space="preserve"> Summary of the Tanzania Human Rights Report 2019, Legal and Human Rights Centre, at 9 (April 2020), https://www.humanrights.or.tz/assets/attachments/1588571531.pdf.</w:t>
      </w:r>
    </w:p>
  </w:footnote>
  <w:footnote w:id="42">
    <w:p w14:paraId="5862FB0F" w14:textId="341A7B04" w:rsidR="00B073F0" w:rsidRPr="0023467F" w:rsidRDefault="00B073F0" w:rsidP="0023467F">
      <w:pPr>
        <w:pStyle w:val="FootnoteText"/>
        <w:jc w:val="both"/>
      </w:pPr>
      <w:r w:rsidRPr="0023467F">
        <w:rPr>
          <w:rStyle w:val="FootnoteReference"/>
        </w:rPr>
        <w:footnoteRef/>
      </w:r>
      <w:r w:rsidRPr="0023467F">
        <w:t xml:space="preserve"> </w:t>
      </w:r>
      <w:r w:rsidR="00574766" w:rsidRPr="0023467F">
        <w:t xml:space="preserve">Kizito </w:t>
      </w:r>
      <w:proofErr w:type="spellStart"/>
      <w:r w:rsidR="00574766" w:rsidRPr="0023467F">
        <w:t>Makoye</w:t>
      </w:r>
      <w:proofErr w:type="spellEnd"/>
      <w:r w:rsidR="00574766" w:rsidRPr="0023467F">
        <w:t xml:space="preserve">, </w:t>
      </w:r>
      <w:r w:rsidR="00574766" w:rsidRPr="0023467F">
        <w:rPr>
          <w:i/>
          <w:iCs/>
        </w:rPr>
        <w:t>Tanzania commutes death sentences of 256 convicts</w:t>
      </w:r>
      <w:r w:rsidR="00574766" w:rsidRPr="0023467F">
        <w:t>, Anadolu Agency, 9 Dec. 2020, https://www.aa.com.tr/en/africa/tanzania-commutes-death-sentences-of-256-convicts/2071191 (last visited 30 Dec. 2020).</w:t>
      </w:r>
    </w:p>
  </w:footnote>
  <w:footnote w:id="43">
    <w:p w14:paraId="618FBCCC" w14:textId="69DA1AFB" w:rsidR="0019671F" w:rsidRPr="0023467F" w:rsidRDefault="0019671F" w:rsidP="0023467F">
      <w:pPr>
        <w:pStyle w:val="FootnoteText"/>
        <w:jc w:val="both"/>
      </w:pPr>
      <w:r w:rsidRPr="0023467F">
        <w:rPr>
          <w:rStyle w:val="FootnoteReference"/>
        </w:rPr>
        <w:footnoteRef/>
      </w:r>
      <w:r w:rsidRPr="0023467F">
        <w:t xml:space="preserve"> </w:t>
      </w:r>
      <w:r w:rsidRPr="0023467F">
        <w:rPr>
          <w:i/>
          <w:iCs/>
        </w:rPr>
        <w:t>Death penalty in Tanzania: The story of pardoned death row inmates</w:t>
      </w:r>
      <w:r w:rsidRPr="0023467F">
        <w:t>, Legal and Human Rights Center, 25 Oct. 2019, https://www.humanrights.or.tz/posts/b/news/death-penalty-in-tanzania-the-story-of-pardoned-death-row-inmates (last visited 30 Dec. 2020).</w:t>
      </w:r>
    </w:p>
  </w:footnote>
  <w:footnote w:id="44">
    <w:p w14:paraId="3FDB3A70" w14:textId="09AD77B5" w:rsidR="00EA13EF" w:rsidRPr="0023467F" w:rsidRDefault="00EA13EF" w:rsidP="0023467F">
      <w:pPr>
        <w:pStyle w:val="FootnoteText"/>
        <w:jc w:val="both"/>
      </w:pPr>
      <w:r w:rsidRPr="0023467F">
        <w:rPr>
          <w:rStyle w:val="FootnoteReference"/>
        </w:rPr>
        <w:footnoteRef/>
      </w:r>
      <w:r w:rsidRPr="0023467F">
        <w:t xml:space="preserve"> Ibid.</w:t>
      </w:r>
    </w:p>
  </w:footnote>
  <w:footnote w:id="45">
    <w:p w14:paraId="06665E1C" w14:textId="43606446" w:rsidR="007010C6" w:rsidRPr="0023467F" w:rsidRDefault="007010C6" w:rsidP="0023467F">
      <w:pPr>
        <w:jc w:val="both"/>
        <w:rPr>
          <w:i/>
          <w:iCs/>
        </w:rPr>
      </w:pPr>
      <w:r w:rsidRPr="0023467F">
        <w:rPr>
          <w:rStyle w:val="FootnoteReference"/>
        </w:rPr>
        <w:footnoteRef/>
      </w:r>
      <w:r w:rsidRPr="0023467F">
        <w:t xml:space="preserve"> United States Bureau of Democracy, Human Rights and Labor, </w:t>
      </w:r>
      <w:r w:rsidRPr="0023467F">
        <w:rPr>
          <w:i/>
          <w:iCs/>
        </w:rPr>
        <w:t xml:space="preserve">2019 Country Reports on Human Rights Practices: Tanzania, </w:t>
      </w:r>
      <w:r w:rsidRPr="0023467F">
        <w:t>(Washington D.C.: United States Department of State, 2019), at 3. Also available online at https://www.state.gov/reports/2019-country-reports-on-human-rights-practices/tanzania/.</w:t>
      </w:r>
    </w:p>
  </w:footnote>
  <w:footnote w:id="46">
    <w:p w14:paraId="5295C4BE" w14:textId="2F7E66EF" w:rsidR="00F04939" w:rsidRPr="0023467F" w:rsidRDefault="00F04939" w:rsidP="0023467F">
      <w:pPr>
        <w:pStyle w:val="FootnoteText"/>
        <w:jc w:val="both"/>
      </w:pPr>
      <w:r w:rsidRPr="0023467F">
        <w:rPr>
          <w:rStyle w:val="FootnoteReference"/>
        </w:rPr>
        <w:footnoteRef/>
      </w:r>
      <w:r w:rsidRPr="0023467F">
        <w:t xml:space="preserve"> Id.</w:t>
      </w:r>
      <w:r w:rsidRPr="0023467F">
        <w:rPr>
          <w:i/>
          <w:iCs/>
        </w:rPr>
        <w:t xml:space="preserve"> </w:t>
      </w:r>
      <w:r w:rsidRPr="0023467F">
        <w:t>at 4.</w:t>
      </w:r>
    </w:p>
  </w:footnote>
  <w:footnote w:id="47">
    <w:p w14:paraId="31158BD9" w14:textId="332A28DB" w:rsidR="00790139" w:rsidRPr="0023467F" w:rsidRDefault="00790139" w:rsidP="0023467F">
      <w:pPr>
        <w:pStyle w:val="FootnoteText"/>
        <w:jc w:val="both"/>
      </w:pPr>
      <w:r w:rsidRPr="0023467F">
        <w:rPr>
          <w:rStyle w:val="FootnoteReference"/>
        </w:rPr>
        <w:footnoteRef/>
      </w:r>
      <w:r w:rsidRPr="0023467F">
        <w:t xml:space="preserve"> Ibid.</w:t>
      </w:r>
    </w:p>
  </w:footnote>
  <w:footnote w:id="48">
    <w:p w14:paraId="545EF638" w14:textId="6574FAF2" w:rsidR="007E4829" w:rsidRPr="0023467F" w:rsidRDefault="007E4829" w:rsidP="0023467F">
      <w:pPr>
        <w:pStyle w:val="FootnoteText"/>
        <w:jc w:val="both"/>
      </w:pPr>
      <w:r w:rsidRPr="0023467F">
        <w:rPr>
          <w:rStyle w:val="FootnoteReference"/>
        </w:rPr>
        <w:footnoteRef/>
      </w:r>
      <w:r w:rsidRPr="0023467F">
        <w:t xml:space="preserve"> Ibid.</w:t>
      </w:r>
    </w:p>
  </w:footnote>
  <w:footnote w:id="49">
    <w:p w14:paraId="0DA6772E" w14:textId="106083E5" w:rsidR="00880888" w:rsidRPr="0023467F" w:rsidRDefault="00880888" w:rsidP="0023467F">
      <w:pPr>
        <w:pStyle w:val="FootnoteText"/>
        <w:jc w:val="both"/>
      </w:pPr>
      <w:r w:rsidRPr="0023467F">
        <w:rPr>
          <w:rStyle w:val="FootnoteReference"/>
        </w:rPr>
        <w:footnoteRef/>
      </w:r>
      <w:r w:rsidRPr="0023467F">
        <w:t xml:space="preserve"> Ibid.</w:t>
      </w:r>
    </w:p>
  </w:footnote>
  <w:footnote w:id="50">
    <w:p w14:paraId="3DAFF757" w14:textId="568A8558" w:rsidR="00931144" w:rsidRPr="0023467F" w:rsidRDefault="00931144" w:rsidP="0023467F">
      <w:pPr>
        <w:pStyle w:val="FootnoteText"/>
        <w:jc w:val="both"/>
      </w:pPr>
      <w:r w:rsidRPr="0023467F">
        <w:rPr>
          <w:rStyle w:val="FootnoteReference"/>
        </w:rPr>
        <w:footnoteRef/>
      </w:r>
      <w:r w:rsidRPr="0023467F">
        <w:t xml:space="preserve"> 2009 Concluding Observations, ⁋ 14.</w:t>
      </w:r>
    </w:p>
  </w:footnote>
  <w:footnote w:id="51">
    <w:p w14:paraId="1E0BD47C" w14:textId="27C6E551" w:rsidR="00195ED6" w:rsidRPr="0023467F" w:rsidRDefault="00195ED6" w:rsidP="0023467F">
      <w:pPr>
        <w:pStyle w:val="FootnoteText"/>
        <w:jc w:val="both"/>
      </w:pPr>
      <w:r w:rsidRPr="0023467F">
        <w:rPr>
          <w:rStyle w:val="FootnoteReference"/>
        </w:rPr>
        <w:footnoteRef/>
      </w:r>
      <w:r w:rsidRPr="0023467F">
        <w:t xml:space="preserve"> 2009 Concluding Observations, ⁋ 14.</w:t>
      </w:r>
    </w:p>
  </w:footnote>
  <w:footnote w:id="52">
    <w:p w14:paraId="4BCD327E" w14:textId="4C2D72FF" w:rsidR="009B4514" w:rsidRPr="0023467F" w:rsidRDefault="009B4514" w:rsidP="0023467F">
      <w:pPr>
        <w:pStyle w:val="FootnoteText"/>
        <w:jc w:val="both"/>
      </w:pPr>
      <w:r w:rsidRPr="0023467F">
        <w:rPr>
          <w:rStyle w:val="FootnoteReference"/>
        </w:rPr>
        <w:footnoteRef/>
      </w:r>
      <w:r w:rsidRPr="0023467F">
        <w:t xml:space="preserve"> </w:t>
      </w:r>
      <w:r w:rsidR="00005D6E" w:rsidRPr="0023467F">
        <w:t xml:space="preserve">See, </w:t>
      </w:r>
      <w:r w:rsidR="00005D6E" w:rsidRPr="0023467F">
        <w:rPr>
          <w:i/>
          <w:iCs/>
        </w:rPr>
        <w:t>e.g.</w:t>
      </w:r>
      <w:r w:rsidR="00005D6E" w:rsidRPr="0023467F">
        <w:t xml:space="preserve">, Omari Issa </w:t>
      </w:r>
      <w:proofErr w:type="spellStart"/>
      <w:r w:rsidR="00005D6E" w:rsidRPr="0023467F">
        <w:t>Ndamungu</w:t>
      </w:r>
      <w:proofErr w:type="spellEnd"/>
      <w:r w:rsidR="00005D6E" w:rsidRPr="0023467F">
        <w:t xml:space="preserve">, </w:t>
      </w:r>
      <w:r w:rsidR="009C4D37" w:rsidRPr="0023467F">
        <w:rPr>
          <w:i/>
          <w:iCs/>
        </w:rPr>
        <w:t>The Paradox of the Presidential Power of Pardon: Tanzania in Perspective</w:t>
      </w:r>
      <w:r w:rsidR="009C4D37" w:rsidRPr="0023467F">
        <w:t xml:space="preserve">, 10 Int’l J. of Sci &amp; </w:t>
      </w:r>
      <w:proofErr w:type="spellStart"/>
      <w:r w:rsidR="009C4D37" w:rsidRPr="0023467F">
        <w:t>Rsrch</w:t>
      </w:r>
      <w:proofErr w:type="spellEnd"/>
      <w:r w:rsidR="009C4D37" w:rsidRPr="0023467F">
        <w:t xml:space="preserve"> Pubs.</w:t>
      </w:r>
      <w:r w:rsidR="00662763" w:rsidRPr="0023467F">
        <w:t xml:space="preserve"> 197,</w:t>
      </w:r>
      <w:r w:rsidR="00005D6E" w:rsidRPr="0023467F">
        <w:t xml:space="preserve"> 209-</w:t>
      </w:r>
      <w:r w:rsidR="00CE64AC" w:rsidRPr="0023467F">
        <w:t>1</w:t>
      </w:r>
      <w:r w:rsidR="009B1578" w:rsidRPr="0023467F">
        <w:t>5</w:t>
      </w:r>
      <w:r w:rsidR="00662763" w:rsidRPr="0023467F">
        <w:t xml:space="preserve"> (Sept. 2020), available at </w:t>
      </w:r>
      <w:r w:rsidR="0082511A" w:rsidRPr="0023467F">
        <w:t>https://www.researchgate.net/publication/346139886_The_Paradox_Of_The_Presidential_Power_Of_Pardon_Tanzania_In_Perspective</w:t>
      </w:r>
      <w:r w:rsidR="0082511A" w:rsidRPr="0023467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B9C4" w14:textId="77777777" w:rsidR="00804604" w:rsidRDefault="0080460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A61E" w14:textId="78A0980D" w:rsidR="00804604" w:rsidRDefault="001E2A05">
    <w:pPr>
      <w:pStyle w:val="Header"/>
    </w:pPr>
    <w:r>
      <w:rPr>
        <w:noProof/>
      </w:rPr>
      <w:drawing>
        <wp:anchor distT="0" distB="0" distL="114300" distR="114300" simplePos="0" relativeHeight="251660289" behindDoc="0" locked="0" layoutInCell="1" allowOverlap="1" wp14:anchorId="3D206323" wp14:editId="325EE7A4">
          <wp:simplePos x="0" y="0"/>
          <wp:positionH relativeFrom="column">
            <wp:posOffset>2409825</wp:posOffset>
          </wp:positionH>
          <wp:positionV relativeFrom="paragraph">
            <wp:posOffset>-116205</wp:posOffset>
          </wp:positionV>
          <wp:extent cx="1203960" cy="10465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04656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5" behindDoc="1" locked="0" layoutInCell="1" allowOverlap="1" wp14:anchorId="786ECF8E" wp14:editId="33F45E30">
          <wp:simplePos x="0" y="0"/>
          <wp:positionH relativeFrom="column">
            <wp:posOffset>142240</wp:posOffset>
          </wp:positionH>
          <wp:positionV relativeFrom="paragraph">
            <wp:posOffset>0</wp:posOffset>
          </wp:positionV>
          <wp:extent cx="1609725" cy="722630"/>
          <wp:effectExtent l="0" t="0" r="9525" b="1270"/>
          <wp:wrapTight wrapText="bothSides">
            <wp:wrapPolygon edited="0">
              <wp:start x="0" y="0"/>
              <wp:lineTo x="0" y="21069"/>
              <wp:lineTo x="21472" y="21069"/>
              <wp:lineTo x="2147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9725" cy="722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D6B70F1" wp14:editId="31B4079C">
          <wp:simplePos x="0" y="0"/>
          <wp:positionH relativeFrom="column">
            <wp:posOffset>4083050</wp:posOffset>
          </wp:positionH>
          <wp:positionV relativeFrom="paragraph">
            <wp:posOffset>-49530</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3"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5D6E"/>
    <w:rsid w:val="000124D0"/>
    <w:rsid w:val="0001749F"/>
    <w:rsid w:val="00026377"/>
    <w:rsid w:val="00030F59"/>
    <w:rsid w:val="00033626"/>
    <w:rsid w:val="000342B6"/>
    <w:rsid w:val="00046377"/>
    <w:rsid w:val="00056CF5"/>
    <w:rsid w:val="0005765F"/>
    <w:rsid w:val="000734A4"/>
    <w:rsid w:val="0008238F"/>
    <w:rsid w:val="00083015"/>
    <w:rsid w:val="00085935"/>
    <w:rsid w:val="0009097D"/>
    <w:rsid w:val="000910FC"/>
    <w:rsid w:val="000927E5"/>
    <w:rsid w:val="00095DE5"/>
    <w:rsid w:val="0009644E"/>
    <w:rsid w:val="000A1F17"/>
    <w:rsid w:val="000A66B8"/>
    <w:rsid w:val="000B042D"/>
    <w:rsid w:val="000B4DB3"/>
    <w:rsid w:val="000C380B"/>
    <w:rsid w:val="000C6340"/>
    <w:rsid w:val="000D4113"/>
    <w:rsid w:val="000D6EA5"/>
    <w:rsid w:val="000E1DDC"/>
    <w:rsid w:val="000E3F53"/>
    <w:rsid w:val="000F1E67"/>
    <w:rsid w:val="000F3447"/>
    <w:rsid w:val="000F5128"/>
    <w:rsid w:val="000F56E0"/>
    <w:rsid w:val="000F69AF"/>
    <w:rsid w:val="001008D1"/>
    <w:rsid w:val="00100DB9"/>
    <w:rsid w:val="00111994"/>
    <w:rsid w:val="00115CEF"/>
    <w:rsid w:val="001215B4"/>
    <w:rsid w:val="00134340"/>
    <w:rsid w:val="00134835"/>
    <w:rsid w:val="001354A4"/>
    <w:rsid w:val="00136514"/>
    <w:rsid w:val="00143423"/>
    <w:rsid w:val="00147EA4"/>
    <w:rsid w:val="00147FF9"/>
    <w:rsid w:val="001565F9"/>
    <w:rsid w:val="00160BDA"/>
    <w:rsid w:val="0016638A"/>
    <w:rsid w:val="0016725D"/>
    <w:rsid w:val="00172ACF"/>
    <w:rsid w:val="00173174"/>
    <w:rsid w:val="00173BFE"/>
    <w:rsid w:val="00175041"/>
    <w:rsid w:val="00181B2A"/>
    <w:rsid w:val="00185573"/>
    <w:rsid w:val="0018642B"/>
    <w:rsid w:val="00187EE4"/>
    <w:rsid w:val="00195ED6"/>
    <w:rsid w:val="0019671F"/>
    <w:rsid w:val="001A0033"/>
    <w:rsid w:val="001A29DD"/>
    <w:rsid w:val="001A356A"/>
    <w:rsid w:val="001A59C1"/>
    <w:rsid w:val="001A5ED5"/>
    <w:rsid w:val="001A7AF4"/>
    <w:rsid w:val="001B1AC4"/>
    <w:rsid w:val="001B27D7"/>
    <w:rsid w:val="001B46C2"/>
    <w:rsid w:val="001B5E1E"/>
    <w:rsid w:val="001B6D41"/>
    <w:rsid w:val="001B799A"/>
    <w:rsid w:val="001C42EB"/>
    <w:rsid w:val="001C4570"/>
    <w:rsid w:val="001C4ADE"/>
    <w:rsid w:val="001D4D68"/>
    <w:rsid w:val="001E075E"/>
    <w:rsid w:val="001E1BB1"/>
    <w:rsid w:val="001E2A05"/>
    <w:rsid w:val="001E2FFF"/>
    <w:rsid w:val="001E7A9F"/>
    <w:rsid w:val="001F542D"/>
    <w:rsid w:val="001F6EFE"/>
    <w:rsid w:val="002079ED"/>
    <w:rsid w:val="0021388A"/>
    <w:rsid w:val="00220D48"/>
    <w:rsid w:val="0023467F"/>
    <w:rsid w:val="00235F5A"/>
    <w:rsid w:val="00237C8C"/>
    <w:rsid w:val="00241595"/>
    <w:rsid w:val="00242F64"/>
    <w:rsid w:val="002439A3"/>
    <w:rsid w:val="00243C21"/>
    <w:rsid w:val="00243E14"/>
    <w:rsid w:val="002466DC"/>
    <w:rsid w:val="002506B5"/>
    <w:rsid w:val="00255789"/>
    <w:rsid w:val="00256B7D"/>
    <w:rsid w:val="00264ABB"/>
    <w:rsid w:val="00266AA3"/>
    <w:rsid w:val="002670AF"/>
    <w:rsid w:val="00270855"/>
    <w:rsid w:val="00272519"/>
    <w:rsid w:val="002734D9"/>
    <w:rsid w:val="002773AD"/>
    <w:rsid w:val="0028192C"/>
    <w:rsid w:val="00282223"/>
    <w:rsid w:val="00287B90"/>
    <w:rsid w:val="00291BE8"/>
    <w:rsid w:val="002A0797"/>
    <w:rsid w:val="002A1D0F"/>
    <w:rsid w:val="002A4838"/>
    <w:rsid w:val="002A6373"/>
    <w:rsid w:val="002A7457"/>
    <w:rsid w:val="002C3854"/>
    <w:rsid w:val="002C57BC"/>
    <w:rsid w:val="002D36C6"/>
    <w:rsid w:val="002D5CB4"/>
    <w:rsid w:val="002E34EA"/>
    <w:rsid w:val="002E5288"/>
    <w:rsid w:val="00311DF1"/>
    <w:rsid w:val="00314E73"/>
    <w:rsid w:val="00315BDD"/>
    <w:rsid w:val="00315C53"/>
    <w:rsid w:val="00322CB1"/>
    <w:rsid w:val="0032738D"/>
    <w:rsid w:val="003365AF"/>
    <w:rsid w:val="003369A6"/>
    <w:rsid w:val="00340484"/>
    <w:rsid w:val="00344140"/>
    <w:rsid w:val="00344556"/>
    <w:rsid w:val="00345B90"/>
    <w:rsid w:val="00346FD8"/>
    <w:rsid w:val="00352326"/>
    <w:rsid w:val="0035378E"/>
    <w:rsid w:val="0035424D"/>
    <w:rsid w:val="003623EA"/>
    <w:rsid w:val="00364E1E"/>
    <w:rsid w:val="003658F1"/>
    <w:rsid w:val="00381099"/>
    <w:rsid w:val="00383DBA"/>
    <w:rsid w:val="00384CC9"/>
    <w:rsid w:val="0038708A"/>
    <w:rsid w:val="00390AC3"/>
    <w:rsid w:val="003937C6"/>
    <w:rsid w:val="003A0BC2"/>
    <w:rsid w:val="003A1D3E"/>
    <w:rsid w:val="003A5FB2"/>
    <w:rsid w:val="003A67DA"/>
    <w:rsid w:val="003A6F6D"/>
    <w:rsid w:val="003B483D"/>
    <w:rsid w:val="003C1E49"/>
    <w:rsid w:val="003C60FE"/>
    <w:rsid w:val="003E6A10"/>
    <w:rsid w:val="00417CE5"/>
    <w:rsid w:val="0042693C"/>
    <w:rsid w:val="00430A63"/>
    <w:rsid w:val="004320D4"/>
    <w:rsid w:val="00447B09"/>
    <w:rsid w:val="00447DBB"/>
    <w:rsid w:val="00450118"/>
    <w:rsid w:val="00450405"/>
    <w:rsid w:val="00453314"/>
    <w:rsid w:val="00474E95"/>
    <w:rsid w:val="00476CC4"/>
    <w:rsid w:val="00485E0B"/>
    <w:rsid w:val="004866AE"/>
    <w:rsid w:val="0049691E"/>
    <w:rsid w:val="004978DD"/>
    <w:rsid w:val="004A17D9"/>
    <w:rsid w:val="004A5B01"/>
    <w:rsid w:val="004A7D93"/>
    <w:rsid w:val="004A7FF9"/>
    <w:rsid w:val="004B0C5B"/>
    <w:rsid w:val="004B1E4E"/>
    <w:rsid w:val="004B4CAF"/>
    <w:rsid w:val="004B73AF"/>
    <w:rsid w:val="004D2568"/>
    <w:rsid w:val="004D3A4A"/>
    <w:rsid w:val="004D3EE9"/>
    <w:rsid w:val="004D55EC"/>
    <w:rsid w:val="004E4134"/>
    <w:rsid w:val="004E7176"/>
    <w:rsid w:val="004E783D"/>
    <w:rsid w:val="004F2465"/>
    <w:rsid w:val="004F34E5"/>
    <w:rsid w:val="004F64AC"/>
    <w:rsid w:val="005125E8"/>
    <w:rsid w:val="005132BB"/>
    <w:rsid w:val="00520DA6"/>
    <w:rsid w:val="00524166"/>
    <w:rsid w:val="005244A4"/>
    <w:rsid w:val="00524C18"/>
    <w:rsid w:val="005274C5"/>
    <w:rsid w:val="005311DC"/>
    <w:rsid w:val="005336C2"/>
    <w:rsid w:val="00534C5B"/>
    <w:rsid w:val="005403E3"/>
    <w:rsid w:val="005456E7"/>
    <w:rsid w:val="0055461C"/>
    <w:rsid w:val="005602CB"/>
    <w:rsid w:val="00560651"/>
    <w:rsid w:val="00562800"/>
    <w:rsid w:val="0056409D"/>
    <w:rsid w:val="00571EF6"/>
    <w:rsid w:val="00574766"/>
    <w:rsid w:val="00585ECF"/>
    <w:rsid w:val="0059505F"/>
    <w:rsid w:val="00596B08"/>
    <w:rsid w:val="0059754B"/>
    <w:rsid w:val="005B0C1B"/>
    <w:rsid w:val="005B62A5"/>
    <w:rsid w:val="005B7D1F"/>
    <w:rsid w:val="005C183B"/>
    <w:rsid w:val="005C58B6"/>
    <w:rsid w:val="005C5BF7"/>
    <w:rsid w:val="005D2855"/>
    <w:rsid w:val="005D4EE6"/>
    <w:rsid w:val="005E1743"/>
    <w:rsid w:val="005F2A19"/>
    <w:rsid w:val="005F6090"/>
    <w:rsid w:val="00601B1E"/>
    <w:rsid w:val="0060568A"/>
    <w:rsid w:val="0061107A"/>
    <w:rsid w:val="006175B0"/>
    <w:rsid w:val="0061778F"/>
    <w:rsid w:val="00620ED1"/>
    <w:rsid w:val="00622503"/>
    <w:rsid w:val="006229A4"/>
    <w:rsid w:val="00624A10"/>
    <w:rsid w:val="00626C39"/>
    <w:rsid w:val="00643D7A"/>
    <w:rsid w:val="00646D29"/>
    <w:rsid w:val="00656742"/>
    <w:rsid w:val="00662763"/>
    <w:rsid w:val="0066318F"/>
    <w:rsid w:val="00667332"/>
    <w:rsid w:val="006875EC"/>
    <w:rsid w:val="006923F7"/>
    <w:rsid w:val="006927DD"/>
    <w:rsid w:val="006B18F7"/>
    <w:rsid w:val="006B3424"/>
    <w:rsid w:val="006B5558"/>
    <w:rsid w:val="006B7B89"/>
    <w:rsid w:val="006C1D4F"/>
    <w:rsid w:val="006D39C4"/>
    <w:rsid w:val="006E2BB0"/>
    <w:rsid w:val="006E3BA0"/>
    <w:rsid w:val="006E7D5B"/>
    <w:rsid w:val="006F33B4"/>
    <w:rsid w:val="006F582F"/>
    <w:rsid w:val="007010C6"/>
    <w:rsid w:val="00713B5D"/>
    <w:rsid w:val="007143B8"/>
    <w:rsid w:val="007150A1"/>
    <w:rsid w:val="007238C4"/>
    <w:rsid w:val="007316AA"/>
    <w:rsid w:val="00735251"/>
    <w:rsid w:val="00737572"/>
    <w:rsid w:val="007377B0"/>
    <w:rsid w:val="00741B9C"/>
    <w:rsid w:val="00757A1C"/>
    <w:rsid w:val="00760871"/>
    <w:rsid w:val="007637D8"/>
    <w:rsid w:val="00765EBC"/>
    <w:rsid w:val="00766C04"/>
    <w:rsid w:val="0077231B"/>
    <w:rsid w:val="00774643"/>
    <w:rsid w:val="00781E26"/>
    <w:rsid w:val="007830DD"/>
    <w:rsid w:val="007838DE"/>
    <w:rsid w:val="00790139"/>
    <w:rsid w:val="00793DE1"/>
    <w:rsid w:val="007A7314"/>
    <w:rsid w:val="007A7362"/>
    <w:rsid w:val="007B1A1E"/>
    <w:rsid w:val="007C4387"/>
    <w:rsid w:val="007D2FB7"/>
    <w:rsid w:val="007D6F61"/>
    <w:rsid w:val="007E4829"/>
    <w:rsid w:val="007E79C4"/>
    <w:rsid w:val="007F23A8"/>
    <w:rsid w:val="007F5341"/>
    <w:rsid w:val="00801316"/>
    <w:rsid w:val="00801571"/>
    <w:rsid w:val="00804604"/>
    <w:rsid w:val="00807BE3"/>
    <w:rsid w:val="00811999"/>
    <w:rsid w:val="0081221D"/>
    <w:rsid w:val="008206E7"/>
    <w:rsid w:val="008214B4"/>
    <w:rsid w:val="0082229F"/>
    <w:rsid w:val="0082511A"/>
    <w:rsid w:val="00826961"/>
    <w:rsid w:val="00836428"/>
    <w:rsid w:val="00847C78"/>
    <w:rsid w:val="00852B97"/>
    <w:rsid w:val="008553DB"/>
    <w:rsid w:val="00870521"/>
    <w:rsid w:val="00875DEC"/>
    <w:rsid w:val="0087642D"/>
    <w:rsid w:val="00880888"/>
    <w:rsid w:val="00883091"/>
    <w:rsid w:val="008856D7"/>
    <w:rsid w:val="0089523C"/>
    <w:rsid w:val="008A0F3C"/>
    <w:rsid w:val="008A35BC"/>
    <w:rsid w:val="008A378E"/>
    <w:rsid w:val="008B7701"/>
    <w:rsid w:val="008C07FD"/>
    <w:rsid w:val="008C3B9B"/>
    <w:rsid w:val="008C41B3"/>
    <w:rsid w:val="008C7B1F"/>
    <w:rsid w:val="008C7B63"/>
    <w:rsid w:val="008E12C7"/>
    <w:rsid w:val="008E4344"/>
    <w:rsid w:val="008E5101"/>
    <w:rsid w:val="008F0BDD"/>
    <w:rsid w:val="008F20E3"/>
    <w:rsid w:val="008F2F99"/>
    <w:rsid w:val="008F3BC0"/>
    <w:rsid w:val="008F6084"/>
    <w:rsid w:val="0090077B"/>
    <w:rsid w:val="0090555B"/>
    <w:rsid w:val="009057C8"/>
    <w:rsid w:val="00906A4F"/>
    <w:rsid w:val="00910E68"/>
    <w:rsid w:val="0091386E"/>
    <w:rsid w:val="0091505A"/>
    <w:rsid w:val="009153B9"/>
    <w:rsid w:val="0091680D"/>
    <w:rsid w:val="009268B2"/>
    <w:rsid w:val="00931144"/>
    <w:rsid w:val="0093193B"/>
    <w:rsid w:val="00947170"/>
    <w:rsid w:val="00947B3D"/>
    <w:rsid w:val="0095308B"/>
    <w:rsid w:val="00956E94"/>
    <w:rsid w:val="00957718"/>
    <w:rsid w:val="009618AA"/>
    <w:rsid w:val="009627A1"/>
    <w:rsid w:val="009648B1"/>
    <w:rsid w:val="009712FE"/>
    <w:rsid w:val="00974E48"/>
    <w:rsid w:val="009756F0"/>
    <w:rsid w:val="00982078"/>
    <w:rsid w:val="00983E09"/>
    <w:rsid w:val="009875AD"/>
    <w:rsid w:val="00990137"/>
    <w:rsid w:val="009924AF"/>
    <w:rsid w:val="00996A22"/>
    <w:rsid w:val="009978BD"/>
    <w:rsid w:val="009A65DF"/>
    <w:rsid w:val="009A7F71"/>
    <w:rsid w:val="009B1578"/>
    <w:rsid w:val="009B4514"/>
    <w:rsid w:val="009B51D7"/>
    <w:rsid w:val="009C0FAC"/>
    <w:rsid w:val="009C4D37"/>
    <w:rsid w:val="009C4EBE"/>
    <w:rsid w:val="009C51D1"/>
    <w:rsid w:val="009D3BEA"/>
    <w:rsid w:val="009D5161"/>
    <w:rsid w:val="009E4D16"/>
    <w:rsid w:val="009F12E2"/>
    <w:rsid w:val="009F3358"/>
    <w:rsid w:val="009F478B"/>
    <w:rsid w:val="009F69C1"/>
    <w:rsid w:val="00A1593E"/>
    <w:rsid w:val="00A209E1"/>
    <w:rsid w:val="00A221F4"/>
    <w:rsid w:val="00A25E13"/>
    <w:rsid w:val="00A40EE1"/>
    <w:rsid w:val="00A423ED"/>
    <w:rsid w:val="00A44D60"/>
    <w:rsid w:val="00A536F3"/>
    <w:rsid w:val="00A57405"/>
    <w:rsid w:val="00A679F2"/>
    <w:rsid w:val="00A72DB3"/>
    <w:rsid w:val="00A81C3E"/>
    <w:rsid w:val="00A83D9E"/>
    <w:rsid w:val="00A91D08"/>
    <w:rsid w:val="00A93113"/>
    <w:rsid w:val="00AA281D"/>
    <w:rsid w:val="00AA6318"/>
    <w:rsid w:val="00AA7FCB"/>
    <w:rsid w:val="00AB4065"/>
    <w:rsid w:val="00AB59AE"/>
    <w:rsid w:val="00AB5BD9"/>
    <w:rsid w:val="00AD0AA1"/>
    <w:rsid w:val="00AD3A43"/>
    <w:rsid w:val="00AD521C"/>
    <w:rsid w:val="00AD621D"/>
    <w:rsid w:val="00AE07A3"/>
    <w:rsid w:val="00AE372A"/>
    <w:rsid w:val="00B018F4"/>
    <w:rsid w:val="00B073F0"/>
    <w:rsid w:val="00B07A63"/>
    <w:rsid w:val="00B12BCC"/>
    <w:rsid w:val="00B25474"/>
    <w:rsid w:val="00B275A9"/>
    <w:rsid w:val="00B27F56"/>
    <w:rsid w:val="00B40DBF"/>
    <w:rsid w:val="00B44231"/>
    <w:rsid w:val="00B457C4"/>
    <w:rsid w:val="00B502D4"/>
    <w:rsid w:val="00B504D2"/>
    <w:rsid w:val="00B54060"/>
    <w:rsid w:val="00B6705C"/>
    <w:rsid w:val="00B71178"/>
    <w:rsid w:val="00B85693"/>
    <w:rsid w:val="00B914A2"/>
    <w:rsid w:val="00B93C84"/>
    <w:rsid w:val="00B9541E"/>
    <w:rsid w:val="00B97A57"/>
    <w:rsid w:val="00BA4CDE"/>
    <w:rsid w:val="00BB0488"/>
    <w:rsid w:val="00BB3ED5"/>
    <w:rsid w:val="00BB4AB9"/>
    <w:rsid w:val="00BB6F32"/>
    <w:rsid w:val="00BC07C0"/>
    <w:rsid w:val="00BC1DD2"/>
    <w:rsid w:val="00BD3CFF"/>
    <w:rsid w:val="00BE327A"/>
    <w:rsid w:val="00BE59BD"/>
    <w:rsid w:val="00BE7278"/>
    <w:rsid w:val="00BF1649"/>
    <w:rsid w:val="00BF39CB"/>
    <w:rsid w:val="00BF47D8"/>
    <w:rsid w:val="00BF5972"/>
    <w:rsid w:val="00BF7AE4"/>
    <w:rsid w:val="00C006D8"/>
    <w:rsid w:val="00C0174A"/>
    <w:rsid w:val="00C03E10"/>
    <w:rsid w:val="00C05D9B"/>
    <w:rsid w:val="00C1423D"/>
    <w:rsid w:val="00C16666"/>
    <w:rsid w:val="00C25433"/>
    <w:rsid w:val="00C26130"/>
    <w:rsid w:val="00C315B6"/>
    <w:rsid w:val="00C3307C"/>
    <w:rsid w:val="00C376F3"/>
    <w:rsid w:val="00C4051C"/>
    <w:rsid w:val="00C4132F"/>
    <w:rsid w:val="00C45BC9"/>
    <w:rsid w:val="00C460BE"/>
    <w:rsid w:val="00C463D2"/>
    <w:rsid w:val="00C62A44"/>
    <w:rsid w:val="00C66319"/>
    <w:rsid w:val="00C75F57"/>
    <w:rsid w:val="00C80A39"/>
    <w:rsid w:val="00C81936"/>
    <w:rsid w:val="00C82BC6"/>
    <w:rsid w:val="00C84C4C"/>
    <w:rsid w:val="00C91963"/>
    <w:rsid w:val="00C92EBC"/>
    <w:rsid w:val="00CA2D03"/>
    <w:rsid w:val="00CA2DEE"/>
    <w:rsid w:val="00CA7D78"/>
    <w:rsid w:val="00CB631F"/>
    <w:rsid w:val="00CC5314"/>
    <w:rsid w:val="00CC65F5"/>
    <w:rsid w:val="00CD46FC"/>
    <w:rsid w:val="00CD7139"/>
    <w:rsid w:val="00CE3360"/>
    <w:rsid w:val="00CE59A6"/>
    <w:rsid w:val="00CE64AC"/>
    <w:rsid w:val="00CF49E7"/>
    <w:rsid w:val="00D0019C"/>
    <w:rsid w:val="00D07123"/>
    <w:rsid w:val="00D17DA6"/>
    <w:rsid w:val="00D17F80"/>
    <w:rsid w:val="00D23380"/>
    <w:rsid w:val="00D25C36"/>
    <w:rsid w:val="00D3182B"/>
    <w:rsid w:val="00D35881"/>
    <w:rsid w:val="00D52AD6"/>
    <w:rsid w:val="00D6152A"/>
    <w:rsid w:val="00D66B12"/>
    <w:rsid w:val="00D73432"/>
    <w:rsid w:val="00D77C54"/>
    <w:rsid w:val="00D861C1"/>
    <w:rsid w:val="00D86901"/>
    <w:rsid w:val="00D92835"/>
    <w:rsid w:val="00D94424"/>
    <w:rsid w:val="00DA5F5C"/>
    <w:rsid w:val="00DA6DB6"/>
    <w:rsid w:val="00DB5A19"/>
    <w:rsid w:val="00DB67C1"/>
    <w:rsid w:val="00DB78EB"/>
    <w:rsid w:val="00DC41C9"/>
    <w:rsid w:val="00DC5473"/>
    <w:rsid w:val="00DD2F76"/>
    <w:rsid w:val="00DD77B5"/>
    <w:rsid w:val="00DE6FE8"/>
    <w:rsid w:val="00DF7A24"/>
    <w:rsid w:val="00E114C5"/>
    <w:rsid w:val="00E13D93"/>
    <w:rsid w:val="00E15266"/>
    <w:rsid w:val="00E159FD"/>
    <w:rsid w:val="00E162F5"/>
    <w:rsid w:val="00E3230E"/>
    <w:rsid w:val="00E32D93"/>
    <w:rsid w:val="00E35775"/>
    <w:rsid w:val="00E37492"/>
    <w:rsid w:val="00E407EB"/>
    <w:rsid w:val="00E41677"/>
    <w:rsid w:val="00E62D08"/>
    <w:rsid w:val="00E63AA4"/>
    <w:rsid w:val="00E66DAF"/>
    <w:rsid w:val="00E826D1"/>
    <w:rsid w:val="00E87E47"/>
    <w:rsid w:val="00E95CF7"/>
    <w:rsid w:val="00EA0EEB"/>
    <w:rsid w:val="00EA13EF"/>
    <w:rsid w:val="00EA1410"/>
    <w:rsid w:val="00EB08B4"/>
    <w:rsid w:val="00EB15B5"/>
    <w:rsid w:val="00EB6AF7"/>
    <w:rsid w:val="00EC531B"/>
    <w:rsid w:val="00ED2DCC"/>
    <w:rsid w:val="00ED4B68"/>
    <w:rsid w:val="00ED7550"/>
    <w:rsid w:val="00EE2E0F"/>
    <w:rsid w:val="00EE59A2"/>
    <w:rsid w:val="00EF05A3"/>
    <w:rsid w:val="00EF2BE5"/>
    <w:rsid w:val="00EF6E76"/>
    <w:rsid w:val="00F042FA"/>
    <w:rsid w:val="00F04939"/>
    <w:rsid w:val="00F10A77"/>
    <w:rsid w:val="00F149CB"/>
    <w:rsid w:val="00F17985"/>
    <w:rsid w:val="00F20A0D"/>
    <w:rsid w:val="00F20CB0"/>
    <w:rsid w:val="00F22813"/>
    <w:rsid w:val="00F2442A"/>
    <w:rsid w:val="00F32089"/>
    <w:rsid w:val="00F4449F"/>
    <w:rsid w:val="00F51AFD"/>
    <w:rsid w:val="00F612FF"/>
    <w:rsid w:val="00F6493F"/>
    <w:rsid w:val="00F75663"/>
    <w:rsid w:val="00F778A6"/>
    <w:rsid w:val="00F811E7"/>
    <w:rsid w:val="00F9056C"/>
    <w:rsid w:val="00F95C5D"/>
    <w:rsid w:val="00F9633F"/>
    <w:rsid w:val="00FA2944"/>
    <w:rsid w:val="00FB2074"/>
    <w:rsid w:val="00FB4891"/>
    <w:rsid w:val="00FC313B"/>
    <w:rsid w:val="00FC686F"/>
    <w:rsid w:val="00FC7FBE"/>
    <w:rsid w:val="00FD56E4"/>
    <w:rsid w:val="00FD6A7E"/>
    <w:rsid w:val="00FE0378"/>
    <w:rsid w:val="00FE2347"/>
    <w:rsid w:val="00FE33F5"/>
    <w:rsid w:val="00FE5A98"/>
    <w:rsid w:val="00FE6DF0"/>
    <w:rsid w:val="7C4652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94135"/>
  <w15:chartTrackingRefBased/>
  <w15:docId w15:val="{EF630A57-40BE-4F0D-BFC6-20457A0D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styleId="UnresolvedMention">
    <w:name w:val="Unresolved Mention"/>
    <w:basedOn w:val="DefaultParagraphFont"/>
    <w:uiPriority w:val="99"/>
    <w:semiHidden/>
    <w:unhideWhenUsed/>
    <w:rsid w:val="006E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67936">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7769847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3953480">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20544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4DC287F-829A-4AE5-88C2-83064F6D16DB}">
  <ds:schemaRefs>
    <ds:schemaRef ds:uri="http://schemas.microsoft.com/office/2006/metadata/properties"/>
    <ds:schemaRef ds:uri="http://schemas.microsoft.com/office/infopath/2007/PartnerControls"/>
    <ds:schemaRef ds:uri="e968d4b9-9f0d-4b6f-81c6-222446f6098e"/>
  </ds:schemaRefs>
</ds:datastoreItem>
</file>

<file path=customXml/itemProps2.xml><?xml version="1.0" encoding="utf-8"?>
<ds:datastoreItem xmlns:ds="http://schemas.openxmlformats.org/officeDocument/2006/customXml" ds:itemID="{B956FD59-1F3E-498E-9C77-7CE2896498A0}">
  <ds:schemaRefs>
    <ds:schemaRef ds:uri="http://schemas.microsoft.com/sharepoint/v3/contenttype/forms"/>
  </ds:schemaRefs>
</ds:datastoreItem>
</file>

<file path=customXml/itemProps3.xml><?xml version="1.0" encoding="utf-8"?>
<ds:datastoreItem xmlns:ds="http://schemas.openxmlformats.org/officeDocument/2006/customXml" ds:itemID="{A050275B-8DF6-46FC-90DB-150A674226EF}">
  <ds:schemaRefs>
    <ds:schemaRef ds:uri="http://schemas.openxmlformats.org/officeDocument/2006/bibliography"/>
  </ds:schemaRefs>
</ds:datastoreItem>
</file>

<file path=customXml/itemProps4.xml><?xml version="1.0" encoding="utf-8"?>
<ds:datastoreItem xmlns:ds="http://schemas.openxmlformats.org/officeDocument/2006/customXml" ds:itemID="{E305260F-7200-4A3B-BBA0-1F7D4F22D80A}"/>
</file>

<file path=customXml/itemProps5.xml><?xml version="1.0" encoding="utf-8"?>
<ds:datastoreItem xmlns:ds="http://schemas.openxmlformats.org/officeDocument/2006/customXml" ds:itemID="{F008FE1F-3AA1-4336-BAA7-BD39AE85E6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Minnesota Advocates for Human Rights</Company>
  <LinksUpToDate>false</LinksUpToDate>
  <CharactersWithSpaces>18133</CharactersWithSpaces>
  <SharedDoc>false</SharedDoc>
  <HLinks>
    <vt:vector size="6" baseType="variant">
      <vt:variant>
        <vt:i4>6160469</vt:i4>
      </vt:variant>
      <vt:variant>
        <vt:i4>0</vt:i4>
      </vt:variant>
      <vt:variant>
        <vt:i4>0</vt:i4>
      </vt:variant>
      <vt:variant>
        <vt:i4>5</vt:i4>
      </vt:variant>
      <vt:variant>
        <vt:lpwstr>https://www.state.gov/wp-content/uploads/2020/03/RUSSIA-2019-HUMAN-RIGHTS-REPORT.pdf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Amy Bergquist</cp:lastModifiedBy>
  <cp:revision>14</cp:revision>
  <cp:lastPrinted>2011-09-16T18:52:00Z</cp:lastPrinted>
  <dcterms:created xsi:type="dcterms:W3CDTF">2021-01-04T19:21:00Z</dcterms:created>
  <dcterms:modified xsi:type="dcterms:W3CDTF">2021-01-04T21:57:00Z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0x010100D94DC6E63E0E4C40BB58A92BBDBC479C</vt:lpwstr>
  </property>
</Properties>
</file>