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9D8ED" w14:textId="77777777" w:rsidR="00DF608B" w:rsidRDefault="00DF608B" w:rsidP="0095074B">
      <w:pPr>
        <w:tabs>
          <w:tab w:val="left" w:pos="3585"/>
          <w:tab w:val="right" w:pos="9631"/>
        </w:tabs>
        <w:rPr>
          <w:rFonts w:ascii="Times New Roman" w:hAnsi="Times New Roman"/>
          <w:b/>
          <w:sz w:val="24"/>
          <w:szCs w:val="24"/>
        </w:rPr>
      </w:pPr>
    </w:p>
    <w:p w14:paraId="2083C0A9" w14:textId="77777777" w:rsidR="0095074B" w:rsidRPr="00872545" w:rsidRDefault="00A56A0F" w:rsidP="0095074B">
      <w:pPr>
        <w:tabs>
          <w:tab w:val="left" w:pos="3585"/>
          <w:tab w:val="right" w:pos="9631"/>
        </w:tabs>
        <w:rPr>
          <w:rFonts w:ascii="Times New Roman" w:hAnsi="Times New Roman"/>
          <w:b/>
          <w:color w:val="000000" w:themeColor="text1"/>
          <w:sz w:val="24"/>
          <w:szCs w:val="24"/>
        </w:rPr>
      </w:pPr>
      <w:r w:rsidRPr="00872545">
        <w:rPr>
          <w:rFonts w:ascii="Times New Roman" w:hAnsi="Times New Roman"/>
          <w:b/>
          <w:color w:val="000000" w:themeColor="text1"/>
          <w:sz w:val="24"/>
          <w:szCs w:val="24"/>
        </w:rPr>
        <w:tab/>
      </w:r>
      <w:r w:rsidRPr="00872545">
        <w:rPr>
          <w:rFonts w:ascii="Times New Roman" w:hAnsi="Times New Roman"/>
          <w:b/>
          <w:color w:val="000000" w:themeColor="text1"/>
          <w:sz w:val="24"/>
          <w:szCs w:val="24"/>
        </w:rPr>
        <w:tab/>
      </w:r>
      <w:r w:rsidR="00872545">
        <w:rPr>
          <w:rFonts w:ascii="Times New Roman" w:hAnsi="Times New Roman"/>
          <w:color w:val="000000" w:themeColor="text1"/>
          <w:szCs w:val="24"/>
        </w:rPr>
        <w:t>2</w:t>
      </w:r>
      <w:r w:rsidR="00933B64">
        <w:rPr>
          <w:rFonts w:ascii="Times New Roman" w:hAnsi="Times New Roman"/>
          <w:color w:val="000000" w:themeColor="text1"/>
          <w:szCs w:val="24"/>
        </w:rPr>
        <w:t>8</w:t>
      </w:r>
      <w:bookmarkStart w:id="0" w:name="_GoBack"/>
      <w:bookmarkEnd w:id="0"/>
      <w:r w:rsidR="00872545">
        <w:rPr>
          <w:rFonts w:ascii="Times New Roman" w:hAnsi="Times New Roman"/>
          <w:color w:val="000000" w:themeColor="text1"/>
          <w:szCs w:val="24"/>
        </w:rPr>
        <w:t xml:space="preserve"> </w:t>
      </w:r>
      <w:r w:rsidR="00461975" w:rsidRPr="00872545">
        <w:rPr>
          <w:rFonts w:ascii="Times New Roman" w:hAnsi="Times New Roman"/>
          <w:color w:val="000000" w:themeColor="text1"/>
          <w:szCs w:val="24"/>
        </w:rPr>
        <w:t>April</w:t>
      </w:r>
      <w:r w:rsidR="00D77DE7" w:rsidRPr="00872545">
        <w:rPr>
          <w:rFonts w:ascii="Times New Roman" w:hAnsi="Times New Roman"/>
          <w:color w:val="000000" w:themeColor="text1"/>
          <w:szCs w:val="24"/>
        </w:rPr>
        <w:t xml:space="preserve"> </w:t>
      </w:r>
      <w:r w:rsidR="00461975" w:rsidRPr="00872545">
        <w:rPr>
          <w:rFonts w:ascii="Times New Roman" w:hAnsi="Times New Roman"/>
          <w:color w:val="000000" w:themeColor="text1"/>
          <w:szCs w:val="24"/>
        </w:rPr>
        <w:t>2021</w:t>
      </w:r>
    </w:p>
    <w:p w14:paraId="7982CE96" w14:textId="77777777" w:rsidR="00DB72EA" w:rsidRPr="00B46476" w:rsidRDefault="00DB72EA" w:rsidP="00DB72EA">
      <w:pPr>
        <w:ind w:left="2880"/>
        <w:rPr>
          <w:rFonts w:ascii="Times New Roman" w:hAnsi="Times New Roman"/>
          <w:sz w:val="24"/>
          <w:szCs w:val="24"/>
          <w:lang w:val="en-GB"/>
        </w:rPr>
      </w:pPr>
    </w:p>
    <w:p w14:paraId="2A3C3D5D" w14:textId="77777777" w:rsidR="00AC671A" w:rsidRPr="00744552" w:rsidRDefault="00A56A0F" w:rsidP="00AC671A">
      <w:pPr>
        <w:spacing w:before="120"/>
        <w:rPr>
          <w:rFonts w:ascii="Times New Roman" w:hAnsi="Times New Roman"/>
          <w:b/>
          <w:sz w:val="32"/>
          <w:szCs w:val="32"/>
        </w:rPr>
      </w:pPr>
      <w:r w:rsidRPr="00744552">
        <w:rPr>
          <w:rFonts w:ascii="Times New Roman" w:hAnsi="Times New Roman"/>
          <w:b/>
          <w:sz w:val="32"/>
          <w:szCs w:val="32"/>
        </w:rPr>
        <w:t xml:space="preserve">From </w:t>
      </w:r>
      <w:r>
        <w:rPr>
          <w:rFonts w:ascii="Times New Roman" w:hAnsi="Times New Roman"/>
          <w:b/>
          <w:sz w:val="32"/>
          <w:szCs w:val="32"/>
        </w:rPr>
        <w:t>t</w:t>
      </w:r>
      <w:r w:rsidRPr="00744552">
        <w:rPr>
          <w:rFonts w:ascii="Times New Roman" w:hAnsi="Times New Roman"/>
          <w:b/>
          <w:sz w:val="32"/>
          <w:szCs w:val="32"/>
        </w:rPr>
        <w:t>he European Association of Jehovah’s Witnesses</w:t>
      </w:r>
    </w:p>
    <w:p w14:paraId="640AEFC6" w14:textId="77777777" w:rsidR="00AC671A" w:rsidRDefault="00AC671A" w:rsidP="00AC671A">
      <w:pPr>
        <w:spacing w:before="120"/>
        <w:rPr>
          <w:rFonts w:ascii="Times New Roman" w:hAnsi="Times New Roman"/>
          <w:b/>
          <w:sz w:val="32"/>
          <w:szCs w:val="32"/>
        </w:rPr>
      </w:pPr>
    </w:p>
    <w:p w14:paraId="129D7AB7" w14:textId="77777777" w:rsidR="007F5FB1" w:rsidRDefault="007F5FB1" w:rsidP="00AC671A">
      <w:pPr>
        <w:spacing w:before="120"/>
        <w:rPr>
          <w:rFonts w:ascii="Times New Roman" w:hAnsi="Times New Roman"/>
          <w:b/>
          <w:sz w:val="32"/>
          <w:szCs w:val="32"/>
        </w:rPr>
      </w:pPr>
    </w:p>
    <w:p w14:paraId="3E7974A7" w14:textId="77777777" w:rsidR="007F5FB1" w:rsidRDefault="00A56A0F" w:rsidP="007F5FB1">
      <w:pPr>
        <w:spacing w:before="360" w:after="360"/>
        <w:rPr>
          <w:rFonts w:ascii="Times New Roman" w:hAnsi="Times New Roman"/>
          <w:b/>
          <w:sz w:val="32"/>
          <w:szCs w:val="32"/>
        </w:rPr>
      </w:pPr>
      <w:r w:rsidRPr="00744552">
        <w:rPr>
          <w:rFonts w:ascii="Times New Roman" w:hAnsi="Times New Roman"/>
          <w:b/>
          <w:sz w:val="32"/>
          <w:szCs w:val="32"/>
        </w:rPr>
        <w:t xml:space="preserve">Submission to the UN Human Rights Committee </w:t>
      </w:r>
    </w:p>
    <w:p w14:paraId="547D1105" w14:textId="77777777" w:rsidR="007F5FB1" w:rsidRPr="00744552" w:rsidRDefault="00A56A0F" w:rsidP="007F5FB1">
      <w:pPr>
        <w:spacing w:before="360" w:after="360"/>
        <w:rPr>
          <w:rFonts w:ascii="Times New Roman" w:hAnsi="Times New Roman"/>
          <w:b/>
          <w:sz w:val="32"/>
          <w:szCs w:val="32"/>
        </w:rPr>
      </w:pPr>
      <w:r w:rsidRPr="00136DF8">
        <w:rPr>
          <w:rFonts w:ascii="Times New Roman" w:hAnsi="Times New Roman"/>
          <w:b/>
          <w:sz w:val="32"/>
          <w:szCs w:val="32"/>
        </w:rPr>
        <w:t>Prior</w:t>
      </w:r>
      <w:r w:rsidRPr="007F5FB1">
        <w:rPr>
          <w:rFonts w:ascii="Times New Roman" w:hAnsi="Times New Roman"/>
          <w:b/>
          <w:color w:val="FF0000"/>
          <w:sz w:val="32"/>
          <w:szCs w:val="32"/>
        </w:rPr>
        <w:t xml:space="preserve"> </w:t>
      </w:r>
      <w:r>
        <w:rPr>
          <w:rFonts w:ascii="Times New Roman" w:hAnsi="Times New Roman"/>
          <w:b/>
          <w:sz w:val="32"/>
          <w:szCs w:val="32"/>
        </w:rPr>
        <w:t>to the A</w:t>
      </w:r>
      <w:r w:rsidRPr="00744552">
        <w:rPr>
          <w:rFonts w:ascii="Times New Roman" w:hAnsi="Times New Roman"/>
          <w:b/>
          <w:sz w:val="32"/>
          <w:szCs w:val="32"/>
        </w:rPr>
        <w:t xml:space="preserve">doption of the List of Issues </w:t>
      </w:r>
    </w:p>
    <w:p w14:paraId="5D02CB4D" w14:textId="77777777" w:rsidR="00CE2B3D" w:rsidRPr="00BF1D87" w:rsidRDefault="00A56A0F" w:rsidP="00CE2B3D">
      <w:pPr>
        <w:spacing w:before="120"/>
        <w:rPr>
          <w:rFonts w:ascii="Times New Roman" w:hAnsi="Times New Roman"/>
          <w:b/>
          <w:sz w:val="32"/>
          <w:szCs w:val="24"/>
          <w:lang w:val="en-GB"/>
        </w:rPr>
      </w:pPr>
      <w:r w:rsidRPr="00BF1D87">
        <w:rPr>
          <w:rFonts w:ascii="Times New Roman" w:hAnsi="Times New Roman"/>
          <w:b/>
          <w:sz w:val="32"/>
          <w:szCs w:val="24"/>
          <w:lang w:val="en-GB"/>
        </w:rPr>
        <w:t>132</w:t>
      </w:r>
      <w:r>
        <w:rPr>
          <w:rFonts w:ascii="Times New Roman" w:hAnsi="Times New Roman"/>
          <w:b/>
          <w:sz w:val="32"/>
          <w:szCs w:val="24"/>
          <w:vertAlign w:val="superscript"/>
          <w:lang w:val="en-GB"/>
        </w:rPr>
        <w:t xml:space="preserve">nd </w:t>
      </w:r>
      <w:r w:rsidRPr="00BF1D87">
        <w:rPr>
          <w:rFonts w:ascii="Times New Roman" w:hAnsi="Times New Roman"/>
          <w:b/>
          <w:sz w:val="32"/>
          <w:szCs w:val="24"/>
          <w:lang w:val="en-GB"/>
        </w:rPr>
        <w:t xml:space="preserve">Session </w:t>
      </w:r>
      <w:r w:rsidR="000C3710" w:rsidRPr="00BF1D87">
        <w:rPr>
          <w:rFonts w:ascii="Times New Roman" w:hAnsi="Times New Roman"/>
          <w:b/>
          <w:sz w:val="32"/>
          <w:szCs w:val="24"/>
          <w:lang w:val="en-GB"/>
        </w:rPr>
        <w:t>(</w:t>
      </w:r>
      <w:r w:rsidR="0035564E">
        <w:rPr>
          <w:rFonts w:ascii="Times New Roman" w:hAnsi="Times New Roman"/>
          <w:b/>
          <w:sz w:val="32"/>
          <w:szCs w:val="24"/>
          <w:lang w:val="en-GB"/>
        </w:rPr>
        <w:t xml:space="preserve">28 </w:t>
      </w:r>
      <w:r w:rsidR="00BF1D87" w:rsidRPr="00BF1D87">
        <w:rPr>
          <w:rFonts w:ascii="Times New Roman" w:hAnsi="Times New Roman"/>
          <w:b/>
          <w:sz w:val="32"/>
          <w:szCs w:val="24"/>
          <w:lang w:val="en-GB"/>
        </w:rPr>
        <w:t xml:space="preserve">June to </w:t>
      </w:r>
      <w:r w:rsidR="0035564E">
        <w:rPr>
          <w:rFonts w:ascii="Times New Roman" w:hAnsi="Times New Roman"/>
          <w:b/>
          <w:sz w:val="32"/>
          <w:szCs w:val="24"/>
          <w:lang w:val="en-GB"/>
        </w:rPr>
        <w:t xml:space="preserve">23 </w:t>
      </w:r>
      <w:r w:rsidR="00BF1D87" w:rsidRPr="00BF1D87">
        <w:rPr>
          <w:rFonts w:ascii="Times New Roman" w:hAnsi="Times New Roman"/>
          <w:b/>
          <w:sz w:val="32"/>
          <w:szCs w:val="24"/>
          <w:lang w:val="en-GB"/>
        </w:rPr>
        <w:t>July 2021</w:t>
      </w:r>
      <w:r w:rsidR="000C3710" w:rsidRPr="00BF1D87">
        <w:rPr>
          <w:rFonts w:ascii="Times New Roman" w:hAnsi="Times New Roman"/>
          <w:b/>
          <w:sz w:val="32"/>
          <w:szCs w:val="24"/>
          <w:lang w:val="en-GB"/>
        </w:rPr>
        <w:t>)</w:t>
      </w:r>
    </w:p>
    <w:p w14:paraId="4F3E24AF" w14:textId="77777777" w:rsidR="00DB72EA" w:rsidRPr="00B46476" w:rsidRDefault="00DB72EA" w:rsidP="0095074B">
      <w:pPr>
        <w:rPr>
          <w:rFonts w:ascii="Times New Roman" w:hAnsi="Times New Roman"/>
          <w:sz w:val="24"/>
          <w:szCs w:val="24"/>
          <w:lang w:val="en-GB"/>
        </w:rPr>
      </w:pPr>
    </w:p>
    <w:p w14:paraId="1E123401" w14:textId="77777777" w:rsidR="00DB72EA" w:rsidRPr="00B46476" w:rsidRDefault="00DB72EA" w:rsidP="00DB72EA">
      <w:pPr>
        <w:rPr>
          <w:rFonts w:ascii="Times New Roman" w:hAnsi="Times New Roman"/>
          <w:sz w:val="24"/>
          <w:szCs w:val="24"/>
          <w:lang w:val="en-GB"/>
        </w:rPr>
      </w:pPr>
    </w:p>
    <w:p w14:paraId="3B61C974" w14:textId="77777777" w:rsidR="00DB72EA" w:rsidRPr="00B46476" w:rsidRDefault="00DB72EA" w:rsidP="00DB72EA">
      <w:pPr>
        <w:rPr>
          <w:rFonts w:ascii="Times New Roman" w:hAnsi="Times New Roman"/>
          <w:sz w:val="24"/>
          <w:szCs w:val="24"/>
          <w:lang w:val="en-GB"/>
        </w:rPr>
      </w:pPr>
    </w:p>
    <w:p w14:paraId="317A3EBC" w14:textId="77777777" w:rsidR="00DB72EA" w:rsidRPr="00BF1D87" w:rsidRDefault="00A56A0F" w:rsidP="00DB72EA">
      <w:pPr>
        <w:rPr>
          <w:rFonts w:ascii="Times New Roman" w:hAnsi="Times New Roman"/>
          <w:sz w:val="24"/>
          <w:szCs w:val="24"/>
          <w:lang w:val="en-GB"/>
        </w:rPr>
      </w:pPr>
      <w:r w:rsidRPr="00BF1D87">
        <w:rPr>
          <w:rFonts w:ascii="Times New Roman" w:hAnsi="Times New Roman"/>
          <w:b/>
          <w:spacing w:val="40"/>
          <w:sz w:val="64"/>
          <w:szCs w:val="64"/>
        </w:rPr>
        <w:t>Turkey</w:t>
      </w:r>
    </w:p>
    <w:p w14:paraId="39C572BC" w14:textId="77777777" w:rsidR="00DB72EA" w:rsidRPr="00B46476" w:rsidRDefault="00DB72EA" w:rsidP="00DB72EA">
      <w:pPr>
        <w:rPr>
          <w:rFonts w:ascii="Times New Roman" w:hAnsi="Times New Roman"/>
          <w:b/>
          <w:sz w:val="24"/>
          <w:szCs w:val="24"/>
          <w:lang w:val="en-GB"/>
        </w:rPr>
      </w:pPr>
    </w:p>
    <w:p w14:paraId="66CF783A" w14:textId="77777777" w:rsidR="00DB72EA" w:rsidRPr="00872545" w:rsidRDefault="00DB72EA" w:rsidP="00872545">
      <w:pPr>
        <w:rPr>
          <w:rFonts w:ascii="Times New Roman" w:hAnsi="Times New Roman"/>
          <w:b/>
          <w:color w:val="000000" w:themeColor="text1"/>
          <w:sz w:val="24"/>
          <w:szCs w:val="24"/>
          <w:lang w:val="en-GB"/>
        </w:rPr>
      </w:pPr>
    </w:p>
    <w:p w14:paraId="4044326B" w14:textId="77777777" w:rsidR="00AC671A" w:rsidRPr="00872545" w:rsidRDefault="00AC671A" w:rsidP="00872545">
      <w:pPr>
        <w:tabs>
          <w:tab w:val="right" w:pos="8363"/>
        </w:tabs>
        <w:rPr>
          <w:rFonts w:ascii="Times New Roman" w:hAnsi="Times New Roman"/>
          <w:color w:val="000000" w:themeColor="text1"/>
          <w:sz w:val="32"/>
          <w:szCs w:val="32"/>
          <w:lang w:val="en"/>
        </w:rPr>
      </w:pPr>
    </w:p>
    <w:p w14:paraId="134F1B8D" w14:textId="77777777" w:rsidR="00AC671A" w:rsidRPr="00872545" w:rsidRDefault="00AC671A" w:rsidP="00872545">
      <w:pPr>
        <w:tabs>
          <w:tab w:val="right" w:pos="8363"/>
        </w:tabs>
        <w:rPr>
          <w:rFonts w:ascii="Times New Roman" w:hAnsi="Times New Roman"/>
          <w:b/>
          <w:color w:val="000000" w:themeColor="text1"/>
          <w:sz w:val="24"/>
          <w:szCs w:val="24"/>
          <w:lang w:val="en-GB"/>
        </w:rPr>
      </w:pPr>
    </w:p>
    <w:p w14:paraId="5CE09A2E" w14:textId="77777777" w:rsidR="00AC671A" w:rsidRPr="00872545" w:rsidRDefault="00AC671A" w:rsidP="00872545">
      <w:pPr>
        <w:tabs>
          <w:tab w:val="right" w:pos="8363"/>
        </w:tabs>
        <w:rPr>
          <w:rFonts w:ascii="Times New Roman" w:hAnsi="Times New Roman"/>
          <w:b/>
          <w:color w:val="000000" w:themeColor="text1"/>
          <w:sz w:val="24"/>
          <w:szCs w:val="24"/>
          <w:lang w:val="en-GB"/>
        </w:rPr>
      </w:pPr>
    </w:p>
    <w:p w14:paraId="2F87CC20" w14:textId="77777777" w:rsidR="009A4724" w:rsidRPr="00872545" w:rsidRDefault="009A4724" w:rsidP="00872545">
      <w:pPr>
        <w:tabs>
          <w:tab w:val="right" w:pos="8363"/>
        </w:tabs>
        <w:rPr>
          <w:rFonts w:ascii="Times New Roman" w:hAnsi="Times New Roman"/>
          <w:b/>
          <w:color w:val="000000" w:themeColor="text1"/>
          <w:sz w:val="24"/>
          <w:szCs w:val="24"/>
          <w:lang w:val="en-GB"/>
        </w:rPr>
      </w:pPr>
    </w:p>
    <w:p w14:paraId="07AEB34E" w14:textId="77777777" w:rsidR="00AC671A" w:rsidRPr="00872545" w:rsidRDefault="00AC671A" w:rsidP="00872545">
      <w:pPr>
        <w:tabs>
          <w:tab w:val="right" w:pos="8363"/>
        </w:tabs>
        <w:rPr>
          <w:rFonts w:ascii="Times New Roman" w:hAnsi="Times New Roman"/>
          <w:b/>
          <w:color w:val="000000" w:themeColor="text1"/>
          <w:sz w:val="24"/>
          <w:szCs w:val="24"/>
          <w:lang w:val="en-GB"/>
        </w:rPr>
      </w:pPr>
    </w:p>
    <w:p w14:paraId="54217C58" w14:textId="77777777" w:rsidR="001C0FFC" w:rsidRPr="00872545" w:rsidRDefault="001C0FFC" w:rsidP="00872545">
      <w:pPr>
        <w:tabs>
          <w:tab w:val="right" w:pos="8363"/>
        </w:tabs>
        <w:rPr>
          <w:rFonts w:ascii="Times New Roman" w:hAnsi="Times New Roman"/>
          <w:b/>
          <w:color w:val="000000" w:themeColor="text1"/>
          <w:sz w:val="24"/>
          <w:szCs w:val="24"/>
          <w:lang w:val="en-GB"/>
        </w:rPr>
      </w:pPr>
    </w:p>
    <w:p w14:paraId="23AC20F9" w14:textId="77777777" w:rsidR="001C0FFC" w:rsidRDefault="001C0FFC" w:rsidP="00DB72EA">
      <w:pPr>
        <w:tabs>
          <w:tab w:val="right" w:pos="8363"/>
        </w:tabs>
        <w:rPr>
          <w:rFonts w:ascii="Times New Roman" w:hAnsi="Times New Roman"/>
          <w:b/>
          <w:sz w:val="24"/>
          <w:szCs w:val="24"/>
          <w:lang w:val="en-GB"/>
        </w:rPr>
      </w:pPr>
    </w:p>
    <w:p w14:paraId="1D79C49B" w14:textId="77777777" w:rsidR="001C0FFC" w:rsidRDefault="001C0FFC" w:rsidP="00DB72EA">
      <w:pPr>
        <w:tabs>
          <w:tab w:val="right" w:pos="8363"/>
        </w:tabs>
        <w:rPr>
          <w:rFonts w:ascii="Times New Roman" w:hAnsi="Times New Roman"/>
          <w:b/>
          <w:sz w:val="24"/>
          <w:szCs w:val="24"/>
          <w:lang w:val="en-GB"/>
        </w:rPr>
      </w:pPr>
    </w:p>
    <w:p w14:paraId="6378211C" w14:textId="77777777" w:rsidR="001C0FFC" w:rsidRDefault="001C0FFC" w:rsidP="00DB72EA">
      <w:pPr>
        <w:tabs>
          <w:tab w:val="right" w:pos="8363"/>
        </w:tabs>
        <w:rPr>
          <w:rFonts w:ascii="Times New Roman" w:hAnsi="Times New Roman"/>
          <w:b/>
          <w:sz w:val="24"/>
          <w:szCs w:val="24"/>
          <w:lang w:val="en-GB"/>
        </w:rPr>
      </w:pPr>
    </w:p>
    <w:p w14:paraId="129B0EDC" w14:textId="77777777" w:rsidR="001C0FFC" w:rsidRDefault="001C0FFC" w:rsidP="00DB72EA">
      <w:pPr>
        <w:tabs>
          <w:tab w:val="right" w:pos="8363"/>
        </w:tabs>
        <w:rPr>
          <w:rFonts w:ascii="Times New Roman" w:hAnsi="Times New Roman"/>
          <w:b/>
          <w:sz w:val="24"/>
          <w:szCs w:val="24"/>
          <w:lang w:val="en-GB"/>
        </w:rPr>
      </w:pPr>
    </w:p>
    <w:p w14:paraId="6195BFAC" w14:textId="77777777" w:rsidR="001C0FFC" w:rsidRDefault="001C0FFC" w:rsidP="00DB72EA">
      <w:pPr>
        <w:tabs>
          <w:tab w:val="right" w:pos="8363"/>
        </w:tabs>
        <w:rPr>
          <w:rFonts w:ascii="Times New Roman" w:hAnsi="Times New Roman"/>
          <w:b/>
          <w:sz w:val="24"/>
          <w:szCs w:val="24"/>
          <w:lang w:val="en-GB"/>
        </w:rPr>
      </w:pPr>
    </w:p>
    <w:p w14:paraId="48E71AB3" w14:textId="77777777" w:rsidR="001C0FFC" w:rsidRDefault="001C0FFC" w:rsidP="00DB72EA">
      <w:pPr>
        <w:tabs>
          <w:tab w:val="right" w:pos="8363"/>
        </w:tabs>
        <w:rPr>
          <w:rFonts w:ascii="Times New Roman" w:hAnsi="Times New Roman"/>
          <w:b/>
          <w:sz w:val="24"/>
          <w:szCs w:val="24"/>
          <w:lang w:val="en-GB"/>
        </w:rPr>
      </w:pPr>
    </w:p>
    <w:p w14:paraId="64F83079" w14:textId="77777777" w:rsidR="00872545" w:rsidRDefault="00872545" w:rsidP="00DB72EA">
      <w:pPr>
        <w:tabs>
          <w:tab w:val="right" w:pos="8363"/>
        </w:tabs>
        <w:rPr>
          <w:rFonts w:ascii="Times New Roman" w:hAnsi="Times New Roman"/>
          <w:b/>
          <w:sz w:val="24"/>
          <w:szCs w:val="24"/>
          <w:lang w:val="en-GB"/>
        </w:rPr>
      </w:pPr>
    </w:p>
    <w:p w14:paraId="20687DEE" w14:textId="77777777" w:rsidR="00872545" w:rsidRDefault="00872545" w:rsidP="00DB72EA">
      <w:pPr>
        <w:tabs>
          <w:tab w:val="right" w:pos="8363"/>
        </w:tabs>
        <w:rPr>
          <w:rFonts w:ascii="Times New Roman" w:hAnsi="Times New Roman"/>
          <w:b/>
          <w:sz w:val="24"/>
          <w:szCs w:val="24"/>
          <w:lang w:val="en-GB"/>
        </w:rPr>
      </w:pPr>
    </w:p>
    <w:p w14:paraId="63B3E37C" w14:textId="77777777" w:rsidR="00872545" w:rsidRDefault="00872545" w:rsidP="00DB72EA">
      <w:pPr>
        <w:tabs>
          <w:tab w:val="right" w:pos="8363"/>
        </w:tabs>
        <w:rPr>
          <w:rFonts w:ascii="Times New Roman" w:hAnsi="Times New Roman"/>
          <w:b/>
          <w:sz w:val="24"/>
          <w:szCs w:val="24"/>
          <w:lang w:val="en-GB"/>
        </w:rPr>
      </w:pPr>
    </w:p>
    <w:p w14:paraId="072AE597" w14:textId="77777777" w:rsidR="00872545" w:rsidRDefault="00872545" w:rsidP="00DB72EA">
      <w:pPr>
        <w:tabs>
          <w:tab w:val="right" w:pos="8363"/>
        </w:tabs>
        <w:rPr>
          <w:rFonts w:ascii="Times New Roman" w:hAnsi="Times New Roman"/>
          <w:b/>
          <w:sz w:val="24"/>
          <w:szCs w:val="24"/>
          <w:lang w:val="en-GB"/>
        </w:rPr>
      </w:pPr>
    </w:p>
    <w:p w14:paraId="13B687A8" w14:textId="77777777" w:rsidR="00AC671A" w:rsidRPr="0094523C" w:rsidRDefault="00A56A0F" w:rsidP="00DA077A">
      <w:pPr>
        <w:tabs>
          <w:tab w:val="right" w:pos="8363"/>
        </w:tabs>
        <w:spacing w:before="720"/>
        <w:rPr>
          <w:rFonts w:ascii="Times New Roman" w:hAnsi="Times New Roman"/>
        </w:rPr>
      </w:pPr>
      <w:r w:rsidRPr="00744552">
        <w:rPr>
          <w:rFonts w:ascii="Times New Roman" w:hAnsi="Times New Roman"/>
        </w:rPr>
        <w:t>Contact address:</w:t>
      </w:r>
      <w:r w:rsidR="00DA077A">
        <w:rPr>
          <w:rFonts w:ascii="Times New Roman" w:hAnsi="Times New Roman"/>
        </w:rPr>
        <w:t xml:space="preserve"> </w:t>
      </w:r>
      <w:r w:rsidR="00DA077A" w:rsidRPr="00DA077A">
        <w:rPr>
          <w:rFonts w:ascii="Times New Roman" w:hAnsi="Times New Roman"/>
          <w:lang w:val="en-GB"/>
        </w:rPr>
        <w:t>Am Steinfels 1, 65618 Selters,</w:t>
      </w:r>
      <w:r w:rsidR="00DA077A">
        <w:rPr>
          <w:rFonts w:ascii="Times New Roman" w:hAnsi="Times New Roman"/>
          <w:lang w:val="en-GB"/>
        </w:rPr>
        <w:t xml:space="preserve"> </w:t>
      </w:r>
      <w:r w:rsidR="00DA077A" w:rsidRPr="00DA077A">
        <w:rPr>
          <w:rFonts w:ascii="Times New Roman" w:hAnsi="Times New Roman"/>
          <w:lang w:val="en-GB"/>
        </w:rPr>
        <w:t>Germany</w:t>
      </w:r>
      <w:r w:rsidR="00DA077A" w:rsidRPr="00DA077A">
        <w:rPr>
          <w:rFonts w:ascii="Times New Roman" w:hAnsi="Times New Roman"/>
          <w:lang w:val="en-GB"/>
        </w:rPr>
        <w:br/>
        <w:t>Tel.: +49 6483 41 3802</w:t>
      </w:r>
      <w:r w:rsidR="00FD6C9A" w:rsidRPr="0094523C">
        <w:rPr>
          <w:rFonts w:ascii="Times New Roman" w:hAnsi="Times New Roman"/>
        </w:rPr>
        <w:t xml:space="preserve"> </w:t>
      </w:r>
      <w:r w:rsidRPr="0094523C">
        <w:rPr>
          <w:rFonts w:ascii="Times New Roman" w:hAnsi="Times New Roman"/>
        </w:rPr>
        <w:t xml:space="preserve">- E-mail: </w:t>
      </w:r>
      <w:hyperlink r:id="rId11" w:history="1">
        <w:r w:rsidRPr="0094523C">
          <w:rPr>
            <w:rStyle w:val="Hyperlink"/>
            <w:rFonts w:ascii="Times New Roman" w:hAnsi="Times New Roman"/>
          </w:rPr>
          <w:t>jwitnesses.be@jw.org</w:t>
        </w:r>
      </w:hyperlink>
    </w:p>
    <w:p w14:paraId="5C7EFB8A" w14:textId="77777777" w:rsidR="00AC671A" w:rsidRPr="0094523C" w:rsidRDefault="00A56A0F" w:rsidP="00AC671A">
      <w:pPr>
        <w:spacing w:before="60"/>
        <w:rPr>
          <w:rFonts w:ascii="Times New Roman" w:hAnsi="Times New Roman"/>
        </w:rPr>
      </w:pPr>
      <w:r w:rsidRPr="0094523C">
        <w:rPr>
          <w:rFonts w:ascii="Times New Roman" w:hAnsi="Times New Roman"/>
        </w:rPr>
        <w:br w:type="column"/>
      </w:r>
    </w:p>
    <w:p w14:paraId="0E84D03A" w14:textId="77777777" w:rsidR="00B757F4" w:rsidRPr="004808CA" w:rsidRDefault="00A56A0F">
      <w:pPr>
        <w:pStyle w:val="TOCHeading"/>
        <w:rPr>
          <w:rFonts w:ascii="Times New Roman" w:hAnsi="Times New Roman"/>
          <w:smallCaps/>
        </w:rPr>
      </w:pPr>
      <w:r w:rsidRPr="004808CA">
        <w:rPr>
          <w:rFonts w:ascii="Times New Roman" w:hAnsi="Times New Roman"/>
          <w:smallCaps/>
        </w:rPr>
        <w:t>Table of Contents</w:t>
      </w:r>
    </w:p>
    <w:p w14:paraId="1834F48C" w14:textId="77777777" w:rsidR="00B757F4" w:rsidRPr="00606691" w:rsidRDefault="00B757F4" w:rsidP="00B757F4">
      <w:pPr>
        <w:rPr>
          <w:rFonts w:ascii="Times New Roman" w:hAnsi="Times New Roman"/>
          <w:sz w:val="24"/>
          <w:szCs w:val="24"/>
        </w:rPr>
      </w:pPr>
    </w:p>
    <w:p w14:paraId="42967088" w14:textId="77777777" w:rsidR="00B57E31" w:rsidRPr="004F1859" w:rsidRDefault="00A56A0F" w:rsidP="004F1859">
      <w:pPr>
        <w:pStyle w:val="TOC1"/>
        <w:rPr>
          <w:kern w:val="2"/>
          <w:sz w:val="20"/>
          <w:lang w:eastAsia="ko-KR"/>
        </w:rPr>
      </w:pPr>
      <w:r w:rsidRPr="00B0686A">
        <w:fldChar w:fldCharType="begin"/>
      </w:r>
      <w:r w:rsidRPr="00B0686A">
        <w:instrText xml:space="preserve"> TOC \o "1-3" \h \z \u </w:instrText>
      </w:r>
      <w:r w:rsidRPr="00B0686A">
        <w:fldChar w:fldCharType="separate"/>
      </w:r>
      <w:hyperlink w:anchor="_Toc68162659" w:history="1">
        <w:r w:rsidRPr="004F1859">
          <w:rPr>
            <w:rStyle w:val="Hyperlink"/>
            <w:bCs/>
            <w:color w:val="auto"/>
          </w:rPr>
          <w:t>SUMMARY OF THE SUBMISSION</w:t>
        </w:r>
        <w:r w:rsidRPr="004F1859">
          <w:rPr>
            <w:webHidden/>
          </w:rPr>
          <w:tab/>
        </w:r>
        <w:r w:rsidRPr="004F1859">
          <w:rPr>
            <w:webHidden/>
          </w:rPr>
          <w:fldChar w:fldCharType="begin"/>
        </w:r>
        <w:r w:rsidRPr="004F1859">
          <w:rPr>
            <w:webHidden/>
          </w:rPr>
          <w:instrText xml:space="preserve"> PAGEREF _Toc68162659 \h </w:instrText>
        </w:r>
        <w:r w:rsidRPr="004F1859">
          <w:rPr>
            <w:webHidden/>
          </w:rPr>
        </w:r>
        <w:r w:rsidRPr="004F1859">
          <w:rPr>
            <w:webHidden/>
          </w:rPr>
          <w:fldChar w:fldCharType="separate"/>
        </w:r>
        <w:r w:rsidRPr="004F1859">
          <w:rPr>
            <w:webHidden/>
          </w:rPr>
          <w:t>2</w:t>
        </w:r>
        <w:r w:rsidRPr="004F1859">
          <w:rPr>
            <w:webHidden/>
          </w:rPr>
          <w:fldChar w:fldCharType="end"/>
        </w:r>
      </w:hyperlink>
    </w:p>
    <w:p w14:paraId="2067EACC" w14:textId="77777777" w:rsidR="00B57E31" w:rsidRPr="004F1859" w:rsidRDefault="00A56A0F" w:rsidP="004F1859">
      <w:pPr>
        <w:pStyle w:val="TOC1"/>
        <w:rPr>
          <w:kern w:val="2"/>
          <w:sz w:val="20"/>
          <w:lang w:eastAsia="ko-KR"/>
        </w:rPr>
      </w:pPr>
      <w:hyperlink w:anchor="_Toc68162660" w:history="1">
        <w:r w:rsidRPr="004F1859">
          <w:rPr>
            <w:rStyle w:val="Hyperlink"/>
            <w:color w:val="auto"/>
          </w:rPr>
          <w:t>I.</w:t>
        </w:r>
        <w:r w:rsidRPr="004F1859">
          <w:rPr>
            <w:kern w:val="2"/>
            <w:sz w:val="20"/>
            <w:lang w:eastAsia="ko-KR"/>
          </w:rPr>
          <w:tab/>
        </w:r>
        <w:r w:rsidRPr="004F1859">
          <w:rPr>
            <w:rStyle w:val="Hyperlink"/>
            <w:color w:val="auto"/>
          </w:rPr>
          <w:t>INTRODUCTION</w:t>
        </w:r>
        <w:r w:rsidRPr="004F1859">
          <w:rPr>
            <w:webHidden/>
          </w:rPr>
          <w:tab/>
        </w:r>
        <w:r w:rsidRPr="004F1859">
          <w:rPr>
            <w:webHidden/>
          </w:rPr>
          <w:fldChar w:fldCharType="begin"/>
        </w:r>
        <w:r w:rsidRPr="004F1859">
          <w:rPr>
            <w:webHidden/>
          </w:rPr>
          <w:instrText xml:space="preserve"> PAGEREF _Toc68162660 \h </w:instrText>
        </w:r>
        <w:r w:rsidRPr="004F1859">
          <w:rPr>
            <w:webHidden/>
          </w:rPr>
        </w:r>
        <w:r w:rsidRPr="004F1859">
          <w:rPr>
            <w:webHidden/>
          </w:rPr>
          <w:fldChar w:fldCharType="separate"/>
        </w:r>
        <w:r w:rsidRPr="004F1859">
          <w:rPr>
            <w:webHidden/>
          </w:rPr>
          <w:t>2</w:t>
        </w:r>
        <w:r w:rsidRPr="004F1859">
          <w:rPr>
            <w:webHidden/>
          </w:rPr>
          <w:fldChar w:fldCharType="end"/>
        </w:r>
      </w:hyperlink>
    </w:p>
    <w:p w14:paraId="4DA76256" w14:textId="77777777" w:rsidR="00B57E31" w:rsidRPr="004F1859" w:rsidRDefault="00A56A0F" w:rsidP="004F1859">
      <w:pPr>
        <w:pStyle w:val="TOC1"/>
        <w:rPr>
          <w:kern w:val="2"/>
          <w:sz w:val="20"/>
          <w:lang w:eastAsia="ko-KR"/>
        </w:rPr>
      </w:pPr>
      <w:hyperlink w:anchor="_Toc68162661" w:history="1">
        <w:r w:rsidRPr="004F1859">
          <w:rPr>
            <w:rStyle w:val="Hyperlink"/>
            <w:caps/>
            <w:color w:val="auto"/>
          </w:rPr>
          <w:t>II.</w:t>
        </w:r>
        <w:r w:rsidRPr="004F1859">
          <w:rPr>
            <w:kern w:val="2"/>
            <w:sz w:val="20"/>
            <w:lang w:eastAsia="ko-KR"/>
          </w:rPr>
          <w:tab/>
        </w:r>
        <w:r w:rsidRPr="004F1859">
          <w:rPr>
            <w:rStyle w:val="Hyperlink"/>
            <w:caps/>
            <w:color w:val="auto"/>
          </w:rPr>
          <w:t xml:space="preserve">ISSUE: CONSCIENTIOUS OBJECTION TO MILITARY SERVICE (VIOLATIONS OF ARTICLE 18 of the Covenant AND </w:t>
        </w:r>
        <w:r w:rsidR="00D90B22">
          <w:rPr>
            <w:rStyle w:val="Hyperlink"/>
            <w:caps/>
            <w:color w:val="auto"/>
          </w:rPr>
          <w:t xml:space="preserve">ARTICLE </w:t>
        </w:r>
        <w:r w:rsidRPr="004F1859">
          <w:rPr>
            <w:rStyle w:val="Hyperlink"/>
            <w:caps/>
            <w:color w:val="auto"/>
          </w:rPr>
          <w:t>9 of the European Convention on Human rights)</w:t>
        </w:r>
        <w:r w:rsidRPr="004F1859">
          <w:rPr>
            <w:webHidden/>
          </w:rPr>
          <w:tab/>
        </w:r>
        <w:r w:rsidRPr="004F1859">
          <w:rPr>
            <w:webHidden/>
          </w:rPr>
          <w:fldChar w:fldCharType="begin"/>
        </w:r>
        <w:r w:rsidRPr="004F1859">
          <w:rPr>
            <w:webHidden/>
          </w:rPr>
          <w:instrText xml:space="preserve"> PAGEREF _Toc68162661 \h </w:instrText>
        </w:r>
        <w:r w:rsidRPr="004F1859">
          <w:rPr>
            <w:webHidden/>
          </w:rPr>
        </w:r>
        <w:r w:rsidRPr="004F1859">
          <w:rPr>
            <w:webHidden/>
          </w:rPr>
          <w:fldChar w:fldCharType="separate"/>
        </w:r>
        <w:r w:rsidRPr="004F1859">
          <w:rPr>
            <w:webHidden/>
          </w:rPr>
          <w:t>3</w:t>
        </w:r>
        <w:r w:rsidRPr="004F1859">
          <w:rPr>
            <w:webHidden/>
          </w:rPr>
          <w:fldChar w:fldCharType="end"/>
        </w:r>
      </w:hyperlink>
    </w:p>
    <w:p w14:paraId="297448FF" w14:textId="77777777" w:rsidR="00B57E31" w:rsidRPr="004F1859" w:rsidRDefault="00A56A0F" w:rsidP="004F1859">
      <w:pPr>
        <w:pStyle w:val="TOC1"/>
        <w:rPr>
          <w:rFonts w:ascii="Malgun Gothic" w:hAnsi="Malgun Gothic"/>
          <w:kern w:val="2"/>
          <w:sz w:val="20"/>
          <w:lang w:eastAsia="ko-KR"/>
        </w:rPr>
      </w:pPr>
      <w:r w:rsidRPr="004F1859">
        <w:rPr>
          <w:rStyle w:val="Hyperlink"/>
          <w:color w:val="auto"/>
        </w:rPr>
        <w:t>III.</w:t>
      </w:r>
      <w:r w:rsidRPr="004F1859">
        <w:rPr>
          <w:rFonts w:ascii="Malgun Gothic" w:hAnsi="Malgun Gothic"/>
          <w:kern w:val="2"/>
          <w:sz w:val="20"/>
          <w:lang w:eastAsia="ko-KR"/>
        </w:rPr>
        <w:tab/>
      </w:r>
      <w:r w:rsidRPr="004F1859">
        <w:rPr>
          <w:rStyle w:val="Hyperlink"/>
          <w:color w:val="auto"/>
        </w:rPr>
        <w:t>CONCLUSION AND RECOMMENDATIONS</w:t>
      </w:r>
      <w:r w:rsidRPr="004F1859">
        <w:rPr>
          <w:webHidden/>
        </w:rPr>
        <w:tab/>
      </w:r>
      <w:r w:rsidRPr="004F1859">
        <w:rPr>
          <w:rStyle w:val="Hyperlink"/>
          <w:color w:val="auto"/>
        </w:rPr>
        <w:t>8</w:t>
      </w:r>
    </w:p>
    <w:p w14:paraId="6D212A9D" w14:textId="77777777" w:rsidR="00B757F4" w:rsidRDefault="00A56A0F" w:rsidP="00B0686A">
      <w:pPr>
        <w:spacing w:line="360" w:lineRule="auto"/>
        <w:rPr>
          <w:rFonts w:ascii="Times New Roman" w:hAnsi="Times New Roman"/>
          <w:bCs/>
          <w:noProof/>
          <w:sz w:val="24"/>
          <w:szCs w:val="24"/>
        </w:rPr>
      </w:pPr>
      <w:r w:rsidRPr="00B0686A">
        <w:rPr>
          <w:rFonts w:ascii="Times New Roman" w:hAnsi="Times New Roman"/>
          <w:bCs/>
          <w:noProof/>
          <w:sz w:val="24"/>
          <w:szCs w:val="24"/>
        </w:rPr>
        <w:fldChar w:fldCharType="end"/>
      </w:r>
    </w:p>
    <w:p w14:paraId="2C6CA9EB" w14:textId="77777777" w:rsidR="001C0FFC" w:rsidRDefault="001C0FFC" w:rsidP="00606691">
      <w:pPr>
        <w:spacing w:line="360" w:lineRule="auto"/>
        <w:rPr>
          <w:rFonts w:ascii="Times New Roman" w:hAnsi="Times New Roman"/>
          <w:bCs/>
          <w:noProof/>
          <w:sz w:val="24"/>
          <w:szCs w:val="24"/>
        </w:rPr>
      </w:pPr>
    </w:p>
    <w:p w14:paraId="5FBF70F7" w14:textId="77777777" w:rsidR="001C0FFC" w:rsidRPr="004F1859" w:rsidRDefault="001C0FFC" w:rsidP="004F1859"/>
    <w:p w14:paraId="4E5D9057" w14:textId="77777777" w:rsidR="001C0FFC" w:rsidRPr="004F1859" w:rsidRDefault="00A56A0F" w:rsidP="004F1859">
      <w:pPr>
        <w:pStyle w:val="TOCHeading"/>
        <w:jc w:val="both"/>
        <w:rPr>
          <w:rFonts w:ascii="Times New Roman" w:hAnsi="Times New Roman"/>
          <w:smallCaps/>
          <w:lang w:val="en-GB"/>
        </w:rPr>
      </w:pPr>
      <w:r w:rsidRPr="004F1859">
        <w:rPr>
          <w:rFonts w:ascii="Times New Roman" w:hAnsi="Times New Roman"/>
          <w:smallCaps/>
          <w:lang w:val="en-GB"/>
        </w:rPr>
        <w:t>Annex</w:t>
      </w:r>
    </w:p>
    <w:p w14:paraId="767746EC" w14:textId="77777777" w:rsidR="001C0FFC" w:rsidRPr="004F1859" w:rsidRDefault="00A56A0F" w:rsidP="004F1859">
      <w:pPr>
        <w:autoSpaceDE w:val="0"/>
        <w:autoSpaceDN w:val="0"/>
        <w:adjustRightInd w:val="0"/>
        <w:ind w:left="1440" w:hanging="1440"/>
        <w:jc w:val="both"/>
        <w:rPr>
          <w:rFonts w:ascii="Times New Roman" w:hAnsi="Times New Roman"/>
          <w:sz w:val="24"/>
          <w:szCs w:val="24"/>
        </w:rPr>
      </w:pPr>
      <w:r w:rsidRPr="004F1859">
        <w:rPr>
          <w:rFonts w:ascii="Times New Roman" w:hAnsi="Times New Roman"/>
          <w:sz w:val="24"/>
          <w:szCs w:val="24"/>
        </w:rPr>
        <w:t xml:space="preserve">Annex 1 </w:t>
      </w:r>
      <w:r w:rsidR="00A9693F">
        <w:rPr>
          <w:rFonts w:ascii="Times New Roman" w:hAnsi="Times New Roman"/>
          <w:sz w:val="24"/>
          <w:szCs w:val="24"/>
        </w:rPr>
        <w:t>—</w:t>
      </w:r>
      <w:r w:rsidRPr="004F1859">
        <w:rPr>
          <w:rFonts w:ascii="Times New Roman" w:hAnsi="Times New Roman"/>
          <w:sz w:val="24"/>
          <w:szCs w:val="24"/>
        </w:rPr>
        <w:t xml:space="preserve"> </w:t>
      </w:r>
      <w:r w:rsidR="008162D7" w:rsidRPr="004F1859">
        <w:rPr>
          <w:rFonts w:ascii="Times New Roman" w:hAnsi="Times New Roman"/>
          <w:sz w:val="24"/>
          <w:szCs w:val="24"/>
        </w:rPr>
        <w:tab/>
      </w:r>
      <w:bookmarkStart w:id="1" w:name="_Hlk67958338"/>
      <w:r w:rsidR="008162D7" w:rsidRPr="004F1859">
        <w:rPr>
          <w:rFonts w:ascii="Times New Roman" w:hAnsi="Times New Roman"/>
          <w:sz w:val="24"/>
          <w:szCs w:val="24"/>
        </w:rPr>
        <w:t>Committee of Ministers of the Council of Europe, Turkish government’s submissions in response to the Committee of Minister’s decision adopted at its 1377</w:t>
      </w:r>
      <w:r w:rsidR="008162D7" w:rsidRPr="004F1859">
        <w:rPr>
          <w:rFonts w:ascii="Times New Roman" w:hAnsi="Times New Roman"/>
          <w:sz w:val="24"/>
          <w:szCs w:val="24"/>
          <w:vertAlign w:val="superscript"/>
        </w:rPr>
        <w:t>th</w:t>
      </w:r>
      <w:r w:rsidR="008162D7" w:rsidRPr="004F1859">
        <w:rPr>
          <w:rFonts w:ascii="Times New Roman" w:hAnsi="Times New Roman"/>
          <w:sz w:val="24"/>
          <w:szCs w:val="24"/>
        </w:rPr>
        <w:t xml:space="preserve"> meeting on 4 June 2020 </w:t>
      </w:r>
      <w:bookmarkEnd w:id="1"/>
    </w:p>
    <w:p w14:paraId="58E8CC76" w14:textId="77777777" w:rsidR="00B757F4" w:rsidRPr="00744552" w:rsidRDefault="00B757F4" w:rsidP="00AC671A">
      <w:pPr>
        <w:spacing w:before="60"/>
        <w:rPr>
          <w:rFonts w:ascii="Times New Roman" w:hAnsi="Times New Roman"/>
        </w:rPr>
      </w:pPr>
    </w:p>
    <w:p w14:paraId="75F8A71A" w14:textId="77777777" w:rsidR="00AC671A" w:rsidRPr="00B46476" w:rsidRDefault="00AC671A" w:rsidP="00AC671A">
      <w:pPr>
        <w:jc w:val="both"/>
        <w:rPr>
          <w:rFonts w:ascii="Times New Roman" w:hAnsi="Times New Roman"/>
          <w:b/>
          <w:i/>
          <w:sz w:val="24"/>
          <w:szCs w:val="24"/>
          <w:lang w:val="en-GB"/>
        </w:rPr>
      </w:pPr>
    </w:p>
    <w:p w14:paraId="5F2F8149" w14:textId="77777777" w:rsidR="00DB72EA" w:rsidRPr="0056755F" w:rsidRDefault="00DB72EA" w:rsidP="00DB72EA">
      <w:pPr>
        <w:rPr>
          <w:rFonts w:ascii="Times New Roman" w:hAnsi="Times New Roman"/>
          <w:b/>
          <w:i/>
          <w:color w:val="FF0000"/>
          <w:sz w:val="24"/>
          <w:szCs w:val="24"/>
          <w:lang w:val="en-GB"/>
        </w:rPr>
        <w:sectPr w:rsidR="00DB72EA" w:rsidRPr="0056755F" w:rsidSect="00DB72EA">
          <w:headerReference w:type="default" r:id="rId12"/>
          <w:headerReference w:type="first" r:id="rId13"/>
          <w:footerReference w:type="first" r:id="rId14"/>
          <w:pgSz w:w="11899" w:h="16838" w:code="9"/>
          <w:pgMar w:top="238" w:right="1134" w:bottom="250" w:left="1134" w:header="0" w:footer="0" w:gutter="0"/>
          <w:paperSrc w:first="1" w:other="1"/>
          <w:pgNumType w:start="0"/>
          <w:cols w:space="720"/>
          <w:titlePg/>
          <w:docGrid w:linePitch="326"/>
        </w:sect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9611"/>
      </w:tblGrid>
      <w:tr w:rsidR="001619E7" w14:paraId="04352406" w14:textId="77777777" w:rsidTr="00DB72EA">
        <w:trPr>
          <w:trHeight w:val="2325"/>
        </w:trPr>
        <w:tc>
          <w:tcPr>
            <w:tcW w:w="9839" w:type="dxa"/>
            <w:shd w:val="clear" w:color="auto" w:fill="D3DFEE"/>
          </w:tcPr>
          <w:p w14:paraId="3C7FBCA4" w14:textId="77777777" w:rsidR="00AC671A" w:rsidRPr="007F47EF" w:rsidRDefault="00A56A0F" w:rsidP="00AC671A">
            <w:pPr>
              <w:pStyle w:val="Heading1"/>
              <w:rPr>
                <w:rFonts w:ascii="Times New Roman" w:hAnsi="Times New Roman"/>
                <w:b w:val="0"/>
                <w:bCs/>
                <w:color w:val="auto"/>
              </w:rPr>
            </w:pPr>
            <w:bookmarkStart w:id="2" w:name="_Toc354402755"/>
            <w:bookmarkStart w:id="3" w:name="_Toc518998911"/>
            <w:bookmarkStart w:id="4" w:name="_Toc68162659"/>
            <w:r w:rsidRPr="007F47EF">
              <w:rPr>
                <w:rFonts w:ascii="Times New Roman" w:hAnsi="Times New Roman"/>
                <w:b w:val="0"/>
                <w:bCs/>
                <w:color w:val="auto"/>
              </w:rPr>
              <w:lastRenderedPageBreak/>
              <w:t>SUMMARY OF THE SUBMISSION</w:t>
            </w:r>
            <w:bookmarkEnd w:id="2"/>
            <w:bookmarkEnd w:id="3"/>
            <w:bookmarkEnd w:id="4"/>
          </w:p>
          <w:p w14:paraId="0B74A15E" w14:textId="77777777" w:rsidR="00606691" w:rsidRPr="009D107D" w:rsidRDefault="00A56A0F" w:rsidP="00B757F4">
            <w:pPr>
              <w:topLinePunct/>
              <w:spacing w:after="240"/>
              <w:ind w:right="213"/>
              <w:jc w:val="both"/>
              <w:rPr>
                <w:rFonts w:ascii="Times New Roman" w:hAnsi="Times New Roman"/>
                <w:bCs/>
                <w:kern w:val="2"/>
                <w:sz w:val="24"/>
                <w:szCs w:val="24"/>
              </w:rPr>
            </w:pPr>
            <w:r w:rsidRPr="007F47EF">
              <w:rPr>
                <w:rFonts w:ascii="Times New Roman" w:hAnsi="Times New Roman"/>
                <w:bCs/>
                <w:kern w:val="2"/>
                <w:sz w:val="24"/>
                <w:szCs w:val="24"/>
              </w:rPr>
              <w:t xml:space="preserve">This submission to the Human Rights </w:t>
            </w:r>
            <w:r w:rsidR="009A4724" w:rsidRPr="007F47EF">
              <w:rPr>
                <w:rFonts w:ascii="Times New Roman" w:hAnsi="Times New Roman"/>
                <w:bCs/>
                <w:kern w:val="2"/>
                <w:sz w:val="24"/>
                <w:szCs w:val="24"/>
              </w:rPr>
              <w:t>Committee (CCPR)</w:t>
            </w:r>
            <w:r w:rsidRPr="009D107D">
              <w:rPr>
                <w:rFonts w:ascii="Times New Roman" w:hAnsi="Times New Roman"/>
                <w:bCs/>
                <w:kern w:val="2"/>
                <w:sz w:val="24"/>
                <w:szCs w:val="24"/>
              </w:rPr>
              <w:t xml:space="preserve"> on </w:t>
            </w:r>
            <w:r w:rsidR="00BF1D87" w:rsidRPr="009D107D">
              <w:rPr>
                <w:rFonts w:ascii="Times New Roman" w:hAnsi="Times New Roman"/>
                <w:bCs/>
                <w:kern w:val="2"/>
                <w:sz w:val="24"/>
                <w:szCs w:val="24"/>
              </w:rPr>
              <w:t>Turkey</w:t>
            </w:r>
            <w:r w:rsidR="00BF1D87" w:rsidRPr="005304DB">
              <w:rPr>
                <w:rFonts w:ascii="Times New Roman" w:hAnsi="Times New Roman"/>
                <w:bCs/>
                <w:kern w:val="2"/>
                <w:sz w:val="24"/>
                <w:szCs w:val="24"/>
              </w:rPr>
              <w:t xml:space="preserve"> </w:t>
            </w:r>
            <w:r w:rsidRPr="007F47EF">
              <w:rPr>
                <w:rFonts w:ascii="Times New Roman" w:hAnsi="Times New Roman"/>
                <w:bCs/>
                <w:kern w:val="2"/>
                <w:sz w:val="24"/>
                <w:szCs w:val="24"/>
              </w:rPr>
              <w:t xml:space="preserve">highlights violations of the provisions of the International Covenant </w:t>
            </w:r>
            <w:r w:rsidRPr="009D107D">
              <w:rPr>
                <w:rFonts w:ascii="Times New Roman" w:hAnsi="Times New Roman"/>
                <w:bCs/>
                <w:kern w:val="2"/>
                <w:sz w:val="24"/>
                <w:szCs w:val="24"/>
              </w:rPr>
              <w:t>on Civil and Political Rights (</w:t>
            </w:r>
            <w:r w:rsidR="005C15A7" w:rsidRPr="009D107D">
              <w:rPr>
                <w:rFonts w:ascii="Times New Roman" w:hAnsi="Times New Roman"/>
                <w:bCs/>
                <w:kern w:val="2"/>
                <w:sz w:val="24"/>
                <w:szCs w:val="24"/>
              </w:rPr>
              <w:t xml:space="preserve">the </w:t>
            </w:r>
            <w:r w:rsidR="00B0686A" w:rsidRPr="009D107D">
              <w:rPr>
                <w:rFonts w:ascii="Times New Roman" w:hAnsi="Times New Roman"/>
                <w:bCs/>
                <w:kern w:val="2"/>
                <w:sz w:val="24"/>
                <w:szCs w:val="24"/>
              </w:rPr>
              <w:t>Covenant</w:t>
            </w:r>
            <w:r w:rsidRPr="009D107D">
              <w:rPr>
                <w:rFonts w:ascii="Times New Roman" w:hAnsi="Times New Roman"/>
                <w:bCs/>
                <w:kern w:val="2"/>
                <w:sz w:val="24"/>
                <w:szCs w:val="24"/>
              </w:rPr>
              <w:t>) prior</w:t>
            </w:r>
            <w:r w:rsidRPr="005304DB">
              <w:rPr>
                <w:rFonts w:ascii="Times New Roman" w:hAnsi="Times New Roman"/>
                <w:bCs/>
                <w:kern w:val="2"/>
                <w:sz w:val="24"/>
                <w:szCs w:val="24"/>
              </w:rPr>
              <w:t xml:space="preserve"> </w:t>
            </w:r>
            <w:r w:rsidRPr="007F47EF">
              <w:rPr>
                <w:rFonts w:ascii="Times New Roman" w:hAnsi="Times New Roman"/>
                <w:bCs/>
                <w:kern w:val="2"/>
                <w:sz w:val="24"/>
                <w:szCs w:val="24"/>
              </w:rPr>
              <w:t xml:space="preserve">to </w:t>
            </w:r>
            <w:r w:rsidRPr="007F47EF">
              <w:rPr>
                <w:rFonts w:ascii="Times New Roman" w:hAnsi="Times New Roman"/>
                <w:bCs/>
                <w:kern w:val="2"/>
                <w:sz w:val="24"/>
                <w:szCs w:val="24"/>
              </w:rPr>
              <w:t>the adoption</w:t>
            </w:r>
            <w:r w:rsidRPr="007F47EF">
              <w:rPr>
                <w:rFonts w:ascii="Times New Roman" w:hAnsi="Times New Roman"/>
                <w:b/>
                <w:bCs/>
                <w:kern w:val="2"/>
                <w:sz w:val="24"/>
                <w:szCs w:val="24"/>
              </w:rPr>
              <w:t xml:space="preserve"> </w:t>
            </w:r>
            <w:r w:rsidRPr="007F47EF">
              <w:rPr>
                <w:rFonts w:ascii="Times New Roman" w:hAnsi="Times New Roman"/>
                <w:bCs/>
                <w:kern w:val="2"/>
                <w:sz w:val="24"/>
                <w:szCs w:val="24"/>
              </w:rPr>
              <w:t>of the</w:t>
            </w:r>
            <w:r w:rsidRPr="009D107D">
              <w:rPr>
                <w:rFonts w:ascii="Times New Roman" w:hAnsi="Times New Roman"/>
                <w:bCs/>
                <w:i/>
                <w:kern w:val="2"/>
                <w:sz w:val="24"/>
                <w:szCs w:val="24"/>
              </w:rPr>
              <w:t xml:space="preserve"> List of </w:t>
            </w:r>
            <w:r w:rsidR="00DA077A" w:rsidRPr="009D107D">
              <w:rPr>
                <w:rFonts w:ascii="Times New Roman" w:hAnsi="Times New Roman"/>
                <w:bCs/>
                <w:i/>
                <w:kern w:val="2"/>
                <w:sz w:val="24"/>
                <w:szCs w:val="24"/>
              </w:rPr>
              <w:t xml:space="preserve">Issues </w:t>
            </w:r>
            <w:r w:rsidRPr="009D107D">
              <w:rPr>
                <w:rFonts w:ascii="Times New Roman" w:hAnsi="Times New Roman"/>
                <w:bCs/>
                <w:kern w:val="2"/>
                <w:sz w:val="24"/>
                <w:szCs w:val="24"/>
              </w:rPr>
              <w:t xml:space="preserve">to be taken up in connection with the consideration of the </w:t>
            </w:r>
            <w:r w:rsidR="00DF248A" w:rsidRPr="009D107D">
              <w:rPr>
                <w:rFonts w:ascii="Times New Roman" w:hAnsi="Times New Roman"/>
                <w:bCs/>
                <w:kern w:val="2"/>
                <w:sz w:val="24"/>
                <w:szCs w:val="24"/>
              </w:rPr>
              <w:t>2</w:t>
            </w:r>
            <w:r w:rsidR="00DF248A" w:rsidRPr="005304DB">
              <w:rPr>
                <w:rFonts w:ascii="Times New Roman" w:hAnsi="Times New Roman"/>
                <w:bCs/>
                <w:kern w:val="2"/>
                <w:sz w:val="24"/>
                <w:szCs w:val="24"/>
                <w:vertAlign w:val="superscript"/>
              </w:rPr>
              <w:t>nd</w:t>
            </w:r>
            <w:r w:rsidR="00DF248A" w:rsidRPr="007F47EF">
              <w:rPr>
                <w:rFonts w:ascii="Times New Roman" w:hAnsi="Times New Roman"/>
                <w:bCs/>
                <w:kern w:val="2"/>
                <w:sz w:val="24"/>
                <w:szCs w:val="24"/>
              </w:rPr>
              <w:t xml:space="preserve"> </w:t>
            </w:r>
            <w:r w:rsidRPr="007F47EF">
              <w:rPr>
                <w:rFonts w:ascii="Times New Roman" w:hAnsi="Times New Roman"/>
                <w:bCs/>
                <w:kern w:val="2"/>
                <w:sz w:val="24"/>
                <w:szCs w:val="24"/>
              </w:rPr>
              <w:t xml:space="preserve">report of </w:t>
            </w:r>
            <w:r w:rsidR="00BF1D87" w:rsidRPr="009D107D">
              <w:rPr>
                <w:rFonts w:ascii="Times New Roman" w:hAnsi="Times New Roman"/>
                <w:bCs/>
                <w:kern w:val="2"/>
                <w:sz w:val="24"/>
                <w:szCs w:val="24"/>
              </w:rPr>
              <w:t>Turkey</w:t>
            </w:r>
            <w:r w:rsidR="000A0F29" w:rsidRPr="009D107D">
              <w:rPr>
                <w:rFonts w:ascii="Times New Roman" w:hAnsi="Times New Roman"/>
                <w:bCs/>
                <w:kern w:val="2"/>
                <w:sz w:val="24"/>
                <w:szCs w:val="24"/>
              </w:rPr>
              <w:t>.</w:t>
            </w:r>
          </w:p>
          <w:p w14:paraId="145F590F" w14:textId="77777777" w:rsidR="0095074B" w:rsidRPr="009D107D" w:rsidRDefault="00A56A0F" w:rsidP="00B757F4">
            <w:pPr>
              <w:ind w:right="340"/>
              <w:jc w:val="both"/>
              <w:rPr>
                <w:rFonts w:ascii="Times New Roman" w:hAnsi="Times New Roman"/>
                <w:bCs/>
                <w:kern w:val="2"/>
                <w:sz w:val="24"/>
                <w:szCs w:val="24"/>
              </w:rPr>
            </w:pPr>
            <w:r w:rsidRPr="009D107D">
              <w:rPr>
                <w:rFonts w:ascii="Times New Roman" w:hAnsi="Times New Roman"/>
                <w:bCs/>
                <w:kern w:val="2"/>
                <w:sz w:val="24"/>
                <w:szCs w:val="24"/>
              </w:rPr>
              <w:t xml:space="preserve">Jehovah’s Witnesses in </w:t>
            </w:r>
            <w:r w:rsidR="00BF1D87" w:rsidRPr="009D107D">
              <w:rPr>
                <w:rFonts w:ascii="Times New Roman" w:hAnsi="Times New Roman"/>
                <w:bCs/>
                <w:kern w:val="2"/>
                <w:sz w:val="24"/>
                <w:szCs w:val="24"/>
              </w:rPr>
              <w:t>Turkey</w:t>
            </w:r>
            <w:r w:rsidRPr="009D107D">
              <w:rPr>
                <w:rFonts w:ascii="Times New Roman" w:hAnsi="Times New Roman"/>
                <w:bCs/>
                <w:kern w:val="2"/>
                <w:sz w:val="24"/>
                <w:szCs w:val="24"/>
              </w:rPr>
              <w:t>, and as a worldwide</w:t>
            </w:r>
            <w:r w:rsidRPr="009D107D">
              <w:rPr>
                <w:rFonts w:ascii="Times New Roman" w:hAnsi="Times New Roman"/>
                <w:bCs/>
                <w:kern w:val="2"/>
                <w:sz w:val="24"/>
                <w:szCs w:val="24"/>
                <w:lang w:val="en-GB"/>
              </w:rPr>
              <w:t xml:space="preserve"> organi</w:t>
            </w:r>
            <w:r w:rsidR="009A7777">
              <w:rPr>
                <w:rFonts w:ascii="Times New Roman" w:hAnsi="Times New Roman"/>
                <w:bCs/>
                <w:kern w:val="2"/>
                <w:sz w:val="24"/>
                <w:szCs w:val="24"/>
                <w:lang w:val="en-GB"/>
              </w:rPr>
              <w:t>z</w:t>
            </w:r>
            <w:r w:rsidRPr="009D107D">
              <w:rPr>
                <w:rFonts w:ascii="Times New Roman" w:hAnsi="Times New Roman"/>
                <w:bCs/>
                <w:kern w:val="2"/>
                <w:sz w:val="24"/>
                <w:szCs w:val="24"/>
                <w:lang w:val="en-GB"/>
              </w:rPr>
              <w:t>ation,</w:t>
            </w:r>
            <w:r w:rsidRPr="009D107D">
              <w:rPr>
                <w:rFonts w:ascii="Times New Roman" w:hAnsi="Times New Roman"/>
                <w:bCs/>
                <w:kern w:val="2"/>
                <w:sz w:val="24"/>
                <w:szCs w:val="24"/>
              </w:rPr>
              <w:t xml:space="preserve"> respect</w:t>
            </w:r>
            <w:r w:rsidR="000A0F29" w:rsidRPr="009D107D">
              <w:rPr>
                <w:rFonts w:ascii="Times New Roman" w:hAnsi="Times New Roman"/>
                <w:bCs/>
                <w:kern w:val="2"/>
                <w:sz w:val="24"/>
                <w:szCs w:val="24"/>
              </w:rPr>
              <w:t xml:space="preserve">fully request </w:t>
            </w:r>
            <w:r w:rsidR="0035564E">
              <w:rPr>
                <w:rFonts w:ascii="Times New Roman" w:hAnsi="Times New Roman"/>
                <w:bCs/>
                <w:kern w:val="2"/>
                <w:sz w:val="24"/>
                <w:szCs w:val="24"/>
              </w:rPr>
              <w:t xml:space="preserve">that </w:t>
            </w:r>
            <w:r w:rsidR="000A0F29" w:rsidRPr="009D107D">
              <w:rPr>
                <w:rFonts w:ascii="Times New Roman" w:hAnsi="Times New Roman"/>
                <w:bCs/>
                <w:kern w:val="2"/>
                <w:sz w:val="24"/>
                <w:szCs w:val="24"/>
              </w:rPr>
              <w:t xml:space="preserve">the government of </w:t>
            </w:r>
            <w:r w:rsidR="00BF1D87" w:rsidRPr="009D107D">
              <w:rPr>
                <w:rFonts w:ascii="Times New Roman" w:hAnsi="Times New Roman"/>
                <w:bCs/>
                <w:kern w:val="2"/>
                <w:sz w:val="24"/>
                <w:szCs w:val="24"/>
              </w:rPr>
              <w:t>Turkey</w:t>
            </w:r>
            <w:r w:rsidRPr="009D107D">
              <w:rPr>
                <w:rFonts w:ascii="Times New Roman" w:hAnsi="Times New Roman"/>
                <w:bCs/>
                <w:kern w:val="2"/>
                <w:sz w:val="24"/>
                <w:szCs w:val="24"/>
              </w:rPr>
              <w:t>:</w:t>
            </w:r>
          </w:p>
          <w:p w14:paraId="28E859FC" w14:textId="77777777" w:rsidR="00AC671A" w:rsidRPr="009D107D" w:rsidRDefault="00AC671A" w:rsidP="00B757F4">
            <w:pPr>
              <w:ind w:right="340"/>
              <w:jc w:val="both"/>
              <w:rPr>
                <w:rFonts w:ascii="Times New Roman" w:hAnsi="Times New Roman"/>
                <w:bCs/>
                <w:kern w:val="2"/>
                <w:sz w:val="24"/>
                <w:szCs w:val="24"/>
              </w:rPr>
            </w:pPr>
          </w:p>
          <w:p w14:paraId="74D0E199" w14:textId="77777777" w:rsidR="00DF248A" w:rsidRPr="007F47EF" w:rsidRDefault="00A56A0F" w:rsidP="007F47EF">
            <w:pPr>
              <w:pStyle w:val="ListParagraph"/>
              <w:numPr>
                <w:ilvl w:val="0"/>
                <w:numId w:val="4"/>
              </w:numPr>
              <w:topLinePunct/>
              <w:spacing w:after="240"/>
              <w:ind w:right="227"/>
              <w:jc w:val="both"/>
              <w:rPr>
                <w:rFonts w:ascii="Times New Roman" w:hAnsi="Times New Roman"/>
                <w:bCs/>
                <w:kern w:val="2"/>
                <w:sz w:val="24"/>
                <w:szCs w:val="24"/>
                <w:lang w:val="en-GB"/>
              </w:rPr>
            </w:pPr>
            <w:r w:rsidRPr="009D107D">
              <w:rPr>
                <w:rFonts w:ascii="Times New Roman" w:hAnsi="Times New Roman"/>
                <w:bCs/>
                <w:kern w:val="2"/>
                <w:sz w:val="24"/>
                <w:szCs w:val="24"/>
                <w:lang w:val="en-GB"/>
              </w:rPr>
              <w:t xml:space="preserve">Recognize the right to conscientious objection to military service and </w:t>
            </w:r>
            <w:r>
              <w:rPr>
                <w:rFonts w:ascii="Times New Roman" w:hAnsi="Times New Roman" w:hint="eastAsia"/>
                <w:bCs/>
                <w:kern w:val="2"/>
                <w:sz w:val="24"/>
                <w:szCs w:val="24"/>
                <w:lang w:val="en-GB" w:eastAsia="ko-KR"/>
              </w:rPr>
              <w:t>p</w:t>
            </w:r>
            <w:r w:rsidR="009D107D" w:rsidRPr="009D107D">
              <w:rPr>
                <w:rFonts w:ascii="Times New Roman" w:hAnsi="Times New Roman"/>
                <w:bCs/>
                <w:kern w:val="2"/>
                <w:sz w:val="24"/>
                <w:szCs w:val="24"/>
                <w:lang w:val="en-GB"/>
              </w:rPr>
              <w:t xml:space="preserve">rovide </w:t>
            </w:r>
            <w:r w:rsidR="007F47EF" w:rsidRPr="009D107D">
              <w:rPr>
                <w:rFonts w:ascii="Times New Roman" w:hAnsi="Times New Roman"/>
                <w:bCs/>
                <w:kern w:val="2"/>
                <w:sz w:val="24"/>
                <w:szCs w:val="24"/>
                <w:lang w:val="en-GB"/>
              </w:rPr>
              <w:t>a</w:t>
            </w:r>
            <w:r w:rsidR="007F47EF" w:rsidRPr="005304DB">
              <w:rPr>
                <w:rFonts w:ascii="Times New Roman" w:hAnsi="Times New Roman"/>
                <w:bCs/>
                <w:kern w:val="2"/>
                <w:sz w:val="24"/>
                <w:szCs w:val="24"/>
                <w:lang w:val="en-GB"/>
              </w:rPr>
              <w:t>n</w:t>
            </w:r>
            <w:r w:rsidRPr="005304DB">
              <w:rPr>
                <w:rFonts w:ascii="Times New Roman" w:hAnsi="Times New Roman"/>
                <w:bCs/>
                <w:kern w:val="2"/>
                <w:sz w:val="24"/>
                <w:szCs w:val="24"/>
                <w:lang w:val="en-GB"/>
              </w:rPr>
              <w:t xml:space="preserve"> alternative civilian service (ACS) that conform</w:t>
            </w:r>
            <w:r w:rsidR="009D107D">
              <w:rPr>
                <w:rFonts w:ascii="Times New Roman" w:hAnsi="Times New Roman"/>
                <w:bCs/>
                <w:kern w:val="2"/>
                <w:sz w:val="24"/>
                <w:szCs w:val="24"/>
                <w:lang w:val="en-GB"/>
              </w:rPr>
              <w:t>s</w:t>
            </w:r>
            <w:r w:rsidRPr="005304DB">
              <w:rPr>
                <w:rFonts w:ascii="Times New Roman" w:hAnsi="Times New Roman"/>
                <w:bCs/>
                <w:kern w:val="2"/>
                <w:sz w:val="24"/>
                <w:szCs w:val="24"/>
                <w:lang w:val="en-GB"/>
              </w:rPr>
              <w:t xml:space="preserve"> to European </w:t>
            </w:r>
            <w:r w:rsidR="007F47EF" w:rsidRPr="007F47EF">
              <w:rPr>
                <w:rFonts w:ascii="Times New Roman" w:hAnsi="Times New Roman"/>
                <w:bCs/>
                <w:kern w:val="2"/>
                <w:sz w:val="24"/>
                <w:szCs w:val="24"/>
                <w:lang w:val="en-GB"/>
              </w:rPr>
              <w:t xml:space="preserve">and international </w:t>
            </w:r>
            <w:r w:rsidRPr="005304DB">
              <w:rPr>
                <w:rFonts w:ascii="Times New Roman" w:hAnsi="Times New Roman"/>
                <w:bCs/>
                <w:kern w:val="2"/>
                <w:sz w:val="24"/>
                <w:szCs w:val="24"/>
                <w:lang w:val="en-GB"/>
              </w:rPr>
              <w:t>standards, namely, a program</w:t>
            </w:r>
            <w:r w:rsidR="009D107D">
              <w:rPr>
                <w:rFonts w:ascii="Times New Roman" w:hAnsi="Times New Roman"/>
                <w:bCs/>
                <w:kern w:val="2"/>
                <w:sz w:val="24"/>
                <w:szCs w:val="24"/>
                <w:lang w:val="en-GB"/>
              </w:rPr>
              <w:t>me</w:t>
            </w:r>
            <w:r w:rsidRPr="005304DB">
              <w:rPr>
                <w:rFonts w:ascii="Times New Roman" w:hAnsi="Times New Roman"/>
                <w:bCs/>
                <w:kern w:val="2"/>
                <w:sz w:val="24"/>
                <w:szCs w:val="24"/>
                <w:lang w:val="en-GB"/>
              </w:rPr>
              <w:t xml:space="preserve"> of civilian work that is not under military control and not punitive in length</w:t>
            </w:r>
            <w:r w:rsidR="00A54B56">
              <w:rPr>
                <w:rFonts w:ascii="Times New Roman" w:hAnsi="Times New Roman"/>
                <w:bCs/>
                <w:kern w:val="2"/>
                <w:sz w:val="24"/>
                <w:szCs w:val="24"/>
                <w:lang w:val="en-GB"/>
              </w:rPr>
              <w:t>.</w:t>
            </w:r>
          </w:p>
          <w:p w14:paraId="0C6BAE9C" w14:textId="77777777" w:rsidR="00892D16" w:rsidRPr="009D107D" w:rsidRDefault="00A56A0F" w:rsidP="007F47EF">
            <w:pPr>
              <w:pStyle w:val="ListParagraph"/>
              <w:numPr>
                <w:ilvl w:val="0"/>
                <w:numId w:val="4"/>
              </w:numPr>
              <w:topLinePunct/>
              <w:spacing w:after="240"/>
              <w:ind w:right="227"/>
              <w:jc w:val="both"/>
              <w:rPr>
                <w:rFonts w:ascii="Times New Roman" w:hAnsi="Times New Roman"/>
                <w:bCs/>
                <w:kern w:val="2"/>
                <w:sz w:val="24"/>
                <w:szCs w:val="24"/>
                <w:lang w:val="en-GB"/>
              </w:rPr>
            </w:pPr>
            <w:r w:rsidRPr="007F47EF">
              <w:rPr>
                <w:rFonts w:ascii="Times New Roman" w:hAnsi="Times New Roman"/>
                <w:bCs/>
                <w:kern w:val="2"/>
                <w:sz w:val="24"/>
                <w:szCs w:val="24"/>
                <w:lang w:val="en-GB"/>
              </w:rPr>
              <w:t>Ensure that the</w:t>
            </w:r>
            <w:r w:rsidRPr="009D107D">
              <w:rPr>
                <w:rFonts w:ascii="Times New Roman" w:hAnsi="Times New Roman"/>
                <w:bCs/>
                <w:kern w:val="2"/>
                <w:sz w:val="24"/>
                <w:szCs w:val="24"/>
                <w:lang w:val="en-GB"/>
              </w:rPr>
              <w:t xml:space="preserve"> </w:t>
            </w:r>
            <w:r w:rsidR="000310B8">
              <w:rPr>
                <w:rFonts w:ascii="Times New Roman" w:hAnsi="Times New Roman"/>
                <w:bCs/>
                <w:kern w:val="2"/>
                <w:sz w:val="24"/>
                <w:szCs w:val="24"/>
                <w:lang w:val="en-GB"/>
              </w:rPr>
              <w:t>V</w:t>
            </w:r>
            <w:r w:rsidRPr="009D107D">
              <w:rPr>
                <w:rFonts w:ascii="Times New Roman" w:hAnsi="Times New Roman"/>
                <w:bCs/>
                <w:kern w:val="2"/>
                <w:sz w:val="24"/>
                <w:szCs w:val="24"/>
                <w:lang w:val="en-GB"/>
              </w:rPr>
              <w:t>iews of the CCPR and the judgments of the E</w:t>
            </w:r>
            <w:r w:rsidR="00DA077A" w:rsidRPr="009D107D">
              <w:rPr>
                <w:rFonts w:ascii="Times New Roman" w:hAnsi="Times New Roman"/>
                <w:bCs/>
                <w:kern w:val="2"/>
                <w:sz w:val="24"/>
                <w:szCs w:val="24"/>
                <w:lang w:val="en-GB"/>
              </w:rPr>
              <w:t xml:space="preserve">uropean </w:t>
            </w:r>
            <w:r w:rsidRPr="009D107D">
              <w:rPr>
                <w:rFonts w:ascii="Times New Roman" w:hAnsi="Times New Roman"/>
                <w:bCs/>
                <w:kern w:val="2"/>
                <w:sz w:val="24"/>
                <w:szCs w:val="24"/>
                <w:lang w:val="en-GB"/>
              </w:rPr>
              <w:t>C</w:t>
            </w:r>
            <w:r w:rsidR="00DA077A" w:rsidRPr="009D107D">
              <w:rPr>
                <w:rFonts w:ascii="Times New Roman" w:hAnsi="Times New Roman"/>
                <w:bCs/>
                <w:kern w:val="2"/>
                <w:sz w:val="24"/>
                <w:szCs w:val="24"/>
                <w:lang w:val="en-GB"/>
              </w:rPr>
              <w:t xml:space="preserve">ourt of </w:t>
            </w:r>
            <w:r w:rsidRPr="009D107D">
              <w:rPr>
                <w:rFonts w:ascii="Times New Roman" w:hAnsi="Times New Roman"/>
                <w:bCs/>
                <w:kern w:val="2"/>
                <w:sz w:val="24"/>
                <w:szCs w:val="24"/>
                <w:lang w:val="en-GB"/>
              </w:rPr>
              <w:t>H</w:t>
            </w:r>
            <w:r w:rsidR="00DA077A" w:rsidRPr="009D107D">
              <w:rPr>
                <w:rFonts w:ascii="Times New Roman" w:hAnsi="Times New Roman"/>
                <w:bCs/>
                <w:kern w:val="2"/>
                <w:sz w:val="24"/>
                <w:szCs w:val="24"/>
                <w:lang w:val="en-GB"/>
              </w:rPr>
              <w:t xml:space="preserve">uman </w:t>
            </w:r>
            <w:r w:rsidRPr="009D107D">
              <w:rPr>
                <w:rFonts w:ascii="Times New Roman" w:hAnsi="Times New Roman"/>
                <w:bCs/>
                <w:kern w:val="2"/>
                <w:sz w:val="24"/>
                <w:szCs w:val="24"/>
                <w:lang w:val="en-GB"/>
              </w:rPr>
              <w:t>R</w:t>
            </w:r>
            <w:r w:rsidR="00DA077A" w:rsidRPr="009D107D">
              <w:rPr>
                <w:rFonts w:ascii="Times New Roman" w:hAnsi="Times New Roman"/>
                <w:bCs/>
                <w:kern w:val="2"/>
                <w:sz w:val="24"/>
                <w:szCs w:val="24"/>
                <w:lang w:val="en-GB"/>
              </w:rPr>
              <w:t>ights</w:t>
            </w:r>
            <w:r w:rsidR="00873EBE" w:rsidRPr="009D107D">
              <w:rPr>
                <w:rFonts w:ascii="Times New Roman" w:hAnsi="Times New Roman"/>
                <w:bCs/>
                <w:kern w:val="2"/>
                <w:sz w:val="24"/>
                <w:szCs w:val="24"/>
                <w:lang w:val="en-GB"/>
              </w:rPr>
              <w:t xml:space="preserve"> (ECHR)</w:t>
            </w:r>
            <w:r w:rsidRPr="009D107D">
              <w:rPr>
                <w:rFonts w:ascii="Times New Roman" w:hAnsi="Times New Roman"/>
                <w:bCs/>
                <w:kern w:val="2"/>
                <w:sz w:val="24"/>
                <w:szCs w:val="24"/>
                <w:lang w:val="en-GB"/>
              </w:rPr>
              <w:t xml:space="preserve"> that provide for the right to conscientious objection to military service are </w:t>
            </w:r>
            <w:r w:rsidRPr="009D107D">
              <w:rPr>
                <w:rFonts w:ascii="Times New Roman" w:hAnsi="Times New Roman"/>
                <w:bCs/>
                <w:kern w:val="2"/>
                <w:sz w:val="24"/>
                <w:szCs w:val="24"/>
                <w:lang w:val="en-GB"/>
              </w:rPr>
              <w:t>respected and implemented. This would involve refraining from imposing repeated fines on Jehovah’s Witnesses and from threatening them with imprisonment on grounds of “evasion of enlistment” for their conscientious objection to military service</w:t>
            </w:r>
            <w:r w:rsidR="00A54B56">
              <w:rPr>
                <w:rFonts w:ascii="Times New Roman" w:hAnsi="Times New Roman"/>
                <w:bCs/>
                <w:kern w:val="2"/>
                <w:sz w:val="24"/>
                <w:szCs w:val="24"/>
                <w:lang w:val="en-GB"/>
              </w:rPr>
              <w:t>.</w:t>
            </w:r>
          </w:p>
          <w:p w14:paraId="1A164C40" w14:textId="77777777" w:rsidR="0095074B" w:rsidRPr="005304DB" w:rsidRDefault="00A56A0F" w:rsidP="00465FD5">
            <w:pPr>
              <w:pStyle w:val="ListParagraph"/>
              <w:numPr>
                <w:ilvl w:val="0"/>
                <w:numId w:val="4"/>
              </w:numPr>
              <w:topLinePunct/>
              <w:spacing w:after="240"/>
              <w:ind w:right="227"/>
              <w:jc w:val="both"/>
              <w:rPr>
                <w:rFonts w:ascii="Times New Roman" w:hAnsi="Times New Roman"/>
                <w:bCs/>
                <w:kern w:val="2"/>
                <w:sz w:val="24"/>
                <w:szCs w:val="24"/>
              </w:rPr>
            </w:pPr>
            <w:r w:rsidRPr="009D107D">
              <w:rPr>
                <w:rFonts w:ascii="Times New Roman" w:hAnsi="Times New Roman" w:hint="eastAsia"/>
                <w:bCs/>
                <w:kern w:val="2"/>
                <w:sz w:val="24"/>
                <w:szCs w:val="24"/>
                <w:lang w:eastAsia="ko-KR"/>
              </w:rPr>
              <w:t>E</w:t>
            </w:r>
            <w:r w:rsidRPr="009D107D">
              <w:rPr>
                <w:rFonts w:ascii="Times New Roman" w:hAnsi="Times New Roman"/>
                <w:bCs/>
                <w:kern w:val="2"/>
                <w:sz w:val="24"/>
                <w:szCs w:val="24"/>
                <w:lang w:eastAsia="ko-KR"/>
              </w:rPr>
              <w:t xml:space="preserve">xpunge criminal records </w:t>
            </w:r>
            <w:r w:rsidR="00465FD5" w:rsidRPr="009D107D">
              <w:rPr>
                <w:rFonts w:ascii="Times New Roman" w:hAnsi="Times New Roman"/>
                <w:bCs/>
                <w:kern w:val="2"/>
                <w:sz w:val="24"/>
                <w:szCs w:val="24"/>
                <w:lang w:eastAsia="ko-KR"/>
              </w:rPr>
              <w:t xml:space="preserve">resulting from unjust court decisions and provide </w:t>
            </w:r>
            <w:r w:rsidR="00DA077A" w:rsidRPr="009D107D">
              <w:rPr>
                <w:rFonts w:ascii="Times New Roman" w:hAnsi="Times New Roman"/>
                <w:bCs/>
                <w:kern w:val="2"/>
                <w:sz w:val="24"/>
                <w:szCs w:val="24"/>
                <w:lang w:eastAsia="ko-KR"/>
              </w:rPr>
              <w:t xml:space="preserve">adequate </w:t>
            </w:r>
            <w:r w:rsidR="00465FD5" w:rsidRPr="005304DB">
              <w:rPr>
                <w:rFonts w:ascii="Times New Roman" w:hAnsi="Times New Roman"/>
                <w:bCs/>
                <w:kern w:val="2"/>
                <w:sz w:val="24"/>
                <w:szCs w:val="24"/>
                <w:lang w:eastAsia="ko-KR"/>
              </w:rPr>
              <w:t>compensation.</w:t>
            </w:r>
          </w:p>
          <w:p w14:paraId="6477E1DA" w14:textId="77777777" w:rsidR="0095074B" w:rsidRPr="005304DB" w:rsidRDefault="00A56A0F" w:rsidP="00892D16">
            <w:pPr>
              <w:pStyle w:val="ListParagraph"/>
              <w:numPr>
                <w:ilvl w:val="0"/>
                <w:numId w:val="4"/>
              </w:numPr>
              <w:topLinePunct/>
              <w:ind w:right="227"/>
              <w:jc w:val="both"/>
              <w:rPr>
                <w:rFonts w:ascii="Times New Roman" w:hAnsi="Times New Roman"/>
                <w:b/>
                <w:bCs/>
                <w:kern w:val="2"/>
                <w:sz w:val="24"/>
                <w:szCs w:val="24"/>
              </w:rPr>
            </w:pPr>
            <w:r w:rsidRPr="005304DB">
              <w:rPr>
                <w:rFonts w:ascii="Times New Roman" w:hAnsi="Times New Roman"/>
                <w:bCs/>
                <w:kern w:val="2"/>
                <w:sz w:val="24"/>
                <w:szCs w:val="24"/>
              </w:rPr>
              <w:t xml:space="preserve">Abide by </w:t>
            </w:r>
            <w:r w:rsidR="00840423" w:rsidRPr="005304DB">
              <w:rPr>
                <w:rFonts w:ascii="Times New Roman" w:hAnsi="Times New Roman"/>
                <w:bCs/>
                <w:kern w:val="2"/>
                <w:sz w:val="24"/>
                <w:szCs w:val="24"/>
              </w:rPr>
              <w:t>it</w:t>
            </w:r>
            <w:r w:rsidR="000A0F29" w:rsidRPr="005304DB">
              <w:rPr>
                <w:rFonts w:ascii="Times New Roman" w:hAnsi="Times New Roman"/>
                <w:bCs/>
                <w:kern w:val="2"/>
                <w:sz w:val="24"/>
                <w:szCs w:val="24"/>
              </w:rPr>
              <w:t>s</w:t>
            </w:r>
            <w:r w:rsidRPr="005304DB">
              <w:rPr>
                <w:rFonts w:ascii="Times New Roman" w:hAnsi="Times New Roman"/>
                <w:bCs/>
                <w:kern w:val="2"/>
                <w:sz w:val="24"/>
                <w:szCs w:val="24"/>
              </w:rPr>
              <w:t xml:space="preserve"> commitment to uphold the fundam</w:t>
            </w:r>
            <w:r w:rsidR="000A0F29" w:rsidRPr="005304DB">
              <w:rPr>
                <w:rFonts w:ascii="Times New Roman" w:hAnsi="Times New Roman"/>
                <w:bCs/>
                <w:kern w:val="2"/>
                <w:sz w:val="24"/>
                <w:szCs w:val="24"/>
              </w:rPr>
              <w:t>ental freedoms guaranteed by</w:t>
            </w:r>
            <w:r w:rsidRPr="005304DB">
              <w:rPr>
                <w:rFonts w:ascii="Times New Roman" w:hAnsi="Times New Roman"/>
                <w:bCs/>
                <w:kern w:val="2"/>
                <w:sz w:val="24"/>
                <w:szCs w:val="24"/>
              </w:rPr>
              <w:t xml:space="preserve"> </w:t>
            </w:r>
            <w:r w:rsidR="000A0F29" w:rsidRPr="005304DB">
              <w:rPr>
                <w:rFonts w:ascii="Times New Roman" w:hAnsi="Times New Roman"/>
                <w:bCs/>
                <w:kern w:val="2"/>
                <w:sz w:val="24"/>
                <w:szCs w:val="24"/>
              </w:rPr>
              <w:t xml:space="preserve">the </w:t>
            </w:r>
            <w:r w:rsidR="00456172">
              <w:rPr>
                <w:rFonts w:ascii="Times New Roman" w:hAnsi="Times New Roman"/>
                <w:bCs/>
                <w:kern w:val="2"/>
                <w:sz w:val="24"/>
                <w:szCs w:val="24"/>
              </w:rPr>
              <w:t>Covenant</w:t>
            </w:r>
            <w:r w:rsidR="00456172" w:rsidRPr="005304DB">
              <w:rPr>
                <w:rFonts w:ascii="Times New Roman" w:hAnsi="Times New Roman"/>
                <w:bCs/>
                <w:kern w:val="2"/>
                <w:sz w:val="24"/>
                <w:szCs w:val="24"/>
              </w:rPr>
              <w:t xml:space="preserve"> </w:t>
            </w:r>
            <w:r w:rsidRPr="005304DB">
              <w:rPr>
                <w:rFonts w:ascii="Times New Roman" w:hAnsi="Times New Roman"/>
                <w:bCs/>
                <w:kern w:val="2"/>
                <w:sz w:val="24"/>
                <w:szCs w:val="24"/>
              </w:rPr>
              <w:t>for all citizens</w:t>
            </w:r>
            <w:r w:rsidR="000A0F29" w:rsidRPr="005304DB">
              <w:rPr>
                <w:rFonts w:ascii="Times New Roman" w:hAnsi="Times New Roman"/>
                <w:bCs/>
                <w:kern w:val="2"/>
                <w:sz w:val="24"/>
                <w:szCs w:val="24"/>
              </w:rPr>
              <w:t>, including Jehovah’s Witnesses</w:t>
            </w:r>
            <w:r w:rsidR="00A54B56">
              <w:rPr>
                <w:rFonts w:ascii="Times New Roman" w:hAnsi="Times New Roman"/>
                <w:bCs/>
                <w:kern w:val="2"/>
                <w:sz w:val="24"/>
                <w:szCs w:val="24"/>
              </w:rPr>
              <w:t>.</w:t>
            </w:r>
          </w:p>
          <w:p w14:paraId="662067A5" w14:textId="77777777" w:rsidR="00DB72EA" w:rsidRPr="005304DB" w:rsidRDefault="00DB72EA" w:rsidP="005304DB">
            <w:pPr>
              <w:spacing w:line="276" w:lineRule="auto"/>
              <w:jc w:val="both"/>
              <w:rPr>
                <w:rFonts w:ascii="Times New Roman" w:hAnsi="Times New Roman"/>
                <w:b/>
                <w:bCs/>
                <w:kern w:val="2"/>
                <w:sz w:val="24"/>
                <w:szCs w:val="24"/>
                <w:lang w:val="en-GB"/>
              </w:rPr>
            </w:pPr>
          </w:p>
        </w:tc>
      </w:tr>
    </w:tbl>
    <w:p w14:paraId="05B3B00F" w14:textId="77777777" w:rsidR="00DB72EA" w:rsidRPr="0095074B" w:rsidRDefault="00DB72EA" w:rsidP="00DB72EA">
      <w:pPr>
        <w:spacing w:after="240"/>
        <w:jc w:val="both"/>
        <w:rPr>
          <w:rFonts w:ascii="Times New Roman" w:hAnsi="Times New Roman"/>
          <w:sz w:val="24"/>
          <w:szCs w:val="24"/>
          <w:lang w:val="en-GB"/>
        </w:rPr>
      </w:pPr>
    </w:p>
    <w:p w14:paraId="5975D390" w14:textId="77777777" w:rsidR="00DB72EA" w:rsidRPr="0095074B" w:rsidRDefault="00A56A0F" w:rsidP="002A1D85">
      <w:pPr>
        <w:pStyle w:val="Heading1"/>
        <w:numPr>
          <w:ilvl w:val="0"/>
          <w:numId w:val="3"/>
        </w:numPr>
        <w:jc w:val="left"/>
        <w:rPr>
          <w:rFonts w:ascii="Times New Roman" w:hAnsi="Times New Roman" w:cs="Times New Roman"/>
          <w:color w:val="auto"/>
          <w:szCs w:val="24"/>
          <w:lang w:val="en-GB"/>
        </w:rPr>
      </w:pPr>
      <w:bookmarkStart w:id="5" w:name="_Toc68162660"/>
      <w:r w:rsidRPr="0095074B">
        <w:rPr>
          <w:rFonts w:ascii="Times New Roman" w:hAnsi="Times New Roman" w:cs="Times New Roman"/>
          <w:color w:val="auto"/>
          <w:szCs w:val="24"/>
          <w:lang w:val="en-GB"/>
        </w:rPr>
        <w:t>INTRODUCTION</w:t>
      </w:r>
      <w:bookmarkEnd w:id="5"/>
    </w:p>
    <w:p w14:paraId="18422A49" w14:textId="77777777" w:rsidR="003930CA" w:rsidRPr="00CE2B3D" w:rsidRDefault="00A56A0F" w:rsidP="002A1D85">
      <w:pPr>
        <w:pStyle w:val="ListParagraph"/>
        <w:numPr>
          <w:ilvl w:val="1"/>
          <w:numId w:val="4"/>
        </w:numPr>
        <w:topLinePunct/>
        <w:spacing w:after="240"/>
        <w:ind w:right="181"/>
        <w:jc w:val="both"/>
        <w:rPr>
          <w:rFonts w:ascii="Times New Roman" w:hAnsi="Times New Roman"/>
          <w:sz w:val="24"/>
          <w:szCs w:val="24"/>
          <w:lang w:val="en-GB"/>
        </w:rPr>
      </w:pPr>
      <w:r w:rsidRPr="00B33212">
        <w:rPr>
          <w:rFonts w:ascii="Times New Roman" w:hAnsi="Times New Roman"/>
          <w:sz w:val="24"/>
          <w:szCs w:val="24"/>
          <w:lang w:val="en-GB"/>
        </w:rPr>
        <w:t xml:space="preserve">The European Association of Jehovah’s Witnesses </w:t>
      </w:r>
      <w:r w:rsidR="00E353BD">
        <w:rPr>
          <w:rFonts w:ascii="Times New Roman" w:hAnsi="Times New Roman"/>
          <w:sz w:val="24"/>
          <w:szCs w:val="24"/>
          <w:lang w:val="en-GB"/>
        </w:rPr>
        <w:t xml:space="preserve">(EAJW) </w:t>
      </w:r>
      <w:r w:rsidRPr="00B33212">
        <w:rPr>
          <w:rFonts w:ascii="Times New Roman" w:hAnsi="Times New Roman"/>
          <w:sz w:val="24"/>
          <w:szCs w:val="24"/>
          <w:lang w:val="en-GB"/>
        </w:rPr>
        <w:t xml:space="preserve">is a charity registered in the United Kingdom. </w:t>
      </w:r>
      <w:r w:rsidR="00CE2B3D" w:rsidRPr="0095074B">
        <w:rPr>
          <w:rFonts w:ascii="Times New Roman" w:hAnsi="Times New Roman"/>
          <w:sz w:val="24"/>
          <w:szCs w:val="24"/>
          <w:lang w:val="en-GB"/>
        </w:rPr>
        <w:t>It provides support to Jehovah’s Witnesses facing fundamental human rights</w:t>
      </w:r>
      <w:r w:rsidR="00CE2B3D">
        <w:rPr>
          <w:rFonts w:ascii="Times New Roman" w:hAnsi="Times New Roman"/>
          <w:sz w:val="24"/>
          <w:szCs w:val="24"/>
          <w:lang w:val="en-GB"/>
        </w:rPr>
        <w:t xml:space="preserve"> violations</w:t>
      </w:r>
      <w:r w:rsidR="00CE2B3D" w:rsidRPr="0095074B">
        <w:rPr>
          <w:rFonts w:ascii="Times New Roman" w:hAnsi="Times New Roman"/>
          <w:sz w:val="24"/>
          <w:szCs w:val="24"/>
          <w:lang w:val="en-GB"/>
        </w:rPr>
        <w:t xml:space="preserve"> in various parts of the world</w:t>
      </w:r>
      <w:r w:rsidR="00CE2B3D" w:rsidRPr="004B3CDD">
        <w:rPr>
          <w:rFonts w:ascii="Times New Roman" w:hAnsi="Times New Roman"/>
          <w:sz w:val="24"/>
          <w:szCs w:val="24"/>
          <w:lang w:val="en-GB"/>
        </w:rPr>
        <w:t>.</w:t>
      </w:r>
    </w:p>
    <w:p w14:paraId="3D5CE65F" w14:textId="77777777" w:rsidR="00892D16" w:rsidRPr="005304DB" w:rsidRDefault="00A56A0F" w:rsidP="002A1D85">
      <w:pPr>
        <w:pStyle w:val="ListParagraph"/>
        <w:numPr>
          <w:ilvl w:val="1"/>
          <w:numId w:val="4"/>
        </w:numPr>
        <w:topLinePunct/>
        <w:spacing w:after="240"/>
        <w:ind w:right="181"/>
        <w:jc w:val="both"/>
        <w:rPr>
          <w:rFonts w:ascii="Times New Roman" w:hAnsi="Times New Roman"/>
          <w:sz w:val="24"/>
          <w:szCs w:val="24"/>
          <w:lang w:val="en-GB"/>
        </w:rPr>
      </w:pPr>
      <w:r w:rsidRPr="00B33212">
        <w:rPr>
          <w:rFonts w:ascii="Times New Roman" w:hAnsi="Times New Roman"/>
          <w:sz w:val="24"/>
          <w:szCs w:val="24"/>
          <w:lang w:val="en-GB"/>
        </w:rPr>
        <w:t xml:space="preserve">Jehovah’s </w:t>
      </w:r>
      <w:r w:rsidRPr="007F47EF">
        <w:rPr>
          <w:rFonts w:ascii="Times New Roman" w:hAnsi="Times New Roman"/>
          <w:sz w:val="24"/>
          <w:szCs w:val="24"/>
          <w:lang w:val="en-GB"/>
        </w:rPr>
        <w:t xml:space="preserve">Witnesses have been in </w:t>
      </w:r>
      <w:r w:rsidR="00E26192" w:rsidRPr="007F47EF">
        <w:rPr>
          <w:rFonts w:ascii="Times New Roman" w:hAnsi="Times New Roman"/>
          <w:sz w:val="24"/>
          <w:szCs w:val="24"/>
          <w:lang w:val="en-GB"/>
        </w:rPr>
        <w:t>Turkey</w:t>
      </w:r>
      <w:r w:rsidR="00E26192" w:rsidRPr="005304DB">
        <w:rPr>
          <w:rFonts w:ascii="Times New Roman" w:hAnsi="Times New Roman"/>
          <w:sz w:val="24"/>
          <w:szCs w:val="24"/>
          <w:lang w:val="en-GB"/>
        </w:rPr>
        <w:t xml:space="preserve"> </w:t>
      </w:r>
      <w:r w:rsidRPr="007F47EF">
        <w:rPr>
          <w:rFonts w:ascii="Times New Roman" w:hAnsi="Times New Roman"/>
          <w:sz w:val="24"/>
          <w:szCs w:val="24"/>
          <w:lang w:val="en-GB"/>
        </w:rPr>
        <w:t xml:space="preserve">for about 100 years. </w:t>
      </w:r>
      <w:r w:rsidRPr="009D107D">
        <w:rPr>
          <w:rFonts w:ascii="Times New Roman" w:hAnsi="Times New Roman"/>
          <w:sz w:val="24"/>
          <w:szCs w:val="24"/>
          <w:lang w:val="en-GB"/>
        </w:rPr>
        <w:t>There are now approximately 4,</w:t>
      </w:r>
      <w:r w:rsidR="00DA077A" w:rsidRPr="009D107D">
        <w:rPr>
          <w:rFonts w:ascii="Times New Roman" w:hAnsi="Times New Roman"/>
          <w:sz w:val="24"/>
          <w:szCs w:val="24"/>
          <w:lang w:val="en-GB"/>
        </w:rPr>
        <w:t>8</w:t>
      </w:r>
      <w:r w:rsidRPr="009D107D">
        <w:rPr>
          <w:rFonts w:ascii="Times New Roman" w:hAnsi="Times New Roman"/>
          <w:sz w:val="24"/>
          <w:szCs w:val="24"/>
          <w:lang w:val="en-GB"/>
        </w:rPr>
        <w:t>00 active Witnesses in Turkey</w:t>
      </w:r>
      <w:r w:rsidR="00A9693F">
        <w:rPr>
          <w:rFonts w:ascii="Times New Roman" w:hAnsi="Times New Roman"/>
          <w:sz w:val="24"/>
          <w:szCs w:val="24"/>
          <w:lang w:val="en-GB"/>
        </w:rPr>
        <w:t>,</w:t>
      </w:r>
      <w:r w:rsidRPr="009D107D">
        <w:rPr>
          <w:rFonts w:ascii="Times New Roman" w:hAnsi="Times New Roman"/>
          <w:sz w:val="24"/>
          <w:szCs w:val="24"/>
          <w:lang w:val="en-GB"/>
        </w:rPr>
        <w:t xml:space="preserve"> and more than </w:t>
      </w:r>
      <w:r w:rsidR="00DA077A" w:rsidRPr="009D107D">
        <w:rPr>
          <w:rFonts w:ascii="Times New Roman" w:hAnsi="Times New Roman"/>
          <w:sz w:val="24"/>
          <w:szCs w:val="24"/>
          <w:lang w:val="en-GB"/>
        </w:rPr>
        <w:t>8</w:t>
      </w:r>
      <w:r w:rsidRPr="009D107D">
        <w:rPr>
          <w:rFonts w:ascii="Times New Roman" w:hAnsi="Times New Roman"/>
          <w:sz w:val="24"/>
          <w:szCs w:val="24"/>
          <w:lang w:val="en-GB"/>
        </w:rPr>
        <w:t>,</w:t>
      </w:r>
      <w:r w:rsidR="00DA077A" w:rsidRPr="009D107D">
        <w:rPr>
          <w:rFonts w:ascii="Times New Roman" w:hAnsi="Times New Roman"/>
          <w:sz w:val="24"/>
          <w:szCs w:val="24"/>
          <w:lang w:val="en-GB"/>
        </w:rPr>
        <w:t>6</w:t>
      </w:r>
      <w:r w:rsidRPr="009D107D">
        <w:rPr>
          <w:rFonts w:ascii="Times New Roman" w:hAnsi="Times New Roman"/>
          <w:sz w:val="24"/>
          <w:szCs w:val="24"/>
          <w:lang w:val="en-GB"/>
        </w:rPr>
        <w:t xml:space="preserve">00 people attend their meetings for worship. </w:t>
      </w:r>
      <w:r w:rsidR="007F47EF" w:rsidRPr="009D107D">
        <w:rPr>
          <w:rFonts w:ascii="Times New Roman" w:hAnsi="Times New Roman"/>
          <w:sz w:val="24"/>
          <w:szCs w:val="24"/>
          <w:lang w:val="en-GB"/>
        </w:rPr>
        <w:t>I</w:t>
      </w:r>
      <w:r w:rsidRPr="009D107D">
        <w:rPr>
          <w:rFonts w:ascii="Times New Roman" w:hAnsi="Times New Roman"/>
          <w:sz w:val="24"/>
          <w:szCs w:val="24"/>
          <w:lang w:val="en-GB"/>
        </w:rPr>
        <w:t xml:space="preserve">n July 2007, </w:t>
      </w:r>
      <w:r w:rsidR="007F47EF" w:rsidRPr="009D107D">
        <w:rPr>
          <w:rFonts w:ascii="Times New Roman" w:hAnsi="Times New Roman"/>
          <w:sz w:val="24"/>
          <w:szCs w:val="24"/>
          <w:lang w:val="en-GB"/>
        </w:rPr>
        <w:t xml:space="preserve">the Witnesses </w:t>
      </w:r>
      <w:r w:rsidRPr="009D107D">
        <w:rPr>
          <w:rFonts w:ascii="Times New Roman" w:hAnsi="Times New Roman"/>
          <w:sz w:val="24"/>
          <w:szCs w:val="24"/>
          <w:lang w:val="en-GB"/>
        </w:rPr>
        <w:t>were officially granted</w:t>
      </w:r>
      <w:r w:rsidR="00DA077A" w:rsidRPr="005304DB">
        <w:rPr>
          <w:rFonts w:ascii="Times New Roman" w:hAnsi="Times New Roman"/>
          <w:sz w:val="24"/>
          <w:szCs w:val="24"/>
          <w:lang w:val="en-GB"/>
        </w:rPr>
        <w:t xml:space="preserve"> limited</w:t>
      </w:r>
      <w:r w:rsidRPr="005304DB">
        <w:rPr>
          <w:rFonts w:ascii="Times New Roman" w:hAnsi="Times New Roman"/>
          <w:sz w:val="24"/>
          <w:szCs w:val="24"/>
          <w:lang w:val="en-GB"/>
        </w:rPr>
        <w:t xml:space="preserve"> legal registration as the “Association for the Support of Jehovah’s Witnesses.”</w:t>
      </w:r>
    </w:p>
    <w:p w14:paraId="2FFE98AA" w14:textId="77777777" w:rsidR="00892D16" w:rsidRPr="007F47EF" w:rsidRDefault="00A56A0F" w:rsidP="00892D16">
      <w:pPr>
        <w:pStyle w:val="ListParagraph"/>
        <w:numPr>
          <w:ilvl w:val="1"/>
          <w:numId w:val="4"/>
        </w:numPr>
        <w:topLinePunct/>
        <w:spacing w:after="240"/>
        <w:ind w:right="181"/>
        <w:jc w:val="both"/>
        <w:rPr>
          <w:rFonts w:ascii="Times New Roman" w:hAnsi="Times New Roman"/>
          <w:sz w:val="24"/>
          <w:szCs w:val="24"/>
          <w:lang w:val="en-GB"/>
        </w:rPr>
      </w:pPr>
      <w:r w:rsidRPr="007F47EF">
        <w:rPr>
          <w:rFonts w:ascii="Times New Roman" w:hAnsi="Times New Roman"/>
          <w:sz w:val="24"/>
          <w:szCs w:val="24"/>
          <w:lang w:val="en-GB"/>
        </w:rPr>
        <w:t>Jehovah’s Witnesses in Turkey enjoy relative freedom of worship. For the most part, they are able to meet for peaceful religious worship and to practise their faith.</w:t>
      </w:r>
    </w:p>
    <w:p w14:paraId="5533768B" w14:textId="77777777" w:rsidR="00892D16" w:rsidRDefault="00A56A0F" w:rsidP="00892D16">
      <w:pPr>
        <w:pStyle w:val="ListParagraph"/>
        <w:numPr>
          <w:ilvl w:val="1"/>
          <w:numId w:val="4"/>
        </w:numPr>
        <w:topLinePunct/>
        <w:spacing w:after="240"/>
        <w:ind w:right="181"/>
        <w:jc w:val="both"/>
        <w:rPr>
          <w:rFonts w:ascii="Times New Roman" w:hAnsi="Times New Roman"/>
          <w:sz w:val="24"/>
          <w:szCs w:val="24"/>
          <w:lang w:val="en-GB"/>
        </w:rPr>
      </w:pPr>
      <w:r w:rsidRPr="00892D16">
        <w:rPr>
          <w:rFonts w:ascii="Times New Roman" w:hAnsi="Times New Roman"/>
          <w:sz w:val="24"/>
          <w:szCs w:val="24"/>
          <w:lang w:val="en-GB"/>
        </w:rPr>
        <w:t>Neverthel</w:t>
      </w:r>
      <w:r w:rsidRPr="00892D16">
        <w:rPr>
          <w:rFonts w:ascii="Times New Roman" w:hAnsi="Times New Roman"/>
          <w:sz w:val="24"/>
          <w:szCs w:val="24"/>
          <w:lang w:val="en-GB"/>
        </w:rPr>
        <w:t>ess, Jehovah’s Witnesses face obstacles</w:t>
      </w:r>
      <w:r w:rsidR="005B155D">
        <w:rPr>
          <w:rFonts w:ascii="Times New Roman" w:hAnsi="Times New Roman"/>
          <w:sz w:val="24"/>
          <w:szCs w:val="24"/>
          <w:lang w:val="en-GB"/>
        </w:rPr>
        <w:t>,</w:t>
      </w:r>
      <w:r>
        <w:rPr>
          <w:rFonts w:ascii="Times New Roman" w:hAnsi="Times New Roman"/>
          <w:sz w:val="24"/>
          <w:szCs w:val="24"/>
          <w:lang w:val="en-GB"/>
        </w:rPr>
        <w:t xml:space="preserve"> as</w:t>
      </w:r>
      <w:r w:rsidRPr="00892D16">
        <w:rPr>
          <w:rFonts w:ascii="Times New Roman" w:hAnsi="Times New Roman"/>
          <w:sz w:val="24"/>
          <w:szCs w:val="24"/>
          <w:lang w:val="en-GB"/>
        </w:rPr>
        <w:t xml:space="preserve"> the government refuses to recognize conscientious objection to military service and makes no provision for </w:t>
      </w:r>
      <w:r w:rsidR="007F47EF">
        <w:rPr>
          <w:rFonts w:ascii="Times New Roman" w:hAnsi="Times New Roman"/>
          <w:sz w:val="24"/>
          <w:szCs w:val="24"/>
          <w:lang w:val="en-GB"/>
        </w:rPr>
        <w:t>a genuine</w:t>
      </w:r>
      <w:r w:rsidR="00B57E31">
        <w:rPr>
          <w:rFonts w:ascii="Times New Roman" w:hAnsi="Times New Roman"/>
          <w:sz w:val="24"/>
          <w:szCs w:val="24"/>
          <w:lang w:val="en-GB"/>
        </w:rPr>
        <w:t xml:space="preserve"> ACS</w:t>
      </w:r>
      <w:r w:rsidRPr="00892D16">
        <w:rPr>
          <w:rFonts w:ascii="Times New Roman" w:hAnsi="Times New Roman"/>
          <w:sz w:val="24"/>
          <w:szCs w:val="24"/>
          <w:lang w:val="en-GB"/>
        </w:rPr>
        <w:t>.</w:t>
      </w:r>
    </w:p>
    <w:p w14:paraId="32578298" w14:textId="77777777" w:rsidR="00A27FE0" w:rsidRDefault="00A56A0F" w:rsidP="00892D16">
      <w:pPr>
        <w:pStyle w:val="ListParagraph"/>
        <w:numPr>
          <w:ilvl w:val="1"/>
          <w:numId w:val="4"/>
        </w:numPr>
        <w:topLinePunct/>
        <w:spacing w:after="240"/>
        <w:ind w:right="181"/>
        <w:jc w:val="both"/>
        <w:rPr>
          <w:rFonts w:ascii="Times New Roman" w:hAnsi="Times New Roman"/>
          <w:sz w:val="24"/>
          <w:szCs w:val="24"/>
          <w:lang w:val="en-GB"/>
        </w:rPr>
      </w:pPr>
      <w:r>
        <w:rPr>
          <w:rFonts w:ascii="Times New Roman" w:hAnsi="Times New Roman" w:hint="eastAsia"/>
          <w:sz w:val="24"/>
          <w:szCs w:val="24"/>
          <w:lang w:val="en-GB" w:eastAsia="ko-KR"/>
        </w:rPr>
        <w:t>T</w:t>
      </w:r>
      <w:r>
        <w:rPr>
          <w:rFonts w:ascii="Times New Roman" w:hAnsi="Times New Roman"/>
          <w:sz w:val="24"/>
          <w:szCs w:val="24"/>
          <w:lang w:val="en-GB" w:eastAsia="ko-KR"/>
        </w:rPr>
        <w:t xml:space="preserve">he EAJW contributed submissions to the Universal Periodic Review </w:t>
      </w:r>
      <w:r w:rsidR="003146C6">
        <w:rPr>
          <w:rFonts w:ascii="Times New Roman" w:hAnsi="Times New Roman"/>
          <w:sz w:val="24"/>
          <w:szCs w:val="24"/>
          <w:lang w:val="en-GB" w:eastAsia="ko-KR"/>
        </w:rPr>
        <w:t xml:space="preserve">of Turkey </w:t>
      </w:r>
      <w:r w:rsidR="00591EE4">
        <w:rPr>
          <w:rFonts w:ascii="Times New Roman" w:hAnsi="Times New Roman"/>
          <w:sz w:val="24"/>
          <w:szCs w:val="24"/>
          <w:lang w:val="en-GB" w:eastAsia="ko-KR"/>
        </w:rPr>
        <w:t>in the 8</w:t>
      </w:r>
      <w:r w:rsidR="00591EE4">
        <w:rPr>
          <w:rFonts w:ascii="Times New Roman" w:hAnsi="Times New Roman" w:hint="eastAsia"/>
          <w:sz w:val="24"/>
          <w:szCs w:val="24"/>
          <w:vertAlign w:val="superscript"/>
          <w:lang w:val="en-GB" w:eastAsia="ko-KR"/>
        </w:rPr>
        <w:t>t</w:t>
      </w:r>
      <w:r w:rsidR="00591EE4">
        <w:rPr>
          <w:rFonts w:ascii="Times New Roman" w:hAnsi="Times New Roman"/>
          <w:sz w:val="24"/>
          <w:szCs w:val="24"/>
          <w:vertAlign w:val="superscript"/>
          <w:lang w:val="en-GB" w:eastAsia="ko-KR"/>
        </w:rPr>
        <w:t>h</w:t>
      </w:r>
      <w:r w:rsidR="00591EE4">
        <w:rPr>
          <w:rFonts w:ascii="Times New Roman" w:hAnsi="Times New Roman"/>
          <w:sz w:val="24"/>
          <w:szCs w:val="24"/>
          <w:lang w:val="en-GB"/>
        </w:rPr>
        <w:t>, 12</w:t>
      </w:r>
      <w:r w:rsidR="00591EE4">
        <w:rPr>
          <w:rFonts w:ascii="Times New Roman" w:hAnsi="Times New Roman"/>
          <w:sz w:val="24"/>
          <w:szCs w:val="24"/>
          <w:vertAlign w:val="superscript"/>
          <w:lang w:val="en-GB"/>
        </w:rPr>
        <w:t>th</w:t>
      </w:r>
      <w:r w:rsidR="00591EE4">
        <w:rPr>
          <w:rFonts w:ascii="Times New Roman" w:hAnsi="Times New Roman"/>
          <w:sz w:val="24"/>
          <w:szCs w:val="24"/>
          <w:lang w:val="en-GB"/>
        </w:rPr>
        <w:t xml:space="preserve"> and 35</w:t>
      </w:r>
      <w:r w:rsidR="00591EE4" w:rsidRPr="00591EE4">
        <w:rPr>
          <w:rFonts w:ascii="Times New Roman" w:hAnsi="Times New Roman"/>
          <w:sz w:val="24"/>
          <w:szCs w:val="24"/>
          <w:vertAlign w:val="superscript"/>
          <w:lang w:val="en-GB"/>
        </w:rPr>
        <w:t>th</w:t>
      </w:r>
      <w:r w:rsidR="00591EE4">
        <w:rPr>
          <w:rFonts w:ascii="Times New Roman" w:hAnsi="Times New Roman"/>
          <w:sz w:val="24"/>
          <w:szCs w:val="24"/>
          <w:lang w:val="en-GB"/>
        </w:rPr>
        <w:t xml:space="preserve"> </w:t>
      </w:r>
      <w:r w:rsidR="003146C6">
        <w:rPr>
          <w:rFonts w:ascii="Times New Roman" w:hAnsi="Times New Roman"/>
          <w:sz w:val="24"/>
          <w:szCs w:val="24"/>
          <w:lang w:val="en-GB"/>
        </w:rPr>
        <w:t>s</w:t>
      </w:r>
      <w:r w:rsidR="00591EE4">
        <w:rPr>
          <w:rFonts w:ascii="Times New Roman" w:hAnsi="Times New Roman"/>
          <w:sz w:val="24"/>
          <w:szCs w:val="24"/>
          <w:lang w:val="en-GB"/>
        </w:rPr>
        <w:t>ession</w:t>
      </w:r>
      <w:r w:rsidR="003146C6">
        <w:rPr>
          <w:rFonts w:ascii="Times New Roman" w:hAnsi="Times New Roman"/>
          <w:sz w:val="24"/>
          <w:szCs w:val="24"/>
          <w:lang w:val="en-GB"/>
        </w:rPr>
        <w:t>s</w:t>
      </w:r>
      <w:r w:rsidR="00591EE4">
        <w:rPr>
          <w:rFonts w:ascii="Times New Roman" w:hAnsi="Times New Roman"/>
          <w:sz w:val="24"/>
          <w:szCs w:val="24"/>
          <w:lang w:val="en-GB"/>
        </w:rPr>
        <w:t xml:space="preserve"> to raise awareness of </w:t>
      </w:r>
      <w:r w:rsidR="003146C6">
        <w:rPr>
          <w:rFonts w:ascii="Times New Roman" w:hAnsi="Times New Roman"/>
          <w:sz w:val="24"/>
          <w:szCs w:val="24"/>
          <w:lang w:val="en-GB"/>
        </w:rPr>
        <w:t xml:space="preserve">the government’s </w:t>
      </w:r>
      <w:r w:rsidR="00591EE4">
        <w:rPr>
          <w:rFonts w:ascii="Times New Roman" w:hAnsi="Times New Roman"/>
          <w:sz w:val="24"/>
          <w:szCs w:val="24"/>
          <w:lang w:val="en-GB"/>
        </w:rPr>
        <w:t xml:space="preserve">relentless prosecution and criminal punishment of conscientious objectors. </w:t>
      </w:r>
      <w:r w:rsidR="00D26C0D">
        <w:rPr>
          <w:rFonts w:ascii="Times New Roman" w:hAnsi="Times New Roman"/>
          <w:sz w:val="24"/>
          <w:szCs w:val="24"/>
          <w:lang w:val="en-GB"/>
        </w:rPr>
        <w:t xml:space="preserve">A number of </w:t>
      </w:r>
      <w:r w:rsidR="00962246">
        <w:rPr>
          <w:rFonts w:ascii="Times New Roman" w:hAnsi="Times New Roman"/>
          <w:sz w:val="24"/>
          <w:szCs w:val="24"/>
          <w:lang w:val="en-GB"/>
        </w:rPr>
        <w:t>S</w:t>
      </w:r>
      <w:r w:rsidR="003146C6">
        <w:rPr>
          <w:rFonts w:ascii="Times New Roman" w:hAnsi="Times New Roman"/>
          <w:sz w:val="24"/>
          <w:szCs w:val="24"/>
          <w:lang w:val="en-GB"/>
        </w:rPr>
        <w:t>tate</w:t>
      </w:r>
      <w:r w:rsidR="005504AF">
        <w:rPr>
          <w:rFonts w:ascii="Times New Roman" w:hAnsi="Times New Roman"/>
          <w:sz w:val="24"/>
          <w:szCs w:val="24"/>
          <w:lang w:val="en-GB"/>
        </w:rPr>
        <w:t>s</w:t>
      </w:r>
      <w:r w:rsidR="003146C6">
        <w:rPr>
          <w:rFonts w:ascii="Times New Roman" w:hAnsi="Times New Roman"/>
          <w:sz w:val="24"/>
          <w:szCs w:val="24"/>
          <w:lang w:val="en-GB"/>
        </w:rPr>
        <w:t xml:space="preserve"> parties</w:t>
      </w:r>
      <w:r w:rsidR="00D26C0D">
        <w:rPr>
          <w:rFonts w:ascii="Times New Roman" w:hAnsi="Times New Roman"/>
          <w:sz w:val="24"/>
          <w:szCs w:val="24"/>
          <w:lang w:val="en-GB"/>
        </w:rPr>
        <w:t>,</w:t>
      </w:r>
      <w:r w:rsidR="003146C6">
        <w:rPr>
          <w:rFonts w:ascii="Times New Roman" w:hAnsi="Times New Roman"/>
          <w:sz w:val="24"/>
          <w:szCs w:val="24"/>
          <w:lang w:val="en-GB"/>
        </w:rPr>
        <w:t xml:space="preserve"> </w:t>
      </w:r>
      <w:r w:rsidR="003146C6" w:rsidRPr="00047924">
        <w:rPr>
          <w:rFonts w:ascii="Times New Roman" w:hAnsi="Times New Roman"/>
          <w:sz w:val="24"/>
          <w:szCs w:val="24"/>
          <w:lang w:val="en-GB"/>
        </w:rPr>
        <w:t xml:space="preserve">such as Germany, Slovenia and Croatia during Cycle 2 and </w:t>
      </w:r>
      <w:r w:rsidR="00962246" w:rsidRPr="00047924">
        <w:rPr>
          <w:rFonts w:ascii="Times New Roman" w:hAnsi="Times New Roman"/>
          <w:sz w:val="24"/>
          <w:szCs w:val="24"/>
          <w:lang w:val="en-GB"/>
        </w:rPr>
        <w:t xml:space="preserve">Croatia twice </w:t>
      </w:r>
      <w:r w:rsidR="00CD238F" w:rsidRPr="00047924">
        <w:rPr>
          <w:rFonts w:ascii="Times New Roman" w:hAnsi="Times New Roman"/>
          <w:sz w:val="24"/>
          <w:szCs w:val="24"/>
          <w:lang w:val="en-GB"/>
        </w:rPr>
        <w:t xml:space="preserve">during </w:t>
      </w:r>
      <w:r w:rsidR="00962246" w:rsidRPr="00047924">
        <w:rPr>
          <w:rFonts w:ascii="Times New Roman" w:hAnsi="Times New Roman"/>
          <w:sz w:val="24"/>
          <w:szCs w:val="24"/>
          <w:lang w:val="en-GB"/>
        </w:rPr>
        <w:t>Cycle 3</w:t>
      </w:r>
      <w:r w:rsidR="005504AF" w:rsidRPr="00047924">
        <w:rPr>
          <w:rFonts w:ascii="Times New Roman" w:hAnsi="Times New Roman"/>
          <w:sz w:val="24"/>
          <w:szCs w:val="24"/>
          <w:lang w:val="en-GB"/>
        </w:rPr>
        <w:t>,</w:t>
      </w:r>
      <w:r w:rsidR="00962246">
        <w:rPr>
          <w:rFonts w:ascii="Times New Roman" w:hAnsi="Times New Roman"/>
          <w:sz w:val="24"/>
          <w:szCs w:val="24"/>
          <w:lang w:val="en-GB"/>
        </w:rPr>
        <w:t xml:space="preserve"> recommended</w:t>
      </w:r>
      <w:r w:rsidR="005504AF">
        <w:rPr>
          <w:rFonts w:ascii="Times New Roman" w:hAnsi="Times New Roman"/>
          <w:sz w:val="24"/>
          <w:szCs w:val="24"/>
          <w:lang w:val="en-GB"/>
        </w:rPr>
        <w:t xml:space="preserve"> that</w:t>
      </w:r>
      <w:r w:rsidR="00962246">
        <w:rPr>
          <w:rFonts w:ascii="Times New Roman" w:hAnsi="Times New Roman"/>
          <w:sz w:val="24"/>
          <w:szCs w:val="24"/>
          <w:lang w:val="en-GB"/>
        </w:rPr>
        <w:t xml:space="preserve"> Turkey </w:t>
      </w:r>
      <w:r w:rsidR="00962246">
        <w:rPr>
          <w:rFonts w:ascii="Times New Roman" w:hAnsi="Times New Roman"/>
          <w:sz w:val="24"/>
          <w:szCs w:val="24"/>
          <w:lang w:val="en-GB"/>
        </w:rPr>
        <w:lastRenderedPageBreak/>
        <w:t>remedy this issue. Tu</w:t>
      </w:r>
      <w:r w:rsidR="007F47EF">
        <w:rPr>
          <w:rFonts w:ascii="Times New Roman" w:hAnsi="Times New Roman"/>
          <w:sz w:val="24"/>
          <w:szCs w:val="24"/>
          <w:lang w:val="en-GB"/>
        </w:rPr>
        <w:t>r</w:t>
      </w:r>
      <w:r w:rsidR="00962246">
        <w:rPr>
          <w:rFonts w:ascii="Times New Roman" w:hAnsi="Times New Roman"/>
          <w:sz w:val="24"/>
          <w:szCs w:val="24"/>
          <w:lang w:val="en-GB"/>
        </w:rPr>
        <w:t xml:space="preserve">key noted </w:t>
      </w:r>
      <w:r w:rsidR="005504AF">
        <w:rPr>
          <w:rFonts w:ascii="Times New Roman" w:hAnsi="Times New Roman"/>
          <w:sz w:val="24"/>
          <w:szCs w:val="24"/>
          <w:lang w:val="en-GB"/>
        </w:rPr>
        <w:t>these</w:t>
      </w:r>
      <w:r w:rsidR="00962246">
        <w:rPr>
          <w:rFonts w:ascii="Times New Roman" w:hAnsi="Times New Roman"/>
          <w:sz w:val="24"/>
          <w:szCs w:val="24"/>
          <w:lang w:val="en-GB"/>
        </w:rPr>
        <w:t xml:space="preserve"> recommendations </w:t>
      </w:r>
      <w:r w:rsidR="005504AF">
        <w:rPr>
          <w:rFonts w:ascii="Times New Roman" w:hAnsi="Times New Roman"/>
          <w:sz w:val="24"/>
          <w:szCs w:val="24"/>
          <w:lang w:val="en-GB"/>
        </w:rPr>
        <w:t>but</w:t>
      </w:r>
      <w:r w:rsidR="00962246">
        <w:rPr>
          <w:rFonts w:ascii="Times New Roman" w:hAnsi="Times New Roman"/>
          <w:sz w:val="24"/>
          <w:szCs w:val="24"/>
          <w:lang w:val="en-GB"/>
        </w:rPr>
        <w:t xml:space="preserve"> has</w:t>
      </w:r>
      <w:r w:rsidR="005504AF">
        <w:rPr>
          <w:rFonts w:ascii="Times New Roman" w:hAnsi="Times New Roman"/>
          <w:sz w:val="24"/>
          <w:szCs w:val="24"/>
          <w:lang w:val="en-GB"/>
        </w:rPr>
        <w:t xml:space="preserve"> as</w:t>
      </w:r>
      <w:r w:rsidR="00962246">
        <w:rPr>
          <w:rFonts w:ascii="Times New Roman" w:hAnsi="Times New Roman"/>
          <w:sz w:val="24"/>
          <w:szCs w:val="24"/>
          <w:lang w:val="en-GB"/>
        </w:rPr>
        <w:t xml:space="preserve"> yet </w:t>
      </w:r>
      <w:r w:rsidR="005504AF">
        <w:rPr>
          <w:rFonts w:ascii="Times New Roman" w:hAnsi="Times New Roman"/>
          <w:sz w:val="24"/>
          <w:szCs w:val="24"/>
          <w:lang w:val="en-GB"/>
        </w:rPr>
        <w:t>taken no effective action in compliance</w:t>
      </w:r>
      <w:r w:rsidR="00962246">
        <w:rPr>
          <w:rFonts w:ascii="Times New Roman" w:hAnsi="Times New Roman"/>
          <w:sz w:val="24"/>
          <w:szCs w:val="24"/>
          <w:lang w:val="en-GB"/>
        </w:rPr>
        <w:t>.</w:t>
      </w:r>
    </w:p>
    <w:p w14:paraId="6239E1BA" w14:textId="77777777" w:rsidR="00AE2147" w:rsidRDefault="00A56A0F" w:rsidP="00892D16">
      <w:pPr>
        <w:pStyle w:val="ListParagraph"/>
        <w:numPr>
          <w:ilvl w:val="1"/>
          <w:numId w:val="4"/>
        </w:numPr>
        <w:topLinePunct/>
        <w:spacing w:after="240"/>
        <w:ind w:right="181"/>
        <w:jc w:val="both"/>
        <w:rPr>
          <w:rFonts w:ascii="Times New Roman" w:hAnsi="Times New Roman"/>
          <w:sz w:val="24"/>
          <w:szCs w:val="24"/>
          <w:lang w:val="en-GB"/>
        </w:rPr>
      </w:pPr>
      <w:r w:rsidRPr="00892D16">
        <w:rPr>
          <w:rFonts w:ascii="Times New Roman" w:hAnsi="Times New Roman"/>
          <w:sz w:val="24"/>
          <w:szCs w:val="24"/>
          <w:lang w:val="en-GB"/>
        </w:rPr>
        <w:t>Three separate judgments of the ECHR, involving four applicants, and a decision of the CCPR as detailed below ruled in fa</w:t>
      </w:r>
      <w:r w:rsidRPr="00892D16">
        <w:rPr>
          <w:rFonts w:ascii="Times New Roman" w:hAnsi="Times New Roman"/>
          <w:sz w:val="24"/>
          <w:szCs w:val="24"/>
          <w:lang w:val="en-GB"/>
        </w:rPr>
        <w:t xml:space="preserve">vour of </w:t>
      </w:r>
      <w:r w:rsidR="00873EBE">
        <w:rPr>
          <w:rFonts w:ascii="Times New Roman" w:hAnsi="Times New Roman"/>
          <w:sz w:val="24"/>
          <w:szCs w:val="24"/>
          <w:lang w:val="en-GB"/>
        </w:rPr>
        <w:t>individual Jehovah’s</w:t>
      </w:r>
      <w:r w:rsidR="00873EBE" w:rsidRPr="00892D16">
        <w:rPr>
          <w:rFonts w:ascii="Times New Roman" w:hAnsi="Times New Roman"/>
          <w:sz w:val="24"/>
          <w:szCs w:val="24"/>
          <w:lang w:val="en-GB"/>
        </w:rPr>
        <w:t xml:space="preserve"> </w:t>
      </w:r>
      <w:r w:rsidRPr="00892D16">
        <w:rPr>
          <w:rFonts w:ascii="Times New Roman" w:hAnsi="Times New Roman"/>
          <w:sz w:val="24"/>
          <w:szCs w:val="24"/>
          <w:lang w:val="en-GB"/>
        </w:rPr>
        <w:t>Witnesses who refused military service based on their religious conscience. The Witnesses were punished because the government would not grant their respectful requests for alternative civilian</w:t>
      </w:r>
      <w:r w:rsidR="00873EBE">
        <w:rPr>
          <w:rFonts w:ascii="Times New Roman" w:hAnsi="Times New Roman"/>
          <w:sz w:val="24"/>
          <w:szCs w:val="24"/>
          <w:lang w:val="en-GB"/>
        </w:rPr>
        <w:t xml:space="preserve"> national</w:t>
      </w:r>
      <w:r w:rsidRPr="00892D16">
        <w:rPr>
          <w:rFonts w:ascii="Times New Roman" w:hAnsi="Times New Roman"/>
          <w:sz w:val="24"/>
          <w:szCs w:val="24"/>
          <w:lang w:val="en-GB"/>
        </w:rPr>
        <w:t xml:space="preserve"> service. These judgments</w:t>
      </w:r>
      <w:r w:rsidR="0028701C">
        <w:rPr>
          <w:rFonts w:ascii="Times New Roman" w:hAnsi="Times New Roman"/>
          <w:sz w:val="24"/>
          <w:szCs w:val="24"/>
          <w:lang w:val="en-GB"/>
        </w:rPr>
        <w:t xml:space="preserve"> have not been implemented.</w:t>
      </w:r>
      <w:r>
        <w:rPr>
          <w:rFonts w:ascii="Times New Roman" w:hAnsi="Times New Roman" w:hint="eastAsia"/>
          <w:sz w:val="24"/>
          <w:szCs w:val="24"/>
          <w:lang w:val="en-GB" w:eastAsia="ko-KR"/>
        </w:rPr>
        <w:t xml:space="preserve"> </w:t>
      </w:r>
    </w:p>
    <w:p w14:paraId="6195749C" w14:textId="77777777" w:rsidR="00606691" w:rsidRPr="00606691" w:rsidRDefault="00A56A0F" w:rsidP="005304DB">
      <w:pPr>
        <w:pStyle w:val="Heading1"/>
        <w:numPr>
          <w:ilvl w:val="0"/>
          <w:numId w:val="3"/>
        </w:numPr>
        <w:ind w:left="720" w:hanging="360"/>
        <w:jc w:val="both"/>
        <w:rPr>
          <w:rFonts w:ascii="Times New Roman Bold" w:hAnsi="Times New Roman Bold" w:cs="Times New Roman"/>
          <w:caps/>
          <w:color w:val="auto"/>
          <w:szCs w:val="24"/>
          <w:lang w:val="en-GB"/>
        </w:rPr>
      </w:pPr>
      <w:bookmarkStart w:id="6" w:name="_Toc68162661"/>
      <w:r w:rsidRPr="00E26192">
        <w:rPr>
          <w:rFonts w:ascii="Times New Roman Bold" w:hAnsi="Times New Roman Bold" w:cs="Times New Roman"/>
          <w:caps/>
          <w:color w:val="auto"/>
          <w:szCs w:val="24"/>
          <w:lang w:val="en-GB"/>
        </w:rPr>
        <w:t>ISSUE: CONSCIENTIOUS OBJECTION TO MILITARY SER</w:t>
      </w:r>
      <w:r w:rsidR="004277F3">
        <w:rPr>
          <w:rFonts w:ascii="Times New Roman Bold" w:hAnsi="Times New Roman Bold" w:cs="Times New Roman"/>
          <w:caps/>
          <w:color w:val="auto"/>
          <w:szCs w:val="24"/>
          <w:lang w:val="en-GB"/>
        </w:rPr>
        <w:t>V</w:t>
      </w:r>
      <w:r w:rsidRPr="00E26192">
        <w:rPr>
          <w:rFonts w:ascii="Times New Roman Bold" w:hAnsi="Times New Roman Bold" w:cs="Times New Roman"/>
          <w:caps/>
          <w:color w:val="auto"/>
          <w:szCs w:val="24"/>
          <w:lang w:val="en-GB"/>
        </w:rPr>
        <w:t>I</w:t>
      </w:r>
      <w:r w:rsidR="00FA6003">
        <w:rPr>
          <w:rFonts w:ascii="Times New Roman Bold" w:hAnsi="Times New Roman Bold" w:cs="Times New Roman"/>
          <w:caps/>
          <w:color w:val="auto"/>
          <w:szCs w:val="24"/>
          <w:lang w:val="en-GB"/>
        </w:rPr>
        <w:t>C</w:t>
      </w:r>
      <w:r w:rsidRPr="00E26192">
        <w:rPr>
          <w:rFonts w:ascii="Times New Roman Bold" w:hAnsi="Times New Roman Bold" w:cs="Times New Roman"/>
          <w:caps/>
          <w:color w:val="auto"/>
          <w:szCs w:val="24"/>
          <w:lang w:val="en-GB"/>
        </w:rPr>
        <w:t xml:space="preserve">E (VIOLATIONS OF ARTICLE </w:t>
      </w:r>
      <w:r w:rsidR="005C15A7" w:rsidRPr="00E26192">
        <w:rPr>
          <w:rFonts w:ascii="Times New Roman Bold" w:hAnsi="Times New Roman Bold" w:cs="Times New Roman"/>
          <w:caps/>
          <w:color w:val="auto"/>
          <w:szCs w:val="24"/>
          <w:lang w:val="en-GB"/>
        </w:rPr>
        <w:t>18</w:t>
      </w:r>
      <w:r w:rsidR="005C15A7">
        <w:rPr>
          <w:rFonts w:ascii="Times New Roman Bold" w:hAnsi="Times New Roman Bold" w:cs="Times New Roman"/>
          <w:caps/>
          <w:color w:val="auto"/>
          <w:szCs w:val="24"/>
          <w:lang w:val="en-GB"/>
        </w:rPr>
        <w:t xml:space="preserve"> of the Covenant </w:t>
      </w:r>
      <w:r w:rsidRPr="00E26192">
        <w:rPr>
          <w:rFonts w:ascii="Times New Roman Bold" w:hAnsi="Times New Roman Bold" w:cs="Times New Roman"/>
          <w:caps/>
          <w:color w:val="auto"/>
          <w:szCs w:val="24"/>
          <w:lang w:val="en-GB"/>
        </w:rPr>
        <w:t>AND</w:t>
      </w:r>
      <w:r w:rsidR="00CD238F">
        <w:rPr>
          <w:rFonts w:ascii="Times New Roman Bold" w:hAnsi="Times New Roman Bold" w:cs="Times New Roman"/>
          <w:caps/>
          <w:color w:val="auto"/>
          <w:szCs w:val="24"/>
          <w:lang w:val="en-GB"/>
        </w:rPr>
        <w:t xml:space="preserve"> ARTICLE</w:t>
      </w:r>
      <w:r w:rsidR="005C15A7">
        <w:rPr>
          <w:rFonts w:ascii="Times New Roman Bold" w:hAnsi="Times New Roman Bold" w:cs="Times New Roman"/>
          <w:caps/>
          <w:color w:val="auto"/>
          <w:szCs w:val="24"/>
          <w:lang w:val="en-GB"/>
        </w:rPr>
        <w:t xml:space="preserve"> </w:t>
      </w:r>
      <w:r w:rsidR="005C15A7" w:rsidRPr="00E26192">
        <w:rPr>
          <w:rFonts w:ascii="Times New Roman Bold" w:hAnsi="Times New Roman Bold" w:cs="Times New Roman"/>
          <w:caps/>
          <w:color w:val="auto"/>
          <w:szCs w:val="24"/>
          <w:lang w:val="en-GB"/>
        </w:rPr>
        <w:t xml:space="preserve">9 </w:t>
      </w:r>
      <w:r w:rsidR="005C15A7">
        <w:rPr>
          <w:rFonts w:ascii="Times New Roman Bold" w:hAnsi="Times New Roman Bold" w:cs="Times New Roman"/>
          <w:caps/>
          <w:color w:val="auto"/>
          <w:szCs w:val="24"/>
          <w:lang w:val="en-GB"/>
        </w:rPr>
        <w:t>of the European Convention on Human rights</w:t>
      </w:r>
      <w:r w:rsidRPr="00E26192">
        <w:rPr>
          <w:rFonts w:ascii="Times New Roman Bold" w:hAnsi="Times New Roman Bold" w:cs="Times New Roman"/>
          <w:caps/>
          <w:color w:val="auto"/>
          <w:szCs w:val="24"/>
          <w:lang w:val="en-GB"/>
        </w:rPr>
        <w:t>)</w:t>
      </w:r>
      <w:bookmarkEnd w:id="6"/>
    </w:p>
    <w:p w14:paraId="3DA76EEC" w14:textId="77777777" w:rsidR="00AE2147" w:rsidRDefault="00A56A0F" w:rsidP="00933B64">
      <w:pPr>
        <w:pStyle w:val="ListParagraph"/>
        <w:numPr>
          <w:ilvl w:val="1"/>
          <w:numId w:val="4"/>
        </w:numPr>
        <w:topLinePunct/>
        <w:spacing w:after="240"/>
        <w:ind w:right="181"/>
        <w:jc w:val="both"/>
        <w:rPr>
          <w:rFonts w:ascii="Times New Roman" w:hAnsi="Times New Roman"/>
          <w:sz w:val="24"/>
          <w:szCs w:val="24"/>
          <w:lang w:val="en-GB"/>
        </w:rPr>
      </w:pPr>
      <w:bookmarkStart w:id="7" w:name="_Hlk69394515"/>
      <w:r w:rsidRPr="00AE2147">
        <w:rPr>
          <w:rFonts w:ascii="Times New Roman" w:hAnsi="Times New Roman"/>
          <w:sz w:val="24"/>
          <w:szCs w:val="24"/>
          <w:lang w:val="en-GB"/>
        </w:rPr>
        <w:t xml:space="preserve">The government of Turkey continues to prosecute and condemn Jehovah’s </w:t>
      </w:r>
      <w:r w:rsidRPr="00AE2147">
        <w:rPr>
          <w:rFonts w:ascii="Times New Roman" w:hAnsi="Times New Roman"/>
          <w:sz w:val="24"/>
          <w:szCs w:val="24"/>
          <w:lang w:val="en-GB"/>
        </w:rPr>
        <w:t>Witnesses who conscientiously object to military service, in violation of</w:t>
      </w:r>
      <w:r w:rsidR="00873EBE">
        <w:rPr>
          <w:rFonts w:ascii="Times New Roman" w:hAnsi="Times New Roman"/>
          <w:sz w:val="24"/>
          <w:szCs w:val="24"/>
          <w:lang w:val="en-GB"/>
        </w:rPr>
        <w:t xml:space="preserve"> </w:t>
      </w:r>
      <w:r w:rsidR="00DC3047">
        <w:rPr>
          <w:rFonts w:ascii="Times New Roman" w:hAnsi="Times New Roman"/>
          <w:sz w:val="24"/>
          <w:szCs w:val="24"/>
          <w:lang w:val="en-GB"/>
        </w:rPr>
        <w:t>a</w:t>
      </w:r>
      <w:r w:rsidR="00873EBE">
        <w:rPr>
          <w:rFonts w:ascii="Times New Roman" w:hAnsi="Times New Roman"/>
          <w:sz w:val="24"/>
          <w:szCs w:val="24"/>
          <w:lang w:val="en-GB"/>
        </w:rPr>
        <w:t>rticle 18 of the Covenant</w:t>
      </w:r>
      <w:r w:rsidR="005C15A7">
        <w:rPr>
          <w:rFonts w:ascii="Times New Roman" w:hAnsi="Times New Roman"/>
          <w:sz w:val="24"/>
          <w:szCs w:val="24"/>
          <w:lang w:val="en-GB"/>
        </w:rPr>
        <w:t xml:space="preserve"> as extrapolated in General Comment No. 22</w:t>
      </w:r>
      <w:bookmarkEnd w:id="7"/>
      <w:r w:rsidR="005C15A7">
        <w:rPr>
          <w:rFonts w:ascii="Times New Roman" w:hAnsi="Times New Roman"/>
          <w:sz w:val="24"/>
          <w:szCs w:val="24"/>
          <w:lang w:val="en-GB"/>
        </w:rPr>
        <w:t xml:space="preserve">, </w:t>
      </w:r>
      <w:r w:rsidR="00B54FAC">
        <w:rPr>
          <w:rFonts w:ascii="Times New Roman" w:hAnsi="Times New Roman"/>
          <w:sz w:val="24"/>
          <w:szCs w:val="24"/>
          <w:lang w:val="en-GB"/>
        </w:rPr>
        <w:t>30/07/93</w:t>
      </w:r>
      <w:r w:rsidR="00C11126">
        <w:rPr>
          <w:rFonts w:ascii="Times New Roman" w:hAnsi="Times New Roman"/>
          <w:sz w:val="24"/>
          <w:szCs w:val="24"/>
          <w:lang w:val="en-GB"/>
        </w:rPr>
        <w:t>,</w:t>
      </w:r>
      <w:r w:rsidR="00B54FAC">
        <w:rPr>
          <w:rFonts w:ascii="Times New Roman" w:hAnsi="Times New Roman"/>
          <w:sz w:val="24"/>
          <w:szCs w:val="24"/>
          <w:lang w:val="en-GB"/>
        </w:rPr>
        <w:t xml:space="preserve"> para</w:t>
      </w:r>
      <w:r w:rsidR="00C11126">
        <w:rPr>
          <w:rFonts w:ascii="Times New Roman" w:hAnsi="Times New Roman"/>
          <w:sz w:val="24"/>
          <w:szCs w:val="24"/>
          <w:lang w:val="en-GB"/>
        </w:rPr>
        <w:t>graph</w:t>
      </w:r>
      <w:r w:rsidR="00B54FAC">
        <w:rPr>
          <w:rFonts w:ascii="Times New Roman" w:hAnsi="Times New Roman"/>
          <w:sz w:val="24"/>
          <w:szCs w:val="24"/>
          <w:lang w:val="en-GB"/>
        </w:rPr>
        <w:t xml:space="preserve"> 11 (</w:t>
      </w:r>
      <w:r w:rsidR="00B54FAC" w:rsidRPr="00B54FAC">
        <w:rPr>
          <w:rFonts w:ascii="Times New Roman" w:hAnsi="Times New Roman"/>
          <w:sz w:val="24"/>
          <w:szCs w:val="24"/>
          <w:lang w:val="en-GB"/>
        </w:rPr>
        <w:t>CCPR/C/21/Rev.1/Add.4</w:t>
      </w:r>
      <w:r w:rsidR="00B54FAC">
        <w:rPr>
          <w:rFonts w:ascii="Times New Roman" w:hAnsi="Times New Roman"/>
          <w:sz w:val="24"/>
          <w:szCs w:val="24"/>
          <w:lang w:val="en-GB"/>
        </w:rPr>
        <w:t>)</w:t>
      </w:r>
      <w:r w:rsidR="00422BE2">
        <w:rPr>
          <w:rFonts w:ascii="Times New Roman" w:hAnsi="Times New Roman"/>
          <w:sz w:val="24"/>
          <w:szCs w:val="24"/>
          <w:lang w:val="en-GB"/>
        </w:rPr>
        <w:t>,</w:t>
      </w:r>
      <w:r w:rsidR="00873EBE">
        <w:rPr>
          <w:rFonts w:ascii="Times New Roman" w:hAnsi="Times New Roman"/>
          <w:sz w:val="24"/>
          <w:szCs w:val="24"/>
          <w:lang w:val="en-GB"/>
        </w:rPr>
        <w:t xml:space="preserve"> and</w:t>
      </w:r>
      <w:r w:rsidR="00422BE2">
        <w:rPr>
          <w:rFonts w:ascii="Times New Roman" w:hAnsi="Times New Roman"/>
          <w:sz w:val="24"/>
          <w:szCs w:val="24"/>
          <w:lang w:val="en-GB"/>
        </w:rPr>
        <w:t xml:space="preserve"> of</w:t>
      </w:r>
      <w:r w:rsidRPr="00AE2147">
        <w:rPr>
          <w:rFonts w:ascii="Times New Roman" w:hAnsi="Times New Roman"/>
          <w:sz w:val="24"/>
          <w:szCs w:val="24"/>
          <w:lang w:val="en-GB"/>
        </w:rPr>
        <w:t xml:space="preserve"> </w:t>
      </w:r>
      <w:r w:rsidR="00C11126">
        <w:rPr>
          <w:rFonts w:ascii="Times New Roman" w:hAnsi="Times New Roman"/>
          <w:sz w:val="24"/>
          <w:szCs w:val="24"/>
          <w:lang w:val="en-GB"/>
        </w:rPr>
        <w:t>a</w:t>
      </w:r>
      <w:r w:rsidRPr="00AE2147">
        <w:rPr>
          <w:rFonts w:ascii="Times New Roman" w:hAnsi="Times New Roman"/>
          <w:sz w:val="24"/>
          <w:szCs w:val="24"/>
          <w:lang w:val="en-GB"/>
        </w:rPr>
        <w:t>rticle 9 of the European Convention o</w:t>
      </w:r>
      <w:r w:rsidR="00873EBE">
        <w:rPr>
          <w:rFonts w:ascii="Times New Roman" w:hAnsi="Times New Roman"/>
          <w:sz w:val="24"/>
          <w:szCs w:val="24"/>
          <w:lang w:val="en-GB"/>
        </w:rPr>
        <w:t>n</w:t>
      </w:r>
      <w:r w:rsidRPr="00AE2147">
        <w:rPr>
          <w:rFonts w:ascii="Times New Roman" w:hAnsi="Times New Roman"/>
          <w:sz w:val="24"/>
          <w:szCs w:val="24"/>
          <w:lang w:val="en-GB"/>
        </w:rPr>
        <w:t xml:space="preserve"> Human Rights</w:t>
      </w:r>
      <w:r w:rsidR="005C15A7">
        <w:rPr>
          <w:rFonts w:ascii="Times New Roman" w:hAnsi="Times New Roman"/>
          <w:sz w:val="24"/>
          <w:szCs w:val="24"/>
          <w:lang w:val="en-GB"/>
        </w:rPr>
        <w:t xml:space="preserve"> (the Convention)</w:t>
      </w:r>
      <w:r w:rsidRPr="00AE2147">
        <w:rPr>
          <w:rFonts w:ascii="Times New Roman" w:hAnsi="Times New Roman"/>
          <w:sz w:val="24"/>
          <w:szCs w:val="24"/>
          <w:lang w:val="en-GB"/>
        </w:rPr>
        <w:t>. Authorities subject Witnesses who are conscientious objectors to unending call-ups for military duty, prosecute them relentlessly and penali</w:t>
      </w:r>
      <w:r w:rsidR="00DC3047">
        <w:rPr>
          <w:rFonts w:ascii="Times New Roman" w:hAnsi="Times New Roman"/>
          <w:sz w:val="24"/>
          <w:szCs w:val="24"/>
          <w:lang w:val="en-GB"/>
        </w:rPr>
        <w:t>s</w:t>
      </w:r>
      <w:r w:rsidRPr="00AE2147">
        <w:rPr>
          <w:rFonts w:ascii="Times New Roman" w:hAnsi="Times New Roman"/>
          <w:sz w:val="24"/>
          <w:szCs w:val="24"/>
          <w:lang w:val="en-GB"/>
        </w:rPr>
        <w:t>e them with repeated fines and threats of imprisonment</w:t>
      </w:r>
      <w:r>
        <w:rPr>
          <w:rFonts w:ascii="Times New Roman" w:hAnsi="Times New Roman"/>
          <w:sz w:val="24"/>
          <w:szCs w:val="24"/>
          <w:lang w:val="en-GB"/>
        </w:rPr>
        <w:t>.</w:t>
      </w:r>
    </w:p>
    <w:p w14:paraId="5B571CF0" w14:textId="77777777" w:rsidR="00AE2147" w:rsidRDefault="00A56A0F" w:rsidP="00892D16">
      <w:pPr>
        <w:pStyle w:val="ListParagraph"/>
        <w:numPr>
          <w:ilvl w:val="1"/>
          <w:numId w:val="6"/>
        </w:numPr>
        <w:topLinePunct/>
        <w:spacing w:after="240"/>
        <w:ind w:right="181"/>
        <w:jc w:val="both"/>
        <w:rPr>
          <w:rFonts w:ascii="Times New Roman" w:hAnsi="Times New Roman"/>
          <w:sz w:val="24"/>
          <w:szCs w:val="24"/>
          <w:lang w:val="en-GB"/>
        </w:rPr>
      </w:pPr>
      <w:r w:rsidRPr="00AE2147">
        <w:rPr>
          <w:rFonts w:ascii="Times New Roman" w:hAnsi="Times New Roman"/>
          <w:sz w:val="24"/>
          <w:szCs w:val="24"/>
          <w:lang w:val="en-GB"/>
        </w:rPr>
        <w:t>Although Turkey acknowledges ECHR judgme</w:t>
      </w:r>
      <w:r w:rsidRPr="00AE2147">
        <w:rPr>
          <w:rFonts w:ascii="Times New Roman" w:hAnsi="Times New Roman"/>
          <w:sz w:val="24"/>
          <w:szCs w:val="24"/>
          <w:lang w:val="en-GB"/>
        </w:rPr>
        <w:t>nts against it by paying</w:t>
      </w:r>
      <w:r w:rsidR="004D4E48">
        <w:rPr>
          <w:rFonts w:ascii="Times New Roman" w:hAnsi="Times New Roman"/>
          <w:sz w:val="24"/>
          <w:szCs w:val="24"/>
          <w:lang w:val="en-GB"/>
        </w:rPr>
        <w:t xml:space="preserve"> the</w:t>
      </w:r>
      <w:r w:rsidRPr="00AE2147">
        <w:rPr>
          <w:rFonts w:ascii="Times New Roman" w:hAnsi="Times New Roman"/>
          <w:sz w:val="24"/>
          <w:szCs w:val="24"/>
          <w:lang w:val="en-GB"/>
        </w:rPr>
        <w:t xml:space="preserve"> damages</w:t>
      </w:r>
      <w:r w:rsidR="004D4E48">
        <w:rPr>
          <w:rFonts w:ascii="Times New Roman" w:hAnsi="Times New Roman"/>
          <w:sz w:val="24"/>
          <w:szCs w:val="24"/>
          <w:lang w:val="en-GB"/>
        </w:rPr>
        <w:t xml:space="preserve"> awarded</w:t>
      </w:r>
      <w:r w:rsidRPr="00AE2147">
        <w:rPr>
          <w:rFonts w:ascii="Times New Roman" w:hAnsi="Times New Roman"/>
          <w:sz w:val="24"/>
          <w:szCs w:val="24"/>
          <w:lang w:val="en-GB"/>
        </w:rPr>
        <w:t xml:space="preserve"> to the applicants, it refuses to abide by the requirements of these judgments and those of the CCPR to</w:t>
      </w:r>
      <w:r w:rsidR="004D4E48">
        <w:rPr>
          <w:rFonts w:ascii="Times New Roman" w:hAnsi="Times New Roman"/>
          <w:sz w:val="24"/>
          <w:szCs w:val="24"/>
          <w:lang w:val="en-GB"/>
        </w:rPr>
        <w:t xml:space="preserve"> correct underlying violations of the </w:t>
      </w:r>
      <w:r w:rsidR="00422BE2">
        <w:rPr>
          <w:rFonts w:ascii="Times New Roman" w:hAnsi="Times New Roman"/>
          <w:sz w:val="24"/>
          <w:szCs w:val="24"/>
          <w:lang w:val="en-GB"/>
        </w:rPr>
        <w:t xml:space="preserve">Covenant </w:t>
      </w:r>
      <w:r w:rsidR="004D4E48">
        <w:rPr>
          <w:rFonts w:ascii="Times New Roman" w:hAnsi="Times New Roman"/>
          <w:sz w:val="24"/>
          <w:szCs w:val="24"/>
          <w:lang w:val="en-GB"/>
        </w:rPr>
        <w:t>and the Convention by</w:t>
      </w:r>
      <w:r w:rsidRPr="00AE2147">
        <w:rPr>
          <w:rFonts w:ascii="Times New Roman" w:hAnsi="Times New Roman"/>
          <w:sz w:val="24"/>
          <w:szCs w:val="24"/>
          <w:lang w:val="en-GB"/>
        </w:rPr>
        <w:t xml:space="preserve"> recogniz</w:t>
      </w:r>
      <w:r w:rsidR="004D4E48">
        <w:rPr>
          <w:rFonts w:ascii="Times New Roman" w:hAnsi="Times New Roman"/>
          <w:sz w:val="24"/>
          <w:szCs w:val="24"/>
          <w:lang w:val="en-GB"/>
        </w:rPr>
        <w:t>ing</w:t>
      </w:r>
      <w:r w:rsidRPr="00AE2147">
        <w:rPr>
          <w:rFonts w:ascii="Times New Roman" w:hAnsi="Times New Roman"/>
          <w:sz w:val="24"/>
          <w:szCs w:val="24"/>
          <w:lang w:val="en-GB"/>
        </w:rPr>
        <w:t xml:space="preserve"> conscientious objection to m</w:t>
      </w:r>
      <w:r w:rsidRPr="00AE2147">
        <w:rPr>
          <w:rFonts w:ascii="Times New Roman" w:hAnsi="Times New Roman"/>
          <w:sz w:val="24"/>
          <w:szCs w:val="24"/>
          <w:lang w:val="en-GB"/>
        </w:rPr>
        <w:t>ilitary service</w:t>
      </w:r>
      <w:r w:rsidR="004D4E48">
        <w:rPr>
          <w:rFonts w:ascii="Times New Roman" w:hAnsi="Times New Roman"/>
          <w:sz w:val="24"/>
          <w:szCs w:val="24"/>
          <w:lang w:val="en-GB"/>
        </w:rPr>
        <w:t xml:space="preserve"> and providing a civilian alternative service </w:t>
      </w:r>
      <w:r w:rsidR="00FD7C91">
        <w:rPr>
          <w:rFonts w:ascii="Times New Roman" w:hAnsi="Times New Roman"/>
          <w:sz w:val="24"/>
          <w:szCs w:val="24"/>
          <w:lang w:val="en-GB"/>
        </w:rPr>
        <w:t>conforming to</w:t>
      </w:r>
      <w:r w:rsidR="004D4E48">
        <w:rPr>
          <w:rFonts w:ascii="Times New Roman" w:hAnsi="Times New Roman"/>
          <w:sz w:val="24"/>
          <w:szCs w:val="24"/>
          <w:lang w:val="en-GB"/>
        </w:rPr>
        <w:t xml:space="preserve"> international standards</w:t>
      </w:r>
      <w:r w:rsidRPr="00AE2147">
        <w:rPr>
          <w:rFonts w:ascii="Times New Roman" w:hAnsi="Times New Roman"/>
          <w:sz w:val="24"/>
          <w:szCs w:val="24"/>
          <w:lang w:val="en-GB"/>
        </w:rPr>
        <w:t>.</w:t>
      </w:r>
    </w:p>
    <w:p w14:paraId="37FE0EC9" w14:textId="77777777" w:rsidR="0050672F" w:rsidRPr="0050672F" w:rsidRDefault="00A56A0F" w:rsidP="00873EBE">
      <w:pPr>
        <w:pStyle w:val="ListParagraph"/>
        <w:numPr>
          <w:ilvl w:val="2"/>
          <w:numId w:val="6"/>
        </w:numPr>
        <w:topLinePunct/>
        <w:spacing w:after="240"/>
        <w:ind w:left="709" w:right="181"/>
        <w:jc w:val="both"/>
        <w:rPr>
          <w:rFonts w:ascii="Times New Roman" w:hAnsi="Times New Roman"/>
          <w:sz w:val="24"/>
          <w:szCs w:val="24"/>
        </w:rPr>
      </w:pPr>
      <w:r w:rsidRPr="0050672F">
        <w:rPr>
          <w:rFonts w:ascii="Times New Roman" w:hAnsi="Times New Roman"/>
          <w:sz w:val="24"/>
          <w:szCs w:val="24"/>
        </w:rPr>
        <w:t xml:space="preserve">Turkey ignores the landmark judgment of the Grand Chamber of the ECHR in </w:t>
      </w:r>
      <w:r w:rsidRPr="0050672F">
        <w:rPr>
          <w:rFonts w:ascii="Times New Roman" w:hAnsi="Times New Roman"/>
          <w:i/>
          <w:sz w:val="24"/>
          <w:szCs w:val="24"/>
        </w:rPr>
        <w:t>Bayatyan v. Armenia,</w:t>
      </w:r>
      <w:r w:rsidRPr="0050672F">
        <w:rPr>
          <w:rFonts w:ascii="Times New Roman" w:hAnsi="Times New Roman"/>
          <w:sz w:val="24"/>
          <w:szCs w:val="24"/>
        </w:rPr>
        <w:t xml:space="preserve"> no. 23459/03, 7 July 2011. The Grand Chamber found that </w:t>
      </w:r>
      <w:r w:rsidR="00100AFE">
        <w:rPr>
          <w:rFonts w:ascii="Times New Roman" w:hAnsi="Times New Roman"/>
          <w:sz w:val="24"/>
          <w:szCs w:val="24"/>
        </w:rPr>
        <w:t>a</w:t>
      </w:r>
      <w:r w:rsidRPr="0050672F">
        <w:rPr>
          <w:rFonts w:ascii="Times New Roman" w:hAnsi="Times New Roman"/>
          <w:sz w:val="24"/>
          <w:szCs w:val="24"/>
        </w:rPr>
        <w:t>rticle 9 of the Convention protects conscientious objectors who refuse military service</w:t>
      </w:r>
      <w:r w:rsidR="00892D16" w:rsidRPr="0050672F">
        <w:rPr>
          <w:rFonts w:ascii="Times New Roman" w:hAnsi="Times New Roman"/>
          <w:sz w:val="24"/>
          <w:szCs w:val="24"/>
          <w:lang w:val="en-GB"/>
        </w:rPr>
        <w:t>.</w:t>
      </w:r>
      <w:r w:rsidRPr="0050672F">
        <w:rPr>
          <w:rFonts w:ascii="Times New Roman" w:hAnsi="Times New Roman"/>
          <w:sz w:val="24"/>
          <w:szCs w:val="24"/>
          <w:lang w:val="en-GB"/>
        </w:rPr>
        <w:t xml:space="preserve"> Furthermore</w:t>
      </w:r>
      <w:r w:rsidR="00531035">
        <w:rPr>
          <w:rFonts w:ascii="Times New Roman" w:hAnsi="Times New Roman"/>
          <w:sz w:val="24"/>
          <w:szCs w:val="24"/>
          <w:lang w:val="en-GB"/>
        </w:rPr>
        <w:t>,</w:t>
      </w:r>
      <w:r w:rsidRPr="0050672F">
        <w:rPr>
          <w:rFonts w:ascii="Times New Roman" w:hAnsi="Times New Roman"/>
          <w:sz w:val="24"/>
          <w:szCs w:val="24"/>
          <w:lang w:val="en-GB"/>
        </w:rPr>
        <w:t xml:space="preserve"> </w:t>
      </w:r>
      <w:r w:rsidR="00100AFE">
        <w:rPr>
          <w:rFonts w:ascii="Times New Roman" w:hAnsi="Times New Roman"/>
          <w:sz w:val="24"/>
          <w:szCs w:val="24"/>
          <w:lang w:val="en-GB"/>
        </w:rPr>
        <w:t>Turkey</w:t>
      </w:r>
      <w:r w:rsidRPr="0050672F">
        <w:rPr>
          <w:rFonts w:ascii="Times New Roman" w:hAnsi="Times New Roman"/>
          <w:sz w:val="24"/>
          <w:szCs w:val="24"/>
          <w:lang w:val="en-GB"/>
        </w:rPr>
        <w:t xml:space="preserve"> disregards EHCR judgments </w:t>
      </w:r>
      <w:r w:rsidR="005C15A7">
        <w:rPr>
          <w:rFonts w:ascii="Times New Roman" w:hAnsi="Times New Roman"/>
          <w:sz w:val="24"/>
          <w:szCs w:val="24"/>
          <w:lang w:val="en-GB"/>
        </w:rPr>
        <w:t>specifically</w:t>
      </w:r>
      <w:r w:rsidR="005C15A7" w:rsidRPr="0050672F">
        <w:rPr>
          <w:rFonts w:ascii="Times New Roman" w:hAnsi="Times New Roman"/>
          <w:sz w:val="24"/>
          <w:szCs w:val="24"/>
          <w:lang w:val="en-GB"/>
        </w:rPr>
        <w:t xml:space="preserve"> </w:t>
      </w:r>
      <w:r w:rsidRPr="0050672F">
        <w:rPr>
          <w:rFonts w:ascii="Times New Roman" w:hAnsi="Times New Roman"/>
          <w:sz w:val="24"/>
          <w:szCs w:val="24"/>
          <w:lang w:val="en-GB"/>
        </w:rPr>
        <w:t>against its</w:t>
      </w:r>
      <w:r w:rsidR="005C15A7">
        <w:rPr>
          <w:rFonts w:ascii="Times New Roman" w:hAnsi="Times New Roman"/>
          <w:sz w:val="24"/>
          <w:szCs w:val="24"/>
          <w:lang w:val="en-GB"/>
        </w:rPr>
        <w:t xml:space="preserve"> own</w:t>
      </w:r>
      <w:r w:rsidRPr="0050672F">
        <w:rPr>
          <w:rFonts w:ascii="Times New Roman" w:hAnsi="Times New Roman"/>
          <w:sz w:val="24"/>
          <w:szCs w:val="24"/>
          <w:lang w:val="en-GB"/>
        </w:rPr>
        <w:t xml:space="preserve"> treatment of conscientious objectors in the cases of </w:t>
      </w:r>
      <w:r w:rsidRPr="0050672F">
        <w:rPr>
          <w:rFonts w:ascii="Times New Roman" w:hAnsi="Times New Roman"/>
          <w:i/>
          <w:sz w:val="24"/>
          <w:szCs w:val="24"/>
        </w:rPr>
        <w:t>Buldu and Others v. Turkey,</w:t>
      </w:r>
      <w:r w:rsidRPr="0050672F">
        <w:rPr>
          <w:rFonts w:ascii="Times New Roman" w:hAnsi="Times New Roman"/>
          <w:sz w:val="24"/>
          <w:szCs w:val="24"/>
        </w:rPr>
        <w:t xml:space="preserve"> no. 14017/0</w:t>
      </w:r>
      <w:r w:rsidRPr="0050672F">
        <w:rPr>
          <w:rFonts w:ascii="Times New Roman" w:hAnsi="Times New Roman"/>
          <w:sz w:val="24"/>
          <w:szCs w:val="24"/>
        </w:rPr>
        <w:t>8, 3 June 2014</w:t>
      </w:r>
      <w:r w:rsidRPr="0050672F">
        <w:rPr>
          <w:rFonts w:ascii="Times New Roman" w:hAnsi="Times New Roman"/>
          <w:sz w:val="24"/>
          <w:szCs w:val="24"/>
          <w:lang w:eastAsia="ko-KR"/>
        </w:rPr>
        <w:t xml:space="preserve">; </w:t>
      </w:r>
      <w:r w:rsidRPr="0050672F">
        <w:rPr>
          <w:rFonts w:ascii="Times New Roman" w:hAnsi="Times New Roman"/>
          <w:i/>
          <w:iCs/>
          <w:sz w:val="24"/>
          <w:szCs w:val="24"/>
        </w:rPr>
        <w:t>Feti Demirtaş v. Turkey</w:t>
      </w:r>
      <w:r w:rsidRPr="0050672F">
        <w:rPr>
          <w:rFonts w:ascii="Times New Roman" w:hAnsi="Times New Roman"/>
          <w:sz w:val="24"/>
          <w:szCs w:val="24"/>
        </w:rPr>
        <w:t>, no. 5260/07, 17 January 2012</w:t>
      </w:r>
      <w:r>
        <w:rPr>
          <w:rFonts w:ascii="Times New Roman" w:hAnsi="Times New Roman"/>
          <w:sz w:val="24"/>
          <w:szCs w:val="24"/>
        </w:rPr>
        <w:t xml:space="preserve">; </w:t>
      </w:r>
      <w:r w:rsidRPr="0050672F">
        <w:rPr>
          <w:rFonts w:ascii="Times New Roman" w:hAnsi="Times New Roman"/>
          <w:i/>
          <w:iCs/>
          <w:sz w:val="24"/>
          <w:szCs w:val="24"/>
        </w:rPr>
        <w:t>Erçep v. Turkey</w:t>
      </w:r>
      <w:r w:rsidRPr="0050672F">
        <w:rPr>
          <w:rFonts w:ascii="Times New Roman" w:hAnsi="Times New Roman"/>
          <w:sz w:val="24"/>
          <w:szCs w:val="24"/>
        </w:rPr>
        <w:t>, no. 43965/04, 22 November 2011</w:t>
      </w:r>
      <w:r>
        <w:rPr>
          <w:rFonts w:ascii="Times New Roman" w:hAnsi="Times New Roman"/>
          <w:sz w:val="24"/>
          <w:szCs w:val="24"/>
        </w:rPr>
        <w:t>.</w:t>
      </w:r>
      <w:r>
        <w:rPr>
          <w:rStyle w:val="FootnoteReference"/>
          <w:rFonts w:ascii="Times New Roman" w:hAnsi="Times New Roman"/>
          <w:sz w:val="24"/>
          <w:szCs w:val="24"/>
        </w:rPr>
        <w:footnoteReference w:id="1"/>
      </w:r>
      <w:r w:rsidRPr="0050672F">
        <w:t xml:space="preserve"> </w:t>
      </w:r>
      <w:r w:rsidRPr="0050672F">
        <w:rPr>
          <w:rFonts w:ascii="Times New Roman" w:hAnsi="Times New Roman"/>
          <w:sz w:val="24"/>
          <w:szCs w:val="24"/>
        </w:rPr>
        <w:t xml:space="preserve">These rulings are binding on Turkey </w:t>
      </w:r>
      <w:r w:rsidR="00422BE2">
        <w:rPr>
          <w:rFonts w:ascii="Times New Roman" w:hAnsi="Times New Roman"/>
          <w:sz w:val="24"/>
          <w:szCs w:val="24"/>
        </w:rPr>
        <w:t>as</w:t>
      </w:r>
      <w:r w:rsidRPr="0050672F">
        <w:rPr>
          <w:rFonts w:ascii="Times New Roman" w:hAnsi="Times New Roman"/>
          <w:sz w:val="24"/>
          <w:szCs w:val="24"/>
        </w:rPr>
        <w:t xml:space="preserve"> a member</w:t>
      </w:r>
      <w:r w:rsidR="004D4E48">
        <w:rPr>
          <w:rFonts w:ascii="Times New Roman" w:hAnsi="Times New Roman"/>
          <w:sz w:val="24"/>
          <w:szCs w:val="24"/>
        </w:rPr>
        <w:t xml:space="preserve"> state</w:t>
      </w:r>
      <w:r w:rsidR="004D4E48" w:rsidRPr="0050672F">
        <w:rPr>
          <w:rFonts w:ascii="Times New Roman" w:hAnsi="Times New Roman"/>
          <w:sz w:val="24"/>
          <w:szCs w:val="24"/>
        </w:rPr>
        <w:t xml:space="preserve"> </w:t>
      </w:r>
      <w:r w:rsidRPr="0050672F">
        <w:rPr>
          <w:rFonts w:ascii="Times New Roman" w:hAnsi="Times New Roman"/>
          <w:sz w:val="24"/>
          <w:szCs w:val="24"/>
        </w:rPr>
        <w:t>of the Council of Europe.</w:t>
      </w:r>
      <w:r w:rsidR="004D4E48" w:rsidRPr="004D4E48">
        <w:rPr>
          <w:rFonts w:ascii="Times New Roman" w:hAnsi="Times New Roman"/>
          <w:sz w:val="24"/>
          <w:szCs w:val="24"/>
          <w:lang w:val="en-GB"/>
        </w:rPr>
        <w:t xml:space="preserve"> </w:t>
      </w:r>
      <w:r w:rsidR="004D4E48">
        <w:rPr>
          <w:rFonts w:ascii="Times New Roman" w:hAnsi="Times New Roman"/>
          <w:sz w:val="24"/>
          <w:szCs w:val="24"/>
          <w:lang w:val="en-GB"/>
        </w:rPr>
        <w:t>Turkey ratified the Convention, which entered into force on 18</w:t>
      </w:r>
      <w:r w:rsidR="00CD238F">
        <w:rPr>
          <w:rFonts w:ascii="Times New Roman" w:hAnsi="Times New Roman"/>
          <w:sz w:val="24"/>
          <w:szCs w:val="24"/>
          <w:lang w:val="en-GB"/>
        </w:rPr>
        <w:t> </w:t>
      </w:r>
      <w:r w:rsidR="004D4E48">
        <w:rPr>
          <w:rFonts w:ascii="Times New Roman" w:hAnsi="Times New Roman"/>
          <w:sz w:val="24"/>
          <w:szCs w:val="24"/>
          <w:lang w:val="en-GB"/>
        </w:rPr>
        <w:t>May 1954.</w:t>
      </w:r>
    </w:p>
    <w:p w14:paraId="288A0891" w14:textId="77777777" w:rsidR="00892D16" w:rsidRDefault="00A56A0F" w:rsidP="00873EBE">
      <w:pPr>
        <w:pStyle w:val="ListParagraph"/>
        <w:numPr>
          <w:ilvl w:val="2"/>
          <w:numId w:val="6"/>
        </w:numPr>
        <w:topLinePunct/>
        <w:spacing w:after="240"/>
        <w:ind w:left="709" w:right="181"/>
        <w:jc w:val="both"/>
        <w:rPr>
          <w:rFonts w:ascii="Times New Roman" w:hAnsi="Times New Roman"/>
          <w:sz w:val="24"/>
          <w:szCs w:val="24"/>
          <w:lang w:val="en-GB"/>
        </w:rPr>
      </w:pPr>
      <w:r w:rsidRPr="00873EBE">
        <w:rPr>
          <w:rFonts w:ascii="Times New Roman" w:hAnsi="Times New Roman"/>
          <w:sz w:val="24"/>
          <w:szCs w:val="24"/>
          <w:lang w:val="en-GB"/>
        </w:rPr>
        <w:t xml:space="preserve">Turkey also ignores the CCPR </w:t>
      </w:r>
      <w:r w:rsidR="000310B8">
        <w:rPr>
          <w:rFonts w:ascii="Times New Roman" w:hAnsi="Times New Roman"/>
          <w:sz w:val="24"/>
          <w:szCs w:val="24"/>
          <w:lang w:val="en-GB"/>
        </w:rPr>
        <w:t>V</w:t>
      </w:r>
      <w:r w:rsidRPr="00873EBE">
        <w:rPr>
          <w:rFonts w:ascii="Times New Roman" w:hAnsi="Times New Roman"/>
          <w:sz w:val="24"/>
          <w:szCs w:val="24"/>
          <w:lang w:val="en-GB"/>
        </w:rPr>
        <w:t xml:space="preserve">iews in </w:t>
      </w:r>
      <w:r w:rsidRPr="00873EBE">
        <w:rPr>
          <w:rFonts w:ascii="Times New Roman" w:hAnsi="Times New Roman"/>
          <w:i/>
          <w:sz w:val="24"/>
          <w:szCs w:val="24"/>
          <w:lang w:val="en-GB"/>
        </w:rPr>
        <w:t>Atasoy and Sarkut v. Turkey</w:t>
      </w:r>
      <w:r w:rsidRPr="00873EBE">
        <w:rPr>
          <w:rFonts w:ascii="Times New Roman" w:hAnsi="Times New Roman"/>
          <w:sz w:val="24"/>
          <w:szCs w:val="24"/>
          <w:lang w:val="en-GB"/>
        </w:rPr>
        <w:t xml:space="preserve"> (CCPR/C/104/D/1853-1854/2008, 29 March 2012). In this instance, the </w:t>
      </w:r>
      <w:r w:rsidR="0028701C">
        <w:rPr>
          <w:rFonts w:ascii="Times New Roman" w:hAnsi="Times New Roman"/>
          <w:sz w:val="24"/>
          <w:szCs w:val="24"/>
          <w:lang w:val="en-GB"/>
        </w:rPr>
        <w:t>CCPR</w:t>
      </w:r>
      <w:r w:rsidRPr="00873EBE">
        <w:rPr>
          <w:rFonts w:ascii="Times New Roman" w:hAnsi="Times New Roman"/>
          <w:sz w:val="24"/>
          <w:szCs w:val="24"/>
          <w:lang w:val="en-GB"/>
        </w:rPr>
        <w:t xml:space="preserve"> stated: “[</w:t>
      </w:r>
      <w:r w:rsidR="00422BE2">
        <w:rPr>
          <w:rFonts w:ascii="Times New Roman" w:hAnsi="Times New Roman"/>
          <w:sz w:val="24"/>
          <w:szCs w:val="24"/>
          <w:lang w:val="en-GB"/>
        </w:rPr>
        <w:t>Jehovah’s</w:t>
      </w:r>
      <w:r w:rsidR="00422BE2" w:rsidRPr="00873EBE">
        <w:rPr>
          <w:rFonts w:ascii="Times New Roman" w:hAnsi="Times New Roman"/>
          <w:sz w:val="24"/>
          <w:szCs w:val="24"/>
          <w:lang w:val="en-GB"/>
        </w:rPr>
        <w:t xml:space="preserve"> </w:t>
      </w:r>
      <w:r w:rsidRPr="00873EBE">
        <w:rPr>
          <w:rFonts w:ascii="Times New Roman" w:hAnsi="Times New Roman"/>
          <w:sz w:val="24"/>
          <w:szCs w:val="24"/>
          <w:lang w:val="en-GB"/>
        </w:rPr>
        <w:t xml:space="preserve">Witnesses’] refusal to be drafted for compulsory military service derives from their religious beliefs,” and their “subsequent prosecution and sentences amount to an infringement of their freedom of conscience, in breach of article 18, paragraph 1, of </w:t>
      </w:r>
      <w:r w:rsidR="00873EBE" w:rsidRPr="00873EBE">
        <w:rPr>
          <w:rFonts w:ascii="Times New Roman" w:hAnsi="Times New Roman"/>
          <w:sz w:val="24"/>
          <w:szCs w:val="24"/>
          <w:lang w:val="en-GB"/>
        </w:rPr>
        <w:t>the Covenant</w:t>
      </w:r>
      <w:r w:rsidRPr="00873EBE">
        <w:rPr>
          <w:rFonts w:ascii="Times New Roman" w:hAnsi="Times New Roman"/>
          <w:sz w:val="24"/>
          <w:szCs w:val="24"/>
          <w:lang w:val="en-GB"/>
        </w:rPr>
        <w:t>.”</w:t>
      </w:r>
      <w:r w:rsidR="000F5997" w:rsidRPr="000F5997">
        <w:rPr>
          <w:rFonts w:ascii="Times New Roman" w:hAnsi="Times New Roman"/>
          <w:sz w:val="24"/>
          <w:szCs w:val="24"/>
          <w:lang w:val="en-GB"/>
        </w:rPr>
        <w:t xml:space="preserve"> </w:t>
      </w:r>
      <w:r w:rsidR="000F5997">
        <w:rPr>
          <w:rFonts w:ascii="Times New Roman" w:hAnsi="Times New Roman"/>
          <w:sz w:val="24"/>
          <w:szCs w:val="24"/>
          <w:lang w:val="en-GB"/>
        </w:rPr>
        <w:t xml:space="preserve">Turkey ratified and acceded to the Covenant on 23 September 2003, and it entered into force on 23 December 2003.  </w:t>
      </w:r>
    </w:p>
    <w:p w14:paraId="52776A75" w14:textId="77777777" w:rsidR="0069480B" w:rsidRDefault="00A56A0F" w:rsidP="00873EBE">
      <w:pPr>
        <w:pStyle w:val="ListParagraph"/>
        <w:numPr>
          <w:ilvl w:val="2"/>
          <w:numId w:val="6"/>
        </w:numPr>
        <w:topLinePunct/>
        <w:spacing w:after="240"/>
        <w:ind w:left="709" w:right="181"/>
        <w:jc w:val="both"/>
        <w:rPr>
          <w:rFonts w:ascii="Times New Roman" w:hAnsi="Times New Roman"/>
          <w:sz w:val="24"/>
          <w:szCs w:val="24"/>
          <w:lang w:val="en-GB"/>
        </w:rPr>
      </w:pPr>
      <w:r>
        <w:rPr>
          <w:rFonts w:ascii="Times New Roman" w:hAnsi="Times New Roman"/>
          <w:sz w:val="24"/>
          <w:szCs w:val="24"/>
          <w:lang w:val="en-GB"/>
        </w:rPr>
        <w:t xml:space="preserve">The CCPR </w:t>
      </w:r>
      <w:r w:rsidR="000310B8">
        <w:rPr>
          <w:rFonts w:ascii="Times New Roman" w:hAnsi="Times New Roman"/>
          <w:sz w:val="24"/>
          <w:szCs w:val="24"/>
          <w:lang w:val="en-GB"/>
        </w:rPr>
        <w:t>V</w:t>
      </w:r>
      <w:r>
        <w:rPr>
          <w:rFonts w:ascii="Times New Roman" w:hAnsi="Times New Roman"/>
          <w:sz w:val="24"/>
          <w:szCs w:val="24"/>
          <w:lang w:val="en-GB"/>
        </w:rPr>
        <w:t>iews in</w:t>
      </w:r>
      <w:r w:rsidRPr="0069480B">
        <w:rPr>
          <w:rFonts w:ascii="Times New Roman" w:hAnsi="Times New Roman"/>
          <w:i/>
          <w:sz w:val="24"/>
          <w:szCs w:val="24"/>
          <w:lang w:val="en-GB"/>
        </w:rPr>
        <w:t xml:space="preserve"> </w:t>
      </w:r>
      <w:r w:rsidRPr="00873EBE">
        <w:rPr>
          <w:rFonts w:ascii="Times New Roman" w:hAnsi="Times New Roman"/>
          <w:i/>
          <w:sz w:val="24"/>
          <w:szCs w:val="24"/>
          <w:lang w:val="en-GB"/>
        </w:rPr>
        <w:t>Atasoy</w:t>
      </w:r>
      <w:r>
        <w:rPr>
          <w:rFonts w:ascii="Times New Roman" w:hAnsi="Times New Roman"/>
          <w:i/>
          <w:sz w:val="24"/>
          <w:szCs w:val="24"/>
          <w:lang w:val="en-GB"/>
        </w:rPr>
        <w:t xml:space="preserve"> </w:t>
      </w:r>
      <w:r>
        <w:rPr>
          <w:rFonts w:ascii="Times New Roman" w:hAnsi="Times New Roman"/>
          <w:sz w:val="24"/>
          <w:szCs w:val="24"/>
          <w:lang w:val="en-GB"/>
        </w:rPr>
        <w:t>(above) reiterate multiple findings in applications against the Republic of Korea</w:t>
      </w:r>
      <w:r w:rsidR="00365BA8">
        <w:rPr>
          <w:rFonts w:ascii="Times New Roman" w:hAnsi="Times New Roman"/>
          <w:sz w:val="24"/>
          <w:szCs w:val="24"/>
          <w:lang w:val="en-GB"/>
        </w:rPr>
        <w:t xml:space="preserve"> (South Korea)</w:t>
      </w:r>
      <w:r w:rsidR="00E55E53">
        <w:rPr>
          <w:rFonts w:ascii="Times New Roman" w:hAnsi="Times New Roman"/>
          <w:sz w:val="24"/>
          <w:szCs w:val="24"/>
          <w:lang w:val="en-GB"/>
        </w:rPr>
        <w:t>, which has now instituted a civilian alternative national service programme,</w:t>
      </w:r>
      <w:r>
        <w:rPr>
          <w:rFonts w:ascii="Times New Roman" w:hAnsi="Times New Roman"/>
          <w:sz w:val="24"/>
          <w:szCs w:val="24"/>
          <w:lang w:val="en-GB"/>
        </w:rPr>
        <w:t xml:space="preserve"> in the cases of</w:t>
      </w:r>
      <w:r w:rsidR="00EA137B">
        <w:rPr>
          <w:rFonts w:ascii="Times New Roman" w:hAnsi="Times New Roman"/>
          <w:sz w:val="24"/>
          <w:szCs w:val="24"/>
          <w:lang w:val="en-GB"/>
        </w:rPr>
        <w:t xml:space="preserve"> </w:t>
      </w:r>
      <w:r w:rsidR="00EA137B" w:rsidRPr="00EA137B">
        <w:rPr>
          <w:rFonts w:ascii="Times New Roman" w:hAnsi="Times New Roman"/>
          <w:i/>
          <w:sz w:val="24"/>
          <w:szCs w:val="24"/>
          <w:lang w:val="en-GB"/>
        </w:rPr>
        <w:t>Yoon v. Korea</w:t>
      </w:r>
      <w:r w:rsidR="00EA137B">
        <w:rPr>
          <w:rFonts w:ascii="Times New Roman" w:hAnsi="Times New Roman"/>
          <w:sz w:val="24"/>
          <w:szCs w:val="24"/>
          <w:lang w:val="en-GB"/>
        </w:rPr>
        <w:t xml:space="preserve"> (</w:t>
      </w:r>
      <w:r w:rsidR="00EA137B" w:rsidRPr="00EA137B">
        <w:rPr>
          <w:rFonts w:ascii="Times New Roman" w:hAnsi="Times New Roman"/>
          <w:sz w:val="24"/>
          <w:szCs w:val="24"/>
          <w:lang w:val="en-GB"/>
        </w:rPr>
        <w:t>CCPR/C/88/D/1321-1322/2004</w:t>
      </w:r>
      <w:r w:rsidR="00EA137B">
        <w:rPr>
          <w:rFonts w:ascii="Times New Roman" w:hAnsi="Times New Roman"/>
          <w:sz w:val="24"/>
          <w:szCs w:val="24"/>
          <w:lang w:val="en-GB"/>
        </w:rPr>
        <w:t xml:space="preserve">, </w:t>
      </w:r>
      <w:r w:rsidR="00EA137B">
        <w:rPr>
          <w:rFonts w:ascii="Times New Roman" w:hAnsi="Times New Roman"/>
          <w:sz w:val="24"/>
          <w:szCs w:val="24"/>
          <w:lang w:val="en-GB"/>
        </w:rPr>
        <w:lastRenderedPageBreak/>
        <w:t>23</w:t>
      </w:r>
      <w:r w:rsidR="00365BA8">
        <w:rPr>
          <w:rFonts w:ascii="Times New Roman" w:hAnsi="Times New Roman"/>
          <w:sz w:val="24"/>
          <w:szCs w:val="24"/>
          <w:lang w:val="en-GB"/>
        </w:rPr>
        <w:t> </w:t>
      </w:r>
      <w:r w:rsidR="00EA137B">
        <w:rPr>
          <w:rFonts w:ascii="Times New Roman" w:hAnsi="Times New Roman"/>
          <w:sz w:val="24"/>
          <w:szCs w:val="24"/>
          <w:lang w:val="en-GB"/>
        </w:rPr>
        <w:t>January 2007)</w:t>
      </w:r>
      <w:r w:rsidR="005736C7">
        <w:rPr>
          <w:rFonts w:ascii="Times New Roman" w:hAnsi="Times New Roman"/>
          <w:sz w:val="24"/>
          <w:szCs w:val="24"/>
          <w:lang w:val="en-GB"/>
        </w:rPr>
        <w:t>,</w:t>
      </w:r>
      <w:r w:rsidR="00EA137B">
        <w:rPr>
          <w:rFonts w:ascii="Times New Roman" w:hAnsi="Times New Roman"/>
          <w:sz w:val="24"/>
          <w:szCs w:val="24"/>
          <w:lang w:val="en-GB"/>
        </w:rPr>
        <w:t xml:space="preserve"> </w:t>
      </w:r>
      <w:r w:rsidR="00EA137B" w:rsidRPr="00EA137B">
        <w:rPr>
          <w:rFonts w:ascii="Times New Roman" w:hAnsi="Times New Roman"/>
          <w:i/>
          <w:sz w:val="24"/>
          <w:szCs w:val="24"/>
          <w:lang w:val="en-GB"/>
        </w:rPr>
        <w:t>Min-Kyu Jeong et al. v. Korea</w:t>
      </w:r>
      <w:r>
        <w:rPr>
          <w:rFonts w:ascii="Times New Roman" w:hAnsi="Times New Roman"/>
          <w:sz w:val="24"/>
          <w:szCs w:val="24"/>
          <w:lang w:val="en-GB"/>
        </w:rPr>
        <w:t xml:space="preserve"> </w:t>
      </w:r>
      <w:r w:rsidR="00EA137B">
        <w:rPr>
          <w:rFonts w:ascii="Times New Roman" w:hAnsi="Times New Roman"/>
          <w:sz w:val="24"/>
          <w:szCs w:val="24"/>
          <w:lang w:val="en-GB"/>
        </w:rPr>
        <w:t>(C</w:t>
      </w:r>
      <w:r w:rsidR="00EA137B" w:rsidRPr="00EA137B">
        <w:rPr>
          <w:rFonts w:ascii="Times New Roman" w:hAnsi="Times New Roman"/>
          <w:sz w:val="24"/>
          <w:szCs w:val="24"/>
          <w:lang w:val="en-GB"/>
        </w:rPr>
        <w:t>CPR/C/101/D/1642-1741/2007</w:t>
      </w:r>
      <w:r w:rsidR="00EA137B">
        <w:rPr>
          <w:rFonts w:ascii="Times New Roman" w:hAnsi="Times New Roman"/>
          <w:sz w:val="24"/>
          <w:szCs w:val="24"/>
          <w:lang w:val="en-GB"/>
        </w:rPr>
        <w:t>, 27 April 2011)</w:t>
      </w:r>
      <w:r w:rsidR="005736C7">
        <w:rPr>
          <w:rFonts w:ascii="Times New Roman" w:hAnsi="Times New Roman"/>
          <w:sz w:val="24"/>
          <w:szCs w:val="24"/>
          <w:lang w:val="en-GB"/>
        </w:rPr>
        <w:t>,</w:t>
      </w:r>
      <w:r w:rsidR="00EA137B">
        <w:rPr>
          <w:rFonts w:ascii="Times New Roman" w:hAnsi="Times New Roman"/>
          <w:sz w:val="24"/>
          <w:szCs w:val="24"/>
          <w:lang w:val="en-GB"/>
        </w:rPr>
        <w:t xml:space="preserve"> </w:t>
      </w:r>
      <w:r w:rsidR="00EA137B" w:rsidRPr="0069480B">
        <w:rPr>
          <w:rFonts w:ascii="Times New Roman" w:hAnsi="Times New Roman"/>
          <w:i/>
          <w:sz w:val="24"/>
          <w:szCs w:val="24"/>
          <w:lang w:val="en-GB"/>
        </w:rPr>
        <w:t>Jong-nam Kim et al. v. Korea</w:t>
      </w:r>
      <w:r w:rsidR="00EA137B">
        <w:rPr>
          <w:rFonts w:ascii="Times New Roman" w:hAnsi="Times New Roman"/>
          <w:sz w:val="24"/>
          <w:szCs w:val="24"/>
          <w:lang w:val="en-GB"/>
        </w:rPr>
        <w:t xml:space="preserve"> (C</w:t>
      </w:r>
      <w:r w:rsidR="00EA137B" w:rsidRPr="0069480B">
        <w:rPr>
          <w:rFonts w:ascii="Times New Roman" w:hAnsi="Times New Roman"/>
          <w:sz w:val="24"/>
          <w:szCs w:val="24"/>
          <w:lang w:val="en-GB"/>
        </w:rPr>
        <w:t>CPR/C/106/D/1786/2008</w:t>
      </w:r>
      <w:r w:rsidR="00EA137B">
        <w:rPr>
          <w:rFonts w:ascii="Times New Roman" w:hAnsi="Times New Roman"/>
          <w:sz w:val="24"/>
          <w:szCs w:val="24"/>
          <w:lang w:val="en-GB"/>
        </w:rPr>
        <w:t>, 20 February 2013)</w:t>
      </w:r>
      <w:r w:rsidR="005736C7">
        <w:rPr>
          <w:rFonts w:ascii="Times New Roman" w:hAnsi="Times New Roman"/>
          <w:sz w:val="24"/>
          <w:szCs w:val="24"/>
          <w:lang w:val="en-GB"/>
        </w:rPr>
        <w:t>,</w:t>
      </w:r>
      <w:r w:rsidR="00EA137B">
        <w:rPr>
          <w:rFonts w:ascii="Times New Roman" w:hAnsi="Times New Roman"/>
          <w:sz w:val="24"/>
          <w:szCs w:val="24"/>
          <w:lang w:val="en-GB"/>
        </w:rPr>
        <w:t xml:space="preserve"> </w:t>
      </w:r>
      <w:r w:rsidRPr="0069480B">
        <w:rPr>
          <w:rFonts w:ascii="Times New Roman" w:hAnsi="Times New Roman"/>
          <w:i/>
          <w:sz w:val="24"/>
          <w:szCs w:val="24"/>
          <w:lang w:val="en-GB"/>
        </w:rPr>
        <w:t>Young-kwan Kim et al. v. Korea</w:t>
      </w:r>
      <w:r>
        <w:rPr>
          <w:rFonts w:ascii="Times New Roman" w:hAnsi="Times New Roman"/>
          <w:sz w:val="24"/>
          <w:szCs w:val="24"/>
          <w:lang w:val="en-GB"/>
        </w:rPr>
        <w:t xml:space="preserve"> (C</w:t>
      </w:r>
      <w:r w:rsidRPr="0069480B">
        <w:rPr>
          <w:rFonts w:ascii="Times New Roman" w:hAnsi="Times New Roman"/>
          <w:sz w:val="24"/>
          <w:szCs w:val="24"/>
          <w:lang w:val="en-GB"/>
        </w:rPr>
        <w:t>CPR/C/112/D/2179/2012</w:t>
      </w:r>
      <w:r>
        <w:rPr>
          <w:rFonts w:ascii="Times New Roman" w:hAnsi="Times New Roman"/>
          <w:sz w:val="24"/>
          <w:szCs w:val="24"/>
          <w:lang w:val="en-GB"/>
        </w:rPr>
        <w:t>, 14</w:t>
      </w:r>
      <w:r w:rsidR="00EA137B">
        <w:rPr>
          <w:rFonts w:ascii="Times New Roman" w:hAnsi="Times New Roman"/>
          <w:sz w:val="24"/>
          <w:szCs w:val="24"/>
          <w:lang w:val="en-GB"/>
        </w:rPr>
        <w:t> </w:t>
      </w:r>
      <w:r>
        <w:rPr>
          <w:rFonts w:ascii="Times New Roman" w:hAnsi="Times New Roman"/>
          <w:sz w:val="24"/>
          <w:szCs w:val="24"/>
          <w:lang w:val="en-GB"/>
        </w:rPr>
        <w:t xml:space="preserve">January 2015) </w:t>
      </w:r>
      <w:r w:rsidR="00EA137B">
        <w:rPr>
          <w:rFonts w:ascii="Times New Roman" w:hAnsi="Times New Roman"/>
          <w:sz w:val="24"/>
          <w:szCs w:val="24"/>
          <w:lang w:val="en-GB"/>
        </w:rPr>
        <w:t xml:space="preserve">and </w:t>
      </w:r>
      <w:r w:rsidR="00EA137B" w:rsidRPr="00EA137B">
        <w:rPr>
          <w:rFonts w:ascii="Times New Roman" w:hAnsi="Times New Roman"/>
          <w:i/>
          <w:sz w:val="24"/>
          <w:szCs w:val="24"/>
          <w:lang w:val="en-GB"/>
        </w:rPr>
        <w:t>Jong-bum Bae et al. v. Korea</w:t>
      </w:r>
      <w:r w:rsidR="00EA137B">
        <w:rPr>
          <w:rFonts w:ascii="Times New Roman" w:hAnsi="Times New Roman"/>
          <w:i/>
          <w:sz w:val="24"/>
          <w:szCs w:val="24"/>
          <w:lang w:val="en-GB"/>
        </w:rPr>
        <w:t xml:space="preserve"> </w:t>
      </w:r>
      <w:r w:rsidR="00EA137B">
        <w:rPr>
          <w:rFonts w:ascii="Times New Roman" w:hAnsi="Times New Roman"/>
          <w:sz w:val="24"/>
          <w:szCs w:val="24"/>
          <w:lang w:val="en-GB"/>
        </w:rPr>
        <w:t>(</w:t>
      </w:r>
      <w:r w:rsidR="00EA137B" w:rsidRPr="00EA137B">
        <w:rPr>
          <w:rFonts w:ascii="Times New Roman" w:hAnsi="Times New Roman"/>
          <w:sz w:val="24"/>
          <w:szCs w:val="24"/>
          <w:lang w:val="en-GB"/>
        </w:rPr>
        <w:t>CCPR/C/128/D/2846/2016</w:t>
      </w:r>
      <w:r w:rsidR="00EA137B">
        <w:rPr>
          <w:rFonts w:ascii="Times New Roman" w:hAnsi="Times New Roman"/>
          <w:sz w:val="24"/>
          <w:szCs w:val="24"/>
          <w:lang w:val="en-GB"/>
        </w:rPr>
        <w:t>, 13 May 2020) and against Turkmenistan</w:t>
      </w:r>
      <w:r w:rsidR="00365BA8">
        <w:rPr>
          <w:rFonts w:ascii="Times New Roman" w:hAnsi="Times New Roman"/>
          <w:sz w:val="24"/>
          <w:szCs w:val="24"/>
          <w:lang w:val="en-GB"/>
        </w:rPr>
        <w:t xml:space="preserve">, most recently in the case of </w:t>
      </w:r>
      <w:r w:rsidR="00365BA8" w:rsidRPr="00365BA8">
        <w:rPr>
          <w:rFonts w:ascii="Times New Roman" w:hAnsi="Times New Roman"/>
          <w:i/>
          <w:sz w:val="24"/>
          <w:szCs w:val="24"/>
          <w:lang w:val="en-GB"/>
        </w:rPr>
        <w:t>Dawletow v. Turkmenistan</w:t>
      </w:r>
      <w:r w:rsidR="00365BA8">
        <w:rPr>
          <w:rFonts w:ascii="Times New Roman" w:hAnsi="Times New Roman"/>
          <w:i/>
          <w:sz w:val="24"/>
          <w:szCs w:val="24"/>
          <w:lang w:val="en-GB"/>
        </w:rPr>
        <w:t xml:space="preserve"> </w:t>
      </w:r>
      <w:r w:rsidR="00365BA8">
        <w:rPr>
          <w:rFonts w:ascii="Times New Roman" w:hAnsi="Times New Roman"/>
          <w:sz w:val="24"/>
          <w:szCs w:val="24"/>
          <w:lang w:val="en-GB"/>
        </w:rPr>
        <w:t>(</w:t>
      </w:r>
      <w:r w:rsidR="00365BA8" w:rsidRPr="00365BA8">
        <w:rPr>
          <w:rFonts w:ascii="Times New Roman" w:hAnsi="Times New Roman"/>
          <w:sz w:val="24"/>
          <w:szCs w:val="24"/>
          <w:lang w:val="en-GB"/>
        </w:rPr>
        <w:t>CCPR/C/125/D/</w:t>
      </w:r>
      <w:r w:rsidR="00365BA8">
        <w:rPr>
          <w:rFonts w:ascii="Times New Roman" w:hAnsi="Times New Roman"/>
          <w:sz w:val="24"/>
          <w:szCs w:val="24"/>
          <w:lang w:val="en-GB"/>
        </w:rPr>
        <w:t xml:space="preserve"> </w:t>
      </w:r>
      <w:r w:rsidR="00365BA8" w:rsidRPr="00365BA8">
        <w:rPr>
          <w:rFonts w:ascii="Times New Roman" w:hAnsi="Times New Roman"/>
          <w:sz w:val="24"/>
          <w:szCs w:val="24"/>
          <w:lang w:val="en-GB"/>
        </w:rPr>
        <w:t>2316/2013</w:t>
      </w:r>
      <w:r w:rsidR="00365BA8">
        <w:rPr>
          <w:rFonts w:ascii="Times New Roman" w:hAnsi="Times New Roman"/>
          <w:sz w:val="24"/>
          <w:szCs w:val="24"/>
          <w:lang w:val="en-GB"/>
        </w:rPr>
        <w:t>, 14 May 2019).</w:t>
      </w:r>
    </w:p>
    <w:p w14:paraId="4A3BE4CB" w14:textId="77777777" w:rsidR="002D25FD" w:rsidRPr="00873EBE" w:rsidRDefault="00A56A0F" w:rsidP="00873EBE">
      <w:pPr>
        <w:pStyle w:val="ListParagraph"/>
        <w:numPr>
          <w:ilvl w:val="2"/>
          <w:numId w:val="6"/>
        </w:numPr>
        <w:topLinePunct/>
        <w:spacing w:after="240"/>
        <w:ind w:left="709" w:right="181"/>
        <w:jc w:val="both"/>
        <w:rPr>
          <w:rFonts w:ascii="Times New Roman" w:hAnsi="Times New Roman"/>
          <w:sz w:val="24"/>
          <w:szCs w:val="24"/>
          <w:lang w:val="en-GB"/>
        </w:rPr>
      </w:pPr>
      <w:r>
        <w:rPr>
          <w:rFonts w:ascii="Times New Roman" w:hAnsi="Times New Roman"/>
          <w:sz w:val="24"/>
          <w:szCs w:val="24"/>
          <w:lang w:val="en-GB" w:eastAsia="ko-KR"/>
        </w:rPr>
        <w:t xml:space="preserve">The CCPR </w:t>
      </w:r>
      <w:r w:rsidR="00422BE2">
        <w:rPr>
          <w:rFonts w:ascii="Times New Roman" w:hAnsi="Times New Roman"/>
          <w:sz w:val="24"/>
          <w:szCs w:val="24"/>
          <w:lang w:val="en-GB" w:eastAsia="ko-KR"/>
        </w:rPr>
        <w:t>set out</w:t>
      </w:r>
      <w:r>
        <w:rPr>
          <w:rFonts w:ascii="Times New Roman" w:hAnsi="Times New Roman"/>
          <w:sz w:val="24"/>
          <w:szCs w:val="24"/>
          <w:lang w:val="en-GB" w:eastAsia="ko-KR"/>
        </w:rPr>
        <w:t xml:space="preserve"> its concerns </w:t>
      </w:r>
      <w:r w:rsidR="00422BE2">
        <w:rPr>
          <w:rFonts w:ascii="Times New Roman" w:hAnsi="Times New Roman"/>
          <w:sz w:val="24"/>
          <w:szCs w:val="24"/>
          <w:lang w:val="en-GB" w:eastAsia="ko-KR"/>
        </w:rPr>
        <w:t>about</w:t>
      </w:r>
      <w:r>
        <w:rPr>
          <w:rFonts w:ascii="Times New Roman" w:hAnsi="Times New Roman"/>
          <w:sz w:val="24"/>
          <w:szCs w:val="24"/>
          <w:lang w:val="en-GB" w:eastAsia="ko-KR"/>
        </w:rPr>
        <w:t xml:space="preserve"> Turkey’s failure to recognize conscientious objection</w:t>
      </w:r>
      <w:r w:rsidR="00422BE2">
        <w:rPr>
          <w:rFonts w:ascii="Times New Roman" w:hAnsi="Times New Roman"/>
          <w:sz w:val="24"/>
          <w:szCs w:val="24"/>
          <w:lang w:val="en-GB" w:eastAsia="ko-KR"/>
        </w:rPr>
        <w:t xml:space="preserve"> by providing an appropriate civilian alternative national service</w:t>
      </w:r>
      <w:r>
        <w:rPr>
          <w:rFonts w:ascii="Times New Roman" w:hAnsi="Times New Roman"/>
          <w:sz w:val="24"/>
          <w:szCs w:val="24"/>
          <w:lang w:val="en-GB" w:eastAsia="ko-KR"/>
        </w:rPr>
        <w:t xml:space="preserve"> in its 13 November 2012 Concluding Observat</w:t>
      </w:r>
      <w:r>
        <w:rPr>
          <w:rFonts w:ascii="Times New Roman" w:hAnsi="Times New Roman"/>
          <w:sz w:val="24"/>
          <w:szCs w:val="24"/>
          <w:lang w:val="en-GB" w:eastAsia="ko-KR"/>
        </w:rPr>
        <w:t>ions (CCPR/C/TUR/CO/1)</w:t>
      </w:r>
      <w:r w:rsidR="00422BE2">
        <w:rPr>
          <w:rFonts w:ascii="Times New Roman" w:hAnsi="Times New Roman"/>
          <w:sz w:val="24"/>
          <w:szCs w:val="24"/>
          <w:lang w:val="en-GB" w:eastAsia="ko-KR"/>
        </w:rPr>
        <w:t>,</w:t>
      </w:r>
      <w:r>
        <w:rPr>
          <w:rFonts w:ascii="Times New Roman" w:hAnsi="Times New Roman"/>
          <w:sz w:val="24"/>
          <w:szCs w:val="24"/>
          <w:lang w:val="en-GB" w:eastAsia="ko-KR"/>
        </w:rPr>
        <w:t xml:space="preserve"> </w:t>
      </w:r>
      <w:r w:rsidR="00422BE2">
        <w:rPr>
          <w:rFonts w:ascii="Times New Roman" w:hAnsi="Times New Roman"/>
          <w:sz w:val="24"/>
          <w:szCs w:val="24"/>
          <w:lang w:val="en-GB" w:eastAsia="ko-KR"/>
        </w:rPr>
        <w:t>which</w:t>
      </w:r>
      <w:r w:rsidR="007D109A" w:rsidRPr="007D109A">
        <w:rPr>
          <w:rFonts w:ascii="Times New Roman" w:hAnsi="Times New Roman"/>
          <w:sz w:val="24"/>
          <w:szCs w:val="24"/>
          <w:lang w:val="en-GB" w:eastAsia="ko-KR"/>
        </w:rPr>
        <w:t xml:space="preserve"> </w:t>
      </w:r>
      <w:r w:rsidR="007D109A">
        <w:rPr>
          <w:rFonts w:ascii="Times New Roman" w:hAnsi="Times New Roman"/>
          <w:sz w:val="24"/>
          <w:szCs w:val="24"/>
          <w:lang w:val="en-GB" w:eastAsia="ko-KR"/>
        </w:rPr>
        <w:t>affirm</w:t>
      </w:r>
      <w:r>
        <w:rPr>
          <w:rFonts w:ascii="Times New Roman" w:hAnsi="Times New Roman"/>
          <w:sz w:val="24"/>
          <w:szCs w:val="24"/>
          <w:lang w:val="en-GB" w:eastAsia="ko-KR"/>
        </w:rPr>
        <w:t>: “The State party should adopt legislation recognizing and regulating conscientious object</w:t>
      </w:r>
      <w:r w:rsidR="005736C7">
        <w:rPr>
          <w:rFonts w:ascii="Times New Roman" w:hAnsi="Times New Roman"/>
          <w:sz w:val="24"/>
          <w:szCs w:val="24"/>
          <w:lang w:val="en-GB" w:eastAsia="ko-KR"/>
        </w:rPr>
        <w:t>i</w:t>
      </w:r>
      <w:r>
        <w:rPr>
          <w:rFonts w:ascii="Times New Roman" w:hAnsi="Times New Roman"/>
          <w:sz w:val="24"/>
          <w:szCs w:val="24"/>
          <w:lang w:val="en-GB" w:eastAsia="ko-KR"/>
        </w:rPr>
        <w:t>o</w:t>
      </w:r>
      <w:r w:rsidR="005736C7">
        <w:rPr>
          <w:rFonts w:ascii="Times New Roman" w:hAnsi="Times New Roman"/>
          <w:sz w:val="24"/>
          <w:szCs w:val="24"/>
          <w:lang w:val="en-GB" w:eastAsia="ko-KR"/>
        </w:rPr>
        <w:t>n</w:t>
      </w:r>
      <w:r>
        <w:rPr>
          <w:rFonts w:ascii="Times New Roman" w:hAnsi="Times New Roman"/>
          <w:sz w:val="24"/>
          <w:szCs w:val="24"/>
          <w:lang w:val="en-GB" w:eastAsia="ko-KR"/>
        </w:rPr>
        <w:t xml:space="preserve"> to military service, so as to provide the option of alternative service, without the choice of that option entailing punitive or discriminatory effects and, in the meantime, suspend all proceedings against conscientious objectors and suspend all sentences</w:t>
      </w:r>
      <w:r>
        <w:rPr>
          <w:rFonts w:ascii="Times New Roman" w:hAnsi="Times New Roman"/>
          <w:sz w:val="24"/>
          <w:szCs w:val="24"/>
          <w:lang w:val="en-GB" w:eastAsia="ko-KR"/>
        </w:rPr>
        <w:t xml:space="preserve"> already imposed.” </w:t>
      </w:r>
    </w:p>
    <w:p w14:paraId="76C514DD" w14:textId="77777777" w:rsidR="0050672F" w:rsidRDefault="00A56A0F" w:rsidP="00892D16">
      <w:pPr>
        <w:pStyle w:val="ListParagraph"/>
        <w:numPr>
          <w:ilvl w:val="1"/>
          <w:numId w:val="6"/>
        </w:numPr>
        <w:topLinePunct/>
        <w:spacing w:after="240"/>
        <w:ind w:right="181"/>
        <w:jc w:val="both"/>
        <w:rPr>
          <w:rFonts w:ascii="Times New Roman" w:hAnsi="Times New Roman"/>
          <w:sz w:val="24"/>
          <w:szCs w:val="24"/>
          <w:lang w:val="en-GB"/>
        </w:rPr>
      </w:pPr>
      <w:bookmarkStart w:id="8" w:name="_Hlk69724733"/>
      <w:r w:rsidRPr="00D42C92">
        <w:rPr>
          <w:rFonts w:ascii="Times New Roman" w:hAnsi="Times New Roman"/>
          <w:sz w:val="24"/>
          <w:szCs w:val="24"/>
          <w:lang w:val="en-GB"/>
        </w:rPr>
        <w:t>Sixty-two</w:t>
      </w:r>
      <w:r w:rsidR="00C463C1" w:rsidRPr="000069CF">
        <w:rPr>
          <w:rFonts w:ascii="Times New Roman" w:hAnsi="Times New Roman"/>
          <w:color w:val="FF0000"/>
          <w:sz w:val="24"/>
          <w:szCs w:val="24"/>
          <w:lang w:val="en-GB"/>
        </w:rPr>
        <w:t xml:space="preserve"> </w:t>
      </w:r>
      <w:r w:rsidR="00892D16">
        <w:rPr>
          <w:rFonts w:ascii="Times New Roman" w:hAnsi="Times New Roman"/>
          <w:sz w:val="24"/>
          <w:szCs w:val="24"/>
          <w:lang w:val="en-GB"/>
        </w:rPr>
        <w:t xml:space="preserve">of Jehovah’s Witnesses, </w:t>
      </w:r>
      <w:r w:rsidR="00892D16" w:rsidRPr="00AF5C08">
        <w:rPr>
          <w:rFonts w:ascii="Times New Roman" w:hAnsi="Times New Roman"/>
          <w:sz w:val="24"/>
          <w:szCs w:val="24"/>
          <w:lang w:val="en-GB"/>
        </w:rPr>
        <w:t xml:space="preserve">including </w:t>
      </w:r>
      <w:r w:rsidR="00AF5C08" w:rsidRPr="00D42C92">
        <w:rPr>
          <w:rFonts w:ascii="Times New Roman" w:hAnsi="Times New Roman"/>
          <w:sz w:val="24"/>
          <w:szCs w:val="24"/>
          <w:lang w:val="en-GB"/>
        </w:rPr>
        <w:t>some of</w:t>
      </w:r>
      <w:r w:rsidR="00AF5C08" w:rsidRPr="00825382">
        <w:rPr>
          <w:rFonts w:ascii="Times New Roman" w:hAnsi="Times New Roman"/>
          <w:sz w:val="24"/>
          <w:szCs w:val="24"/>
          <w:lang w:val="en-GB"/>
        </w:rPr>
        <w:t xml:space="preserve"> </w:t>
      </w:r>
      <w:r w:rsidR="00892D16" w:rsidRPr="00AF5C08">
        <w:rPr>
          <w:rFonts w:ascii="Times New Roman" w:hAnsi="Times New Roman"/>
          <w:sz w:val="24"/>
          <w:szCs w:val="24"/>
          <w:lang w:val="en-GB"/>
        </w:rPr>
        <w:t>the successful applicants in the ECHR</w:t>
      </w:r>
      <w:r w:rsidR="00892D16">
        <w:rPr>
          <w:rFonts w:ascii="Times New Roman" w:hAnsi="Times New Roman"/>
          <w:sz w:val="24"/>
          <w:szCs w:val="24"/>
          <w:lang w:val="en-GB"/>
        </w:rPr>
        <w:t xml:space="preserve"> judgments, are currently facing prosecution as religiously</w:t>
      </w:r>
      <w:r w:rsidR="00BD24E7">
        <w:rPr>
          <w:rFonts w:ascii="Times New Roman" w:hAnsi="Times New Roman"/>
          <w:sz w:val="24"/>
          <w:szCs w:val="24"/>
          <w:lang w:val="en-GB"/>
        </w:rPr>
        <w:t xml:space="preserve"> </w:t>
      </w:r>
      <w:r w:rsidR="00892D16">
        <w:rPr>
          <w:rFonts w:ascii="Times New Roman" w:hAnsi="Times New Roman"/>
          <w:sz w:val="24"/>
          <w:szCs w:val="24"/>
          <w:lang w:val="en-GB"/>
        </w:rPr>
        <w:t>motivated conscientious objectors to military service.</w:t>
      </w:r>
    </w:p>
    <w:bookmarkEnd w:id="8"/>
    <w:p w14:paraId="01BE4951" w14:textId="77777777" w:rsidR="00892D16" w:rsidRDefault="00A56A0F" w:rsidP="00892D16">
      <w:pPr>
        <w:pStyle w:val="ListParagraph"/>
        <w:numPr>
          <w:ilvl w:val="1"/>
          <w:numId w:val="6"/>
        </w:numPr>
        <w:topLinePunct/>
        <w:spacing w:after="240"/>
        <w:ind w:right="181"/>
        <w:jc w:val="both"/>
        <w:rPr>
          <w:rFonts w:ascii="Times New Roman" w:hAnsi="Times New Roman"/>
          <w:sz w:val="24"/>
          <w:szCs w:val="24"/>
          <w:lang w:val="en-GB"/>
        </w:rPr>
      </w:pPr>
      <w:r w:rsidRPr="0050672F">
        <w:rPr>
          <w:rFonts w:ascii="Times New Roman" w:hAnsi="Times New Roman"/>
          <w:sz w:val="24"/>
          <w:szCs w:val="24"/>
          <w:lang w:val="en-GB"/>
        </w:rPr>
        <w:t xml:space="preserve">As a result, male Witnesses are </w:t>
      </w:r>
      <w:r w:rsidRPr="0050672F">
        <w:rPr>
          <w:rFonts w:ascii="Times New Roman" w:hAnsi="Times New Roman"/>
          <w:sz w:val="24"/>
          <w:szCs w:val="24"/>
          <w:lang w:val="en-GB"/>
        </w:rPr>
        <w:t>subject to persistent</w:t>
      </w:r>
      <w:r w:rsidR="007D109A">
        <w:rPr>
          <w:rFonts w:ascii="Times New Roman" w:hAnsi="Times New Roman"/>
          <w:sz w:val="24"/>
          <w:szCs w:val="24"/>
          <w:lang w:val="en-GB"/>
        </w:rPr>
        <w:t xml:space="preserve"> and repeated</w:t>
      </w:r>
      <w:r w:rsidR="007D109A" w:rsidRPr="0050672F">
        <w:rPr>
          <w:rFonts w:ascii="Times New Roman" w:hAnsi="Times New Roman"/>
          <w:sz w:val="24"/>
          <w:szCs w:val="24"/>
          <w:lang w:val="en-GB"/>
        </w:rPr>
        <w:t xml:space="preserve"> </w:t>
      </w:r>
      <w:r w:rsidRPr="0050672F">
        <w:rPr>
          <w:rFonts w:ascii="Times New Roman" w:hAnsi="Times New Roman"/>
          <w:sz w:val="24"/>
          <w:szCs w:val="24"/>
          <w:lang w:val="en-GB"/>
        </w:rPr>
        <w:t>call-ups, contend with</w:t>
      </w:r>
      <w:r w:rsidR="00873EBE">
        <w:rPr>
          <w:rFonts w:ascii="Times New Roman" w:hAnsi="Times New Roman"/>
          <w:sz w:val="24"/>
          <w:szCs w:val="24"/>
          <w:lang w:val="en-GB"/>
        </w:rPr>
        <w:t xml:space="preserve"> prosecutions in</w:t>
      </w:r>
      <w:r w:rsidRPr="0050672F">
        <w:rPr>
          <w:rFonts w:ascii="Times New Roman" w:hAnsi="Times New Roman"/>
          <w:sz w:val="24"/>
          <w:szCs w:val="24"/>
          <w:lang w:val="en-GB"/>
        </w:rPr>
        <w:t xml:space="preserve"> court cases related to each individual call-up and often face heavy fines. On appeal, some local courts have cancelled the administrative fines, referring to international ECHR judgments and CCPR Views. However, even these cancellations resolve only the</w:t>
      </w:r>
      <w:r w:rsidR="00873EBE">
        <w:rPr>
          <w:rFonts w:ascii="Times New Roman" w:hAnsi="Times New Roman"/>
          <w:sz w:val="24"/>
          <w:szCs w:val="24"/>
          <w:lang w:val="en-GB"/>
        </w:rPr>
        <w:t xml:space="preserve"> individual</w:t>
      </w:r>
      <w:r w:rsidRPr="0050672F">
        <w:rPr>
          <w:rFonts w:ascii="Times New Roman" w:hAnsi="Times New Roman"/>
          <w:sz w:val="24"/>
          <w:szCs w:val="24"/>
          <w:lang w:val="en-GB"/>
        </w:rPr>
        <w:t xml:space="preserve"> case related to that specific call-up. These men remain in the never-ending cycle of call-ups</w:t>
      </w:r>
      <w:r w:rsidR="00873EBE">
        <w:rPr>
          <w:rFonts w:ascii="Times New Roman" w:hAnsi="Times New Roman"/>
          <w:sz w:val="24"/>
          <w:szCs w:val="24"/>
          <w:lang w:val="en-GB"/>
        </w:rPr>
        <w:t xml:space="preserve"> and prosecutions,</w:t>
      </w:r>
      <w:r w:rsidRPr="0050672F">
        <w:rPr>
          <w:rFonts w:ascii="Times New Roman" w:hAnsi="Times New Roman"/>
          <w:sz w:val="24"/>
          <w:szCs w:val="24"/>
          <w:lang w:val="en-GB"/>
        </w:rPr>
        <w:t xml:space="preserve"> robbing them of any hope of a normal life</w:t>
      </w:r>
      <w:r w:rsidR="000F5997">
        <w:rPr>
          <w:rFonts w:ascii="Times New Roman" w:hAnsi="Times New Roman"/>
          <w:sz w:val="24"/>
          <w:szCs w:val="24"/>
          <w:lang w:val="en-GB"/>
        </w:rPr>
        <w:t xml:space="preserve"> or career</w:t>
      </w:r>
      <w:r w:rsidRPr="0050672F">
        <w:rPr>
          <w:rFonts w:ascii="Times New Roman" w:hAnsi="Times New Roman"/>
          <w:sz w:val="24"/>
          <w:szCs w:val="24"/>
          <w:lang w:val="en-GB"/>
        </w:rPr>
        <w:t xml:space="preserve"> and negatively affecting their family</w:t>
      </w:r>
      <w:r w:rsidR="000F5997">
        <w:rPr>
          <w:rFonts w:ascii="Times New Roman" w:hAnsi="Times New Roman"/>
          <w:sz w:val="24"/>
          <w:szCs w:val="24"/>
          <w:lang w:val="en-GB"/>
        </w:rPr>
        <w:t xml:space="preserve"> life</w:t>
      </w:r>
      <w:r w:rsidR="00873EBE">
        <w:rPr>
          <w:rFonts w:ascii="Times New Roman" w:hAnsi="Times New Roman"/>
          <w:sz w:val="24"/>
          <w:szCs w:val="24"/>
          <w:lang w:val="en-GB"/>
        </w:rPr>
        <w:t>, in breach of articles 17 and 23(1) of the Covenant</w:t>
      </w:r>
      <w:r w:rsidRPr="0050672F">
        <w:rPr>
          <w:rFonts w:ascii="Times New Roman" w:hAnsi="Times New Roman"/>
          <w:sz w:val="24"/>
          <w:szCs w:val="24"/>
          <w:lang w:val="en-GB"/>
        </w:rPr>
        <w:t>.</w:t>
      </w:r>
    </w:p>
    <w:p w14:paraId="7C0F529B" w14:textId="77777777" w:rsidR="00892D16" w:rsidRDefault="00A56A0F" w:rsidP="00892D16">
      <w:pPr>
        <w:pStyle w:val="ListParagraph"/>
        <w:numPr>
          <w:ilvl w:val="1"/>
          <w:numId w:val="6"/>
        </w:numPr>
        <w:topLinePunct/>
        <w:spacing w:after="240"/>
        <w:ind w:right="181"/>
        <w:jc w:val="both"/>
        <w:rPr>
          <w:rFonts w:ascii="Times New Roman" w:hAnsi="Times New Roman"/>
          <w:sz w:val="24"/>
          <w:szCs w:val="24"/>
          <w:lang w:val="en-GB"/>
        </w:rPr>
      </w:pPr>
      <w:r>
        <w:rPr>
          <w:rFonts w:ascii="Times New Roman" w:hAnsi="Times New Roman"/>
          <w:sz w:val="24"/>
          <w:szCs w:val="24"/>
          <w:lang w:val="en-GB"/>
        </w:rPr>
        <w:t>The following examples illustrate Turkey’s treatment of such religiously</w:t>
      </w:r>
      <w:r w:rsidR="00BD24E7">
        <w:rPr>
          <w:rFonts w:ascii="Times New Roman" w:hAnsi="Times New Roman"/>
          <w:sz w:val="24"/>
          <w:szCs w:val="24"/>
          <w:lang w:val="en-GB"/>
        </w:rPr>
        <w:t xml:space="preserve"> </w:t>
      </w:r>
      <w:r>
        <w:rPr>
          <w:rFonts w:ascii="Times New Roman" w:hAnsi="Times New Roman"/>
          <w:sz w:val="24"/>
          <w:szCs w:val="24"/>
          <w:lang w:val="en-GB"/>
        </w:rPr>
        <w:t>motivated conscientious objectors</w:t>
      </w:r>
      <w:r w:rsidR="00BD24E7">
        <w:rPr>
          <w:rFonts w:ascii="Times New Roman" w:hAnsi="Times New Roman"/>
          <w:sz w:val="24"/>
          <w:szCs w:val="24"/>
          <w:lang w:val="en-GB"/>
        </w:rPr>
        <w:t>.</w:t>
      </w:r>
    </w:p>
    <w:p w14:paraId="72E10EA0" w14:textId="77777777" w:rsidR="00892D16" w:rsidRPr="001A3531" w:rsidRDefault="00A56A0F" w:rsidP="00892D16">
      <w:pPr>
        <w:pStyle w:val="ListParagraph"/>
        <w:numPr>
          <w:ilvl w:val="1"/>
          <w:numId w:val="6"/>
        </w:numPr>
        <w:topLinePunct/>
        <w:spacing w:after="240"/>
        <w:ind w:right="181"/>
        <w:jc w:val="both"/>
        <w:rPr>
          <w:rFonts w:ascii="Times New Roman" w:hAnsi="Times New Roman"/>
          <w:color w:val="FF0000"/>
          <w:sz w:val="24"/>
          <w:szCs w:val="24"/>
          <w:lang w:val="en-GB"/>
        </w:rPr>
      </w:pPr>
      <w:r>
        <w:rPr>
          <w:rFonts w:ascii="Times New Roman" w:hAnsi="Times New Roman"/>
          <w:sz w:val="24"/>
          <w:szCs w:val="24"/>
          <w:lang w:val="en-GB"/>
        </w:rPr>
        <w:t>Mr</w:t>
      </w:r>
      <w:r w:rsidR="00582E74">
        <w:rPr>
          <w:rFonts w:ascii="Times New Roman" w:hAnsi="Times New Roman"/>
          <w:sz w:val="24"/>
          <w:szCs w:val="24"/>
          <w:lang w:val="en-GB"/>
        </w:rPr>
        <w:t>.</w:t>
      </w:r>
      <w:r>
        <w:rPr>
          <w:rFonts w:ascii="Times New Roman" w:hAnsi="Times New Roman"/>
          <w:sz w:val="24"/>
          <w:szCs w:val="24"/>
          <w:lang w:val="en-GB"/>
        </w:rPr>
        <w:t xml:space="preserve"> Yahya Batmaz </w:t>
      </w:r>
      <w:r w:rsidR="001E0CB6" w:rsidRPr="00825382">
        <w:rPr>
          <w:rFonts w:ascii="Times New Roman" w:hAnsi="Times New Roman"/>
          <w:sz w:val="24"/>
          <w:szCs w:val="24"/>
          <w:lang w:val="en-GB"/>
        </w:rPr>
        <w:t>received</w:t>
      </w:r>
      <w:r w:rsidR="001E0CB6">
        <w:rPr>
          <w:rFonts w:ascii="Times New Roman" w:hAnsi="Times New Roman"/>
          <w:sz w:val="24"/>
          <w:szCs w:val="24"/>
          <w:lang w:val="en-GB"/>
        </w:rPr>
        <w:t xml:space="preserve"> </w:t>
      </w:r>
      <w:r>
        <w:rPr>
          <w:rFonts w:ascii="Times New Roman" w:hAnsi="Times New Roman"/>
          <w:sz w:val="24"/>
          <w:szCs w:val="24"/>
          <w:lang w:val="en-GB"/>
        </w:rPr>
        <w:t xml:space="preserve">an administrative fine of 28,971 </w:t>
      </w:r>
      <w:r w:rsidR="00BD24E7">
        <w:rPr>
          <w:rFonts w:ascii="Times New Roman" w:hAnsi="Times New Roman"/>
          <w:sz w:val="24"/>
          <w:szCs w:val="24"/>
          <w:lang w:val="en-GB"/>
        </w:rPr>
        <w:t xml:space="preserve">Turkish lira (TRY) </w:t>
      </w:r>
      <w:r>
        <w:rPr>
          <w:rFonts w:ascii="Times New Roman" w:hAnsi="Times New Roman"/>
          <w:sz w:val="24"/>
          <w:szCs w:val="24"/>
          <w:lang w:val="en-GB"/>
        </w:rPr>
        <w:t>(</w:t>
      </w:r>
      <w:r w:rsidR="00882E5E">
        <w:rPr>
          <w:rFonts w:ascii="Times New Roman" w:hAnsi="Times New Roman"/>
          <w:sz w:val="24"/>
          <w:szCs w:val="24"/>
          <w:lang w:val="en-GB"/>
        </w:rPr>
        <w:t xml:space="preserve">approximately </w:t>
      </w:r>
      <w:r>
        <w:rPr>
          <w:rFonts w:ascii="Times New Roman" w:hAnsi="Times New Roman"/>
          <w:sz w:val="24"/>
          <w:szCs w:val="24"/>
          <w:lang w:val="en-GB"/>
        </w:rPr>
        <w:t xml:space="preserve">USD 5,300) on 28 November 2018 for </w:t>
      </w:r>
      <w:r>
        <w:rPr>
          <w:rFonts w:ascii="Times New Roman" w:hAnsi="Times New Roman"/>
          <w:sz w:val="24"/>
          <w:szCs w:val="24"/>
          <w:lang w:val="en-GB"/>
        </w:rPr>
        <w:t>refusal to serve in the military</w:t>
      </w:r>
      <w:r w:rsidR="00882E5E">
        <w:rPr>
          <w:rFonts w:ascii="Times New Roman" w:hAnsi="Times New Roman"/>
          <w:sz w:val="24"/>
          <w:szCs w:val="24"/>
          <w:lang w:val="en-GB"/>
        </w:rPr>
        <w:t>.</w:t>
      </w:r>
      <w:r>
        <w:rPr>
          <w:rFonts w:ascii="Times New Roman" w:hAnsi="Times New Roman"/>
          <w:sz w:val="24"/>
          <w:szCs w:val="24"/>
          <w:lang w:val="en-GB"/>
        </w:rPr>
        <w:t xml:space="preserve"> </w:t>
      </w:r>
      <w:r w:rsidR="00882E5E">
        <w:rPr>
          <w:rFonts w:ascii="Times New Roman" w:hAnsi="Times New Roman"/>
          <w:sz w:val="24"/>
          <w:szCs w:val="24"/>
          <w:lang w:val="en-GB"/>
        </w:rPr>
        <w:t xml:space="preserve">The </w:t>
      </w:r>
      <w:r>
        <w:rPr>
          <w:rFonts w:ascii="Times New Roman" w:hAnsi="Times New Roman"/>
          <w:sz w:val="24"/>
          <w:szCs w:val="24"/>
          <w:lang w:val="en-GB"/>
        </w:rPr>
        <w:t>authorities accused him of evading enlistment</w:t>
      </w:r>
      <w:r w:rsidR="00157891">
        <w:rPr>
          <w:rFonts w:ascii="Times New Roman" w:hAnsi="Times New Roman"/>
          <w:sz w:val="24"/>
          <w:szCs w:val="24"/>
          <w:lang w:val="en-GB"/>
        </w:rPr>
        <w:t>,</w:t>
      </w:r>
      <w:r>
        <w:rPr>
          <w:rFonts w:ascii="Times New Roman" w:hAnsi="Times New Roman"/>
          <w:sz w:val="24"/>
          <w:szCs w:val="24"/>
          <w:lang w:val="en-GB"/>
        </w:rPr>
        <w:t xml:space="preserve"> even though he reported for his call-up and submitted a petition to be recognized as a conscientious objector. </w:t>
      </w:r>
      <w:r w:rsidR="00CC0B01" w:rsidRPr="00CC0B01">
        <w:rPr>
          <w:rFonts w:ascii="Times New Roman" w:hAnsi="Times New Roman"/>
          <w:sz w:val="24"/>
          <w:szCs w:val="24"/>
          <w:lang w:val="en-GB"/>
        </w:rPr>
        <w:t xml:space="preserve">The court rejected his </w:t>
      </w:r>
      <w:r w:rsidR="007D109A">
        <w:rPr>
          <w:rFonts w:ascii="Times New Roman" w:hAnsi="Times New Roman"/>
          <w:sz w:val="24"/>
          <w:szCs w:val="24"/>
          <w:lang w:val="en-GB"/>
        </w:rPr>
        <w:t>appeal against</w:t>
      </w:r>
      <w:r w:rsidR="00CC0B01" w:rsidRPr="00CC0B01">
        <w:rPr>
          <w:rFonts w:ascii="Times New Roman" w:hAnsi="Times New Roman"/>
          <w:sz w:val="24"/>
          <w:szCs w:val="24"/>
          <w:lang w:val="en-GB"/>
        </w:rPr>
        <w:t xml:space="preserve"> the penalty, </w:t>
      </w:r>
      <w:r w:rsidR="00882E5E">
        <w:rPr>
          <w:rFonts w:ascii="Times New Roman" w:hAnsi="Times New Roman"/>
          <w:sz w:val="24"/>
          <w:szCs w:val="24"/>
          <w:lang w:val="en-GB"/>
        </w:rPr>
        <w:t>and</w:t>
      </w:r>
      <w:r w:rsidR="00882E5E" w:rsidRPr="00CC0B01">
        <w:rPr>
          <w:rFonts w:ascii="Times New Roman" w:hAnsi="Times New Roman"/>
          <w:sz w:val="24"/>
          <w:szCs w:val="24"/>
          <w:lang w:val="en-GB"/>
        </w:rPr>
        <w:t xml:space="preserve"> </w:t>
      </w:r>
      <w:r w:rsidR="00CC0B01" w:rsidRPr="00CC0B01">
        <w:rPr>
          <w:rFonts w:ascii="Times New Roman" w:hAnsi="Times New Roman"/>
          <w:sz w:val="24"/>
          <w:szCs w:val="24"/>
          <w:lang w:val="en-GB"/>
        </w:rPr>
        <w:t>on 14 October 2019</w:t>
      </w:r>
      <w:r w:rsidR="00882E5E">
        <w:rPr>
          <w:rFonts w:ascii="Times New Roman" w:hAnsi="Times New Roman"/>
          <w:sz w:val="24"/>
          <w:szCs w:val="24"/>
          <w:lang w:val="en-GB"/>
        </w:rPr>
        <w:t>,</w:t>
      </w:r>
      <w:r w:rsidR="00CC0B01" w:rsidRPr="00CC0B01">
        <w:rPr>
          <w:rFonts w:ascii="Times New Roman" w:hAnsi="Times New Roman"/>
          <w:sz w:val="24"/>
          <w:szCs w:val="24"/>
          <w:lang w:val="en-GB"/>
        </w:rPr>
        <w:t xml:space="preserve"> he applied to the Constitutional Court</w:t>
      </w:r>
      <w:r w:rsidR="00882E5E">
        <w:rPr>
          <w:rFonts w:ascii="Times New Roman" w:hAnsi="Times New Roman"/>
          <w:sz w:val="24"/>
          <w:szCs w:val="24"/>
          <w:lang w:val="en-GB"/>
        </w:rPr>
        <w:t>, which</w:t>
      </w:r>
      <w:r w:rsidR="00CC0B01" w:rsidRPr="00CC0B01">
        <w:rPr>
          <w:rFonts w:ascii="Times New Roman" w:hAnsi="Times New Roman"/>
          <w:sz w:val="24"/>
          <w:szCs w:val="24"/>
          <w:lang w:val="en-GB"/>
        </w:rPr>
        <w:t xml:space="preserve"> has not </w:t>
      </w:r>
      <w:r w:rsidR="00882E5E" w:rsidRPr="00CC0B01">
        <w:rPr>
          <w:rFonts w:ascii="Times New Roman" w:hAnsi="Times New Roman"/>
          <w:sz w:val="24"/>
          <w:szCs w:val="24"/>
          <w:lang w:val="en-GB"/>
        </w:rPr>
        <w:t xml:space="preserve">yet </w:t>
      </w:r>
      <w:r w:rsidR="00882E5E">
        <w:rPr>
          <w:rFonts w:ascii="Times New Roman" w:hAnsi="Times New Roman"/>
          <w:sz w:val="24"/>
          <w:szCs w:val="24"/>
          <w:lang w:val="en-GB"/>
        </w:rPr>
        <w:t>considered</w:t>
      </w:r>
      <w:r w:rsidR="00CC0B01" w:rsidRPr="00CC0B01">
        <w:rPr>
          <w:rFonts w:ascii="Times New Roman" w:hAnsi="Times New Roman"/>
          <w:sz w:val="24"/>
          <w:szCs w:val="24"/>
          <w:lang w:val="en-GB"/>
        </w:rPr>
        <w:t xml:space="preserve"> his application. On 29 August 2020</w:t>
      </w:r>
      <w:r w:rsidR="00882E5E">
        <w:rPr>
          <w:rFonts w:ascii="Times New Roman" w:hAnsi="Times New Roman"/>
          <w:sz w:val="24"/>
          <w:szCs w:val="24"/>
          <w:lang w:val="en-GB"/>
        </w:rPr>
        <w:t>,</w:t>
      </w:r>
      <w:r w:rsidR="00CC0B01" w:rsidRPr="00CC0B01">
        <w:rPr>
          <w:rFonts w:ascii="Times New Roman" w:hAnsi="Times New Roman"/>
          <w:sz w:val="24"/>
          <w:szCs w:val="24"/>
          <w:lang w:val="en-GB"/>
        </w:rPr>
        <w:t xml:space="preserve"> </w:t>
      </w:r>
      <w:r w:rsidR="00882E5E">
        <w:rPr>
          <w:rFonts w:ascii="Times New Roman" w:hAnsi="Times New Roman"/>
          <w:sz w:val="24"/>
          <w:szCs w:val="24"/>
          <w:lang w:val="en-GB"/>
        </w:rPr>
        <w:t>Mr. Batmaz</w:t>
      </w:r>
      <w:r w:rsidR="00882E5E" w:rsidRPr="00CC0B01">
        <w:rPr>
          <w:rFonts w:ascii="Times New Roman" w:hAnsi="Times New Roman"/>
          <w:sz w:val="24"/>
          <w:szCs w:val="24"/>
          <w:lang w:val="en-GB"/>
        </w:rPr>
        <w:t xml:space="preserve"> </w:t>
      </w:r>
      <w:r w:rsidR="00CC0B01" w:rsidRPr="00CC0B01">
        <w:rPr>
          <w:rFonts w:ascii="Times New Roman" w:hAnsi="Times New Roman"/>
          <w:sz w:val="24"/>
          <w:szCs w:val="24"/>
          <w:lang w:val="en-GB"/>
        </w:rPr>
        <w:t xml:space="preserve">received two new administrative penalties totalling </w:t>
      </w:r>
      <w:r w:rsidR="00CC0B01">
        <w:rPr>
          <w:rFonts w:ascii="Times New Roman" w:hAnsi="Times New Roman"/>
          <w:sz w:val="24"/>
          <w:szCs w:val="24"/>
          <w:lang w:val="en-GB"/>
        </w:rPr>
        <w:t xml:space="preserve">TRY </w:t>
      </w:r>
      <w:r w:rsidR="00CC0B01" w:rsidRPr="00CC0B01">
        <w:rPr>
          <w:rFonts w:ascii="Times New Roman" w:hAnsi="Times New Roman"/>
          <w:sz w:val="24"/>
          <w:szCs w:val="24"/>
          <w:lang w:val="en-GB"/>
        </w:rPr>
        <w:t>7,624</w:t>
      </w:r>
      <w:r w:rsidR="00882E5E">
        <w:rPr>
          <w:rFonts w:ascii="Times New Roman" w:hAnsi="Times New Roman"/>
          <w:sz w:val="24"/>
          <w:szCs w:val="24"/>
          <w:lang w:val="en-GB"/>
        </w:rPr>
        <w:t xml:space="preserve"> (approximately USD 960)</w:t>
      </w:r>
      <w:r w:rsidR="00CC0B01" w:rsidRPr="00CC0B01">
        <w:rPr>
          <w:rFonts w:ascii="Times New Roman" w:hAnsi="Times New Roman"/>
          <w:sz w:val="24"/>
          <w:szCs w:val="24"/>
          <w:lang w:val="en-GB"/>
        </w:rPr>
        <w:t xml:space="preserve"> for draft evasion. Objections have been filed for the annulment of the penalties.</w:t>
      </w:r>
      <w:r w:rsidR="00AF530B">
        <w:rPr>
          <w:rFonts w:ascii="Times New Roman" w:hAnsi="Times New Roman"/>
          <w:sz w:val="24"/>
          <w:szCs w:val="24"/>
          <w:lang w:val="en-GB"/>
        </w:rPr>
        <w:t xml:space="preserve"> </w:t>
      </w:r>
      <w:r w:rsidR="00AF5C08" w:rsidRPr="00977DFC">
        <w:rPr>
          <w:rFonts w:ascii="Times New Roman" w:hAnsi="Times New Roman"/>
          <w:sz w:val="24"/>
          <w:szCs w:val="24"/>
          <w:lang w:val="en-GB"/>
        </w:rPr>
        <w:t xml:space="preserve">One of the fines has been annulled, and the court has not </w:t>
      </w:r>
      <w:r w:rsidR="003C5247" w:rsidRPr="00977DFC">
        <w:rPr>
          <w:rFonts w:ascii="Times New Roman" w:hAnsi="Times New Roman"/>
          <w:sz w:val="24"/>
          <w:szCs w:val="24"/>
          <w:lang w:val="en-GB"/>
        </w:rPr>
        <w:t xml:space="preserve">yet </w:t>
      </w:r>
      <w:r w:rsidR="00AF5C08" w:rsidRPr="00977DFC">
        <w:rPr>
          <w:rFonts w:ascii="Times New Roman" w:hAnsi="Times New Roman"/>
          <w:sz w:val="24"/>
          <w:szCs w:val="24"/>
          <w:lang w:val="en-GB"/>
        </w:rPr>
        <w:t>ruled on the objections to the other one.</w:t>
      </w:r>
    </w:p>
    <w:p w14:paraId="3EFB0CE2" w14:textId="77777777" w:rsidR="00892D16" w:rsidRPr="00B65B49" w:rsidRDefault="00A56A0F" w:rsidP="00892D16">
      <w:pPr>
        <w:pStyle w:val="ListParagraph"/>
        <w:numPr>
          <w:ilvl w:val="1"/>
          <w:numId w:val="6"/>
        </w:numPr>
        <w:topLinePunct/>
        <w:spacing w:after="240"/>
        <w:ind w:right="181"/>
        <w:jc w:val="both"/>
        <w:rPr>
          <w:rFonts w:ascii="Times New Roman" w:hAnsi="Times New Roman"/>
          <w:color w:val="FF0000"/>
          <w:sz w:val="24"/>
          <w:szCs w:val="24"/>
          <w:lang w:val="en-GB"/>
        </w:rPr>
      </w:pPr>
      <w:r>
        <w:rPr>
          <w:rFonts w:ascii="Times New Roman" w:hAnsi="Times New Roman"/>
          <w:sz w:val="24"/>
          <w:szCs w:val="24"/>
          <w:lang w:val="en-GB"/>
        </w:rPr>
        <w:t>Mr</w:t>
      </w:r>
      <w:r w:rsidR="00582E74">
        <w:rPr>
          <w:rFonts w:ascii="Times New Roman" w:hAnsi="Times New Roman"/>
          <w:sz w:val="24"/>
          <w:szCs w:val="24"/>
          <w:lang w:val="en-GB"/>
        </w:rPr>
        <w:t>.</w:t>
      </w:r>
      <w:r>
        <w:rPr>
          <w:rFonts w:ascii="Times New Roman" w:hAnsi="Times New Roman"/>
          <w:sz w:val="24"/>
          <w:szCs w:val="24"/>
          <w:lang w:val="en-GB"/>
        </w:rPr>
        <w:t xml:space="preserve"> Berge Çelikyazıcıyan received an </w:t>
      </w:r>
      <w:r w:rsidRPr="00CC0B01">
        <w:rPr>
          <w:rFonts w:ascii="Times New Roman" w:hAnsi="Times New Roman"/>
          <w:sz w:val="24"/>
          <w:szCs w:val="24"/>
          <w:lang w:val="en-GB"/>
        </w:rPr>
        <w:t xml:space="preserve">administrative penalty of </w:t>
      </w:r>
      <w:r>
        <w:rPr>
          <w:rFonts w:ascii="Times New Roman" w:hAnsi="Times New Roman"/>
          <w:sz w:val="24"/>
          <w:szCs w:val="24"/>
          <w:lang w:val="en-GB"/>
        </w:rPr>
        <w:t xml:space="preserve">TRY </w:t>
      </w:r>
      <w:r w:rsidRPr="00CC0B01">
        <w:rPr>
          <w:rFonts w:ascii="Times New Roman" w:hAnsi="Times New Roman"/>
          <w:sz w:val="24"/>
          <w:szCs w:val="24"/>
          <w:lang w:val="en-GB"/>
        </w:rPr>
        <w:t>22,337</w:t>
      </w:r>
      <w:r w:rsidR="00882E5E">
        <w:rPr>
          <w:rFonts w:ascii="Times New Roman" w:hAnsi="Times New Roman"/>
          <w:sz w:val="24"/>
          <w:szCs w:val="24"/>
          <w:lang w:val="en-GB"/>
        </w:rPr>
        <w:t xml:space="preserve"> (approximately USD 2,800)</w:t>
      </w:r>
      <w:r w:rsidR="001A3531">
        <w:rPr>
          <w:rFonts w:ascii="Times New Roman" w:hAnsi="Times New Roman"/>
          <w:sz w:val="24"/>
          <w:szCs w:val="24"/>
          <w:lang w:val="en-GB"/>
        </w:rPr>
        <w:t xml:space="preserve"> </w:t>
      </w:r>
      <w:r w:rsidR="00AF5C08" w:rsidRPr="00825382">
        <w:rPr>
          <w:rFonts w:ascii="Times New Roman" w:hAnsi="Times New Roman"/>
          <w:sz w:val="24"/>
          <w:szCs w:val="24"/>
          <w:lang w:val="en-GB"/>
        </w:rPr>
        <w:t>on 26 April 2017</w:t>
      </w:r>
      <w:r w:rsidR="00955118">
        <w:rPr>
          <w:rFonts w:ascii="Times New Roman" w:hAnsi="Times New Roman"/>
          <w:sz w:val="24"/>
          <w:szCs w:val="24"/>
          <w:lang w:val="en-GB"/>
        </w:rPr>
        <w:t>,</w:t>
      </w:r>
      <w:r w:rsidR="00AF5C08" w:rsidRPr="00CC0B01">
        <w:rPr>
          <w:rFonts w:ascii="Times New Roman" w:hAnsi="Times New Roman"/>
          <w:sz w:val="24"/>
          <w:szCs w:val="24"/>
          <w:lang w:val="en-GB"/>
        </w:rPr>
        <w:t xml:space="preserve"> </w:t>
      </w:r>
      <w:r w:rsidRPr="00CC0B01">
        <w:rPr>
          <w:rFonts w:ascii="Times New Roman" w:hAnsi="Times New Roman"/>
          <w:sz w:val="24"/>
          <w:szCs w:val="24"/>
          <w:lang w:val="en-GB"/>
        </w:rPr>
        <w:t>and the court rejected his objections to the penalty</w:t>
      </w:r>
      <w:r w:rsidR="00882E5E">
        <w:rPr>
          <w:rFonts w:ascii="Times New Roman" w:hAnsi="Times New Roman"/>
          <w:sz w:val="24"/>
          <w:szCs w:val="24"/>
          <w:lang w:val="en-GB"/>
        </w:rPr>
        <w:t>.</w:t>
      </w:r>
      <w:r w:rsidRPr="00CC0B01">
        <w:rPr>
          <w:rFonts w:ascii="Times New Roman" w:hAnsi="Times New Roman"/>
          <w:sz w:val="24"/>
          <w:szCs w:val="24"/>
          <w:lang w:val="en-GB"/>
        </w:rPr>
        <w:t xml:space="preserve"> </w:t>
      </w:r>
      <w:r w:rsidR="00882E5E" w:rsidRPr="00CC0B01">
        <w:rPr>
          <w:rFonts w:ascii="Times New Roman" w:hAnsi="Times New Roman"/>
          <w:sz w:val="24"/>
          <w:szCs w:val="24"/>
          <w:lang w:val="en-GB"/>
        </w:rPr>
        <w:t xml:space="preserve">On </w:t>
      </w:r>
      <w:r w:rsidRPr="00CC0B01">
        <w:rPr>
          <w:rFonts w:ascii="Times New Roman" w:hAnsi="Times New Roman"/>
          <w:sz w:val="24"/>
          <w:szCs w:val="24"/>
          <w:lang w:val="en-GB"/>
        </w:rPr>
        <w:t>5 December 2017</w:t>
      </w:r>
      <w:r w:rsidR="000F5997">
        <w:rPr>
          <w:rFonts w:ascii="Times New Roman" w:hAnsi="Times New Roman"/>
          <w:sz w:val="24"/>
          <w:szCs w:val="24"/>
          <w:lang w:val="en-GB"/>
        </w:rPr>
        <w:t>,</w:t>
      </w:r>
      <w:r w:rsidRPr="00CC0B01">
        <w:rPr>
          <w:rFonts w:ascii="Times New Roman" w:hAnsi="Times New Roman"/>
          <w:sz w:val="24"/>
          <w:szCs w:val="24"/>
          <w:lang w:val="en-GB"/>
        </w:rPr>
        <w:t xml:space="preserve"> </w:t>
      </w:r>
      <w:r w:rsidR="00882E5E">
        <w:rPr>
          <w:rFonts w:ascii="Times New Roman" w:hAnsi="Times New Roman"/>
          <w:sz w:val="24"/>
          <w:szCs w:val="24"/>
          <w:lang w:val="en-GB"/>
        </w:rPr>
        <w:t>Mr. Çelikyazıcıyan</w:t>
      </w:r>
      <w:r w:rsidR="00882E5E" w:rsidRPr="00CC0B01">
        <w:rPr>
          <w:rFonts w:ascii="Times New Roman" w:hAnsi="Times New Roman"/>
          <w:sz w:val="24"/>
          <w:szCs w:val="24"/>
          <w:lang w:val="en-GB"/>
        </w:rPr>
        <w:t xml:space="preserve"> </w:t>
      </w:r>
      <w:r w:rsidRPr="00CC0B01">
        <w:rPr>
          <w:rFonts w:ascii="Times New Roman" w:hAnsi="Times New Roman"/>
          <w:sz w:val="24"/>
          <w:szCs w:val="24"/>
          <w:lang w:val="en-GB"/>
        </w:rPr>
        <w:t>applied to the Constitutional Court</w:t>
      </w:r>
      <w:r w:rsidR="00882E5E">
        <w:rPr>
          <w:rFonts w:ascii="Times New Roman" w:hAnsi="Times New Roman"/>
          <w:sz w:val="24"/>
          <w:szCs w:val="24"/>
          <w:lang w:val="en-GB"/>
        </w:rPr>
        <w:t>, which</w:t>
      </w:r>
      <w:r w:rsidRPr="00CC0B01">
        <w:rPr>
          <w:rFonts w:ascii="Times New Roman" w:hAnsi="Times New Roman"/>
          <w:sz w:val="24"/>
          <w:szCs w:val="24"/>
          <w:lang w:val="en-GB"/>
        </w:rPr>
        <w:t xml:space="preserve"> has not </w:t>
      </w:r>
      <w:r w:rsidR="00882E5E" w:rsidRPr="00CC0B01">
        <w:rPr>
          <w:rFonts w:ascii="Times New Roman" w:hAnsi="Times New Roman"/>
          <w:sz w:val="24"/>
          <w:szCs w:val="24"/>
          <w:lang w:val="en-GB"/>
        </w:rPr>
        <w:t xml:space="preserve">yet </w:t>
      </w:r>
      <w:r w:rsidR="00882E5E">
        <w:rPr>
          <w:rFonts w:ascii="Times New Roman" w:hAnsi="Times New Roman"/>
          <w:sz w:val="24"/>
          <w:szCs w:val="24"/>
          <w:lang w:val="en-GB"/>
        </w:rPr>
        <w:t>considered</w:t>
      </w:r>
      <w:r w:rsidRPr="00CC0B01">
        <w:rPr>
          <w:rFonts w:ascii="Times New Roman" w:hAnsi="Times New Roman"/>
          <w:sz w:val="24"/>
          <w:szCs w:val="24"/>
          <w:lang w:val="en-GB"/>
        </w:rPr>
        <w:t xml:space="preserve"> his application.</w:t>
      </w:r>
      <w:r>
        <w:rPr>
          <w:rFonts w:ascii="Times New Roman" w:hAnsi="Times New Roman"/>
          <w:sz w:val="24"/>
          <w:szCs w:val="24"/>
          <w:lang w:val="en-GB"/>
        </w:rPr>
        <w:t xml:space="preserve"> In addition, three legal prosecutions have been initiated against hi</w:t>
      </w:r>
      <w:r>
        <w:rPr>
          <w:rFonts w:ascii="Times New Roman" w:hAnsi="Times New Roman"/>
          <w:sz w:val="24"/>
          <w:szCs w:val="24"/>
          <w:lang w:val="en-GB"/>
        </w:rPr>
        <w:t xml:space="preserve">m </w:t>
      </w:r>
      <w:r w:rsidR="00882E5E">
        <w:rPr>
          <w:rFonts w:ascii="Times New Roman" w:hAnsi="Times New Roman"/>
          <w:sz w:val="24"/>
          <w:szCs w:val="24"/>
          <w:lang w:val="en-GB"/>
        </w:rPr>
        <w:t>as</w:t>
      </w:r>
      <w:r>
        <w:rPr>
          <w:rFonts w:ascii="Times New Roman" w:hAnsi="Times New Roman"/>
          <w:sz w:val="24"/>
          <w:szCs w:val="24"/>
          <w:lang w:val="en-GB"/>
        </w:rPr>
        <w:t xml:space="preserve"> an enlistment evader</w:t>
      </w:r>
      <w:r w:rsidR="00882E5E">
        <w:rPr>
          <w:rFonts w:ascii="Times New Roman" w:hAnsi="Times New Roman"/>
          <w:sz w:val="24"/>
          <w:szCs w:val="24"/>
          <w:lang w:val="en-GB"/>
        </w:rPr>
        <w:t>.</w:t>
      </w:r>
      <w:r>
        <w:rPr>
          <w:rFonts w:ascii="Times New Roman" w:hAnsi="Times New Roman"/>
          <w:sz w:val="24"/>
          <w:szCs w:val="24"/>
          <w:lang w:val="en-GB"/>
        </w:rPr>
        <w:t xml:space="preserve"> </w:t>
      </w:r>
      <w:r w:rsidR="00882E5E">
        <w:rPr>
          <w:rFonts w:ascii="Times New Roman" w:hAnsi="Times New Roman"/>
          <w:sz w:val="24"/>
          <w:szCs w:val="24"/>
          <w:lang w:val="en-GB"/>
        </w:rPr>
        <w:t xml:space="preserve">The </w:t>
      </w:r>
      <w:r>
        <w:rPr>
          <w:rFonts w:ascii="Times New Roman" w:hAnsi="Times New Roman"/>
          <w:sz w:val="24"/>
          <w:szCs w:val="24"/>
          <w:lang w:val="en-GB"/>
        </w:rPr>
        <w:t xml:space="preserve">first indictment was filed on 23 July 2018, the second on </w:t>
      </w:r>
      <w:r w:rsidR="00422BE2">
        <w:rPr>
          <w:rFonts w:ascii="Times New Roman" w:hAnsi="Times New Roman"/>
          <w:sz w:val="24"/>
          <w:szCs w:val="24"/>
          <w:lang w:val="en-GB"/>
        </w:rPr>
        <w:t>7 </w:t>
      </w:r>
      <w:r>
        <w:rPr>
          <w:rFonts w:ascii="Times New Roman" w:hAnsi="Times New Roman"/>
          <w:sz w:val="24"/>
          <w:szCs w:val="24"/>
          <w:lang w:val="en-GB"/>
        </w:rPr>
        <w:t>November 2018 and the third on 19 February 2019. The</w:t>
      </w:r>
      <w:r w:rsidR="00882E5E">
        <w:rPr>
          <w:rFonts w:ascii="Times New Roman" w:hAnsi="Times New Roman"/>
          <w:sz w:val="24"/>
          <w:szCs w:val="24"/>
          <w:lang w:val="en-GB"/>
        </w:rPr>
        <w:t>se</w:t>
      </w:r>
      <w:r>
        <w:rPr>
          <w:rFonts w:ascii="Times New Roman" w:hAnsi="Times New Roman"/>
          <w:sz w:val="24"/>
          <w:szCs w:val="24"/>
          <w:lang w:val="en-GB"/>
        </w:rPr>
        <w:t xml:space="preserve"> three cases have been merged, and on 14 May 2019, </w:t>
      </w:r>
      <w:r w:rsidR="00882E5E">
        <w:rPr>
          <w:rFonts w:ascii="Times New Roman" w:hAnsi="Times New Roman"/>
          <w:sz w:val="24"/>
          <w:szCs w:val="24"/>
          <w:lang w:val="en-GB"/>
        </w:rPr>
        <w:t>Mr. Çelikyazıcıyan</w:t>
      </w:r>
      <w:r w:rsidR="00882E5E" w:rsidRPr="00CC0B01">
        <w:rPr>
          <w:rFonts w:ascii="Times New Roman" w:hAnsi="Times New Roman"/>
          <w:sz w:val="24"/>
          <w:szCs w:val="24"/>
          <w:lang w:val="en-GB"/>
        </w:rPr>
        <w:t xml:space="preserve"> </w:t>
      </w:r>
      <w:r>
        <w:rPr>
          <w:rFonts w:ascii="Times New Roman" w:hAnsi="Times New Roman"/>
          <w:sz w:val="24"/>
          <w:szCs w:val="24"/>
          <w:lang w:val="en-GB"/>
        </w:rPr>
        <w:t xml:space="preserve">was sentenced to </w:t>
      </w:r>
      <w:r w:rsidR="00AF5C08">
        <w:rPr>
          <w:rFonts w:ascii="Times New Roman" w:hAnsi="Times New Roman"/>
          <w:sz w:val="24"/>
          <w:szCs w:val="24"/>
          <w:lang w:val="en-GB"/>
        </w:rPr>
        <w:t>eight</w:t>
      </w:r>
      <w:r w:rsidR="000069CF">
        <w:rPr>
          <w:rFonts w:ascii="Times New Roman" w:hAnsi="Times New Roman"/>
          <w:sz w:val="24"/>
          <w:szCs w:val="24"/>
          <w:lang w:val="en-GB"/>
        </w:rPr>
        <w:t xml:space="preserve"> </w:t>
      </w:r>
      <w:r>
        <w:rPr>
          <w:rFonts w:ascii="Times New Roman" w:hAnsi="Times New Roman"/>
          <w:sz w:val="24"/>
          <w:szCs w:val="24"/>
          <w:lang w:val="en-GB"/>
        </w:rPr>
        <w:t xml:space="preserve">months and 10 days </w:t>
      </w:r>
      <w:r w:rsidR="00955118">
        <w:rPr>
          <w:rFonts w:ascii="Times New Roman" w:hAnsi="Times New Roman"/>
          <w:sz w:val="24"/>
          <w:szCs w:val="24"/>
          <w:lang w:val="en-GB"/>
        </w:rPr>
        <w:t xml:space="preserve">of </w:t>
      </w:r>
      <w:r w:rsidR="00882E5E">
        <w:rPr>
          <w:rFonts w:ascii="Times New Roman" w:hAnsi="Times New Roman"/>
          <w:sz w:val="24"/>
          <w:szCs w:val="24"/>
          <w:lang w:val="en-GB"/>
        </w:rPr>
        <w:t>imprisonment</w:t>
      </w:r>
      <w:r>
        <w:rPr>
          <w:rFonts w:ascii="Times New Roman" w:hAnsi="Times New Roman"/>
          <w:sz w:val="24"/>
          <w:szCs w:val="24"/>
          <w:lang w:val="en-GB"/>
        </w:rPr>
        <w:t xml:space="preserve">. This sentence was converted to a fine of TRY 5,000 (approximately USD 900). </w:t>
      </w:r>
      <w:r w:rsidRPr="00335C8A">
        <w:rPr>
          <w:rFonts w:ascii="Times New Roman" w:hAnsi="Times New Roman"/>
          <w:sz w:val="24"/>
          <w:szCs w:val="24"/>
          <w:lang w:val="en-GB"/>
        </w:rPr>
        <w:t xml:space="preserve">An appeal </w:t>
      </w:r>
      <w:r w:rsidR="00335C8A">
        <w:rPr>
          <w:rFonts w:ascii="Times New Roman" w:hAnsi="Times New Roman"/>
          <w:sz w:val="24"/>
          <w:szCs w:val="24"/>
          <w:lang w:val="en-GB"/>
        </w:rPr>
        <w:t xml:space="preserve">was </w:t>
      </w:r>
      <w:r w:rsidRPr="00335C8A">
        <w:rPr>
          <w:rFonts w:ascii="Times New Roman" w:hAnsi="Times New Roman"/>
          <w:sz w:val="24"/>
          <w:szCs w:val="24"/>
          <w:lang w:val="en-GB"/>
        </w:rPr>
        <w:t>filed against the ruling</w:t>
      </w:r>
      <w:r w:rsidR="00AF5C08" w:rsidRPr="00335C8A">
        <w:rPr>
          <w:rFonts w:ascii="Times New Roman" w:hAnsi="Times New Roman"/>
          <w:sz w:val="24"/>
          <w:szCs w:val="24"/>
          <w:lang w:val="en-GB"/>
        </w:rPr>
        <w:t xml:space="preserve">, and the </w:t>
      </w:r>
      <w:r w:rsidR="00A865AA">
        <w:rPr>
          <w:rFonts w:ascii="Times New Roman" w:hAnsi="Times New Roman"/>
          <w:sz w:val="24"/>
          <w:szCs w:val="24"/>
          <w:lang w:val="en-GB"/>
        </w:rPr>
        <w:t>appellate</w:t>
      </w:r>
      <w:r w:rsidR="00A865AA" w:rsidRPr="00335C8A">
        <w:rPr>
          <w:rFonts w:ascii="Times New Roman" w:hAnsi="Times New Roman"/>
          <w:sz w:val="24"/>
          <w:szCs w:val="24"/>
          <w:lang w:val="en-GB"/>
        </w:rPr>
        <w:t xml:space="preserve"> </w:t>
      </w:r>
      <w:r w:rsidR="00AF5C08" w:rsidRPr="00335C8A">
        <w:rPr>
          <w:rFonts w:ascii="Times New Roman" w:hAnsi="Times New Roman"/>
          <w:sz w:val="24"/>
          <w:szCs w:val="24"/>
          <w:lang w:val="en-GB"/>
        </w:rPr>
        <w:t xml:space="preserve">court </w:t>
      </w:r>
      <w:r w:rsidR="00335C8A">
        <w:rPr>
          <w:rFonts w:ascii="Times New Roman" w:hAnsi="Times New Roman"/>
          <w:sz w:val="24"/>
          <w:szCs w:val="24"/>
          <w:lang w:val="en-GB"/>
        </w:rPr>
        <w:t xml:space="preserve">overturned the decision </w:t>
      </w:r>
      <w:r w:rsidR="00AF5C08" w:rsidRPr="00335C8A">
        <w:rPr>
          <w:rFonts w:ascii="Times New Roman" w:hAnsi="Times New Roman"/>
          <w:sz w:val="24"/>
          <w:szCs w:val="24"/>
          <w:lang w:val="en-GB"/>
        </w:rPr>
        <w:t>on</w:t>
      </w:r>
      <w:r w:rsidR="00335C8A">
        <w:rPr>
          <w:rFonts w:ascii="Times New Roman" w:hAnsi="Times New Roman"/>
          <w:sz w:val="24"/>
          <w:szCs w:val="24"/>
          <w:lang w:val="en-GB"/>
        </w:rPr>
        <w:t xml:space="preserve"> </w:t>
      </w:r>
      <w:r w:rsidR="00335C8A" w:rsidRPr="00977DFC">
        <w:rPr>
          <w:rFonts w:ascii="Times New Roman" w:hAnsi="Times New Roman"/>
          <w:sz w:val="24"/>
          <w:szCs w:val="24"/>
          <w:lang w:val="en-GB"/>
        </w:rPr>
        <w:t>14</w:t>
      </w:r>
      <w:r w:rsidR="007D109A">
        <w:rPr>
          <w:rFonts w:ascii="Times New Roman" w:hAnsi="Times New Roman"/>
          <w:sz w:val="24"/>
          <w:szCs w:val="24"/>
          <w:lang w:val="en-GB"/>
        </w:rPr>
        <w:t> </w:t>
      </w:r>
      <w:r w:rsidR="00335C8A" w:rsidRPr="00977DFC">
        <w:rPr>
          <w:rFonts w:ascii="Times New Roman" w:hAnsi="Times New Roman"/>
          <w:sz w:val="24"/>
          <w:szCs w:val="24"/>
          <w:lang w:val="en-GB"/>
        </w:rPr>
        <w:t>October 2020</w:t>
      </w:r>
      <w:r w:rsidR="00B65B49" w:rsidRPr="00335C8A">
        <w:rPr>
          <w:rFonts w:ascii="Times New Roman" w:hAnsi="Times New Roman"/>
          <w:sz w:val="24"/>
          <w:szCs w:val="24"/>
          <w:lang w:val="en-GB"/>
        </w:rPr>
        <w:t xml:space="preserve">. </w:t>
      </w:r>
      <w:r w:rsidR="00335C8A" w:rsidRPr="00335C8A">
        <w:rPr>
          <w:rFonts w:ascii="Times New Roman" w:hAnsi="Times New Roman"/>
          <w:sz w:val="24"/>
          <w:szCs w:val="24"/>
          <w:lang w:val="en-GB"/>
        </w:rPr>
        <w:t xml:space="preserve">The lower court </w:t>
      </w:r>
      <w:r w:rsidR="00977DFC">
        <w:rPr>
          <w:rFonts w:ascii="Times New Roman" w:hAnsi="Times New Roman" w:hint="eastAsia"/>
          <w:sz w:val="24"/>
          <w:szCs w:val="24"/>
          <w:lang w:val="en-GB" w:eastAsia="ko-KR"/>
        </w:rPr>
        <w:t xml:space="preserve">is </w:t>
      </w:r>
      <w:r w:rsidR="00977DFC">
        <w:rPr>
          <w:rFonts w:ascii="Times New Roman" w:hAnsi="Times New Roman"/>
          <w:sz w:val="24"/>
          <w:szCs w:val="24"/>
          <w:lang w:val="en-GB" w:eastAsia="ko-KR"/>
        </w:rPr>
        <w:t xml:space="preserve">currently </w:t>
      </w:r>
      <w:r w:rsidR="00335C8A" w:rsidRPr="00335C8A">
        <w:rPr>
          <w:rFonts w:ascii="Times New Roman" w:hAnsi="Times New Roman"/>
          <w:sz w:val="24"/>
          <w:szCs w:val="24"/>
          <w:lang w:val="en-GB"/>
        </w:rPr>
        <w:t>review</w:t>
      </w:r>
      <w:r w:rsidR="00977DFC">
        <w:rPr>
          <w:rFonts w:ascii="Times New Roman" w:hAnsi="Times New Roman"/>
          <w:sz w:val="24"/>
          <w:szCs w:val="24"/>
          <w:lang w:val="en-GB"/>
        </w:rPr>
        <w:t>ing</w:t>
      </w:r>
      <w:r w:rsidR="00335C8A" w:rsidRPr="00335C8A">
        <w:rPr>
          <w:rFonts w:ascii="Times New Roman" w:hAnsi="Times New Roman"/>
          <w:sz w:val="24"/>
          <w:szCs w:val="24"/>
          <w:lang w:val="en-GB"/>
        </w:rPr>
        <w:t xml:space="preserve"> the case</w:t>
      </w:r>
      <w:r w:rsidR="00B65B49" w:rsidRPr="00335C8A">
        <w:rPr>
          <w:rFonts w:ascii="Times New Roman" w:hAnsi="Times New Roman"/>
          <w:sz w:val="24"/>
          <w:szCs w:val="24"/>
          <w:lang w:val="en-GB"/>
        </w:rPr>
        <w:t>.</w:t>
      </w:r>
      <w:r w:rsidR="00B65B49" w:rsidRPr="00B65B49">
        <w:rPr>
          <w:rFonts w:ascii="Times New Roman" w:hAnsi="Times New Roman"/>
          <w:color w:val="FF0000"/>
          <w:sz w:val="24"/>
          <w:szCs w:val="24"/>
          <w:lang w:val="en-GB"/>
        </w:rPr>
        <w:t xml:space="preserve"> </w:t>
      </w:r>
    </w:p>
    <w:p w14:paraId="4029FE36" w14:textId="77777777" w:rsidR="00892D16" w:rsidRPr="005B0845" w:rsidRDefault="00A56A0F" w:rsidP="005B0845">
      <w:pPr>
        <w:pStyle w:val="ListParagraph"/>
        <w:numPr>
          <w:ilvl w:val="1"/>
          <w:numId w:val="6"/>
        </w:numPr>
        <w:topLinePunct/>
        <w:spacing w:after="240"/>
        <w:ind w:right="181"/>
        <w:jc w:val="both"/>
        <w:rPr>
          <w:rFonts w:ascii="Times New Roman" w:hAnsi="Times New Roman"/>
          <w:sz w:val="24"/>
          <w:szCs w:val="24"/>
          <w:lang w:val="en-GB"/>
        </w:rPr>
      </w:pPr>
      <w:r>
        <w:rPr>
          <w:rFonts w:ascii="Times New Roman" w:hAnsi="Times New Roman"/>
          <w:sz w:val="24"/>
          <w:szCs w:val="24"/>
          <w:lang w:val="en-GB"/>
        </w:rPr>
        <w:lastRenderedPageBreak/>
        <w:t>Mr</w:t>
      </w:r>
      <w:r w:rsidR="00582E74">
        <w:rPr>
          <w:rFonts w:ascii="Times New Roman" w:hAnsi="Times New Roman"/>
          <w:sz w:val="24"/>
          <w:szCs w:val="24"/>
          <w:lang w:val="en-GB"/>
        </w:rPr>
        <w:t>.</w:t>
      </w:r>
      <w:r>
        <w:rPr>
          <w:rFonts w:ascii="Times New Roman" w:hAnsi="Times New Roman"/>
          <w:sz w:val="24"/>
          <w:szCs w:val="24"/>
          <w:lang w:val="en-GB"/>
        </w:rPr>
        <w:t xml:space="preserve"> Barış Görmez </w:t>
      </w:r>
      <w:r w:rsidR="00492DD2" w:rsidRPr="00492DD2">
        <w:rPr>
          <w:rFonts w:ascii="Times New Roman" w:hAnsi="Times New Roman"/>
          <w:sz w:val="24"/>
          <w:szCs w:val="24"/>
          <w:lang w:val="en-GB"/>
        </w:rPr>
        <w:t xml:space="preserve">was first placed in detention as an enlistment evader in November 2007. </w:t>
      </w:r>
      <w:r w:rsidR="00882E5E">
        <w:rPr>
          <w:rFonts w:ascii="Times New Roman" w:hAnsi="Times New Roman"/>
          <w:sz w:val="24"/>
          <w:szCs w:val="24"/>
          <w:lang w:val="en-GB"/>
        </w:rPr>
        <w:t xml:space="preserve">Owing </w:t>
      </w:r>
      <w:r w:rsidR="00A352FB">
        <w:rPr>
          <w:rFonts w:ascii="Times New Roman" w:hAnsi="Times New Roman"/>
          <w:sz w:val="24"/>
          <w:szCs w:val="24"/>
          <w:lang w:val="en-GB"/>
        </w:rPr>
        <w:t>to</w:t>
      </w:r>
      <w:r w:rsidR="00492DD2" w:rsidRPr="00492DD2">
        <w:rPr>
          <w:rFonts w:ascii="Times New Roman" w:hAnsi="Times New Roman"/>
          <w:sz w:val="24"/>
          <w:szCs w:val="24"/>
          <w:lang w:val="en-GB"/>
        </w:rPr>
        <w:t xml:space="preserve"> his continued refusal of military service, </w:t>
      </w:r>
      <w:r w:rsidR="000F5997">
        <w:rPr>
          <w:rFonts w:ascii="Times New Roman" w:hAnsi="Times New Roman"/>
          <w:sz w:val="24"/>
          <w:szCs w:val="24"/>
          <w:lang w:val="en-GB"/>
        </w:rPr>
        <w:t>to date</w:t>
      </w:r>
      <w:r w:rsidR="000F5997" w:rsidRPr="00492DD2">
        <w:rPr>
          <w:rFonts w:ascii="Times New Roman" w:hAnsi="Times New Roman"/>
          <w:sz w:val="24"/>
          <w:szCs w:val="24"/>
          <w:lang w:val="en-GB"/>
        </w:rPr>
        <w:t xml:space="preserve"> </w:t>
      </w:r>
      <w:r w:rsidR="00492DD2" w:rsidRPr="00492DD2">
        <w:rPr>
          <w:rFonts w:ascii="Times New Roman" w:hAnsi="Times New Roman"/>
          <w:sz w:val="24"/>
          <w:szCs w:val="24"/>
          <w:lang w:val="en-GB"/>
        </w:rPr>
        <w:t>he has spent three years and eight months in prison.</w:t>
      </w:r>
      <w:r>
        <w:rPr>
          <w:rFonts w:ascii="Times New Roman" w:hAnsi="Times New Roman"/>
          <w:sz w:val="24"/>
          <w:szCs w:val="24"/>
          <w:lang w:val="en-GB"/>
        </w:rPr>
        <w:t xml:space="preserve"> Despite a ruling of the ECHR in his favo</w:t>
      </w:r>
      <w:r w:rsidR="00882E5E">
        <w:rPr>
          <w:rFonts w:ascii="Times New Roman" w:hAnsi="Times New Roman"/>
          <w:sz w:val="24"/>
          <w:szCs w:val="24"/>
          <w:lang w:val="en-GB"/>
        </w:rPr>
        <w:t>u</w:t>
      </w:r>
      <w:r>
        <w:rPr>
          <w:rFonts w:ascii="Times New Roman" w:hAnsi="Times New Roman"/>
          <w:sz w:val="24"/>
          <w:szCs w:val="24"/>
          <w:lang w:val="en-GB"/>
        </w:rPr>
        <w:t xml:space="preserve">r, he was </w:t>
      </w:r>
      <w:r w:rsidR="00882E5E">
        <w:rPr>
          <w:rFonts w:ascii="Times New Roman" w:hAnsi="Times New Roman"/>
          <w:sz w:val="24"/>
          <w:szCs w:val="24"/>
          <w:lang w:val="en-GB"/>
        </w:rPr>
        <w:t xml:space="preserve">again </w:t>
      </w:r>
      <w:r>
        <w:rPr>
          <w:rFonts w:ascii="Times New Roman" w:hAnsi="Times New Roman"/>
          <w:sz w:val="24"/>
          <w:szCs w:val="24"/>
          <w:lang w:val="en-GB"/>
        </w:rPr>
        <w:t xml:space="preserve">convicted </w:t>
      </w:r>
      <w:r w:rsidR="00882E5E">
        <w:rPr>
          <w:rFonts w:ascii="Times New Roman" w:hAnsi="Times New Roman"/>
          <w:sz w:val="24"/>
          <w:szCs w:val="24"/>
          <w:lang w:val="en-GB"/>
        </w:rPr>
        <w:t xml:space="preserve">of refusal to serve in the military </w:t>
      </w:r>
      <w:r>
        <w:rPr>
          <w:rFonts w:ascii="Times New Roman" w:hAnsi="Times New Roman"/>
          <w:sz w:val="24"/>
          <w:szCs w:val="24"/>
          <w:lang w:val="en-GB"/>
        </w:rPr>
        <w:t xml:space="preserve">and was sentenced </w:t>
      </w:r>
      <w:r w:rsidR="00BC5213">
        <w:rPr>
          <w:rFonts w:ascii="Times New Roman" w:hAnsi="Times New Roman"/>
          <w:sz w:val="24"/>
          <w:szCs w:val="24"/>
          <w:lang w:val="en-GB"/>
        </w:rPr>
        <w:t xml:space="preserve">on 31 March 2016 </w:t>
      </w:r>
      <w:r>
        <w:rPr>
          <w:rFonts w:ascii="Times New Roman" w:hAnsi="Times New Roman"/>
          <w:sz w:val="24"/>
          <w:szCs w:val="24"/>
          <w:lang w:val="en-GB"/>
        </w:rPr>
        <w:t>to 12 months and 15 days</w:t>
      </w:r>
      <w:r w:rsidR="009A7777">
        <w:rPr>
          <w:rFonts w:ascii="Times New Roman" w:hAnsi="Times New Roman"/>
          <w:sz w:val="24"/>
          <w:szCs w:val="24"/>
          <w:lang w:val="en-GB"/>
        </w:rPr>
        <w:t xml:space="preserve"> of </w:t>
      </w:r>
      <w:r w:rsidR="00BC5213">
        <w:rPr>
          <w:rFonts w:ascii="Times New Roman" w:hAnsi="Times New Roman"/>
          <w:sz w:val="24"/>
          <w:szCs w:val="24"/>
          <w:lang w:val="en-GB"/>
        </w:rPr>
        <w:t>imprisonment</w:t>
      </w:r>
      <w:r>
        <w:rPr>
          <w:rFonts w:ascii="Times New Roman" w:hAnsi="Times New Roman"/>
          <w:sz w:val="24"/>
          <w:szCs w:val="24"/>
          <w:lang w:val="en-GB"/>
        </w:rPr>
        <w:t xml:space="preserve">. The sentence </w:t>
      </w:r>
      <w:r w:rsidR="00BC5213">
        <w:rPr>
          <w:rFonts w:ascii="Times New Roman" w:hAnsi="Times New Roman"/>
          <w:sz w:val="24"/>
          <w:szCs w:val="24"/>
          <w:lang w:val="en-GB"/>
        </w:rPr>
        <w:t>was</w:t>
      </w:r>
      <w:r>
        <w:rPr>
          <w:rFonts w:ascii="Times New Roman" w:hAnsi="Times New Roman"/>
          <w:sz w:val="24"/>
          <w:szCs w:val="24"/>
          <w:lang w:val="en-GB"/>
        </w:rPr>
        <w:t xml:space="preserve"> converted to a fine</w:t>
      </w:r>
      <w:r w:rsidR="00BC5213">
        <w:rPr>
          <w:rFonts w:ascii="Times New Roman" w:hAnsi="Times New Roman"/>
          <w:sz w:val="24"/>
          <w:szCs w:val="24"/>
          <w:lang w:val="en-GB"/>
        </w:rPr>
        <w:t xml:space="preserve"> of</w:t>
      </w:r>
      <w:r>
        <w:rPr>
          <w:rFonts w:ascii="Times New Roman" w:hAnsi="Times New Roman"/>
          <w:sz w:val="24"/>
          <w:szCs w:val="24"/>
          <w:lang w:val="en-GB"/>
        </w:rPr>
        <w:t xml:space="preserve"> TRY 7,500 (approximately USD 1,350)</w:t>
      </w:r>
      <w:r>
        <w:rPr>
          <w:rFonts w:ascii="Times New Roman" w:hAnsi="Times New Roman"/>
          <w:sz w:val="24"/>
          <w:szCs w:val="24"/>
          <w:lang w:val="en-GB"/>
        </w:rPr>
        <w:t xml:space="preserve">. </w:t>
      </w:r>
      <w:r w:rsidR="00A352FB" w:rsidRPr="00A352FB">
        <w:rPr>
          <w:rFonts w:ascii="Times New Roman" w:hAnsi="Times New Roman"/>
          <w:sz w:val="24"/>
          <w:szCs w:val="24"/>
          <w:lang w:val="en-GB"/>
        </w:rPr>
        <w:t>On 27 March 2019, the 19th Criminal Chamber of the Court of Cassation rejected Mr</w:t>
      </w:r>
      <w:r w:rsidR="000F5997">
        <w:rPr>
          <w:rFonts w:ascii="Times New Roman" w:hAnsi="Times New Roman"/>
          <w:sz w:val="24"/>
          <w:szCs w:val="24"/>
          <w:lang w:val="en-GB"/>
        </w:rPr>
        <w:t>.</w:t>
      </w:r>
      <w:r w:rsidR="00A352FB" w:rsidRPr="00A352FB">
        <w:rPr>
          <w:rFonts w:ascii="Times New Roman" w:hAnsi="Times New Roman"/>
          <w:sz w:val="24"/>
          <w:szCs w:val="24"/>
          <w:lang w:val="en-GB"/>
        </w:rPr>
        <w:t xml:space="preserve"> Görmez’s appeal and upheld </w:t>
      </w:r>
      <w:r w:rsidR="00A352FB">
        <w:rPr>
          <w:rFonts w:ascii="Times New Roman" w:hAnsi="Times New Roman"/>
          <w:sz w:val="24"/>
          <w:szCs w:val="24"/>
          <w:lang w:val="en-GB"/>
        </w:rPr>
        <w:t xml:space="preserve">the </w:t>
      </w:r>
      <w:r w:rsidR="00A352FB" w:rsidRPr="00A352FB">
        <w:rPr>
          <w:rFonts w:ascii="Times New Roman" w:hAnsi="Times New Roman"/>
          <w:sz w:val="24"/>
          <w:szCs w:val="24"/>
          <w:lang w:val="en-GB"/>
        </w:rPr>
        <w:t xml:space="preserve">fine. If he does not pay the fine, he will be </w:t>
      </w:r>
      <w:r w:rsidR="00BC5213">
        <w:rPr>
          <w:rFonts w:ascii="Times New Roman" w:hAnsi="Times New Roman"/>
          <w:sz w:val="24"/>
          <w:szCs w:val="24"/>
          <w:lang w:val="en-GB"/>
        </w:rPr>
        <w:t>imprisoned</w:t>
      </w:r>
      <w:r w:rsidR="00A352FB" w:rsidRPr="00A352FB">
        <w:rPr>
          <w:rFonts w:ascii="Times New Roman" w:hAnsi="Times New Roman"/>
          <w:sz w:val="24"/>
          <w:szCs w:val="24"/>
          <w:lang w:val="en-GB"/>
        </w:rPr>
        <w:t>. On 1</w:t>
      </w:r>
      <w:r w:rsidR="007D109A">
        <w:rPr>
          <w:rFonts w:ascii="Times New Roman" w:hAnsi="Times New Roman"/>
          <w:sz w:val="24"/>
          <w:szCs w:val="24"/>
          <w:lang w:val="en-GB"/>
        </w:rPr>
        <w:t> </w:t>
      </w:r>
      <w:r w:rsidR="00A352FB" w:rsidRPr="00A352FB">
        <w:rPr>
          <w:rFonts w:ascii="Times New Roman" w:hAnsi="Times New Roman"/>
          <w:sz w:val="24"/>
          <w:szCs w:val="24"/>
          <w:lang w:val="en-GB"/>
        </w:rPr>
        <w:t>August 2019, Mr</w:t>
      </w:r>
      <w:r w:rsidR="000F5997">
        <w:rPr>
          <w:rFonts w:ascii="Times New Roman" w:hAnsi="Times New Roman"/>
          <w:sz w:val="24"/>
          <w:szCs w:val="24"/>
          <w:lang w:val="en-GB"/>
        </w:rPr>
        <w:t>.</w:t>
      </w:r>
      <w:r w:rsidR="00A352FB" w:rsidRPr="00A352FB">
        <w:rPr>
          <w:rFonts w:ascii="Times New Roman" w:hAnsi="Times New Roman"/>
          <w:sz w:val="24"/>
          <w:szCs w:val="24"/>
          <w:lang w:val="en-GB"/>
        </w:rPr>
        <w:t xml:space="preserve"> Görmez filed a complaint with the Constitutional Court</w:t>
      </w:r>
      <w:r w:rsidRPr="005B0845">
        <w:rPr>
          <w:rFonts w:ascii="Times New Roman" w:hAnsi="Times New Roman"/>
          <w:sz w:val="24"/>
          <w:szCs w:val="24"/>
          <w:lang w:val="en-GB"/>
        </w:rPr>
        <w:t>.</w:t>
      </w:r>
    </w:p>
    <w:p w14:paraId="260A3BBB" w14:textId="77777777" w:rsidR="00892D16" w:rsidRDefault="00A56A0F" w:rsidP="00892D16">
      <w:pPr>
        <w:pStyle w:val="ListParagraph"/>
        <w:numPr>
          <w:ilvl w:val="1"/>
          <w:numId w:val="6"/>
        </w:numPr>
        <w:topLinePunct/>
        <w:spacing w:after="240"/>
        <w:ind w:right="181"/>
        <w:jc w:val="both"/>
        <w:rPr>
          <w:rFonts w:ascii="Times New Roman" w:hAnsi="Times New Roman"/>
          <w:sz w:val="24"/>
          <w:szCs w:val="24"/>
          <w:lang w:val="en-GB"/>
        </w:rPr>
      </w:pPr>
      <w:r>
        <w:rPr>
          <w:rFonts w:ascii="Times New Roman" w:hAnsi="Times New Roman"/>
          <w:sz w:val="24"/>
          <w:szCs w:val="24"/>
          <w:lang w:val="en-GB"/>
        </w:rPr>
        <w:t>On 3</w:t>
      </w:r>
      <w:r>
        <w:rPr>
          <w:rFonts w:ascii="Times New Roman" w:hAnsi="Times New Roman"/>
          <w:sz w:val="24"/>
          <w:szCs w:val="24"/>
          <w:lang w:val="en-GB"/>
        </w:rPr>
        <w:t xml:space="preserve"> May 2019, Mr</w:t>
      </w:r>
      <w:r w:rsidR="00582E74">
        <w:rPr>
          <w:rFonts w:ascii="Times New Roman" w:hAnsi="Times New Roman"/>
          <w:sz w:val="24"/>
          <w:szCs w:val="24"/>
          <w:lang w:val="en-GB"/>
        </w:rPr>
        <w:t>.</w:t>
      </w:r>
      <w:r>
        <w:rPr>
          <w:rFonts w:ascii="Times New Roman" w:hAnsi="Times New Roman"/>
          <w:sz w:val="24"/>
          <w:szCs w:val="24"/>
          <w:lang w:val="en-GB"/>
        </w:rPr>
        <w:t xml:space="preserve"> Necmettin Berkin Gül was sentenced to pay an administrative fine of TRY 1,701 (approximately USD 300) for refusal to serve in the military</w:t>
      </w:r>
      <w:r w:rsidR="00BC5213">
        <w:rPr>
          <w:rFonts w:ascii="Times New Roman" w:hAnsi="Times New Roman"/>
          <w:sz w:val="24"/>
          <w:szCs w:val="24"/>
          <w:lang w:val="en-GB"/>
        </w:rPr>
        <w:t>.</w:t>
      </w:r>
      <w:r>
        <w:rPr>
          <w:rFonts w:ascii="Times New Roman" w:hAnsi="Times New Roman"/>
          <w:sz w:val="24"/>
          <w:szCs w:val="24"/>
          <w:lang w:val="en-GB"/>
        </w:rPr>
        <w:t xml:space="preserve"> </w:t>
      </w:r>
      <w:r w:rsidR="00BC5213">
        <w:rPr>
          <w:rFonts w:ascii="Times New Roman" w:hAnsi="Times New Roman"/>
          <w:sz w:val="24"/>
          <w:szCs w:val="24"/>
          <w:lang w:val="en-GB"/>
        </w:rPr>
        <w:t xml:space="preserve">The </w:t>
      </w:r>
      <w:r>
        <w:rPr>
          <w:rFonts w:ascii="Times New Roman" w:hAnsi="Times New Roman"/>
          <w:sz w:val="24"/>
          <w:szCs w:val="24"/>
          <w:lang w:val="en-GB"/>
        </w:rPr>
        <w:t>authorities accused him of being an enlistment evader despite the fact that he had submitted a pe</w:t>
      </w:r>
      <w:r>
        <w:rPr>
          <w:rFonts w:ascii="Times New Roman" w:hAnsi="Times New Roman"/>
          <w:sz w:val="24"/>
          <w:szCs w:val="24"/>
          <w:lang w:val="en-GB"/>
        </w:rPr>
        <w:t xml:space="preserve">tition </w:t>
      </w:r>
      <w:r w:rsidR="00BC5213">
        <w:rPr>
          <w:rFonts w:ascii="Times New Roman" w:hAnsi="Times New Roman"/>
          <w:sz w:val="24"/>
          <w:szCs w:val="24"/>
          <w:lang w:val="en-GB"/>
        </w:rPr>
        <w:t xml:space="preserve">detailing </w:t>
      </w:r>
      <w:r>
        <w:rPr>
          <w:rFonts w:ascii="Times New Roman" w:hAnsi="Times New Roman"/>
          <w:sz w:val="24"/>
          <w:szCs w:val="24"/>
          <w:lang w:val="en-GB"/>
        </w:rPr>
        <w:t xml:space="preserve">his conscientious objection. </w:t>
      </w:r>
      <w:r w:rsidR="004D0B67" w:rsidRPr="004D0B67">
        <w:rPr>
          <w:rFonts w:ascii="Times New Roman" w:hAnsi="Times New Roman"/>
          <w:sz w:val="24"/>
          <w:szCs w:val="24"/>
          <w:lang w:val="en-GB"/>
        </w:rPr>
        <w:t>He contested the penalty, but the court rejected his objections</w:t>
      </w:r>
      <w:r>
        <w:rPr>
          <w:rFonts w:ascii="Times New Roman" w:hAnsi="Times New Roman"/>
          <w:sz w:val="24"/>
          <w:szCs w:val="24"/>
          <w:lang w:val="en-GB"/>
        </w:rPr>
        <w:t>.</w:t>
      </w:r>
      <w:r w:rsidR="004D0B67">
        <w:rPr>
          <w:rFonts w:ascii="Times New Roman" w:hAnsi="Times New Roman"/>
          <w:sz w:val="24"/>
          <w:szCs w:val="24"/>
          <w:lang w:val="en-GB"/>
        </w:rPr>
        <w:t xml:space="preserve"> </w:t>
      </w:r>
      <w:r w:rsidR="004D0B67" w:rsidRPr="004D0B67">
        <w:rPr>
          <w:rFonts w:ascii="Times New Roman" w:hAnsi="Times New Roman"/>
          <w:sz w:val="24"/>
          <w:szCs w:val="24"/>
          <w:lang w:val="en-GB"/>
        </w:rPr>
        <w:t>On 10 February 2020</w:t>
      </w:r>
      <w:r w:rsidR="005B0BCE">
        <w:rPr>
          <w:rFonts w:ascii="Times New Roman" w:hAnsi="Times New Roman"/>
          <w:sz w:val="24"/>
          <w:szCs w:val="24"/>
          <w:lang w:val="en-GB"/>
        </w:rPr>
        <w:t>,</w:t>
      </w:r>
      <w:r w:rsidR="004D0B67" w:rsidRPr="004D0B67">
        <w:rPr>
          <w:rFonts w:ascii="Times New Roman" w:hAnsi="Times New Roman"/>
          <w:sz w:val="24"/>
          <w:szCs w:val="24"/>
          <w:lang w:val="en-GB"/>
        </w:rPr>
        <w:t xml:space="preserve"> he received another administrative penalty</w:t>
      </w:r>
      <w:r w:rsidR="0084115F">
        <w:rPr>
          <w:rFonts w:ascii="Times New Roman" w:hAnsi="Times New Roman"/>
          <w:sz w:val="24"/>
          <w:szCs w:val="24"/>
          <w:lang w:val="en-GB"/>
        </w:rPr>
        <w:t>,</w:t>
      </w:r>
      <w:r w:rsidR="004D0B67" w:rsidRPr="004D0B67">
        <w:rPr>
          <w:rFonts w:ascii="Times New Roman" w:hAnsi="Times New Roman"/>
          <w:sz w:val="24"/>
          <w:szCs w:val="24"/>
          <w:lang w:val="en-GB"/>
        </w:rPr>
        <w:t xml:space="preserve"> of </w:t>
      </w:r>
      <w:r w:rsidR="00CC0B01">
        <w:rPr>
          <w:rFonts w:ascii="Times New Roman" w:hAnsi="Times New Roman"/>
          <w:sz w:val="24"/>
          <w:szCs w:val="24"/>
          <w:lang w:val="en-GB"/>
        </w:rPr>
        <w:t xml:space="preserve">TRY </w:t>
      </w:r>
      <w:r w:rsidR="004D0B67" w:rsidRPr="004D0B67">
        <w:rPr>
          <w:rFonts w:ascii="Times New Roman" w:hAnsi="Times New Roman"/>
          <w:sz w:val="24"/>
          <w:szCs w:val="24"/>
          <w:lang w:val="en-GB"/>
        </w:rPr>
        <w:t>4,216</w:t>
      </w:r>
      <w:r w:rsidR="005B0BCE">
        <w:rPr>
          <w:rFonts w:ascii="Times New Roman" w:hAnsi="Times New Roman"/>
          <w:sz w:val="24"/>
          <w:szCs w:val="24"/>
          <w:lang w:val="en-GB"/>
        </w:rPr>
        <w:t xml:space="preserve"> (approximately USD 530)</w:t>
      </w:r>
      <w:r w:rsidR="004D0B67" w:rsidRPr="004D0B67">
        <w:rPr>
          <w:rFonts w:ascii="Times New Roman" w:hAnsi="Times New Roman"/>
          <w:sz w:val="24"/>
          <w:szCs w:val="24"/>
          <w:lang w:val="en-GB"/>
        </w:rPr>
        <w:t xml:space="preserve">, and on 17 </w:t>
      </w:r>
      <w:r w:rsidR="00CC0B01">
        <w:rPr>
          <w:rFonts w:ascii="Times New Roman" w:hAnsi="Times New Roman"/>
          <w:sz w:val="24"/>
          <w:szCs w:val="24"/>
          <w:lang w:val="en-GB"/>
        </w:rPr>
        <w:t xml:space="preserve">March </w:t>
      </w:r>
      <w:r w:rsidR="004D0B67" w:rsidRPr="004D0B67">
        <w:rPr>
          <w:rFonts w:ascii="Times New Roman" w:hAnsi="Times New Roman"/>
          <w:sz w:val="24"/>
          <w:szCs w:val="24"/>
          <w:lang w:val="en-GB"/>
        </w:rPr>
        <w:t>2020</w:t>
      </w:r>
      <w:r w:rsidR="005B0BCE">
        <w:rPr>
          <w:rFonts w:ascii="Times New Roman" w:hAnsi="Times New Roman"/>
          <w:sz w:val="24"/>
          <w:szCs w:val="24"/>
          <w:lang w:val="en-GB"/>
        </w:rPr>
        <w:t>,</w:t>
      </w:r>
      <w:r w:rsidR="004D0B67" w:rsidRPr="004D0B67">
        <w:rPr>
          <w:rFonts w:ascii="Times New Roman" w:hAnsi="Times New Roman"/>
          <w:sz w:val="24"/>
          <w:szCs w:val="24"/>
          <w:lang w:val="en-GB"/>
        </w:rPr>
        <w:t xml:space="preserve"> </w:t>
      </w:r>
      <w:r w:rsidR="0084115F">
        <w:rPr>
          <w:rFonts w:ascii="Times New Roman" w:hAnsi="Times New Roman"/>
          <w:sz w:val="24"/>
          <w:szCs w:val="24"/>
          <w:lang w:val="en-GB"/>
        </w:rPr>
        <w:t xml:space="preserve">he received </w:t>
      </w:r>
      <w:r w:rsidR="004D0B67" w:rsidRPr="004D0B67">
        <w:rPr>
          <w:rFonts w:ascii="Times New Roman" w:hAnsi="Times New Roman"/>
          <w:sz w:val="24"/>
          <w:szCs w:val="24"/>
          <w:lang w:val="en-GB"/>
        </w:rPr>
        <w:t>a third penalty</w:t>
      </w:r>
      <w:r w:rsidR="0084115F">
        <w:rPr>
          <w:rFonts w:ascii="Times New Roman" w:hAnsi="Times New Roman"/>
          <w:sz w:val="24"/>
          <w:szCs w:val="24"/>
          <w:lang w:val="en-GB"/>
        </w:rPr>
        <w:t>,</w:t>
      </w:r>
      <w:r w:rsidR="004D0B67" w:rsidRPr="004D0B67">
        <w:rPr>
          <w:rFonts w:ascii="Times New Roman" w:hAnsi="Times New Roman"/>
          <w:sz w:val="24"/>
          <w:szCs w:val="24"/>
          <w:lang w:val="en-GB"/>
        </w:rPr>
        <w:t xml:space="preserve"> of </w:t>
      </w:r>
      <w:r w:rsidR="00CC0B01">
        <w:rPr>
          <w:rFonts w:ascii="Times New Roman" w:hAnsi="Times New Roman"/>
          <w:sz w:val="24"/>
          <w:szCs w:val="24"/>
          <w:lang w:val="en-GB"/>
        </w:rPr>
        <w:t xml:space="preserve">TRY </w:t>
      </w:r>
      <w:r w:rsidR="004D0B67" w:rsidRPr="004D0B67">
        <w:rPr>
          <w:rFonts w:ascii="Times New Roman" w:hAnsi="Times New Roman"/>
          <w:sz w:val="24"/>
          <w:szCs w:val="24"/>
          <w:lang w:val="en-GB"/>
        </w:rPr>
        <w:t>2,104</w:t>
      </w:r>
      <w:r w:rsidR="005B0BCE">
        <w:rPr>
          <w:rFonts w:ascii="Times New Roman" w:hAnsi="Times New Roman"/>
          <w:sz w:val="24"/>
          <w:szCs w:val="24"/>
          <w:lang w:val="en-GB"/>
        </w:rPr>
        <w:t xml:space="preserve"> (approximately USD 265)</w:t>
      </w:r>
      <w:r w:rsidR="004D0B67" w:rsidRPr="004D0B67">
        <w:rPr>
          <w:rFonts w:ascii="Times New Roman" w:hAnsi="Times New Roman"/>
          <w:sz w:val="24"/>
          <w:szCs w:val="24"/>
          <w:lang w:val="en-GB"/>
        </w:rPr>
        <w:t>. He has contested both penalties</w:t>
      </w:r>
      <w:r w:rsidR="0084115F">
        <w:rPr>
          <w:rFonts w:ascii="Times New Roman" w:hAnsi="Times New Roman"/>
          <w:sz w:val="24"/>
          <w:szCs w:val="24"/>
          <w:lang w:val="en-GB"/>
        </w:rPr>
        <w:t>,</w:t>
      </w:r>
      <w:r w:rsidR="004D0B67" w:rsidRPr="004D0B67">
        <w:rPr>
          <w:rFonts w:ascii="Times New Roman" w:hAnsi="Times New Roman"/>
          <w:sz w:val="24"/>
          <w:szCs w:val="24"/>
          <w:lang w:val="en-GB"/>
        </w:rPr>
        <w:t xml:space="preserve"> and the legal process continues with complaints filed </w:t>
      </w:r>
      <w:r w:rsidR="005B0BCE">
        <w:rPr>
          <w:rFonts w:ascii="Times New Roman" w:hAnsi="Times New Roman"/>
          <w:sz w:val="24"/>
          <w:szCs w:val="24"/>
          <w:lang w:val="en-GB"/>
        </w:rPr>
        <w:t>with</w:t>
      </w:r>
      <w:r w:rsidR="005B0BCE" w:rsidRPr="004D0B67">
        <w:rPr>
          <w:rFonts w:ascii="Times New Roman" w:hAnsi="Times New Roman"/>
          <w:sz w:val="24"/>
          <w:szCs w:val="24"/>
          <w:lang w:val="en-GB"/>
        </w:rPr>
        <w:t xml:space="preserve"> </w:t>
      </w:r>
      <w:r w:rsidR="004D0B67" w:rsidRPr="004D0B67">
        <w:rPr>
          <w:rFonts w:ascii="Times New Roman" w:hAnsi="Times New Roman"/>
          <w:sz w:val="24"/>
          <w:szCs w:val="24"/>
          <w:lang w:val="en-GB"/>
        </w:rPr>
        <w:t>the Constitutional Court</w:t>
      </w:r>
      <w:r w:rsidR="0084115F">
        <w:rPr>
          <w:rFonts w:ascii="Times New Roman" w:hAnsi="Times New Roman"/>
          <w:sz w:val="24"/>
          <w:szCs w:val="24"/>
          <w:lang w:val="en-GB"/>
        </w:rPr>
        <w:t>.</w:t>
      </w:r>
    </w:p>
    <w:p w14:paraId="71A22DCD" w14:textId="77777777" w:rsidR="00C243DD" w:rsidRDefault="00A56A0F" w:rsidP="00892D16">
      <w:pPr>
        <w:pStyle w:val="ListParagraph"/>
        <w:numPr>
          <w:ilvl w:val="1"/>
          <w:numId w:val="6"/>
        </w:numPr>
        <w:topLinePunct/>
        <w:spacing w:after="240"/>
        <w:ind w:right="181"/>
        <w:jc w:val="both"/>
        <w:rPr>
          <w:rFonts w:ascii="Times New Roman" w:hAnsi="Times New Roman"/>
          <w:sz w:val="24"/>
          <w:szCs w:val="24"/>
          <w:lang w:val="en-GB"/>
        </w:rPr>
      </w:pPr>
      <w:r>
        <w:rPr>
          <w:rFonts w:ascii="Times New Roman" w:hAnsi="Times New Roman"/>
          <w:sz w:val="24"/>
          <w:szCs w:val="24"/>
          <w:lang w:val="en-GB"/>
        </w:rPr>
        <w:t>Mr</w:t>
      </w:r>
      <w:r w:rsidR="00582E74">
        <w:rPr>
          <w:rFonts w:ascii="Times New Roman" w:hAnsi="Times New Roman"/>
          <w:sz w:val="24"/>
          <w:szCs w:val="24"/>
          <w:lang w:val="en-GB"/>
        </w:rPr>
        <w:t>.</w:t>
      </w:r>
      <w:r>
        <w:rPr>
          <w:rFonts w:ascii="Times New Roman" w:hAnsi="Times New Roman"/>
          <w:sz w:val="24"/>
          <w:szCs w:val="24"/>
          <w:lang w:val="en-GB"/>
        </w:rPr>
        <w:t xml:space="preserve"> Ersin Ölgün </w:t>
      </w:r>
      <w:r w:rsidR="00335C8A">
        <w:rPr>
          <w:rFonts w:ascii="Times New Roman" w:hAnsi="Times New Roman"/>
          <w:sz w:val="24"/>
          <w:szCs w:val="24"/>
          <w:lang w:val="en-GB"/>
        </w:rPr>
        <w:t>received</w:t>
      </w:r>
      <w:r>
        <w:rPr>
          <w:rFonts w:ascii="Times New Roman" w:hAnsi="Times New Roman"/>
          <w:sz w:val="24"/>
          <w:szCs w:val="24"/>
          <w:lang w:val="en-GB"/>
        </w:rPr>
        <w:t xml:space="preserve"> an administrative fine of TRY 3,408 (approximately USD 620) on 2 April 2019 for refusal to serve in the military</w:t>
      </w:r>
      <w:r w:rsidR="005B0BCE">
        <w:rPr>
          <w:rFonts w:ascii="Times New Roman" w:hAnsi="Times New Roman"/>
          <w:sz w:val="24"/>
          <w:szCs w:val="24"/>
          <w:lang w:val="en-GB"/>
        </w:rPr>
        <w:t>.</w:t>
      </w:r>
      <w:r>
        <w:rPr>
          <w:rFonts w:ascii="Times New Roman" w:hAnsi="Times New Roman"/>
          <w:sz w:val="24"/>
          <w:szCs w:val="24"/>
          <w:lang w:val="en-GB"/>
        </w:rPr>
        <w:t xml:space="preserve"> </w:t>
      </w:r>
      <w:r w:rsidR="005B0BCE">
        <w:rPr>
          <w:rFonts w:ascii="Times New Roman" w:hAnsi="Times New Roman"/>
          <w:sz w:val="24"/>
          <w:szCs w:val="24"/>
          <w:lang w:val="en-GB"/>
        </w:rPr>
        <w:t xml:space="preserve">The </w:t>
      </w:r>
      <w:r>
        <w:rPr>
          <w:rFonts w:ascii="Times New Roman" w:hAnsi="Times New Roman"/>
          <w:sz w:val="24"/>
          <w:szCs w:val="24"/>
          <w:lang w:val="en-GB"/>
        </w:rPr>
        <w:t>authorities accused him of evading enlistment, even though he reported for his call-up and submitted a petition to be recognized as a con</w:t>
      </w:r>
      <w:r>
        <w:rPr>
          <w:rFonts w:ascii="Times New Roman" w:hAnsi="Times New Roman"/>
          <w:sz w:val="24"/>
          <w:szCs w:val="24"/>
          <w:lang w:val="en-GB"/>
        </w:rPr>
        <w:t xml:space="preserve">scientious objector. His appeal </w:t>
      </w:r>
      <w:r w:rsidR="007D109A">
        <w:rPr>
          <w:rFonts w:ascii="Times New Roman" w:hAnsi="Times New Roman"/>
          <w:sz w:val="24"/>
          <w:szCs w:val="24"/>
          <w:lang w:val="en-GB"/>
        </w:rPr>
        <w:t>succeeded</w:t>
      </w:r>
      <w:r>
        <w:rPr>
          <w:rFonts w:ascii="Times New Roman" w:hAnsi="Times New Roman"/>
          <w:sz w:val="24"/>
          <w:szCs w:val="24"/>
          <w:lang w:val="en-GB"/>
        </w:rPr>
        <w:t xml:space="preserve"> on 19 May 2019. </w:t>
      </w:r>
      <w:r w:rsidR="00335C8A">
        <w:rPr>
          <w:rFonts w:ascii="Times New Roman" w:hAnsi="Times New Roman"/>
          <w:sz w:val="24"/>
          <w:szCs w:val="24"/>
          <w:lang w:val="en-GB"/>
        </w:rPr>
        <w:t xml:space="preserve"> </w:t>
      </w:r>
      <w:r w:rsidR="00335C8A" w:rsidRPr="00825382">
        <w:rPr>
          <w:rFonts w:ascii="Times New Roman" w:hAnsi="Times New Roman"/>
          <w:sz w:val="24"/>
          <w:szCs w:val="24"/>
          <w:lang w:val="en-GB"/>
        </w:rPr>
        <w:t xml:space="preserve">Mr. Ölgün received two </w:t>
      </w:r>
      <w:r w:rsidR="007D109A">
        <w:rPr>
          <w:rFonts w:ascii="Times New Roman" w:hAnsi="Times New Roman"/>
          <w:sz w:val="24"/>
          <w:szCs w:val="24"/>
          <w:lang w:val="en-GB"/>
        </w:rPr>
        <w:t>further</w:t>
      </w:r>
      <w:r w:rsidR="00335C8A" w:rsidRPr="00825382">
        <w:rPr>
          <w:rFonts w:ascii="Times New Roman" w:hAnsi="Times New Roman"/>
          <w:sz w:val="24"/>
          <w:szCs w:val="24"/>
          <w:lang w:val="en-GB"/>
        </w:rPr>
        <w:t xml:space="preserve"> fine</w:t>
      </w:r>
      <w:r w:rsidR="00D42C92">
        <w:rPr>
          <w:rFonts w:ascii="Times New Roman" w:hAnsi="Times New Roman"/>
          <w:sz w:val="24"/>
          <w:szCs w:val="24"/>
          <w:lang w:val="en-GB"/>
        </w:rPr>
        <w:t>s</w:t>
      </w:r>
      <w:r w:rsidR="00335C8A" w:rsidRPr="00825382">
        <w:rPr>
          <w:rFonts w:ascii="Times New Roman" w:hAnsi="Times New Roman"/>
          <w:sz w:val="24"/>
          <w:szCs w:val="24"/>
          <w:lang w:val="en-GB"/>
        </w:rPr>
        <w:t xml:space="preserve"> of </w:t>
      </w:r>
      <w:r w:rsidR="00335C8A" w:rsidRPr="00977DFC">
        <w:rPr>
          <w:rFonts w:ascii="Times New Roman" w:hAnsi="Times New Roman"/>
          <w:sz w:val="24"/>
          <w:szCs w:val="24"/>
          <w:lang w:val="en-GB"/>
        </w:rPr>
        <w:t>TRY 1,701</w:t>
      </w:r>
      <w:r w:rsidR="007D109A">
        <w:rPr>
          <w:rFonts w:ascii="Times New Roman" w:hAnsi="Times New Roman"/>
          <w:sz w:val="24"/>
          <w:szCs w:val="24"/>
          <w:lang w:val="en-GB"/>
        </w:rPr>
        <w:t xml:space="preserve"> </w:t>
      </w:r>
      <w:r w:rsidR="007D109A" w:rsidRPr="007D109A">
        <w:rPr>
          <w:rFonts w:ascii="Times New Roman" w:hAnsi="Times New Roman"/>
          <w:sz w:val="24"/>
          <w:szCs w:val="24"/>
          <w:lang w:val="en-GB"/>
        </w:rPr>
        <w:t>(approximately USD</w:t>
      </w:r>
      <w:r w:rsidR="007D109A">
        <w:rPr>
          <w:rFonts w:ascii="Times New Roman" w:hAnsi="Times New Roman"/>
          <w:sz w:val="24"/>
          <w:szCs w:val="24"/>
          <w:lang w:val="en-GB"/>
        </w:rPr>
        <w:t xml:space="preserve"> 208)</w:t>
      </w:r>
      <w:r w:rsidR="00335C8A" w:rsidRPr="00977DFC">
        <w:rPr>
          <w:rFonts w:ascii="Times New Roman" w:hAnsi="Times New Roman"/>
          <w:sz w:val="24"/>
          <w:szCs w:val="24"/>
          <w:lang w:val="en-GB"/>
        </w:rPr>
        <w:t xml:space="preserve"> each on 29 May 2020. One of the fines </w:t>
      </w:r>
      <w:r w:rsidR="007D109A">
        <w:rPr>
          <w:rFonts w:ascii="Times New Roman" w:hAnsi="Times New Roman"/>
          <w:sz w:val="24"/>
          <w:szCs w:val="24"/>
          <w:lang w:val="en-GB"/>
        </w:rPr>
        <w:t>was</w:t>
      </w:r>
      <w:r w:rsidR="00335C8A" w:rsidRPr="00977DFC">
        <w:rPr>
          <w:rFonts w:ascii="Times New Roman" w:hAnsi="Times New Roman"/>
          <w:sz w:val="24"/>
          <w:szCs w:val="24"/>
          <w:lang w:val="en-GB"/>
        </w:rPr>
        <w:t xml:space="preserve"> cancelled</w:t>
      </w:r>
      <w:r w:rsidR="00157891">
        <w:rPr>
          <w:rFonts w:ascii="Times New Roman" w:hAnsi="Times New Roman"/>
          <w:sz w:val="24"/>
          <w:szCs w:val="24"/>
          <w:lang w:val="en-GB"/>
        </w:rPr>
        <w:t>,</w:t>
      </w:r>
      <w:r w:rsidR="00335C8A" w:rsidRPr="00977DFC">
        <w:rPr>
          <w:rFonts w:ascii="Times New Roman" w:hAnsi="Times New Roman"/>
          <w:sz w:val="24"/>
          <w:szCs w:val="24"/>
          <w:lang w:val="en-GB"/>
        </w:rPr>
        <w:t xml:space="preserve"> and the court has not </w:t>
      </w:r>
      <w:r w:rsidR="00157891">
        <w:rPr>
          <w:rFonts w:ascii="Times New Roman" w:hAnsi="Times New Roman"/>
          <w:sz w:val="24"/>
          <w:szCs w:val="24"/>
          <w:lang w:val="en-GB"/>
        </w:rPr>
        <w:t xml:space="preserve">yet </w:t>
      </w:r>
      <w:r w:rsidR="00335C8A" w:rsidRPr="00977DFC">
        <w:rPr>
          <w:rFonts w:ascii="Times New Roman" w:hAnsi="Times New Roman"/>
          <w:sz w:val="24"/>
          <w:szCs w:val="24"/>
          <w:lang w:val="en-GB"/>
        </w:rPr>
        <w:t xml:space="preserve">ruled on Mr. Ölgün’s </w:t>
      </w:r>
      <w:r w:rsidR="007D109A">
        <w:rPr>
          <w:rFonts w:ascii="Times New Roman" w:hAnsi="Times New Roman"/>
          <w:sz w:val="24"/>
          <w:szCs w:val="24"/>
          <w:lang w:val="en-GB"/>
        </w:rPr>
        <w:t>appeal against</w:t>
      </w:r>
      <w:r w:rsidR="00335C8A" w:rsidRPr="00977DFC">
        <w:rPr>
          <w:rFonts w:ascii="Times New Roman" w:hAnsi="Times New Roman"/>
          <w:sz w:val="24"/>
          <w:szCs w:val="24"/>
          <w:lang w:val="en-GB"/>
        </w:rPr>
        <w:t xml:space="preserve"> the other fine.</w:t>
      </w:r>
    </w:p>
    <w:p w14:paraId="75C40C81" w14:textId="77777777" w:rsidR="00892D16" w:rsidRPr="00501DBC" w:rsidRDefault="00A56A0F" w:rsidP="001B4E9A">
      <w:pPr>
        <w:pStyle w:val="ListParagraph"/>
        <w:numPr>
          <w:ilvl w:val="1"/>
          <w:numId w:val="6"/>
        </w:numPr>
        <w:topLinePunct/>
        <w:spacing w:after="240"/>
        <w:ind w:right="181"/>
        <w:jc w:val="both"/>
        <w:rPr>
          <w:rFonts w:ascii="Times New Roman" w:hAnsi="Times New Roman"/>
          <w:color w:val="FF0000"/>
          <w:sz w:val="24"/>
          <w:szCs w:val="24"/>
          <w:lang w:val="en-GB"/>
        </w:rPr>
      </w:pPr>
      <w:r w:rsidRPr="005B0845">
        <w:rPr>
          <w:rFonts w:ascii="Times New Roman" w:hAnsi="Times New Roman"/>
          <w:sz w:val="24"/>
          <w:szCs w:val="24"/>
          <w:lang w:val="en-GB"/>
        </w:rPr>
        <w:t>Mr</w:t>
      </w:r>
      <w:r w:rsidR="00582E74">
        <w:rPr>
          <w:rFonts w:ascii="Times New Roman" w:hAnsi="Times New Roman"/>
          <w:sz w:val="24"/>
          <w:szCs w:val="24"/>
          <w:lang w:val="en-GB"/>
        </w:rPr>
        <w:t>.</w:t>
      </w:r>
      <w:r w:rsidRPr="005B0845">
        <w:rPr>
          <w:rFonts w:ascii="Times New Roman" w:hAnsi="Times New Roman"/>
          <w:sz w:val="24"/>
          <w:szCs w:val="24"/>
          <w:lang w:val="en-GB"/>
        </w:rPr>
        <w:t xml:space="preserve"> Eren Faruk Tatlıeşme received an administrative penalty of TRY 4,078</w:t>
      </w:r>
      <w:r w:rsidR="005B0BCE">
        <w:rPr>
          <w:rFonts w:ascii="Times New Roman" w:hAnsi="Times New Roman"/>
          <w:sz w:val="24"/>
          <w:szCs w:val="24"/>
          <w:lang w:val="en-GB"/>
        </w:rPr>
        <w:t xml:space="preserve"> (approximately USD 510)</w:t>
      </w:r>
      <w:r w:rsidRPr="005B0845">
        <w:rPr>
          <w:rFonts w:ascii="Times New Roman" w:hAnsi="Times New Roman"/>
          <w:sz w:val="24"/>
          <w:szCs w:val="24"/>
          <w:lang w:val="en-GB"/>
        </w:rPr>
        <w:t xml:space="preserve"> in </w:t>
      </w:r>
      <w:r w:rsidR="002B30C1">
        <w:rPr>
          <w:rFonts w:ascii="Times New Roman" w:hAnsi="Times New Roman"/>
          <w:sz w:val="24"/>
          <w:szCs w:val="24"/>
          <w:lang w:val="en-GB"/>
        </w:rPr>
        <w:t>2015</w:t>
      </w:r>
      <w:r>
        <w:rPr>
          <w:rFonts w:ascii="Times New Roman" w:hAnsi="Times New Roman"/>
          <w:sz w:val="24"/>
          <w:szCs w:val="24"/>
          <w:lang w:val="en-GB"/>
        </w:rPr>
        <w:t xml:space="preserve"> </w:t>
      </w:r>
      <w:r w:rsidR="005B0BCE">
        <w:rPr>
          <w:rFonts w:ascii="Times New Roman" w:hAnsi="Times New Roman"/>
          <w:sz w:val="24"/>
          <w:szCs w:val="24"/>
          <w:lang w:val="en-GB"/>
        </w:rPr>
        <w:t>as</w:t>
      </w:r>
      <w:r>
        <w:rPr>
          <w:rFonts w:ascii="Times New Roman" w:hAnsi="Times New Roman"/>
          <w:sz w:val="24"/>
          <w:szCs w:val="24"/>
          <w:lang w:val="en-GB"/>
        </w:rPr>
        <w:t xml:space="preserve"> an enlistment evader</w:t>
      </w:r>
      <w:r w:rsidRPr="005B0845">
        <w:rPr>
          <w:rFonts w:ascii="Times New Roman" w:hAnsi="Times New Roman"/>
          <w:sz w:val="24"/>
          <w:szCs w:val="24"/>
          <w:lang w:val="en-GB"/>
        </w:rPr>
        <w:t>. He filed objections in court, but the court rejected the objections without any possibilit</w:t>
      </w:r>
      <w:r w:rsidR="005B0BCE">
        <w:rPr>
          <w:rFonts w:ascii="Times New Roman" w:hAnsi="Times New Roman"/>
          <w:sz w:val="24"/>
          <w:szCs w:val="24"/>
          <w:lang w:val="en-GB"/>
        </w:rPr>
        <w:t>y</w:t>
      </w:r>
      <w:r w:rsidRPr="005B0845">
        <w:rPr>
          <w:rFonts w:ascii="Times New Roman" w:hAnsi="Times New Roman"/>
          <w:sz w:val="24"/>
          <w:szCs w:val="24"/>
          <w:lang w:val="en-GB"/>
        </w:rPr>
        <w:t xml:space="preserve"> for appeal. </w:t>
      </w:r>
      <w:r>
        <w:rPr>
          <w:rFonts w:ascii="Times New Roman" w:hAnsi="Times New Roman"/>
          <w:sz w:val="24"/>
          <w:szCs w:val="24"/>
          <w:lang w:val="en-GB"/>
        </w:rPr>
        <w:t xml:space="preserve">On </w:t>
      </w:r>
      <w:r w:rsidR="00582E74">
        <w:rPr>
          <w:rFonts w:ascii="Times New Roman" w:hAnsi="Times New Roman"/>
          <w:sz w:val="24"/>
          <w:szCs w:val="24"/>
          <w:lang w:val="en-GB"/>
        </w:rPr>
        <w:t>9 April 2018, a</w:t>
      </w:r>
      <w:r w:rsidRPr="005B0845">
        <w:rPr>
          <w:rFonts w:ascii="Times New Roman" w:hAnsi="Times New Roman"/>
          <w:sz w:val="24"/>
          <w:szCs w:val="24"/>
          <w:lang w:val="en-GB"/>
        </w:rPr>
        <w:t xml:space="preserve"> prosecution was </w:t>
      </w:r>
      <w:r w:rsidR="00582E74">
        <w:rPr>
          <w:rFonts w:ascii="Times New Roman" w:hAnsi="Times New Roman"/>
          <w:sz w:val="24"/>
          <w:szCs w:val="24"/>
          <w:lang w:val="en-GB"/>
        </w:rPr>
        <w:t xml:space="preserve">again </w:t>
      </w:r>
      <w:r w:rsidRPr="005B0845">
        <w:rPr>
          <w:rFonts w:ascii="Times New Roman" w:hAnsi="Times New Roman"/>
          <w:sz w:val="24"/>
          <w:szCs w:val="24"/>
          <w:lang w:val="en-GB"/>
        </w:rPr>
        <w:t xml:space="preserve">initiated </w:t>
      </w:r>
      <w:r w:rsidR="00582E74">
        <w:rPr>
          <w:rFonts w:ascii="Times New Roman" w:hAnsi="Times New Roman"/>
          <w:sz w:val="24"/>
          <w:szCs w:val="24"/>
          <w:lang w:val="en-GB"/>
        </w:rPr>
        <w:t>against him</w:t>
      </w:r>
      <w:r w:rsidRPr="005B0845">
        <w:rPr>
          <w:rFonts w:ascii="Times New Roman" w:hAnsi="Times New Roman"/>
          <w:sz w:val="24"/>
          <w:szCs w:val="24"/>
          <w:lang w:val="en-GB"/>
        </w:rPr>
        <w:t xml:space="preserve">. On 3 April 2019, Mr. Tatlıeşme </w:t>
      </w:r>
      <w:r w:rsidR="007D109A">
        <w:rPr>
          <w:rFonts w:ascii="Times New Roman" w:hAnsi="Times New Roman"/>
          <w:sz w:val="24"/>
          <w:szCs w:val="24"/>
          <w:lang w:val="en-GB"/>
        </w:rPr>
        <w:t>received</w:t>
      </w:r>
      <w:r w:rsidR="001E0CB6">
        <w:rPr>
          <w:rFonts w:ascii="Times New Roman" w:hAnsi="Times New Roman"/>
          <w:sz w:val="24"/>
          <w:szCs w:val="24"/>
          <w:lang w:val="en-GB"/>
        </w:rPr>
        <w:t xml:space="preserve"> </w:t>
      </w:r>
      <w:r w:rsidR="00335C8A">
        <w:rPr>
          <w:rFonts w:ascii="Times New Roman" w:hAnsi="Times New Roman"/>
          <w:sz w:val="24"/>
          <w:szCs w:val="24"/>
          <w:lang w:val="en-GB"/>
        </w:rPr>
        <w:t xml:space="preserve">a suspended </w:t>
      </w:r>
      <w:r w:rsidRPr="005B0845">
        <w:rPr>
          <w:rFonts w:ascii="Times New Roman" w:hAnsi="Times New Roman"/>
          <w:sz w:val="24"/>
          <w:szCs w:val="24"/>
          <w:lang w:val="en-GB"/>
        </w:rPr>
        <w:t>five</w:t>
      </w:r>
      <w:r w:rsidR="001E0CB6">
        <w:rPr>
          <w:rFonts w:ascii="Times New Roman" w:hAnsi="Times New Roman"/>
          <w:sz w:val="24"/>
          <w:szCs w:val="24"/>
          <w:lang w:val="en-GB"/>
        </w:rPr>
        <w:t>-</w:t>
      </w:r>
      <w:r w:rsidRPr="005B0845">
        <w:rPr>
          <w:rFonts w:ascii="Times New Roman" w:hAnsi="Times New Roman"/>
          <w:sz w:val="24"/>
          <w:szCs w:val="24"/>
          <w:lang w:val="en-GB"/>
        </w:rPr>
        <w:t>month prison</w:t>
      </w:r>
      <w:r w:rsidR="001E0CB6">
        <w:rPr>
          <w:rFonts w:ascii="Times New Roman" w:hAnsi="Times New Roman"/>
          <w:sz w:val="24"/>
          <w:szCs w:val="24"/>
          <w:lang w:val="en-GB"/>
        </w:rPr>
        <w:t xml:space="preserve"> sentence</w:t>
      </w:r>
      <w:r w:rsidRPr="005B0845">
        <w:rPr>
          <w:rFonts w:ascii="Times New Roman" w:hAnsi="Times New Roman"/>
          <w:sz w:val="24"/>
          <w:szCs w:val="24"/>
          <w:lang w:val="en-GB"/>
        </w:rPr>
        <w:t xml:space="preserve">. </w:t>
      </w:r>
    </w:p>
    <w:p w14:paraId="7D209497" w14:textId="77777777" w:rsidR="00892D16" w:rsidRDefault="00A56A0F" w:rsidP="00892D16">
      <w:pPr>
        <w:pStyle w:val="ListParagraph"/>
        <w:numPr>
          <w:ilvl w:val="1"/>
          <w:numId w:val="6"/>
        </w:numPr>
        <w:topLinePunct/>
        <w:spacing w:after="240"/>
        <w:ind w:right="181"/>
        <w:jc w:val="both"/>
        <w:rPr>
          <w:rFonts w:ascii="Times New Roman" w:hAnsi="Times New Roman"/>
          <w:sz w:val="24"/>
          <w:szCs w:val="24"/>
          <w:lang w:val="en-GB"/>
        </w:rPr>
      </w:pPr>
      <w:r>
        <w:rPr>
          <w:rFonts w:ascii="Times New Roman" w:hAnsi="Times New Roman"/>
          <w:sz w:val="24"/>
          <w:szCs w:val="24"/>
          <w:lang w:val="en-GB"/>
        </w:rPr>
        <w:t>On 9 April 2019, Mr</w:t>
      </w:r>
      <w:r w:rsidR="00582E74">
        <w:rPr>
          <w:rFonts w:ascii="Times New Roman" w:hAnsi="Times New Roman"/>
          <w:sz w:val="24"/>
          <w:szCs w:val="24"/>
          <w:lang w:val="en-GB"/>
        </w:rPr>
        <w:t>.</w:t>
      </w:r>
      <w:r>
        <w:rPr>
          <w:rFonts w:ascii="Times New Roman" w:hAnsi="Times New Roman"/>
          <w:sz w:val="24"/>
          <w:szCs w:val="24"/>
          <w:lang w:val="en-GB"/>
        </w:rPr>
        <w:t xml:space="preserve"> Mesut Tunçbüker </w:t>
      </w:r>
      <w:r w:rsidR="00D4757B" w:rsidRPr="001E0CB6">
        <w:rPr>
          <w:rFonts w:ascii="Times New Roman" w:hAnsi="Times New Roman"/>
          <w:sz w:val="24"/>
          <w:szCs w:val="24"/>
          <w:lang w:val="en-GB"/>
        </w:rPr>
        <w:t>received</w:t>
      </w:r>
      <w:r w:rsidR="00D4757B">
        <w:rPr>
          <w:rFonts w:ascii="Times New Roman" w:hAnsi="Times New Roman"/>
          <w:sz w:val="24"/>
          <w:szCs w:val="24"/>
          <w:lang w:val="en-GB"/>
        </w:rPr>
        <w:t xml:space="preserve"> </w:t>
      </w:r>
      <w:r>
        <w:rPr>
          <w:rFonts w:ascii="Times New Roman" w:hAnsi="Times New Roman"/>
          <w:sz w:val="24"/>
          <w:szCs w:val="24"/>
          <w:lang w:val="en-GB"/>
        </w:rPr>
        <w:t xml:space="preserve">an administrative fine of TRY 5,115 (approximately USD 930) for refusal to </w:t>
      </w:r>
      <w:r>
        <w:rPr>
          <w:rFonts w:ascii="Times New Roman" w:hAnsi="Times New Roman"/>
          <w:sz w:val="24"/>
          <w:szCs w:val="24"/>
          <w:lang w:val="en-GB"/>
        </w:rPr>
        <w:t>serve in the military</w:t>
      </w:r>
      <w:r w:rsidR="005B0BCE">
        <w:rPr>
          <w:rFonts w:ascii="Times New Roman" w:hAnsi="Times New Roman"/>
          <w:sz w:val="24"/>
          <w:szCs w:val="24"/>
          <w:lang w:val="en-GB"/>
        </w:rPr>
        <w:t>.</w:t>
      </w:r>
      <w:r>
        <w:rPr>
          <w:rFonts w:ascii="Times New Roman" w:hAnsi="Times New Roman"/>
          <w:sz w:val="24"/>
          <w:szCs w:val="24"/>
          <w:lang w:val="en-GB"/>
        </w:rPr>
        <w:t xml:space="preserve"> </w:t>
      </w:r>
      <w:r w:rsidR="005B0BCE">
        <w:rPr>
          <w:rFonts w:ascii="Times New Roman" w:hAnsi="Times New Roman"/>
          <w:sz w:val="24"/>
          <w:szCs w:val="24"/>
          <w:lang w:val="en-GB"/>
        </w:rPr>
        <w:t xml:space="preserve">The </w:t>
      </w:r>
      <w:r>
        <w:rPr>
          <w:rFonts w:ascii="Times New Roman" w:hAnsi="Times New Roman"/>
          <w:sz w:val="24"/>
          <w:szCs w:val="24"/>
          <w:lang w:val="en-GB"/>
        </w:rPr>
        <w:t xml:space="preserve">authorities accused him of evading enlistment, even though he had reported for his call-up and had submitted a petition to be recognized as a conscientious objector. His appeal </w:t>
      </w:r>
      <w:r w:rsidR="005B0BCE">
        <w:rPr>
          <w:rFonts w:ascii="Times New Roman" w:hAnsi="Times New Roman"/>
          <w:sz w:val="24"/>
          <w:szCs w:val="24"/>
          <w:lang w:val="en-GB"/>
        </w:rPr>
        <w:t>was</w:t>
      </w:r>
      <w:r w:rsidR="00582E74">
        <w:rPr>
          <w:rFonts w:ascii="Times New Roman" w:hAnsi="Times New Roman"/>
          <w:sz w:val="24"/>
          <w:szCs w:val="24"/>
          <w:lang w:val="en-GB"/>
        </w:rPr>
        <w:t xml:space="preserve"> rejected</w:t>
      </w:r>
      <w:r>
        <w:rPr>
          <w:rFonts w:ascii="Times New Roman" w:hAnsi="Times New Roman"/>
          <w:sz w:val="24"/>
          <w:szCs w:val="24"/>
          <w:lang w:val="en-GB"/>
        </w:rPr>
        <w:t>.</w:t>
      </w:r>
    </w:p>
    <w:p w14:paraId="65F15C10" w14:textId="77777777" w:rsidR="00892D16" w:rsidRDefault="00A56A0F" w:rsidP="00892D16">
      <w:pPr>
        <w:pStyle w:val="ListParagraph"/>
        <w:numPr>
          <w:ilvl w:val="1"/>
          <w:numId w:val="6"/>
        </w:numPr>
        <w:topLinePunct/>
        <w:spacing w:after="240"/>
        <w:ind w:right="181"/>
        <w:jc w:val="both"/>
        <w:rPr>
          <w:rFonts w:ascii="Times New Roman" w:hAnsi="Times New Roman"/>
          <w:sz w:val="24"/>
          <w:szCs w:val="24"/>
          <w:lang w:val="en-GB"/>
        </w:rPr>
      </w:pPr>
      <w:r>
        <w:rPr>
          <w:rFonts w:ascii="Times New Roman" w:hAnsi="Times New Roman"/>
          <w:sz w:val="24"/>
          <w:szCs w:val="24"/>
          <w:lang w:val="en-GB"/>
        </w:rPr>
        <w:t>Mr</w:t>
      </w:r>
      <w:r w:rsidR="00582E74">
        <w:rPr>
          <w:rFonts w:ascii="Times New Roman" w:hAnsi="Times New Roman"/>
          <w:sz w:val="24"/>
          <w:szCs w:val="24"/>
          <w:lang w:val="en-GB"/>
        </w:rPr>
        <w:t>.</w:t>
      </w:r>
      <w:r>
        <w:rPr>
          <w:rFonts w:ascii="Times New Roman" w:hAnsi="Times New Roman"/>
          <w:sz w:val="24"/>
          <w:szCs w:val="24"/>
          <w:lang w:val="en-GB"/>
        </w:rPr>
        <w:t xml:space="preserve"> Mustafa Türközü </w:t>
      </w:r>
      <w:r w:rsidR="002B30C1" w:rsidRPr="00825382">
        <w:rPr>
          <w:rFonts w:ascii="Times New Roman" w:hAnsi="Times New Roman"/>
          <w:sz w:val="24"/>
          <w:szCs w:val="24"/>
          <w:lang w:val="en-GB"/>
        </w:rPr>
        <w:t>received</w:t>
      </w:r>
      <w:r w:rsidR="002B30C1" w:rsidRPr="002B30C1">
        <w:rPr>
          <w:rFonts w:ascii="Times New Roman" w:hAnsi="Times New Roman"/>
          <w:sz w:val="24"/>
          <w:szCs w:val="24"/>
          <w:lang w:val="en-GB"/>
        </w:rPr>
        <w:t xml:space="preserve"> </w:t>
      </w:r>
      <w:r w:rsidR="00D4757B">
        <w:rPr>
          <w:rFonts w:ascii="Times New Roman" w:hAnsi="Times New Roman"/>
          <w:sz w:val="24"/>
          <w:szCs w:val="24"/>
          <w:lang w:val="en-GB"/>
        </w:rPr>
        <w:t xml:space="preserve">an </w:t>
      </w:r>
      <w:r>
        <w:rPr>
          <w:rFonts w:ascii="Times New Roman" w:hAnsi="Times New Roman"/>
          <w:sz w:val="24"/>
          <w:szCs w:val="24"/>
          <w:lang w:val="en-GB"/>
        </w:rPr>
        <w:t>admini</w:t>
      </w:r>
      <w:r>
        <w:rPr>
          <w:rFonts w:ascii="Times New Roman" w:hAnsi="Times New Roman"/>
          <w:sz w:val="24"/>
          <w:szCs w:val="24"/>
          <w:lang w:val="en-GB"/>
        </w:rPr>
        <w:t>strative fine of TRY 28,971 (</w:t>
      </w:r>
      <w:r w:rsidR="005B0BCE">
        <w:rPr>
          <w:rFonts w:ascii="Times New Roman" w:hAnsi="Times New Roman"/>
          <w:sz w:val="24"/>
          <w:szCs w:val="24"/>
          <w:lang w:val="en-GB"/>
        </w:rPr>
        <w:t xml:space="preserve">approximately </w:t>
      </w:r>
      <w:r>
        <w:rPr>
          <w:rFonts w:ascii="Times New Roman" w:hAnsi="Times New Roman"/>
          <w:sz w:val="24"/>
          <w:szCs w:val="24"/>
          <w:lang w:val="en-GB"/>
        </w:rPr>
        <w:t>USD 5,250) on 15 November 2018 for refusal to serve in the military</w:t>
      </w:r>
      <w:r w:rsidR="005B0BCE">
        <w:rPr>
          <w:rFonts w:ascii="Times New Roman" w:hAnsi="Times New Roman"/>
          <w:sz w:val="24"/>
          <w:szCs w:val="24"/>
          <w:lang w:val="en-GB"/>
        </w:rPr>
        <w:t>.</w:t>
      </w:r>
      <w:r>
        <w:rPr>
          <w:rFonts w:ascii="Times New Roman" w:hAnsi="Times New Roman"/>
          <w:sz w:val="24"/>
          <w:szCs w:val="24"/>
          <w:lang w:val="en-GB"/>
        </w:rPr>
        <w:t xml:space="preserve"> </w:t>
      </w:r>
      <w:r w:rsidR="005B0BCE">
        <w:rPr>
          <w:rFonts w:ascii="Times New Roman" w:hAnsi="Times New Roman"/>
          <w:sz w:val="24"/>
          <w:szCs w:val="24"/>
          <w:lang w:val="en-GB"/>
        </w:rPr>
        <w:t xml:space="preserve">The </w:t>
      </w:r>
      <w:r>
        <w:rPr>
          <w:rFonts w:ascii="Times New Roman" w:hAnsi="Times New Roman"/>
          <w:sz w:val="24"/>
          <w:szCs w:val="24"/>
          <w:lang w:val="en-GB"/>
        </w:rPr>
        <w:t xml:space="preserve">authorities accused him of evading enlistment, even though he had reported for his call-up and had submitted a petition to be recognized as </w:t>
      </w:r>
      <w:r>
        <w:rPr>
          <w:rFonts w:ascii="Times New Roman" w:hAnsi="Times New Roman"/>
          <w:sz w:val="24"/>
          <w:szCs w:val="24"/>
          <w:lang w:val="en-GB"/>
        </w:rPr>
        <w:t xml:space="preserve">a conscientious objector. </w:t>
      </w:r>
      <w:r w:rsidR="001E0CB6">
        <w:rPr>
          <w:rFonts w:ascii="Times New Roman" w:hAnsi="Times New Roman"/>
          <w:sz w:val="24"/>
          <w:szCs w:val="24"/>
          <w:lang w:val="en-GB"/>
        </w:rPr>
        <w:t xml:space="preserve">His </w:t>
      </w:r>
      <w:r w:rsidR="007D109A">
        <w:rPr>
          <w:rFonts w:ascii="Times New Roman" w:hAnsi="Times New Roman"/>
          <w:sz w:val="24"/>
          <w:szCs w:val="24"/>
          <w:lang w:val="en-GB"/>
        </w:rPr>
        <w:t>appeal against</w:t>
      </w:r>
      <w:r w:rsidR="001E0CB6">
        <w:rPr>
          <w:rFonts w:ascii="Times New Roman" w:hAnsi="Times New Roman"/>
          <w:sz w:val="24"/>
          <w:szCs w:val="24"/>
          <w:lang w:val="en-GB"/>
        </w:rPr>
        <w:t xml:space="preserve"> the fine </w:t>
      </w:r>
      <w:r w:rsidR="007D109A">
        <w:rPr>
          <w:rFonts w:ascii="Times New Roman" w:hAnsi="Times New Roman"/>
          <w:sz w:val="24"/>
          <w:szCs w:val="24"/>
          <w:lang w:val="en-GB"/>
        </w:rPr>
        <w:t>was</w:t>
      </w:r>
      <w:r w:rsidR="001E0CB6">
        <w:rPr>
          <w:rFonts w:ascii="Times New Roman" w:hAnsi="Times New Roman"/>
          <w:sz w:val="24"/>
          <w:szCs w:val="24"/>
          <w:lang w:val="en-GB"/>
        </w:rPr>
        <w:t xml:space="preserve"> rejected on</w:t>
      </w:r>
      <w:r w:rsidRPr="001E0CB6">
        <w:rPr>
          <w:rFonts w:ascii="Times New Roman" w:hAnsi="Times New Roman"/>
          <w:sz w:val="24"/>
          <w:szCs w:val="24"/>
          <w:lang w:val="en-GB"/>
        </w:rPr>
        <w:t xml:space="preserve"> 19</w:t>
      </w:r>
      <w:r w:rsidR="007D109A">
        <w:rPr>
          <w:rFonts w:ascii="Times New Roman" w:hAnsi="Times New Roman"/>
          <w:sz w:val="24"/>
          <w:szCs w:val="24"/>
          <w:lang w:val="en-GB"/>
        </w:rPr>
        <w:t> </w:t>
      </w:r>
      <w:r w:rsidRPr="001E0CB6">
        <w:rPr>
          <w:rFonts w:ascii="Times New Roman" w:hAnsi="Times New Roman"/>
          <w:sz w:val="24"/>
          <w:szCs w:val="24"/>
          <w:lang w:val="en-GB"/>
        </w:rPr>
        <w:t>February 2019</w:t>
      </w:r>
      <w:r w:rsidR="005B0BCE" w:rsidRPr="001E0CB6">
        <w:rPr>
          <w:rFonts w:ascii="Times New Roman" w:hAnsi="Times New Roman"/>
          <w:sz w:val="24"/>
          <w:szCs w:val="24"/>
          <w:lang w:val="en-GB"/>
        </w:rPr>
        <w:t>.</w:t>
      </w:r>
      <w:r>
        <w:rPr>
          <w:rFonts w:ascii="Times New Roman" w:hAnsi="Times New Roman"/>
          <w:sz w:val="24"/>
          <w:szCs w:val="24"/>
          <w:lang w:val="en-GB"/>
        </w:rPr>
        <w:t xml:space="preserve"> </w:t>
      </w:r>
      <w:r w:rsidR="005B0BCE">
        <w:rPr>
          <w:rFonts w:ascii="Times New Roman" w:hAnsi="Times New Roman"/>
          <w:sz w:val="24"/>
          <w:szCs w:val="24"/>
          <w:lang w:val="en-GB"/>
        </w:rPr>
        <w:t xml:space="preserve">A </w:t>
      </w:r>
      <w:r>
        <w:rPr>
          <w:rFonts w:ascii="Times New Roman" w:hAnsi="Times New Roman"/>
          <w:sz w:val="24"/>
          <w:szCs w:val="24"/>
          <w:lang w:val="en-GB"/>
        </w:rPr>
        <w:t>complaint was submitted to the Constitutional Court on 18 March 2019.</w:t>
      </w:r>
    </w:p>
    <w:p w14:paraId="7765D1B6" w14:textId="77777777" w:rsidR="00D42C92" w:rsidRDefault="00A56A0F" w:rsidP="00892D16">
      <w:pPr>
        <w:pStyle w:val="ListParagraph"/>
        <w:numPr>
          <w:ilvl w:val="1"/>
          <w:numId w:val="6"/>
        </w:numPr>
        <w:topLinePunct/>
        <w:spacing w:after="240"/>
        <w:ind w:right="181"/>
        <w:jc w:val="both"/>
        <w:rPr>
          <w:rFonts w:ascii="Times New Roman" w:hAnsi="Times New Roman"/>
          <w:sz w:val="24"/>
          <w:szCs w:val="24"/>
          <w:lang w:val="en-GB"/>
        </w:rPr>
      </w:pPr>
      <w:r>
        <w:rPr>
          <w:rFonts w:ascii="Times New Roman" w:hAnsi="Times New Roman"/>
          <w:sz w:val="24"/>
          <w:szCs w:val="24"/>
          <w:lang w:val="en-GB"/>
        </w:rPr>
        <w:t xml:space="preserve">Mr. Caner Atlı </w:t>
      </w:r>
      <w:bookmarkStart w:id="9" w:name="_Hlk68792810"/>
      <w:r>
        <w:rPr>
          <w:rFonts w:ascii="Times New Roman" w:hAnsi="Times New Roman"/>
          <w:sz w:val="24"/>
          <w:szCs w:val="24"/>
          <w:lang w:val="en-GB"/>
        </w:rPr>
        <w:t>received two administrative fines</w:t>
      </w:r>
      <w:r w:rsidR="00766561">
        <w:rPr>
          <w:rFonts w:ascii="Times New Roman" w:hAnsi="Times New Roman"/>
          <w:sz w:val="24"/>
          <w:szCs w:val="24"/>
          <w:lang w:val="en-GB"/>
        </w:rPr>
        <w:t>,</w:t>
      </w:r>
      <w:r>
        <w:rPr>
          <w:rFonts w:ascii="Times New Roman" w:hAnsi="Times New Roman"/>
          <w:sz w:val="24"/>
          <w:szCs w:val="24"/>
          <w:lang w:val="en-GB"/>
        </w:rPr>
        <w:t xml:space="preserve"> of TRY </w:t>
      </w:r>
      <w:bookmarkEnd w:id="9"/>
      <w:r>
        <w:rPr>
          <w:rFonts w:ascii="Times New Roman" w:hAnsi="Times New Roman"/>
          <w:sz w:val="24"/>
          <w:szCs w:val="24"/>
          <w:lang w:val="en-GB"/>
        </w:rPr>
        <w:t>186</w:t>
      </w:r>
      <w:r w:rsidR="007D109A">
        <w:rPr>
          <w:rFonts w:ascii="Times New Roman" w:hAnsi="Times New Roman"/>
          <w:sz w:val="24"/>
          <w:szCs w:val="24"/>
          <w:lang w:val="en-GB"/>
        </w:rPr>
        <w:t xml:space="preserve"> (approximately USD 20)</w:t>
      </w:r>
      <w:r>
        <w:rPr>
          <w:rFonts w:ascii="Times New Roman" w:hAnsi="Times New Roman"/>
          <w:sz w:val="24"/>
          <w:szCs w:val="24"/>
          <w:lang w:val="en-GB"/>
        </w:rPr>
        <w:t xml:space="preserve"> </w:t>
      </w:r>
      <w:r w:rsidR="006A1C6D">
        <w:rPr>
          <w:rFonts w:ascii="Times New Roman" w:hAnsi="Times New Roman"/>
          <w:sz w:val="24"/>
          <w:szCs w:val="24"/>
          <w:lang w:val="en-GB"/>
        </w:rPr>
        <w:t xml:space="preserve">and </w:t>
      </w:r>
      <w:r w:rsidR="00766561">
        <w:rPr>
          <w:rFonts w:ascii="Times New Roman" w:hAnsi="Times New Roman"/>
          <w:sz w:val="24"/>
          <w:szCs w:val="24"/>
          <w:lang w:val="en-GB"/>
        </w:rPr>
        <w:t xml:space="preserve">of </w:t>
      </w:r>
      <w:r w:rsidR="006A1C6D">
        <w:rPr>
          <w:rFonts w:ascii="Times New Roman" w:hAnsi="Times New Roman"/>
          <w:sz w:val="24"/>
          <w:szCs w:val="24"/>
          <w:lang w:val="en-GB"/>
        </w:rPr>
        <w:t>TRY 830</w:t>
      </w:r>
      <w:r w:rsidR="007D109A">
        <w:rPr>
          <w:rFonts w:ascii="Times New Roman" w:hAnsi="Times New Roman"/>
          <w:sz w:val="24"/>
          <w:szCs w:val="24"/>
          <w:lang w:val="en-GB"/>
        </w:rPr>
        <w:t xml:space="preserve"> (approximately USD 100)</w:t>
      </w:r>
      <w:r w:rsidR="00766561">
        <w:rPr>
          <w:rFonts w:ascii="Times New Roman" w:hAnsi="Times New Roman"/>
          <w:sz w:val="24"/>
          <w:szCs w:val="24"/>
          <w:lang w:val="en-GB"/>
        </w:rPr>
        <w:t>,</w:t>
      </w:r>
      <w:r w:rsidR="006A1C6D">
        <w:rPr>
          <w:rFonts w:ascii="Times New Roman" w:hAnsi="Times New Roman"/>
          <w:sz w:val="24"/>
          <w:szCs w:val="24"/>
          <w:lang w:val="en-GB"/>
        </w:rPr>
        <w:t xml:space="preserve"> </w:t>
      </w:r>
      <w:r>
        <w:rPr>
          <w:rFonts w:ascii="Times New Roman" w:hAnsi="Times New Roman"/>
          <w:sz w:val="24"/>
          <w:szCs w:val="24"/>
          <w:lang w:val="en-GB"/>
        </w:rPr>
        <w:t xml:space="preserve">on 29 February 2020. </w:t>
      </w:r>
      <w:r w:rsidR="00D77E0E">
        <w:rPr>
          <w:rFonts w:ascii="Times New Roman" w:hAnsi="Times New Roman"/>
          <w:sz w:val="24"/>
          <w:szCs w:val="24"/>
          <w:lang w:val="en-GB"/>
        </w:rPr>
        <w:t>T</w:t>
      </w:r>
      <w:r>
        <w:rPr>
          <w:rFonts w:ascii="Times New Roman" w:hAnsi="Times New Roman"/>
          <w:sz w:val="24"/>
          <w:szCs w:val="24"/>
          <w:lang w:val="en-GB"/>
        </w:rPr>
        <w:t>he fine</w:t>
      </w:r>
      <w:r w:rsidR="00D77E0E">
        <w:rPr>
          <w:rFonts w:ascii="Times New Roman" w:hAnsi="Times New Roman"/>
          <w:sz w:val="24"/>
          <w:szCs w:val="24"/>
          <w:lang w:val="en-GB"/>
        </w:rPr>
        <w:t xml:space="preserve"> of TRY 186 </w:t>
      </w:r>
      <w:r>
        <w:rPr>
          <w:rFonts w:ascii="Times New Roman" w:hAnsi="Times New Roman"/>
          <w:sz w:val="24"/>
          <w:szCs w:val="24"/>
          <w:lang w:val="en-GB"/>
        </w:rPr>
        <w:t xml:space="preserve">has been annulled. The court has not </w:t>
      </w:r>
      <w:r w:rsidR="004E7F68">
        <w:rPr>
          <w:rFonts w:ascii="Times New Roman" w:hAnsi="Times New Roman"/>
          <w:sz w:val="24"/>
          <w:szCs w:val="24"/>
          <w:lang w:val="en-GB"/>
        </w:rPr>
        <w:t xml:space="preserve">yet </w:t>
      </w:r>
      <w:r>
        <w:rPr>
          <w:rFonts w:ascii="Times New Roman" w:hAnsi="Times New Roman"/>
          <w:sz w:val="24"/>
          <w:szCs w:val="24"/>
          <w:lang w:val="en-GB"/>
        </w:rPr>
        <w:t xml:space="preserve">ruled on his </w:t>
      </w:r>
      <w:r w:rsidR="004E7F68">
        <w:rPr>
          <w:rFonts w:ascii="Times New Roman" w:hAnsi="Times New Roman"/>
          <w:sz w:val="24"/>
          <w:szCs w:val="24"/>
          <w:lang w:val="en-GB"/>
        </w:rPr>
        <w:t>appeal against</w:t>
      </w:r>
      <w:r>
        <w:rPr>
          <w:rFonts w:ascii="Times New Roman" w:hAnsi="Times New Roman"/>
          <w:sz w:val="24"/>
          <w:szCs w:val="24"/>
          <w:lang w:val="en-GB"/>
        </w:rPr>
        <w:t xml:space="preserve"> the </w:t>
      </w:r>
      <w:r w:rsidR="004E7F68">
        <w:rPr>
          <w:rFonts w:ascii="Times New Roman" w:hAnsi="Times New Roman"/>
          <w:sz w:val="24"/>
          <w:szCs w:val="24"/>
          <w:lang w:val="en-GB"/>
        </w:rPr>
        <w:t xml:space="preserve">larger </w:t>
      </w:r>
      <w:r>
        <w:rPr>
          <w:rFonts w:ascii="Times New Roman" w:hAnsi="Times New Roman"/>
          <w:sz w:val="24"/>
          <w:szCs w:val="24"/>
          <w:lang w:val="en-GB"/>
        </w:rPr>
        <w:t xml:space="preserve">fine. </w:t>
      </w:r>
    </w:p>
    <w:p w14:paraId="182B35A5" w14:textId="77777777" w:rsidR="00D42C92" w:rsidRDefault="00A56A0F" w:rsidP="00892D16">
      <w:pPr>
        <w:pStyle w:val="ListParagraph"/>
        <w:numPr>
          <w:ilvl w:val="1"/>
          <w:numId w:val="6"/>
        </w:numPr>
        <w:topLinePunct/>
        <w:spacing w:after="240"/>
        <w:ind w:right="181"/>
        <w:jc w:val="both"/>
        <w:rPr>
          <w:rFonts w:ascii="Times New Roman" w:hAnsi="Times New Roman"/>
          <w:sz w:val="24"/>
          <w:szCs w:val="24"/>
          <w:lang w:val="en-GB"/>
        </w:rPr>
      </w:pPr>
      <w:r>
        <w:rPr>
          <w:rFonts w:ascii="Times New Roman" w:hAnsi="Times New Roman"/>
          <w:sz w:val="24"/>
          <w:szCs w:val="24"/>
          <w:lang w:val="en-GB"/>
        </w:rPr>
        <w:t xml:space="preserve">Mr. Şefik Avcı </w:t>
      </w:r>
      <w:r w:rsidRPr="00D42C92">
        <w:rPr>
          <w:rFonts w:ascii="Times New Roman" w:hAnsi="Times New Roman"/>
          <w:sz w:val="24"/>
          <w:szCs w:val="24"/>
          <w:lang w:val="en-GB"/>
        </w:rPr>
        <w:t xml:space="preserve">received </w:t>
      </w:r>
      <w:r>
        <w:rPr>
          <w:rFonts w:ascii="Times New Roman" w:hAnsi="Times New Roman"/>
          <w:sz w:val="24"/>
          <w:szCs w:val="24"/>
          <w:lang w:val="en-GB"/>
        </w:rPr>
        <w:t xml:space="preserve">an </w:t>
      </w:r>
      <w:r w:rsidRPr="00D42C92">
        <w:rPr>
          <w:rFonts w:ascii="Times New Roman" w:hAnsi="Times New Roman"/>
          <w:sz w:val="24"/>
          <w:szCs w:val="24"/>
          <w:lang w:val="en-GB"/>
        </w:rPr>
        <w:t>administrative fine of TRY 6,768</w:t>
      </w:r>
      <w:r>
        <w:rPr>
          <w:rFonts w:ascii="Times New Roman" w:hAnsi="Times New Roman"/>
          <w:sz w:val="24"/>
          <w:szCs w:val="24"/>
          <w:lang w:val="en-GB"/>
        </w:rPr>
        <w:t xml:space="preserve"> </w:t>
      </w:r>
      <w:r w:rsidR="007D109A" w:rsidRPr="007D109A">
        <w:rPr>
          <w:rFonts w:ascii="Times New Roman" w:hAnsi="Times New Roman"/>
          <w:sz w:val="24"/>
          <w:szCs w:val="24"/>
          <w:lang w:val="en-GB"/>
        </w:rPr>
        <w:t xml:space="preserve">(approximately USD </w:t>
      </w:r>
      <w:r w:rsidR="007D109A">
        <w:rPr>
          <w:rFonts w:ascii="Times New Roman" w:hAnsi="Times New Roman"/>
          <w:sz w:val="24"/>
          <w:szCs w:val="24"/>
          <w:lang w:val="en-GB"/>
        </w:rPr>
        <w:t xml:space="preserve">827) </w:t>
      </w:r>
      <w:r>
        <w:rPr>
          <w:rFonts w:ascii="Times New Roman" w:hAnsi="Times New Roman"/>
          <w:sz w:val="24"/>
          <w:szCs w:val="24"/>
          <w:lang w:val="en-GB"/>
        </w:rPr>
        <w:t>on 10</w:t>
      </w:r>
      <w:r w:rsidR="002F41BA">
        <w:rPr>
          <w:rFonts w:ascii="Times New Roman" w:hAnsi="Times New Roman"/>
          <w:sz w:val="24"/>
          <w:szCs w:val="24"/>
          <w:lang w:val="en-GB"/>
        </w:rPr>
        <w:t> </w:t>
      </w:r>
      <w:r>
        <w:rPr>
          <w:rFonts w:ascii="Times New Roman" w:hAnsi="Times New Roman"/>
          <w:sz w:val="24"/>
          <w:szCs w:val="24"/>
          <w:lang w:val="en-GB"/>
        </w:rPr>
        <w:t>March 202</w:t>
      </w:r>
      <w:r>
        <w:rPr>
          <w:rFonts w:ascii="Times New Roman" w:hAnsi="Times New Roman"/>
          <w:sz w:val="24"/>
          <w:szCs w:val="24"/>
          <w:lang w:val="en-GB"/>
        </w:rPr>
        <w:t xml:space="preserve">0. His </w:t>
      </w:r>
      <w:r w:rsidR="004E7F68">
        <w:rPr>
          <w:rFonts w:ascii="Times New Roman" w:hAnsi="Times New Roman"/>
          <w:sz w:val="24"/>
          <w:szCs w:val="24"/>
          <w:lang w:val="en-GB"/>
        </w:rPr>
        <w:t xml:space="preserve">appeal </w:t>
      </w:r>
      <w:r>
        <w:rPr>
          <w:rFonts w:ascii="Times New Roman" w:hAnsi="Times New Roman"/>
          <w:sz w:val="24"/>
          <w:szCs w:val="24"/>
          <w:lang w:val="en-GB"/>
        </w:rPr>
        <w:t>ha</w:t>
      </w:r>
      <w:r w:rsidR="004E7F68">
        <w:rPr>
          <w:rFonts w:ascii="Times New Roman" w:hAnsi="Times New Roman"/>
          <w:sz w:val="24"/>
          <w:szCs w:val="24"/>
          <w:lang w:val="en-GB"/>
        </w:rPr>
        <w:t>s</w:t>
      </w:r>
      <w:r>
        <w:rPr>
          <w:rFonts w:ascii="Times New Roman" w:hAnsi="Times New Roman"/>
          <w:sz w:val="24"/>
          <w:szCs w:val="24"/>
          <w:lang w:val="en-GB"/>
        </w:rPr>
        <w:t xml:space="preserve"> been rejected. </w:t>
      </w:r>
    </w:p>
    <w:p w14:paraId="4CB5BE9A" w14:textId="77777777" w:rsidR="00D42C92" w:rsidRDefault="00A56A0F" w:rsidP="00892D16">
      <w:pPr>
        <w:pStyle w:val="ListParagraph"/>
        <w:numPr>
          <w:ilvl w:val="1"/>
          <w:numId w:val="6"/>
        </w:numPr>
        <w:topLinePunct/>
        <w:spacing w:after="240"/>
        <w:ind w:right="181"/>
        <w:jc w:val="both"/>
        <w:rPr>
          <w:rFonts w:ascii="Times New Roman" w:hAnsi="Times New Roman"/>
          <w:sz w:val="24"/>
          <w:szCs w:val="24"/>
          <w:lang w:val="en-GB"/>
        </w:rPr>
      </w:pPr>
      <w:r>
        <w:rPr>
          <w:rFonts w:ascii="Times New Roman" w:hAnsi="Times New Roman"/>
          <w:sz w:val="24"/>
          <w:szCs w:val="24"/>
          <w:lang w:val="en-GB"/>
        </w:rPr>
        <w:t>An indictment was prepared against Mr. Serdar Çobanlar as an enlistment evader on 17</w:t>
      </w:r>
      <w:r w:rsidR="002F41BA">
        <w:rPr>
          <w:rFonts w:ascii="Times New Roman" w:hAnsi="Times New Roman"/>
          <w:sz w:val="24"/>
          <w:szCs w:val="24"/>
          <w:lang w:val="en-GB"/>
        </w:rPr>
        <w:t> </w:t>
      </w:r>
      <w:r>
        <w:rPr>
          <w:rFonts w:ascii="Times New Roman" w:hAnsi="Times New Roman"/>
          <w:sz w:val="24"/>
          <w:szCs w:val="24"/>
          <w:lang w:val="en-GB"/>
        </w:rPr>
        <w:t xml:space="preserve">October 2019. The trial continues. </w:t>
      </w:r>
    </w:p>
    <w:p w14:paraId="735DF49B" w14:textId="77777777" w:rsidR="00D42C92" w:rsidRDefault="00A56A0F" w:rsidP="00892D16">
      <w:pPr>
        <w:pStyle w:val="ListParagraph"/>
        <w:numPr>
          <w:ilvl w:val="1"/>
          <w:numId w:val="6"/>
        </w:numPr>
        <w:topLinePunct/>
        <w:spacing w:after="240"/>
        <w:ind w:right="181"/>
        <w:jc w:val="both"/>
        <w:rPr>
          <w:rFonts w:ascii="Times New Roman" w:hAnsi="Times New Roman"/>
          <w:sz w:val="24"/>
          <w:szCs w:val="24"/>
          <w:lang w:val="en-GB"/>
        </w:rPr>
      </w:pPr>
      <w:r>
        <w:rPr>
          <w:rFonts w:ascii="Times New Roman" w:hAnsi="Times New Roman"/>
          <w:sz w:val="24"/>
          <w:szCs w:val="24"/>
          <w:lang w:val="en-GB"/>
        </w:rPr>
        <w:lastRenderedPageBreak/>
        <w:t xml:space="preserve">Since 2018, four </w:t>
      </w:r>
      <w:r w:rsidR="00915CF1">
        <w:rPr>
          <w:rFonts w:ascii="Times New Roman" w:hAnsi="Times New Roman"/>
          <w:sz w:val="24"/>
          <w:szCs w:val="24"/>
          <w:lang w:val="en-GB"/>
        </w:rPr>
        <w:t>different</w:t>
      </w:r>
      <w:r>
        <w:rPr>
          <w:rFonts w:ascii="Times New Roman" w:hAnsi="Times New Roman"/>
          <w:sz w:val="24"/>
          <w:szCs w:val="24"/>
          <w:lang w:val="en-GB"/>
        </w:rPr>
        <w:t xml:space="preserve"> </w:t>
      </w:r>
      <w:r w:rsidR="004E7F68">
        <w:rPr>
          <w:rFonts w:ascii="Times New Roman" w:hAnsi="Times New Roman"/>
          <w:sz w:val="24"/>
          <w:szCs w:val="24"/>
          <w:lang w:val="en-GB"/>
        </w:rPr>
        <w:t>charges</w:t>
      </w:r>
      <w:r>
        <w:rPr>
          <w:rFonts w:ascii="Times New Roman" w:hAnsi="Times New Roman"/>
          <w:sz w:val="24"/>
          <w:szCs w:val="24"/>
          <w:lang w:val="en-GB"/>
        </w:rPr>
        <w:t xml:space="preserve"> have been filed against Mr. </w:t>
      </w:r>
      <w:r w:rsidR="00915CF1">
        <w:rPr>
          <w:rFonts w:ascii="Times New Roman" w:hAnsi="Times New Roman"/>
          <w:sz w:val="24"/>
          <w:szCs w:val="24"/>
          <w:lang w:val="en-GB"/>
        </w:rPr>
        <w:t xml:space="preserve">Mehmet Can Ekin for refusal to serve in the military. Three of the cases </w:t>
      </w:r>
      <w:r w:rsidR="004E7F68">
        <w:rPr>
          <w:rFonts w:ascii="Times New Roman" w:hAnsi="Times New Roman"/>
          <w:sz w:val="24"/>
          <w:szCs w:val="24"/>
          <w:lang w:val="en-GB"/>
        </w:rPr>
        <w:t>were</w:t>
      </w:r>
      <w:r w:rsidR="00915CF1">
        <w:rPr>
          <w:rFonts w:ascii="Times New Roman" w:hAnsi="Times New Roman"/>
          <w:sz w:val="24"/>
          <w:szCs w:val="24"/>
          <w:lang w:val="en-GB"/>
        </w:rPr>
        <w:t xml:space="preserve"> merged</w:t>
      </w:r>
      <w:r w:rsidR="007429FA">
        <w:rPr>
          <w:rFonts w:ascii="Times New Roman" w:hAnsi="Times New Roman"/>
          <w:sz w:val="24"/>
          <w:szCs w:val="24"/>
          <w:lang w:val="en-GB"/>
        </w:rPr>
        <w:t>,</w:t>
      </w:r>
      <w:r w:rsidR="00915CF1">
        <w:rPr>
          <w:rFonts w:ascii="Times New Roman" w:hAnsi="Times New Roman"/>
          <w:sz w:val="24"/>
          <w:szCs w:val="24"/>
          <w:lang w:val="en-GB"/>
        </w:rPr>
        <w:t xml:space="preserve"> and he </w:t>
      </w:r>
      <w:r w:rsidR="004E7F68">
        <w:rPr>
          <w:rFonts w:ascii="Times New Roman" w:hAnsi="Times New Roman"/>
          <w:sz w:val="24"/>
          <w:szCs w:val="24"/>
          <w:lang w:val="en-GB"/>
        </w:rPr>
        <w:t>was</w:t>
      </w:r>
      <w:r w:rsidR="00915CF1">
        <w:rPr>
          <w:rFonts w:ascii="Times New Roman" w:hAnsi="Times New Roman"/>
          <w:sz w:val="24"/>
          <w:szCs w:val="24"/>
          <w:lang w:val="en-GB"/>
        </w:rPr>
        <w:t xml:space="preserve"> sentenced to six months and 20 days of </w:t>
      </w:r>
      <w:r w:rsidR="00A865AA">
        <w:rPr>
          <w:rFonts w:ascii="Times New Roman" w:hAnsi="Times New Roman"/>
          <w:sz w:val="24"/>
          <w:szCs w:val="24"/>
          <w:lang w:val="en-GB"/>
        </w:rPr>
        <w:t>community service</w:t>
      </w:r>
      <w:r w:rsidR="00915CF1">
        <w:rPr>
          <w:rFonts w:ascii="Times New Roman" w:hAnsi="Times New Roman"/>
          <w:sz w:val="24"/>
          <w:szCs w:val="24"/>
          <w:lang w:val="en-GB"/>
        </w:rPr>
        <w:t xml:space="preserve">. He has appealed. The fourth case continues. </w:t>
      </w:r>
    </w:p>
    <w:p w14:paraId="767DD644" w14:textId="77777777" w:rsidR="00915CF1" w:rsidRDefault="00A56A0F" w:rsidP="00892D16">
      <w:pPr>
        <w:pStyle w:val="ListParagraph"/>
        <w:numPr>
          <w:ilvl w:val="1"/>
          <w:numId w:val="6"/>
        </w:numPr>
        <w:topLinePunct/>
        <w:spacing w:after="240"/>
        <w:ind w:right="181"/>
        <w:jc w:val="both"/>
        <w:rPr>
          <w:rFonts w:ascii="Times New Roman" w:hAnsi="Times New Roman"/>
          <w:sz w:val="24"/>
          <w:szCs w:val="24"/>
          <w:lang w:val="en-GB"/>
        </w:rPr>
      </w:pPr>
      <w:r>
        <w:rPr>
          <w:rFonts w:ascii="Times New Roman" w:hAnsi="Times New Roman"/>
          <w:sz w:val="24"/>
          <w:szCs w:val="24"/>
          <w:lang w:val="en-GB"/>
        </w:rPr>
        <w:t xml:space="preserve">Mr. Sabit Can Köse </w:t>
      </w:r>
      <w:r w:rsidRPr="00D42C92">
        <w:rPr>
          <w:rFonts w:ascii="Times New Roman" w:hAnsi="Times New Roman"/>
          <w:sz w:val="24"/>
          <w:szCs w:val="24"/>
          <w:lang w:val="en-GB"/>
        </w:rPr>
        <w:t xml:space="preserve">received </w:t>
      </w:r>
      <w:r>
        <w:rPr>
          <w:rFonts w:ascii="Times New Roman" w:hAnsi="Times New Roman"/>
          <w:sz w:val="24"/>
          <w:szCs w:val="24"/>
          <w:lang w:val="en-GB"/>
        </w:rPr>
        <w:t xml:space="preserve">an </w:t>
      </w:r>
      <w:r w:rsidRPr="00D42C92">
        <w:rPr>
          <w:rFonts w:ascii="Times New Roman" w:hAnsi="Times New Roman"/>
          <w:sz w:val="24"/>
          <w:szCs w:val="24"/>
          <w:lang w:val="en-GB"/>
        </w:rPr>
        <w:t xml:space="preserve">administrative fine of TRY </w:t>
      </w:r>
      <w:r>
        <w:rPr>
          <w:rFonts w:ascii="Times New Roman" w:hAnsi="Times New Roman"/>
          <w:sz w:val="24"/>
          <w:szCs w:val="24"/>
          <w:lang w:val="en-GB"/>
        </w:rPr>
        <w:t>422</w:t>
      </w:r>
      <w:r w:rsidR="002F41BA">
        <w:rPr>
          <w:rFonts w:ascii="Times New Roman" w:hAnsi="Times New Roman"/>
          <w:sz w:val="24"/>
          <w:szCs w:val="24"/>
          <w:lang w:val="en-GB"/>
        </w:rPr>
        <w:t xml:space="preserve"> (approximately USD 51)</w:t>
      </w:r>
      <w:r>
        <w:rPr>
          <w:rFonts w:ascii="Times New Roman" w:hAnsi="Times New Roman"/>
          <w:sz w:val="24"/>
          <w:szCs w:val="24"/>
          <w:lang w:val="en-GB"/>
        </w:rPr>
        <w:t xml:space="preserve"> on 19 March 2020</w:t>
      </w:r>
      <w:r w:rsidR="004E7F68">
        <w:rPr>
          <w:rFonts w:ascii="Times New Roman" w:hAnsi="Times New Roman"/>
          <w:sz w:val="24"/>
          <w:szCs w:val="24"/>
          <w:lang w:val="en-GB"/>
        </w:rPr>
        <w:t xml:space="preserve"> as an enlistment evader</w:t>
      </w:r>
      <w:r>
        <w:rPr>
          <w:rFonts w:ascii="Times New Roman" w:hAnsi="Times New Roman"/>
          <w:sz w:val="24"/>
          <w:szCs w:val="24"/>
          <w:lang w:val="en-GB"/>
        </w:rPr>
        <w:t xml:space="preserve">. His appeal </w:t>
      </w:r>
      <w:r w:rsidR="004E7F68">
        <w:rPr>
          <w:rFonts w:ascii="Times New Roman" w:hAnsi="Times New Roman"/>
          <w:sz w:val="24"/>
          <w:szCs w:val="24"/>
          <w:lang w:val="en-GB"/>
        </w:rPr>
        <w:t>was granted</w:t>
      </w:r>
      <w:r>
        <w:rPr>
          <w:rFonts w:ascii="Times New Roman" w:hAnsi="Times New Roman"/>
          <w:sz w:val="24"/>
          <w:szCs w:val="24"/>
          <w:lang w:val="en-GB"/>
        </w:rPr>
        <w:t xml:space="preserve"> on 5 October 2020. This was the third fine </w:t>
      </w:r>
      <w:r w:rsidR="004E7F68">
        <w:rPr>
          <w:rFonts w:ascii="Times New Roman" w:hAnsi="Times New Roman"/>
          <w:sz w:val="24"/>
          <w:szCs w:val="24"/>
          <w:lang w:val="en-GB"/>
        </w:rPr>
        <w:t>imposed on</w:t>
      </w:r>
      <w:r>
        <w:rPr>
          <w:rFonts w:ascii="Times New Roman" w:hAnsi="Times New Roman"/>
          <w:sz w:val="24"/>
          <w:szCs w:val="24"/>
          <w:lang w:val="en-GB"/>
        </w:rPr>
        <w:t xml:space="preserve"> Mr. Köse and </w:t>
      </w:r>
      <w:r w:rsidR="00BB2815">
        <w:rPr>
          <w:rFonts w:ascii="Times New Roman" w:hAnsi="Times New Roman"/>
          <w:sz w:val="24"/>
          <w:szCs w:val="24"/>
          <w:lang w:val="en-GB"/>
        </w:rPr>
        <w:t xml:space="preserve">later </w:t>
      </w:r>
      <w:r>
        <w:rPr>
          <w:rFonts w:ascii="Times New Roman" w:hAnsi="Times New Roman"/>
          <w:sz w:val="24"/>
          <w:szCs w:val="24"/>
          <w:lang w:val="en-GB"/>
        </w:rPr>
        <w:t xml:space="preserve">annulled by the court. </w:t>
      </w:r>
    </w:p>
    <w:p w14:paraId="5491E790" w14:textId="77777777" w:rsidR="00BB2815" w:rsidRDefault="00A56A0F" w:rsidP="00BB2815">
      <w:pPr>
        <w:pStyle w:val="ListParagraph"/>
        <w:numPr>
          <w:ilvl w:val="1"/>
          <w:numId w:val="6"/>
        </w:numPr>
        <w:topLinePunct/>
        <w:spacing w:after="240"/>
        <w:ind w:right="181"/>
        <w:jc w:val="both"/>
        <w:rPr>
          <w:rFonts w:ascii="Times New Roman" w:hAnsi="Times New Roman"/>
          <w:sz w:val="24"/>
          <w:szCs w:val="24"/>
          <w:lang w:val="en-GB"/>
        </w:rPr>
      </w:pPr>
      <w:r>
        <w:rPr>
          <w:rFonts w:ascii="Times New Roman" w:hAnsi="Times New Roman"/>
          <w:sz w:val="24"/>
          <w:szCs w:val="24"/>
          <w:lang w:val="en-GB"/>
        </w:rPr>
        <w:t xml:space="preserve">Mr. </w:t>
      </w:r>
      <w:r w:rsidRPr="00BB2815">
        <w:rPr>
          <w:rFonts w:ascii="Times New Roman" w:hAnsi="Times New Roman"/>
          <w:sz w:val="24"/>
          <w:szCs w:val="24"/>
          <w:lang w:val="en-GB"/>
        </w:rPr>
        <w:t>Aras Kürkçüoğlu</w:t>
      </w:r>
      <w:r>
        <w:rPr>
          <w:rFonts w:ascii="Times New Roman" w:hAnsi="Times New Roman"/>
          <w:sz w:val="24"/>
          <w:szCs w:val="24"/>
          <w:lang w:val="en-GB"/>
        </w:rPr>
        <w:t xml:space="preserve"> </w:t>
      </w:r>
      <w:r w:rsidRPr="00D42C92">
        <w:rPr>
          <w:rFonts w:ascii="Times New Roman" w:hAnsi="Times New Roman"/>
          <w:sz w:val="24"/>
          <w:szCs w:val="24"/>
          <w:lang w:val="en-GB"/>
        </w:rPr>
        <w:t xml:space="preserve">received </w:t>
      </w:r>
      <w:r>
        <w:rPr>
          <w:rFonts w:ascii="Times New Roman" w:hAnsi="Times New Roman"/>
          <w:sz w:val="24"/>
          <w:szCs w:val="24"/>
          <w:lang w:val="en-GB"/>
        </w:rPr>
        <w:t xml:space="preserve">an </w:t>
      </w:r>
      <w:r w:rsidRPr="00D42C92">
        <w:rPr>
          <w:rFonts w:ascii="Times New Roman" w:hAnsi="Times New Roman"/>
          <w:sz w:val="24"/>
          <w:szCs w:val="24"/>
          <w:lang w:val="en-GB"/>
        </w:rPr>
        <w:t xml:space="preserve">administrative fine of TRY </w:t>
      </w:r>
      <w:r>
        <w:rPr>
          <w:rFonts w:ascii="Times New Roman" w:hAnsi="Times New Roman"/>
          <w:sz w:val="24"/>
          <w:szCs w:val="24"/>
          <w:lang w:val="en-GB"/>
        </w:rPr>
        <w:t>186</w:t>
      </w:r>
      <w:r w:rsidR="002F41BA">
        <w:rPr>
          <w:rFonts w:ascii="Times New Roman" w:hAnsi="Times New Roman"/>
          <w:sz w:val="24"/>
          <w:szCs w:val="24"/>
          <w:lang w:val="en-GB"/>
        </w:rPr>
        <w:t xml:space="preserve"> (approximately USD 23)</w:t>
      </w:r>
      <w:r>
        <w:rPr>
          <w:rFonts w:ascii="Times New Roman" w:hAnsi="Times New Roman"/>
          <w:sz w:val="24"/>
          <w:szCs w:val="24"/>
          <w:lang w:val="en-GB"/>
        </w:rPr>
        <w:t xml:space="preserve"> on 29 April 2020. His </w:t>
      </w:r>
      <w:r w:rsidR="004E7F68">
        <w:rPr>
          <w:rFonts w:ascii="Times New Roman" w:hAnsi="Times New Roman"/>
          <w:sz w:val="24"/>
          <w:szCs w:val="24"/>
          <w:lang w:val="en-GB"/>
        </w:rPr>
        <w:t>appeal was</w:t>
      </w:r>
      <w:r>
        <w:rPr>
          <w:rFonts w:ascii="Times New Roman" w:hAnsi="Times New Roman"/>
          <w:sz w:val="24"/>
          <w:szCs w:val="24"/>
          <w:lang w:val="en-GB"/>
        </w:rPr>
        <w:t xml:space="preserve"> rejected. </w:t>
      </w:r>
    </w:p>
    <w:p w14:paraId="7C6D58B3" w14:textId="77777777" w:rsidR="00BB2815" w:rsidRPr="00CD723A" w:rsidRDefault="00A56A0F" w:rsidP="00892D16">
      <w:pPr>
        <w:pStyle w:val="ListParagraph"/>
        <w:numPr>
          <w:ilvl w:val="1"/>
          <w:numId w:val="6"/>
        </w:numPr>
        <w:topLinePunct/>
        <w:spacing w:after="240"/>
        <w:ind w:right="181"/>
        <w:jc w:val="both"/>
        <w:rPr>
          <w:rFonts w:ascii="Times New Roman" w:hAnsi="Times New Roman"/>
          <w:sz w:val="24"/>
          <w:szCs w:val="24"/>
          <w:lang w:val="en-GB"/>
        </w:rPr>
      </w:pPr>
      <w:r>
        <w:rPr>
          <w:rFonts w:ascii="Times New Roman" w:hAnsi="Times New Roman"/>
          <w:sz w:val="24"/>
          <w:szCs w:val="24"/>
          <w:lang w:val="en-GB"/>
        </w:rPr>
        <w:t xml:space="preserve">Mr. </w:t>
      </w:r>
      <w:r w:rsidRPr="00BB2815">
        <w:rPr>
          <w:rFonts w:ascii="Times New Roman" w:hAnsi="Times New Roman"/>
          <w:sz w:val="24"/>
          <w:szCs w:val="24"/>
          <w:lang w:val="en-GB"/>
        </w:rPr>
        <w:t>Sayat Kürkçüoğlu</w:t>
      </w:r>
      <w:r>
        <w:rPr>
          <w:rFonts w:ascii="Times New Roman" w:hAnsi="Times New Roman"/>
          <w:sz w:val="24"/>
          <w:szCs w:val="24"/>
          <w:lang w:val="en-GB"/>
        </w:rPr>
        <w:t xml:space="preserve"> received an administrative fine of TRY 132 </w:t>
      </w:r>
      <w:r w:rsidR="002F41BA">
        <w:rPr>
          <w:rFonts w:ascii="Times New Roman" w:hAnsi="Times New Roman"/>
          <w:sz w:val="24"/>
          <w:szCs w:val="24"/>
          <w:lang w:val="en-GB"/>
        </w:rPr>
        <w:t xml:space="preserve">(approximately USD 16) </w:t>
      </w:r>
      <w:r>
        <w:rPr>
          <w:rFonts w:ascii="Times New Roman" w:hAnsi="Times New Roman"/>
          <w:sz w:val="24"/>
          <w:szCs w:val="24"/>
          <w:lang w:val="en-GB"/>
        </w:rPr>
        <w:t xml:space="preserve">on 22 July 2020. His </w:t>
      </w:r>
      <w:r w:rsidR="004E7F68">
        <w:rPr>
          <w:rFonts w:ascii="Times New Roman" w:hAnsi="Times New Roman"/>
          <w:sz w:val="24"/>
          <w:szCs w:val="24"/>
          <w:lang w:val="en-GB"/>
        </w:rPr>
        <w:t>appeal was</w:t>
      </w:r>
      <w:r>
        <w:rPr>
          <w:rFonts w:ascii="Times New Roman" w:hAnsi="Times New Roman"/>
          <w:sz w:val="24"/>
          <w:szCs w:val="24"/>
          <w:lang w:val="en-GB"/>
        </w:rPr>
        <w:t xml:space="preserve"> rejected. </w:t>
      </w:r>
    </w:p>
    <w:p w14:paraId="09F0BF9F" w14:textId="77777777" w:rsidR="00BB2815" w:rsidRDefault="00A56A0F" w:rsidP="00892D16">
      <w:pPr>
        <w:pStyle w:val="ListParagraph"/>
        <w:numPr>
          <w:ilvl w:val="1"/>
          <w:numId w:val="6"/>
        </w:numPr>
        <w:topLinePunct/>
        <w:spacing w:after="240"/>
        <w:ind w:right="181"/>
        <w:jc w:val="both"/>
        <w:rPr>
          <w:rFonts w:ascii="Times New Roman" w:hAnsi="Times New Roman"/>
          <w:sz w:val="24"/>
          <w:szCs w:val="24"/>
          <w:lang w:val="en-GB"/>
        </w:rPr>
      </w:pPr>
      <w:r>
        <w:rPr>
          <w:rFonts w:ascii="Times New Roman" w:hAnsi="Times New Roman"/>
          <w:sz w:val="24"/>
          <w:szCs w:val="24"/>
          <w:lang w:val="en-GB"/>
        </w:rPr>
        <w:t xml:space="preserve">Mr. Ersin Mordoğan </w:t>
      </w:r>
      <w:r w:rsidRPr="00D42C92">
        <w:rPr>
          <w:rFonts w:ascii="Times New Roman" w:hAnsi="Times New Roman"/>
          <w:sz w:val="24"/>
          <w:szCs w:val="24"/>
          <w:lang w:val="en-GB"/>
        </w:rPr>
        <w:t xml:space="preserve">received </w:t>
      </w:r>
      <w:r>
        <w:rPr>
          <w:rFonts w:ascii="Times New Roman" w:hAnsi="Times New Roman"/>
          <w:sz w:val="24"/>
          <w:szCs w:val="24"/>
          <w:lang w:val="en-GB"/>
        </w:rPr>
        <w:t xml:space="preserve">an </w:t>
      </w:r>
      <w:r w:rsidRPr="00D42C92">
        <w:rPr>
          <w:rFonts w:ascii="Times New Roman" w:hAnsi="Times New Roman"/>
          <w:sz w:val="24"/>
          <w:szCs w:val="24"/>
          <w:lang w:val="en-GB"/>
        </w:rPr>
        <w:t xml:space="preserve">administrative fine of TRY </w:t>
      </w:r>
      <w:r>
        <w:rPr>
          <w:rFonts w:ascii="Times New Roman" w:hAnsi="Times New Roman"/>
          <w:sz w:val="24"/>
          <w:szCs w:val="24"/>
          <w:lang w:val="en-GB"/>
        </w:rPr>
        <w:t>80</w:t>
      </w:r>
      <w:r w:rsidR="002F41BA">
        <w:rPr>
          <w:rFonts w:ascii="Times New Roman" w:hAnsi="Times New Roman"/>
          <w:sz w:val="24"/>
          <w:szCs w:val="24"/>
          <w:lang w:val="en-GB"/>
        </w:rPr>
        <w:t xml:space="preserve"> (approximately USD 10)</w:t>
      </w:r>
      <w:r>
        <w:rPr>
          <w:rFonts w:ascii="Times New Roman" w:hAnsi="Times New Roman"/>
          <w:sz w:val="24"/>
          <w:szCs w:val="24"/>
          <w:lang w:val="en-GB"/>
        </w:rPr>
        <w:t xml:space="preserve"> on 3</w:t>
      </w:r>
      <w:r w:rsidR="002F41BA">
        <w:rPr>
          <w:rFonts w:ascii="Times New Roman" w:hAnsi="Times New Roman"/>
          <w:sz w:val="24"/>
          <w:szCs w:val="24"/>
          <w:lang w:val="en-GB"/>
        </w:rPr>
        <w:t> </w:t>
      </w:r>
      <w:r>
        <w:rPr>
          <w:rFonts w:ascii="Times New Roman" w:hAnsi="Times New Roman"/>
          <w:sz w:val="24"/>
          <w:szCs w:val="24"/>
          <w:lang w:val="en-GB"/>
        </w:rPr>
        <w:t>February 2020</w:t>
      </w:r>
      <w:r w:rsidR="004E7F68" w:rsidRPr="004E7F68">
        <w:rPr>
          <w:rFonts w:ascii="Times New Roman" w:hAnsi="Times New Roman"/>
          <w:sz w:val="24"/>
          <w:szCs w:val="24"/>
          <w:lang w:val="en-GB"/>
        </w:rPr>
        <w:t xml:space="preserve"> </w:t>
      </w:r>
      <w:r w:rsidR="004E7F68">
        <w:rPr>
          <w:rFonts w:ascii="Times New Roman" w:hAnsi="Times New Roman"/>
          <w:sz w:val="24"/>
          <w:szCs w:val="24"/>
          <w:lang w:val="en-GB"/>
        </w:rPr>
        <w:t>as an enlistment evader</w:t>
      </w:r>
      <w:r>
        <w:rPr>
          <w:rFonts w:ascii="Times New Roman" w:hAnsi="Times New Roman"/>
          <w:sz w:val="24"/>
          <w:szCs w:val="24"/>
          <w:lang w:val="en-GB"/>
        </w:rPr>
        <w:t>. His appeal was successful</w:t>
      </w:r>
      <w:r w:rsidR="007429FA">
        <w:rPr>
          <w:rFonts w:ascii="Times New Roman" w:hAnsi="Times New Roman"/>
          <w:sz w:val="24"/>
          <w:szCs w:val="24"/>
          <w:lang w:val="en-GB"/>
        </w:rPr>
        <w:t>,</w:t>
      </w:r>
      <w:r w:rsidR="004E7F68">
        <w:rPr>
          <w:rFonts w:ascii="Times New Roman" w:hAnsi="Times New Roman"/>
          <w:sz w:val="24"/>
          <w:szCs w:val="24"/>
          <w:lang w:val="en-GB"/>
        </w:rPr>
        <w:t xml:space="preserve"> and</w:t>
      </w:r>
      <w:r>
        <w:rPr>
          <w:rFonts w:ascii="Times New Roman" w:hAnsi="Times New Roman"/>
          <w:sz w:val="24"/>
          <w:szCs w:val="24"/>
          <w:lang w:val="en-GB"/>
        </w:rPr>
        <w:t xml:space="preserve"> the fine was annulled on 11 November 2020.</w:t>
      </w:r>
    </w:p>
    <w:p w14:paraId="73F3DC26" w14:textId="77777777" w:rsidR="00BB2815" w:rsidRDefault="00A56A0F" w:rsidP="00892D16">
      <w:pPr>
        <w:pStyle w:val="ListParagraph"/>
        <w:numPr>
          <w:ilvl w:val="1"/>
          <w:numId w:val="6"/>
        </w:numPr>
        <w:topLinePunct/>
        <w:spacing w:after="240"/>
        <w:ind w:right="181"/>
        <w:jc w:val="both"/>
        <w:rPr>
          <w:rFonts w:ascii="Times New Roman" w:hAnsi="Times New Roman"/>
          <w:sz w:val="24"/>
          <w:szCs w:val="24"/>
          <w:lang w:val="en-GB"/>
        </w:rPr>
      </w:pPr>
      <w:r>
        <w:rPr>
          <w:rFonts w:ascii="Times New Roman" w:hAnsi="Times New Roman"/>
          <w:sz w:val="24"/>
          <w:szCs w:val="24"/>
          <w:lang w:val="en-GB"/>
        </w:rPr>
        <w:t xml:space="preserve">Mr. </w:t>
      </w:r>
      <w:r w:rsidRPr="00BB2815">
        <w:rPr>
          <w:rFonts w:ascii="Times New Roman" w:hAnsi="Times New Roman"/>
          <w:sz w:val="24"/>
          <w:szCs w:val="24"/>
          <w:lang w:val="en-GB"/>
        </w:rPr>
        <w:t>Nurhak Oruş</w:t>
      </w:r>
      <w:r>
        <w:rPr>
          <w:rFonts w:ascii="Times New Roman" w:hAnsi="Times New Roman"/>
          <w:sz w:val="24"/>
          <w:szCs w:val="24"/>
          <w:lang w:val="en-GB"/>
        </w:rPr>
        <w:t xml:space="preserve"> </w:t>
      </w:r>
      <w:r w:rsidRPr="00D42C92">
        <w:rPr>
          <w:rFonts w:ascii="Times New Roman" w:hAnsi="Times New Roman"/>
          <w:sz w:val="24"/>
          <w:szCs w:val="24"/>
          <w:lang w:val="en-GB"/>
        </w:rPr>
        <w:t xml:space="preserve">received </w:t>
      </w:r>
      <w:r>
        <w:rPr>
          <w:rFonts w:ascii="Times New Roman" w:hAnsi="Times New Roman"/>
          <w:sz w:val="24"/>
          <w:szCs w:val="24"/>
          <w:lang w:val="en-GB"/>
        </w:rPr>
        <w:t xml:space="preserve">an </w:t>
      </w:r>
      <w:r w:rsidRPr="00D42C92">
        <w:rPr>
          <w:rFonts w:ascii="Times New Roman" w:hAnsi="Times New Roman"/>
          <w:sz w:val="24"/>
          <w:szCs w:val="24"/>
          <w:lang w:val="en-GB"/>
        </w:rPr>
        <w:t xml:space="preserve">administrative fine of TRY </w:t>
      </w:r>
      <w:r w:rsidR="00CD723A">
        <w:rPr>
          <w:rFonts w:ascii="Times New Roman" w:hAnsi="Times New Roman"/>
          <w:sz w:val="24"/>
          <w:szCs w:val="24"/>
          <w:lang w:val="en-GB"/>
        </w:rPr>
        <w:t>268</w:t>
      </w:r>
      <w:r w:rsidR="002F41BA">
        <w:rPr>
          <w:rFonts w:ascii="Times New Roman" w:hAnsi="Times New Roman"/>
          <w:sz w:val="24"/>
          <w:szCs w:val="24"/>
          <w:lang w:val="en-GB"/>
        </w:rPr>
        <w:t xml:space="preserve"> (approximately USD 33)</w:t>
      </w:r>
      <w:r>
        <w:rPr>
          <w:rFonts w:ascii="Times New Roman" w:hAnsi="Times New Roman"/>
          <w:sz w:val="24"/>
          <w:szCs w:val="24"/>
          <w:lang w:val="en-GB"/>
        </w:rPr>
        <w:t xml:space="preserve"> on 3</w:t>
      </w:r>
      <w:r w:rsidR="002F41BA">
        <w:rPr>
          <w:rFonts w:ascii="Times New Roman" w:hAnsi="Times New Roman"/>
          <w:sz w:val="24"/>
          <w:szCs w:val="24"/>
          <w:lang w:val="en-GB"/>
        </w:rPr>
        <w:t> </w:t>
      </w:r>
      <w:r>
        <w:rPr>
          <w:rFonts w:ascii="Times New Roman" w:hAnsi="Times New Roman"/>
          <w:sz w:val="24"/>
          <w:szCs w:val="24"/>
          <w:lang w:val="en-GB"/>
        </w:rPr>
        <w:t>March 2021</w:t>
      </w:r>
      <w:r w:rsidR="004E7F68" w:rsidRPr="004E7F68">
        <w:rPr>
          <w:rFonts w:ascii="Times New Roman" w:hAnsi="Times New Roman"/>
          <w:sz w:val="24"/>
          <w:szCs w:val="24"/>
          <w:lang w:val="en-GB"/>
        </w:rPr>
        <w:t xml:space="preserve"> </w:t>
      </w:r>
      <w:r w:rsidR="004E7F68">
        <w:rPr>
          <w:rFonts w:ascii="Times New Roman" w:hAnsi="Times New Roman"/>
          <w:sz w:val="24"/>
          <w:szCs w:val="24"/>
          <w:lang w:val="en-GB"/>
        </w:rPr>
        <w:t>as an enlistment evader</w:t>
      </w:r>
      <w:r>
        <w:rPr>
          <w:rFonts w:ascii="Times New Roman" w:hAnsi="Times New Roman"/>
          <w:sz w:val="24"/>
          <w:szCs w:val="24"/>
          <w:lang w:val="en-GB"/>
        </w:rPr>
        <w:t xml:space="preserve">. He has </w:t>
      </w:r>
      <w:r w:rsidR="004E7F68">
        <w:rPr>
          <w:rFonts w:ascii="Times New Roman" w:hAnsi="Times New Roman"/>
          <w:sz w:val="24"/>
          <w:szCs w:val="24"/>
          <w:lang w:val="en-GB"/>
        </w:rPr>
        <w:t>appealed</w:t>
      </w:r>
      <w:r>
        <w:rPr>
          <w:rFonts w:ascii="Times New Roman" w:hAnsi="Times New Roman"/>
          <w:sz w:val="24"/>
          <w:szCs w:val="24"/>
          <w:lang w:val="en-GB"/>
        </w:rPr>
        <w:t>.</w:t>
      </w:r>
    </w:p>
    <w:p w14:paraId="6D519025" w14:textId="77777777" w:rsidR="004B7114" w:rsidRDefault="00A56A0F" w:rsidP="00892D16">
      <w:pPr>
        <w:pStyle w:val="ListParagraph"/>
        <w:numPr>
          <w:ilvl w:val="1"/>
          <w:numId w:val="6"/>
        </w:numPr>
        <w:topLinePunct/>
        <w:spacing w:after="240"/>
        <w:ind w:right="181"/>
        <w:jc w:val="both"/>
        <w:rPr>
          <w:rFonts w:ascii="Times New Roman" w:hAnsi="Times New Roman"/>
          <w:sz w:val="24"/>
          <w:szCs w:val="24"/>
          <w:lang w:val="en-GB"/>
        </w:rPr>
      </w:pPr>
      <w:r>
        <w:rPr>
          <w:rFonts w:ascii="Times New Roman" w:hAnsi="Times New Roman"/>
          <w:sz w:val="24"/>
          <w:szCs w:val="24"/>
          <w:lang w:val="en-GB"/>
        </w:rPr>
        <w:t>Since 2018</w:t>
      </w:r>
      <w:r w:rsidR="007429FA">
        <w:rPr>
          <w:rFonts w:ascii="Times New Roman" w:hAnsi="Times New Roman"/>
          <w:sz w:val="24"/>
          <w:szCs w:val="24"/>
          <w:lang w:val="en-GB"/>
        </w:rPr>
        <w:t>,</w:t>
      </w:r>
      <w:r>
        <w:rPr>
          <w:rFonts w:ascii="Times New Roman" w:hAnsi="Times New Roman"/>
          <w:sz w:val="24"/>
          <w:szCs w:val="24"/>
          <w:lang w:val="en-GB"/>
        </w:rPr>
        <w:t xml:space="preserve"> three </w:t>
      </w:r>
      <w:r w:rsidR="004E7F68">
        <w:rPr>
          <w:rFonts w:ascii="Times New Roman" w:hAnsi="Times New Roman"/>
          <w:sz w:val="24"/>
          <w:szCs w:val="24"/>
          <w:lang w:val="en-GB"/>
        </w:rPr>
        <w:t>charges</w:t>
      </w:r>
      <w:r>
        <w:rPr>
          <w:rFonts w:ascii="Times New Roman" w:hAnsi="Times New Roman"/>
          <w:sz w:val="24"/>
          <w:szCs w:val="24"/>
          <w:lang w:val="en-GB"/>
        </w:rPr>
        <w:t xml:space="preserve"> have been </w:t>
      </w:r>
      <w:r w:rsidR="004E7F68">
        <w:rPr>
          <w:rFonts w:ascii="Times New Roman" w:hAnsi="Times New Roman"/>
          <w:sz w:val="24"/>
          <w:szCs w:val="24"/>
          <w:lang w:val="en-GB"/>
        </w:rPr>
        <w:t>brought</w:t>
      </w:r>
      <w:r>
        <w:rPr>
          <w:rFonts w:ascii="Times New Roman" w:hAnsi="Times New Roman"/>
          <w:sz w:val="24"/>
          <w:szCs w:val="24"/>
          <w:lang w:val="en-GB"/>
        </w:rPr>
        <w:t xml:space="preserve"> against Cemal Özgül for enlistment evasion. The three cases </w:t>
      </w:r>
      <w:r w:rsidR="004E7F68">
        <w:rPr>
          <w:rFonts w:ascii="Times New Roman" w:hAnsi="Times New Roman"/>
          <w:sz w:val="24"/>
          <w:szCs w:val="24"/>
          <w:lang w:val="en-GB"/>
        </w:rPr>
        <w:t>were</w:t>
      </w:r>
      <w:r>
        <w:rPr>
          <w:rFonts w:ascii="Times New Roman" w:hAnsi="Times New Roman"/>
          <w:sz w:val="24"/>
          <w:szCs w:val="24"/>
          <w:lang w:val="en-GB"/>
        </w:rPr>
        <w:t xml:space="preserve"> merged</w:t>
      </w:r>
      <w:r w:rsidR="007429FA">
        <w:rPr>
          <w:rFonts w:ascii="Times New Roman" w:hAnsi="Times New Roman"/>
          <w:sz w:val="24"/>
          <w:szCs w:val="24"/>
          <w:lang w:val="en-GB"/>
        </w:rPr>
        <w:t>,</w:t>
      </w:r>
      <w:r>
        <w:rPr>
          <w:rFonts w:ascii="Times New Roman" w:hAnsi="Times New Roman"/>
          <w:sz w:val="24"/>
          <w:szCs w:val="24"/>
          <w:lang w:val="en-GB"/>
        </w:rPr>
        <w:t xml:space="preserve"> and he was acquitted on 27 January 2021. </w:t>
      </w:r>
    </w:p>
    <w:p w14:paraId="6D13BC79" w14:textId="77777777" w:rsidR="00BB2815" w:rsidRPr="00CD723A" w:rsidRDefault="00A56A0F" w:rsidP="00CD723A">
      <w:pPr>
        <w:pStyle w:val="ListParagraph"/>
        <w:numPr>
          <w:ilvl w:val="1"/>
          <w:numId w:val="6"/>
        </w:numPr>
        <w:topLinePunct/>
        <w:spacing w:after="240"/>
        <w:ind w:right="181"/>
        <w:jc w:val="both"/>
        <w:rPr>
          <w:rFonts w:ascii="Times New Roman" w:hAnsi="Times New Roman"/>
          <w:sz w:val="24"/>
          <w:szCs w:val="24"/>
          <w:lang w:val="en-GB"/>
        </w:rPr>
      </w:pPr>
      <w:r>
        <w:rPr>
          <w:rFonts w:ascii="Times New Roman" w:hAnsi="Times New Roman"/>
          <w:sz w:val="24"/>
          <w:szCs w:val="24"/>
          <w:lang w:val="en-GB"/>
        </w:rPr>
        <w:t xml:space="preserve">Mr. </w:t>
      </w:r>
      <w:r w:rsidRPr="00BB2815">
        <w:rPr>
          <w:rFonts w:ascii="Times New Roman" w:hAnsi="Times New Roman"/>
          <w:sz w:val="24"/>
          <w:szCs w:val="24"/>
          <w:lang w:val="en-GB"/>
        </w:rPr>
        <w:t>Fırat Şahin</w:t>
      </w:r>
      <w:r>
        <w:rPr>
          <w:rFonts w:ascii="Times New Roman" w:hAnsi="Times New Roman"/>
          <w:sz w:val="24"/>
          <w:szCs w:val="24"/>
          <w:lang w:val="en-GB"/>
        </w:rPr>
        <w:t xml:space="preserve"> </w:t>
      </w:r>
      <w:r w:rsidRPr="00D42C92">
        <w:rPr>
          <w:rFonts w:ascii="Times New Roman" w:hAnsi="Times New Roman"/>
          <w:sz w:val="24"/>
          <w:szCs w:val="24"/>
          <w:lang w:val="en-GB"/>
        </w:rPr>
        <w:t xml:space="preserve">received </w:t>
      </w:r>
      <w:r>
        <w:rPr>
          <w:rFonts w:ascii="Times New Roman" w:hAnsi="Times New Roman"/>
          <w:sz w:val="24"/>
          <w:szCs w:val="24"/>
          <w:lang w:val="en-GB"/>
        </w:rPr>
        <w:t xml:space="preserve">an </w:t>
      </w:r>
      <w:r w:rsidRPr="00D42C92">
        <w:rPr>
          <w:rFonts w:ascii="Times New Roman" w:hAnsi="Times New Roman"/>
          <w:sz w:val="24"/>
          <w:szCs w:val="24"/>
          <w:lang w:val="en-GB"/>
        </w:rPr>
        <w:t xml:space="preserve">administrative fine of TRY </w:t>
      </w:r>
      <w:r w:rsidR="00CD723A">
        <w:rPr>
          <w:rFonts w:ascii="Times New Roman" w:hAnsi="Times New Roman"/>
          <w:sz w:val="24"/>
          <w:szCs w:val="24"/>
          <w:lang w:val="en-GB"/>
        </w:rPr>
        <w:t>151</w:t>
      </w:r>
      <w:r w:rsidR="002F41BA">
        <w:rPr>
          <w:rFonts w:ascii="Times New Roman" w:hAnsi="Times New Roman"/>
          <w:sz w:val="24"/>
          <w:szCs w:val="24"/>
          <w:lang w:val="en-GB"/>
        </w:rPr>
        <w:t xml:space="preserve"> (approximately USD 186)</w:t>
      </w:r>
      <w:r>
        <w:rPr>
          <w:rFonts w:ascii="Times New Roman" w:hAnsi="Times New Roman"/>
          <w:sz w:val="24"/>
          <w:szCs w:val="24"/>
          <w:lang w:val="en-GB"/>
        </w:rPr>
        <w:t xml:space="preserve"> on</w:t>
      </w:r>
      <w:r w:rsidR="00CD723A">
        <w:rPr>
          <w:rFonts w:ascii="Times New Roman" w:hAnsi="Times New Roman"/>
          <w:sz w:val="24"/>
          <w:szCs w:val="24"/>
          <w:lang w:val="en-GB"/>
        </w:rPr>
        <w:t xml:space="preserve"> 17</w:t>
      </w:r>
      <w:r w:rsidR="002F41BA">
        <w:rPr>
          <w:rFonts w:ascii="Times New Roman" w:hAnsi="Times New Roman"/>
          <w:sz w:val="24"/>
          <w:szCs w:val="24"/>
          <w:lang w:val="en-GB"/>
        </w:rPr>
        <w:t> </w:t>
      </w:r>
      <w:r w:rsidR="00CD723A">
        <w:rPr>
          <w:rFonts w:ascii="Times New Roman" w:hAnsi="Times New Roman"/>
          <w:sz w:val="24"/>
          <w:szCs w:val="24"/>
          <w:lang w:val="en-GB"/>
        </w:rPr>
        <w:t xml:space="preserve">March </w:t>
      </w:r>
      <w:r w:rsidRPr="00CD723A">
        <w:rPr>
          <w:rFonts w:ascii="Times New Roman" w:hAnsi="Times New Roman"/>
          <w:sz w:val="24"/>
          <w:szCs w:val="24"/>
          <w:lang w:val="en-GB"/>
        </w:rPr>
        <w:t>2020</w:t>
      </w:r>
      <w:r w:rsidR="004E7F68" w:rsidRPr="004E7F68">
        <w:rPr>
          <w:rFonts w:ascii="Times New Roman" w:hAnsi="Times New Roman"/>
          <w:sz w:val="24"/>
          <w:szCs w:val="24"/>
          <w:lang w:val="en-GB"/>
        </w:rPr>
        <w:t xml:space="preserve"> </w:t>
      </w:r>
      <w:r w:rsidR="004E7F68">
        <w:rPr>
          <w:rFonts w:ascii="Times New Roman" w:hAnsi="Times New Roman"/>
          <w:sz w:val="24"/>
          <w:szCs w:val="24"/>
          <w:lang w:val="en-GB"/>
        </w:rPr>
        <w:t>as an enlistment evader</w:t>
      </w:r>
      <w:r w:rsidRPr="00CD723A">
        <w:rPr>
          <w:rFonts w:ascii="Times New Roman" w:hAnsi="Times New Roman"/>
          <w:sz w:val="24"/>
          <w:szCs w:val="24"/>
          <w:lang w:val="en-GB"/>
        </w:rPr>
        <w:t xml:space="preserve">. His appeal </w:t>
      </w:r>
      <w:r w:rsidR="00CD238F">
        <w:rPr>
          <w:rFonts w:ascii="Times New Roman" w:hAnsi="Times New Roman"/>
          <w:sz w:val="24"/>
          <w:szCs w:val="24"/>
          <w:lang w:val="en-GB"/>
        </w:rPr>
        <w:t>succeeded</w:t>
      </w:r>
      <w:r w:rsidR="007429FA">
        <w:rPr>
          <w:rFonts w:ascii="Times New Roman" w:hAnsi="Times New Roman"/>
          <w:sz w:val="24"/>
          <w:szCs w:val="24"/>
          <w:lang w:val="en-GB"/>
        </w:rPr>
        <w:t>,</w:t>
      </w:r>
      <w:r w:rsidRPr="00CD723A">
        <w:rPr>
          <w:rFonts w:ascii="Times New Roman" w:hAnsi="Times New Roman"/>
          <w:sz w:val="24"/>
          <w:szCs w:val="24"/>
          <w:lang w:val="en-GB"/>
        </w:rPr>
        <w:t xml:space="preserve"> and the fine was annulled on </w:t>
      </w:r>
      <w:r w:rsidR="00CD723A">
        <w:rPr>
          <w:rFonts w:ascii="Times New Roman" w:hAnsi="Times New Roman"/>
          <w:sz w:val="24"/>
          <w:szCs w:val="24"/>
          <w:lang w:val="en-GB"/>
        </w:rPr>
        <w:t>5</w:t>
      </w:r>
      <w:r w:rsidR="002F41BA">
        <w:rPr>
          <w:rFonts w:ascii="Times New Roman" w:hAnsi="Times New Roman"/>
          <w:sz w:val="24"/>
          <w:szCs w:val="24"/>
          <w:lang w:val="en-GB"/>
        </w:rPr>
        <w:t> </w:t>
      </w:r>
      <w:r w:rsidR="00CD723A">
        <w:rPr>
          <w:rFonts w:ascii="Times New Roman" w:hAnsi="Times New Roman"/>
          <w:sz w:val="24"/>
          <w:szCs w:val="24"/>
          <w:lang w:val="en-GB"/>
        </w:rPr>
        <w:t xml:space="preserve">October </w:t>
      </w:r>
      <w:r w:rsidRPr="00CD723A">
        <w:rPr>
          <w:rFonts w:ascii="Times New Roman" w:hAnsi="Times New Roman"/>
          <w:sz w:val="24"/>
          <w:szCs w:val="24"/>
          <w:lang w:val="en-GB"/>
        </w:rPr>
        <w:t>2020.</w:t>
      </w:r>
    </w:p>
    <w:p w14:paraId="2932507D" w14:textId="77777777" w:rsidR="00CD723A" w:rsidRDefault="00A56A0F" w:rsidP="00CD723A">
      <w:pPr>
        <w:pStyle w:val="ListParagraph"/>
        <w:numPr>
          <w:ilvl w:val="1"/>
          <w:numId w:val="6"/>
        </w:numPr>
        <w:topLinePunct/>
        <w:spacing w:after="240"/>
        <w:ind w:right="181"/>
        <w:jc w:val="both"/>
        <w:rPr>
          <w:rFonts w:ascii="Times New Roman" w:hAnsi="Times New Roman"/>
          <w:sz w:val="24"/>
          <w:szCs w:val="24"/>
          <w:lang w:val="en-GB"/>
        </w:rPr>
      </w:pPr>
      <w:r>
        <w:rPr>
          <w:rFonts w:ascii="Times New Roman" w:hAnsi="Times New Roman"/>
          <w:sz w:val="24"/>
          <w:szCs w:val="24"/>
          <w:lang w:val="en-GB"/>
        </w:rPr>
        <w:t xml:space="preserve">Two different </w:t>
      </w:r>
      <w:r w:rsidR="00CD238F">
        <w:rPr>
          <w:rFonts w:ascii="Times New Roman" w:hAnsi="Times New Roman"/>
          <w:sz w:val="24"/>
          <w:szCs w:val="24"/>
          <w:lang w:val="en-GB"/>
        </w:rPr>
        <w:t>charges</w:t>
      </w:r>
      <w:r>
        <w:rPr>
          <w:rFonts w:ascii="Times New Roman" w:hAnsi="Times New Roman"/>
          <w:sz w:val="24"/>
          <w:szCs w:val="24"/>
          <w:lang w:val="en-GB"/>
        </w:rPr>
        <w:t xml:space="preserve"> have been </w:t>
      </w:r>
      <w:r w:rsidR="00CD238F">
        <w:rPr>
          <w:rFonts w:ascii="Times New Roman" w:hAnsi="Times New Roman"/>
          <w:sz w:val="24"/>
          <w:szCs w:val="24"/>
          <w:lang w:val="en-GB"/>
        </w:rPr>
        <w:t>brought</w:t>
      </w:r>
      <w:r>
        <w:rPr>
          <w:rFonts w:ascii="Times New Roman" w:hAnsi="Times New Roman"/>
          <w:sz w:val="24"/>
          <w:szCs w:val="24"/>
          <w:lang w:val="en-GB"/>
        </w:rPr>
        <w:t xml:space="preserve"> against Mr. Atilla Soyluoğlu</w:t>
      </w:r>
      <w:r>
        <w:rPr>
          <w:rFonts w:ascii="Times New Roman" w:hAnsi="Times New Roman"/>
          <w:sz w:val="24"/>
          <w:szCs w:val="24"/>
          <w:lang w:val="en-GB"/>
        </w:rPr>
        <w:t xml:space="preserve"> for refusal to serve in the military. The cases have been merged</w:t>
      </w:r>
      <w:r w:rsidR="007429FA">
        <w:rPr>
          <w:rFonts w:ascii="Times New Roman" w:hAnsi="Times New Roman"/>
          <w:sz w:val="24"/>
          <w:szCs w:val="24"/>
          <w:lang w:val="en-GB"/>
        </w:rPr>
        <w:t>,</w:t>
      </w:r>
      <w:r>
        <w:rPr>
          <w:rFonts w:ascii="Times New Roman" w:hAnsi="Times New Roman"/>
          <w:sz w:val="24"/>
          <w:szCs w:val="24"/>
          <w:lang w:val="en-GB"/>
        </w:rPr>
        <w:t xml:space="preserve"> and the trial continues. </w:t>
      </w:r>
    </w:p>
    <w:p w14:paraId="0A469FDC" w14:textId="77777777" w:rsidR="00BB2815" w:rsidRDefault="00A56A0F" w:rsidP="00892D16">
      <w:pPr>
        <w:pStyle w:val="ListParagraph"/>
        <w:numPr>
          <w:ilvl w:val="1"/>
          <w:numId w:val="6"/>
        </w:numPr>
        <w:topLinePunct/>
        <w:spacing w:after="240"/>
        <w:ind w:right="181"/>
        <w:jc w:val="both"/>
        <w:rPr>
          <w:rFonts w:ascii="Times New Roman" w:hAnsi="Times New Roman"/>
          <w:sz w:val="24"/>
          <w:szCs w:val="24"/>
          <w:lang w:val="en-GB"/>
        </w:rPr>
      </w:pPr>
      <w:r>
        <w:rPr>
          <w:rFonts w:ascii="Times New Roman" w:hAnsi="Times New Roman"/>
          <w:sz w:val="24"/>
          <w:szCs w:val="24"/>
          <w:lang w:val="en-GB"/>
        </w:rPr>
        <w:t xml:space="preserve">An indictment was </w:t>
      </w:r>
      <w:r w:rsidR="00CD238F">
        <w:rPr>
          <w:rFonts w:ascii="Times New Roman" w:hAnsi="Times New Roman"/>
          <w:sz w:val="24"/>
          <w:szCs w:val="24"/>
          <w:lang w:val="en-GB"/>
        </w:rPr>
        <w:t>brought</w:t>
      </w:r>
      <w:r>
        <w:rPr>
          <w:rFonts w:ascii="Times New Roman" w:hAnsi="Times New Roman"/>
          <w:sz w:val="24"/>
          <w:szCs w:val="24"/>
          <w:lang w:val="en-GB"/>
        </w:rPr>
        <w:t xml:space="preserve"> against Mr. </w:t>
      </w:r>
      <w:r w:rsidR="00CD723A">
        <w:rPr>
          <w:rFonts w:ascii="Times New Roman" w:hAnsi="Times New Roman"/>
          <w:sz w:val="24"/>
          <w:szCs w:val="24"/>
          <w:lang w:val="en-GB"/>
        </w:rPr>
        <w:t xml:space="preserve">Timuçin Muhammet Tuzlu </w:t>
      </w:r>
      <w:r>
        <w:rPr>
          <w:rFonts w:ascii="Times New Roman" w:hAnsi="Times New Roman"/>
          <w:sz w:val="24"/>
          <w:szCs w:val="24"/>
          <w:lang w:val="en-GB"/>
        </w:rPr>
        <w:t>on 21 September 2016 for refusal to serve in the military.  He was acquitted on 22 January 2018, but t</w:t>
      </w:r>
      <w:r>
        <w:rPr>
          <w:rFonts w:ascii="Times New Roman" w:hAnsi="Times New Roman"/>
          <w:sz w:val="24"/>
          <w:szCs w:val="24"/>
          <w:lang w:val="en-GB"/>
        </w:rPr>
        <w:t>he prosecutor appealed. On 20 June 2019</w:t>
      </w:r>
      <w:r w:rsidR="00CD238F">
        <w:rPr>
          <w:rFonts w:ascii="Times New Roman" w:hAnsi="Times New Roman"/>
          <w:sz w:val="24"/>
          <w:szCs w:val="24"/>
          <w:lang w:val="en-GB"/>
        </w:rPr>
        <w:t>, the</w:t>
      </w:r>
      <w:r>
        <w:rPr>
          <w:rFonts w:ascii="Times New Roman" w:hAnsi="Times New Roman"/>
          <w:sz w:val="24"/>
          <w:szCs w:val="24"/>
          <w:lang w:val="en-GB"/>
        </w:rPr>
        <w:t xml:space="preserve"> </w:t>
      </w:r>
      <w:r w:rsidR="008B0FA2">
        <w:rPr>
          <w:rFonts w:ascii="Times New Roman" w:hAnsi="Times New Roman"/>
          <w:sz w:val="24"/>
          <w:szCs w:val="24"/>
          <w:lang w:val="en-GB"/>
        </w:rPr>
        <w:t xml:space="preserve">Ankara Regional Court reversed the acquittal and </w:t>
      </w:r>
      <w:r w:rsidR="00CD238F">
        <w:rPr>
          <w:rFonts w:ascii="Times New Roman" w:hAnsi="Times New Roman"/>
          <w:sz w:val="24"/>
          <w:szCs w:val="24"/>
          <w:lang w:val="en-GB"/>
        </w:rPr>
        <w:t>imposed</w:t>
      </w:r>
      <w:r w:rsidR="008B0FA2">
        <w:rPr>
          <w:rFonts w:ascii="Times New Roman" w:hAnsi="Times New Roman"/>
          <w:sz w:val="24"/>
          <w:szCs w:val="24"/>
          <w:lang w:val="en-GB"/>
        </w:rPr>
        <w:t xml:space="preserve"> an administrative fine of TRY 2</w:t>
      </w:r>
      <w:r w:rsidR="00CD238F">
        <w:rPr>
          <w:rFonts w:ascii="Times New Roman" w:hAnsi="Times New Roman"/>
          <w:sz w:val="24"/>
          <w:szCs w:val="24"/>
          <w:lang w:val="en-GB"/>
        </w:rPr>
        <w:t>,</w:t>
      </w:r>
      <w:r w:rsidR="008B0FA2">
        <w:rPr>
          <w:rFonts w:ascii="Times New Roman" w:hAnsi="Times New Roman"/>
          <w:sz w:val="24"/>
          <w:szCs w:val="24"/>
          <w:lang w:val="en-GB"/>
        </w:rPr>
        <w:t>000</w:t>
      </w:r>
      <w:r w:rsidR="002F41BA">
        <w:rPr>
          <w:rFonts w:ascii="Times New Roman" w:hAnsi="Times New Roman"/>
          <w:sz w:val="24"/>
          <w:szCs w:val="24"/>
          <w:lang w:val="en-GB"/>
        </w:rPr>
        <w:t xml:space="preserve"> (approximately USD 245)</w:t>
      </w:r>
      <w:r w:rsidR="008B0FA2">
        <w:rPr>
          <w:rFonts w:ascii="Times New Roman" w:hAnsi="Times New Roman"/>
          <w:sz w:val="24"/>
          <w:szCs w:val="24"/>
          <w:lang w:val="en-GB"/>
        </w:rPr>
        <w:t xml:space="preserve">. The </w:t>
      </w:r>
      <w:r w:rsidR="00CD238F">
        <w:rPr>
          <w:rFonts w:ascii="Times New Roman" w:hAnsi="Times New Roman"/>
          <w:sz w:val="24"/>
          <w:szCs w:val="24"/>
          <w:lang w:val="en-GB"/>
        </w:rPr>
        <w:t>case</w:t>
      </w:r>
      <w:r w:rsidR="008B0FA2">
        <w:rPr>
          <w:rFonts w:ascii="Times New Roman" w:hAnsi="Times New Roman"/>
          <w:sz w:val="24"/>
          <w:szCs w:val="24"/>
          <w:lang w:val="en-GB"/>
        </w:rPr>
        <w:t xml:space="preserve"> continues. </w:t>
      </w:r>
    </w:p>
    <w:p w14:paraId="526F633C" w14:textId="77777777" w:rsidR="00CD723A" w:rsidRDefault="00A56A0F" w:rsidP="00892D16">
      <w:pPr>
        <w:pStyle w:val="ListParagraph"/>
        <w:numPr>
          <w:ilvl w:val="1"/>
          <w:numId w:val="6"/>
        </w:numPr>
        <w:topLinePunct/>
        <w:spacing w:after="240"/>
        <w:ind w:right="181"/>
        <w:jc w:val="both"/>
        <w:rPr>
          <w:rFonts w:ascii="Times New Roman" w:hAnsi="Times New Roman"/>
          <w:sz w:val="24"/>
          <w:szCs w:val="24"/>
          <w:lang w:val="en-GB"/>
        </w:rPr>
      </w:pPr>
      <w:r>
        <w:rPr>
          <w:rFonts w:ascii="Times New Roman" w:hAnsi="Times New Roman"/>
          <w:sz w:val="24"/>
          <w:szCs w:val="24"/>
          <w:lang w:val="en-GB"/>
        </w:rPr>
        <w:t>59-year</w:t>
      </w:r>
      <w:r w:rsidR="007429FA">
        <w:rPr>
          <w:rFonts w:ascii="Times New Roman" w:hAnsi="Times New Roman"/>
          <w:sz w:val="24"/>
          <w:szCs w:val="24"/>
          <w:lang w:val="en-GB"/>
        </w:rPr>
        <w:t>-</w:t>
      </w:r>
      <w:r>
        <w:rPr>
          <w:rFonts w:ascii="Times New Roman" w:hAnsi="Times New Roman"/>
          <w:sz w:val="24"/>
          <w:szCs w:val="24"/>
          <w:lang w:val="en-GB"/>
        </w:rPr>
        <w:t xml:space="preserve">old </w:t>
      </w:r>
      <w:r w:rsidR="008B0FA2">
        <w:rPr>
          <w:rFonts w:ascii="Times New Roman" w:hAnsi="Times New Roman"/>
          <w:sz w:val="24"/>
          <w:szCs w:val="24"/>
          <w:lang w:val="en-GB"/>
        </w:rPr>
        <w:t xml:space="preserve">Mr. </w:t>
      </w:r>
      <w:r>
        <w:rPr>
          <w:rFonts w:ascii="Times New Roman" w:hAnsi="Times New Roman"/>
          <w:sz w:val="24"/>
          <w:szCs w:val="24"/>
          <w:lang w:val="en-GB"/>
        </w:rPr>
        <w:t xml:space="preserve">Mehmet Bülent Yalınay </w:t>
      </w:r>
      <w:r w:rsidR="008B0FA2" w:rsidRPr="00D42C92">
        <w:rPr>
          <w:rFonts w:ascii="Times New Roman" w:hAnsi="Times New Roman"/>
          <w:sz w:val="24"/>
          <w:szCs w:val="24"/>
          <w:lang w:val="en-GB"/>
        </w:rPr>
        <w:t xml:space="preserve">received </w:t>
      </w:r>
      <w:r w:rsidR="008B0FA2">
        <w:rPr>
          <w:rFonts w:ascii="Times New Roman" w:hAnsi="Times New Roman"/>
          <w:sz w:val="24"/>
          <w:szCs w:val="24"/>
          <w:lang w:val="en-GB"/>
        </w:rPr>
        <w:t xml:space="preserve">an </w:t>
      </w:r>
      <w:r w:rsidR="008B0FA2" w:rsidRPr="00D42C92">
        <w:rPr>
          <w:rFonts w:ascii="Times New Roman" w:hAnsi="Times New Roman"/>
          <w:sz w:val="24"/>
          <w:szCs w:val="24"/>
          <w:lang w:val="en-GB"/>
        </w:rPr>
        <w:t xml:space="preserve">administrative fine of TRY </w:t>
      </w:r>
      <w:r w:rsidR="008B0FA2">
        <w:rPr>
          <w:rFonts w:ascii="Times New Roman" w:hAnsi="Times New Roman"/>
          <w:sz w:val="24"/>
          <w:szCs w:val="24"/>
          <w:lang w:val="en-GB"/>
        </w:rPr>
        <w:t>5,856</w:t>
      </w:r>
      <w:r w:rsidR="002F41BA">
        <w:rPr>
          <w:rFonts w:ascii="Times New Roman" w:hAnsi="Times New Roman"/>
          <w:sz w:val="24"/>
          <w:szCs w:val="24"/>
          <w:lang w:val="en-GB"/>
        </w:rPr>
        <w:t xml:space="preserve"> (approximately USD 716)</w:t>
      </w:r>
      <w:r w:rsidR="008B0FA2">
        <w:rPr>
          <w:rFonts w:ascii="Times New Roman" w:hAnsi="Times New Roman"/>
          <w:sz w:val="24"/>
          <w:szCs w:val="24"/>
          <w:lang w:val="en-GB"/>
        </w:rPr>
        <w:t xml:space="preserve"> on 4 June </w:t>
      </w:r>
      <w:r w:rsidR="008B0FA2" w:rsidRPr="00CD723A">
        <w:rPr>
          <w:rFonts w:ascii="Times New Roman" w:hAnsi="Times New Roman"/>
          <w:sz w:val="24"/>
          <w:szCs w:val="24"/>
          <w:lang w:val="en-GB"/>
        </w:rPr>
        <w:t>2020</w:t>
      </w:r>
      <w:r w:rsidRPr="00CD238F">
        <w:rPr>
          <w:rFonts w:ascii="Times New Roman" w:hAnsi="Times New Roman"/>
          <w:sz w:val="24"/>
          <w:szCs w:val="24"/>
          <w:lang w:val="en-GB"/>
        </w:rPr>
        <w:t xml:space="preserve"> </w:t>
      </w:r>
      <w:r>
        <w:rPr>
          <w:rFonts w:ascii="Times New Roman" w:hAnsi="Times New Roman"/>
          <w:sz w:val="24"/>
          <w:szCs w:val="24"/>
          <w:lang w:val="en-GB"/>
        </w:rPr>
        <w:t>as an enlistment evader</w:t>
      </w:r>
      <w:r w:rsidR="008B0FA2" w:rsidRPr="00CD723A">
        <w:rPr>
          <w:rFonts w:ascii="Times New Roman" w:hAnsi="Times New Roman"/>
          <w:sz w:val="24"/>
          <w:szCs w:val="24"/>
          <w:lang w:val="en-GB"/>
        </w:rPr>
        <w:t xml:space="preserve">. His appeal </w:t>
      </w:r>
      <w:r>
        <w:rPr>
          <w:rFonts w:ascii="Times New Roman" w:hAnsi="Times New Roman"/>
          <w:sz w:val="24"/>
          <w:szCs w:val="24"/>
          <w:lang w:val="en-GB"/>
        </w:rPr>
        <w:t>succeeded</w:t>
      </w:r>
      <w:r w:rsidR="007429FA">
        <w:rPr>
          <w:rFonts w:ascii="Times New Roman" w:hAnsi="Times New Roman"/>
          <w:sz w:val="24"/>
          <w:szCs w:val="24"/>
          <w:lang w:val="en-GB"/>
        </w:rPr>
        <w:t>,</w:t>
      </w:r>
      <w:r w:rsidR="008B0FA2" w:rsidRPr="00CD723A">
        <w:rPr>
          <w:rFonts w:ascii="Times New Roman" w:hAnsi="Times New Roman"/>
          <w:sz w:val="24"/>
          <w:szCs w:val="24"/>
          <w:lang w:val="en-GB"/>
        </w:rPr>
        <w:t xml:space="preserve"> and the fine was annulled on </w:t>
      </w:r>
      <w:r w:rsidR="008B0FA2">
        <w:rPr>
          <w:rFonts w:ascii="Times New Roman" w:hAnsi="Times New Roman"/>
          <w:sz w:val="24"/>
          <w:szCs w:val="24"/>
          <w:lang w:val="en-GB"/>
        </w:rPr>
        <w:t xml:space="preserve">9 July </w:t>
      </w:r>
      <w:r w:rsidR="008B0FA2" w:rsidRPr="00CD723A">
        <w:rPr>
          <w:rFonts w:ascii="Times New Roman" w:hAnsi="Times New Roman"/>
          <w:sz w:val="24"/>
          <w:szCs w:val="24"/>
          <w:lang w:val="en-GB"/>
        </w:rPr>
        <w:t>2020</w:t>
      </w:r>
      <w:r>
        <w:rPr>
          <w:rFonts w:ascii="Times New Roman" w:hAnsi="Times New Roman"/>
          <w:sz w:val="24"/>
          <w:szCs w:val="24"/>
          <w:lang w:val="en-GB"/>
        </w:rPr>
        <w:t>.</w:t>
      </w:r>
    </w:p>
    <w:p w14:paraId="163EC400" w14:textId="77777777" w:rsidR="00892D16" w:rsidRDefault="00A56A0F" w:rsidP="00892D16">
      <w:pPr>
        <w:pStyle w:val="ListParagraph"/>
        <w:numPr>
          <w:ilvl w:val="1"/>
          <w:numId w:val="6"/>
        </w:numPr>
        <w:topLinePunct/>
        <w:spacing w:after="240"/>
        <w:ind w:right="181"/>
        <w:jc w:val="both"/>
        <w:rPr>
          <w:rFonts w:ascii="Times New Roman" w:hAnsi="Times New Roman"/>
          <w:sz w:val="24"/>
          <w:szCs w:val="24"/>
          <w:lang w:val="en-GB"/>
        </w:rPr>
      </w:pPr>
      <w:r>
        <w:rPr>
          <w:rFonts w:ascii="Times New Roman" w:hAnsi="Times New Roman"/>
          <w:sz w:val="24"/>
          <w:szCs w:val="24"/>
          <w:lang w:val="en-GB"/>
        </w:rPr>
        <w:t xml:space="preserve">To date, there are </w:t>
      </w:r>
      <w:r w:rsidR="002B30C1" w:rsidRPr="00825382">
        <w:rPr>
          <w:rFonts w:ascii="Times New Roman" w:hAnsi="Times New Roman"/>
          <w:sz w:val="24"/>
          <w:szCs w:val="24"/>
          <w:lang w:val="en-GB"/>
        </w:rPr>
        <w:t>21</w:t>
      </w:r>
      <w:r w:rsidR="002B30C1" w:rsidRPr="002B30C1">
        <w:rPr>
          <w:rFonts w:ascii="Times New Roman" w:hAnsi="Times New Roman"/>
          <w:sz w:val="24"/>
          <w:szCs w:val="24"/>
          <w:lang w:val="en-GB"/>
        </w:rPr>
        <w:t xml:space="preserve"> </w:t>
      </w:r>
      <w:r>
        <w:rPr>
          <w:rFonts w:ascii="Times New Roman" w:hAnsi="Times New Roman"/>
          <w:sz w:val="24"/>
          <w:szCs w:val="24"/>
          <w:lang w:val="en-GB"/>
        </w:rPr>
        <w:t xml:space="preserve">complaints </w:t>
      </w:r>
      <w:r w:rsidR="005B0BCE">
        <w:rPr>
          <w:rFonts w:ascii="Times New Roman" w:hAnsi="Times New Roman"/>
          <w:sz w:val="24"/>
          <w:szCs w:val="24"/>
          <w:lang w:val="en-GB"/>
        </w:rPr>
        <w:t>before</w:t>
      </w:r>
      <w:r>
        <w:rPr>
          <w:rFonts w:ascii="Times New Roman" w:hAnsi="Times New Roman"/>
          <w:sz w:val="24"/>
          <w:szCs w:val="24"/>
          <w:lang w:val="en-GB"/>
        </w:rPr>
        <w:t xml:space="preserve"> the Constitutional Court</w:t>
      </w:r>
      <w:r w:rsidR="0094523C">
        <w:rPr>
          <w:rFonts w:ascii="Times New Roman" w:hAnsi="Times New Roman"/>
          <w:sz w:val="24"/>
          <w:szCs w:val="24"/>
          <w:lang w:val="en-GB"/>
        </w:rPr>
        <w:t xml:space="preserve"> of Turkey</w:t>
      </w:r>
      <w:r>
        <w:rPr>
          <w:rFonts w:ascii="Times New Roman" w:hAnsi="Times New Roman"/>
          <w:sz w:val="24"/>
          <w:szCs w:val="24"/>
          <w:lang w:val="en-GB"/>
        </w:rPr>
        <w:t>, but the Court has delayed hearing</w:t>
      </w:r>
      <w:r w:rsidR="005B0BCE">
        <w:rPr>
          <w:rFonts w:ascii="Times New Roman" w:hAnsi="Times New Roman"/>
          <w:sz w:val="24"/>
          <w:szCs w:val="24"/>
          <w:lang w:val="en-GB"/>
        </w:rPr>
        <w:t xml:space="preserve"> </w:t>
      </w:r>
      <w:r w:rsidR="000F5997">
        <w:rPr>
          <w:rFonts w:ascii="Times New Roman" w:hAnsi="Times New Roman"/>
          <w:sz w:val="24"/>
          <w:szCs w:val="24"/>
          <w:lang w:val="en-GB"/>
        </w:rPr>
        <w:t>every one</w:t>
      </w:r>
      <w:r w:rsidR="005B0BCE">
        <w:rPr>
          <w:rFonts w:ascii="Times New Roman" w:hAnsi="Times New Roman"/>
          <w:sz w:val="24"/>
          <w:szCs w:val="24"/>
          <w:lang w:val="en-GB"/>
        </w:rPr>
        <w:t xml:space="preserve"> of</w:t>
      </w:r>
      <w:r>
        <w:rPr>
          <w:rFonts w:ascii="Times New Roman" w:hAnsi="Times New Roman"/>
          <w:sz w:val="24"/>
          <w:szCs w:val="24"/>
          <w:lang w:val="en-GB"/>
        </w:rPr>
        <w:t xml:space="preserve"> them. The conscientious objectors who filed the</w:t>
      </w:r>
      <w:r w:rsidR="005B0BCE">
        <w:rPr>
          <w:rFonts w:ascii="Times New Roman" w:hAnsi="Times New Roman"/>
          <w:sz w:val="24"/>
          <w:szCs w:val="24"/>
          <w:lang w:val="en-GB"/>
        </w:rPr>
        <w:t>se</w:t>
      </w:r>
      <w:r>
        <w:rPr>
          <w:rFonts w:ascii="Times New Roman" w:hAnsi="Times New Roman"/>
          <w:sz w:val="24"/>
          <w:szCs w:val="24"/>
          <w:lang w:val="en-GB"/>
        </w:rPr>
        <w:t xml:space="preserve"> complaints request </w:t>
      </w:r>
      <w:r w:rsidR="007429FA">
        <w:rPr>
          <w:rFonts w:ascii="Times New Roman" w:hAnsi="Times New Roman"/>
          <w:sz w:val="24"/>
          <w:szCs w:val="24"/>
          <w:lang w:val="en-GB"/>
        </w:rPr>
        <w:t xml:space="preserve">that </w:t>
      </w:r>
      <w:r>
        <w:rPr>
          <w:rFonts w:ascii="Times New Roman" w:hAnsi="Times New Roman"/>
          <w:sz w:val="24"/>
          <w:szCs w:val="24"/>
          <w:lang w:val="en-GB"/>
        </w:rPr>
        <w:t>the Court annul the administrative fines they received as punishment for refusing to serve in the military.</w:t>
      </w:r>
      <w:r w:rsidR="004B7114">
        <w:rPr>
          <w:rFonts w:ascii="Times New Roman" w:hAnsi="Times New Roman"/>
          <w:sz w:val="24"/>
          <w:szCs w:val="24"/>
          <w:lang w:val="en-GB"/>
        </w:rPr>
        <w:t xml:space="preserve"> </w:t>
      </w:r>
    </w:p>
    <w:p w14:paraId="00F1E741" w14:textId="77777777" w:rsidR="00892D16" w:rsidRDefault="00A56A0F" w:rsidP="005B0BCE">
      <w:pPr>
        <w:pStyle w:val="ListParagraph"/>
        <w:numPr>
          <w:ilvl w:val="0"/>
          <w:numId w:val="7"/>
        </w:numPr>
        <w:topLinePunct/>
        <w:spacing w:after="240"/>
        <w:ind w:left="851" w:right="227"/>
        <w:jc w:val="both"/>
        <w:rPr>
          <w:rFonts w:ascii="Times New Roman" w:hAnsi="Times New Roman"/>
          <w:bCs/>
          <w:kern w:val="2"/>
          <w:sz w:val="24"/>
          <w:szCs w:val="24"/>
          <w:lang w:val="en-GB"/>
        </w:rPr>
      </w:pPr>
      <w:r>
        <w:rPr>
          <w:rFonts w:ascii="Times New Roman" w:hAnsi="Times New Roman"/>
          <w:bCs/>
          <w:kern w:val="2"/>
          <w:sz w:val="24"/>
          <w:szCs w:val="24"/>
          <w:lang w:val="en-GB"/>
        </w:rPr>
        <w:t>Mr</w:t>
      </w:r>
      <w:r w:rsidR="00582E74">
        <w:rPr>
          <w:rFonts w:ascii="Times New Roman" w:hAnsi="Times New Roman"/>
          <w:bCs/>
          <w:kern w:val="2"/>
          <w:sz w:val="24"/>
          <w:szCs w:val="24"/>
          <w:lang w:val="en-GB"/>
        </w:rPr>
        <w:t>.</w:t>
      </w:r>
      <w:r>
        <w:rPr>
          <w:rFonts w:ascii="Times New Roman" w:hAnsi="Times New Roman"/>
          <w:bCs/>
          <w:kern w:val="2"/>
          <w:sz w:val="24"/>
          <w:szCs w:val="24"/>
          <w:lang w:val="en-GB"/>
        </w:rPr>
        <w:t xml:space="preserve"> Benyamin Şahin Ölgün</w:t>
      </w:r>
      <w:r w:rsidR="005B0BCE">
        <w:rPr>
          <w:rFonts w:ascii="Times New Roman" w:hAnsi="Times New Roman"/>
          <w:bCs/>
          <w:kern w:val="2"/>
          <w:sz w:val="24"/>
          <w:szCs w:val="24"/>
          <w:lang w:val="en-GB"/>
        </w:rPr>
        <w:t>,</w:t>
      </w:r>
      <w:r>
        <w:rPr>
          <w:rFonts w:ascii="Times New Roman" w:hAnsi="Times New Roman"/>
          <w:bCs/>
          <w:kern w:val="2"/>
          <w:sz w:val="24"/>
          <w:szCs w:val="24"/>
          <w:lang w:val="en-GB"/>
        </w:rPr>
        <w:t xml:space="preserve"> convicted for refusal to serve in the military</w:t>
      </w:r>
      <w:r w:rsidR="005B0BCE">
        <w:rPr>
          <w:rFonts w:ascii="Times New Roman" w:hAnsi="Times New Roman"/>
          <w:bCs/>
          <w:kern w:val="2"/>
          <w:sz w:val="24"/>
          <w:szCs w:val="24"/>
          <w:lang w:val="en-GB"/>
        </w:rPr>
        <w:t>,</w:t>
      </w:r>
      <w:r>
        <w:rPr>
          <w:rFonts w:ascii="Times New Roman" w:hAnsi="Times New Roman"/>
          <w:bCs/>
          <w:kern w:val="2"/>
          <w:sz w:val="24"/>
          <w:szCs w:val="24"/>
          <w:lang w:val="en-GB"/>
        </w:rPr>
        <w:t xml:space="preserve"> has been waiting for the finali</w:t>
      </w:r>
      <w:r w:rsidR="00A857DA">
        <w:rPr>
          <w:rFonts w:ascii="Times New Roman" w:hAnsi="Times New Roman"/>
          <w:bCs/>
          <w:kern w:val="2"/>
          <w:sz w:val="24"/>
          <w:szCs w:val="24"/>
          <w:lang w:val="en-GB"/>
        </w:rPr>
        <w:t>s</w:t>
      </w:r>
      <w:r>
        <w:rPr>
          <w:rFonts w:ascii="Times New Roman" w:hAnsi="Times New Roman"/>
          <w:bCs/>
          <w:kern w:val="2"/>
          <w:sz w:val="24"/>
          <w:szCs w:val="24"/>
          <w:lang w:val="en-GB"/>
        </w:rPr>
        <w:t xml:space="preserve">ation of his complaint (application </w:t>
      </w:r>
      <w:r w:rsidR="009A3022">
        <w:rPr>
          <w:rFonts w:ascii="Times New Roman" w:hAnsi="Times New Roman"/>
          <w:bCs/>
          <w:kern w:val="2"/>
          <w:sz w:val="24"/>
          <w:szCs w:val="24"/>
          <w:lang w:val="en-GB"/>
        </w:rPr>
        <w:t>no.</w:t>
      </w:r>
      <w:r>
        <w:rPr>
          <w:rFonts w:ascii="Times New Roman" w:hAnsi="Times New Roman"/>
          <w:bCs/>
          <w:kern w:val="2"/>
          <w:sz w:val="24"/>
          <w:szCs w:val="24"/>
          <w:lang w:val="en-GB"/>
        </w:rPr>
        <w:t xml:space="preserve"> 2013/5564) since 1 July 2013</w:t>
      </w:r>
      <w:r w:rsidR="005B0BCE">
        <w:rPr>
          <w:rFonts w:ascii="Times New Roman" w:hAnsi="Times New Roman"/>
          <w:bCs/>
          <w:kern w:val="2"/>
          <w:sz w:val="24"/>
          <w:szCs w:val="24"/>
          <w:lang w:val="en-GB"/>
        </w:rPr>
        <w:t>.</w:t>
      </w:r>
    </w:p>
    <w:p w14:paraId="5B416561" w14:textId="77777777" w:rsidR="00892D16" w:rsidRDefault="00A56A0F" w:rsidP="005B0BCE">
      <w:pPr>
        <w:pStyle w:val="ListParagraph"/>
        <w:numPr>
          <w:ilvl w:val="0"/>
          <w:numId w:val="7"/>
        </w:numPr>
        <w:topLinePunct/>
        <w:spacing w:after="240"/>
        <w:ind w:left="851" w:right="227"/>
        <w:jc w:val="both"/>
        <w:rPr>
          <w:rFonts w:ascii="Times New Roman" w:hAnsi="Times New Roman"/>
          <w:bCs/>
          <w:kern w:val="2"/>
          <w:sz w:val="24"/>
          <w:szCs w:val="24"/>
          <w:lang w:val="en-GB"/>
        </w:rPr>
      </w:pPr>
      <w:r>
        <w:rPr>
          <w:rFonts w:ascii="Times New Roman" w:hAnsi="Times New Roman"/>
          <w:bCs/>
          <w:kern w:val="2"/>
          <w:sz w:val="24"/>
          <w:szCs w:val="24"/>
          <w:lang w:val="en-GB"/>
        </w:rPr>
        <w:t>Mr</w:t>
      </w:r>
      <w:r w:rsidR="00582E74">
        <w:rPr>
          <w:rFonts w:ascii="Times New Roman" w:hAnsi="Times New Roman"/>
          <w:bCs/>
          <w:kern w:val="2"/>
          <w:sz w:val="24"/>
          <w:szCs w:val="24"/>
          <w:lang w:val="en-GB"/>
        </w:rPr>
        <w:t>.</w:t>
      </w:r>
      <w:r>
        <w:rPr>
          <w:rFonts w:ascii="Times New Roman" w:hAnsi="Times New Roman"/>
          <w:bCs/>
          <w:kern w:val="2"/>
          <w:sz w:val="24"/>
          <w:szCs w:val="24"/>
          <w:lang w:val="en-GB"/>
        </w:rPr>
        <w:t xml:space="preserve"> Volkan Altay applied to the Constitutional Court on 1 August 2016 (application </w:t>
      </w:r>
      <w:r w:rsidR="009A3022">
        <w:rPr>
          <w:rFonts w:ascii="Times New Roman" w:hAnsi="Times New Roman"/>
          <w:bCs/>
          <w:kern w:val="2"/>
          <w:sz w:val="24"/>
          <w:szCs w:val="24"/>
          <w:lang w:val="en-GB"/>
        </w:rPr>
        <w:t>no.</w:t>
      </w:r>
      <w:r>
        <w:rPr>
          <w:rFonts w:ascii="Times New Roman" w:hAnsi="Times New Roman"/>
          <w:bCs/>
          <w:kern w:val="2"/>
          <w:sz w:val="24"/>
          <w:szCs w:val="24"/>
          <w:lang w:val="en-GB"/>
        </w:rPr>
        <w:t xml:space="preserve"> 2016/14174)</w:t>
      </w:r>
      <w:r w:rsidR="005B0BCE">
        <w:rPr>
          <w:rFonts w:ascii="Times New Roman" w:hAnsi="Times New Roman"/>
          <w:bCs/>
          <w:kern w:val="2"/>
          <w:sz w:val="24"/>
          <w:szCs w:val="24"/>
          <w:lang w:val="en-GB"/>
        </w:rPr>
        <w:t>.</w:t>
      </w:r>
    </w:p>
    <w:p w14:paraId="76DB1FFD" w14:textId="77777777" w:rsidR="00892D16" w:rsidRDefault="00A56A0F" w:rsidP="005B0BCE">
      <w:pPr>
        <w:pStyle w:val="ListParagraph"/>
        <w:numPr>
          <w:ilvl w:val="0"/>
          <w:numId w:val="7"/>
        </w:numPr>
        <w:topLinePunct/>
        <w:spacing w:after="240"/>
        <w:ind w:left="851" w:right="227"/>
        <w:jc w:val="both"/>
        <w:rPr>
          <w:rFonts w:ascii="Times New Roman" w:hAnsi="Times New Roman"/>
          <w:bCs/>
          <w:kern w:val="2"/>
          <w:sz w:val="24"/>
          <w:szCs w:val="24"/>
          <w:lang w:val="en-GB"/>
        </w:rPr>
      </w:pPr>
      <w:r>
        <w:rPr>
          <w:rFonts w:ascii="Times New Roman" w:hAnsi="Times New Roman"/>
          <w:bCs/>
          <w:kern w:val="2"/>
          <w:sz w:val="24"/>
          <w:szCs w:val="24"/>
          <w:lang w:val="en-GB"/>
        </w:rPr>
        <w:lastRenderedPageBreak/>
        <w:t>Mr</w:t>
      </w:r>
      <w:r w:rsidR="00582E74">
        <w:rPr>
          <w:rFonts w:ascii="Times New Roman" w:hAnsi="Times New Roman"/>
          <w:bCs/>
          <w:kern w:val="2"/>
          <w:sz w:val="24"/>
          <w:szCs w:val="24"/>
          <w:lang w:val="en-GB"/>
        </w:rPr>
        <w:t>.</w:t>
      </w:r>
      <w:r>
        <w:rPr>
          <w:rFonts w:ascii="Times New Roman" w:hAnsi="Times New Roman"/>
          <w:bCs/>
          <w:kern w:val="2"/>
          <w:sz w:val="24"/>
          <w:szCs w:val="24"/>
          <w:lang w:val="en-GB"/>
        </w:rPr>
        <w:t xml:space="preserve"> C</w:t>
      </w:r>
      <w:r>
        <w:rPr>
          <w:rFonts w:ascii="Times New Roman" w:hAnsi="Times New Roman"/>
          <w:bCs/>
          <w:kern w:val="2"/>
          <w:sz w:val="24"/>
          <w:szCs w:val="24"/>
          <w:lang w:val="en-GB"/>
        </w:rPr>
        <w:t xml:space="preserve">em Palandökenler applied to the Constitutional Court on 4 April 2017 (application </w:t>
      </w:r>
      <w:r w:rsidR="009A3022">
        <w:rPr>
          <w:rFonts w:ascii="Times New Roman" w:hAnsi="Times New Roman"/>
          <w:bCs/>
          <w:kern w:val="2"/>
          <w:sz w:val="24"/>
          <w:szCs w:val="24"/>
          <w:lang w:val="en-GB"/>
        </w:rPr>
        <w:t>no.</w:t>
      </w:r>
      <w:r>
        <w:rPr>
          <w:rFonts w:ascii="Times New Roman" w:hAnsi="Times New Roman"/>
          <w:bCs/>
          <w:kern w:val="2"/>
          <w:sz w:val="24"/>
          <w:szCs w:val="24"/>
          <w:lang w:val="en-GB"/>
        </w:rPr>
        <w:t xml:space="preserve"> 2017/20170)</w:t>
      </w:r>
      <w:r w:rsidR="005B0BCE">
        <w:rPr>
          <w:rFonts w:ascii="Times New Roman" w:hAnsi="Times New Roman"/>
          <w:bCs/>
          <w:kern w:val="2"/>
          <w:sz w:val="24"/>
          <w:szCs w:val="24"/>
          <w:lang w:val="en-GB"/>
        </w:rPr>
        <w:t>.</w:t>
      </w:r>
    </w:p>
    <w:p w14:paraId="4F672BD7" w14:textId="77777777" w:rsidR="00892D16" w:rsidRDefault="00A56A0F" w:rsidP="005B0BCE">
      <w:pPr>
        <w:pStyle w:val="ListParagraph"/>
        <w:numPr>
          <w:ilvl w:val="0"/>
          <w:numId w:val="7"/>
        </w:numPr>
        <w:topLinePunct/>
        <w:spacing w:after="240"/>
        <w:ind w:left="851" w:right="227"/>
        <w:jc w:val="both"/>
        <w:rPr>
          <w:rFonts w:ascii="Times New Roman" w:hAnsi="Times New Roman"/>
          <w:bCs/>
          <w:kern w:val="2"/>
          <w:sz w:val="24"/>
          <w:szCs w:val="24"/>
          <w:lang w:val="en-GB"/>
        </w:rPr>
      </w:pPr>
      <w:r>
        <w:rPr>
          <w:rFonts w:ascii="Times New Roman" w:hAnsi="Times New Roman"/>
          <w:bCs/>
          <w:kern w:val="2"/>
          <w:sz w:val="24"/>
          <w:szCs w:val="24"/>
          <w:lang w:val="en-GB"/>
        </w:rPr>
        <w:t>Mr</w:t>
      </w:r>
      <w:r w:rsidR="00582E74">
        <w:rPr>
          <w:rFonts w:ascii="Times New Roman" w:hAnsi="Times New Roman"/>
          <w:bCs/>
          <w:kern w:val="2"/>
          <w:sz w:val="24"/>
          <w:szCs w:val="24"/>
          <w:lang w:val="en-GB"/>
        </w:rPr>
        <w:t>.</w:t>
      </w:r>
      <w:r>
        <w:rPr>
          <w:rFonts w:ascii="Times New Roman" w:hAnsi="Times New Roman"/>
          <w:bCs/>
          <w:kern w:val="2"/>
          <w:sz w:val="24"/>
          <w:szCs w:val="24"/>
          <w:lang w:val="en-GB"/>
        </w:rPr>
        <w:t xml:space="preserve"> Arden Üzel applied to the Constitutional Court on 22 May </w:t>
      </w:r>
      <w:r w:rsidR="002B30C1" w:rsidRPr="002B30C1">
        <w:rPr>
          <w:rFonts w:ascii="Times New Roman" w:hAnsi="Times New Roman"/>
          <w:bCs/>
          <w:kern w:val="2"/>
          <w:sz w:val="24"/>
          <w:szCs w:val="24"/>
          <w:lang w:val="en-GB"/>
        </w:rPr>
        <w:t>2017</w:t>
      </w:r>
      <w:r>
        <w:rPr>
          <w:rFonts w:ascii="Times New Roman" w:hAnsi="Times New Roman"/>
          <w:bCs/>
          <w:kern w:val="2"/>
          <w:sz w:val="24"/>
          <w:szCs w:val="24"/>
          <w:lang w:val="en-GB"/>
        </w:rPr>
        <w:t xml:space="preserve"> (application </w:t>
      </w:r>
      <w:r w:rsidR="009A3022">
        <w:rPr>
          <w:rFonts w:ascii="Times New Roman" w:hAnsi="Times New Roman"/>
          <w:bCs/>
          <w:kern w:val="2"/>
          <w:sz w:val="24"/>
          <w:szCs w:val="24"/>
          <w:lang w:val="en-GB"/>
        </w:rPr>
        <w:t>no.</w:t>
      </w:r>
      <w:r>
        <w:rPr>
          <w:rFonts w:ascii="Times New Roman" w:hAnsi="Times New Roman"/>
          <w:bCs/>
          <w:kern w:val="2"/>
          <w:sz w:val="24"/>
          <w:szCs w:val="24"/>
          <w:lang w:val="en-GB"/>
        </w:rPr>
        <w:t xml:space="preserve"> 2017/24734)</w:t>
      </w:r>
      <w:r w:rsidR="005B0BCE">
        <w:rPr>
          <w:rFonts w:ascii="Times New Roman" w:hAnsi="Times New Roman"/>
          <w:bCs/>
          <w:kern w:val="2"/>
          <w:sz w:val="24"/>
          <w:szCs w:val="24"/>
          <w:lang w:val="en-GB"/>
        </w:rPr>
        <w:t>.</w:t>
      </w:r>
    </w:p>
    <w:p w14:paraId="4409A58E" w14:textId="77777777" w:rsidR="00892D16" w:rsidRDefault="00A56A0F" w:rsidP="005B0BCE">
      <w:pPr>
        <w:pStyle w:val="ListParagraph"/>
        <w:numPr>
          <w:ilvl w:val="0"/>
          <w:numId w:val="7"/>
        </w:numPr>
        <w:topLinePunct/>
        <w:spacing w:after="240"/>
        <w:ind w:left="851" w:right="227"/>
        <w:jc w:val="both"/>
        <w:rPr>
          <w:rFonts w:ascii="Times New Roman" w:hAnsi="Times New Roman"/>
          <w:bCs/>
          <w:kern w:val="2"/>
          <w:sz w:val="24"/>
          <w:szCs w:val="24"/>
          <w:lang w:val="en-GB"/>
        </w:rPr>
      </w:pPr>
      <w:r>
        <w:rPr>
          <w:rFonts w:ascii="Times New Roman" w:hAnsi="Times New Roman"/>
          <w:bCs/>
          <w:kern w:val="2"/>
          <w:sz w:val="24"/>
          <w:szCs w:val="24"/>
          <w:lang w:val="en-GB"/>
        </w:rPr>
        <w:t>Mr</w:t>
      </w:r>
      <w:r w:rsidR="00582E74">
        <w:rPr>
          <w:rFonts w:ascii="Times New Roman" w:hAnsi="Times New Roman"/>
          <w:bCs/>
          <w:kern w:val="2"/>
          <w:sz w:val="24"/>
          <w:szCs w:val="24"/>
          <w:lang w:val="en-GB"/>
        </w:rPr>
        <w:t>.</w:t>
      </w:r>
      <w:r>
        <w:rPr>
          <w:rFonts w:ascii="Times New Roman" w:hAnsi="Times New Roman"/>
          <w:bCs/>
          <w:kern w:val="2"/>
          <w:sz w:val="24"/>
          <w:szCs w:val="24"/>
          <w:lang w:val="en-GB"/>
        </w:rPr>
        <w:t xml:space="preserve"> İbrahim Varıcılar applied to the Constitutional Court on </w:t>
      </w:r>
      <w:r>
        <w:rPr>
          <w:rFonts w:ascii="Times New Roman" w:hAnsi="Times New Roman"/>
          <w:bCs/>
          <w:kern w:val="2"/>
          <w:sz w:val="24"/>
          <w:szCs w:val="24"/>
          <w:lang w:val="en-GB"/>
        </w:rPr>
        <w:t xml:space="preserve">13 October 2017 (application </w:t>
      </w:r>
      <w:r w:rsidR="009A3022">
        <w:rPr>
          <w:rFonts w:ascii="Times New Roman" w:hAnsi="Times New Roman"/>
          <w:bCs/>
          <w:kern w:val="2"/>
          <w:sz w:val="24"/>
          <w:szCs w:val="24"/>
          <w:lang w:val="en-GB"/>
        </w:rPr>
        <w:t>no.</w:t>
      </w:r>
      <w:r>
        <w:rPr>
          <w:rFonts w:ascii="Times New Roman" w:hAnsi="Times New Roman"/>
          <w:bCs/>
          <w:kern w:val="2"/>
          <w:sz w:val="24"/>
          <w:szCs w:val="24"/>
          <w:lang w:val="en-GB"/>
        </w:rPr>
        <w:t xml:space="preserve"> 2017/35626)</w:t>
      </w:r>
      <w:r w:rsidR="005B0BCE">
        <w:rPr>
          <w:rFonts w:ascii="Times New Roman" w:hAnsi="Times New Roman"/>
          <w:bCs/>
          <w:kern w:val="2"/>
          <w:sz w:val="24"/>
          <w:szCs w:val="24"/>
          <w:lang w:val="en-GB"/>
        </w:rPr>
        <w:t>.</w:t>
      </w:r>
    </w:p>
    <w:p w14:paraId="4121193E" w14:textId="77777777" w:rsidR="00892D16" w:rsidRDefault="00A56A0F" w:rsidP="005B0BCE">
      <w:pPr>
        <w:pStyle w:val="ListParagraph"/>
        <w:numPr>
          <w:ilvl w:val="0"/>
          <w:numId w:val="7"/>
        </w:numPr>
        <w:topLinePunct/>
        <w:spacing w:after="240"/>
        <w:ind w:left="851" w:right="227"/>
        <w:jc w:val="both"/>
        <w:rPr>
          <w:rFonts w:ascii="Times New Roman" w:hAnsi="Times New Roman"/>
          <w:bCs/>
          <w:kern w:val="2"/>
          <w:sz w:val="24"/>
          <w:szCs w:val="24"/>
          <w:lang w:val="en-GB"/>
        </w:rPr>
      </w:pPr>
      <w:r>
        <w:rPr>
          <w:rFonts w:ascii="Times New Roman" w:hAnsi="Times New Roman"/>
          <w:bCs/>
          <w:kern w:val="2"/>
          <w:sz w:val="24"/>
          <w:szCs w:val="24"/>
          <w:lang w:val="en-GB"/>
        </w:rPr>
        <w:t>Mr</w:t>
      </w:r>
      <w:r w:rsidR="00582E74">
        <w:rPr>
          <w:rFonts w:ascii="Times New Roman" w:hAnsi="Times New Roman"/>
          <w:bCs/>
          <w:kern w:val="2"/>
          <w:sz w:val="24"/>
          <w:szCs w:val="24"/>
          <w:lang w:val="en-GB"/>
        </w:rPr>
        <w:t>.</w:t>
      </w:r>
      <w:r>
        <w:rPr>
          <w:rFonts w:ascii="Times New Roman" w:hAnsi="Times New Roman"/>
          <w:bCs/>
          <w:kern w:val="2"/>
          <w:sz w:val="24"/>
          <w:szCs w:val="24"/>
          <w:lang w:val="en-GB"/>
        </w:rPr>
        <w:t xml:space="preserve"> Berge Çelikyazıcıyan applied to the Constitutional Court on 5 December 2017 (application </w:t>
      </w:r>
      <w:r w:rsidR="009A3022">
        <w:rPr>
          <w:rFonts w:ascii="Times New Roman" w:hAnsi="Times New Roman"/>
          <w:bCs/>
          <w:kern w:val="2"/>
          <w:sz w:val="24"/>
          <w:szCs w:val="24"/>
          <w:lang w:val="en-GB"/>
        </w:rPr>
        <w:t>no.</w:t>
      </w:r>
      <w:r>
        <w:rPr>
          <w:rFonts w:ascii="Times New Roman" w:hAnsi="Times New Roman"/>
          <w:bCs/>
          <w:kern w:val="2"/>
          <w:sz w:val="24"/>
          <w:szCs w:val="24"/>
          <w:lang w:val="en-GB"/>
        </w:rPr>
        <w:t xml:space="preserve"> 2017/39393)</w:t>
      </w:r>
      <w:r w:rsidR="005B0BCE">
        <w:rPr>
          <w:rFonts w:ascii="Times New Roman" w:hAnsi="Times New Roman"/>
          <w:bCs/>
          <w:kern w:val="2"/>
          <w:sz w:val="24"/>
          <w:szCs w:val="24"/>
          <w:lang w:val="en-GB"/>
        </w:rPr>
        <w:t>.</w:t>
      </w:r>
    </w:p>
    <w:p w14:paraId="2DD24581" w14:textId="77777777" w:rsidR="00892D16" w:rsidRDefault="00A56A0F" w:rsidP="005B0BCE">
      <w:pPr>
        <w:pStyle w:val="ListParagraph"/>
        <w:numPr>
          <w:ilvl w:val="0"/>
          <w:numId w:val="7"/>
        </w:numPr>
        <w:topLinePunct/>
        <w:spacing w:after="240"/>
        <w:ind w:left="851" w:right="227"/>
        <w:jc w:val="both"/>
        <w:rPr>
          <w:rFonts w:ascii="Times New Roman" w:hAnsi="Times New Roman"/>
          <w:bCs/>
          <w:kern w:val="2"/>
          <w:sz w:val="24"/>
          <w:szCs w:val="24"/>
          <w:lang w:val="en-GB"/>
        </w:rPr>
      </w:pPr>
      <w:r>
        <w:rPr>
          <w:rFonts w:ascii="Times New Roman" w:hAnsi="Times New Roman"/>
          <w:bCs/>
          <w:kern w:val="2"/>
          <w:sz w:val="24"/>
          <w:szCs w:val="24"/>
          <w:lang w:val="en-GB"/>
        </w:rPr>
        <w:t>Mr</w:t>
      </w:r>
      <w:r w:rsidR="00582E74">
        <w:rPr>
          <w:rFonts w:ascii="Times New Roman" w:hAnsi="Times New Roman"/>
          <w:bCs/>
          <w:kern w:val="2"/>
          <w:sz w:val="24"/>
          <w:szCs w:val="24"/>
          <w:lang w:val="en-GB"/>
        </w:rPr>
        <w:t>.</w:t>
      </w:r>
      <w:r>
        <w:rPr>
          <w:rFonts w:ascii="Times New Roman" w:hAnsi="Times New Roman"/>
          <w:bCs/>
          <w:kern w:val="2"/>
          <w:sz w:val="24"/>
          <w:szCs w:val="24"/>
          <w:lang w:val="en-GB"/>
        </w:rPr>
        <w:t xml:space="preserve"> Yakup Erdem Bilensir applied to the Constitutional Court on 21 June 2018 (application </w:t>
      </w:r>
      <w:r w:rsidR="009A3022">
        <w:rPr>
          <w:rFonts w:ascii="Times New Roman" w:hAnsi="Times New Roman"/>
          <w:bCs/>
          <w:kern w:val="2"/>
          <w:sz w:val="24"/>
          <w:szCs w:val="24"/>
          <w:lang w:val="en-GB"/>
        </w:rPr>
        <w:t>no.</w:t>
      </w:r>
      <w:r>
        <w:rPr>
          <w:rFonts w:ascii="Times New Roman" w:hAnsi="Times New Roman"/>
          <w:bCs/>
          <w:kern w:val="2"/>
          <w:sz w:val="24"/>
          <w:szCs w:val="24"/>
          <w:lang w:val="en-GB"/>
        </w:rPr>
        <w:t xml:space="preserve"> 2018/19904)</w:t>
      </w:r>
      <w:r w:rsidR="005B0BCE">
        <w:rPr>
          <w:rFonts w:ascii="Times New Roman" w:hAnsi="Times New Roman"/>
          <w:bCs/>
          <w:kern w:val="2"/>
          <w:sz w:val="24"/>
          <w:szCs w:val="24"/>
          <w:lang w:val="en-GB"/>
        </w:rPr>
        <w:t>.</w:t>
      </w:r>
    </w:p>
    <w:p w14:paraId="76C12181" w14:textId="77777777" w:rsidR="00892D16" w:rsidRDefault="00A56A0F" w:rsidP="005B0BCE">
      <w:pPr>
        <w:pStyle w:val="ListParagraph"/>
        <w:numPr>
          <w:ilvl w:val="0"/>
          <w:numId w:val="7"/>
        </w:numPr>
        <w:topLinePunct/>
        <w:spacing w:after="240"/>
        <w:ind w:left="851" w:right="227"/>
        <w:jc w:val="both"/>
        <w:rPr>
          <w:rFonts w:ascii="Times New Roman" w:hAnsi="Times New Roman"/>
          <w:bCs/>
          <w:kern w:val="2"/>
          <w:sz w:val="24"/>
          <w:szCs w:val="24"/>
          <w:lang w:val="en-GB"/>
        </w:rPr>
      </w:pPr>
      <w:r>
        <w:rPr>
          <w:rFonts w:ascii="Times New Roman" w:hAnsi="Times New Roman"/>
          <w:bCs/>
          <w:kern w:val="2"/>
          <w:sz w:val="24"/>
          <w:szCs w:val="24"/>
          <w:lang w:val="en-GB"/>
        </w:rPr>
        <w:t>Mr</w:t>
      </w:r>
      <w:r w:rsidR="00582E74">
        <w:rPr>
          <w:rFonts w:ascii="Times New Roman" w:hAnsi="Times New Roman"/>
          <w:bCs/>
          <w:kern w:val="2"/>
          <w:sz w:val="24"/>
          <w:szCs w:val="24"/>
          <w:lang w:val="en-GB"/>
        </w:rPr>
        <w:t>.</w:t>
      </w:r>
      <w:r>
        <w:rPr>
          <w:rFonts w:ascii="Times New Roman" w:hAnsi="Times New Roman"/>
          <w:bCs/>
          <w:kern w:val="2"/>
          <w:sz w:val="24"/>
          <w:szCs w:val="24"/>
          <w:lang w:val="en-GB"/>
        </w:rPr>
        <w:t xml:space="preserve"> Arif Emrah Orak applied to the Constitutional Court on 7 August 2018 (application </w:t>
      </w:r>
      <w:r w:rsidR="009A3022">
        <w:rPr>
          <w:rFonts w:ascii="Times New Roman" w:hAnsi="Times New Roman"/>
          <w:bCs/>
          <w:kern w:val="2"/>
          <w:sz w:val="24"/>
          <w:szCs w:val="24"/>
          <w:lang w:val="en-GB"/>
        </w:rPr>
        <w:t>no.</w:t>
      </w:r>
      <w:r>
        <w:rPr>
          <w:rFonts w:ascii="Times New Roman" w:hAnsi="Times New Roman"/>
          <w:bCs/>
          <w:kern w:val="2"/>
          <w:sz w:val="24"/>
          <w:szCs w:val="24"/>
          <w:lang w:val="en-GB"/>
        </w:rPr>
        <w:t xml:space="preserve"> 2018/25273</w:t>
      </w:r>
      <w:r w:rsidR="005B0BCE">
        <w:rPr>
          <w:rFonts w:ascii="Times New Roman" w:hAnsi="Times New Roman"/>
          <w:bCs/>
          <w:kern w:val="2"/>
          <w:sz w:val="24"/>
          <w:szCs w:val="24"/>
          <w:lang w:val="en-GB"/>
        </w:rPr>
        <w:t>).</w:t>
      </w:r>
    </w:p>
    <w:p w14:paraId="6A2F422E" w14:textId="77777777" w:rsidR="00FC7883" w:rsidRPr="00FC7883" w:rsidRDefault="00A56A0F" w:rsidP="005B0BCE">
      <w:pPr>
        <w:pStyle w:val="ListParagraph"/>
        <w:numPr>
          <w:ilvl w:val="0"/>
          <w:numId w:val="7"/>
        </w:numPr>
        <w:topLinePunct/>
        <w:spacing w:after="240"/>
        <w:ind w:left="851" w:right="227"/>
        <w:jc w:val="both"/>
        <w:rPr>
          <w:rFonts w:ascii="Times New Roman" w:hAnsi="Times New Roman"/>
          <w:bCs/>
          <w:kern w:val="2"/>
          <w:sz w:val="24"/>
          <w:szCs w:val="24"/>
          <w:lang w:val="en-GB"/>
        </w:rPr>
      </w:pPr>
      <w:r>
        <w:rPr>
          <w:rFonts w:ascii="Times New Roman" w:hAnsi="Times New Roman"/>
          <w:bCs/>
          <w:kern w:val="2"/>
          <w:sz w:val="24"/>
          <w:szCs w:val="24"/>
          <w:lang w:val="en-GB"/>
        </w:rPr>
        <w:t>Mr</w:t>
      </w:r>
      <w:r w:rsidR="00582E74">
        <w:rPr>
          <w:rFonts w:ascii="Times New Roman" w:hAnsi="Times New Roman"/>
          <w:bCs/>
          <w:kern w:val="2"/>
          <w:sz w:val="24"/>
          <w:szCs w:val="24"/>
          <w:lang w:val="en-GB"/>
        </w:rPr>
        <w:t>.</w:t>
      </w:r>
      <w:r>
        <w:rPr>
          <w:rFonts w:ascii="Times New Roman" w:hAnsi="Times New Roman"/>
          <w:bCs/>
          <w:kern w:val="2"/>
          <w:sz w:val="24"/>
          <w:szCs w:val="24"/>
          <w:lang w:val="en-GB"/>
        </w:rPr>
        <w:t xml:space="preserve"> Sami Şekip Peker applied to the Constitutional Court on 5 November 2018 (application </w:t>
      </w:r>
      <w:r w:rsidR="009A3022">
        <w:rPr>
          <w:rFonts w:ascii="Times New Roman" w:hAnsi="Times New Roman"/>
          <w:bCs/>
          <w:kern w:val="2"/>
          <w:sz w:val="24"/>
          <w:szCs w:val="24"/>
          <w:lang w:val="en-GB"/>
        </w:rPr>
        <w:t>no.</w:t>
      </w:r>
      <w:r>
        <w:rPr>
          <w:rFonts w:ascii="Times New Roman" w:hAnsi="Times New Roman"/>
          <w:bCs/>
          <w:kern w:val="2"/>
          <w:sz w:val="24"/>
          <w:szCs w:val="24"/>
          <w:lang w:val="en-GB"/>
        </w:rPr>
        <w:t xml:space="preserve"> 2018/36419)</w:t>
      </w:r>
      <w:r w:rsidR="005B0BCE">
        <w:rPr>
          <w:rFonts w:ascii="Times New Roman" w:hAnsi="Times New Roman"/>
          <w:bCs/>
          <w:kern w:val="2"/>
          <w:sz w:val="24"/>
          <w:szCs w:val="24"/>
          <w:lang w:val="en-GB"/>
        </w:rPr>
        <w:t>.</w:t>
      </w:r>
    </w:p>
    <w:p w14:paraId="320AC357" w14:textId="77777777" w:rsidR="00892D16" w:rsidRDefault="00A56A0F" w:rsidP="000F5997">
      <w:pPr>
        <w:pStyle w:val="ListParagraph"/>
        <w:numPr>
          <w:ilvl w:val="0"/>
          <w:numId w:val="7"/>
        </w:numPr>
        <w:tabs>
          <w:tab w:val="left" w:pos="993"/>
        </w:tabs>
        <w:topLinePunct/>
        <w:spacing w:after="240"/>
        <w:ind w:left="851" w:right="227"/>
        <w:jc w:val="both"/>
        <w:rPr>
          <w:rFonts w:ascii="Times New Roman" w:hAnsi="Times New Roman"/>
          <w:bCs/>
          <w:kern w:val="2"/>
          <w:sz w:val="24"/>
          <w:szCs w:val="24"/>
          <w:lang w:val="en-GB"/>
        </w:rPr>
      </w:pPr>
      <w:r>
        <w:rPr>
          <w:rFonts w:ascii="Times New Roman" w:hAnsi="Times New Roman"/>
          <w:bCs/>
          <w:kern w:val="2"/>
          <w:sz w:val="24"/>
          <w:szCs w:val="24"/>
          <w:lang w:val="en-GB"/>
        </w:rPr>
        <w:t>Mr</w:t>
      </w:r>
      <w:r w:rsidR="00582E74">
        <w:rPr>
          <w:rFonts w:ascii="Times New Roman" w:hAnsi="Times New Roman"/>
          <w:bCs/>
          <w:kern w:val="2"/>
          <w:sz w:val="24"/>
          <w:szCs w:val="24"/>
          <w:lang w:val="en-GB"/>
        </w:rPr>
        <w:t>.</w:t>
      </w:r>
      <w:r>
        <w:rPr>
          <w:rFonts w:ascii="Times New Roman" w:hAnsi="Times New Roman"/>
          <w:bCs/>
          <w:kern w:val="2"/>
          <w:sz w:val="24"/>
          <w:szCs w:val="24"/>
          <w:lang w:val="en-GB"/>
        </w:rPr>
        <w:t xml:space="preserve"> Mustafa Türközü applied to th</w:t>
      </w:r>
      <w:r>
        <w:rPr>
          <w:rFonts w:ascii="Times New Roman" w:hAnsi="Times New Roman"/>
          <w:bCs/>
          <w:kern w:val="2"/>
          <w:sz w:val="24"/>
          <w:szCs w:val="24"/>
          <w:lang w:val="en-GB"/>
        </w:rPr>
        <w:t xml:space="preserve">e Constitutional Court on 18 March 2019 (application </w:t>
      </w:r>
      <w:r w:rsidR="009A3022">
        <w:rPr>
          <w:rFonts w:ascii="Times New Roman" w:hAnsi="Times New Roman"/>
          <w:bCs/>
          <w:kern w:val="2"/>
          <w:sz w:val="24"/>
          <w:szCs w:val="24"/>
          <w:lang w:val="en-GB"/>
        </w:rPr>
        <w:t>no.</w:t>
      </w:r>
      <w:r>
        <w:rPr>
          <w:rFonts w:ascii="Times New Roman" w:hAnsi="Times New Roman"/>
          <w:bCs/>
          <w:kern w:val="2"/>
          <w:sz w:val="24"/>
          <w:szCs w:val="24"/>
          <w:lang w:val="en-GB"/>
        </w:rPr>
        <w:t xml:space="preserve"> 2019/9217)</w:t>
      </w:r>
      <w:r w:rsidR="005B0BCE">
        <w:rPr>
          <w:rFonts w:ascii="Times New Roman" w:hAnsi="Times New Roman"/>
          <w:bCs/>
          <w:kern w:val="2"/>
          <w:sz w:val="24"/>
          <w:szCs w:val="24"/>
          <w:lang w:val="en-GB"/>
        </w:rPr>
        <w:t>.</w:t>
      </w:r>
    </w:p>
    <w:p w14:paraId="61F4B845" w14:textId="77777777" w:rsidR="00892D16" w:rsidRDefault="00A56A0F" w:rsidP="000F5997">
      <w:pPr>
        <w:pStyle w:val="ListParagraph"/>
        <w:numPr>
          <w:ilvl w:val="0"/>
          <w:numId w:val="7"/>
        </w:numPr>
        <w:tabs>
          <w:tab w:val="left" w:pos="993"/>
        </w:tabs>
        <w:topLinePunct/>
        <w:spacing w:after="240"/>
        <w:ind w:left="851" w:right="227"/>
        <w:jc w:val="both"/>
        <w:rPr>
          <w:rFonts w:ascii="Times New Roman" w:hAnsi="Times New Roman"/>
          <w:bCs/>
          <w:kern w:val="2"/>
          <w:sz w:val="24"/>
          <w:szCs w:val="24"/>
          <w:lang w:val="en-GB"/>
        </w:rPr>
      </w:pPr>
      <w:r>
        <w:rPr>
          <w:rFonts w:ascii="Times New Roman" w:hAnsi="Times New Roman"/>
          <w:bCs/>
          <w:kern w:val="2"/>
          <w:sz w:val="24"/>
          <w:szCs w:val="24"/>
          <w:lang w:val="en-GB"/>
        </w:rPr>
        <w:t>Mr</w:t>
      </w:r>
      <w:r w:rsidR="00582E74">
        <w:rPr>
          <w:rFonts w:ascii="Times New Roman" w:hAnsi="Times New Roman"/>
          <w:bCs/>
          <w:kern w:val="2"/>
          <w:sz w:val="24"/>
          <w:szCs w:val="24"/>
          <w:lang w:val="en-GB"/>
        </w:rPr>
        <w:t>.</w:t>
      </w:r>
      <w:r>
        <w:rPr>
          <w:rFonts w:ascii="Times New Roman" w:hAnsi="Times New Roman"/>
          <w:bCs/>
          <w:kern w:val="2"/>
          <w:sz w:val="24"/>
          <w:szCs w:val="24"/>
          <w:lang w:val="en-GB"/>
        </w:rPr>
        <w:t xml:space="preserve"> Altuğ Öncü applied to the Constitutional Court on 1 April 2019 (application </w:t>
      </w:r>
      <w:r w:rsidR="009A3022">
        <w:rPr>
          <w:rFonts w:ascii="Times New Roman" w:hAnsi="Times New Roman"/>
          <w:bCs/>
          <w:kern w:val="2"/>
          <w:sz w:val="24"/>
          <w:szCs w:val="24"/>
          <w:lang w:val="en-GB"/>
        </w:rPr>
        <w:t>no.</w:t>
      </w:r>
      <w:r>
        <w:rPr>
          <w:rFonts w:ascii="Times New Roman" w:hAnsi="Times New Roman"/>
          <w:bCs/>
          <w:kern w:val="2"/>
          <w:sz w:val="24"/>
          <w:szCs w:val="24"/>
          <w:lang w:val="en-GB"/>
        </w:rPr>
        <w:t xml:space="preserve"> 2019/11268)</w:t>
      </w:r>
      <w:r w:rsidR="005B0BCE">
        <w:rPr>
          <w:rFonts w:ascii="Times New Roman" w:hAnsi="Times New Roman"/>
          <w:bCs/>
          <w:kern w:val="2"/>
          <w:sz w:val="24"/>
          <w:szCs w:val="24"/>
          <w:lang w:val="en-GB"/>
        </w:rPr>
        <w:t>.</w:t>
      </w:r>
    </w:p>
    <w:p w14:paraId="044E1CD7" w14:textId="77777777" w:rsidR="00892D16" w:rsidRDefault="00A56A0F" w:rsidP="000F5997">
      <w:pPr>
        <w:pStyle w:val="ListParagraph"/>
        <w:numPr>
          <w:ilvl w:val="0"/>
          <w:numId w:val="7"/>
        </w:numPr>
        <w:tabs>
          <w:tab w:val="left" w:pos="993"/>
        </w:tabs>
        <w:topLinePunct/>
        <w:spacing w:after="240"/>
        <w:ind w:left="851" w:right="227"/>
        <w:jc w:val="both"/>
        <w:rPr>
          <w:rFonts w:ascii="Times New Roman" w:hAnsi="Times New Roman"/>
          <w:bCs/>
          <w:kern w:val="2"/>
          <w:sz w:val="24"/>
          <w:szCs w:val="24"/>
          <w:lang w:val="en-GB"/>
        </w:rPr>
      </w:pPr>
      <w:r>
        <w:rPr>
          <w:rFonts w:ascii="Times New Roman" w:hAnsi="Times New Roman"/>
          <w:bCs/>
          <w:kern w:val="2"/>
          <w:sz w:val="24"/>
          <w:szCs w:val="24"/>
          <w:lang w:val="en-GB"/>
        </w:rPr>
        <w:t>Mr</w:t>
      </w:r>
      <w:r w:rsidR="00582E74">
        <w:rPr>
          <w:rFonts w:ascii="Times New Roman" w:hAnsi="Times New Roman"/>
          <w:bCs/>
          <w:kern w:val="2"/>
          <w:sz w:val="24"/>
          <w:szCs w:val="24"/>
          <w:lang w:val="en-GB"/>
        </w:rPr>
        <w:t>.</w:t>
      </w:r>
      <w:r>
        <w:rPr>
          <w:rFonts w:ascii="Times New Roman" w:hAnsi="Times New Roman"/>
          <w:bCs/>
          <w:kern w:val="2"/>
          <w:sz w:val="24"/>
          <w:szCs w:val="24"/>
          <w:lang w:val="en-GB"/>
        </w:rPr>
        <w:t xml:space="preserve"> Nuri Elbe applied to the Constitutional Court on 18 April 2019 (application </w:t>
      </w:r>
      <w:r w:rsidR="009A3022">
        <w:rPr>
          <w:rFonts w:ascii="Times New Roman" w:hAnsi="Times New Roman"/>
          <w:bCs/>
          <w:kern w:val="2"/>
          <w:sz w:val="24"/>
          <w:szCs w:val="24"/>
          <w:lang w:val="en-GB"/>
        </w:rPr>
        <w:t>no.</w:t>
      </w:r>
      <w:r>
        <w:rPr>
          <w:rFonts w:ascii="Times New Roman" w:hAnsi="Times New Roman"/>
          <w:bCs/>
          <w:kern w:val="2"/>
          <w:sz w:val="24"/>
          <w:szCs w:val="24"/>
          <w:lang w:val="en-GB"/>
        </w:rPr>
        <w:t xml:space="preserve"> 2019/1</w:t>
      </w:r>
      <w:r>
        <w:rPr>
          <w:rFonts w:ascii="Times New Roman" w:hAnsi="Times New Roman"/>
          <w:bCs/>
          <w:kern w:val="2"/>
          <w:sz w:val="24"/>
          <w:szCs w:val="24"/>
          <w:lang w:val="en-GB"/>
        </w:rPr>
        <w:t>3550)</w:t>
      </w:r>
      <w:r w:rsidR="005B0BCE">
        <w:rPr>
          <w:rFonts w:ascii="Times New Roman" w:hAnsi="Times New Roman"/>
          <w:bCs/>
          <w:kern w:val="2"/>
          <w:sz w:val="24"/>
          <w:szCs w:val="24"/>
          <w:lang w:val="en-GB"/>
        </w:rPr>
        <w:t>.</w:t>
      </w:r>
    </w:p>
    <w:p w14:paraId="43B51B8D" w14:textId="77777777" w:rsidR="00892D16" w:rsidRDefault="00A56A0F" w:rsidP="000F5997">
      <w:pPr>
        <w:pStyle w:val="ListParagraph"/>
        <w:numPr>
          <w:ilvl w:val="0"/>
          <w:numId w:val="7"/>
        </w:numPr>
        <w:tabs>
          <w:tab w:val="left" w:pos="993"/>
        </w:tabs>
        <w:topLinePunct/>
        <w:spacing w:after="240"/>
        <w:ind w:left="851" w:right="227"/>
        <w:jc w:val="both"/>
        <w:rPr>
          <w:rFonts w:ascii="Times New Roman" w:hAnsi="Times New Roman"/>
          <w:bCs/>
          <w:kern w:val="2"/>
          <w:sz w:val="24"/>
          <w:szCs w:val="24"/>
          <w:lang w:val="en-GB"/>
        </w:rPr>
      </w:pPr>
      <w:r>
        <w:rPr>
          <w:rFonts w:ascii="Times New Roman" w:hAnsi="Times New Roman"/>
          <w:bCs/>
          <w:kern w:val="2"/>
          <w:sz w:val="24"/>
          <w:szCs w:val="24"/>
          <w:lang w:val="en-GB"/>
        </w:rPr>
        <w:t>Mr</w:t>
      </w:r>
      <w:r w:rsidR="00582E74">
        <w:rPr>
          <w:rFonts w:ascii="Times New Roman" w:hAnsi="Times New Roman"/>
          <w:bCs/>
          <w:kern w:val="2"/>
          <w:sz w:val="24"/>
          <w:szCs w:val="24"/>
          <w:lang w:val="en-GB"/>
        </w:rPr>
        <w:t>.</w:t>
      </w:r>
      <w:r>
        <w:rPr>
          <w:rFonts w:ascii="Times New Roman" w:hAnsi="Times New Roman"/>
          <w:bCs/>
          <w:kern w:val="2"/>
          <w:sz w:val="24"/>
          <w:szCs w:val="24"/>
          <w:lang w:val="en-GB"/>
        </w:rPr>
        <w:t xml:space="preserve"> Öcal Yılmaztürk applied to the Constitutional Court on 18 April 2019 to demand the annulment of an administrative fine given to him for refusal to serve in the military. </w:t>
      </w:r>
      <w:r w:rsidR="00FC7883">
        <w:rPr>
          <w:rFonts w:ascii="Times New Roman" w:hAnsi="Times New Roman"/>
          <w:bCs/>
          <w:kern w:val="2"/>
          <w:sz w:val="24"/>
          <w:szCs w:val="24"/>
          <w:lang w:val="en-GB"/>
        </w:rPr>
        <w:t xml:space="preserve">(application </w:t>
      </w:r>
      <w:r w:rsidR="009A3022">
        <w:rPr>
          <w:rFonts w:ascii="Times New Roman" w:hAnsi="Times New Roman"/>
          <w:bCs/>
          <w:kern w:val="2"/>
          <w:sz w:val="24"/>
          <w:szCs w:val="24"/>
          <w:lang w:val="en-GB"/>
        </w:rPr>
        <w:t>no.</w:t>
      </w:r>
      <w:r w:rsidR="00FC7883">
        <w:rPr>
          <w:rFonts w:ascii="Times New Roman" w:hAnsi="Times New Roman"/>
          <w:bCs/>
          <w:kern w:val="2"/>
          <w:sz w:val="24"/>
          <w:szCs w:val="24"/>
          <w:lang w:val="en-GB"/>
        </w:rPr>
        <w:t xml:space="preserve"> 2019/13456)</w:t>
      </w:r>
      <w:r w:rsidR="005B0BCE">
        <w:rPr>
          <w:rFonts w:ascii="Times New Roman" w:hAnsi="Times New Roman"/>
          <w:bCs/>
          <w:kern w:val="2"/>
          <w:sz w:val="24"/>
          <w:szCs w:val="24"/>
          <w:lang w:val="en-GB"/>
        </w:rPr>
        <w:t>.</w:t>
      </w:r>
    </w:p>
    <w:p w14:paraId="15EED9F3" w14:textId="77777777" w:rsidR="009D3E6D" w:rsidRDefault="00A56A0F" w:rsidP="000F5997">
      <w:pPr>
        <w:pStyle w:val="ListParagraph"/>
        <w:numPr>
          <w:ilvl w:val="0"/>
          <w:numId w:val="7"/>
        </w:numPr>
        <w:tabs>
          <w:tab w:val="left" w:pos="993"/>
        </w:tabs>
        <w:topLinePunct/>
        <w:spacing w:after="240"/>
        <w:ind w:left="851" w:right="227"/>
        <w:jc w:val="both"/>
        <w:rPr>
          <w:rFonts w:ascii="Times New Roman" w:hAnsi="Times New Roman"/>
          <w:bCs/>
          <w:kern w:val="2"/>
          <w:sz w:val="24"/>
          <w:szCs w:val="24"/>
          <w:lang w:val="en-GB"/>
        </w:rPr>
      </w:pPr>
      <w:r>
        <w:rPr>
          <w:rFonts w:ascii="Times New Roman" w:hAnsi="Times New Roman"/>
          <w:bCs/>
          <w:kern w:val="2"/>
          <w:sz w:val="24"/>
          <w:szCs w:val="24"/>
          <w:lang w:val="en-GB" w:eastAsia="ko-KR"/>
        </w:rPr>
        <w:t>Mr</w:t>
      </w:r>
      <w:r w:rsidR="00582E74">
        <w:rPr>
          <w:rFonts w:ascii="Times New Roman" w:hAnsi="Times New Roman"/>
          <w:bCs/>
          <w:kern w:val="2"/>
          <w:sz w:val="24"/>
          <w:szCs w:val="24"/>
          <w:lang w:val="en-GB" w:eastAsia="ko-KR"/>
        </w:rPr>
        <w:t>.</w:t>
      </w:r>
      <w:r w:rsidRPr="00DF3B1D">
        <w:rPr>
          <w:rFonts w:ascii="Times New Roman" w:hAnsi="Times New Roman"/>
          <w:bCs/>
          <w:kern w:val="2"/>
          <w:sz w:val="24"/>
          <w:szCs w:val="24"/>
          <w:lang w:val="en-GB" w:eastAsia="ko-KR"/>
        </w:rPr>
        <w:t xml:space="preserve"> Barış</w:t>
      </w:r>
      <w:r>
        <w:rPr>
          <w:rFonts w:ascii="Times New Roman" w:hAnsi="Times New Roman"/>
          <w:bCs/>
          <w:kern w:val="2"/>
          <w:sz w:val="24"/>
          <w:szCs w:val="24"/>
          <w:lang w:val="en-GB" w:eastAsia="ko-KR"/>
        </w:rPr>
        <w:t xml:space="preserve"> </w:t>
      </w:r>
      <w:r w:rsidR="00CC0B01" w:rsidRPr="00DF3B1D">
        <w:rPr>
          <w:rFonts w:ascii="Times New Roman" w:hAnsi="Times New Roman"/>
          <w:bCs/>
          <w:kern w:val="2"/>
          <w:sz w:val="24"/>
          <w:szCs w:val="24"/>
          <w:lang w:val="en-GB" w:eastAsia="ko-KR"/>
        </w:rPr>
        <w:t>Görmez</w:t>
      </w:r>
      <w:r w:rsidR="00CC0B01">
        <w:rPr>
          <w:rFonts w:ascii="Times New Roman" w:hAnsi="Times New Roman"/>
          <w:bCs/>
          <w:kern w:val="2"/>
          <w:sz w:val="24"/>
          <w:szCs w:val="24"/>
          <w:lang w:val="en-GB" w:eastAsia="ko-KR"/>
        </w:rPr>
        <w:t xml:space="preserve"> </w:t>
      </w:r>
      <w:r>
        <w:rPr>
          <w:rFonts w:ascii="Times New Roman" w:hAnsi="Times New Roman"/>
          <w:bCs/>
          <w:kern w:val="2"/>
          <w:sz w:val="24"/>
          <w:szCs w:val="24"/>
          <w:lang w:val="en-GB" w:eastAsia="ko-KR"/>
        </w:rPr>
        <w:t xml:space="preserve">applied to the Constitutional Court on 1 August 2019 (application </w:t>
      </w:r>
      <w:r w:rsidR="009A3022">
        <w:rPr>
          <w:rFonts w:ascii="Times New Roman" w:hAnsi="Times New Roman"/>
          <w:bCs/>
          <w:kern w:val="2"/>
          <w:sz w:val="24"/>
          <w:szCs w:val="24"/>
          <w:lang w:val="en-GB" w:eastAsia="ko-KR"/>
        </w:rPr>
        <w:t>no.</w:t>
      </w:r>
      <w:r>
        <w:rPr>
          <w:rFonts w:ascii="Times New Roman" w:hAnsi="Times New Roman"/>
          <w:bCs/>
          <w:kern w:val="2"/>
          <w:sz w:val="24"/>
          <w:szCs w:val="24"/>
          <w:lang w:val="en-GB" w:eastAsia="ko-KR"/>
        </w:rPr>
        <w:t xml:space="preserve"> 2019/26374)</w:t>
      </w:r>
      <w:r w:rsidR="005B0BCE">
        <w:rPr>
          <w:rFonts w:ascii="Times New Roman" w:hAnsi="Times New Roman"/>
          <w:bCs/>
          <w:kern w:val="2"/>
          <w:sz w:val="24"/>
          <w:szCs w:val="24"/>
          <w:lang w:val="en-GB" w:eastAsia="ko-KR"/>
        </w:rPr>
        <w:t>.</w:t>
      </w:r>
    </w:p>
    <w:p w14:paraId="072BFE12" w14:textId="77777777" w:rsidR="00DF3B1D" w:rsidRDefault="00A56A0F" w:rsidP="000F5997">
      <w:pPr>
        <w:pStyle w:val="ListParagraph"/>
        <w:numPr>
          <w:ilvl w:val="0"/>
          <w:numId w:val="7"/>
        </w:numPr>
        <w:tabs>
          <w:tab w:val="left" w:pos="993"/>
        </w:tabs>
        <w:topLinePunct/>
        <w:spacing w:after="240"/>
        <w:ind w:left="851" w:right="227"/>
        <w:jc w:val="both"/>
        <w:rPr>
          <w:rFonts w:ascii="Times New Roman" w:hAnsi="Times New Roman"/>
          <w:bCs/>
          <w:kern w:val="2"/>
          <w:sz w:val="24"/>
          <w:szCs w:val="24"/>
          <w:lang w:val="en-GB"/>
        </w:rPr>
      </w:pPr>
      <w:r>
        <w:rPr>
          <w:rFonts w:ascii="Times New Roman" w:hAnsi="Times New Roman"/>
          <w:bCs/>
          <w:kern w:val="2"/>
          <w:sz w:val="24"/>
          <w:szCs w:val="24"/>
          <w:lang w:val="en-GB"/>
        </w:rPr>
        <w:t>Mr</w:t>
      </w:r>
      <w:r w:rsidR="00582E74">
        <w:rPr>
          <w:rFonts w:ascii="Times New Roman" w:hAnsi="Times New Roman"/>
          <w:bCs/>
          <w:kern w:val="2"/>
          <w:sz w:val="24"/>
          <w:szCs w:val="24"/>
          <w:lang w:val="en-GB"/>
        </w:rPr>
        <w:t>.</w:t>
      </w:r>
      <w:r w:rsidRPr="00DF3B1D">
        <w:rPr>
          <w:rFonts w:ascii="Times New Roman" w:hAnsi="Times New Roman"/>
          <w:bCs/>
          <w:kern w:val="2"/>
          <w:sz w:val="24"/>
          <w:szCs w:val="24"/>
          <w:lang w:val="en-GB"/>
        </w:rPr>
        <w:t xml:space="preserve"> İlker </w:t>
      </w:r>
      <w:r w:rsidR="00CC0B01" w:rsidRPr="00DF3B1D">
        <w:rPr>
          <w:rFonts w:ascii="Times New Roman" w:hAnsi="Times New Roman"/>
          <w:bCs/>
          <w:kern w:val="2"/>
          <w:sz w:val="24"/>
          <w:szCs w:val="24"/>
          <w:lang w:val="en-GB"/>
        </w:rPr>
        <w:t>Sarıalp</w:t>
      </w:r>
      <w:r w:rsidR="00CC0B01">
        <w:rPr>
          <w:rFonts w:ascii="Times New Roman" w:hAnsi="Times New Roman"/>
          <w:bCs/>
          <w:kern w:val="2"/>
          <w:sz w:val="24"/>
          <w:szCs w:val="24"/>
          <w:lang w:val="en-GB"/>
        </w:rPr>
        <w:t xml:space="preserve"> </w:t>
      </w:r>
      <w:r>
        <w:rPr>
          <w:rFonts w:ascii="Times New Roman" w:hAnsi="Times New Roman"/>
          <w:bCs/>
          <w:kern w:val="2"/>
          <w:sz w:val="24"/>
          <w:szCs w:val="24"/>
          <w:lang w:val="en-GB"/>
        </w:rPr>
        <w:t xml:space="preserve">applied to the Constitutional Court on 21 August 2019 </w:t>
      </w:r>
      <w:r w:rsidRPr="00DF3B1D">
        <w:rPr>
          <w:rFonts w:ascii="Times New Roman" w:hAnsi="Times New Roman"/>
          <w:bCs/>
          <w:kern w:val="2"/>
          <w:sz w:val="24"/>
          <w:szCs w:val="24"/>
          <w:lang w:val="en-GB"/>
        </w:rPr>
        <w:t>(</w:t>
      </w:r>
      <w:r>
        <w:rPr>
          <w:rFonts w:ascii="Times New Roman" w:hAnsi="Times New Roman"/>
          <w:bCs/>
          <w:kern w:val="2"/>
          <w:sz w:val="24"/>
          <w:szCs w:val="24"/>
          <w:lang w:val="en-GB"/>
        </w:rPr>
        <w:t>a</w:t>
      </w:r>
      <w:r w:rsidRPr="00DF3B1D">
        <w:rPr>
          <w:rFonts w:ascii="Times New Roman" w:hAnsi="Times New Roman"/>
          <w:bCs/>
          <w:kern w:val="2"/>
          <w:sz w:val="24"/>
          <w:szCs w:val="24"/>
          <w:lang w:val="en-GB"/>
        </w:rPr>
        <w:t xml:space="preserve">pplication </w:t>
      </w:r>
      <w:r w:rsidR="009A3022">
        <w:rPr>
          <w:rFonts w:ascii="Times New Roman" w:hAnsi="Times New Roman"/>
          <w:bCs/>
          <w:kern w:val="2"/>
          <w:sz w:val="24"/>
          <w:szCs w:val="24"/>
          <w:lang w:val="en-GB"/>
        </w:rPr>
        <w:t>no.</w:t>
      </w:r>
      <w:r w:rsidRPr="00DF3B1D">
        <w:rPr>
          <w:rFonts w:ascii="Times New Roman" w:hAnsi="Times New Roman"/>
          <w:bCs/>
          <w:kern w:val="2"/>
          <w:sz w:val="24"/>
          <w:szCs w:val="24"/>
          <w:lang w:val="en-GB"/>
        </w:rPr>
        <w:t xml:space="preserve"> 2019/30683)</w:t>
      </w:r>
      <w:r w:rsidR="005B0BCE">
        <w:rPr>
          <w:rFonts w:ascii="Times New Roman" w:hAnsi="Times New Roman"/>
          <w:bCs/>
          <w:kern w:val="2"/>
          <w:sz w:val="24"/>
          <w:szCs w:val="24"/>
          <w:lang w:val="en-GB"/>
        </w:rPr>
        <w:t>.</w:t>
      </w:r>
    </w:p>
    <w:p w14:paraId="3DBEB442" w14:textId="77777777" w:rsidR="00DF3B1D" w:rsidRDefault="00A56A0F" w:rsidP="000F5997">
      <w:pPr>
        <w:pStyle w:val="ListParagraph"/>
        <w:numPr>
          <w:ilvl w:val="0"/>
          <w:numId w:val="7"/>
        </w:numPr>
        <w:tabs>
          <w:tab w:val="left" w:pos="993"/>
        </w:tabs>
        <w:topLinePunct/>
        <w:spacing w:after="240"/>
        <w:ind w:left="851" w:right="227"/>
        <w:jc w:val="both"/>
        <w:rPr>
          <w:rFonts w:ascii="Times New Roman" w:hAnsi="Times New Roman"/>
          <w:bCs/>
          <w:kern w:val="2"/>
          <w:sz w:val="24"/>
          <w:szCs w:val="24"/>
          <w:lang w:val="en-GB"/>
        </w:rPr>
      </w:pPr>
      <w:r>
        <w:rPr>
          <w:rFonts w:ascii="Times New Roman" w:hAnsi="Times New Roman"/>
          <w:bCs/>
          <w:kern w:val="2"/>
          <w:sz w:val="24"/>
          <w:szCs w:val="24"/>
          <w:lang w:val="en-GB"/>
        </w:rPr>
        <w:t>Mr</w:t>
      </w:r>
      <w:r w:rsidR="00582E74">
        <w:rPr>
          <w:rFonts w:ascii="Times New Roman" w:hAnsi="Times New Roman"/>
          <w:bCs/>
          <w:kern w:val="2"/>
          <w:sz w:val="24"/>
          <w:szCs w:val="24"/>
          <w:lang w:val="en-GB"/>
        </w:rPr>
        <w:t>.</w:t>
      </w:r>
      <w:r w:rsidRPr="00DF3B1D">
        <w:rPr>
          <w:rFonts w:ascii="Times New Roman" w:hAnsi="Times New Roman"/>
          <w:bCs/>
          <w:kern w:val="2"/>
          <w:sz w:val="24"/>
          <w:szCs w:val="24"/>
          <w:lang w:val="en-GB"/>
        </w:rPr>
        <w:t xml:space="preserve"> Zafer</w:t>
      </w:r>
      <w:r w:rsidR="00CC0B01">
        <w:rPr>
          <w:rFonts w:ascii="Times New Roman" w:hAnsi="Times New Roman"/>
          <w:bCs/>
          <w:kern w:val="2"/>
          <w:sz w:val="24"/>
          <w:szCs w:val="24"/>
          <w:lang w:val="en-GB"/>
        </w:rPr>
        <w:t xml:space="preserve"> </w:t>
      </w:r>
      <w:r w:rsidR="00CC0B01" w:rsidRPr="00DF3B1D">
        <w:rPr>
          <w:rFonts w:ascii="Times New Roman" w:hAnsi="Times New Roman"/>
          <w:bCs/>
          <w:kern w:val="2"/>
          <w:sz w:val="24"/>
          <w:szCs w:val="24"/>
          <w:lang w:val="en-GB"/>
        </w:rPr>
        <w:t>Gül</w:t>
      </w:r>
      <w:r w:rsidRPr="00DF3B1D">
        <w:rPr>
          <w:rFonts w:ascii="Times New Roman" w:hAnsi="Times New Roman"/>
          <w:bCs/>
          <w:kern w:val="2"/>
          <w:sz w:val="24"/>
          <w:szCs w:val="24"/>
          <w:lang w:val="en-GB"/>
        </w:rPr>
        <w:t xml:space="preserve"> </w:t>
      </w:r>
      <w:r>
        <w:rPr>
          <w:rFonts w:ascii="Times New Roman" w:hAnsi="Times New Roman"/>
          <w:bCs/>
          <w:kern w:val="2"/>
          <w:sz w:val="24"/>
          <w:szCs w:val="24"/>
          <w:lang w:val="en-GB"/>
        </w:rPr>
        <w:t xml:space="preserve">applied to the Constitutional Court </w:t>
      </w:r>
      <w:r w:rsidR="008B0174">
        <w:rPr>
          <w:rFonts w:ascii="Times New Roman" w:hAnsi="Times New Roman"/>
          <w:bCs/>
          <w:kern w:val="2"/>
          <w:sz w:val="24"/>
          <w:szCs w:val="24"/>
          <w:lang w:val="en-GB"/>
        </w:rPr>
        <w:t>i</w:t>
      </w:r>
      <w:r>
        <w:rPr>
          <w:rFonts w:ascii="Times New Roman" w:hAnsi="Times New Roman"/>
          <w:bCs/>
          <w:kern w:val="2"/>
          <w:sz w:val="24"/>
          <w:szCs w:val="24"/>
          <w:lang w:val="en-GB"/>
        </w:rPr>
        <w:t xml:space="preserve">n two separate applications for two penalties totalling </w:t>
      </w:r>
      <w:r w:rsidR="004D0B67">
        <w:rPr>
          <w:rFonts w:ascii="Times New Roman" w:hAnsi="Times New Roman"/>
          <w:bCs/>
          <w:kern w:val="2"/>
          <w:sz w:val="24"/>
          <w:szCs w:val="24"/>
          <w:lang w:val="en-GB"/>
        </w:rPr>
        <w:t xml:space="preserve">TRY </w:t>
      </w:r>
      <w:r>
        <w:rPr>
          <w:rFonts w:ascii="Times New Roman" w:hAnsi="Times New Roman"/>
          <w:bCs/>
          <w:kern w:val="2"/>
          <w:sz w:val="24"/>
          <w:szCs w:val="24"/>
          <w:lang w:val="en-GB"/>
        </w:rPr>
        <w:t>3,827</w:t>
      </w:r>
      <w:r w:rsidR="000F5997">
        <w:rPr>
          <w:rFonts w:ascii="Times New Roman" w:hAnsi="Times New Roman"/>
          <w:bCs/>
          <w:kern w:val="2"/>
          <w:sz w:val="24"/>
          <w:szCs w:val="24"/>
          <w:lang w:val="en-GB"/>
        </w:rPr>
        <w:t xml:space="preserve"> (approximately USD 480)</w:t>
      </w:r>
      <w:r>
        <w:rPr>
          <w:rFonts w:ascii="Times New Roman" w:hAnsi="Times New Roman"/>
          <w:bCs/>
          <w:kern w:val="2"/>
          <w:sz w:val="24"/>
          <w:szCs w:val="24"/>
          <w:lang w:val="en-GB"/>
        </w:rPr>
        <w:t xml:space="preserve"> </w:t>
      </w:r>
      <w:r w:rsidRPr="00DF3B1D">
        <w:rPr>
          <w:rFonts w:ascii="Times New Roman" w:hAnsi="Times New Roman"/>
          <w:bCs/>
          <w:kern w:val="2"/>
          <w:sz w:val="24"/>
          <w:szCs w:val="24"/>
          <w:lang w:val="en-GB"/>
        </w:rPr>
        <w:t>(</w:t>
      </w:r>
      <w:r>
        <w:rPr>
          <w:rFonts w:ascii="Times New Roman" w:hAnsi="Times New Roman"/>
          <w:bCs/>
          <w:kern w:val="2"/>
          <w:sz w:val="24"/>
          <w:szCs w:val="24"/>
          <w:lang w:val="en-GB"/>
        </w:rPr>
        <w:t>a</w:t>
      </w:r>
      <w:r w:rsidRPr="00DF3B1D">
        <w:rPr>
          <w:rFonts w:ascii="Times New Roman" w:hAnsi="Times New Roman"/>
          <w:bCs/>
          <w:kern w:val="2"/>
          <w:sz w:val="24"/>
          <w:szCs w:val="24"/>
          <w:lang w:val="en-GB"/>
        </w:rPr>
        <w:t xml:space="preserve">pplication </w:t>
      </w:r>
      <w:r w:rsidR="009A3022">
        <w:rPr>
          <w:rFonts w:ascii="Times New Roman" w:hAnsi="Times New Roman"/>
          <w:bCs/>
          <w:kern w:val="2"/>
          <w:sz w:val="24"/>
          <w:szCs w:val="24"/>
          <w:lang w:val="en-GB"/>
        </w:rPr>
        <w:t>no</w:t>
      </w:r>
      <w:r w:rsidR="008B0174">
        <w:rPr>
          <w:rFonts w:ascii="Times New Roman" w:hAnsi="Times New Roman"/>
          <w:bCs/>
          <w:kern w:val="2"/>
          <w:sz w:val="24"/>
          <w:szCs w:val="24"/>
          <w:lang w:val="en-GB"/>
        </w:rPr>
        <w:t>s</w:t>
      </w:r>
      <w:r w:rsidR="009A3022">
        <w:rPr>
          <w:rFonts w:ascii="Times New Roman" w:hAnsi="Times New Roman"/>
          <w:bCs/>
          <w:kern w:val="2"/>
          <w:sz w:val="24"/>
          <w:szCs w:val="24"/>
          <w:lang w:val="en-GB"/>
        </w:rPr>
        <w:t>.</w:t>
      </w:r>
      <w:r w:rsidRPr="00DF3B1D">
        <w:rPr>
          <w:rFonts w:ascii="Times New Roman" w:hAnsi="Times New Roman"/>
          <w:bCs/>
          <w:kern w:val="2"/>
          <w:sz w:val="24"/>
          <w:szCs w:val="24"/>
          <w:lang w:val="en-GB"/>
        </w:rPr>
        <w:t xml:space="preserve"> 2019/29837 </w:t>
      </w:r>
      <w:r w:rsidR="008B0174">
        <w:rPr>
          <w:rFonts w:ascii="Times New Roman" w:hAnsi="Times New Roman"/>
          <w:bCs/>
          <w:kern w:val="2"/>
          <w:sz w:val="24"/>
          <w:szCs w:val="24"/>
          <w:lang w:val="en-GB"/>
        </w:rPr>
        <w:t xml:space="preserve">and </w:t>
      </w:r>
      <w:r w:rsidRPr="00DF3B1D">
        <w:rPr>
          <w:rFonts w:ascii="Times New Roman" w:hAnsi="Times New Roman"/>
          <w:bCs/>
          <w:kern w:val="2"/>
          <w:sz w:val="24"/>
          <w:szCs w:val="24"/>
          <w:lang w:val="en-GB"/>
        </w:rPr>
        <w:t>2020/4791)</w:t>
      </w:r>
      <w:r w:rsidR="005B0BCE">
        <w:rPr>
          <w:rFonts w:ascii="Times New Roman" w:hAnsi="Times New Roman"/>
          <w:bCs/>
          <w:kern w:val="2"/>
          <w:sz w:val="24"/>
          <w:szCs w:val="24"/>
          <w:lang w:val="en-GB"/>
        </w:rPr>
        <w:t>.</w:t>
      </w:r>
    </w:p>
    <w:p w14:paraId="581618E6" w14:textId="77777777" w:rsidR="00DF3B1D" w:rsidRDefault="00A56A0F" w:rsidP="000F5997">
      <w:pPr>
        <w:pStyle w:val="ListParagraph"/>
        <w:numPr>
          <w:ilvl w:val="0"/>
          <w:numId w:val="7"/>
        </w:numPr>
        <w:tabs>
          <w:tab w:val="left" w:pos="993"/>
        </w:tabs>
        <w:topLinePunct/>
        <w:spacing w:after="240"/>
        <w:ind w:left="851" w:right="227"/>
        <w:jc w:val="both"/>
        <w:rPr>
          <w:rFonts w:ascii="Times New Roman" w:hAnsi="Times New Roman"/>
          <w:bCs/>
          <w:kern w:val="2"/>
          <w:sz w:val="24"/>
          <w:szCs w:val="24"/>
          <w:lang w:val="en-GB"/>
        </w:rPr>
      </w:pPr>
      <w:r>
        <w:rPr>
          <w:rFonts w:ascii="Times New Roman" w:hAnsi="Times New Roman"/>
          <w:bCs/>
          <w:kern w:val="2"/>
          <w:sz w:val="24"/>
          <w:szCs w:val="24"/>
          <w:lang w:val="en-GB"/>
        </w:rPr>
        <w:t>Mr</w:t>
      </w:r>
      <w:r w:rsidR="00582E74">
        <w:rPr>
          <w:rFonts w:ascii="Times New Roman" w:hAnsi="Times New Roman"/>
          <w:bCs/>
          <w:kern w:val="2"/>
          <w:sz w:val="24"/>
          <w:szCs w:val="24"/>
          <w:lang w:val="en-GB"/>
        </w:rPr>
        <w:t>.</w:t>
      </w:r>
      <w:r w:rsidRPr="00DF3B1D">
        <w:rPr>
          <w:rFonts w:ascii="Times New Roman" w:hAnsi="Times New Roman"/>
          <w:bCs/>
          <w:kern w:val="2"/>
          <w:sz w:val="24"/>
          <w:szCs w:val="24"/>
          <w:lang w:val="en-GB"/>
        </w:rPr>
        <w:t xml:space="preserve"> Yahya </w:t>
      </w:r>
      <w:r w:rsidR="00CC0B01" w:rsidRPr="00DF3B1D">
        <w:rPr>
          <w:rFonts w:ascii="Times New Roman" w:hAnsi="Times New Roman"/>
          <w:bCs/>
          <w:kern w:val="2"/>
          <w:sz w:val="24"/>
          <w:szCs w:val="24"/>
          <w:lang w:val="en-GB"/>
        </w:rPr>
        <w:t>Batmaz</w:t>
      </w:r>
      <w:r w:rsidR="00CC0B01">
        <w:rPr>
          <w:rFonts w:ascii="Times New Roman" w:hAnsi="Times New Roman"/>
          <w:bCs/>
          <w:kern w:val="2"/>
          <w:sz w:val="24"/>
          <w:szCs w:val="24"/>
          <w:lang w:val="en-GB"/>
        </w:rPr>
        <w:t xml:space="preserve"> </w:t>
      </w:r>
      <w:r>
        <w:rPr>
          <w:rFonts w:ascii="Times New Roman" w:hAnsi="Times New Roman"/>
          <w:bCs/>
          <w:kern w:val="2"/>
          <w:sz w:val="24"/>
          <w:szCs w:val="24"/>
          <w:lang w:val="en-GB"/>
        </w:rPr>
        <w:t xml:space="preserve">applied to the Constitutional Court on 14 October 2019 </w:t>
      </w:r>
      <w:r w:rsidRPr="00DF3B1D">
        <w:rPr>
          <w:rFonts w:ascii="Times New Roman" w:hAnsi="Times New Roman"/>
          <w:bCs/>
          <w:kern w:val="2"/>
          <w:sz w:val="24"/>
          <w:szCs w:val="24"/>
          <w:lang w:val="en-GB"/>
        </w:rPr>
        <w:t>(</w:t>
      </w:r>
      <w:r>
        <w:rPr>
          <w:rFonts w:ascii="Times New Roman" w:hAnsi="Times New Roman"/>
          <w:bCs/>
          <w:kern w:val="2"/>
          <w:sz w:val="24"/>
          <w:szCs w:val="24"/>
          <w:lang w:val="en-GB"/>
        </w:rPr>
        <w:t>a</w:t>
      </w:r>
      <w:r w:rsidRPr="00DF3B1D">
        <w:rPr>
          <w:rFonts w:ascii="Times New Roman" w:hAnsi="Times New Roman"/>
          <w:bCs/>
          <w:kern w:val="2"/>
          <w:sz w:val="24"/>
          <w:szCs w:val="24"/>
          <w:lang w:val="en-GB"/>
        </w:rPr>
        <w:t xml:space="preserve">pplication </w:t>
      </w:r>
      <w:r w:rsidR="009A3022">
        <w:rPr>
          <w:rFonts w:ascii="Times New Roman" w:hAnsi="Times New Roman"/>
          <w:bCs/>
          <w:kern w:val="2"/>
          <w:sz w:val="24"/>
          <w:szCs w:val="24"/>
          <w:lang w:val="en-GB"/>
        </w:rPr>
        <w:t>no.</w:t>
      </w:r>
      <w:r>
        <w:rPr>
          <w:rFonts w:ascii="Times New Roman" w:hAnsi="Times New Roman"/>
          <w:bCs/>
          <w:kern w:val="2"/>
          <w:sz w:val="24"/>
          <w:szCs w:val="24"/>
          <w:lang w:val="en-GB"/>
        </w:rPr>
        <w:t xml:space="preserve"> </w:t>
      </w:r>
      <w:r w:rsidRPr="00DF3B1D">
        <w:rPr>
          <w:rFonts w:ascii="Times New Roman" w:hAnsi="Times New Roman"/>
          <w:bCs/>
          <w:kern w:val="2"/>
          <w:sz w:val="24"/>
          <w:szCs w:val="24"/>
          <w:lang w:val="en-GB"/>
        </w:rPr>
        <w:t>2019/34575)</w:t>
      </w:r>
      <w:r w:rsidR="00531035">
        <w:rPr>
          <w:rFonts w:ascii="Times New Roman" w:hAnsi="Times New Roman"/>
          <w:bCs/>
          <w:kern w:val="2"/>
          <w:sz w:val="24"/>
          <w:szCs w:val="24"/>
          <w:lang w:val="en-GB"/>
        </w:rPr>
        <w:t>.</w:t>
      </w:r>
    </w:p>
    <w:p w14:paraId="62C60FFC" w14:textId="77777777" w:rsidR="00DF3B1D" w:rsidRPr="002F41BA" w:rsidRDefault="00A56A0F" w:rsidP="000F5997">
      <w:pPr>
        <w:pStyle w:val="ListParagraph"/>
        <w:numPr>
          <w:ilvl w:val="0"/>
          <w:numId w:val="7"/>
        </w:numPr>
        <w:tabs>
          <w:tab w:val="left" w:pos="993"/>
        </w:tabs>
        <w:topLinePunct/>
        <w:spacing w:after="240"/>
        <w:ind w:left="851" w:right="227"/>
        <w:jc w:val="both"/>
        <w:rPr>
          <w:rFonts w:ascii="Times New Roman" w:hAnsi="Times New Roman"/>
          <w:bCs/>
          <w:kern w:val="2"/>
          <w:sz w:val="24"/>
          <w:szCs w:val="24"/>
          <w:lang w:val="en-GB"/>
        </w:rPr>
      </w:pPr>
      <w:r w:rsidRPr="002F41BA">
        <w:rPr>
          <w:rFonts w:ascii="Times New Roman" w:hAnsi="Times New Roman"/>
          <w:bCs/>
          <w:kern w:val="2"/>
          <w:sz w:val="24"/>
          <w:szCs w:val="24"/>
          <w:lang w:val="en-GB"/>
        </w:rPr>
        <w:t xml:space="preserve">Mr. Necmettin </w:t>
      </w:r>
      <w:r w:rsidRPr="002F41BA">
        <w:rPr>
          <w:rFonts w:ascii="Times New Roman" w:hAnsi="Times New Roman"/>
          <w:bCs/>
          <w:kern w:val="2"/>
          <w:sz w:val="24"/>
          <w:szCs w:val="24"/>
          <w:lang w:val="en-GB"/>
        </w:rPr>
        <w:t xml:space="preserve">Berkin Gül </w:t>
      </w:r>
      <w:r w:rsidR="002F41BA">
        <w:rPr>
          <w:rFonts w:ascii="Times New Roman" w:hAnsi="Times New Roman"/>
          <w:bCs/>
          <w:kern w:val="2"/>
          <w:sz w:val="24"/>
          <w:szCs w:val="24"/>
          <w:lang w:val="en-GB"/>
        </w:rPr>
        <w:t>made</w:t>
      </w:r>
      <w:r w:rsidRPr="002F41BA">
        <w:rPr>
          <w:rFonts w:ascii="Times New Roman" w:hAnsi="Times New Roman"/>
          <w:bCs/>
          <w:kern w:val="2"/>
          <w:sz w:val="24"/>
          <w:szCs w:val="24"/>
          <w:lang w:val="en-GB"/>
        </w:rPr>
        <w:t xml:space="preserve"> </w:t>
      </w:r>
      <w:r w:rsidR="002F41BA" w:rsidRPr="002F41BA">
        <w:rPr>
          <w:rFonts w:ascii="Times New Roman" w:hAnsi="Times New Roman"/>
          <w:bCs/>
          <w:kern w:val="2"/>
          <w:sz w:val="24"/>
          <w:szCs w:val="24"/>
          <w:lang w:val="en-GB"/>
        </w:rPr>
        <w:t xml:space="preserve">two separate applications </w:t>
      </w:r>
      <w:r w:rsidRPr="002F41BA">
        <w:rPr>
          <w:rFonts w:ascii="Times New Roman" w:hAnsi="Times New Roman"/>
          <w:bCs/>
          <w:kern w:val="2"/>
          <w:sz w:val="24"/>
          <w:szCs w:val="24"/>
          <w:lang w:val="en-GB"/>
        </w:rPr>
        <w:t>to the Constitutional Court for penalties totalling TRY 6,320 (approximately USD 790) (application no</w:t>
      </w:r>
      <w:r w:rsidR="008B0174">
        <w:rPr>
          <w:rFonts w:ascii="Times New Roman" w:hAnsi="Times New Roman"/>
          <w:bCs/>
          <w:kern w:val="2"/>
          <w:sz w:val="24"/>
          <w:szCs w:val="24"/>
          <w:lang w:val="en-GB"/>
        </w:rPr>
        <w:t>s</w:t>
      </w:r>
      <w:r w:rsidRPr="002F41BA">
        <w:rPr>
          <w:rFonts w:ascii="Times New Roman" w:hAnsi="Times New Roman"/>
          <w:bCs/>
          <w:kern w:val="2"/>
          <w:sz w:val="24"/>
          <w:szCs w:val="24"/>
          <w:lang w:val="en-GB"/>
        </w:rPr>
        <w:t xml:space="preserve">. 2020/33813 </w:t>
      </w:r>
      <w:r w:rsidR="008B0174">
        <w:rPr>
          <w:rFonts w:ascii="Times New Roman" w:hAnsi="Times New Roman"/>
          <w:bCs/>
          <w:kern w:val="2"/>
          <w:sz w:val="24"/>
          <w:szCs w:val="24"/>
          <w:lang w:val="en-GB"/>
        </w:rPr>
        <w:t xml:space="preserve">and </w:t>
      </w:r>
      <w:r w:rsidRPr="002F41BA">
        <w:rPr>
          <w:rFonts w:ascii="Times New Roman" w:hAnsi="Times New Roman"/>
          <w:bCs/>
          <w:kern w:val="2"/>
          <w:sz w:val="24"/>
          <w:szCs w:val="24"/>
          <w:lang w:val="en-GB"/>
        </w:rPr>
        <w:t>2020/34009).</w:t>
      </w:r>
    </w:p>
    <w:p w14:paraId="63602DFB" w14:textId="77777777" w:rsidR="002534A5" w:rsidRPr="00977DFC" w:rsidRDefault="00A56A0F" w:rsidP="002534A5">
      <w:pPr>
        <w:pStyle w:val="ListParagraph"/>
        <w:numPr>
          <w:ilvl w:val="0"/>
          <w:numId w:val="7"/>
        </w:numPr>
        <w:tabs>
          <w:tab w:val="left" w:pos="993"/>
        </w:tabs>
        <w:topLinePunct/>
        <w:spacing w:after="240"/>
        <w:ind w:left="851" w:right="227"/>
        <w:jc w:val="both"/>
        <w:rPr>
          <w:rFonts w:ascii="Times New Roman" w:hAnsi="Times New Roman"/>
          <w:bCs/>
          <w:kern w:val="2"/>
          <w:sz w:val="24"/>
          <w:szCs w:val="24"/>
          <w:lang w:val="en-GB"/>
        </w:rPr>
      </w:pPr>
      <w:r w:rsidRPr="00977DFC">
        <w:rPr>
          <w:rFonts w:ascii="Times New Roman" w:hAnsi="Times New Roman"/>
          <w:bCs/>
          <w:kern w:val="2"/>
          <w:sz w:val="24"/>
          <w:szCs w:val="24"/>
          <w:lang w:val="en-GB"/>
        </w:rPr>
        <w:lastRenderedPageBreak/>
        <w:t>Mr. Saim Gürel Tunçbüker applied to the Constitutional Court on 28 January 2021 (a</w:t>
      </w:r>
      <w:r w:rsidRPr="00977DFC">
        <w:rPr>
          <w:rFonts w:ascii="Times New Roman" w:hAnsi="Times New Roman"/>
          <w:bCs/>
          <w:kern w:val="2"/>
          <w:sz w:val="24"/>
          <w:szCs w:val="24"/>
          <w:lang w:val="en-GB"/>
        </w:rPr>
        <w:t>pplication no. 2021/5471).</w:t>
      </w:r>
    </w:p>
    <w:p w14:paraId="7BD0E48D" w14:textId="77777777" w:rsidR="00DB72EA" w:rsidRPr="0095074B" w:rsidRDefault="00A56A0F" w:rsidP="002A1D85">
      <w:pPr>
        <w:pStyle w:val="Heading1"/>
        <w:numPr>
          <w:ilvl w:val="0"/>
          <w:numId w:val="3"/>
        </w:numPr>
        <w:jc w:val="both"/>
        <w:rPr>
          <w:rFonts w:ascii="Times New Roman" w:hAnsi="Times New Roman" w:cs="Times New Roman"/>
          <w:color w:val="auto"/>
          <w:szCs w:val="24"/>
          <w:lang w:val="en-GB"/>
        </w:rPr>
      </w:pPr>
      <w:bookmarkStart w:id="10" w:name="_Toc68162662"/>
      <w:r>
        <w:rPr>
          <w:rFonts w:ascii="Times New Roman" w:hAnsi="Times New Roman" w:cs="Times New Roman"/>
          <w:color w:val="auto"/>
          <w:szCs w:val="24"/>
          <w:lang w:val="en-GB"/>
        </w:rPr>
        <w:t>CONCLUSION AND</w:t>
      </w:r>
      <w:r w:rsidRPr="0095074B">
        <w:rPr>
          <w:rFonts w:ascii="Times New Roman" w:hAnsi="Times New Roman" w:cs="Times New Roman"/>
          <w:color w:val="auto"/>
          <w:szCs w:val="24"/>
          <w:lang w:val="en-GB"/>
        </w:rPr>
        <w:t xml:space="preserve"> RECOMMENDATIONS</w:t>
      </w:r>
      <w:bookmarkEnd w:id="10"/>
      <w:r w:rsidRPr="0095074B">
        <w:rPr>
          <w:rFonts w:ascii="Times New Roman" w:hAnsi="Times New Roman" w:cs="Times New Roman"/>
          <w:color w:val="auto"/>
          <w:szCs w:val="24"/>
          <w:lang w:val="en-GB"/>
        </w:rPr>
        <w:t xml:space="preserve"> </w:t>
      </w:r>
    </w:p>
    <w:p w14:paraId="17DCE46B" w14:textId="77777777" w:rsidR="00B757F4" w:rsidRPr="00BC3821" w:rsidRDefault="00A56A0F" w:rsidP="002A1D85">
      <w:pPr>
        <w:pStyle w:val="ListParagraph"/>
        <w:numPr>
          <w:ilvl w:val="1"/>
          <w:numId w:val="4"/>
        </w:numPr>
        <w:topLinePunct/>
        <w:spacing w:after="240"/>
        <w:ind w:right="181"/>
        <w:jc w:val="both"/>
        <w:rPr>
          <w:rFonts w:ascii="Times New Roman" w:hAnsi="Times New Roman"/>
          <w:sz w:val="24"/>
          <w:szCs w:val="24"/>
          <w:lang w:val="en-GB"/>
        </w:rPr>
      </w:pPr>
      <w:r w:rsidRPr="008D75D1">
        <w:rPr>
          <w:rFonts w:ascii="Times New Roman" w:hAnsi="Times New Roman"/>
          <w:sz w:val="24"/>
          <w:szCs w:val="24"/>
          <w:lang w:val="en-GB"/>
        </w:rPr>
        <w:t xml:space="preserve">Jehovah’s Witnesses in </w:t>
      </w:r>
      <w:r w:rsidR="008D75D1" w:rsidRPr="008D75D1">
        <w:rPr>
          <w:rFonts w:ascii="Times New Roman" w:hAnsi="Times New Roman"/>
          <w:sz w:val="24"/>
          <w:szCs w:val="24"/>
          <w:lang w:val="en-GB"/>
        </w:rPr>
        <w:t>Turkey</w:t>
      </w:r>
      <w:r w:rsidR="00431950">
        <w:rPr>
          <w:rFonts w:ascii="Times New Roman" w:hAnsi="Times New Roman"/>
          <w:sz w:val="24"/>
          <w:szCs w:val="24"/>
          <w:lang w:val="en-GB"/>
        </w:rPr>
        <w:t>,</w:t>
      </w:r>
      <w:r w:rsidR="008D75D1" w:rsidRPr="008D75D1">
        <w:rPr>
          <w:rFonts w:ascii="Times New Roman" w:hAnsi="Times New Roman"/>
          <w:sz w:val="24"/>
          <w:szCs w:val="24"/>
          <w:lang w:val="en-GB"/>
        </w:rPr>
        <w:t xml:space="preserve"> </w:t>
      </w:r>
      <w:r w:rsidRPr="008D75D1">
        <w:rPr>
          <w:rFonts w:ascii="Times New Roman" w:hAnsi="Times New Roman"/>
          <w:sz w:val="24"/>
          <w:szCs w:val="24"/>
          <w:lang w:val="en-GB"/>
        </w:rPr>
        <w:t xml:space="preserve">and as a worldwide organization, express concern for </w:t>
      </w:r>
      <w:r w:rsidR="002F41BA">
        <w:rPr>
          <w:rFonts w:ascii="Times New Roman" w:hAnsi="Times New Roman"/>
          <w:sz w:val="24"/>
          <w:szCs w:val="24"/>
          <w:lang w:val="en-GB"/>
        </w:rPr>
        <w:t xml:space="preserve">the </w:t>
      </w:r>
      <w:r w:rsidR="008D75D1" w:rsidRPr="008D75D1">
        <w:rPr>
          <w:rFonts w:ascii="Times New Roman" w:hAnsi="Times New Roman"/>
          <w:sz w:val="24"/>
          <w:szCs w:val="24"/>
          <w:lang w:val="en-GB"/>
        </w:rPr>
        <w:t xml:space="preserve">government’s continued punishment of Jehovah’s Witness conscientious objectors despite the repeated recommendations made by the ECHR and </w:t>
      </w:r>
      <w:r w:rsidR="00431950">
        <w:rPr>
          <w:rFonts w:ascii="Times New Roman" w:hAnsi="Times New Roman"/>
          <w:sz w:val="24"/>
          <w:szCs w:val="24"/>
          <w:lang w:val="en-GB"/>
        </w:rPr>
        <w:t xml:space="preserve">the </w:t>
      </w:r>
      <w:r w:rsidR="008D75D1" w:rsidRPr="008D75D1">
        <w:rPr>
          <w:rFonts w:ascii="Times New Roman" w:hAnsi="Times New Roman"/>
          <w:sz w:val="24"/>
          <w:szCs w:val="24"/>
          <w:lang w:val="en-GB"/>
        </w:rPr>
        <w:t xml:space="preserve">CCPR. </w:t>
      </w:r>
      <w:r w:rsidRPr="008D75D1">
        <w:rPr>
          <w:rFonts w:ascii="Times New Roman" w:hAnsi="Times New Roman"/>
          <w:sz w:val="24"/>
          <w:szCs w:val="24"/>
          <w:lang w:val="en-GB"/>
        </w:rPr>
        <w:t xml:space="preserve">They respectfully request </w:t>
      </w:r>
      <w:r w:rsidR="00431950">
        <w:rPr>
          <w:rFonts w:ascii="Times New Roman" w:hAnsi="Times New Roman"/>
          <w:sz w:val="24"/>
          <w:szCs w:val="24"/>
          <w:lang w:val="en-GB"/>
        </w:rPr>
        <w:t xml:space="preserve">that </w:t>
      </w:r>
      <w:r w:rsidRPr="008D75D1">
        <w:rPr>
          <w:rFonts w:ascii="Times New Roman" w:hAnsi="Times New Roman"/>
          <w:sz w:val="24"/>
          <w:szCs w:val="24"/>
          <w:lang w:val="en-GB"/>
        </w:rPr>
        <w:t xml:space="preserve">the government of </w:t>
      </w:r>
      <w:r w:rsidR="008D75D1" w:rsidRPr="008D75D1">
        <w:rPr>
          <w:rFonts w:ascii="Times New Roman" w:hAnsi="Times New Roman"/>
          <w:sz w:val="24"/>
          <w:szCs w:val="24"/>
          <w:lang w:val="en-GB"/>
        </w:rPr>
        <w:t xml:space="preserve">Turkey </w:t>
      </w:r>
      <w:r w:rsidRPr="0095074B">
        <w:rPr>
          <w:rFonts w:ascii="Times New Roman" w:hAnsi="Times New Roman"/>
          <w:sz w:val="24"/>
          <w:szCs w:val="24"/>
          <w:lang w:val="en-GB"/>
        </w:rPr>
        <w:t xml:space="preserve">take the necessary steps </w:t>
      </w:r>
      <w:r w:rsidRPr="001A79B9">
        <w:rPr>
          <w:rFonts w:ascii="Times New Roman" w:hAnsi="Times New Roman"/>
          <w:sz w:val="24"/>
          <w:szCs w:val="24"/>
          <w:lang w:val="en-GB"/>
        </w:rPr>
        <w:t>to</w:t>
      </w:r>
      <w:r>
        <w:rPr>
          <w:rFonts w:ascii="Times New Roman" w:hAnsi="Times New Roman"/>
          <w:sz w:val="24"/>
          <w:szCs w:val="24"/>
          <w:lang w:val="en-GB"/>
        </w:rPr>
        <w:t>:</w:t>
      </w:r>
      <w:r w:rsidRPr="00BC3821">
        <w:rPr>
          <w:rFonts w:ascii="Times New Roman" w:hAnsi="Times New Roman"/>
          <w:sz w:val="24"/>
          <w:szCs w:val="24"/>
          <w:lang w:val="en-GB"/>
        </w:rPr>
        <w:t xml:space="preserve"> </w:t>
      </w:r>
    </w:p>
    <w:p w14:paraId="1033A5A1" w14:textId="77777777" w:rsidR="007F47EF" w:rsidRPr="009D107D" w:rsidRDefault="00A56A0F" w:rsidP="009D107D">
      <w:pPr>
        <w:pStyle w:val="ListParagraph"/>
        <w:numPr>
          <w:ilvl w:val="0"/>
          <w:numId w:val="5"/>
        </w:numPr>
        <w:topLinePunct/>
        <w:spacing w:after="240"/>
        <w:ind w:right="227"/>
        <w:jc w:val="both"/>
        <w:rPr>
          <w:rFonts w:ascii="Times New Roman" w:hAnsi="Times New Roman"/>
          <w:bCs/>
          <w:kern w:val="2"/>
          <w:sz w:val="24"/>
          <w:szCs w:val="24"/>
          <w:lang w:val="en-GB"/>
        </w:rPr>
      </w:pPr>
      <w:r w:rsidRPr="0078135F">
        <w:rPr>
          <w:rFonts w:ascii="Times New Roman" w:hAnsi="Times New Roman"/>
          <w:bCs/>
          <w:kern w:val="2"/>
          <w:sz w:val="24"/>
          <w:szCs w:val="24"/>
          <w:lang w:val="en-GB"/>
        </w:rPr>
        <w:t xml:space="preserve">Recognize the right to </w:t>
      </w:r>
      <w:r w:rsidRPr="0078135F">
        <w:rPr>
          <w:rFonts w:ascii="Times New Roman" w:hAnsi="Times New Roman"/>
          <w:bCs/>
          <w:kern w:val="2"/>
          <w:sz w:val="24"/>
          <w:szCs w:val="24"/>
          <w:lang w:val="en-GB"/>
        </w:rPr>
        <w:t>conscientious objection to military service and provide an ACS that conform</w:t>
      </w:r>
      <w:r w:rsidR="009D107D">
        <w:rPr>
          <w:rFonts w:ascii="Times New Roman" w:hAnsi="Times New Roman"/>
          <w:bCs/>
          <w:kern w:val="2"/>
          <w:sz w:val="24"/>
          <w:szCs w:val="24"/>
          <w:lang w:val="en-GB"/>
        </w:rPr>
        <w:t>s</w:t>
      </w:r>
      <w:r w:rsidRPr="0078135F">
        <w:rPr>
          <w:rFonts w:ascii="Times New Roman" w:hAnsi="Times New Roman"/>
          <w:bCs/>
          <w:kern w:val="2"/>
          <w:sz w:val="24"/>
          <w:szCs w:val="24"/>
          <w:lang w:val="en-GB"/>
        </w:rPr>
        <w:t xml:space="preserve"> to European </w:t>
      </w:r>
      <w:r w:rsidRPr="007F47EF">
        <w:rPr>
          <w:rFonts w:ascii="Times New Roman" w:hAnsi="Times New Roman"/>
          <w:bCs/>
          <w:kern w:val="2"/>
          <w:sz w:val="24"/>
          <w:szCs w:val="24"/>
          <w:lang w:val="en-GB"/>
        </w:rPr>
        <w:t xml:space="preserve">and international </w:t>
      </w:r>
      <w:r w:rsidRPr="0078135F">
        <w:rPr>
          <w:rFonts w:ascii="Times New Roman" w:hAnsi="Times New Roman"/>
          <w:bCs/>
          <w:kern w:val="2"/>
          <w:sz w:val="24"/>
          <w:szCs w:val="24"/>
          <w:lang w:val="en-GB"/>
        </w:rPr>
        <w:t>standards, namely, a progra</w:t>
      </w:r>
      <w:r w:rsidR="009D107D">
        <w:rPr>
          <w:rFonts w:ascii="Times New Roman" w:hAnsi="Times New Roman"/>
          <w:bCs/>
          <w:kern w:val="2"/>
          <w:sz w:val="24"/>
          <w:szCs w:val="24"/>
          <w:lang w:val="en-GB"/>
        </w:rPr>
        <w:t>mme</w:t>
      </w:r>
      <w:r w:rsidRPr="0078135F">
        <w:rPr>
          <w:rFonts w:ascii="Times New Roman" w:hAnsi="Times New Roman"/>
          <w:bCs/>
          <w:kern w:val="2"/>
          <w:sz w:val="24"/>
          <w:szCs w:val="24"/>
          <w:lang w:val="en-GB"/>
        </w:rPr>
        <w:t xml:space="preserve"> of civilian work that is not under military control and not punitive in length</w:t>
      </w:r>
      <w:r w:rsidR="00A54B56">
        <w:rPr>
          <w:rFonts w:ascii="Times New Roman" w:hAnsi="Times New Roman"/>
          <w:bCs/>
          <w:kern w:val="2"/>
          <w:sz w:val="24"/>
          <w:szCs w:val="24"/>
          <w:lang w:val="en-GB"/>
        </w:rPr>
        <w:t>.</w:t>
      </w:r>
    </w:p>
    <w:p w14:paraId="2865D347" w14:textId="77777777" w:rsidR="00465FD5" w:rsidRDefault="00A56A0F" w:rsidP="00465FD5">
      <w:pPr>
        <w:pStyle w:val="ListParagraph"/>
        <w:numPr>
          <w:ilvl w:val="0"/>
          <w:numId w:val="5"/>
        </w:numPr>
        <w:topLinePunct/>
        <w:spacing w:after="240"/>
        <w:ind w:right="227"/>
        <w:jc w:val="both"/>
        <w:rPr>
          <w:rFonts w:ascii="Times New Roman" w:hAnsi="Times New Roman"/>
          <w:bCs/>
          <w:kern w:val="2"/>
          <w:sz w:val="24"/>
          <w:szCs w:val="24"/>
          <w:lang w:val="en-GB"/>
        </w:rPr>
      </w:pPr>
      <w:r>
        <w:rPr>
          <w:rFonts w:ascii="Times New Roman" w:hAnsi="Times New Roman"/>
          <w:bCs/>
          <w:kern w:val="2"/>
          <w:sz w:val="24"/>
          <w:szCs w:val="24"/>
          <w:lang w:val="en-GB"/>
        </w:rPr>
        <w:t xml:space="preserve">Ensure that the </w:t>
      </w:r>
      <w:r w:rsidR="000310B8">
        <w:rPr>
          <w:rFonts w:ascii="Times New Roman" w:hAnsi="Times New Roman"/>
          <w:bCs/>
          <w:kern w:val="2"/>
          <w:sz w:val="24"/>
          <w:szCs w:val="24"/>
          <w:lang w:val="en-GB"/>
        </w:rPr>
        <w:t>V</w:t>
      </w:r>
      <w:r>
        <w:rPr>
          <w:rFonts w:ascii="Times New Roman" w:hAnsi="Times New Roman"/>
          <w:bCs/>
          <w:kern w:val="2"/>
          <w:sz w:val="24"/>
          <w:szCs w:val="24"/>
          <w:lang w:val="en-GB"/>
        </w:rPr>
        <w:t xml:space="preserve">iews of the CCPR and the judgments of the </w:t>
      </w:r>
      <w:r w:rsidR="00456172">
        <w:rPr>
          <w:rFonts w:ascii="Times New Roman" w:hAnsi="Times New Roman"/>
          <w:bCs/>
          <w:kern w:val="2"/>
          <w:sz w:val="24"/>
          <w:szCs w:val="24"/>
          <w:lang w:val="en-GB"/>
        </w:rPr>
        <w:t>ECHR</w:t>
      </w:r>
      <w:r>
        <w:rPr>
          <w:rFonts w:ascii="Times New Roman" w:hAnsi="Times New Roman"/>
          <w:bCs/>
          <w:kern w:val="2"/>
          <w:sz w:val="24"/>
          <w:szCs w:val="24"/>
          <w:lang w:val="en-GB"/>
        </w:rPr>
        <w:t xml:space="preserve"> that provide for the right to conscientious objection to military service are respected and implemented. This would involve refraining from imposing repeated fines on Jehovah’s Witnesses and from threatening t</w:t>
      </w:r>
      <w:r>
        <w:rPr>
          <w:rFonts w:ascii="Times New Roman" w:hAnsi="Times New Roman"/>
          <w:bCs/>
          <w:kern w:val="2"/>
          <w:sz w:val="24"/>
          <w:szCs w:val="24"/>
          <w:lang w:val="en-GB"/>
        </w:rPr>
        <w:t>hem with imprisonment on grounds of “evasion of enlistment” for their conscientious objection to military service</w:t>
      </w:r>
      <w:r w:rsidR="00A54B56">
        <w:rPr>
          <w:rFonts w:ascii="Times New Roman" w:hAnsi="Times New Roman"/>
          <w:bCs/>
          <w:kern w:val="2"/>
          <w:sz w:val="24"/>
          <w:szCs w:val="24"/>
          <w:lang w:val="en-GB"/>
        </w:rPr>
        <w:t>.</w:t>
      </w:r>
    </w:p>
    <w:p w14:paraId="656710B3" w14:textId="77777777" w:rsidR="00465FD5" w:rsidRPr="00744552" w:rsidRDefault="00A56A0F" w:rsidP="00465FD5">
      <w:pPr>
        <w:pStyle w:val="ListParagraph"/>
        <w:numPr>
          <w:ilvl w:val="0"/>
          <w:numId w:val="5"/>
        </w:numPr>
        <w:topLinePunct/>
        <w:spacing w:after="240"/>
        <w:ind w:right="227"/>
        <w:jc w:val="both"/>
        <w:rPr>
          <w:rFonts w:ascii="Times New Roman" w:hAnsi="Times New Roman"/>
          <w:bCs/>
          <w:kern w:val="2"/>
          <w:sz w:val="24"/>
          <w:szCs w:val="24"/>
        </w:rPr>
      </w:pPr>
      <w:r>
        <w:rPr>
          <w:rFonts w:ascii="Times New Roman" w:hAnsi="Times New Roman" w:hint="eastAsia"/>
          <w:bCs/>
          <w:kern w:val="2"/>
          <w:sz w:val="24"/>
          <w:szCs w:val="24"/>
          <w:lang w:eastAsia="ko-KR"/>
        </w:rPr>
        <w:t>E</w:t>
      </w:r>
      <w:r>
        <w:rPr>
          <w:rFonts w:ascii="Times New Roman" w:hAnsi="Times New Roman"/>
          <w:bCs/>
          <w:kern w:val="2"/>
          <w:sz w:val="24"/>
          <w:szCs w:val="24"/>
          <w:lang w:eastAsia="ko-KR"/>
        </w:rPr>
        <w:t xml:space="preserve">xpunge criminal records resulting from unjust court decisions and provide </w:t>
      </w:r>
      <w:r w:rsidR="00DA077A">
        <w:rPr>
          <w:rFonts w:ascii="Times New Roman" w:hAnsi="Times New Roman"/>
          <w:bCs/>
          <w:kern w:val="2"/>
          <w:sz w:val="24"/>
          <w:szCs w:val="24"/>
          <w:lang w:eastAsia="ko-KR"/>
        </w:rPr>
        <w:t xml:space="preserve">adequate </w:t>
      </w:r>
      <w:r>
        <w:rPr>
          <w:rFonts w:ascii="Times New Roman" w:hAnsi="Times New Roman"/>
          <w:bCs/>
          <w:kern w:val="2"/>
          <w:sz w:val="24"/>
          <w:szCs w:val="24"/>
          <w:lang w:eastAsia="ko-KR"/>
        </w:rPr>
        <w:t>compensation</w:t>
      </w:r>
      <w:r w:rsidR="00A54B56">
        <w:rPr>
          <w:rFonts w:ascii="Times New Roman" w:hAnsi="Times New Roman"/>
          <w:bCs/>
          <w:kern w:val="2"/>
          <w:sz w:val="24"/>
          <w:szCs w:val="24"/>
          <w:lang w:eastAsia="ko-KR"/>
        </w:rPr>
        <w:t>.</w:t>
      </w:r>
    </w:p>
    <w:p w14:paraId="3DF88EED" w14:textId="77777777" w:rsidR="00E00F97" w:rsidRDefault="00A56A0F" w:rsidP="002A1D85">
      <w:pPr>
        <w:pStyle w:val="ListParagraph"/>
        <w:numPr>
          <w:ilvl w:val="0"/>
          <w:numId w:val="5"/>
        </w:numPr>
        <w:topLinePunct/>
        <w:ind w:left="714" w:right="227" w:hanging="357"/>
        <w:jc w:val="both"/>
        <w:rPr>
          <w:rFonts w:ascii="Times New Roman" w:hAnsi="Times New Roman"/>
          <w:b/>
          <w:bCs/>
          <w:kern w:val="2"/>
          <w:sz w:val="24"/>
          <w:szCs w:val="24"/>
        </w:rPr>
      </w:pPr>
      <w:r w:rsidRPr="00744552">
        <w:rPr>
          <w:rFonts w:ascii="Times New Roman" w:hAnsi="Times New Roman"/>
          <w:bCs/>
          <w:kern w:val="2"/>
          <w:sz w:val="24"/>
          <w:szCs w:val="24"/>
        </w:rPr>
        <w:t xml:space="preserve">Abide by </w:t>
      </w:r>
      <w:r>
        <w:rPr>
          <w:rFonts w:ascii="Times New Roman" w:hAnsi="Times New Roman"/>
          <w:bCs/>
          <w:kern w:val="2"/>
          <w:sz w:val="24"/>
          <w:szCs w:val="24"/>
        </w:rPr>
        <w:t>its</w:t>
      </w:r>
      <w:r w:rsidRPr="00744552">
        <w:rPr>
          <w:rFonts w:ascii="Times New Roman" w:hAnsi="Times New Roman"/>
          <w:bCs/>
          <w:kern w:val="2"/>
          <w:sz w:val="24"/>
          <w:szCs w:val="24"/>
        </w:rPr>
        <w:t xml:space="preserve"> commitment to uphold the funda</w:t>
      </w:r>
      <w:r w:rsidRPr="00744552">
        <w:rPr>
          <w:rFonts w:ascii="Times New Roman" w:hAnsi="Times New Roman"/>
          <w:bCs/>
          <w:kern w:val="2"/>
          <w:sz w:val="24"/>
          <w:szCs w:val="24"/>
        </w:rPr>
        <w:t>m</w:t>
      </w:r>
      <w:r>
        <w:rPr>
          <w:rFonts w:ascii="Times New Roman" w:hAnsi="Times New Roman"/>
          <w:bCs/>
          <w:kern w:val="2"/>
          <w:sz w:val="24"/>
          <w:szCs w:val="24"/>
        </w:rPr>
        <w:t>ental freedoms guaranteed by</w:t>
      </w:r>
      <w:r w:rsidRPr="00744552">
        <w:rPr>
          <w:rFonts w:ascii="Times New Roman" w:hAnsi="Times New Roman"/>
          <w:bCs/>
          <w:kern w:val="2"/>
          <w:sz w:val="24"/>
          <w:szCs w:val="24"/>
        </w:rPr>
        <w:t xml:space="preserve"> </w:t>
      </w:r>
      <w:r>
        <w:rPr>
          <w:rFonts w:ascii="Times New Roman" w:hAnsi="Times New Roman"/>
          <w:bCs/>
          <w:kern w:val="2"/>
          <w:sz w:val="24"/>
          <w:szCs w:val="24"/>
        </w:rPr>
        <w:t xml:space="preserve">the </w:t>
      </w:r>
      <w:r w:rsidR="00B0686A">
        <w:rPr>
          <w:rFonts w:ascii="Times New Roman" w:hAnsi="Times New Roman"/>
          <w:bCs/>
          <w:kern w:val="2"/>
          <w:sz w:val="24"/>
          <w:szCs w:val="24"/>
        </w:rPr>
        <w:t>Covenant</w:t>
      </w:r>
      <w:r w:rsidRPr="00744552">
        <w:rPr>
          <w:rFonts w:ascii="Times New Roman" w:hAnsi="Times New Roman"/>
          <w:bCs/>
          <w:kern w:val="2"/>
          <w:sz w:val="24"/>
          <w:szCs w:val="24"/>
        </w:rPr>
        <w:t xml:space="preserve"> for all citizens</w:t>
      </w:r>
      <w:r>
        <w:rPr>
          <w:rFonts w:ascii="Times New Roman" w:hAnsi="Times New Roman"/>
          <w:bCs/>
          <w:kern w:val="2"/>
          <w:sz w:val="24"/>
          <w:szCs w:val="24"/>
        </w:rPr>
        <w:t>, including Jehovah’s Witnesses</w:t>
      </w:r>
      <w:r w:rsidR="00A54B56">
        <w:rPr>
          <w:rFonts w:ascii="Times New Roman" w:hAnsi="Times New Roman"/>
          <w:bCs/>
          <w:kern w:val="2"/>
          <w:sz w:val="24"/>
          <w:szCs w:val="24"/>
        </w:rPr>
        <w:t>.</w:t>
      </w:r>
    </w:p>
    <w:p w14:paraId="038FE328" w14:textId="77777777" w:rsidR="00E00F97" w:rsidRPr="00E00F97" w:rsidRDefault="00E00F97" w:rsidP="00E00F97">
      <w:pPr>
        <w:pStyle w:val="ListParagraph"/>
        <w:topLinePunct/>
        <w:ind w:left="714" w:right="227"/>
        <w:jc w:val="both"/>
        <w:rPr>
          <w:rFonts w:ascii="Times New Roman" w:hAnsi="Times New Roman"/>
          <w:b/>
          <w:bCs/>
          <w:kern w:val="2"/>
          <w:sz w:val="24"/>
          <w:szCs w:val="24"/>
        </w:rPr>
      </w:pPr>
    </w:p>
    <w:p w14:paraId="420A2CD4" w14:textId="77777777" w:rsidR="00EE32B3" w:rsidRPr="0030023C" w:rsidRDefault="00A56A0F" w:rsidP="00EE32B3">
      <w:pPr>
        <w:pStyle w:val="ListParagraph"/>
        <w:numPr>
          <w:ilvl w:val="1"/>
          <w:numId w:val="4"/>
        </w:numPr>
        <w:topLinePunct/>
        <w:spacing w:after="240"/>
        <w:ind w:right="181"/>
        <w:jc w:val="both"/>
        <w:rPr>
          <w:rFonts w:ascii="Times New Roman" w:hAnsi="Times New Roman"/>
          <w:sz w:val="24"/>
          <w:szCs w:val="24"/>
          <w:lang w:val="en-GB"/>
        </w:rPr>
      </w:pPr>
      <w:r w:rsidRPr="0030023C">
        <w:rPr>
          <w:rFonts w:ascii="Times New Roman" w:hAnsi="Times New Roman"/>
          <w:sz w:val="24"/>
          <w:szCs w:val="24"/>
          <w:lang w:val="en-GB"/>
        </w:rPr>
        <w:t>The EAJW will consider submitting an additional compl</w:t>
      </w:r>
      <w:r w:rsidR="00531035" w:rsidRPr="0030023C">
        <w:rPr>
          <w:rFonts w:ascii="Times New Roman" w:hAnsi="Times New Roman"/>
          <w:sz w:val="24"/>
          <w:szCs w:val="24"/>
          <w:lang w:val="en-GB"/>
        </w:rPr>
        <w:t>e</w:t>
      </w:r>
      <w:r w:rsidRPr="0030023C">
        <w:rPr>
          <w:rFonts w:ascii="Times New Roman" w:hAnsi="Times New Roman"/>
          <w:sz w:val="24"/>
          <w:szCs w:val="24"/>
          <w:lang w:val="en-GB"/>
        </w:rPr>
        <w:t xml:space="preserve">mentary submission with the CCPR </w:t>
      </w:r>
      <w:r w:rsidRPr="0030023C">
        <w:rPr>
          <w:rFonts w:ascii="Times New Roman" w:hAnsi="Times New Roman"/>
          <w:i/>
          <w:sz w:val="24"/>
          <w:szCs w:val="24"/>
          <w:lang w:val="en-GB"/>
        </w:rPr>
        <w:t>after</w:t>
      </w:r>
      <w:r w:rsidR="00B0686A" w:rsidRPr="0030023C">
        <w:rPr>
          <w:rFonts w:ascii="Times New Roman" w:hAnsi="Times New Roman"/>
          <w:sz w:val="24"/>
          <w:szCs w:val="24"/>
          <w:lang w:val="en-GB"/>
        </w:rPr>
        <w:t xml:space="preserve"> the </w:t>
      </w:r>
      <w:r w:rsidR="00B0686A" w:rsidRPr="00EB6743">
        <w:rPr>
          <w:rFonts w:ascii="Times New Roman" w:hAnsi="Times New Roman"/>
          <w:i/>
          <w:sz w:val="24"/>
          <w:szCs w:val="24"/>
          <w:lang w:val="en-GB"/>
        </w:rPr>
        <w:t xml:space="preserve">List of </w:t>
      </w:r>
      <w:r w:rsidR="00E83338">
        <w:rPr>
          <w:rFonts w:ascii="Times New Roman" w:hAnsi="Times New Roman"/>
          <w:i/>
          <w:sz w:val="24"/>
          <w:szCs w:val="24"/>
          <w:lang w:val="en-GB"/>
        </w:rPr>
        <w:t>I</w:t>
      </w:r>
      <w:r w:rsidR="00B0686A" w:rsidRPr="00EB6743">
        <w:rPr>
          <w:rFonts w:ascii="Times New Roman" w:hAnsi="Times New Roman"/>
          <w:i/>
          <w:sz w:val="24"/>
          <w:szCs w:val="24"/>
          <w:lang w:val="en-GB"/>
        </w:rPr>
        <w:t>ssues</w:t>
      </w:r>
      <w:r w:rsidR="00B0686A" w:rsidRPr="0030023C">
        <w:rPr>
          <w:rFonts w:ascii="Times New Roman" w:hAnsi="Times New Roman"/>
          <w:sz w:val="24"/>
          <w:szCs w:val="24"/>
          <w:lang w:val="en-GB"/>
        </w:rPr>
        <w:t xml:space="preserve"> has been</w:t>
      </w:r>
      <w:r w:rsidRPr="0030023C">
        <w:rPr>
          <w:rFonts w:ascii="Times New Roman" w:hAnsi="Times New Roman"/>
          <w:sz w:val="24"/>
          <w:szCs w:val="24"/>
          <w:lang w:val="en-GB"/>
        </w:rPr>
        <w:t xml:space="preserve"> adopted.</w:t>
      </w:r>
    </w:p>
    <w:sectPr w:rsidR="00EE32B3" w:rsidRPr="0030023C" w:rsidSect="00DB72EA">
      <w:headerReference w:type="first" r:id="rId15"/>
      <w:footerReference w:type="first" r:id="rId16"/>
      <w:pgSz w:w="11899" w:h="16838"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C9BA6" w14:textId="77777777" w:rsidR="00000000" w:rsidRDefault="00A56A0F">
      <w:r>
        <w:separator/>
      </w:r>
    </w:p>
  </w:endnote>
  <w:endnote w:type="continuationSeparator" w:id="0">
    <w:p w14:paraId="10CD46E7" w14:textId="77777777" w:rsidR="00000000" w:rsidRDefault="00A5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oolBoran">
    <w:altName w:val="MoolBoran"/>
    <w:charset w:val="00"/>
    <w:family w:val="swiss"/>
    <w:pitch w:val="variable"/>
    <w:sig w:usb0="80000003" w:usb1="00000000" w:usb2="0001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115FF" w14:textId="77777777" w:rsidR="00DB72EA" w:rsidRDefault="00A56A0F" w:rsidP="00DB72EA">
    <w:pPr>
      <w:pStyle w:val="Footer"/>
    </w:pPr>
    <w:r>
      <w:rPr>
        <w:noProof/>
      </w:rPr>
      <w:drawing>
        <wp:anchor distT="0" distB="0" distL="114300" distR="114300" simplePos="0" relativeHeight="251658240" behindDoc="1" locked="0" layoutInCell="1" allowOverlap="0" wp14:anchorId="6E54F7E3" wp14:editId="4CB69EC6">
          <wp:simplePos x="0" y="0"/>
          <wp:positionH relativeFrom="column">
            <wp:posOffset>-720090</wp:posOffset>
          </wp:positionH>
          <wp:positionV relativeFrom="margin">
            <wp:posOffset>9813925</wp:posOffset>
          </wp:positionV>
          <wp:extent cx="7573010" cy="1023620"/>
          <wp:effectExtent l="0" t="0" r="0" b="0"/>
          <wp:wrapTight wrapText="bothSides">
            <wp:wrapPolygon edited="0">
              <wp:start x="0" y="0"/>
              <wp:lineTo x="0" y="21305"/>
              <wp:lineTo x="21571" y="21305"/>
              <wp:lineTo x="21571" y="0"/>
              <wp:lineTo x="0" y="0"/>
            </wp:wrapPolygon>
          </wp:wrapTight>
          <wp:docPr id="2" name="Picture 3" descr="eajcw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797858" name="Picture 3" descr="eajcwfooter.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010" cy="10236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417A0" w14:textId="77777777" w:rsidR="00DB72EA" w:rsidRPr="006B6BF8" w:rsidRDefault="00DB72EA" w:rsidP="00DB7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392FC" w14:textId="77777777" w:rsidR="007C3C28" w:rsidRDefault="00A56A0F">
      <w:r>
        <w:separator/>
      </w:r>
    </w:p>
  </w:footnote>
  <w:footnote w:type="continuationSeparator" w:id="0">
    <w:p w14:paraId="449CB816" w14:textId="77777777" w:rsidR="007C3C28" w:rsidRDefault="00A56A0F">
      <w:r>
        <w:continuationSeparator/>
      </w:r>
    </w:p>
  </w:footnote>
  <w:footnote w:id="1">
    <w:p w14:paraId="14F5ED92" w14:textId="77777777" w:rsidR="00115003" w:rsidRPr="00422BE2" w:rsidRDefault="00A56A0F" w:rsidP="005304DB">
      <w:pPr>
        <w:pStyle w:val="FootnoteText"/>
        <w:jc w:val="both"/>
        <w:rPr>
          <w:rFonts w:ascii="Times New Roman" w:eastAsia="Malgun Gothic" w:hAnsi="Times New Roman"/>
          <w:lang w:eastAsia="ko-KR"/>
        </w:rPr>
      </w:pPr>
      <w:r w:rsidRPr="00422BE2">
        <w:rPr>
          <w:rStyle w:val="FootnoteReference"/>
          <w:rFonts w:ascii="Times New Roman" w:hAnsi="Times New Roman"/>
        </w:rPr>
        <w:footnoteRef/>
      </w:r>
      <w:r w:rsidRPr="00422BE2">
        <w:rPr>
          <w:rFonts w:ascii="Times New Roman" w:hAnsi="Times New Roman"/>
        </w:rPr>
        <w:t xml:space="preserve"> See </w:t>
      </w:r>
      <w:r w:rsidRPr="00422BE2">
        <w:rPr>
          <w:rFonts w:ascii="Times New Roman" w:eastAsia="Malgun Gothic" w:hAnsi="Times New Roman"/>
          <w:lang w:eastAsia="ko-KR"/>
        </w:rPr>
        <w:t xml:space="preserve">Annex 1: </w:t>
      </w:r>
      <w:r w:rsidR="008162D7" w:rsidRPr="00422BE2">
        <w:rPr>
          <w:rFonts w:ascii="Times New Roman" w:eastAsia="Malgun Gothic" w:hAnsi="Times New Roman"/>
          <w:lang w:eastAsia="ko-KR"/>
        </w:rPr>
        <w:t>Committee of Ministers of the Council of Europe, Turkish government’s submissions in response to the Committee of Minister’s decision adopted at its 1377</w:t>
      </w:r>
      <w:r w:rsidR="008162D7" w:rsidRPr="00422BE2">
        <w:rPr>
          <w:rFonts w:ascii="Times New Roman" w:eastAsia="Malgun Gothic" w:hAnsi="Times New Roman"/>
          <w:vertAlign w:val="superscript"/>
          <w:lang w:eastAsia="ko-KR"/>
        </w:rPr>
        <w:t>th</w:t>
      </w:r>
      <w:r w:rsidR="008162D7" w:rsidRPr="00422BE2">
        <w:rPr>
          <w:rFonts w:ascii="Times New Roman" w:eastAsia="Malgun Gothic" w:hAnsi="Times New Roman"/>
          <w:lang w:eastAsia="ko-KR"/>
        </w:rPr>
        <w:t xml:space="preserve"> meeting on 4 June 2020. Turkey’s response to the issues raised on the cases of </w:t>
      </w:r>
      <w:r w:rsidR="000F0280" w:rsidRPr="00422BE2">
        <w:rPr>
          <w:rFonts w:ascii="Times New Roman" w:eastAsia="Malgun Gothic" w:hAnsi="Times New Roman"/>
          <w:i/>
          <w:lang w:eastAsia="ko-KR"/>
        </w:rPr>
        <w:t xml:space="preserve">Buldu and Others v. Turkey, </w:t>
      </w:r>
      <w:r w:rsidR="000F0280" w:rsidRPr="00422BE2">
        <w:rPr>
          <w:rFonts w:ascii="Times New Roman" w:eastAsia="Malgun Gothic" w:hAnsi="Times New Roman"/>
          <w:lang w:eastAsia="ko-KR"/>
        </w:rPr>
        <w:t xml:space="preserve">no. 14017/08, 3 June 2014; </w:t>
      </w:r>
      <w:r w:rsidR="000F0280" w:rsidRPr="00422BE2">
        <w:rPr>
          <w:rFonts w:ascii="Times New Roman" w:eastAsia="Malgun Gothic" w:hAnsi="Times New Roman"/>
          <w:i/>
          <w:lang w:eastAsia="ko-KR"/>
        </w:rPr>
        <w:t>Feti Demirtaş v. Turkey</w:t>
      </w:r>
      <w:r w:rsidR="000F0280" w:rsidRPr="00422BE2">
        <w:rPr>
          <w:rFonts w:ascii="Times New Roman" w:eastAsia="Malgun Gothic" w:hAnsi="Times New Roman"/>
          <w:lang w:eastAsia="ko-KR"/>
        </w:rPr>
        <w:t xml:space="preserve">, no. 5260/07, 17 January 2012; </w:t>
      </w:r>
      <w:r w:rsidR="000F0280" w:rsidRPr="00422BE2">
        <w:rPr>
          <w:rFonts w:ascii="Times New Roman" w:eastAsia="Malgun Gothic" w:hAnsi="Times New Roman"/>
          <w:i/>
          <w:lang w:eastAsia="ko-KR"/>
        </w:rPr>
        <w:t>Erçep v. Turkey</w:t>
      </w:r>
      <w:r w:rsidR="000F0280" w:rsidRPr="00422BE2">
        <w:rPr>
          <w:rFonts w:ascii="Times New Roman" w:eastAsia="Malgun Gothic" w:hAnsi="Times New Roman"/>
          <w:lang w:eastAsia="ko-KR"/>
        </w:rPr>
        <w:t>, no. 43965/04, 22 November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B9D1" w14:textId="77777777" w:rsidR="00DB72EA" w:rsidRPr="005B0367" w:rsidRDefault="00DB72EA" w:rsidP="00DB72EA">
    <w:pPr>
      <w:pStyle w:val="Header"/>
      <w:tabs>
        <w:tab w:val="clear" w:pos="4320"/>
        <w:tab w:val="clear" w:pos="8640"/>
        <w:tab w:val="left" w:pos="0"/>
      </w:tabs>
      <w:jc w:val="left"/>
      <w:rPr>
        <w:szCs w:val="24"/>
        <w:lang w:val="fr-BE"/>
      </w:rPr>
    </w:pPr>
  </w:p>
  <w:p w14:paraId="05E68842" w14:textId="77777777" w:rsidR="00804534" w:rsidRPr="00804534" w:rsidRDefault="00A56A0F" w:rsidP="005304DB">
    <w:pPr>
      <w:pStyle w:val="Header"/>
      <w:jc w:val="both"/>
      <w:rPr>
        <w:szCs w:val="24"/>
      </w:rPr>
    </w:pPr>
    <w:r w:rsidRPr="00BF1D87">
      <w:rPr>
        <w:szCs w:val="24"/>
      </w:rPr>
      <w:t>132</w:t>
    </w:r>
    <w:r w:rsidR="007F47EF">
      <w:rPr>
        <w:szCs w:val="24"/>
        <w:vertAlign w:val="superscript"/>
      </w:rPr>
      <w:t>nd</w:t>
    </w:r>
    <w:r w:rsidRPr="00804534">
      <w:rPr>
        <w:szCs w:val="24"/>
      </w:rPr>
      <w:t xml:space="preserve"> Session of the </w:t>
    </w:r>
    <w:r w:rsidR="009A4724">
      <w:rPr>
        <w:szCs w:val="24"/>
      </w:rPr>
      <w:t>UN Human Rights Committee</w:t>
    </w:r>
    <w:r w:rsidRPr="00804534">
      <w:rPr>
        <w:szCs w:val="24"/>
      </w:rPr>
      <w:t xml:space="preserve"> – </w:t>
    </w:r>
    <w:r>
      <w:rPr>
        <w:szCs w:val="24"/>
      </w:rPr>
      <w:t>June 28 to July 23, 2021</w:t>
    </w:r>
  </w:p>
  <w:p w14:paraId="7805ECDE" w14:textId="77777777" w:rsidR="00804534" w:rsidRPr="00804534" w:rsidRDefault="00A56A0F" w:rsidP="005304DB">
    <w:pPr>
      <w:pStyle w:val="Header"/>
      <w:jc w:val="both"/>
      <w:rPr>
        <w:szCs w:val="24"/>
      </w:rPr>
    </w:pPr>
    <w:r w:rsidRPr="00804534">
      <w:rPr>
        <w:szCs w:val="24"/>
      </w:rPr>
      <w:t xml:space="preserve">European Association of </w:t>
    </w:r>
    <w:r>
      <w:rPr>
        <w:szCs w:val="24"/>
      </w:rPr>
      <w:t>Jehovah’s</w:t>
    </w:r>
    <w:r w:rsidRPr="00804534">
      <w:rPr>
        <w:szCs w:val="24"/>
      </w:rPr>
      <w:t xml:space="preserve"> Witnesses – </w:t>
    </w:r>
    <w:r w:rsidR="00BF1D87">
      <w:rPr>
        <w:szCs w:val="24"/>
      </w:rPr>
      <w:t>Turkey</w:t>
    </w:r>
  </w:p>
  <w:p w14:paraId="165CF6E3" w14:textId="77777777" w:rsidR="00DB72EA" w:rsidRDefault="00A56A0F" w:rsidP="005304DB">
    <w:pPr>
      <w:pStyle w:val="Header"/>
      <w:jc w:val="both"/>
      <w:rPr>
        <w:noProof/>
        <w:sz w:val="22"/>
        <w:szCs w:val="22"/>
      </w:rPr>
    </w:pPr>
    <w:r w:rsidRPr="00711E4A">
      <w:rPr>
        <w:sz w:val="22"/>
        <w:szCs w:val="22"/>
      </w:rPr>
      <w:t xml:space="preserve">Page </w:t>
    </w:r>
    <w:r w:rsidRPr="00711E4A">
      <w:rPr>
        <w:sz w:val="22"/>
        <w:szCs w:val="22"/>
      </w:rPr>
      <w:fldChar w:fldCharType="begin"/>
    </w:r>
    <w:r w:rsidRPr="00711E4A">
      <w:rPr>
        <w:sz w:val="22"/>
        <w:szCs w:val="22"/>
      </w:rPr>
      <w:instrText xml:space="preserve"> PAGE   \* MERGEFORMAT </w:instrText>
    </w:r>
    <w:r w:rsidRPr="00711E4A">
      <w:rPr>
        <w:sz w:val="22"/>
        <w:szCs w:val="22"/>
      </w:rPr>
      <w:fldChar w:fldCharType="separate"/>
    </w:r>
    <w:r w:rsidR="00A069E8">
      <w:rPr>
        <w:noProof/>
        <w:sz w:val="22"/>
        <w:szCs w:val="22"/>
      </w:rPr>
      <w:t>1</w:t>
    </w:r>
    <w:r w:rsidRPr="00711E4A">
      <w:rPr>
        <w:noProof/>
        <w:sz w:val="22"/>
        <w:szCs w:val="22"/>
      </w:rPr>
      <w:fldChar w:fldCharType="end"/>
    </w:r>
  </w:p>
  <w:p w14:paraId="07782E39" w14:textId="77777777" w:rsidR="007F47EF" w:rsidRPr="00A819D5" w:rsidRDefault="007F47EF" w:rsidP="00A819D5">
    <w:pPr>
      <w:pStyle w:val="Header"/>
      <w:jc w:val="left"/>
      <w:rPr>
        <w:noProof/>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DB8AD" w14:textId="77777777" w:rsidR="00AC671A" w:rsidRDefault="00A56A0F" w:rsidP="00AC671A">
    <w:pPr>
      <w:pStyle w:val="Header"/>
      <w:spacing w:before="1020"/>
      <w:rPr>
        <w:rFonts w:ascii="Constantia" w:hAnsi="Constantia"/>
        <w:smallCaps/>
        <w:spacing w:val="20"/>
        <w:sz w:val="19"/>
        <w:szCs w:val="19"/>
      </w:rPr>
    </w:pPr>
    <w:r>
      <w:rPr>
        <w:noProof/>
      </w:rPr>
      <w:drawing>
        <wp:anchor distT="0" distB="0" distL="114300" distR="114300" simplePos="0" relativeHeight="251659264" behindDoc="1" locked="0" layoutInCell="1" allowOverlap="1" wp14:anchorId="635155B8" wp14:editId="42526762">
          <wp:simplePos x="0" y="0"/>
          <wp:positionH relativeFrom="column">
            <wp:posOffset>-720090</wp:posOffset>
          </wp:positionH>
          <wp:positionV relativeFrom="paragraph">
            <wp:posOffset>8890</wp:posOffset>
          </wp:positionV>
          <wp:extent cx="7570470" cy="2017395"/>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4127"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0470" cy="2017395"/>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hAnsi="Constantia"/>
        <w:smallCaps/>
        <w:spacing w:val="20"/>
        <w:sz w:val="19"/>
        <w:szCs w:val="19"/>
      </w:rPr>
      <w:t xml:space="preserve"> </w:t>
    </w:r>
  </w:p>
  <w:p w14:paraId="5AE27301" w14:textId="77777777" w:rsidR="00AC671A" w:rsidRDefault="00AC671A" w:rsidP="00AC671A">
    <w:pPr>
      <w:pStyle w:val="Header"/>
      <w:spacing w:before="1020"/>
      <w:rPr>
        <w:rFonts w:ascii="Constantia" w:hAnsi="Constantia"/>
        <w:smallCaps/>
        <w:spacing w:val="20"/>
        <w:sz w:val="19"/>
        <w:szCs w:val="19"/>
      </w:rPr>
    </w:pPr>
  </w:p>
  <w:p w14:paraId="3C62C302" w14:textId="77777777" w:rsidR="00DB72EA" w:rsidRDefault="00DB7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BE66C" w14:textId="77777777" w:rsidR="00CE2B3D" w:rsidRPr="00804534" w:rsidRDefault="00A56A0F" w:rsidP="00CE2B3D">
    <w:pPr>
      <w:pStyle w:val="Header"/>
      <w:jc w:val="left"/>
      <w:rPr>
        <w:szCs w:val="24"/>
      </w:rPr>
    </w:pPr>
    <w:r>
      <w:rPr>
        <w:szCs w:val="24"/>
      </w:rPr>
      <w:t>132</w:t>
    </w:r>
    <w:r w:rsidR="007F47EF">
      <w:rPr>
        <w:szCs w:val="24"/>
        <w:vertAlign w:val="superscript"/>
      </w:rPr>
      <w:t xml:space="preserve">nd </w:t>
    </w:r>
    <w:r w:rsidRPr="00804534">
      <w:rPr>
        <w:szCs w:val="24"/>
      </w:rPr>
      <w:t xml:space="preserve">Session of the </w:t>
    </w:r>
    <w:r w:rsidR="007F5FB1">
      <w:rPr>
        <w:szCs w:val="24"/>
      </w:rPr>
      <w:t>UN Human Rights Committee</w:t>
    </w:r>
    <w:r w:rsidRPr="00804534">
      <w:rPr>
        <w:szCs w:val="24"/>
      </w:rPr>
      <w:t xml:space="preserve"> – </w:t>
    </w:r>
    <w:r>
      <w:rPr>
        <w:szCs w:val="24"/>
      </w:rPr>
      <w:t>June 28 to July 23, 2021</w:t>
    </w:r>
    <w:r w:rsidRPr="00804534">
      <w:rPr>
        <w:szCs w:val="24"/>
      </w:rPr>
      <w:t>.</w:t>
    </w:r>
  </w:p>
  <w:p w14:paraId="0AB3743C" w14:textId="77777777" w:rsidR="00CE2B3D" w:rsidRPr="00804534" w:rsidRDefault="00A56A0F" w:rsidP="00CE2B3D">
    <w:pPr>
      <w:pStyle w:val="Header"/>
      <w:jc w:val="left"/>
      <w:rPr>
        <w:szCs w:val="24"/>
      </w:rPr>
    </w:pPr>
    <w:r w:rsidRPr="00804534">
      <w:rPr>
        <w:szCs w:val="24"/>
      </w:rPr>
      <w:t xml:space="preserve">European Association of </w:t>
    </w:r>
    <w:r>
      <w:rPr>
        <w:szCs w:val="24"/>
      </w:rPr>
      <w:t>Jehovah’s</w:t>
    </w:r>
    <w:r w:rsidRPr="00804534">
      <w:rPr>
        <w:szCs w:val="24"/>
      </w:rPr>
      <w:t xml:space="preserve"> Witnesses – </w:t>
    </w:r>
    <w:r w:rsidR="00BF1D87">
      <w:rPr>
        <w:szCs w:val="24"/>
      </w:rPr>
      <w:t>Turkey</w:t>
    </w:r>
  </w:p>
  <w:p w14:paraId="217EE1B7" w14:textId="77777777" w:rsidR="00DB72EA" w:rsidRPr="00804534" w:rsidRDefault="00A56A0F" w:rsidP="00DB72EA">
    <w:pPr>
      <w:pStyle w:val="Header"/>
      <w:jc w:val="left"/>
      <w:rPr>
        <w:noProof/>
        <w:szCs w:val="24"/>
      </w:rPr>
    </w:pPr>
    <w:r w:rsidRPr="00804534">
      <w:rPr>
        <w:szCs w:val="24"/>
      </w:rPr>
      <w:t xml:space="preserve">Page </w:t>
    </w:r>
    <w:r w:rsidRPr="00804534">
      <w:rPr>
        <w:szCs w:val="24"/>
      </w:rPr>
      <w:fldChar w:fldCharType="begin"/>
    </w:r>
    <w:r w:rsidRPr="00804534">
      <w:rPr>
        <w:szCs w:val="24"/>
      </w:rPr>
      <w:instrText xml:space="preserve"> PAGE   \* MERGEFORMAT </w:instrText>
    </w:r>
    <w:r w:rsidRPr="00804534">
      <w:rPr>
        <w:szCs w:val="24"/>
      </w:rPr>
      <w:fldChar w:fldCharType="separate"/>
    </w:r>
    <w:r w:rsidR="00A069E8">
      <w:rPr>
        <w:noProof/>
        <w:szCs w:val="24"/>
      </w:rPr>
      <w:t>2</w:t>
    </w:r>
    <w:r w:rsidRPr="00804534">
      <w:rPr>
        <w:noProof/>
        <w:szCs w:val="24"/>
      </w:rPr>
      <w:fldChar w:fldCharType="end"/>
    </w:r>
  </w:p>
  <w:p w14:paraId="1BA5DAA3" w14:textId="77777777" w:rsidR="00DB72EA" w:rsidRPr="00804534" w:rsidRDefault="00DB72EA" w:rsidP="00DB72EA">
    <w:pPr>
      <w:pStyle w:val="Header"/>
      <w:jc w:val="lef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255D"/>
    <w:multiLevelType w:val="multilevel"/>
    <w:tmpl w:val="20A49E2A"/>
    <w:lvl w:ilvl="0">
      <w:start w:val="1"/>
      <w:numFmt w:val="upperRoman"/>
      <w:pStyle w:val="WGHFactumL1"/>
      <w:suff w:val="nothing"/>
      <w:lvlText w:val="Part %1 — "/>
      <w:lvlJc w:val="left"/>
      <w:pPr>
        <w:ind w:left="0" w:firstLine="0"/>
      </w:pPr>
      <w:rPr>
        <w:rFonts w:hint="default"/>
        <w:b/>
        <w:i w:val="0"/>
        <w:caps/>
        <w:smallCaps w:val="0"/>
      </w:rPr>
    </w:lvl>
    <w:lvl w:ilvl="1">
      <w:start w:val="1"/>
      <w:numFmt w:val="upperLetter"/>
      <w:pStyle w:val="WGHFactumL2"/>
      <w:lvlText w:val="%2."/>
      <w:lvlJc w:val="left"/>
      <w:pPr>
        <w:tabs>
          <w:tab w:val="num" w:pos="720"/>
        </w:tabs>
        <w:ind w:left="720" w:hanging="720"/>
      </w:pPr>
      <w:rPr>
        <w:rFonts w:hint="default"/>
        <w:b/>
        <w:i w:val="0"/>
      </w:rPr>
    </w:lvl>
    <w:lvl w:ilvl="2">
      <w:start w:val="1"/>
      <w:numFmt w:val="lowerRoman"/>
      <w:pStyle w:val="WGHFactumL3"/>
      <w:lvlText w:val="(%3)"/>
      <w:lvlJc w:val="left"/>
      <w:pPr>
        <w:tabs>
          <w:tab w:val="num" w:pos="1440"/>
        </w:tabs>
        <w:ind w:left="1440" w:hanging="720"/>
      </w:pPr>
      <w:rPr>
        <w:rFonts w:hint="default"/>
        <w:b/>
        <w:i w:val="0"/>
      </w:rPr>
    </w:lvl>
    <w:lvl w:ilvl="3">
      <w:start w:val="1"/>
      <w:numFmt w:val="lowerLetter"/>
      <w:pStyle w:val="WGHFactumL4"/>
      <w:lvlText w:val="(%4)"/>
      <w:lvlJc w:val="left"/>
      <w:pPr>
        <w:tabs>
          <w:tab w:val="num" w:pos="2160"/>
        </w:tabs>
        <w:ind w:left="2160" w:hanging="720"/>
      </w:pPr>
      <w:rPr>
        <w:rFonts w:hint="default"/>
        <w:b/>
        <w:i w:val="0"/>
      </w:rPr>
    </w:lvl>
    <w:lvl w:ilvl="4">
      <w:start w:val="1"/>
      <w:numFmt w:val="decimal"/>
      <w:lvlRestart w:val="0"/>
      <w:pStyle w:val="WGHFactumL5"/>
      <w:lvlText w:val="%5."/>
      <w:lvlJc w:val="left"/>
      <w:pPr>
        <w:tabs>
          <w:tab w:val="num" w:pos="720"/>
        </w:tabs>
        <w:ind w:left="0" w:firstLine="0"/>
      </w:pPr>
      <w:rPr>
        <w:rFonts w:hint="default"/>
      </w:rPr>
    </w:lvl>
    <w:lvl w:ilvl="5">
      <w:start w:val="1"/>
      <w:numFmt w:val="lowerLetter"/>
      <w:pStyle w:val="WGHFactumL6"/>
      <w:lvlText w:val="(%6)"/>
      <w:lvlJc w:val="left"/>
      <w:pPr>
        <w:tabs>
          <w:tab w:val="num" w:pos="1440"/>
        </w:tabs>
        <w:ind w:left="1440" w:hanging="720"/>
      </w:pPr>
      <w:rPr>
        <w:rFonts w:hint="default"/>
      </w:rPr>
    </w:lvl>
    <w:lvl w:ilvl="6">
      <w:start w:val="1"/>
      <w:numFmt w:val="lowerRoman"/>
      <w:pStyle w:val="WGHFactumL7"/>
      <w:lvlText w:val="(%7)"/>
      <w:lvlJc w:val="left"/>
      <w:pPr>
        <w:tabs>
          <w:tab w:val="num" w:pos="2160"/>
        </w:tabs>
        <w:ind w:left="2160" w:hanging="720"/>
      </w:pPr>
      <w:rPr>
        <w:rFonts w:hint="default"/>
      </w:rPr>
    </w:lvl>
    <w:lvl w:ilvl="7">
      <w:start w:val="1"/>
      <w:numFmt w:val="upperLetter"/>
      <w:pStyle w:val="WGHFactumL8"/>
      <w:lvlText w:val="%8."/>
      <w:lvlJc w:val="left"/>
      <w:pPr>
        <w:tabs>
          <w:tab w:val="num" w:pos="2880"/>
        </w:tabs>
        <w:ind w:left="2880" w:hanging="720"/>
      </w:pPr>
      <w:rPr>
        <w:rFonts w:hint="default"/>
      </w:rPr>
    </w:lvl>
    <w:lvl w:ilvl="8">
      <w:start w:val="1"/>
      <w:numFmt w:val="cardinalText"/>
      <w:lvlRestart w:val="0"/>
      <w:pStyle w:val="WGHFactumL9"/>
      <w:lvlText w:val="Issue %9:"/>
      <w:lvlJc w:val="left"/>
      <w:pPr>
        <w:tabs>
          <w:tab w:val="num" w:pos="2160"/>
        </w:tabs>
        <w:ind w:left="1800" w:hanging="1800"/>
      </w:pPr>
      <w:rPr>
        <w:rFonts w:hint="default"/>
        <w:caps/>
        <w:smallCaps w:val="0"/>
      </w:rPr>
    </w:lvl>
  </w:abstractNum>
  <w:abstractNum w:abstractNumId="1" w15:restartNumberingAfterBreak="0">
    <w:nsid w:val="1A0E4C95"/>
    <w:multiLevelType w:val="hybridMultilevel"/>
    <w:tmpl w:val="53A8E54A"/>
    <w:lvl w:ilvl="0" w:tplc="26DC383E">
      <w:start w:val="1"/>
      <w:numFmt w:val="decimal"/>
      <w:lvlText w:val="(%1)"/>
      <w:lvlJc w:val="left"/>
      <w:pPr>
        <w:ind w:left="720" w:hanging="360"/>
      </w:pPr>
      <w:rPr>
        <w:rFonts w:hint="default"/>
        <w:b w:val="0"/>
        <w:color w:val="auto"/>
      </w:rPr>
    </w:lvl>
    <w:lvl w:ilvl="1" w:tplc="1E0AC82E">
      <w:start w:val="1"/>
      <w:numFmt w:val="decimal"/>
      <w:lvlText w:val="%2."/>
      <w:lvlJc w:val="left"/>
      <w:pPr>
        <w:ind w:left="435" w:hanging="435"/>
      </w:pPr>
      <w:rPr>
        <w:rFonts w:ascii="Times New Roman" w:hAnsi="Times New Roman" w:cs="Times New Roman" w:hint="default"/>
        <w:color w:val="auto"/>
        <w:sz w:val="24"/>
        <w:szCs w:val="24"/>
      </w:rPr>
    </w:lvl>
    <w:lvl w:ilvl="2" w:tplc="243686E2">
      <w:start w:val="1"/>
      <w:numFmt w:val="lowerRoman"/>
      <w:lvlText w:val="%3."/>
      <w:lvlJc w:val="right"/>
      <w:pPr>
        <w:ind w:left="2160" w:hanging="180"/>
      </w:pPr>
    </w:lvl>
    <w:lvl w:ilvl="3" w:tplc="F5742B04" w:tentative="1">
      <w:start w:val="1"/>
      <w:numFmt w:val="decimal"/>
      <w:lvlText w:val="%4."/>
      <w:lvlJc w:val="left"/>
      <w:pPr>
        <w:ind w:left="2880" w:hanging="360"/>
      </w:pPr>
    </w:lvl>
    <w:lvl w:ilvl="4" w:tplc="8F7C2004" w:tentative="1">
      <w:start w:val="1"/>
      <w:numFmt w:val="lowerLetter"/>
      <w:lvlText w:val="%5."/>
      <w:lvlJc w:val="left"/>
      <w:pPr>
        <w:ind w:left="3600" w:hanging="360"/>
      </w:pPr>
    </w:lvl>
    <w:lvl w:ilvl="5" w:tplc="9CE453DC" w:tentative="1">
      <w:start w:val="1"/>
      <w:numFmt w:val="lowerRoman"/>
      <w:lvlText w:val="%6."/>
      <w:lvlJc w:val="right"/>
      <w:pPr>
        <w:ind w:left="4320" w:hanging="180"/>
      </w:pPr>
    </w:lvl>
    <w:lvl w:ilvl="6" w:tplc="A6D49C6E" w:tentative="1">
      <w:start w:val="1"/>
      <w:numFmt w:val="decimal"/>
      <w:lvlText w:val="%7."/>
      <w:lvlJc w:val="left"/>
      <w:pPr>
        <w:ind w:left="5040" w:hanging="360"/>
      </w:pPr>
    </w:lvl>
    <w:lvl w:ilvl="7" w:tplc="D82A577E" w:tentative="1">
      <w:start w:val="1"/>
      <w:numFmt w:val="lowerLetter"/>
      <w:lvlText w:val="%8."/>
      <w:lvlJc w:val="left"/>
      <w:pPr>
        <w:ind w:left="5760" w:hanging="360"/>
      </w:pPr>
    </w:lvl>
    <w:lvl w:ilvl="8" w:tplc="D2AA6D5E" w:tentative="1">
      <w:start w:val="1"/>
      <w:numFmt w:val="lowerRoman"/>
      <w:lvlText w:val="%9."/>
      <w:lvlJc w:val="right"/>
      <w:pPr>
        <w:ind w:left="6480" w:hanging="180"/>
      </w:pPr>
    </w:lvl>
  </w:abstractNum>
  <w:abstractNum w:abstractNumId="2" w15:restartNumberingAfterBreak="0">
    <w:nsid w:val="25003667"/>
    <w:multiLevelType w:val="hybridMultilevel"/>
    <w:tmpl w:val="11FEB260"/>
    <w:lvl w:ilvl="0" w:tplc="46E6716A">
      <w:start w:val="1"/>
      <w:numFmt w:val="bullet"/>
      <w:lvlText w:val=""/>
      <w:lvlJc w:val="left"/>
      <w:pPr>
        <w:ind w:left="720" w:hanging="360"/>
      </w:pPr>
      <w:rPr>
        <w:rFonts w:ascii="Symbol" w:hAnsi="Symbol" w:hint="default"/>
      </w:rPr>
    </w:lvl>
    <w:lvl w:ilvl="1" w:tplc="5D32DC24">
      <w:start w:val="1"/>
      <w:numFmt w:val="bullet"/>
      <w:lvlText w:val="o"/>
      <w:lvlJc w:val="left"/>
      <w:pPr>
        <w:ind w:left="1440" w:hanging="360"/>
      </w:pPr>
      <w:rPr>
        <w:rFonts w:ascii="Courier New" w:hAnsi="Courier New" w:hint="default"/>
      </w:rPr>
    </w:lvl>
    <w:lvl w:ilvl="2" w:tplc="E8BE81AA">
      <w:start w:val="1"/>
      <w:numFmt w:val="bullet"/>
      <w:lvlText w:val=""/>
      <w:lvlJc w:val="left"/>
      <w:pPr>
        <w:ind w:left="2160" w:hanging="360"/>
      </w:pPr>
      <w:rPr>
        <w:rFonts w:ascii="Wingdings" w:hAnsi="Wingdings" w:hint="default"/>
      </w:rPr>
    </w:lvl>
    <w:lvl w:ilvl="3" w:tplc="EE0E533C">
      <w:start w:val="1"/>
      <w:numFmt w:val="bullet"/>
      <w:lvlText w:val=""/>
      <w:lvlJc w:val="left"/>
      <w:pPr>
        <w:ind w:left="2880" w:hanging="360"/>
      </w:pPr>
      <w:rPr>
        <w:rFonts w:ascii="Symbol" w:hAnsi="Symbol" w:hint="default"/>
      </w:rPr>
    </w:lvl>
    <w:lvl w:ilvl="4" w:tplc="BF5EF6B4">
      <w:start w:val="1"/>
      <w:numFmt w:val="bullet"/>
      <w:lvlText w:val="o"/>
      <w:lvlJc w:val="left"/>
      <w:pPr>
        <w:ind w:left="3600" w:hanging="360"/>
      </w:pPr>
      <w:rPr>
        <w:rFonts w:ascii="Courier New" w:hAnsi="Courier New" w:hint="default"/>
      </w:rPr>
    </w:lvl>
    <w:lvl w:ilvl="5" w:tplc="E9FAD4A6">
      <w:start w:val="1"/>
      <w:numFmt w:val="bullet"/>
      <w:lvlText w:val=""/>
      <w:lvlJc w:val="left"/>
      <w:pPr>
        <w:ind w:left="4320" w:hanging="360"/>
      </w:pPr>
      <w:rPr>
        <w:rFonts w:ascii="Wingdings" w:hAnsi="Wingdings" w:hint="default"/>
      </w:rPr>
    </w:lvl>
    <w:lvl w:ilvl="6" w:tplc="945C39AC">
      <w:start w:val="1"/>
      <w:numFmt w:val="bullet"/>
      <w:lvlText w:val=""/>
      <w:lvlJc w:val="left"/>
      <w:pPr>
        <w:ind w:left="5040" w:hanging="360"/>
      </w:pPr>
      <w:rPr>
        <w:rFonts w:ascii="Symbol" w:hAnsi="Symbol" w:hint="default"/>
      </w:rPr>
    </w:lvl>
    <w:lvl w:ilvl="7" w:tplc="D1A8C634">
      <w:start w:val="1"/>
      <w:numFmt w:val="bullet"/>
      <w:lvlText w:val="o"/>
      <w:lvlJc w:val="left"/>
      <w:pPr>
        <w:ind w:left="5760" w:hanging="360"/>
      </w:pPr>
      <w:rPr>
        <w:rFonts w:ascii="Courier New" w:hAnsi="Courier New" w:hint="default"/>
      </w:rPr>
    </w:lvl>
    <w:lvl w:ilvl="8" w:tplc="74EE650A">
      <w:start w:val="1"/>
      <w:numFmt w:val="bullet"/>
      <w:lvlText w:val=""/>
      <w:lvlJc w:val="left"/>
      <w:pPr>
        <w:ind w:left="6480" w:hanging="360"/>
      </w:pPr>
      <w:rPr>
        <w:rFonts w:ascii="Wingdings" w:hAnsi="Wingdings" w:hint="default"/>
      </w:rPr>
    </w:lvl>
  </w:abstractNum>
  <w:abstractNum w:abstractNumId="3" w15:restartNumberingAfterBreak="0">
    <w:nsid w:val="2A901E92"/>
    <w:multiLevelType w:val="hybridMultilevel"/>
    <w:tmpl w:val="6614A496"/>
    <w:lvl w:ilvl="0" w:tplc="032ABFF2">
      <w:start w:val="1"/>
      <w:numFmt w:val="decimal"/>
      <w:lvlText w:val="(%1)"/>
      <w:lvlJc w:val="left"/>
      <w:pPr>
        <w:ind w:left="720" w:hanging="360"/>
      </w:pPr>
      <w:rPr>
        <w:b w:val="0"/>
        <w:color w:val="auto"/>
      </w:rPr>
    </w:lvl>
    <w:lvl w:ilvl="1" w:tplc="2F542DB4">
      <w:start w:val="1"/>
      <w:numFmt w:val="decimal"/>
      <w:lvlText w:val="%2."/>
      <w:lvlJc w:val="left"/>
      <w:pPr>
        <w:ind w:left="615" w:hanging="435"/>
      </w:pPr>
      <w:rPr>
        <w:rFonts w:ascii="Times New Roman" w:hAnsi="Times New Roman" w:cs="Times New Roman" w:hint="default"/>
        <w:color w:val="auto"/>
        <w:sz w:val="24"/>
        <w:szCs w:val="24"/>
      </w:rPr>
    </w:lvl>
    <w:lvl w:ilvl="2" w:tplc="C6F66BAA">
      <w:start w:val="1"/>
      <w:numFmt w:val="lowerRoman"/>
      <w:lvlText w:val="%3."/>
      <w:lvlJc w:val="right"/>
      <w:pPr>
        <w:ind w:left="2160" w:hanging="180"/>
      </w:pPr>
    </w:lvl>
    <w:lvl w:ilvl="3" w:tplc="F1D87C3A">
      <w:start w:val="1"/>
      <w:numFmt w:val="decimal"/>
      <w:lvlText w:val="%4."/>
      <w:lvlJc w:val="left"/>
      <w:pPr>
        <w:ind w:left="2880" w:hanging="360"/>
      </w:pPr>
    </w:lvl>
    <w:lvl w:ilvl="4" w:tplc="46A0B42C">
      <w:start w:val="1"/>
      <w:numFmt w:val="lowerLetter"/>
      <w:lvlText w:val="%5."/>
      <w:lvlJc w:val="left"/>
      <w:pPr>
        <w:ind w:left="3600" w:hanging="360"/>
      </w:pPr>
    </w:lvl>
    <w:lvl w:ilvl="5" w:tplc="A802C574">
      <w:start w:val="1"/>
      <w:numFmt w:val="lowerRoman"/>
      <w:lvlText w:val="%6."/>
      <w:lvlJc w:val="right"/>
      <w:pPr>
        <w:ind w:left="4320" w:hanging="180"/>
      </w:pPr>
    </w:lvl>
    <w:lvl w:ilvl="6" w:tplc="92649C98">
      <w:start w:val="1"/>
      <w:numFmt w:val="decimal"/>
      <w:lvlText w:val="%7."/>
      <w:lvlJc w:val="left"/>
      <w:pPr>
        <w:ind w:left="5040" w:hanging="360"/>
      </w:pPr>
    </w:lvl>
    <w:lvl w:ilvl="7" w:tplc="0B6804CE">
      <w:start w:val="1"/>
      <w:numFmt w:val="lowerLetter"/>
      <w:lvlText w:val="%8."/>
      <w:lvlJc w:val="left"/>
      <w:pPr>
        <w:ind w:left="5760" w:hanging="360"/>
      </w:pPr>
    </w:lvl>
    <w:lvl w:ilvl="8" w:tplc="9768FDCC">
      <w:start w:val="1"/>
      <w:numFmt w:val="lowerRoman"/>
      <w:lvlText w:val="%9."/>
      <w:lvlJc w:val="right"/>
      <w:pPr>
        <w:ind w:left="6480" w:hanging="180"/>
      </w:pPr>
    </w:lvl>
  </w:abstractNum>
  <w:abstractNum w:abstractNumId="4" w15:restartNumberingAfterBreak="0">
    <w:nsid w:val="3C2057C9"/>
    <w:multiLevelType w:val="hybridMultilevel"/>
    <w:tmpl w:val="74F0BB82"/>
    <w:lvl w:ilvl="0" w:tplc="B118787A">
      <w:start w:val="1"/>
      <w:numFmt w:val="bullet"/>
      <w:lvlText w:val=""/>
      <w:lvlJc w:val="left"/>
      <w:pPr>
        <w:ind w:left="720" w:hanging="360"/>
      </w:pPr>
      <w:rPr>
        <w:rFonts w:ascii="Symbol" w:hAnsi="Symbol" w:hint="default"/>
      </w:rPr>
    </w:lvl>
    <w:lvl w:ilvl="1" w:tplc="564C0764">
      <w:start w:val="1"/>
      <w:numFmt w:val="bullet"/>
      <w:lvlText w:val="o"/>
      <w:lvlJc w:val="left"/>
      <w:pPr>
        <w:ind w:left="1440" w:hanging="360"/>
      </w:pPr>
      <w:rPr>
        <w:rFonts w:ascii="Courier New" w:hAnsi="Courier New" w:cs="Courier New" w:hint="default"/>
      </w:rPr>
    </w:lvl>
    <w:lvl w:ilvl="2" w:tplc="CB0C128E">
      <w:start w:val="1"/>
      <w:numFmt w:val="bullet"/>
      <w:lvlText w:val=""/>
      <w:lvlJc w:val="left"/>
      <w:pPr>
        <w:ind w:left="2160" w:hanging="360"/>
      </w:pPr>
      <w:rPr>
        <w:rFonts w:ascii="Wingdings" w:hAnsi="Wingdings" w:hint="default"/>
      </w:rPr>
    </w:lvl>
    <w:lvl w:ilvl="3" w:tplc="2E54DBC4">
      <w:start w:val="1"/>
      <w:numFmt w:val="bullet"/>
      <w:lvlText w:val=""/>
      <w:lvlJc w:val="left"/>
      <w:pPr>
        <w:ind w:left="2880" w:hanging="360"/>
      </w:pPr>
      <w:rPr>
        <w:rFonts w:ascii="Symbol" w:hAnsi="Symbol" w:hint="default"/>
      </w:rPr>
    </w:lvl>
    <w:lvl w:ilvl="4" w:tplc="A7725C90">
      <w:start w:val="1"/>
      <w:numFmt w:val="bullet"/>
      <w:lvlText w:val="o"/>
      <w:lvlJc w:val="left"/>
      <w:pPr>
        <w:ind w:left="3600" w:hanging="360"/>
      </w:pPr>
      <w:rPr>
        <w:rFonts w:ascii="Courier New" w:hAnsi="Courier New" w:cs="Courier New" w:hint="default"/>
      </w:rPr>
    </w:lvl>
    <w:lvl w:ilvl="5" w:tplc="53FC46C2">
      <w:start w:val="1"/>
      <w:numFmt w:val="bullet"/>
      <w:lvlText w:val=""/>
      <w:lvlJc w:val="left"/>
      <w:pPr>
        <w:ind w:left="4320" w:hanging="360"/>
      </w:pPr>
      <w:rPr>
        <w:rFonts w:ascii="Wingdings" w:hAnsi="Wingdings" w:hint="default"/>
      </w:rPr>
    </w:lvl>
    <w:lvl w:ilvl="6" w:tplc="02642622">
      <w:start w:val="1"/>
      <w:numFmt w:val="bullet"/>
      <w:lvlText w:val=""/>
      <w:lvlJc w:val="left"/>
      <w:pPr>
        <w:ind w:left="5040" w:hanging="360"/>
      </w:pPr>
      <w:rPr>
        <w:rFonts w:ascii="Symbol" w:hAnsi="Symbol" w:hint="default"/>
      </w:rPr>
    </w:lvl>
    <w:lvl w:ilvl="7" w:tplc="733C1E22">
      <w:start w:val="1"/>
      <w:numFmt w:val="bullet"/>
      <w:lvlText w:val="o"/>
      <w:lvlJc w:val="left"/>
      <w:pPr>
        <w:ind w:left="5760" w:hanging="360"/>
      </w:pPr>
      <w:rPr>
        <w:rFonts w:ascii="Courier New" w:hAnsi="Courier New" w:cs="Courier New" w:hint="default"/>
      </w:rPr>
    </w:lvl>
    <w:lvl w:ilvl="8" w:tplc="3EBE9192">
      <w:start w:val="1"/>
      <w:numFmt w:val="bullet"/>
      <w:lvlText w:val=""/>
      <w:lvlJc w:val="left"/>
      <w:pPr>
        <w:ind w:left="6480" w:hanging="360"/>
      </w:pPr>
      <w:rPr>
        <w:rFonts w:ascii="Wingdings" w:hAnsi="Wingdings" w:hint="default"/>
      </w:rPr>
    </w:lvl>
  </w:abstractNum>
  <w:abstractNum w:abstractNumId="5" w15:restartNumberingAfterBreak="0">
    <w:nsid w:val="4B9F55A6"/>
    <w:multiLevelType w:val="hybridMultilevel"/>
    <w:tmpl w:val="6614A496"/>
    <w:lvl w:ilvl="0" w:tplc="0708F84C">
      <w:start w:val="1"/>
      <w:numFmt w:val="decimal"/>
      <w:lvlText w:val="(%1)"/>
      <w:lvlJc w:val="left"/>
      <w:pPr>
        <w:ind w:left="720" w:hanging="360"/>
      </w:pPr>
      <w:rPr>
        <w:rFonts w:hint="default"/>
        <w:b w:val="0"/>
        <w:color w:val="auto"/>
      </w:rPr>
    </w:lvl>
    <w:lvl w:ilvl="1" w:tplc="110A0130">
      <w:start w:val="1"/>
      <w:numFmt w:val="decimal"/>
      <w:lvlText w:val="%2."/>
      <w:lvlJc w:val="left"/>
      <w:pPr>
        <w:ind w:left="615" w:hanging="435"/>
      </w:pPr>
      <w:rPr>
        <w:rFonts w:ascii="Times New Roman" w:hAnsi="Times New Roman" w:cs="Times New Roman" w:hint="default"/>
        <w:color w:val="auto"/>
        <w:sz w:val="24"/>
        <w:szCs w:val="24"/>
      </w:rPr>
    </w:lvl>
    <w:lvl w:ilvl="2" w:tplc="E7B4ABA2">
      <w:start w:val="1"/>
      <w:numFmt w:val="lowerRoman"/>
      <w:lvlText w:val="%3."/>
      <w:lvlJc w:val="right"/>
      <w:pPr>
        <w:ind w:left="2160" w:hanging="180"/>
      </w:pPr>
    </w:lvl>
    <w:lvl w:ilvl="3" w:tplc="FD36B78C" w:tentative="1">
      <w:start w:val="1"/>
      <w:numFmt w:val="decimal"/>
      <w:lvlText w:val="%4."/>
      <w:lvlJc w:val="left"/>
      <w:pPr>
        <w:ind w:left="2880" w:hanging="360"/>
      </w:pPr>
    </w:lvl>
    <w:lvl w:ilvl="4" w:tplc="E9421AE2" w:tentative="1">
      <w:start w:val="1"/>
      <w:numFmt w:val="lowerLetter"/>
      <w:lvlText w:val="%5."/>
      <w:lvlJc w:val="left"/>
      <w:pPr>
        <w:ind w:left="3600" w:hanging="360"/>
      </w:pPr>
    </w:lvl>
    <w:lvl w:ilvl="5" w:tplc="CA5A6426" w:tentative="1">
      <w:start w:val="1"/>
      <w:numFmt w:val="lowerRoman"/>
      <w:lvlText w:val="%6."/>
      <w:lvlJc w:val="right"/>
      <w:pPr>
        <w:ind w:left="4320" w:hanging="180"/>
      </w:pPr>
    </w:lvl>
    <w:lvl w:ilvl="6" w:tplc="865E2A74" w:tentative="1">
      <w:start w:val="1"/>
      <w:numFmt w:val="decimal"/>
      <w:lvlText w:val="%7."/>
      <w:lvlJc w:val="left"/>
      <w:pPr>
        <w:ind w:left="5040" w:hanging="360"/>
      </w:pPr>
    </w:lvl>
    <w:lvl w:ilvl="7" w:tplc="18EEA6DE" w:tentative="1">
      <w:start w:val="1"/>
      <w:numFmt w:val="lowerLetter"/>
      <w:lvlText w:val="%8."/>
      <w:lvlJc w:val="left"/>
      <w:pPr>
        <w:ind w:left="5760" w:hanging="360"/>
      </w:pPr>
    </w:lvl>
    <w:lvl w:ilvl="8" w:tplc="34809694" w:tentative="1">
      <w:start w:val="1"/>
      <w:numFmt w:val="lowerRoman"/>
      <w:lvlText w:val="%9."/>
      <w:lvlJc w:val="right"/>
      <w:pPr>
        <w:ind w:left="6480" w:hanging="180"/>
      </w:pPr>
    </w:lvl>
  </w:abstractNum>
  <w:abstractNum w:abstractNumId="6" w15:restartNumberingAfterBreak="0">
    <w:nsid w:val="5EA060EB"/>
    <w:multiLevelType w:val="hybridMultilevel"/>
    <w:tmpl w:val="53F690FA"/>
    <w:lvl w:ilvl="0" w:tplc="B27A9012">
      <w:start w:val="1"/>
      <w:numFmt w:val="decimal"/>
      <w:pStyle w:val="Paragraphnumbered"/>
      <w:lvlText w:val="%1."/>
      <w:lvlJc w:val="left"/>
      <w:pPr>
        <w:tabs>
          <w:tab w:val="num" w:pos="720"/>
        </w:tabs>
        <w:ind w:left="720" w:hanging="720"/>
      </w:pPr>
      <w:rPr>
        <w:rFonts w:ascii="Times New Roman" w:hAnsi="Times New Roman" w:hint="default"/>
        <w:sz w:val="24"/>
      </w:rPr>
    </w:lvl>
    <w:lvl w:ilvl="1" w:tplc="7B329034">
      <w:start w:val="1"/>
      <w:numFmt w:val="lowerRoman"/>
      <w:lvlText w:val="(%2)"/>
      <w:lvlJc w:val="left"/>
      <w:pPr>
        <w:tabs>
          <w:tab w:val="num" w:pos="1800"/>
        </w:tabs>
        <w:ind w:left="1800" w:hanging="720"/>
      </w:pPr>
      <w:rPr>
        <w:rFonts w:hint="default"/>
        <w:b/>
        <w:i w:val="0"/>
      </w:rPr>
    </w:lvl>
    <w:lvl w:ilvl="2" w:tplc="8870D54A">
      <w:start w:val="1"/>
      <w:numFmt w:val="lowerRoman"/>
      <w:lvlText w:val="%3."/>
      <w:lvlJc w:val="right"/>
      <w:pPr>
        <w:tabs>
          <w:tab w:val="num" w:pos="2160"/>
        </w:tabs>
        <w:ind w:left="2160" w:hanging="180"/>
      </w:pPr>
    </w:lvl>
    <w:lvl w:ilvl="3" w:tplc="16923DFA" w:tentative="1">
      <w:start w:val="1"/>
      <w:numFmt w:val="decimal"/>
      <w:lvlText w:val="%4."/>
      <w:lvlJc w:val="left"/>
      <w:pPr>
        <w:tabs>
          <w:tab w:val="num" w:pos="2880"/>
        </w:tabs>
        <w:ind w:left="2880" w:hanging="360"/>
      </w:pPr>
    </w:lvl>
    <w:lvl w:ilvl="4" w:tplc="2FAC27DA" w:tentative="1">
      <w:start w:val="1"/>
      <w:numFmt w:val="lowerLetter"/>
      <w:lvlText w:val="%5."/>
      <w:lvlJc w:val="left"/>
      <w:pPr>
        <w:tabs>
          <w:tab w:val="num" w:pos="3600"/>
        </w:tabs>
        <w:ind w:left="3600" w:hanging="360"/>
      </w:pPr>
    </w:lvl>
    <w:lvl w:ilvl="5" w:tplc="55C4D7A0" w:tentative="1">
      <w:start w:val="1"/>
      <w:numFmt w:val="lowerRoman"/>
      <w:lvlText w:val="%6."/>
      <w:lvlJc w:val="right"/>
      <w:pPr>
        <w:tabs>
          <w:tab w:val="num" w:pos="4320"/>
        </w:tabs>
        <w:ind w:left="4320" w:hanging="180"/>
      </w:pPr>
    </w:lvl>
    <w:lvl w:ilvl="6" w:tplc="9AE6F3CC" w:tentative="1">
      <w:start w:val="1"/>
      <w:numFmt w:val="decimal"/>
      <w:lvlText w:val="%7."/>
      <w:lvlJc w:val="left"/>
      <w:pPr>
        <w:tabs>
          <w:tab w:val="num" w:pos="5040"/>
        </w:tabs>
        <w:ind w:left="5040" w:hanging="360"/>
      </w:pPr>
    </w:lvl>
    <w:lvl w:ilvl="7" w:tplc="8D6E4F16" w:tentative="1">
      <w:start w:val="1"/>
      <w:numFmt w:val="lowerLetter"/>
      <w:lvlText w:val="%8."/>
      <w:lvlJc w:val="left"/>
      <w:pPr>
        <w:tabs>
          <w:tab w:val="num" w:pos="5760"/>
        </w:tabs>
        <w:ind w:left="5760" w:hanging="360"/>
      </w:pPr>
    </w:lvl>
    <w:lvl w:ilvl="8" w:tplc="996EB55A" w:tentative="1">
      <w:start w:val="1"/>
      <w:numFmt w:val="lowerRoman"/>
      <w:lvlText w:val="%9."/>
      <w:lvlJc w:val="right"/>
      <w:pPr>
        <w:tabs>
          <w:tab w:val="num" w:pos="6480"/>
        </w:tabs>
        <w:ind w:left="6480" w:hanging="180"/>
      </w:pPr>
    </w:lvl>
  </w:abstractNum>
  <w:abstractNum w:abstractNumId="7" w15:restartNumberingAfterBreak="0">
    <w:nsid w:val="67CD7B88"/>
    <w:multiLevelType w:val="hybridMultilevel"/>
    <w:tmpl w:val="B068128E"/>
    <w:lvl w:ilvl="0" w:tplc="AD88A806">
      <w:start w:val="1"/>
      <w:numFmt w:val="bullet"/>
      <w:lvlText w:val=""/>
      <w:lvlJc w:val="left"/>
      <w:pPr>
        <w:ind w:left="720" w:hanging="360"/>
      </w:pPr>
      <w:rPr>
        <w:rFonts w:ascii="Symbol" w:hAnsi="Symbol" w:hint="default"/>
      </w:rPr>
    </w:lvl>
    <w:lvl w:ilvl="1" w:tplc="77C8BB34" w:tentative="1">
      <w:start w:val="1"/>
      <w:numFmt w:val="bullet"/>
      <w:lvlText w:val="o"/>
      <w:lvlJc w:val="left"/>
      <w:pPr>
        <w:ind w:left="1440" w:hanging="360"/>
      </w:pPr>
      <w:rPr>
        <w:rFonts w:ascii="Courier New" w:hAnsi="Courier New" w:cs="Courier New" w:hint="default"/>
      </w:rPr>
    </w:lvl>
    <w:lvl w:ilvl="2" w:tplc="4D681262" w:tentative="1">
      <w:start w:val="1"/>
      <w:numFmt w:val="bullet"/>
      <w:lvlText w:val=""/>
      <w:lvlJc w:val="left"/>
      <w:pPr>
        <w:ind w:left="2160" w:hanging="360"/>
      </w:pPr>
      <w:rPr>
        <w:rFonts w:ascii="Wingdings" w:hAnsi="Wingdings" w:hint="default"/>
      </w:rPr>
    </w:lvl>
    <w:lvl w:ilvl="3" w:tplc="AAA631A6" w:tentative="1">
      <w:start w:val="1"/>
      <w:numFmt w:val="bullet"/>
      <w:lvlText w:val=""/>
      <w:lvlJc w:val="left"/>
      <w:pPr>
        <w:ind w:left="2880" w:hanging="360"/>
      </w:pPr>
      <w:rPr>
        <w:rFonts w:ascii="Symbol" w:hAnsi="Symbol" w:hint="default"/>
      </w:rPr>
    </w:lvl>
    <w:lvl w:ilvl="4" w:tplc="FDEAA108" w:tentative="1">
      <w:start w:val="1"/>
      <w:numFmt w:val="bullet"/>
      <w:lvlText w:val="o"/>
      <w:lvlJc w:val="left"/>
      <w:pPr>
        <w:ind w:left="3600" w:hanging="360"/>
      </w:pPr>
      <w:rPr>
        <w:rFonts w:ascii="Courier New" w:hAnsi="Courier New" w:cs="Courier New" w:hint="default"/>
      </w:rPr>
    </w:lvl>
    <w:lvl w:ilvl="5" w:tplc="2AB4AD70" w:tentative="1">
      <w:start w:val="1"/>
      <w:numFmt w:val="bullet"/>
      <w:lvlText w:val=""/>
      <w:lvlJc w:val="left"/>
      <w:pPr>
        <w:ind w:left="4320" w:hanging="360"/>
      </w:pPr>
      <w:rPr>
        <w:rFonts w:ascii="Wingdings" w:hAnsi="Wingdings" w:hint="default"/>
      </w:rPr>
    </w:lvl>
    <w:lvl w:ilvl="6" w:tplc="3E640E2C" w:tentative="1">
      <w:start w:val="1"/>
      <w:numFmt w:val="bullet"/>
      <w:lvlText w:val=""/>
      <w:lvlJc w:val="left"/>
      <w:pPr>
        <w:ind w:left="5040" w:hanging="360"/>
      </w:pPr>
      <w:rPr>
        <w:rFonts w:ascii="Symbol" w:hAnsi="Symbol" w:hint="default"/>
      </w:rPr>
    </w:lvl>
    <w:lvl w:ilvl="7" w:tplc="18D4ECDC" w:tentative="1">
      <w:start w:val="1"/>
      <w:numFmt w:val="bullet"/>
      <w:lvlText w:val="o"/>
      <w:lvlJc w:val="left"/>
      <w:pPr>
        <w:ind w:left="5760" w:hanging="360"/>
      </w:pPr>
      <w:rPr>
        <w:rFonts w:ascii="Courier New" w:hAnsi="Courier New" w:cs="Courier New" w:hint="default"/>
      </w:rPr>
    </w:lvl>
    <w:lvl w:ilvl="8" w:tplc="5314BF92" w:tentative="1">
      <w:start w:val="1"/>
      <w:numFmt w:val="bullet"/>
      <w:lvlText w:val=""/>
      <w:lvlJc w:val="left"/>
      <w:pPr>
        <w:ind w:left="6480" w:hanging="360"/>
      </w:pPr>
      <w:rPr>
        <w:rFonts w:ascii="Wingdings" w:hAnsi="Wingdings" w:hint="default"/>
      </w:rPr>
    </w:lvl>
  </w:abstractNum>
  <w:abstractNum w:abstractNumId="8" w15:restartNumberingAfterBreak="0">
    <w:nsid w:val="6879301B"/>
    <w:multiLevelType w:val="hybridMultilevel"/>
    <w:tmpl w:val="6614A496"/>
    <w:lvl w:ilvl="0" w:tplc="64B4DD46">
      <w:start w:val="1"/>
      <w:numFmt w:val="decimal"/>
      <w:lvlText w:val="(%1)"/>
      <w:lvlJc w:val="left"/>
      <w:pPr>
        <w:ind w:left="1080" w:hanging="360"/>
      </w:pPr>
      <w:rPr>
        <w:b w:val="0"/>
        <w:color w:val="auto"/>
      </w:rPr>
    </w:lvl>
    <w:lvl w:ilvl="1" w:tplc="70C0EDD6">
      <w:start w:val="1"/>
      <w:numFmt w:val="decimal"/>
      <w:lvlText w:val="%2."/>
      <w:lvlJc w:val="left"/>
      <w:pPr>
        <w:ind w:left="975" w:hanging="435"/>
      </w:pPr>
      <w:rPr>
        <w:rFonts w:ascii="Times New Roman" w:hAnsi="Times New Roman" w:cs="Times New Roman" w:hint="default"/>
        <w:color w:val="auto"/>
        <w:sz w:val="24"/>
        <w:szCs w:val="24"/>
      </w:rPr>
    </w:lvl>
    <w:lvl w:ilvl="2" w:tplc="EE96802E">
      <w:start w:val="1"/>
      <w:numFmt w:val="lowerRoman"/>
      <w:lvlText w:val="%3."/>
      <w:lvlJc w:val="right"/>
      <w:pPr>
        <w:ind w:left="2520" w:hanging="180"/>
      </w:pPr>
    </w:lvl>
    <w:lvl w:ilvl="3" w:tplc="E6C46996">
      <w:start w:val="1"/>
      <w:numFmt w:val="decimal"/>
      <w:lvlText w:val="%4."/>
      <w:lvlJc w:val="left"/>
      <w:pPr>
        <w:ind w:left="3240" w:hanging="360"/>
      </w:pPr>
    </w:lvl>
    <w:lvl w:ilvl="4" w:tplc="41687CC4">
      <w:start w:val="1"/>
      <w:numFmt w:val="lowerLetter"/>
      <w:lvlText w:val="%5."/>
      <w:lvlJc w:val="left"/>
      <w:pPr>
        <w:ind w:left="3960" w:hanging="360"/>
      </w:pPr>
    </w:lvl>
    <w:lvl w:ilvl="5" w:tplc="0F0697D6">
      <w:start w:val="1"/>
      <w:numFmt w:val="lowerRoman"/>
      <w:lvlText w:val="%6."/>
      <w:lvlJc w:val="right"/>
      <w:pPr>
        <w:ind w:left="4680" w:hanging="180"/>
      </w:pPr>
    </w:lvl>
    <w:lvl w:ilvl="6" w:tplc="85F8EE08">
      <w:start w:val="1"/>
      <w:numFmt w:val="decimal"/>
      <w:lvlText w:val="%7."/>
      <w:lvlJc w:val="left"/>
      <w:pPr>
        <w:ind w:left="5400" w:hanging="360"/>
      </w:pPr>
    </w:lvl>
    <w:lvl w:ilvl="7" w:tplc="43F0DBE0">
      <w:start w:val="1"/>
      <w:numFmt w:val="lowerLetter"/>
      <w:lvlText w:val="%8."/>
      <w:lvlJc w:val="left"/>
      <w:pPr>
        <w:ind w:left="6120" w:hanging="360"/>
      </w:pPr>
    </w:lvl>
    <w:lvl w:ilvl="8" w:tplc="DD70A354">
      <w:start w:val="1"/>
      <w:numFmt w:val="lowerRoman"/>
      <w:lvlText w:val="%9."/>
      <w:lvlJc w:val="right"/>
      <w:pPr>
        <w:ind w:left="6840" w:hanging="180"/>
      </w:pPr>
    </w:lvl>
  </w:abstractNum>
  <w:abstractNum w:abstractNumId="9" w15:restartNumberingAfterBreak="0">
    <w:nsid w:val="7A9B535F"/>
    <w:multiLevelType w:val="hybridMultilevel"/>
    <w:tmpl w:val="D57EEFD0"/>
    <w:lvl w:ilvl="0" w:tplc="D9F4EBC6">
      <w:start w:val="1"/>
      <w:numFmt w:val="upperRoman"/>
      <w:lvlText w:val="%1."/>
      <w:lvlJc w:val="left"/>
      <w:pPr>
        <w:ind w:left="1080" w:hanging="720"/>
      </w:pPr>
      <w:rPr>
        <w:rFonts w:hint="default"/>
      </w:rPr>
    </w:lvl>
    <w:lvl w:ilvl="1" w:tplc="943E92DE">
      <w:start w:val="1"/>
      <w:numFmt w:val="lowerLetter"/>
      <w:lvlText w:val="%2."/>
      <w:lvlJc w:val="left"/>
      <w:pPr>
        <w:ind w:left="1440" w:hanging="360"/>
      </w:pPr>
    </w:lvl>
    <w:lvl w:ilvl="2" w:tplc="C05893B4" w:tentative="1">
      <w:start w:val="1"/>
      <w:numFmt w:val="lowerRoman"/>
      <w:lvlText w:val="%3."/>
      <w:lvlJc w:val="right"/>
      <w:pPr>
        <w:ind w:left="2160" w:hanging="180"/>
      </w:pPr>
    </w:lvl>
    <w:lvl w:ilvl="3" w:tplc="D9F29822" w:tentative="1">
      <w:start w:val="1"/>
      <w:numFmt w:val="decimal"/>
      <w:lvlText w:val="%4."/>
      <w:lvlJc w:val="left"/>
      <w:pPr>
        <w:ind w:left="2880" w:hanging="360"/>
      </w:pPr>
    </w:lvl>
    <w:lvl w:ilvl="4" w:tplc="DACA2A34" w:tentative="1">
      <w:start w:val="1"/>
      <w:numFmt w:val="lowerLetter"/>
      <w:lvlText w:val="%5."/>
      <w:lvlJc w:val="left"/>
      <w:pPr>
        <w:ind w:left="3600" w:hanging="360"/>
      </w:pPr>
    </w:lvl>
    <w:lvl w:ilvl="5" w:tplc="77C097B0" w:tentative="1">
      <w:start w:val="1"/>
      <w:numFmt w:val="lowerRoman"/>
      <w:lvlText w:val="%6."/>
      <w:lvlJc w:val="right"/>
      <w:pPr>
        <w:ind w:left="4320" w:hanging="180"/>
      </w:pPr>
    </w:lvl>
    <w:lvl w:ilvl="6" w:tplc="D3D8C5E6" w:tentative="1">
      <w:start w:val="1"/>
      <w:numFmt w:val="decimal"/>
      <w:lvlText w:val="%7."/>
      <w:lvlJc w:val="left"/>
      <w:pPr>
        <w:ind w:left="5040" w:hanging="360"/>
      </w:pPr>
    </w:lvl>
    <w:lvl w:ilvl="7" w:tplc="9224FC60" w:tentative="1">
      <w:start w:val="1"/>
      <w:numFmt w:val="lowerLetter"/>
      <w:lvlText w:val="%8."/>
      <w:lvlJc w:val="left"/>
      <w:pPr>
        <w:ind w:left="5760" w:hanging="360"/>
      </w:pPr>
    </w:lvl>
    <w:lvl w:ilvl="8" w:tplc="A4BA1F12"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removePersonalInformation/>
  <w:removeDateAndTime/>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A40"/>
    <w:rsid w:val="000069CF"/>
    <w:rsid w:val="00017ECF"/>
    <w:rsid w:val="000310B8"/>
    <w:rsid w:val="0004577A"/>
    <w:rsid w:val="00047924"/>
    <w:rsid w:val="00070A1A"/>
    <w:rsid w:val="000843F0"/>
    <w:rsid w:val="00094767"/>
    <w:rsid w:val="000A0F29"/>
    <w:rsid w:val="000A1B0C"/>
    <w:rsid w:val="000C3710"/>
    <w:rsid w:val="000D1AAA"/>
    <w:rsid w:val="000D3080"/>
    <w:rsid w:val="000D3EEA"/>
    <w:rsid w:val="000D5BC8"/>
    <w:rsid w:val="000D6993"/>
    <w:rsid w:val="000E5D5D"/>
    <w:rsid w:val="000E7CED"/>
    <w:rsid w:val="000F0280"/>
    <w:rsid w:val="000F5997"/>
    <w:rsid w:val="00100AFE"/>
    <w:rsid w:val="0010470D"/>
    <w:rsid w:val="001142A8"/>
    <w:rsid w:val="00115003"/>
    <w:rsid w:val="001159F2"/>
    <w:rsid w:val="00136DF8"/>
    <w:rsid w:val="00137B53"/>
    <w:rsid w:val="00143D10"/>
    <w:rsid w:val="00143EAF"/>
    <w:rsid w:val="00157891"/>
    <w:rsid w:val="001619E7"/>
    <w:rsid w:val="001A3531"/>
    <w:rsid w:val="001A79B9"/>
    <w:rsid w:val="001B4E9A"/>
    <w:rsid w:val="001C0FFC"/>
    <w:rsid w:val="001E05E9"/>
    <w:rsid w:val="001E0CB6"/>
    <w:rsid w:val="001E1B8D"/>
    <w:rsid w:val="00205662"/>
    <w:rsid w:val="00245AC7"/>
    <w:rsid w:val="002534A5"/>
    <w:rsid w:val="00281A46"/>
    <w:rsid w:val="0028701C"/>
    <w:rsid w:val="00292549"/>
    <w:rsid w:val="002A1D85"/>
    <w:rsid w:val="002B30C1"/>
    <w:rsid w:val="002C110F"/>
    <w:rsid w:val="002D25FD"/>
    <w:rsid w:val="002E4450"/>
    <w:rsid w:val="002F41BA"/>
    <w:rsid w:val="002F41DB"/>
    <w:rsid w:val="0030023C"/>
    <w:rsid w:val="003146C6"/>
    <w:rsid w:val="00334F35"/>
    <w:rsid w:val="00335C8A"/>
    <w:rsid w:val="0035564E"/>
    <w:rsid w:val="00365BA8"/>
    <w:rsid w:val="003930CA"/>
    <w:rsid w:val="003C5247"/>
    <w:rsid w:val="003E004B"/>
    <w:rsid w:val="003F57CE"/>
    <w:rsid w:val="00411EC6"/>
    <w:rsid w:val="00422BE2"/>
    <w:rsid w:val="004277F3"/>
    <w:rsid w:val="00431950"/>
    <w:rsid w:val="00447C5E"/>
    <w:rsid w:val="00456172"/>
    <w:rsid w:val="004608BF"/>
    <w:rsid w:val="00460938"/>
    <w:rsid w:val="00461975"/>
    <w:rsid w:val="00465FD5"/>
    <w:rsid w:val="004808CA"/>
    <w:rsid w:val="004845BB"/>
    <w:rsid w:val="00492DD2"/>
    <w:rsid w:val="004A6D86"/>
    <w:rsid w:val="004B3CDD"/>
    <w:rsid w:val="004B7114"/>
    <w:rsid w:val="004D0B67"/>
    <w:rsid w:val="004D4E48"/>
    <w:rsid w:val="004D55BB"/>
    <w:rsid w:val="004E7F68"/>
    <w:rsid w:val="004F1859"/>
    <w:rsid w:val="005006CE"/>
    <w:rsid w:val="00501DBC"/>
    <w:rsid w:val="0050672F"/>
    <w:rsid w:val="005304DB"/>
    <w:rsid w:val="00531035"/>
    <w:rsid w:val="00544B1C"/>
    <w:rsid w:val="0054521A"/>
    <w:rsid w:val="005504AF"/>
    <w:rsid w:val="00555DB8"/>
    <w:rsid w:val="0056755F"/>
    <w:rsid w:val="005736C7"/>
    <w:rsid w:val="00574590"/>
    <w:rsid w:val="0058194E"/>
    <w:rsid w:val="00582E74"/>
    <w:rsid w:val="00591EE4"/>
    <w:rsid w:val="005B0367"/>
    <w:rsid w:val="005B0845"/>
    <w:rsid w:val="005B0BCE"/>
    <w:rsid w:val="005B155D"/>
    <w:rsid w:val="005C15A7"/>
    <w:rsid w:val="005C542A"/>
    <w:rsid w:val="00606691"/>
    <w:rsid w:val="006369B6"/>
    <w:rsid w:val="0065731D"/>
    <w:rsid w:val="00684D0E"/>
    <w:rsid w:val="00691A98"/>
    <w:rsid w:val="0069480B"/>
    <w:rsid w:val="006A1C6D"/>
    <w:rsid w:val="006B6BF8"/>
    <w:rsid w:val="006D6541"/>
    <w:rsid w:val="006E01EA"/>
    <w:rsid w:val="006E12C6"/>
    <w:rsid w:val="00711E4A"/>
    <w:rsid w:val="0071515D"/>
    <w:rsid w:val="0074192E"/>
    <w:rsid w:val="007429FA"/>
    <w:rsid w:val="00744552"/>
    <w:rsid w:val="007544B7"/>
    <w:rsid w:val="00755D23"/>
    <w:rsid w:val="00762E23"/>
    <w:rsid w:val="00766561"/>
    <w:rsid w:val="0077048B"/>
    <w:rsid w:val="0078135F"/>
    <w:rsid w:val="00796977"/>
    <w:rsid w:val="007C3C28"/>
    <w:rsid w:val="007D0253"/>
    <w:rsid w:val="007D109A"/>
    <w:rsid w:val="007F47EF"/>
    <w:rsid w:val="007F5FB1"/>
    <w:rsid w:val="00804534"/>
    <w:rsid w:val="008162D7"/>
    <w:rsid w:val="008175A4"/>
    <w:rsid w:val="00825382"/>
    <w:rsid w:val="00840423"/>
    <w:rsid w:val="0084115F"/>
    <w:rsid w:val="00842359"/>
    <w:rsid w:val="00872545"/>
    <w:rsid w:val="00873EBE"/>
    <w:rsid w:val="00881EBE"/>
    <w:rsid w:val="00882E5E"/>
    <w:rsid w:val="00892D16"/>
    <w:rsid w:val="00893AF5"/>
    <w:rsid w:val="008B0174"/>
    <w:rsid w:val="008B0A50"/>
    <w:rsid w:val="008B0FA2"/>
    <w:rsid w:val="008D75D1"/>
    <w:rsid w:val="008F6B14"/>
    <w:rsid w:val="00915CF1"/>
    <w:rsid w:val="009243F1"/>
    <w:rsid w:val="00933B64"/>
    <w:rsid w:val="0094523C"/>
    <w:rsid w:val="0095074B"/>
    <w:rsid w:val="00955118"/>
    <w:rsid w:val="00961331"/>
    <w:rsid w:val="00962246"/>
    <w:rsid w:val="00963947"/>
    <w:rsid w:val="009656BA"/>
    <w:rsid w:val="00977DFC"/>
    <w:rsid w:val="00990F36"/>
    <w:rsid w:val="00996B7E"/>
    <w:rsid w:val="009A0DDC"/>
    <w:rsid w:val="009A3022"/>
    <w:rsid w:val="009A4724"/>
    <w:rsid w:val="009A7777"/>
    <w:rsid w:val="009C703B"/>
    <w:rsid w:val="009D107D"/>
    <w:rsid w:val="009D3E6D"/>
    <w:rsid w:val="009F6629"/>
    <w:rsid w:val="00A069E8"/>
    <w:rsid w:val="00A214F5"/>
    <w:rsid w:val="00A27FE0"/>
    <w:rsid w:val="00A30B30"/>
    <w:rsid w:val="00A352FB"/>
    <w:rsid w:val="00A53A0D"/>
    <w:rsid w:val="00A54B56"/>
    <w:rsid w:val="00A56A0F"/>
    <w:rsid w:val="00A819D5"/>
    <w:rsid w:val="00A857DA"/>
    <w:rsid w:val="00A865AA"/>
    <w:rsid w:val="00A91BFC"/>
    <w:rsid w:val="00A9693F"/>
    <w:rsid w:val="00AC671A"/>
    <w:rsid w:val="00AD3FDB"/>
    <w:rsid w:val="00AE2147"/>
    <w:rsid w:val="00AF530B"/>
    <w:rsid w:val="00AF5C08"/>
    <w:rsid w:val="00B01044"/>
    <w:rsid w:val="00B0686A"/>
    <w:rsid w:val="00B13ADE"/>
    <w:rsid w:val="00B33212"/>
    <w:rsid w:val="00B445C4"/>
    <w:rsid w:val="00B46476"/>
    <w:rsid w:val="00B4653C"/>
    <w:rsid w:val="00B54FAC"/>
    <w:rsid w:val="00B57E31"/>
    <w:rsid w:val="00B65B49"/>
    <w:rsid w:val="00B757F4"/>
    <w:rsid w:val="00B868FE"/>
    <w:rsid w:val="00B94377"/>
    <w:rsid w:val="00BA2E24"/>
    <w:rsid w:val="00BB2815"/>
    <w:rsid w:val="00BC3821"/>
    <w:rsid w:val="00BC5213"/>
    <w:rsid w:val="00BD24E7"/>
    <w:rsid w:val="00BE50EA"/>
    <w:rsid w:val="00BF1D87"/>
    <w:rsid w:val="00C00B9B"/>
    <w:rsid w:val="00C04513"/>
    <w:rsid w:val="00C11126"/>
    <w:rsid w:val="00C123DB"/>
    <w:rsid w:val="00C14814"/>
    <w:rsid w:val="00C243DD"/>
    <w:rsid w:val="00C260A1"/>
    <w:rsid w:val="00C41238"/>
    <w:rsid w:val="00C463C1"/>
    <w:rsid w:val="00C60B4A"/>
    <w:rsid w:val="00C623E3"/>
    <w:rsid w:val="00C70629"/>
    <w:rsid w:val="00CC0B01"/>
    <w:rsid w:val="00CC30E7"/>
    <w:rsid w:val="00CC78BA"/>
    <w:rsid w:val="00CD238F"/>
    <w:rsid w:val="00CD4157"/>
    <w:rsid w:val="00CD723A"/>
    <w:rsid w:val="00CE2B3D"/>
    <w:rsid w:val="00D07660"/>
    <w:rsid w:val="00D26C0D"/>
    <w:rsid w:val="00D276E1"/>
    <w:rsid w:val="00D32BD9"/>
    <w:rsid w:val="00D42C92"/>
    <w:rsid w:val="00D4735C"/>
    <w:rsid w:val="00D4757B"/>
    <w:rsid w:val="00D55D01"/>
    <w:rsid w:val="00D64581"/>
    <w:rsid w:val="00D77DE7"/>
    <w:rsid w:val="00D77E0E"/>
    <w:rsid w:val="00D90B22"/>
    <w:rsid w:val="00DA077A"/>
    <w:rsid w:val="00DB72EA"/>
    <w:rsid w:val="00DC3047"/>
    <w:rsid w:val="00DD57E9"/>
    <w:rsid w:val="00DF248A"/>
    <w:rsid w:val="00DF2A40"/>
    <w:rsid w:val="00DF3B1D"/>
    <w:rsid w:val="00DF608B"/>
    <w:rsid w:val="00E00F97"/>
    <w:rsid w:val="00E016CB"/>
    <w:rsid w:val="00E040C6"/>
    <w:rsid w:val="00E22A9C"/>
    <w:rsid w:val="00E26192"/>
    <w:rsid w:val="00E353BD"/>
    <w:rsid w:val="00E4037D"/>
    <w:rsid w:val="00E55E53"/>
    <w:rsid w:val="00E70C1B"/>
    <w:rsid w:val="00E73FE6"/>
    <w:rsid w:val="00E83338"/>
    <w:rsid w:val="00EA0A95"/>
    <w:rsid w:val="00EA137B"/>
    <w:rsid w:val="00EB6743"/>
    <w:rsid w:val="00EE32B3"/>
    <w:rsid w:val="00F049A9"/>
    <w:rsid w:val="00F05E11"/>
    <w:rsid w:val="00F17072"/>
    <w:rsid w:val="00F1729E"/>
    <w:rsid w:val="00F46B55"/>
    <w:rsid w:val="00F765B9"/>
    <w:rsid w:val="00FA1E4F"/>
    <w:rsid w:val="00FA6003"/>
    <w:rsid w:val="00FC7883"/>
    <w:rsid w:val="00FD60D1"/>
    <w:rsid w:val="00FD6C9A"/>
    <w:rsid w:val="00FD7C91"/>
    <w:rsid w:val="00FF42DF"/>
    <w:rsid w:val="00FF76FD"/>
  </w:rsids>
  <m:mathPr>
    <m:mathFont m:val="Cambria Math"/>
    <m:brkBin m:val="before"/>
    <m:brkBinSub m:val="--"/>
    <m:smallFrac m:val="0"/>
    <m:dispDef/>
    <m:lMargin m:val="0"/>
    <m:rMargin m:val="0"/>
    <m:defJc m:val="centerGroup"/>
    <m:wrapRight/>
    <m:intLim m:val="subSup"/>
    <m:naryLim m:val="undOvr"/>
  </m:mathPr>
  <w:themeFontLang w:val="tr-TR"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343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tr-TR"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sz w:val="22"/>
      <w:szCs w:val="22"/>
      <w:lang w:val="en-US" w:eastAsia="en-US"/>
    </w:rPr>
  </w:style>
  <w:style w:type="paragraph" w:styleId="Heading1">
    <w:name w:val="heading 1"/>
    <w:basedOn w:val="Normal"/>
    <w:next w:val="Normal"/>
    <w:link w:val="Heading1Char"/>
    <w:qFormat/>
    <w:rsid w:val="0027222D"/>
    <w:pPr>
      <w:spacing w:before="360" w:after="240"/>
      <w:outlineLvl w:val="0"/>
    </w:pPr>
    <w:rPr>
      <w:rFonts w:cs="Arial"/>
      <w:b/>
      <w:color w:val="1F497D"/>
      <w:sz w:val="24"/>
      <w:szCs w:val="16"/>
    </w:rPr>
  </w:style>
  <w:style w:type="paragraph" w:styleId="Heading2">
    <w:name w:val="heading 2"/>
    <w:basedOn w:val="Normal"/>
    <w:next w:val="Normal"/>
    <w:link w:val="Heading2Char"/>
    <w:uiPriority w:val="9"/>
    <w:qFormat/>
    <w:rsid w:val="0027222D"/>
    <w:pPr>
      <w:spacing w:after="240"/>
      <w:jc w:val="both"/>
      <w:outlineLvl w:val="1"/>
    </w:pPr>
    <w:rPr>
      <w:rFonts w:cs="Arial"/>
      <w:b/>
      <w:i/>
      <w:color w:val="0070C0"/>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4186"/>
    <w:pPr>
      <w:tabs>
        <w:tab w:val="center" w:pos="4320"/>
        <w:tab w:val="right" w:pos="8640"/>
      </w:tabs>
    </w:pPr>
    <w:rPr>
      <w:rFonts w:ascii="Times New Roman" w:eastAsia="Times New Roman" w:hAnsi="Times New Roman"/>
      <w:sz w:val="24"/>
      <w:szCs w:val="20"/>
      <w:lang w:eastAsia="ko-KR"/>
    </w:rPr>
  </w:style>
  <w:style w:type="character" w:customStyle="1" w:styleId="HeaderChar">
    <w:name w:val="Header Char"/>
    <w:link w:val="Header"/>
    <w:rsid w:val="00D64186"/>
    <w:rPr>
      <w:rFonts w:ascii="Times New Roman" w:eastAsia="Times New Roman" w:hAnsi="Times New Roman" w:cs="Times New Roman"/>
      <w:sz w:val="24"/>
      <w:szCs w:val="20"/>
      <w:lang w:eastAsia="ko-KR"/>
    </w:rPr>
  </w:style>
  <w:style w:type="paragraph" w:styleId="Footer">
    <w:name w:val="footer"/>
    <w:basedOn w:val="Normal"/>
    <w:link w:val="FooterChar"/>
    <w:uiPriority w:val="99"/>
    <w:unhideWhenUsed/>
    <w:rsid w:val="00D64186"/>
    <w:pPr>
      <w:tabs>
        <w:tab w:val="center" w:pos="4320"/>
        <w:tab w:val="right" w:pos="8640"/>
      </w:tabs>
    </w:pPr>
    <w:rPr>
      <w:rFonts w:ascii="Times New Roman" w:eastAsia="Times New Roman" w:hAnsi="Times New Roman"/>
      <w:sz w:val="24"/>
      <w:szCs w:val="20"/>
      <w:lang w:eastAsia="ko-KR"/>
    </w:rPr>
  </w:style>
  <w:style w:type="character" w:customStyle="1" w:styleId="FooterChar">
    <w:name w:val="Footer Char"/>
    <w:link w:val="Footer"/>
    <w:uiPriority w:val="99"/>
    <w:rsid w:val="00D64186"/>
    <w:rPr>
      <w:rFonts w:ascii="Times New Roman" w:eastAsia="Times New Roman" w:hAnsi="Times New Roman" w:cs="Times New Roman"/>
      <w:sz w:val="24"/>
      <w:szCs w:val="20"/>
      <w:lang w:eastAsia="ko-KR"/>
    </w:rPr>
  </w:style>
  <w:style w:type="paragraph" w:styleId="BalloonText">
    <w:name w:val="Balloon Text"/>
    <w:basedOn w:val="Normal"/>
    <w:link w:val="BalloonTextChar"/>
    <w:uiPriority w:val="99"/>
    <w:semiHidden/>
    <w:unhideWhenUsed/>
    <w:rsid w:val="00D64186"/>
    <w:rPr>
      <w:rFonts w:ascii="Tahoma" w:hAnsi="Tahoma" w:cs="Tahoma"/>
      <w:sz w:val="16"/>
      <w:szCs w:val="16"/>
    </w:rPr>
  </w:style>
  <w:style w:type="character" w:customStyle="1" w:styleId="BalloonTextChar">
    <w:name w:val="Balloon Text Char"/>
    <w:link w:val="BalloonText"/>
    <w:uiPriority w:val="99"/>
    <w:semiHidden/>
    <w:rsid w:val="00D64186"/>
    <w:rPr>
      <w:rFonts w:ascii="Tahoma" w:hAnsi="Tahoma" w:cs="Tahoma"/>
      <w:sz w:val="16"/>
      <w:szCs w:val="16"/>
    </w:rPr>
  </w:style>
  <w:style w:type="character" w:customStyle="1" w:styleId="Heading1Char">
    <w:name w:val="Heading 1 Char"/>
    <w:link w:val="Heading1"/>
    <w:rsid w:val="0027222D"/>
    <w:rPr>
      <w:rFonts w:cs="Arial"/>
      <w:b/>
      <w:color w:val="1F497D"/>
      <w:sz w:val="24"/>
      <w:szCs w:val="16"/>
      <w:lang w:val="en-US" w:eastAsia="en-US"/>
    </w:rPr>
  </w:style>
  <w:style w:type="character" w:styleId="Emphasis">
    <w:name w:val="Emphasis"/>
    <w:qFormat/>
    <w:rsid w:val="00DF2A40"/>
    <w:rPr>
      <w:i/>
      <w:iCs/>
    </w:rPr>
  </w:style>
  <w:style w:type="table" w:styleId="TableGrid">
    <w:name w:val="Table Grid"/>
    <w:basedOn w:val="TableNormal"/>
    <w:uiPriority w:val="59"/>
    <w:rsid w:val="002C04AE"/>
    <w:pPr>
      <w:jc w:val="both"/>
    </w:pPr>
    <w:rPr>
      <w:rFonts w:ascii="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E2E"/>
    <w:pPr>
      <w:ind w:left="720"/>
    </w:pPr>
  </w:style>
  <w:style w:type="character" w:styleId="Hyperlink">
    <w:name w:val="Hyperlink"/>
    <w:uiPriority w:val="99"/>
    <w:unhideWhenUsed/>
    <w:rsid w:val="00C608F0"/>
    <w:rPr>
      <w:strike w:val="0"/>
      <w:dstrike w:val="0"/>
      <w:color w:val="0000CC"/>
      <w:u w:val="none"/>
      <w:effect w:val="none"/>
    </w:rPr>
  </w:style>
  <w:style w:type="paragraph" w:styleId="NormalWeb">
    <w:name w:val="Normal (Web)"/>
    <w:basedOn w:val="Normal"/>
    <w:uiPriority w:val="99"/>
    <w:unhideWhenUsed/>
    <w:rsid w:val="00C608F0"/>
    <w:pPr>
      <w:spacing w:before="100" w:beforeAutospacing="1" w:after="100" w:afterAutospacing="1"/>
    </w:pPr>
    <w:rPr>
      <w:rFonts w:ascii="Arial" w:hAnsi="Arial" w:cs="Arial"/>
      <w:color w:val="000000"/>
      <w:sz w:val="19"/>
      <w:szCs w:val="19"/>
    </w:rPr>
  </w:style>
  <w:style w:type="paragraph" w:styleId="TOC3">
    <w:name w:val="toc 3"/>
    <w:basedOn w:val="Normal"/>
    <w:next w:val="Normal"/>
    <w:autoRedefine/>
    <w:semiHidden/>
    <w:rsid w:val="00076008"/>
    <w:pPr>
      <w:spacing w:line="240" w:lineRule="atLeast"/>
      <w:ind w:left="480"/>
      <w:jc w:val="both"/>
    </w:pPr>
    <w:rPr>
      <w:rFonts w:ascii="Times New Roman" w:hAnsi="Times New Roman"/>
      <w:sz w:val="24"/>
      <w:szCs w:val="24"/>
    </w:rPr>
  </w:style>
  <w:style w:type="character" w:customStyle="1" w:styleId="StyleParagraph1AsianBatangChar">
    <w:name w:val="Style Paragraph1 + (Asian) Batang Char"/>
    <w:rsid w:val="00076008"/>
    <w:rPr>
      <w:rFonts w:eastAsia="Batang"/>
      <w:sz w:val="24"/>
      <w:szCs w:val="24"/>
      <w:lang w:val="en-GB" w:eastAsia="en-US" w:bidi="he-IL"/>
    </w:rPr>
  </w:style>
  <w:style w:type="paragraph" w:customStyle="1" w:styleId="WGHPlain">
    <w:name w:val="WGHPlain"/>
    <w:basedOn w:val="Normal"/>
    <w:rsid w:val="00AC21B9"/>
    <w:rPr>
      <w:rFonts w:ascii="Times New Roman" w:hAnsi="Times New Roman"/>
      <w:sz w:val="24"/>
      <w:szCs w:val="24"/>
    </w:rPr>
  </w:style>
  <w:style w:type="paragraph" w:customStyle="1" w:styleId="WGHFactumCentre">
    <w:name w:val="WGHFactumCentre"/>
    <w:basedOn w:val="Normal"/>
    <w:rsid w:val="00695A2F"/>
    <w:pPr>
      <w:spacing w:after="240"/>
    </w:pPr>
    <w:rPr>
      <w:rFonts w:ascii="Times New Roman" w:hAnsi="Times New Roman"/>
      <w:sz w:val="24"/>
      <w:szCs w:val="24"/>
    </w:rPr>
  </w:style>
  <w:style w:type="paragraph" w:customStyle="1" w:styleId="WGHFactumL1">
    <w:name w:val="WGHFactumL1"/>
    <w:basedOn w:val="Normal"/>
    <w:next w:val="WGHFactumL2"/>
    <w:rsid w:val="00695A2F"/>
    <w:pPr>
      <w:keepNext/>
      <w:numPr>
        <w:numId w:val="1"/>
      </w:numPr>
      <w:spacing w:before="480"/>
      <w:outlineLvl w:val="0"/>
    </w:pPr>
    <w:rPr>
      <w:rFonts w:ascii="Times New Roman" w:hAnsi="Times New Roman"/>
      <w:b/>
      <w:caps/>
      <w:sz w:val="24"/>
      <w:szCs w:val="24"/>
    </w:rPr>
  </w:style>
  <w:style w:type="paragraph" w:customStyle="1" w:styleId="WGHFactumL2">
    <w:name w:val="WGHFactumL2"/>
    <w:basedOn w:val="Normal"/>
    <w:next w:val="WGHFactumL5"/>
    <w:rsid w:val="00695A2F"/>
    <w:pPr>
      <w:keepNext/>
      <w:numPr>
        <w:ilvl w:val="1"/>
        <w:numId w:val="1"/>
      </w:numPr>
      <w:spacing w:before="360"/>
      <w:jc w:val="both"/>
      <w:outlineLvl w:val="1"/>
    </w:pPr>
    <w:rPr>
      <w:rFonts w:ascii="Times New Roman" w:hAnsi="Times New Roman"/>
      <w:b/>
      <w:sz w:val="24"/>
      <w:szCs w:val="24"/>
    </w:rPr>
  </w:style>
  <w:style w:type="paragraph" w:customStyle="1" w:styleId="WGHFactumL3">
    <w:name w:val="WGHFactumL3"/>
    <w:basedOn w:val="Normal"/>
    <w:rsid w:val="00695A2F"/>
    <w:pPr>
      <w:keepNext/>
      <w:numPr>
        <w:ilvl w:val="2"/>
        <w:numId w:val="1"/>
      </w:numPr>
      <w:spacing w:before="200"/>
      <w:jc w:val="both"/>
      <w:outlineLvl w:val="2"/>
    </w:pPr>
    <w:rPr>
      <w:rFonts w:ascii="Times New Roman" w:hAnsi="Times New Roman"/>
      <w:b/>
      <w:sz w:val="24"/>
      <w:szCs w:val="24"/>
    </w:rPr>
  </w:style>
  <w:style w:type="paragraph" w:customStyle="1" w:styleId="WGHFactumL4">
    <w:name w:val="WGHFactumL4"/>
    <w:basedOn w:val="Normal"/>
    <w:rsid w:val="00695A2F"/>
    <w:pPr>
      <w:numPr>
        <w:ilvl w:val="3"/>
        <w:numId w:val="1"/>
      </w:numPr>
      <w:spacing w:before="200"/>
      <w:jc w:val="both"/>
      <w:outlineLvl w:val="3"/>
    </w:pPr>
    <w:rPr>
      <w:rFonts w:ascii="Times New Roman" w:hAnsi="Times New Roman"/>
      <w:b/>
      <w:sz w:val="24"/>
      <w:szCs w:val="24"/>
    </w:rPr>
  </w:style>
  <w:style w:type="paragraph" w:customStyle="1" w:styleId="WGHFactumL5">
    <w:name w:val="WGHFactumL5"/>
    <w:basedOn w:val="Normal"/>
    <w:rsid w:val="00695A2F"/>
    <w:pPr>
      <w:numPr>
        <w:ilvl w:val="4"/>
        <w:numId w:val="1"/>
      </w:numPr>
      <w:spacing w:before="160" w:after="160" w:line="440" w:lineRule="exact"/>
      <w:jc w:val="both"/>
    </w:pPr>
    <w:rPr>
      <w:rFonts w:ascii="Times New Roman" w:hAnsi="Times New Roman"/>
      <w:sz w:val="24"/>
      <w:szCs w:val="24"/>
    </w:rPr>
  </w:style>
  <w:style w:type="paragraph" w:customStyle="1" w:styleId="WGHFactumL6">
    <w:name w:val="WGHFactumL6"/>
    <w:basedOn w:val="Normal"/>
    <w:rsid w:val="00695A2F"/>
    <w:pPr>
      <w:widowControl w:val="0"/>
      <w:numPr>
        <w:ilvl w:val="5"/>
        <w:numId w:val="1"/>
      </w:numPr>
      <w:spacing w:before="120" w:after="160" w:line="440" w:lineRule="exact"/>
      <w:jc w:val="both"/>
    </w:pPr>
    <w:rPr>
      <w:rFonts w:ascii="Times New Roman" w:hAnsi="Times New Roman"/>
      <w:sz w:val="24"/>
      <w:szCs w:val="24"/>
    </w:rPr>
  </w:style>
  <w:style w:type="paragraph" w:customStyle="1" w:styleId="WGHFactumL7">
    <w:name w:val="WGHFactumL7"/>
    <w:basedOn w:val="Normal"/>
    <w:rsid w:val="00695A2F"/>
    <w:pPr>
      <w:numPr>
        <w:ilvl w:val="6"/>
        <w:numId w:val="1"/>
      </w:numPr>
      <w:spacing w:before="120" w:after="160" w:line="440" w:lineRule="exact"/>
      <w:jc w:val="both"/>
    </w:pPr>
    <w:rPr>
      <w:rFonts w:ascii="Times New Roman" w:hAnsi="Times New Roman"/>
      <w:sz w:val="24"/>
      <w:szCs w:val="24"/>
    </w:rPr>
  </w:style>
  <w:style w:type="paragraph" w:customStyle="1" w:styleId="WGHFactumL8">
    <w:name w:val="WGHFactumL8"/>
    <w:basedOn w:val="Normal"/>
    <w:rsid w:val="00695A2F"/>
    <w:pPr>
      <w:numPr>
        <w:ilvl w:val="7"/>
        <w:numId w:val="1"/>
      </w:numPr>
      <w:spacing w:before="120" w:after="160" w:line="440" w:lineRule="exact"/>
      <w:jc w:val="both"/>
    </w:pPr>
    <w:rPr>
      <w:rFonts w:ascii="Times New Roman" w:hAnsi="Times New Roman"/>
      <w:sz w:val="24"/>
      <w:szCs w:val="24"/>
    </w:rPr>
  </w:style>
  <w:style w:type="paragraph" w:customStyle="1" w:styleId="WGHFactumL9">
    <w:name w:val="WGHFactumL9"/>
    <w:basedOn w:val="Normal"/>
    <w:rsid w:val="00695A2F"/>
    <w:pPr>
      <w:numPr>
        <w:ilvl w:val="8"/>
        <w:numId w:val="1"/>
      </w:numPr>
      <w:tabs>
        <w:tab w:val="left" w:pos="1800"/>
      </w:tabs>
      <w:spacing w:before="240"/>
      <w:ind w:right="720"/>
      <w:jc w:val="both"/>
      <w:outlineLvl w:val="5"/>
    </w:pPr>
    <w:rPr>
      <w:rFonts w:ascii="Times New Roman" w:hAnsi="Times New Roman"/>
      <w:b/>
      <w:sz w:val="24"/>
      <w:szCs w:val="24"/>
    </w:rPr>
  </w:style>
  <w:style w:type="paragraph" w:customStyle="1" w:styleId="Paragraphnumbered">
    <w:name w:val="Paragraph numbered"/>
    <w:basedOn w:val="Normal"/>
    <w:rsid w:val="00D10D82"/>
    <w:pPr>
      <w:numPr>
        <w:numId w:val="2"/>
      </w:numPr>
      <w:tabs>
        <w:tab w:val="left" w:pos="1440"/>
      </w:tabs>
      <w:spacing w:before="240" w:after="120" w:line="440" w:lineRule="exact"/>
      <w:jc w:val="both"/>
    </w:pPr>
    <w:rPr>
      <w:rFonts w:ascii="Times New Roman" w:hAnsi="Times New Roman"/>
      <w:sz w:val="24"/>
      <w:szCs w:val="24"/>
      <w:lang w:bidi="he-IL"/>
    </w:rPr>
  </w:style>
  <w:style w:type="paragraph" w:styleId="BodyTextIndent">
    <w:name w:val="Body Text Indent"/>
    <w:basedOn w:val="Normal"/>
    <w:link w:val="BodyTextIndentChar"/>
    <w:rsid w:val="00C3277A"/>
    <w:pPr>
      <w:spacing w:after="120"/>
      <w:ind w:left="283"/>
    </w:pPr>
    <w:rPr>
      <w:rFonts w:ascii="Arial" w:eastAsia="SimSun" w:hAnsi="Arial"/>
      <w:sz w:val="20"/>
      <w:szCs w:val="20"/>
      <w:lang w:val="nl-NL" w:eastAsia="zh-CN"/>
    </w:rPr>
  </w:style>
  <w:style w:type="character" w:customStyle="1" w:styleId="BodyTextIndentChar">
    <w:name w:val="Body Text Indent Char"/>
    <w:link w:val="BodyTextIndent"/>
    <w:rsid w:val="00C3277A"/>
    <w:rPr>
      <w:rFonts w:ascii="Arial" w:eastAsia="SimSun" w:hAnsi="Arial"/>
      <w:lang w:val="nl-NL" w:eastAsia="zh-CN"/>
    </w:rPr>
  </w:style>
  <w:style w:type="paragraph" w:customStyle="1" w:styleId="Default">
    <w:name w:val="Default"/>
    <w:rsid w:val="00C3277A"/>
    <w:pPr>
      <w:autoSpaceDE w:val="0"/>
      <w:autoSpaceDN w:val="0"/>
      <w:adjustRightInd w:val="0"/>
    </w:pPr>
    <w:rPr>
      <w:rFonts w:eastAsia="Calibri" w:cs="Calibri"/>
      <w:color w:val="000000"/>
      <w:sz w:val="24"/>
      <w:szCs w:val="24"/>
      <w:lang w:val="en-US" w:eastAsia="en-US"/>
    </w:rPr>
  </w:style>
  <w:style w:type="character" w:customStyle="1" w:styleId="Heading2Char">
    <w:name w:val="Heading 2 Char"/>
    <w:link w:val="Heading2"/>
    <w:uiPriority w:val="9"/>
    <w:rsid w:val="0027222D"/>
    <w:rPr>
      <w:rFonts w:cs="Arial"/>
      <w:b/>
      <w:i/>
      <w:color w:val="0070C0"/>
      <w:sz w:val="24"/>
      <w:szCs w:val="16"/>
      <w:lang w:val="en-US" w:eastAsia="en-US"/>
    </w:rPr>
  </w:style>
  <w:style w:type="table" w:styleId="MediumGrid1-Accent1">
    <w:name w:val="Medium Grid 1 Accent 1"/>
    <w:basedOn w:val="TableNormal"/>
    <w:uiPriority w:val="67"/>
    <w:rsid w:val="00827E1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CommentReference">
    <w:name w:val="annotation reference"/>
    <w:uiPriority w:val="99"/>
    <w:semiHidden/>
    <w:unhideWhenUsed/>
    <w:rsid w:val="00651129"/>
    <w:rPr>
      <w:sz w:val="16"/>
      <w:szCs w:val="16"/>
    </w:rPr>
  </w:style>
  <w:style w:type="paragraph" w:styleId="CommentText">
    <w:name w:val="annotation text"/>
    <w:basedOn w:val="Normal"/>
    <w:link w:val="CommentTextChar"/>
    <w:uiPriority w:val="99"/>
    <w:semiHidden/>
    <w:unhideWhenUsed/>
    <w:rsid w:val="00651129"/>
    <w:rPr>
      <w:sz w:val="20"/>
      <w:szCs w:val="20"/>
    </w:rPr>
  </w:style>
  <w:style w:type="character" w:customStyle="1" w:styleId="CommentTextChar">
    <w:name w:val="Comment Text Char"/>
    <w:basedOn w:val="DefaultParagraphFont"/>
    <w:link w:val="CommentText"/>
    <w:uiPriority w:val="99"/>
    <w:semiHidden/>
    <w:rsid w:val="00651129"/>
  </w:style>
  <w:style w:type="paragraph" w:styleId="CommentSubject">
    <w:name w:val="annotation subject"/>
    <w:basedOn w:val="CommentText"/>
    <w:next w:val="CommentText"/>
    <w:link w:val="CommentSubjectChar"/>
    <w:uiPriority w:val="99"/>
    <w:semiHidden/>
    <w:unhideWhenUsed/>
    <w:rsid w:val="00651129"/>
    <w:rPr>
      <w:b/>
      <w:bCs/>
    </w:rPr>
  </w:style>
  <w:style w:type="character" w:customStyle="1" w:styleId="CommentSubjectChar">
    <w:name w:val="Comment Subject Char"/>
    <w:link w:val="CommentSubject"/>
    <w:uiPriority w:val="99"/>
    <w:semiHidden/>
    <w:rsid w:val="00651129"/>
    <w:rPr>
      <w:b/>
      <w:bCs/>
    </w:rPr>
  </w:style>
  <w:style w:type="character" w:customStyle="1" w:styleId="hps">
    <w:name w:val="hps"/>
    <w:rsid w:val="00A45515"/>
  </w:style>
  <w:style w:type="paragraph" w:styleId="BodyText">
    <w:name w:val="Body Text"/>
    <w:basedOn w:val="Normal"/>
    <w:link w:val="BodyTextChar"/>
    <w:uiPriority w:val="99"/>
    <w:semiHidden/>
    <w:unhideWhenUsed/>
    <w:rsid w:val="00F1636D"/>
    <w:pPr>
      <w:spacing w:after="120"/>
    </w:pPr>
  </w:style>
  <w:style w:type="character" w:customStyle="1" w:styleId="BodyTextChar">
    <w:name w:val="Body Text Char"/>
    <w:link w:val="BodyText"/>
    <w:uiPriority w:val="99"/>
    <w:semiHidden/>
    <w:rsid w:val="00F1636D"/>
    <w:rPr>
      <w:sz w:val="22"/>
      <w:szCs w:val="22"/>
    </w:rPr>
  </w:style>
  <w:style w:type="character" w:styleId="Strong">
    <w:name w:val="Strong"/>
    <w:uiPriority w:val="22"/>
    <w:qFormat/>
    <w:rsid w:val="002A3055"/>
    <w:rPr>
      <w:b/>
      <w:bCs/>
    </w:rPr>
  </w:style>
  <w:style w:type="character" w:styleId="FootnoteReference">
    <w:name w:val="footnote reference"/>
    <w:uiPriority w:val="99"/>
    <w:semiHidden/>
    <w:unhideWhenUsed/>
    <w:rsid w:val="00AC671A"/>
    <w:rPr>
      <w:vertAlign w:val="superscript"/>
    </w:rPr>
  </w:style>
  <w:style w:type="paragraph" w:styleId="FootnoteText">
    <w:name w:val="footnote text"/>
    <w:basedOn w:val="Normal"/>
    <w:link w:val="FootnoteTextChar"/>
    <w:uiPriority w:val="99"/>
    <w:semiHidden/>
    <w:unhideWhenUsed/>
    <w:rsid w:val="00AC671A"/>
    <w:pPr>
      <w:jc w:val="left"/>
    </w:pPr>
    <w:rPr>
      <w:rFonts w:eastAsia="Calibri"/>
      <w:sz w:val="20"/>
      <w:szCs w:val="20"/>
    </w:rPr>
  </w:style>
  <w:style w:type="character" w:customStyle="1" w:styleId="FootnoteTextChar">
    <w:name w:val="Footnote Text Char"/>
    <w:link w:val="FootnoteText"/>
    <w:uiPriority w:val="99"/>
    <w:semiHidden/>
    <w:rsid w:val="00AC671A"/>
    <w:rPr>
      <w:rFonts w:eastAsia="Calibri"/>
    </w:rPr>
  </w:style>
  <w:style w:type="paragraph" w:styleId="TOCHeading">
    <w:name w:val="TOC Heading"/>
    <w:basedOn w:val="Heading1"/>
    <w:next w:val="Normal"/>
    <w:uiPriority w:val="39"/>
    <w:qFormat/>
    <w:rsid w:val="00B757F4"/>
    <w:pPr>
      <w:keepNext/>
      <w:spacing w:before="240" w:after="60"/>
      <w:outlineLvl w:val="9"/>
    </w:pPr>
    <w:rPr>
      <w:rFonts w:ascii="Cambria" w:eastAsia="Times New Roman" w:hAnsi="Cambria" w:cs="Times New Roman"/>
      <w:bCs/>
      <w:color w:val="auto"/>
      <w:kern w:val="32"/>
      <w:sz w:val="32"/>
      <w:szCs w:val="32"/>
    </w:rPr>
  </w:style>
  <w:style w:type="paragraph" w:styleId="TOC1">
    <w:name w:val="toc 1"/>
    <w:basedOn w:val="Normal"/>
    <w:next w:val="Normal"/>
    <w:autoRedefine/>
    <w:uiPriority w:val="39"/>
    <w:unhideWhenUsed/>
    <w:rsid w:val="004F1859"/>
    <w:pPr>
      <w:tabs>
        <w:tab w:val="left" w:pos="480"/>
        <w:tab w:val="right" w:leader="dot" w:pos="9621"/>
      </w:tabs>
      <w:spacing w:line="360" w:lineRule="auto"/>
      <w:ind w:left="270" w:hanging="270"/>
    </w:pPr>
    <w:rPr>
      <w:rFonts w:ascii="Times New Roman" w:hAnsi="Times New Roman"/>
      <w:noProof/>
      <w:lang w:val="en-GB"/>
    </w:rPr>
  </w:style>
  <w:style w:type="paragraph" w:styleId="TOC2">
    <w:name w:val="toc 2"/>
    <w:basedOn w:val="Normal"/>
    <w:next w:val="Normal"/>
    <w:autoRedefine/>
    <w:uiPriority w:val="39"/>
    <w:semiHidden/>
    <w:unhideWhenUsed/>
    <w:rsid w:val="00B757F4"/>
    <w:pPr>
      <w:ind w:left="220"/>
    </w:pPr>
  </w:style>
  <w:style w:type="paragraph" w:styleId="Revision">
    <w:name w:val="Revision"/>
    <w:hidden/>
    <w:uiPriority w:val="99"/>
    <w:semiHidden/>
    <w:rsid w:val="00BD24E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witnesses.be@jw.or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56DD1-A3C2-4F30-89A0-EB57D6EFC85E}"/>
</file>

<file path=customXml/itemProps2.xml><?xml version="1.0" encoding="utf-8"?>
<ds:datastoreItem xmlns:ds="http://schemas.openxmlformats.org/officeDocument/2006/customXml" ds:itemID="{EE23B3BF-F8E3-4D60-9AE8-266AE47DAB0D}">
  <ds:schemaRefs>
    <ds:schemaRef ds:uri="http://schemas.microsoft.com/sharepoint/v3/contenttype/forms"/>
  </ds:schemaRefs>
</ds:datastoreItem>
</file>

<file path=customXml/itemProps3.xml><?xml version="1.0" encoding="utf-8"?>
<ds:datastoreItem xmlns:ds="http://schemas.openxmlformats.org/officeDocument/2006/customXml" ds:itemID="{46870BBA-D762-4DE3-BD68-9AA2DDE6E40C}">
  <ds:schemaRefs>
    <ds:schemaRef ds:uri="http://schemas.openxmlformats.org/package/2006/metadata/core-properties"/>
    <ds:schemaRef ds:uri="http://purl.org/dc/terms/"/>
    <ds:schemaRef ds:uri="http://www.w3.org/XML/1998/namespace"/>
    <ds:schemaRef ds:uri="http://purl.org/dc/elements/1.1/"/>
    <ds:schemaRef ds:uri="731a2325-5e37-4418-9835-fa9d95076131"/>
    <ds:schemaRef ds:uri="http://schemas.microsoft.com/office/2006/metadata/properties"/>
    <ds:schemaRef ds:uri="http://schemas.microsoft.com/office/2006/documentManagement/typ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260453F7-7BBD-4620-BA3D-37B62AD98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2760</Words>
  <Characters>17393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2021-04-28T11:10:00Z</dcterms:created>
  <dcterms:modified xsi:type="dcterms:W3CDTF">2021-04-28T11:10:00Z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d">
    <vt:lpwstr>2654505</vt:lpwstr>
  </property>
  <property fmtid="{D5CDD505-2E9C-101B-9397-08002B2CF9AE}" pid="3" name="ContentTypeId">
    <vt:lpwstr>0x010100D94DC6E63E0E4C40BB58A92BBDBC479C</vt:lpwstr>
  </property>
</Properties>
</file>