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03D7E" w14:textId="77777777" w:rsidR="009C20B6" w:rsidRPr="009C20B6" w:rsidRDefault="009C20B6" w:rsidP="009C20B6">
      <w:pPr>
        <w:jc w:val="center"/>
        <w:rPr>
          <w:rFonts w:asciiTheme="majorBidi" w:hAnsiTheme="majorBidi" w:cstheme="majorBidi"/>
          <w:b/>
          <w:bCs/>
          <w:color w:val="FF0000"/>
          <w:sz w:val="24"/>
          <w:szCs w:val="24"/>
        </w:rPr>
      </w:pPr>
      <w:r w:rsidRPr="009C20B6">
        <w:rPr>
          <w:rFonts w:asciiTheme="majorBidi" w:hAnsiTheme="majorBidi" w:cstheme="majorBidi"/>
          <w:b/>
          <w:bCs/>
          <w:color w:val="FF0000"/>
          <w:sz w:val="24"/>
          <w:szCs w:val="24"/>
        </w:rPr>
        <w:t>A Report on the list of issues in Libya</w:t>
      </w:r>
    </w:p>
    <w:p w14:paraId="7423F4F2" w14:textId="77777777" w:rsidR="009C20B6" w:rsidRPr="009C20B6" w:rsidRDefault="009C20B6" w:rsidP="009C20B6">
      <w:pPr>
        <w:shd w:val="clear" w:color="auto" w:fill="FFD966" w:themeFill="accent4" w:themeFillTint="99"/>
        <w:rPr>
          <w:rFonts w:asciiTheme="majorBidi" w:hAnsiTheme="majorBidi" w:cstheme="majorBidi"/>
          <w:b/>
          <w:bCs/>
          <w:sz w:val="24"/>
          <w:szCs w:val="24"/>
        </w:rPr>
      </w:pPr>
      <w:r w:rsidRPr="009C20B6">
        <w:rPr>
          <w:rFonts w:asciiTheme="majorBidi" w:hAnsiTheme="majorBidi" w:cstheme="majorBidi"/>
          <w:b/>
          <w:bCs/>
          <w:sz w:val="24"/>
          <w:szCs w:val="24"/>
        </w:rPr>
        <w:t>Introduction</w:t>
      </w:r>
    </w:p>
    <w:p w14:paraId="2278D084" w14:textId="77777777" w:rsidR="009C20B6" w:rsidRPr="009C20B6" w:rsidRDefault="009C20B6" w:rsidP="009C20B6">
      <w:pPr>
        <w:ind w:firstLine="720"/>
        <w:rPr>
          <w:rFonts w:asciiTheme="majorBidi" w:hAnsiTheme="majorBidi" w:cstheme="majorBidi"/>
          <w:sz w:val="24"/>
          <w:szCs w:val="24"/>
        </w:rPr>
      </w:pPr>
      <w:r w:rsidRPr="009C20B6">
        <w:rPr>
          <w:rFonts w:asciiTheme="majorBidi" w:hAnsiTheme="majorBidi" w:cstheme="majorBidi"/>
          <w:sz w:val="24"/>
          <w:szCs w:val="24"/>
        </w:rPr>
        <w:t xml:space="preserve">The Libyan government capabilities in countering terrorism have retreated, especially in light of disagreement between it and the Libyan National Army (LNA). The State party government sometimes collude with armed groups and terrorists to gain more power and be strong enough to subdue the Libyan National Army. Also, the interventions of some foreign countries </w:t>
      </w:r>
      <w:proofErr w:type="gramStart"/>
      <w:r w:rsidRPr="009C20B6">
        <w:rPr>
          <w:rFonts w:asciiTheme="majorBidi" w:hAnsiTheme="majorBidi" w:cstheme="majorBidi"/>
          <w:sz w:val="24"/>
          <w:szCs w:val="24"/>
        </w:rPr>
        <w:t>has</w:t>
      </w:r>
      <w:proofErr w:type="gramEnd"/>
      <w:r w:rsidRPr="009C20B6">
        <w:rPr>
          <w:rFonts w:asciiTheme="majorBidi" w:hAnsiTheme="majorBidi" w:cstheme="majorBidi"/>
          <w:sz w:val="24"/>
          <w:szCs w:val="24"/>
        </w:rPr>
        <w:t xml:space="preserve"> contributed to the scene in Libya, casting its shadow over human rights in the country. This report sheds light on a number of issues related to this topic over the past years. </w:t>
      </w:r>
    </w:p>
    <w:p w14:paraId="0FE42150" w14:textId="77777777" w:rsidR="009C20B6" w:rsidRPr="009C20B6" w:rsidRDefault="009C20B6" w:rsidP="009C20B6">
      <w:pPr>
        <w:shd w:val="clear" w:color="auto" w:fill="FFD966" w:themeFill="accent4" w:themeFillTint="99"/>
        <w:rPr>
          <w:rFonts w:asciiTheme="majorBidi" w:hAnsiTheme="majorBidi" w:cstheme="majorBidi"/>
          <w:b/>
          <w:bCs/>
          <w:sz w:val="24"/>
          <w:szCs w:val="24"/>
        </w:rPr>
      </w:pPr>
      <w:r w:rsidRPr="009C20B6">
        <w:rPr>
          <w:rFonts w:asciiTheme="majorBidi" w:hAnsiTheme="majorBidi" w:cstheme="majorBidi"/>
          <w:b/>
          <w:bCs/>
          <w:sz w:val="24"/>
          <w:szCs w:val="24"/>
        </w:rPr>
        <w:t>The internationally recognized government cooperation with terrorism</w:t>
      </w:r>
    </w:p>
    <w:p w14:paraId="3DDEA6DF" w14:textId="77777777" w:rsidR="009C20B6" w:rsidRPr="009C20B6" w:rsidRDefault="009C20B6" w:rsidP="009C20B6">
      <w:pPr>
        <w:ind w:firstLine="720"/>
        <w:rPr>
          <w:rFonts w:asciiTheme="majorBidi" w:hAnsiTheme="majorBidi" w:cstheme="majorBidi"/>
          <w:sz w:val="24"/>
          <w:szCs w:val="24"/>
        </w:rPr>
      </w:pPr>
      <w:r w:rsidRPr="009C20B6">
        <w:rPr>
          <w:rFonts w:asciiTheme="majorBidi" w:hAnsiTheme="majorBidi" w:cstheme="majorBidi"/>
          <w:sz w:val="24"/>
          <w:szCs w:val="24"/>
        </w:rPr>
        <w:t xml:space="preserve">Partners </w:t>
      </w:r>
      <w:proofErr w:type="gramStart"/>
      <w:r w:rsidRPr="009C20B6">
        <w:rPr>
          <w:rFonts w:asciiTheme="majorBidi" w:hAnsiTheme="majorBidi" w:cstheme="majorBidi"/>
          <w:sz w:val="24"/>
          <w:szCs w:val="24"/>
        </w:rPr>
        <w:t>For</w:t>
      </w:r>
      <w:proofErr w:type="gramEnd"/>
      <w:r w:rsidRPr="009C20B6">
        <w:rPr>
          <w:rFonts w:asciiTheme="majorBidi" w:hAnsiTheme="majorBidi" w:cstheme="majorBidi"/>
          <w:sz w:val="24"/>
          <w:szCs w:val="24"/>
        </w:rPr>
        <w:t xml:space="preserve"> Transparency wishes to point out that the government of the State party itself may be responsible for the terrorist operations carried out by armed militias, especially since the Government of National Accord does cooperate with some of those terrorist militias. On October 3, 2019, the Misrata-based al-</w:t>
      </w:r>
      <w:proofErr w:type="spellStart"/>
      <w:r w:rsidRPr="009C20B6">
        <w:rPr>
          <w:rFonts w:asciiTheme="majorBidi" w:hAnsiTheme="majorBidi" w:cstheme="majorBidi"/>
          <w:sz w:val="24"/>
          <w:szCs w:val="24"/>
        </w:rPr>
        <w:t>Somoud</w:t>
      </w:r>
      <w:proofErr w:type="spellEnd"/>
      <w:r w:rsidRPr="009C20B6">
        <w:rPr>
          <w:rFonts w:asciiTheme="majorBidi" w:hAnsiTheme="majorBidi" w:cstheme="majorBidi"/>
          <w:sz w:val="24"/>
          <w:szCs w:val="24"/>
        </w:rPr>
        <w:t xml:space="preserve"> Brigade said Salah Badi will be appointed as military intelligence chief of the Government of National Accord, the state’s most important sovereign agency. Notably, Salah Badi was the person responsible for attacking Tripoli International Airport in the summer of 2014.</w:t>
      </w:r>
      <w:r w:rsidRPr="009C20B6">
        <w:rPr>
          <w:rStyle w:val="FootnoteReference"/>
          <w:rFonts w:asciiTheme="majorBidi" w:hAnsiTheme="majorBidi" w:cstheme="majorBidi"/>
          <w:sz w:val="24"/>
          <w:szCs w:val="24"/>
        </w:rPr>
        <w:footnoteReference w:id="1"/>
      </w:r>
      <w:r w:rsidRPr="009C20B6">
        <w:rPr>
          <w:rFonts w:asciiTheme="majorBidi" w:hAnsiTheme="majorBidi" w:cstheme="majorBidi"/>
          <w:sz w:val="24"/>
          <w:szCs w:val="24"/>
        </w:rPr>
        <w:t xml:space="preserve"> He also destroyed nearby oil tanks during the Operation Libya Dawn in the Oil Crescent region in 2014.</w:t>
      </w:r>
      <w:r w:rsidRPr="009C20B6">
        <w:rPr>
          <w:rStyle w:val="FootnoteReference"/>
          <w:rFonts w:asciiTheme="majorBidi" w:hAnsiTheme="majorBidi" w:cstheme="majorBidi"/>
          <w:sz w:val="24"/>
          <w:szCs w:val="24"/>
        </w:rPr>
        <w:footnoteReference w:id="2"/>
      </w:r>
      <w:r w:rsidRPr="009C20B6">
        <w:rPr>
          <w:rFonts w:asciiTheme="majorBidi" w:hAnsiTheme="majorBidi" w:cstheme="majorBidi"/>
          <w:sz w:val="24"/>
          <w:szCs w:val="24"/>
        </w:rPr>
        <w:t xml:space="preserve"> Mr. Badi was appointed despite the fact that the United Nations Security Council in 2018 imposed sanctions on him after his involvement in obstructing the political process inside Libya and undermining peace,</w:t>
      </w:r>
      <w:r w:rsidRPr="009C20B6">
        <w:rPr>
          <w:rStyle w:val="FootnoteReference"/>
          <w:rFonts w:asciiTheme="majorBidi" w:hAnsiTheme="majorBidi" w:cstheme="majorBidi"/>
          <w:sz w:val="24"/>
          <w:szCs w:val="24"/>
        </w:rPr>
        <w:footnoteReference w:id="3"/>
      </w:r>
      <w:r w:rsidRPr="009C20B6">
        <w:rPr>
          <w:rFonts w:asciiTheme="majorBidi" w:hAnsiTheme="majorBidi" w:cstheme="majorBidi"/>
          <w:sz w:val="24"/>
          <w:szCs w:val="24"/>
        </w:rPr>
        <w:t xml:space="preserve"> due to his leadership role in sparking violent clashes in the south of Libya’s capital, Tripoli, in August 2018, which caused the death of 180 civilians. Moreover, his name is put on the list of terrorists announced by the Parliament of eastern Libya. Salah Badi continued to call on the Misrata militias to </w:t>
      </w:r>
      <w:proofErr w:type="spellStart"/>
      <w:r w:rsidRPr="009C20B6">
        <w:rPr>
          <w:rFonts w:asciiTheme="majorBidi" w:hAnsiTheme="majorBidi" w:cstheme="majorBidi"/>
          <w:sz w:val="24"/>
          <w:szCs w:val="24"/>
        </w:rPr>
        <w:t>geather</w:t>
      </w:r>
      <w:proofErr w:type="spellEnd"/>
      <w:r w:rsidRPr="009C20B6">
        <w:rPr>
          <w:rFonts w:asciiTheme="majorBidi" w:hAnsiTheme="majorBidi" w:cstheme="majorBidi"/>
          <w:sz w:val="24"/>
          <w:szCs w:val="24"/>
        </w:rPr>
        <w:t xml:space="preserve">, and also called for the continuation of offensive operations against the Libyan army that flexed its muscle on the areas of "Abu </w:t>
      </w:r>
      <w:proofErr w:type="spellStart"/>
      <w:r w:rsidRPr="009C20B6">
        <w:rPr>
          <w:rFonts w:asciiTheme="majorBidi" w:hAnsiTheme="majorBidi" w:cstheme="majorBidi"/>
          <w:sz w:val="24"/>
          <w:szCs w:val="24"/>
        </w:rPr>
        <w:t>Qurain</w:t>
      </w:r>
      <w:proofErr w:type="spellEnd"/>
      <w:r w:rsidRPr="009C20B6">
        <w:rPr>
          <w:rFonts w:asciiTheme="majorBidi" w:hAnsiTheme="majorBidi" w:cstheme="majorBidi"/>
          <w:sz w:val="24"/>
          <w:szCs w:val="24"/>
        </w:rPr>
        <w:t>" and "Al-</w:t>
      </w:r>
      <w:proofErr w:type="spellStart"/>
      <w:r w:rsidRPr="009C20B6">
        <w:rPr>
          <w:rFonts w:asciiTheme="majorBidi" w:hAnsiTheme="majorBidi" w:cstheme="majorBidi"/>
          <w:sz w:val="24"/>
          <w:szCs w:val="24"/>
        </w:rPr>
        <w:t>Washka</w:t>
      </w:r>
      <w:proofErr w:type="spellEnd"/>
      <w:r w:rsidRPr="009C20B6">
        <w:rPr>
          <w:rFonts w:asciiTheme="majorBidi" w:hAnsiTheme="majorBidi" w:cstheme="majorBidi"/>
          <w:sz w:val="24"/>
          <w:szCs w:val="24"/>
        </w:rPr>
        <w:t>" located in the city of "Misurata", in order to retrieve them.</w:t>
      </w:r>
      <w:r w:rsidRPr="009C20B6">
        <w:rPr>
          <w:rStyle w:val="FootnoteReference"/>
          <w:rFonts w:asciiTheme="majorBidi" w:hAnsiTheme="majorBidi" w:cstheme="majorBidi"/>
          <w:sz w:val="24"/>
          <w:szCs w:val="24"/>
        </w:rPr>
        <w:footnoteReference w:id="4"/>
      </w:r>
    </w:p>
    <w:p w14:paraId="21B48451" w14:textId="77777777" w:rsidR="009C20B6" w:rsidRPr="009C20B6" w:rsidRDefault="009C20B6" w:rsidP="009C20B6">
      <w:pPr>
        <w:shd w:val="clear" w:color="auto" w:fill="FFD966" w:themeFill="accent4" w:themeFillTint="99"/>
        <w:rPr>
          <w:rFonts w:asciiTheme="majorBidi" w:hAnsiTheme="majorBidi" w:cstheme="majorBidi"/>
          <w:b/>
          <w:bCs/>
          <w:sz w:val="24"/>
          <w:szCs w:val="24"/>
        </w:rPr>
      </w:pPr>
      <w:r w:rsidRPr="009C20B6">
        <w:rPr>
          <w:rFonts w:asciiTheme="majorBidi" w:hAnsiTheme="majorBidi" w:cstheme="majorBidi"/>
          <w:b/>
          <w:bCs/>
          <w:sz w:val="24"/>
          <w:szCs w:val="24"/>
        </w:rPr>
        <w:t>Foreign intervention and countering terrorism</w:t>
      </w:r>
    </w:p>
    <w:p w14:paraId="2544DFF5" w14:textId="77777777" w:rsidR="009C20B6" w:rsidRPr="009C20B6" w:rsidRDefault="009C20B6" w:rsidP="009C20B6">
      <w:pPr>
        <w:ind w:firstLine="720"/>
        <w:rPr>
          <w:rFonts w:asciiTheme="majorBidi" w:hAnsiTheme="majorBidi" w:cstheme="majorBidi"/>
          <w:sz w:val="24"/>
          <w:szCs w:val="24"/>
        </w:rPr>
      </w:pPr>
      <w:r w:rsidRPr="009C20B6">
        <w:rPr>
          <w:rFonts w:asciiTheme="majorBidi" w:hAnsiTheme="majorBidi" w:cstheme="majorBidi"/>
          <w:sz w:val="24"/>
          <w:szCs w:val="24"/>
        </w:rPr>
        <w:lastRenderedPageBreak/>
        <w:t xml:space="preserve">There are a number of countries middling in the Libyan affairs, in the name of cooperation with the Libyan Government of National Accord. However, these countries are the same ones supporting armed militias on the ground. The Turkish middling in </w:t>
      </w:r>
      <w:proofErr w:type="spellStart"/>
      <w:r w:rsidRPr="009C20B6">
        <w:rPr>
          <w:rFonts w:asciiTheme="majorBidi" w:hAnsiTheme="majorBidi" w:cstheme="majorBidi"/>
          <w:sz w:val="24"/>
          <w:szCs w:val="24"/>
        </w:rPr>
        <w:t>Lybia</w:t>
      </w:r>
      <w:proofErr w:type="spellEnd"/>
      <w:r w:rsidRPr="009C20B6">
        <w:rPr>
          <w:rFonts w:asciiTheme="majorBidi" w:hAnsiTheme="majorBidi" w:cstheme="majorBidi"/>
          <w:sz w:val="24"/>
          <w:szCs w:val="24"/>
        </w:rPr>
        <w:t xml:space="preserve"> is the most prominent among all. </w:t>
      </w:r>
    </w:p>
    <w:p w14:paraId="5E508D3F" w14:textId="77777777" w:rsidR="009C20B6" w:rsidRPr="009C20B6" w:rsidRDefault="009C20B6" w:rsidP="009C20B6">
      <w:pPr>
        <w:ind w:firstLine="720"/>
        <w:rPr>
          <w:rFonts w:asciiTheme="majorBidi" w:hAnsiTheme="majorBidi" w:cstheme="majorBidi"/>
          <w:sz w:val="24"/>
          <w:szCs w:val="24"/>
          <w:rtl/>
          <w:lang w:bidi="ar-EG"/>
        </w:rPr>
      </w:pPr>
      <w:r w:rsidRPr="009C20B6">
        <w:rPr>
          <w:rFonts w:asciiTheme="majorBidi" w:hAnsiTheme="majorBidi" w:cstheme="majorBidi"/>
          <w:sz w:val="24"/>
          <w:szCs w:val="24"/>
        </w:rPr>
        <w:t xml:space="preserve">The Turkish government continues to prop up terrorist militias and armed organizations such as the </w:t>
      </w:r>
      <w:proofErr w:type="spellStart"/>
      <w:r w:rsidRPr="009C20B6">
        <w:rPr>
          <w:rFonts w:asciiTheme="majorBidi" w:hAnsiTheme="majorBidi" w:cstheme="majorBidi"/>
          <w:sz w:val="24"/>
          <w:szCs w:val="24"/>
        </w:rPr>
        <w:t>Lybia</w:t>
      </w:r>
      <w:proofErr w:type="spellEnd"/>
      <w:r w:rsidRPr="009C20B6">
        <w:rPr>
          <w:rFonts w:asciiTheme="majorBidi" w:hAnsiTheme="majorBidi" w:cstheme="majorBidi"/>
          <w:sz w:val="24"/>
          <w:szCs w:val="24"/>
        </w:rPr>
        <w:t xml:space="preserve"> Special Shield Forces, the </w:t>
      </w:r>
      <w:proofErr w:type="spellStart"/>
      <w:r w:rsidRPr="009C20B6">
        <w:rPr>
          <w:rFonts w:asciiTheme="majorBidi" w:hAnsiTheme="majorBidi" w:cstheme="majorBidi"/>
          <w:sz w:val="24"/>
          <w:szCs w:val="24"/>
        </w:rPr>
        <w:t>Ghinwa</w:t>
      </w:r>
      <w:proofErr w:type="spellEnd"/>
      <w:r w:rsidRPr="009C20B6">
        <w:rPr>
          <w:rFonts w:asciiTheme="majorBidi" w:hAnsiTheme="majorBidi" w:cstheme="majorBidi"/>
          <w:sz w:val="24"/>
          <w:szCs w:val="24"/>
        </w:rPr>
        <w:t xml:space="preserve"> and Misrata militias, providing them with all kinds of assistance, including weapons and military equipment, violating the arms embargo imposed on Libya by the UN Security Council.</w:t>
      </w:r>
      <w:r w:rsidRPr="009C20B6">
        <w:rPr>
          <w:rStyle w:val="FootnoteReference"/>
          <w:rFonts w:asciiTheme="majorBidi" w:hAnsiTheme="majorBidi" w:cstheme="majorBidi"/>
          <w:sz w:val="24"/>
          <w:szCs w:val="24"/>
        </w:rPr>
        <w:footnoteReference w:id="5"/>
      </w:r>
      <w:r w:rsidRPr="009C20B6">
        <w:rPr>
          <w:rFonts w:asciiTheme="majorBidi" w:hAnsiTheme="majorBidi" w:cstheme="majorBidi"/>
          <w:sz w:val="24"/>
          <w:szCs w:val="24"/>
        </w:rPr>
        <w:t xml:space="preserve"> The Greek authorities seized a Turkish ship loaded with weapons that was heading to Libya in September 2015.</w:t>
      </w:r>
      <w:r w:rsidRPr="009C20B6">
        <w:rPr>
          <w:rStyle w:val="FootnoteReference"/>
          <w:rFonts w:asciiTheme="majorBidi" w:hAnsiTheme="majorBidi" w:cstheme="majorBidi"/>
          <w:sz w:val="24"/>
          <w:szCs w:val="24"/>
        </w:rPr>
        <w:footnoteReference w:id="6"/>
      </w:r>
      <w:r w:rsidRPr="009C20B6">
        <w:rPr>
          <w:rFonts w:asciiTheme="majorBidi" w:hAnsiTheme="majorBidi" w:cstheme="majorBidi"/>
          <w:sz w:val="24"/>
          <w:szCs w:val="24"/>
        </w:rPr>
        <w:t xml:space="preserve"> In January 2018, the Libyan army was able to seize many weapons and explosives smuggled through Greece from Turkey to the various Libyan militias.</w:t>
      </w:r>
      <w:r w:rsidRPr="009C20B6">
        <w:rPr>
          <w:rStyle w:val="FootnoteReference"/>
          <w:rFonts w:asciiTheme="majorBidi" w:hAnsiTheme="majorBidi" w:cstheme="majorBidi"/>
          <w:sz w:val="24"/>
          <w:szCs w:val="24"/>
        </w:rPr>
        <w:footnoteReference w:id="7"/>
      </w:r>
      <w:r w:rsidRPr="009C20B6">
        <w:rPr>
          <w:rFonts w:asciiTheme="majorBidi" w:hAnsiTheme="majorBidi" w:cstheme="majorBidi"/>
          <w:sz w:val="24"/>
          <w:szCs w:val="24"/>
        </w:rPr>
        <w:t xml:space="preserve"> On February 5, 2019, the Libyan customs authorities in the </w:t>
      </w:r>
      <w:proofErr w:type="spellStart"/>
      <w:r w:rsidRPr="009C20B6">
        <w:rPr>
          <w:rFonts w:asciiTheme="majorBidi" w:hAnsiTheme="majorBidi" w:cstheme="majorBidi"/>
          <w:sz w:val="24"/>
          <w:szCs w:val="24"/>
        </w:rPr>
        <w:t>Khums</w:t>
      </w:r>
      <w:proofErr w:type="spellEnd"/>
      <w:r w:rsidRPr="009C20B6">
        <w:rPr>
          <w:rFonts w:asciiTheme="majorBidi" w:hAnsiTheme="majorBidi" w:cstheme="majorBidi"/>
          <w:sz w:val="24"/>
          <w:szCs w:val="24"/>
        </w:rPr>
        <w:t xml:space="preserve"> seaport seized a cargo of illicit arms and military hardware from Turkey. The shipment included nine Toyota Sierra Leone 4X4 </w:t>
      </w:r>
      <w:proofErr w:type="spellStart"/>
      <w:r w:rsidRPr="009C20B6">
        <w:rPr>
          <w:rFonts w:asciiTheme="majorBidi" w:hAnsiTheme="majorBidi" w:cstheme="majorBidi"/>
          <w:sz w:val="24"/>
          <w:szCs w:val="24"/>
        </w:rPr>
        <w:t>armoured</w:t>
      </w:r>
      <w:proofErr w:type="spellEnd"/>
      <w:r w:rsidRPr="009C20B6">
        <w:rPr>
          <w:rFonts w:asciiTheme="majorBidi" w:hAnsiTheme="majorBidi" w:cstheme="majorBidi"/>
          <w:sz w:val="24"/>
          <w:szCs w:val="24"/>
        </w:rPr>
        <w:t xml:space="preserve"> assault vehicles and Turkish-made combat tanks. There was no bill of lading or anything to designate a legitimate recipient in Libya.</w:t>
      </w:r>
      <w:r w:rsidRPr="009C20B6">
        <w:rPr>
          <w:rStyle w:val="FootnoteReference"/>
          <w:rFonts w:asciiTheme="majorBidi" w:hAnsiTheme="majorBidi" w:cstheme="majorBidi"/>
          <w:sz w:val="24"/>
          <w:szCs w:val="24"/>
        </w:rPr>
        <w:footnoteReference w:id="8"/>
      </w:r>
    </w:p>
    <w:p w14:paraId="5347A285" w14:textId="77777777" w:rsidR="009C20B6" w:rsidRPr="009C20B6" w:rsidRDefault="009C20B6" w:rsidP="009C20B6">
      <w:pPr>
        <w:ind w:firstLine="720"/>
        <w:rPr>
          <w:rFonts w:asciiTheme="majorBidi" w:hAnsiTheme="majorBidi" w:cstheme="majorBidi"/>
          <w:sz w:val="24"/>
          <w:szCs w:val="24"/>
        </w:rPr>
      </w:pPr>
      <w:r w:rsidRPr="009C20B6">
        <w:rPr>
          <w:rFonts w:asciiTheme="majorBidi" w:hAnsiTheme="majorBidi" w:cstheme="majorBidi"/>
          <w:sz w:val="24"/>
          <w:szCs w:val="24"/>
        </w:rPr>
        <w:t>Also, on May 20, 2019, a cargo of weapons and military equipment were detected shipped from Turkey’s Samsun port heading to the port of Tripoli, to prop up the militias of the Government of National Accord.</w:t>
      </w:r>
      <w:r w:rsidRPr="009C20B6">
        <w:rPr>
          <w:rStyle w:val="FootnoteReference"/>
          <w:rFonts w:asciiTheme="majorBidi" w:hAnsiTheme="majorBidi" w:cstheme="majorBidi"/>
          <w:sz w:val="24"/>
          <w:szCs w:val="24"/>
        </w:rPr>
        <w:footnoteReference w:id="9"/>
      </w:r>
      <w:r w:rsidRPr="009C20B6">
        <w:rPr>
          <w:rFonts w:asciiTheme="majorBidi" w:hAnsiTheme="majorBidi" w:cstheme="majorBidi"/>
          <w:sz w:val="24"/>
          <w:szCs w:val="24"/>
        </w:rPr>
        <w:t xml:space="preserve"> A ship transporting aircrafts to support militias in Libya was also detected on July 10, 2019.</w:t>
      </w:r>
      <w:r w:rsidRPr="009C20B6">
        <w:rPr>
          <w:rStyle w:val="FootnoteReference"/>
          <w:rFonts w:asciiTheme="majorBidi" w:hAnsiTheme="majorBidi" w:cstheme="majorBidi"/>
          <w:sz w:val="24"/>
          <w:szCs w:val="24"/>
        </w:rPr>
        <w:footnoteReference w:id="10"/>
      </w:r>
      <w:r w:rsidRPr="009C20B6">
        <w:rPr>
          <w:rFonts w:asciiTheme="majorBidi" w:hAnsiTheme="majorBidi" w:cstheme="majorBidi"/>
          <w:sz w:val="24"/>
          <w:szCs w:val="24"/>
        </w:rPr>
        <w:t xml:space="preserve"> On September 24, 2019, a Turkish cargo ship carrying ammunition and weapon managed crossing into Libya. The ammunition and weapons were delivered to the Libyan militia in Misrata.</w:t>
      </w:r>
      <w:r w:rsidRPr="009C20B6">
        <w:rPr>
          <w:rStyle w:val="FootnoteReference"/>
          <w:rFonts w:asciiTheme="majorBidi" w:hAnsiTheme="majorBidi" w:cstheme="majorBidi"/>
          <w:sz w:val="24"/>
          <w:szCs w:val="24"/>
        </w:rPr>
        <w:footnoteReference w:id="11"/>
      </w:r>
      <w:r w:rsidRPr="009C20B6">
        <w:rPr>
          <w:rFonts w:asciiTheme="majorBidi" w:hAnsiTheme="majorBidi" w:cstheme="majorBidi"/>
          <w:sz w:val="24"/>
          <w:szCs w:val="24"/>
        </w:rPr>
        <w:t xml:space="preserve"> On January 8, 2020, the Tunisian Ministry of Interior seized Turkish-made weapons smuggled from Turkey to Libya through its territory by various smuggling gangs.</w:t>
      </w:r>
      <w:r w:rsidRPr="009C20B6">
        <w:rPr>
          <w:rStyle w:val="FootnoteReference"/>
          <w:rFonts w:asciiTheme="majorBidi" w:hAnsiTheme="majorBidi" w:cstheme="majorBidi"/>
          <w:sz w:val="24"/>
          <w:szCs w:val="24"/>
        </w:rPr>
        <w:footnoteReference w:id="12"/>
      </w:r>
    </w:p>
    <w:p w14:paraId="7E32B316" w14:textId="77777777" w:rsidR="009C20B6" w:rsidRPr="009C20B6" w:rsidRDefault="009C20B6" w:rsidP="009C20B6">
      <w:pPr>
        <w:ind w:firstLine="720"/>
        <w:rPr>
          <w:rFonts w:asciiTheme="majorBidi" w:hAnsiTheme="majorBidi" w:cstheme="majorBidi"/>
          <w:sz w:val="24"/>
          <w:szCs w:val="24"/>
        </w:rPr>
      </w:pPr>
      <w:r w:rsidRPr="009C20B6">
        <w:rPr>
          <w:rFonts w:asciiTheme="majorBidi" w:hAnsiTheme="majorBidi" w:cstheme="majorBidi"/>
          <w:sz w:val="24"/>
          <w:szCs w:val="24"/>
        </w:rPr>
        <w:t xml:space="preserve">With the approval of the Government of National Accord, Turkey is bringing in armed militias and terrorist groups active in Syria in Libya. In June 2019, Russian President Vladimir Putin expressed his concern about the influx of terrorists into Libya from Idlib, Syria, in light of reports and information that had spoken about the transfer of armed terrorist elements from Idlib upon orders from the former leader of the Libyan Islamic Fighting Group, </w:t>
      </w:r>
      <w:proofErr w:type="spellStart"/>
      <w:r w:rsidRPr="009C20B6">
        <w:rPr>
          <w:rFonts w:asciiTheme="majorBidi" w:hAnsiTheme="majorBidi" w:cstheme="majorBidi"/>
          <w:sz w:val="24"/>
          <w:szCs w:val="24"/>
        </w:rPr>
        <w:t>Abdelhakim</w:t>
      </w:r>
      <w:proofErr w:type="spellEnd"/>
      <w:r w:rsidRPr="009C20B6">
        <w:rPr>
          <w:rFonts w:asciiTheme="majorBidi" w:hAnsiTheme="majorBidi" w:cstheme="majorBidi"/>
          <w:sz w:val="24"/>
          <w:szCs w:val="24"/>
        </w:rPr>
        <w:t xml:space="preserve"> </w:t>
      </w:r>
      <w:proofErr w:type="spellStart"/>
      <w:r w:rsidRPr="009C20B6">
        <w:rPr>
          <w:rFonts w:asciiTheme="majorBidi" w:hAnsiTheme="majorBidi" w:cstheme="majorBidi"/>
          <w:sz w:val="24"/>
          <w:szCs w:val="24"/>
        </w:rPr>
        <w:t>Belhaj</w:t>
      </w:r>
      <w:proofErr w:type="spellEnd"/>
      <w:r w:rsidRPr="009C20B6">
        <w:rPr>
          <w:rFonts w:asciiTheme="majorBidi" w:hAnsiTheme="majorBidi" w:cstheme="majorBidi"/>
          <w:sz w:val="24"/>
          <w:szCs w:val="24"/>
        </w:rPr>
        <w:t>, through the Libyan Wings Airlines Company. The National Defense and Security Committee of the Libyan House of Representatives in Tobruk, confirmed in May 2019, the Turkish efforts to facilitate the arrival of terrorists affiliated with the Al-Nusra Front from Idlib, Syria, belonging to the fight alongside the GNA's armed forces.</w:t>
      </w:r>
      <w:r w:rsidRPr="009C20B6">
        <w:rPr>
          <w:rStyle w:val="FootnoteReference"/>
          <w:rFonts w:asciiTheme="majorBidi" w:hAnsiTheme="majorBidi" w:cstheme="majorBidi"/>
          <w:sz w:val="24"/>
          <w:szCs w:val="24"/>
        </w:rPr>
        <w:footnoteReference w:id="13"/>
      </w:r>
    </w:p>
    <w:p w14:paraId="7A0D4CF9" w14:textId="77777777" w:rsidR="009C20B6" w:rsidRPr="009C20B6" w:rsidRDefault="009C20B6" w:rsidP="009C20B6">
      <w:pPr>
        <w:ind w:firstLine="720"/>
        <w:rPr>
          <w:rFonts w:asciiTheme="majorBidi" w:hAnsiTheme="majorBidi" w:cstheme="majorBidi"/>
          <w:sz w:val="24"/>
          <w:szCs w:val="24"/>
        </w:rPr>
      </w:pPr>
      <w:r w:rsidRPr="009C20B6">
        <w:rPr>
          <w:rFonts w:asciiTheme="majorBidi" w:hAnsiTheme="majorBidi" w:cstheme="majorBidi"/>
          <w:sz w:val="24"/>
          <w:szCs w:val="24"/>
        </w:rPr>
        <w:t xml:space="preserve">According to the statistics published by the Syrian Observatory for Human Rights, the number of conscripts who went to the Libyan territories until August 2020 reached about 17,300 mercenaries of Syrian nationality, including 350 children under the age of 18, and about 6000 of the pro-Turkish </w:t>
      </w:r>
      <w:r w:rsidRPr="009C20B6">
        <w:rPr>
          <w:rFonts w:asciiTheme="majorBidi" w:hAnsiTheme="majorBidi" w:cstheme="majorBidi"/>
          <w:sz w:val="24"/>
          <w:szCs w:val="24"/>
        </w:rPr>
        <w:lastRenderedPageBreak/>
        <w:t>factions mercenaries returned to Syria, after the termination of their contracts and receiving their dues. Meanwhile, Turkey continues to bring more mercenary factions to its camps and train them.</w:t>
      </w:r>
      <w:r w:rsidRPr="009C20B6">
        <w:rPr>
          <w:rStyle w:val="FootnoteReference"/>
          <w:rFonts w:asciiTheme="majorBidi" w:hAnsiTheme="majorBidi" w:cstheme="majorBidi"/>
          <w:sz w:val="24"/>
          <w:szCs w:val="24"/>
        </w:rPr>
        <w:footnoteReference w:id="14"/>
      </w:r>
    </w:p>
    <w:p w14:paraId="6B4EE191" w14:textId="77777777" w:rsidR="009C20B6" w:rsidRPr="009C20B6" w:rsidRDefault="009C20B6" w:rsidP="009C20B6">
      <w:pPr>
        <w:shd w:val="clear" w:color="auto" w:fill="FFD966" w:themeFill="accent4" w:themeFillTint="99"/>
        <w:rPr>
          <w:rFonts w:asciiTheme="majorBidi" w:hAnsiTheme="majorBidi" w:cstheme="majorBidi"/>
          <w:b/>
          <w:bCs/>
          <w:sz w:val="24"/>
          <w:szCs w:val="24"/>
        </w:rPr>
      </w:pPr>
      <w:r w:rsidRPr="009C20B6">
        <w:rPr>
          <w:rFonts w:asciiTheme="majorBidi" w:hAnsiTheme="majorBidi" w:cstheme="majorBidi"/>
          <w:b/>
          <w:bCs/>
          <w:sz w:val="24"/>
          <w:szCs w:val="24"/>
        </w:rPr>
        <w:t xml:space="preserve">Recommendations </w:t>
      </w:r>
    </w:p>
    <w:p w14:paraId="4C307448" w14:textId="77777777" w:rsidR="009C20B6" w:rsidRPr="009C20B6" w:rsidRDefault="009C20B6" w:rsidP="009C20B6">
      <w:pPr>
        <w:ind w:firstLine="720"/>
        <w:rPr>
          <w:rFonts w:asciiTheme="majorBidi" w:hAnsiTheme="majorBidi" w:cstheme="majorBidi"/>
          <w:sz w:val="24"/>
          <w:szCs w:val="24"/>
        </w:rPr>
      </w:pPr>
      <w:r w:rsidRPr="009C20B6">
        <w:rPr>
          <w:rFonts w:asciiTheme="majorBidi" w:hAnsiTheme="majorBidi" w:cstheme="majorBidi"/>
          <w:sz w:val="24"/>
          <w:szCs w:val="24"/>
        </w:rPr>
        <w:t xml:space="preserve">Partners </w:t>
      </w:r>
      <w:proofErr w:type="gramStart"/>
      <w:r w:rsidRPr="009C20B6">
        <w:rPr>
          <w:rFonts w:asciiTheme="majorBidi" w:hAnsiTheme="majorBidi" w:cstheme="majorBidi"/>
          <w:sz w:val="24"/>
          <w:szCs w:val="24"/>
        </w:rPr>
        <w:t>For</w:t>
      </w:r>
      <w:proofErr w:type="gramEnd"/>
      <w:r w:rsidRPr="009C20B6">
        <w:rPr>
          <w:rFonts w:asciiTheme="majorBidi" w:hAnsiTheme="majorBidi" w:cstheme="majorBidi"/>
          <w:sz w:val="24"/>
          <w:szCs w:val="24"/>
        </w:rPr>
        <w:t xml:space="preserve"> Transparency recommends the committee to ask the Government of National Accord about its response to the decision of appointing the internationally wanted terrorist (Salah Badi) as the military intelligence chief of the Government of National Accord. It also calls on the committee to inquire about Turkey's support for Libya’s outlaw militias and the deployment of foreign fighters and mercenaries in the country.</w:t>
      </w:r>
    </w:p>
    <w:p w14:paraId="222DF931" w14:textId="4CD682B4" w:rsidR="00FD7C38" w:rsidRPr="009C20B6" w:rsidRDefault="00FD7C38" w:rsidP="009C20B6">
      <w:pPr>
        <w:rPr>
          <w:rFonts w:asciiTheme="majorBidi" w:hAnsiTheme="majorBidi" w:cstheme="majorBidi"/>
        </w:rPr>
      </w:pPr>
    </w:p>
    <w:sectPr w:rsidR="00FD7C38" w:rsidRPr="009C20B6" w:rsidSect="00D869E9">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3E8F5" w14:textId="77777777" w:rsidR="006803D0" w:rsidRDefault="006803D0" w:rsidP="0076180A">
      <w:pPr>
        <w:spacing w:after="0" w:line="240" w:lineRule="auto"/>
      </w:pPr>
      <w:r>
        <w:separator/>
      </w:r>
    </w:p>
  </w:endnote>
  <w:endnote w:type="continuationSeparator" w:id="0">
    <w:p w14:paraId="3FCF3E71" w14:textId="77777777" w:rsidR="006803D0" w:rsidRDefault="006803D0" w:rsidP="0076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0964" w14:textId="77777777" w:rsidR="00DE52E3" w:rsidRDefault="00DE5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1F8F" w14:textId="77777777" w:rsidR="00D869E9" w:rsidRPr="00D869E9" w:rsidRDefault="00D869E9" w:rsidP="00D869E9">
    <w:pPr>
      <w:pStyle w:val="a0"/>
      <w:tabs>
        <w:tab w:val="clear" w:pos="4680"/>
        <w:tab w:val="clear" w:pos="9360"/>
        <w:tab w:val="center" w:pos="4153"/>
        <w:tab w:val="right" w:pos="8306"/>
      </w:tabs>
      <w:rPr>
        <w:b/>
        <w:bCs/>
        <w:sz w:val="24"/>
        <w:szCs w:val="24"/>
      </w:rPr>
    </w:pPr>
    <w:r w:rsidRPr="00D87309">
      <w:rPr>
        <w:b/>
        <w:bCs/>
        <w:sz w:val="24"/>
        <w:szCs w:val="24"/>
      </w:rPr>
      <w:t xml:space="preserve">P. </w:t>
    </w:r>
    <w:r w:rsidR="00440E3B" w:rsidRPr="00D87309">
      <w:rPr>
        <w:b/>
        <w:bCs/>
        <w:sz w:val="24"/>
        <w:szCs w:val="24"/>
      </w:rPr>
      <w:fldChar w:fldCharType="begin"/>
    </w:r>
    <w:r w:rsidRPr="00D87309">
      <w:rPr>
        <w:b/>
        <w:bCs/>
        <w:sz w:val="24"/>
        <w:szCs w:val="24"/>
      </w:rPr>
      <w:instrText>PAGE   \* MERGEFORMAT</w:instrText>
    </w:r>
    <w:r w:rsidR="00440E3B" w:rsidRPr="00D87309">
      <w:rPr>
        <w:b/>
        <w:bCs/>
        <w:sz w:val="24"/>
        <w:szCs w:val="24"/>
      </w:rPr>
      <w:fldChar w:fldCharType="separate"/>
    </w:r>
    <w:r w:rsidR="006042B5" w:rsidRPr="006042B5">
      <w:rPr>
        <w:rFonts w:cs="Calibri"/>
        <w:b/>
        <w:bCs/>
        <w:noProof/>
        <w:sz w:val="24"/>
        <w:szCs w:val="24"/>
        <w:rtl/>
        <w:lang w:val="ar-SA"/>
      </w:rPr>
      <w:t>2</w:t>
    </w:r>
    <w:r w:rsidR="00440E3B" w:rsidRPr="00D87309">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974" w:type="dxa"/>
      <w:tblInd w:w="106" w:type="dxa"/>
      <w:tblBorders>
        <w:insideV w:val="single" w:sz="12" w:space="0" w:color="000000"/>
      </w:tblBorders>
      <w:tblLook w:val="04A0" w:firstRow="1" w:lastRow="0" w:firstColumn="1" w:lastColumn="0" w:noHBand="0" w:noVBand="1"/>
    </w:tblPr>
    <w:tblGrid>
      <w:gridCol w:w="1842"/>
      <w:gridCol w:w="1843"/>
      <w:gridCol w:w="1843"/>
      <w:gridCol w:w="1843"/>
      <w:gridCol w:w="2603"/>
    </w:tblGrid>
    <w:tr w:rsidR="00D869E9" w:rsidRPr="00B026C1" w14:paraId="740774A9" w14:textId="77777777" w:rsidTr="00B026C1">
      <w:trPr>
        <w:trHeight w:val="510"/>
      </w:trPr>
      <w:tc>
        <w:tcPr>
          <w:tcW w:w="9974" w:type="dxa"/>
          <w:gridSpan w:val="5"/>
          <w:tcBorders>
            <w:bottom w:val="nil"/>
          </w:tcBorders>
          <w:vAlign w:val="center"/>
        </w:tcPr>
        <w:p w14:paraId="66ED27A1" w14:textId="77777777" w:rsidR="00D869E9" w:rsidRPr="006042B5" w:rsidRDefault="001A50DF" w:rsidP="00B026C1">
          <w:pPr>
            <w:spacing w:after="0" w:line="240" w:lineRule="auto"/>
            <w:suppressOverlap/>
            <w:jc w:val="both"/>
            <w:rPr>
              <w:rFonts w:ascii="Times New Roman" w:hAnsi="Times New Roman" w:cs="Times New Roman"/>
              <w:b/>
              <w:bCs/>
              <w:color w:val="E48527"/>
              <w:sz w:val="32"/>
              <w:szCs w:val="32"/>
            </w:rPr>
          </w:pPr>
          <w:r w:rsidRPr="006042B5">
            <w:rPr>
              <w:rFonts w:ascii="Times New Roman" w:hAnsi="Times New Roman" w:cs="Times New Roman"/>
              <w:b/>
              <w:bCs/>
              <w:noProof/>
              <w:color w:val="E48527"/>
              <w:sz w:val="28"/>
              <w:szCs w:val="28"/>
            </w:rPr>
            <mc:AlternateContent>
              <mc:Choice Requires="wps">
                <w:drawing>
                  <wp:anchor distT="0" distB="0" distL="114300" distR="114300" simplePos="0" relativeHeight="251657728" behindDoc="0" locked="0" layoutInCell="1" allowOverlap="1" wp14:anchorId="1EBFAD97" wp14:editId="3A732C82">
                    <wp:simplePos x="0" y="0"/>
                    <wp:positionH relativeFrom="column">
                      <wp:posOffset>-864870</wp:posOffset>
                    </wp:positionH>
                    <wp:positionV relativeFrom="paragraph">
                      <wp:posOffset>12065</wp:posOffset>
                    </wp:positionV>
                    <wp:extent cx="7919720" cy="0"/>
                    <wp:effectExtent l="11430" t="12065" r="12700" b="1651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9ADA0" id="_x0000_t32" coordsize="21600,21600" o:spt="32" o:oned="t" path="m,l21600,21600e" filled="f">
                    <v:path arrowok="t" fillok="f" o:connecttype="none"/>
                    <o:lock v:ext="edit" shapetype="t"/>
                  </v:shapetype>
                  <v:shape id="AutoShape 15" o:spid="_x0000_s1026" type="#_x0000_t32" style="position:absolute;margin-left:-68.1pt;margin-top:.95pt;width:623.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Y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8fFtniYQKro1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" strokeweight="1.5pt"/>
                </w:pict>
              </mc:Fallback>
            </mc:AlternateContent>
          </w:r>
          <w:r w:rsidR="00D869E9" w:rsidRPr="006042B5">
            <w:rPr>
              <w:rFonts w:ascii="Times New Roman" w:hAnsi="Times New Roman" w:cs="Times New Roman"/>
              <w:b/>
              <w:bCs/>
              <w:color w:val="E48527"/>
              <w:sz w:val="28"/>
              <w:szCs w:val="28"/>
            </w:rPr>
            <w:t>A</w:t>
          </w:r>
          <w:r w:rsidR="00D869E9" w:rsidRPr="006042B5">
            <w:rPr>
              <w:rFonts w:ascii="Times New Roman" w:hAnsi="Times New Roman" w:cs="Times New Roman"/>
              <w:b/>
              <w:bCs/>
              <w:color w:val="E48527"/>
              <w:sz w:val="32"/>
              <w:szCs w:val="32"/>
            </w:rPr>
            <w:t>.</w:t>
          </w:r>
        </w:p>
        <w:p w14:paraId="331627F3" w14:textId="77777777" w:rsidR="00D869E9" w:rsidRPr="006042B5" w:rsidRDefault="00D869E9" w:rsidP="007E19CB">
          <w:pPr>
            <w:spacing w:after="0" w:line="240" w:lineRule="auto"/>
            <w:suppressOverlap/>
            <w:jc w:val="both"/>
            <w:rPr>
              <w:rStyle w:val="apple-style-span"/>
              <w:rFonts w:ascii="Times New Roman" w:hAnsi="Times New Roman" w:cs="Times New Roman"/>
              <w:b/>
              <w:bCs/>
              <w:color w:val="006B86"/>
              <w:sz w:val="20"/>
              <w:szCs w:val="20"/>
            </w:rPr>
          </w:pPr>
          <w:r w:rsidRPr="006042B5">
            <w:rPr>
              <w:rFonts w:ascii="Times New Roman" w:hAnsi="Times New Roman" w:cs="Times New Roman"/>
              <w:b/>
              <w:bCs/>
              <w:color w:val="006B86"/>
              <w:sz w:val="20"/>
              <w:szCs w:val="20"/>
            </w:rPr>
            <w:t>1</w:t>
          </w:r>
          <w:r w:rsidR="007E19CB" w:rsidRPr="006042B5">
            <w:rPr>
              <w:rFonts w:ascii="Times New Roman" w:hAnsi="Times New Roman" w:cs="Times New Roman"/>
              <w:b/>
              <w:bCs/>
              <w:color w:val="006B86"/>
              <w:sz w:val="20"/>
              <w:szCs w:val="20"/>
            </w:rPr>
            <w:t>32</w:t>
          </w:r>
          <w:r w:rsidRPr="006042B5">
            <w:rPr>
              <w:rFonts w:ascii="Times New Roman" w:hAnsi="Times New Roman" w:cs="Times New Roman"/>
              <w:b/>
              <w:bCs/>
              <w:color w:val="006B86"/>
              <w:sz w:val="20"/>
              <w:szCs w:val="20"/>
            </w:rPr>
            <w:t xml:space="preserve"> </w:t>
          </w:r>
          <w:proofErr w:type="spellStart"/>
          <w:r w:rsidRPr="006042B5">
            <w:rPr>
              <w:rFonts w:ascii="Times New Roman" w:hAnsi="Times New Roman" w:cs="Times New Roman"/>
              <w:b/>
              <w:bCs/>
              <w:color w:val="006B86"/>
              <w:sz w:val="20"/>
              <w:szCs w:val="20"/>
            </w:rPr>
            <w:t>Misr</w:t>
          </w:r>
          <w:proofErr w:type="spellEnd"/>
          <w:r w:rsidRPr="006042B5">
            <w:rPr>
              <w:rFonts w:ascii="Times New Roman" w:hAnsi="Times New Roman" w:cs="Times New Roman"/>
              <w:b/>
              <w:bCs/>
              <w:color w:val="006B86"/>
              <w:sz w:val="20"/>
              <w:szCs w:val="20"/>
            </w:rPr>
            <w:t xml:space="preserve"> Helwan El-</w:t>
          </w:r>
          <w:proofErr w:type="spellStart"/>
          <w:r w:rsidRPr="006042B5">
            <w:rPr>
              <w:rFonts w:ascii="Times New Roman" w:hAnsi="Times New Roman" w:cs="Times New Roman"/>
              <w:b/>
              <w:bCs/>
              <w:color w:val="006B86"/>
              <w:sz w:val="20"/>
              <w:szCs w:val="20"/>
            </w:rPr>
            <w:t>Zyrae</w:t>
          </w:r>
          <w:proofErr w:type="spellEnd"/>
          <w:r w:rsidRPr="006042B5">
            <w:rPr>
              <w:rFonts w:ascii="Times New Roman" w:hAnsi="Times New Roman" w:cs="Times New Roman"/>
              <w:b/>
              <w:bCs/>
              <w:color w:val="006B86"/>
              <w:sz w:val="20"/>
              <w:szCs w:val="20"/>
            </w:rPr>
            <w:t xml:space="preserve"> Road , El </w:t>
          </w:r>
          <w:proofErr w:type="spellStart"/>
          <w:r w:rsidRPr="006042B5">
            <w:rPr>
              <w:rFonts w:ascii="Times New Roman" w:hAnsi="Times New Roman" w:cs="Times New Roman"/>
              <w:b/>
              <w:bCs/>
              <w:color w:val="006B86"/>
              <w:sz w:val="20"/>
              <w:szCs w:val="20"/>
            </w:rPr>
            <w:t>Matbaa</w:t>
          </w:r>
          <w:proofErr w:type="spellEnd"/>
          <w:r w:rsidRPr="006042B5">
            <w:rPr>
              <w:rFonts w:ascii="Times New Roman" w:hAnsi="Times New Roman" w:cs="Times New Roman" w:hint="cs"/>
              <w:b/>
              <w:bCs/>
              <w:color w:val="006B86"/>
              <w:sz w:val="20"/>
              <w:szCs w:val="20"/>
              <w:rtl/>
            </w:rPr>
            <w:t xml:space="preserve"> </w:t>
          </w:r>
          <w:proofErr w:type="spellStart"/>
          <w:r w:rsidRPr="006042B5">
            <w:rPr>
              <w:rFonts w:ascii="Times New Roman" w:hAnsi="Times New Roman" w:cs="Times New Roman"/>
              <w:b/>
              <w:bCs/>
              <w:color w:val="006B86"/>
              <w:sz w:val="20"/>
              <w:szCs w:val="20"/>
            </w:rPr>
            <w:t>Sq</w:t>
          </w:r>
          <w:proofErr w:type="spellEnd"/>
          <w:r w:rsidRPr="006042B5">
            <w:rPr>
              <w:rFonts w:ascii="Times New Roman" w:hAnsi="Times New Roman" w:cs="Times New Roman"/>
              <w:b/>
              <w:bCs/>
              <w:color w:val="006B86"/>
              <w:sz w:val="20"/>
              <w:szCs w:val="20"/>
            </w:rPr>
            <w:t xml:space="preserve">, </w:t>
          </w:r>
          <w:proofErr w:type="spellStart"/>
          <w:r w:rsidRPr="006042B5">
            <w:rPr>
              <w:rFonts w:ascii="Times New Roman" w:hAnsi="Times New Roman" w:cs="Times New Roman"/>
              <w:b/>
              <w:bCs/>
              <w:color w:val="006B86"/>
              <w:sz w:val="20"/>
              <w:szCs w:val="20"/>
            </w:rPr>
            <w:t>H</w:t>
          </w:r>
          <w:r w:rsidR="007E19CB" w:rsidRPr="006042B5">
            <w:rPr>
              <w:rFonts w:ascii="Times New Roman" w:hAnsi="Times New Roman" w:cs="Times New Roman"/>
              <w:b/>
              <w:bCs/>
              <w:color w:val="006B86"/>
              <w:sz w:val="20"/>
              <w:szCs w:val="20"/>
            </w:rPr>
            <w:t>.</w:t>
          </w:r>
          <w:r w:rsidRPr="006042B5">
            <w:rPr>
              <w:rFonts w:ascii="Times New Roman" w:hAnsi="Times New Roman" w:cs="Times New Roman"/>
              <w:b/>
              <w:bCs/>
              <w:color w:val="006B86"/>
              <w:sz w:val="20"/>
              <w:szCs w:val="20"/>
            </w:rPr>
            <w:t>El</w:t>
          </w:r>
          <w:proofErr w:type="spellEnd"/>
          <w:r w:rsidRPr="006042B5">
            <w:rPr>
              <w:rFonts w:ascii="Times New Roman" w:hAnsi="Times New Roman" w:cs="Times New Roman"/>
              <w:b/>
              <w:bCs/>
              <w:color w:val="006B86"/>
              <w:sz w:val="20"/>
              <w:szCs w:val="20"/>
            </w:rPr>
            <w:t xml:space="preserve"> </w:t>
          </w:r>
          <w:proofErr w:type="spellStart"/>
          <w:r w:rsidRPr="006042B5">
            <w:rPr>
              <w:rFonts w:ascii="Times New Roman" w:hAnsi="Times New Roman" w:cs="Times New Roman"/>
              <w:b/>
              <w:bCs/>
              <w:color w:val="006B86"/>
              <w:sz w:val="20"/>
              <w:szCs w:val="20"/>
            </w:rPr>
            <w:t>Maadi</w:t>
          </w:r>
          <w:proofErr w:type="spellEnd"/>
          <w:r w:rsidRPr="006042B5">
            <w:rPr>
              <w:rFonts w:ascii="Times New Roman" w:hAnsi="Times New Roman" w:cs="Times New Roman"/>
              <w:b/>
              <w:bCs/>
              <w:color w:val="006B86"/>
              <w:sz w:val="20"/>
              <w:szCs w:val="20"/>
            </w:rPr>
            <w:t xml:space="preserve">, </w:t>
          </w:r>
          <w:r w:rsidR="007E19CB" w:rsidRPr="006042B5">
            <w:rPr>
              <w:rFonts w:ascii="Times New Roman" w:hAnsi="Times New Roman" w:cs="Times New Roman"/>
              <w:b/>
              <w:bCs/>
              <w:color w:val="006B86"/>
              <w:sz w:val="20"/>
              <w:szCs w:val="20"/>
            </w:rPr>
            <w:t>3</w:t>
          </w:r>
          <w:r w:rsidRPr="006042B5">
            <w:rPr>
              <w:rFonts w:ascii="Times New Roman" w:hAnsi="Times New Roman" w:cs="Times New Roman"/>
              <w:b/>
              <w:bCs/>
              <w:color w:val="006B86"/>
              <w:sz w:val="20"/>
              <w:szCs w:val="20"/>
              <w:vertAlign w:val="superscript"/>
            </w:rPr>
            <w:t>th</w:t>
          </w:r>
          <w:r w:rsidRPr="006042B5">
            <w:rPr>
              <w:rFonts w:ascii="Times New Roman" w:hAnsi="Times New Roman" w:cs="Times New Roman"/>
              <w:b/>
              <w:bCs/>
              <w:color w:val="006B86"/>
              <w:sz w:val="20"/>
              <w:szCs w:val="20"/>
            </w:rPr>
            <w:t xml:space="preserve"> Floor, No 112 , Cairo, Egypt </w:t>
          </w:r>
        </w:p>
      </w:tc>
    </w:tr>
    <w:tr w:rsidR="00D869E9" w:rsidRPr="00B026C1" w14:paraId="69C33E2A" w14:textId="77777777" w:rsidTr="00B026C1">
      <w:trPr>
        <w:trHeight w:val="510"/>
      </w:trPr>
      <w:tc>
        <w:tcPr>
          <w:tcW w:w="1842" w:type="dxa"/>
          <w:tcBorders>
            <w:bottom w:val="nil"/>
            <w:right w:val="single" w:sz="12" w:space="0" w:color="auto"/>
          </w:tcBorders>
          <w:vAlign w:val="center"/>
        </w:tcPr>
        <w:p w14:paraId="5D135A00" w14:textId="77777777" w:rsidR="00D869E9" w:rsidRPr="006042B5" w:rsidRDefault="00D869E9" w:rsidP="00B026C1">
          <w:pPr>
            <w:spacing w:after="0" w:line="240" w:lineRule="auto"/>
            <w:suppressOverlap/>
            <w:rPr>
              <w:rStyle w:val="apple-style-span"/>
              <w:rFonts w:ascii="Times New Roman" w:hAnsi="Times New Roman" w:cs="Times New Roman"/>
              <w:b/>
              <w:bCs/>
              <w:color w:val="E48527"/>
              <w:sz w:val="32"/>
              <w:szCs w:val="32"/>
            </w:rPr>
          </w:pPr>
          <w:r w:rsidRPr="006042B5">
            <w:rPr>
              <w:rStyle w:val="apple-style-span"/>
              <w:rFonts w:ascii="Times New Roman" w:hAnsi="Times New Roman" w:cs="Times New Roman"/>
              <w:b/>
              <w:bCs/>
              <w:color w:val="E48527"/>
              <w:sz w:val="28"/>
              <w:szCs w:val="28"/>
            </w:rPr>
            <w:t>M</w:t>
          </w:r>
          <w:r w:rsidRPr="006042B5">
            <w:rPr>
              <w:rStyle w:val="apple-style-span"/>
              <w:rFonts w:ascii="Times New Roman" w:hAnsi="Times New Roman" w:cs="Times New Roman"/>
              <w:b/>
              <w:bCs/>
              <w:color w:val="E48527"/>
              <w:sz w:val="32"/>
              <w:szCs w:val="32"/>
            </w:rPr>
            <w:t>.</w:t>
          </w:r>
        </w:p>
        <w:p w14:paraId="4A708D56"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18"/>
              <w:szCs w:val="18"/>
              <w:rtl/>
              <w:lang w:bidi="ar-EG"/>
            </w:rPr>
          </w:pPr>
          <w:r w:rsidRPr="006042B5">
            <w:rPr>
              <w:rStyle w:val="apple-style-span"/>
              <w:rFonts w:ascii="Times New Roman" w:hAnsi="Times New Roman" w:cs="Times New Roman"/>
              <w:b/>
              <w:bCs/>
              <w:color w:val="006B86"/>
              <w:sz w:val="18"/>
              <w:szCs w:val="18"/>
            </w:rPr>
            <w:t xml:space="preserve"> </w:t>
          </w:r>
          <w:r w:rsidRPr="006042B5">
            <w:rPr>
              <w:rStyle w:val="apple-style-span"/>
              <w:b/>
              <w:bCs/>
              <w:color w:val="006B86"/>
              <w:sz w:val="18"/>
              <w:szCs w:val="18"/>
            </w:rPr>
            <w:t>+ 20 1018554781</w:t>
          </w:r>
        </w:p>
      </w:tc>
      <w:tc>
        <w:tcPr>
          <w:tcW w:w="1843" w:type="dxa"/>
          <w:tcBorders>
            <w:left w:val="single" w:sz="12" w:space="0" w:color="auto"/>
            <w:bottom w:val="nil"/>
            <w:right w:val="single" w:sz="12" w:space="0" w:color="auto"/>
          </w:tcBorders>
          <w:vAlign w:val="center"/>
        </w:tcPr>
        <w:p w14:paraId="5AEB0631" w14:textId="77777777" w:rsidR="00D869E9" w:rsidRPr="006042B5" w:rsidRDefault="00D869E9" w:rsidP="00B026C1">
          <w:pPr>
            <w:spacing w:after="0" w:line="240" w:lineRule="auto"/>
            <w:suppressOverlap/>
            <w:rPr>
              <w:rStyle w:val="apple-style-span"/>
              <w:rFonts w:ascii="Times New Roman" w:hAnsi="Times New Roman" w:cs="Times New Roman"/>
              <w:b/>
              <w:bCs/>
              <w:color w:val="E48527"/>
              <w:sz w:val="32"/>
              <w:szCs w:val="32"/>
            </w:rPr>
          </w:pPr>
          <w:r w:rsidRPr="006042B5">
            <w:rPr>
              <w:rStyle w:val="apple-style-span"/>
              <w:rFonts w:ascii="Times New Roman" w:hAnsi="Times New Roman" w:cs="Times New Roman"/>
              <w:b/>
              <w:bCs/>
              <w:color w:val="E48527"/>
              <w:sz w:val="28"/>
              <w:szCs w:val="28"/>
            </w:rPr>
            <w:t>T</w:t>
          </w:r>
          <w:r w:rsidRPr="006042B5">
            <w:rPr>
              <w:rStyle w:val="apple-style-span"/>
              <w:rFonts w:ascii="Times New Roman" w:hAnsi="Times New Roman" w:cs="Times New Roman"/>
              <w:b/>
              <w:bCs/>
              <w:color w:val="E48527"/>
              <w:sz w:val="32"/>
              <w:szCs w:val="32"/>
            </w:rPr>
            <w:t>.</w:t>
          </w:r>
          <w:r w:rsidRPr="006042B5">
            <w:rPr>
              <w:rStyle w:val="apple-style-span"/>
              <w:rFonts w:ascii="Times New Roman" w:hAnsi="Times New Roman" w:cs="Times New Roman"/>
              <w:b/>
              <w:bCs/>
              <w:color w:val="E48527"/>
              <w:sz w:val="28"/>
              <w:szCs w:val="28"/>
            </w:rPr>
            <w:t>F</w:t>
          </w:r>
        </w:p>
        <w:p w14:paraId="05595980"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20"/>
              <w:szCs w:val="20"/>
              <w:rtl/>
              <w:lang w:bidi="ar-EG"/>
            </w:rPr>
          </w:pPr>
          <w:r w:rsidRPr="006042B5">
            <w:rPr>
              <w:rStyle w:val="apple-style-span"/>
              <w:b/>
              <w:bCs/>
              <w:color w:val="006B86"/>
              <w:sz w:val="18"/>
              <w:szCs w:val="18"/>
            </w:rPr>
            <w:t>+ (20) (2)253 44 704</w:t>
          </w:r>
        </w:p>
      </w:tc>
      <w:tc>
        <w:tcPr>
          <w:tcW w:w="1843" w:type="dxa"/>
          <w:tcBorders>
            <w:left w:val="single" w:sz="12" w:space="0" w:color="auto"/>
            <w:bottom w:val="nil"/>
            <w:right w:val="single" w:sz="12" w:space="0" w:color="auto"/>
          </w:tcBorders>
          <w:vAlign w:val="center"/>
        </w:tcPr>
        <w:p w14:paraId="4FCB32DB" w14:textId="77777777" w:rsidR="00D869E9" w:rsidRPr="006042B5" w:rsidRDefault="00D869E9" w:rsidP="00B026C1">
          <w:pPr>
            <w:spacing w:after="0" w:line="240" w:lineRule="auto"/>
            <w:suppressOverlap/>
            <w:rPr>
              <w:rStyle w:val="apple-style-span"/>
              <w:rFonts w:ascii="Times New Roman" w:hAnsi="Times New Roman" w:cs="Times New Roman"/>
              <w:b/>
              <w:bCs/>
              <w:color w:val="E48527"/>
              <w:sz w:val="32"/>
              <w:szCs w:val="32"/>
            </w:rPr>
          </w:pPr>
          <w:r w:rsidRPr="006042B5">
            <w:rPr>
              <w:rStyle w:val="apple-style-span"/>
              <w:rFonts w:ascii="Times New Roman" w:hAnsi="Times New Roman" w:cs="Times New Roman"/>
              <w:b/>
              <w:bCs/>
              <w:color w:val="E48527"/>
              <w:sz w:val="28"/>
              <w:szCs w:val="28"/>
            </w:rPr>
            <w:t>T</w:t>
          </w:r>
          <w:r w:rsidRPr="006042B5">
            <w:rPr>
              <w:rStyle w:val="apple-style-span"/>
              <w:rFonts w:ascii="Times New Roman" w:hAnsi="Times New Roman" w:cs="Times New Roman"/>
              <w:b/>
              <w:bCs/>
              <w:color w:val="E48527"/>
              <w:sz w:val="32"/>
              <w:szCs w:val="32"/>
            </w:rPr>
            <w:t>.</w:t>
          </w:r>
        </w:p>
        <w:p w14:paraId="416ACD9B"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20"/>
              <w:szCs w:val="20"/>
              <w:rtl/>
              <w:lang w:bidi="ar-EG"/>
            </w:rPr>
          </w:pPr>
          <w:r w:rsidRPr="006042B5">
            <w:rPr>
              <w:rStyle w:val="apple-style-span"/>
              <w:b/>
              <w:bCs/>
              <w:color w:val="006B86"/>
              <w:sz w:val="18"/>
              <w:szCs w:val="18"/>
            </w:rPr>
            <w:t>+(20) (2)253 44 705</w:t>
          </w:r>
        </w:p>
      </w:tc>
      <w:tc>
        <w:tcPr>
          <w:tcW w:w="1843" w:type="dxa"/>
          <w:tcBorders>
            <w:left w:val="single" w:sz="12" w:space="0" w:color="auto"/>
            <w:bottom w:val="nil"/>
            <w:right w:val="single" w:sz="12" w:space="0" w:color="auto"/>
          </w:tcBorders>
          <w:vAlign w:val="center"/>
        </w:tcPr>
        <w:p w14:paraId="395E892D" w14:textId="77777777" w:rsidR="00D869E9" w:rsidRPr="006042B5" w:rsidRDefault="00D869E9" w:rsidP="00B026C1">
          <w:pPr>
            <w:spacing w:after="0" w:line="240" w:lineRule="auto"/>
            <w:suppressOverlap/>
            <w:rPr>
              <w:rFonts w:ascii="Times New Roman" w:hAnsi="Times New Roman" w:cs="Times New Roman"/>
              <w:b/>
              <w:bCs/>
              <w:color w:val="E48527"/>
              <w:sz w:val="32"/>
              <w:szCs w:val="32"/>
            </w:rPr>
          </w:pPr>
          <w:r w:rsidRPr="006042B5">
            <w:rPr>
              <w:rFonts w:ascii="Times New Roman" w:hAnsi="Times New Roman" w:cs="Times New Roman"/>
              <w:b/>
              <w:bCs/>
              <w:color w:val="E48527"/>
              <w:sz w:val="28"/>
              <w:szCs w:val="28"/>
            </w:rPr>
            <w:t>E</w:t>
          </w:r>
          <w:r w:rsidRPr="006042B5">
            <w:rPr>
              <w:rFonts w:ascii="Times New Roman" w:hAnsi="Times New Roman" w:cs="Times New Roman"/>
              <w:b/>
              <w:bCs/>
              <w:color w:val="E48527"/>
              <w:sz w:val="32"/>
              <w:szCs w:val="32"/>
            </w:rPr>
            <w:t>.</w:t>
          </w:r>
        </w:p>
        <w:p w14:paraId="7AC16354"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20"/>
              <w:szCs w:val="20"/>
              <w:rtl/>
              <w:lang w:bidi="ar-EG"/>
            </w:rPr>
          </w:pPr>
          <w:r w:rsidRPr="006042B5">
            <w:rPr>
              <w:rStyle w:val="apple-style-span"/>
              <w:rFonts w:ascii="Times New Roman" w:hAnsi="Times New Roman" w:cs="Times New Roman"/>
              <w:b/>
              <w:bCs/>
              <w:color w:val="006B86"/>
              <w:sz w:val="20"/>
              <w:szCs w:val="20"/>
            </w:rPr>
            <w:t xml:space="preserve"> </w:t>
          </w:r>
          <w:r w:rsidRPr="006042B5">
            <w:rPr>
              <w:rStyle w:val="apple-style-span"/>
              <w:b/>
              <w:bCs/>
              <w:color w:val="006B86"/>
              <w:sz w:val="18"/>
              <w:szCs w:val="18"/>
            </w:rPr>
            <w:t>info@pfort.org</w:t>
          </w:r>
        </w:p>
      </w:tc>
      <w:tc>
        <w:tcPr>
          <w:tcW w:w="1843" w:type="dxa"/>
          <w:tcBorders>
            <w:left w:val="single" w:sz="12" w:space="0" w:color="auto"/>
            <w:bottom w:val="nil"/>
          </w:tcBorders>
          <w:vAlign w:val="center"/>
        </w:tcPr>
        <w:p w14:paraId="680C8181" w14:textId="77777777" w:rsidR="00D869E9" w:rsidRPr="006042B5" w:rsidRDefault="00D869E9" w:rsidP="00B026C1">
          <w:pPr>
            <w:spacing w:after="0" w:line="240" w:lineRule="auto"/>
            <w:suppressOverlap/>
            <w:rPr>
              <w:rFonts w:ascii="Times New Roman" w:hAnsi="Times New Roman" w:cs="Times New Roman"/>
              <w:b/>
              <w:bCs/>
              <w:color w:val="E48527"/>
              <w:sz w:val="32"/>
              <w:szCs w:val="32"/>
            </w:rPr>
          </w:pPr>
          <w:r w:rsidRPr="006042B5">
            <w:rPr>
              <w:rFonts w:ascii="Times New Roman" w:hAnsi="Times New Roman" w:cs="Times New Roman"/>
              <w:b/>
              <w:bCs/>
              <w:color w:val="E48527"/>
              <w:sz w:val="28"/>
              <w:szCs w:val="28"/>
            </w:rPr>
            <w:t>W</w:t>
          </w:r>
          <w:r w:rsidRPr="006042B5">
            <w:rPr>
              <w:rFonts w:ascii="Times New Roman" w:hAnsi="Times New Roman" w:cs="Times New Roman"/>
              <w:b/>
              <w:bCs/>
              <w:color w:val="E48527"/>
              <w:sz w:val="32"/>
              <w:szCs w:val="32"/>
            </w:rPr>
            <w:t>.</w:t>
          </w:r>
        </w:p>
        <w:p w14:paraId="42D11299"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20"/>
              <w:szCs w:val="20"/>
              <w:rtl/>
              <w:lang w:bidi="ar-EG"/>
            </w:rPr>
          </w:pPr>
          <w:r w:rsidRPr="006042B5">
            <w:rPr>
              <w:rStyle w:val="apple-style-span"/>
              <w:b/>
              <w:bCs/>
              <w:color w:val="006B86"/>
              <w:sz w:val="18"/>
              <w:szCs w:val="18"/>
            </w:rPr>
            <w:t>www.pfort.org</w:t>
          </w:r>
          <w:r w:rsidRPr="006042B5">
            <w:rPr>
              <w:rFonts w:ascii="Times New Roman" w:hAnsi="Times New Roman" w:cs="Times New Roman"/>
              <w:b/>
              <w:bCs/>
              <w:color w:val="006B86"/>
              <w:sz w:val="20"/>
              <w:szCs w:val="20"/>
            </w:rPr>
            <w:t> </w:t>
          </w:r>
        </w:p>
      </w:tc>
    </w:tr>
  </w:tbl>
  <w:p w14:paraId="0234AF26" w14:textId="77777777" w:rsidR="00D869E9" w:rsidRDefault="00D869E9">
    <w:pPr>
      <w:pStyle w:val="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517DC" w14:textId="77777777" w:rsidR="006803D0" w:rsidRDefault="006803D0" w:rsidP="0076180A">
      <w:pPr>
        <w:spacing w:after="0" w:line="240" w:lineRule="auto"/>
      </w:pPr>
      <w:r>
        <w:separator/>
      </w:r>
    </w:p>
  </w:footnote>
  <w:footnote w:type="continuationSeparator" w:id="0">
    <w:p w14:paraId="0CE8FA28" w14:textId="77777777" w:rsidR="006803D0" w:rsidRDefault="006803D0" w:rsidP="0076180A">
      <w:pPr>
        <w:spacing w:after="0" w:line="240" w:lineRule="auto"/>
      </w:pPr>
      <w:r>
        <w:continuationSeparator/>
      </w:r>
    </w:p>
  </w:footnote>
  <w:footnote w:id="1">
    <w:p w14:paraId="79E9CAB1" w14:textId="77777777" w:rsidR="009C20B6" w:rsidRDefault="009C20B6" w:rsidP="009C20B6">
      <w:pPr>
        <w:pStyle w:val="FootnoteText"/>
        <w:bidi/>
      </w:pPr>
      <w:r>
        <w:rPr>
          <w:rStyle w:val="FootnoteReference"/>
        </w:rPr>
        <w:footnoteRef/>
      </w:r>
      <w:r>
        <w:t xml:space="preserve"> </w:t>
      </w:r>
      <w:r w:rsidRPr="00904BE6">
        <w:rPr>
          <w:rFonts w:cs="Arial"/>
          <w:rtl/>
          <w:lang w:bidi="ar-EG"/>
        </w:rPr>
        <w:t>القائد العسكري الذي أحرق مطار طرابلس يعد سكان العاصمة الليبية بتخليصهم من "الفاسدين"</w:t>
      </w:r>
      <w:r>
        <w:rPr>
          <w:rFonts w:cs="Arial" w:hint="cs"/>
          <w:rtl/>
          <w:lang w:bidi="ar-EG"/>
        </w:rPr>
        <w:t xml:space="preserve">، روسيا اليوم، </w:t>
      </w:r>
      <w:r w:rsidRPr="00904BE6">
        <w:rPr>
          <w:rFonts w:cs="Arial"/>
          <w:rtl/>
          <w:lang w:bidi="ar-EG"/>
        </w:rPr>
        <w:t>29.08.2018</w:t>
      </w:r>
      <w:r>
        <w:rPr>
          <w:rFonts w:cs="Arial" w:hint="cs"/>
          <w:rtl/>
          <w:lang w:bidi="ar-EG"/>
        </w:rPr>
        <w:t xml:space="preserve">، على الرابط التالي: </w:t>
      </w:r>
      <w:hyperlink r:id="rId1" w:history="1">
        <w:r w:rsidRPr="00B44E55">
          <w:rPr>
            <w:rStyle w:val="Hyperlink"/>
            <w:rFonts w:cs="Arial"/>
            <w:lang w:bidi="ar-EG"/>
          </w:rPr>
          <w:t>https://bit.ly/2wFipMO</w:t>
        </w:r>
      </w:hyperlink>
    </w:p>
  </w:footnote>
  <w:footnote w:id="2">
    <w:p w14:paraId="1911CEA8" w14:textId="77777777" w:rsidR="009C20B6" w:rsidRDefault="009C20B6" w:rsidP="009C20B6">
      <w:pPr>
        <w:pStyle w:val="FootnoteText"/>
        <w:bidi/>
      </w:pPr>
      <w:r>
        <w:rPr>
          <w:rStyle w:val="FootnoteReference"/>
        </w:rPr>
        <w:footnoteRef/>
      </w:r>
      <w:r>
        <w:t xml:space="preserve"> </w:t>
      </w:r>
      <w:r w:rsidRPr="006D393D">
        <w:rPr>
          <w:rFonts w:cs="Arial"/>
          <w:rtl/>
          <w:lang w:bidi="ar-EG"/>
        </w:rPr>
        <w:t>النيران تلتهم ثلاثة خزانات للنفط بمرفأ السدرة جراء قصف مليشيات "فجر ليبيا"</w:t>
      </w:r>
      <w:r>
        <w:rPr>
          <w:rFonts w:cs="Arial" w:hint="cs"/>
          <w:rtl/>
          <w:lang w:bidi="ar-EG"/>
        </w:rPr>
        <w:t>، فرنسا 24، 26</w:t>
      </w:r>
      <w:r w:rsidRPr="006D393D">
        <w:rPr>
          <w:rFonts w:cs="Arial"/>
          <w:rtl/>
          <w:lang w:bidi="ar-EG"/>
        </w:rPr>
        <w:t>/12/2014</w:t>
      </w:r>
      <w:r>
        <w:rPr>
          <w:rFonts w:cs="Arial" w:hint="cs"/>
          <w:rtl/>
          <w:lang w:bidi="ar-EG"/>
        </w:rPr>
        <w:t xml:space="preserve">، على الرابط التالي: </w:t>
      </w:r>
      <w:hyperlink r:id="rId2" w:history="1">
        <w:r w:rsidRPr="00B44E55">
          <w:rPr>
            <w:rStyle w:val="Hyperlink"/>
            <w:rFonts w:cs="Arial"/>
            <w:lang w:bidi="ar-EG"/>
          </w:rPr>
          <w:t>https://bit.ly/2QLHjkL</w:t>
        </w:r>
      </w:hyperlink>
    </w:p>
  </w:footnote>
  <w:footnote w:id="3">
    <w:p w14:paraId="5B31BB4D" w14:textId="77777777" w:rsidR="009C20B6" w:rsidRDefault="009C20B6" w:rsidP="009C20B6">
      <w:pPr>
        <w:pStyle w:val="FootnoteText"/>
        <w:bidi/>
      </w:pPr>
      <w:r>
        <w:rPr>
          <w:rStyle w:val="FootnoteReference"/>
        </w:rPr>
        <w:footnoteRef/>
      </w:r>
      <w:r>
        <w:t xml:space="preserve"> </w:t>
      </w:r>
      <w:r>
        <w:rPr>
          <w:rFonts w:hint="cs"/>
          <w:rtl/>
          <w:lang w:bidi="ar-EG"/>
        </w:rPr>
        <w:t>بيان صحفي "</w:t>
      </w:r>
      <w:r w:rsidRPr="00F863C6">
        <w:rPr>
          <w:rtl/>
        </w:rPr>
        <w:t xml:space="preserve"> </w:t>
      </w:r>
      <w:r w:rsidRPr="00F863C6">
        <w:rPr>
          <w:rFonts w:cs="Arial"/>
          <w:rtl/>
          <w:lang w:bidi="ar-EG"/>
        </w:rPr>
        <w:t>المملكة المتحدة والولايات المتحدة وفرنسا تؤمّن فرض عقوبات ضد صلاح بادي</w:t>
      </w:r>
      <w:r>
        <w:rPr>
          <w:rFonts w:cs="Arial" w:hint="cs"/>
          <w:rtl/>
          <w:lang w:bidi="ar-EG"/>
        </w:rPr>
        <w:t xml:space="preserve">"، موقع الخارجية البريطانية، 16 نوفمبر 2018، على الرابط التالي: </w:t>
      </w:r>
      <w:hyperlink r:id="rId3" w:history="1">
        <w:r w:rsidRPr="00B44E55">
          <w:rPr>
            <w:rStyle w:val="Hyperlink"/>
            <w:rFonts w:cs="Arial"/>
            <w:lang w:bidi="ar-EG"/>
          </w:rPr>
          <w:t>https://bit.ly/2wBE0pz</w:t>
        </w:r>
      </w:hyperlink>
    </w:p>
  </w:footnote>
  <w:footnote w:id="4">
    <w:p w14:paraId="1DEB62A0" w14:textId="77777777" w:rsidR="009C20B6" w:rsidRDefault="009C20B6" w:rsidP="009C20B6">
      <w:pPr>
        <w:pStyle w:val="FootnoteText"/>
        <w:bidi/>
      </w:pPr>
      <w:r>
        <w:rPr>
          <w:rStyle w:val="FootnoteReference"/>
        </w:rPr>
        <w:footnoteRef/>
      </w:r>
      <w:r>
        <w:t xml:space="preserve"> </w:t>
      </w:r>
      <w:r>
        <w:rPr>
          <w:rFonts w:hint="cs"/>
          <w:rtl/>
          <w:lang w:bidi="ar-EG"/>
        </w:rPr>
        <w:t>منية غانمي، "</w:t>
      </w:r>
      <w:r w:rsidRPr="00083629">
        <w:rPr>
          <w:rtl/>
        </w:rPr>
        <w:t xml:space="preserve"> </w:t>
      </w:r>
      <w:r w:rsidRPr="00083629">
        <w:rPr>
          <w:rFonts w:cs="Arial"/>
          <w:rtl/>
          <w:lang w:bidi="ar-EG"/>
        </w:rPr>
        <w:t xml:space="preserve">ميليشيا الإخوان تنقلب على هدنة </w:t>
      </w:r>
      <w:r w:rsidRPr="00083629">
        <w:rPr>
          <w:rFonts w:cs="Arial" w:hint="cs"/>
          <w:rtl/>
          <w:lang w:bidi="ar-EG"/>
        </w:rPr>
        <w:t>طرابلس. حشد</w:t>
      </w:r>
      <w:r w:rsidRPr="00083629">
        <w:rPr>
          <w:rFonts w:cs="Arial"/>
          <w:rtl/>
          <w:lang w:bidi="ar-EG"/>
        </w:rPr>
        <w:t xml:space="preserve"> لمعركة مقبلة</w:t>
      </w:r>
      <w:r>
        <w:rPr>
          <w:rFonts w:cs="Arial" w:hint="cs"/>
          <w:rtl/>
          <w:lang w:bidi="ar-EG"/>
        </w:rPr>
        <w:t xml:space="preserve">"، العربية نت، 4 فبراير 2020، على الرابط التالي: </w:t>
      </w:r>
      <w:hyperlink r:id="rId4" w:history="1">
        <w:r w:rsidRPr="00B44E55">
          <w:rPr>
            <w:rStyle w:val="Hyperlink"/>
            <w:rFonts w:cs="Arial"/>
            <w:lang w:bidi="ar-EG"/>
          </w:rPr>
          <w:t>https://bit.ly/2QMPLAe</w:t>
        </w:r>
      </w:hyperlink>
    </w:p>
  </w:footnote>
  <w:footnote w:id="5">
    <w:p w14:paraId="6A334BF2" w14:textId="77777777" w:rsidR="009C20B6" w:rsidRDefault="009C20B6" w:rsidP="009C20B6">
      <w:pPr>
        <w:pStyle w:val="FootnoteText"/>
        <w:bidi/>
      </w:pPr>
      <w:r>
        <w:rPr>
          <w:rStyle w:val="FootnoteReference"/>
        </w:rPr>
        <w:footnoteRef/>
      </w:r>
      <w:r>
        <w:t xml:space="preserve"> </w:t>
      </w:r>
      <w:r w:rsidRPr="005B5547">
        <w:rPr>
          <w:rFonts w:hint="eastAsia"/>
          <w:rtl/>
        </w:rPr>
        <w:t>المركز</w:t>
      </w:r>
      <w:r w:rsidRPr="005B5547">
        <w:rPr>
          <w:rtl/>
        </w:rPr>
        <w:t xml:space="preserve"> </w:t>
      </w:r>
      <w:r w:rsidRPr="005B5547">
        <w:rPr>
          <w:rFonts w:hint="eastAsia"/>
          <w:rtl/>
        </w:rPr>
        <w:t>الفرنسي</w:t>
      </w:r>
      <w:r w:rsidRPr="005B5547">
        <w:rPr>
          <w:rtl/>
        </w:rPr>
        <w:t xml:space="preserve"> </w:t>
      </w:r>
      <w:r w:rsidRPr="005B5547">
        <w:rPr>
          <w:rFonts w:hint="eastAsia"/>
          <w:rtl/>
        </w:rPr>
        <w:t>لمكافحة</w:t>
      </w:r>
      <w:r w:rsidRPr="005B5547">
        <w:rPr>
          <w:rtl/>
        </w:rPr>
        <w:t xml:space="preserve"> </w:t>
      </w:r>
      <w:r w:rsidRPr="005B5547">
        <w:rPr>
          <w:rFonts w:hint="eastAsia"/>
          <w:rtl/>
        </w:rPr>
        <w:t>الإرهاب</w:t>
      </w:r>
      <w:r w:rsidRPr="005B5547">
        <w:rPr>
          <w:rtl/>
        </w:rPr>
        <w:t xml:space="preserve"> | </w:t>
      </w:r>
      <w:r w:rsidRPr="005B5547">
        <w:rPr>
          <w:rFonts w:hint="eastAsia"/>
          <w:rtl/>
        </w:rPr>
        <w:t>دخول</w:t>
      </w:r>
      <w:r w:rsidRPr="005B5547">
        <w:rPr>
          <w:rtl/>
        </w:rPr>
        <w:t xml:space="preserve"> </w:t>
      </w:r>
      <w:r w:rsidRPr="005B5547">
        <w:rPr>
          <w:rFonts w:hint="eastAsia"/>
          <w:rtl/>
        </w:rPr>
        <w:t>تركيا</w:t>
      </w:r>
      <w:r w:rsidRPr="005B5547">
        <w:rPr>
          <w:rtl/>
        </w:rPr>
        <w:t xml:space="preserve"> </w:t>
      </w:r>
      <w:r w:rsidRPr="005B5547">
        <w:rPr>
          <w:rFonts w:hint="eastAsia"/>
          <w:rtl/>
        </w:rPr>
        <w:t>على</w:t>
      </w:r>
      <w:r w:rsidRPr="005B5547">
        <w:rPr>
          <w:rtl/>
        </w:rPr>
        <w:t xml:space="preserve"> </w:t>
      </w:r>
      <w:r w:rsidRPr="005B5547">
        <w:rPr>
          <w:rFonts w:hint="eastAsia"/>
          <w:rtl/>
        </w:rPr>
        <w:t>خط</w:t>
      </w:r>
      <w:r w:rsidRPr="005B5547">
        <w:rPr>
          <w:rtl/>
        </w:rPr>
        <w:t xml:space="preserve"> </w:t>
      </w:r>
      <w:r w:rsidRPr="005B5547">
        <w:rPr>
          <w:rFonts w:hint="eastAsia"/>
          <w:rtl/>
        </w:rPr>
        <w:t>الأزمة</w:t>
      </w:r>
      <w:r w:rsidRPr="005B5547">
        <w:rPr>
          <w:rtl/>
        </w:rPr>
        <w:t xml:space="preserve"> </w:t>
      </w:r>
      <w:r w:rsidRPr="005B5547">
        <w:rPr>
          <w:rFonts w:hint="eastAsia"/>
          <w:rtl/>
        </w:rPr>
        <w:t>الليبية</w:t>
      </w:r>
      <w:r w:rsidRPr="005B5547">
        <w:rPr>
          <w:rtl/>
        </w:rPr>
        <w:t xml:space="preserve">: </w:t>
      </w:r>
      <w:r w:rsidRPr="005B5547">
        <w:rPr>
          <w:rFonts w:hint="eastAsia"/>
          <w:rtl/>
        </w:rPr>
        <w:t>الدوافع</w:t>
      </w:r>
      <w:r w:rsidRPr="005B5547">
        <w:rPr>
          <w:rtl/>
        </w:rPr>
        <w:t xml:space="preserve"> </w:t>
      </w:r>
      <w:r w:rsidRPr="005B5547">
        <w:rPr>
          <w:rFonts w:hint="eastAsia"/>
          <w:rtl/>
        </w:rPr>
        <w:t>والأهداف</w:t>
      </w:r>
      <w:r>
        <w:rPr>
          <w:rFonts w:hint="cs"/>
          <w:rtl/>
        </w:rPr>
        <w:t xml:space="preserve"> ، مركز رؤية ، أغسطس 2019 ، </w:t>
      </w:r>
      <w:hyperlink r:id="rId5" w:history="1">
        <w:r w:rsidRPr="00864F6C">
          <w:rPr>
            <w:rStyle w:val="Hyperlink"/>
          </w:rPr>
          <w:t>http://bit.ly/37MsNyY</w:t>
        </w:r>
      </w:hyperlink>
    </w:p>
  </w:footnote>
  <w:footnote w:id="6">
    <w:p w14:paraId="4CF5691E" w14:textId="77777777" w:rsidR="009C20B6" w:rsidRDefault="009C20B6" w:rsidP="009C20B6">
      <w:pPr>
        <w:pStyle w:val="FootnoteText"/>
        <w:bidi/>
      </w:pPr>
      <w:r>
        <w:rPr>
          <w:rStyle w:val="FootnoteReference"/>
        </w:rPr>
        <w:footnoteRef/>
      </w:r>
      <w:r>
        <w:t xml:space="preserve"> </w:t>
      </w:r>
      <w:r w:rsidRPr="003B123B">
        <w:rPr>
          <w:rFonts w:hint="eastAsia"/>
          <w:rtl/>
        </w:rPr>
        <w:t>بالأسماء</w:t>
      </w:r>
      <w:r w:rsidRPr="003B123B">
        <w:rPr>
          <w:rtl/>
        </w:rPr>
        <w:t xml:space="preserve"> </w:t>
      </w:r>
      <w:r w:rsidRPr="003B123B">
        <w:rPr>
          <w:rFonts w:hint="eastAsia"/>
          <w:rtl/>
        </w:rPr>
        <w:t>والتواريخ</w:t>
      </w:r>
      <w:r w:rsidRPr="003B123B">
        <w:rPr>
          <w:rtl/>
        </w:rPr>
        <w:t xml:space="preserve">.. </w:t>
      </w:r>
      <w:r w:rsidRPr="003B123B">
        <w:rPr>
          <w:rFonts w:hint="eastAsia"/>
          <w:rtl/>
        </w:rPr>
        <w:t>كيف</w:t>
      </w:r>
      <w:r w:rsidRPr="003B123B">
        <w:rPr>
          <w:rtl/>
        </w:rPr>
        <w:t xml:space="preserve"> </w:t>
      </w:r>
      <w:r w:rsidRPr="003B123B">
        <w:rPr>
          <w:rFonts w:hint="eastAsia"/>
          <w:rtl/>
        </w:rPr>
        <w:t>تدخلت</w:t>
      </w:r>
      <w:r w:rsidRPr="003B123B">
        <w:rPr>
          <w:rtl/>
        </w:rPr>
        <w:t xml:space="preserve"> </w:t>
      </w:r>
      <w:r w:rsidRPr="003B123B">
        <w:rPr>
          <w:rFonts w:hint="eastAsia"/>
          <w:rtl/>
        </w:rPr>
        <w:t>تركيا</w:t>
      </w:r>
      <w:r w:rsidRPr="003B123B">
        <w:rPr>
          <w:rtl/>
        </w:rPr>
        <w:t xml:space="preserve"> </w:t>
      </w:r>
      <w:r w:rsidRPr="003B123B">
        <w:rPr>
          <w:rFonts w:hint="eastAsia"/>
          <w:rtl/>
        </w:rPr>
        <w:t>بالسلاح</w:t>
      </w:r>
      <w:r w:rsidRPr="003B123B">
        <w:rPr>
          <w:rtl/>
        </w:rPr>
        <w:t xml:space="preserve"> </w:t>
      </w:r>
      <w:r w:rsidRPr="003B123B">
        <w:rPr>
          <w:rFonts w:hint="eastAsia"/>
          <w:rtl/>
        </w:rPr>
        <w:t>في</w:t>
      </w:r>
      <w:r w:rsidRPr="003B123B">
        <w:rPr>
          <w:rtl/>
        </w:rPr>
        <w:t xml:space="preserve"> </w:t>
      </w:r>
      <w:r w:rsidRPr="003B123B">
        <w:rPr>
          <w:rFonts w:hint="eastAsia"/>
          <w:rtl/>
        </w:rPr>
        <w:t>معارك</w:t>
      </w:r>
      <w:r w:rsidRPr="003B123B">
        <w:rPr>
          <w:rtl/>
        </w:rPr>
        <w:t xml:space="preserve"> </w:t>
      </w:r>
      <w:r w:rsidRPr="003B123B">
        <w:rPr>
          <w:rFonts w:hint="eastAsia"/>
          <w:rtl/>
        </w:rPr>
        <w:t>ليبيا؟</w:t>
      </w:r>
      <w:r>
        <w:rPr>
          <w:rFonts w:hint="cs"/>
          <w:rtl/>
        </w:rPr>
        <w:t xml:space="preserve"> ، أسكاي نيوز ، 20 مايو 2019 ، </w:t>
      </w:r>
      <w:hyperlink r:id="rId6" w:history="1">
        <w:r w:rsidRPr="00864F6C">
          <w:rPr>
            <w:rStyle w:val="Hyperlink"/>
          </w:rPr>
          <w:t>http://bit.ly/2QRkL2M</w:t>
        </w:r>
      </w:hyperlink>
    </w:p>
  </w:footnote>
  <w:footnote w:id="7">
    <w:p w14:paraId="7DCE7471" w14:textId="77777777" w:rsidR="009C20B6" w:rsidRDefault="009C20B6" w:rsidP="009C20B6">
      <w:pPr>
        <w:pStyle w:val="FootnoteText"/>
        <w:bidi/>
      </w:pPr>
      <w:r>
        <w:rPr>
          <w:rStyle w:val="FootnoteReference"/>
        </w:rPr>
        <w:footnoteRef/>
      </w:r>
      <w:r>
        <w:t xml:space="preserve"> </w:t>
      </w:r>
      <w:r w:rsidRPr="00AD7B3F">
        <w:rPr>
          <w:rFonts w:hint="eastAsia"/>
          <w:rtl/>
        </w:rPr>
        <w:t>الدور</w:t>
      </w:r>
      <w:r w:rsidRPr="00AD7B3F">
        <w:rPr>
          <w:rtl/>
        </w:rPr>
        <w:t xml:space="preserve"> </w:t>
      </w:r>
      <w:r w:rsidRPr="00AD7B3F">
        <w:rPr>
          <w:rFonts w:hint="eastAsia"/>
          <w:rtl/>
        </w:rPr>
        <w:t>التركي</w:t>
      </w:r>
      <w:r w:rsidRPr="00AD7B3F">
        <w:rPr>
          <w:rtl/>
        </w:rPr>
        <w:t xml:space="preserve"> </w:t>
      </w:r>
      <w:r w:rsidRPr="00AD7B3F">
        <w:rPr>
          <w:rFonts w:hint="eastAsia"/>
          <w:rtl/>
        </w:rPr>
        <w:t>في</w:t>
      </w:r>
      <w:r w:rsidRPr="00AD7B3F">
        <w:rPr>
          <w:rtl/>
        </w:rPr>
        <w:t xml:space="preserve"> </w:t>
      </w:r>
      <w:r w:rsidRPr="00AD7B3F">
        <w:rPr>
          <w:rFonts w:hint="eastAsia"/>
          <w:rtl/>
        </w:rPr>
        <w:t>ليبيا</w:t>
      </w:r>
      <w:r w:rsidRPr="00AD7B3F">
        <w:rPr>
          <w:rtl/>
        </w:rPr>
        <w:t xml:space="preserve">.. </w:t>
      </w:r>
      <w:r w:rsidRPr="00AD7B3F">
        <w:rPr>
          <w:rFonts w:hint="eastAsia"/>
          <w:rtl/>
        </w:rPr>
        <w:t>ما</w:t>
      </w:r>
      <w:r w:rsidRPr="00AD7B3F">
        <w:rPr>
          <w:rtl/>
        </w:rPr>
        <w:t xml:space="preserve"> </w:t>
      </w:r>
      <w:r w:rsidRPr="00AD7B3F">
        <w:rPr>
          <w:rFonts w:hint="eastAsia"/>
          <w:rtl/>
        </w:rPr>
        <w:t>وراء</w:t>
      </w:r>
      <w:r w:rsidRPr="00AD7B3F">
        <w:rPr>
          <w:rtl/>
        </w:rPr>
        <w:t xml:space="preserve"> </w:t>
      </w:r>
      <w:r w:rsidRPr="00AD7B3F">
        <w:rPr>
          <w:rFonts w:hint="eastAsia"/>
          <w:rtl/>
        </w:rPr>
        <w:t>تهريب</w:t>
      </w:r>
      <w:r w:rsidRPr="00AD7B3F">
        <w:rPr>
          <w:rtl/>
        </w:rPr>
        <w:t xml:space="preserve"> </w:t>
      </w:r>
      <w:r w:rsidRPr="00AD7B3F">
        <w:rPr>
          <w:rFonts w:hint="eastAsia"/>
          <w:rtl/>
        </w:rPr>
        <w:t>شحنات</w:t>
      </w:r>
      <w:r w:rsidRPr="00AD7B3F">
        <w:rPr>
          <w:rtl/>
        </w:rPr>
        <w:t xml:space="preserve"> </w:t>
      </w:r>
      <w:r w:rsidRPr="00AD7B3F">
        <w:rPr>
          <w:rFonts w:hint="eastAsia"/>
          <w:rtl/>
        </w:rPr>
        <w:t>الأسلحة</w:t>
      </w:r>
      <w:r w:rsidRPr="00AD7B3F">
        <w:rPr>
          <w:rtl/>
        </w:rPr>
        <w:t xml:space="preserve"> </w:t>
      </w:r>
      <w:r w:rsidRPr="00AD7B3F">
        <w:rPr>
          <w:rFonts w:hint="eastAsia"/>
          <w:rtl/>
        </w:rPr>
        <w:t>للميليشيات</w:t>
      </w:r>
      <w:r>
        <w:rPr>
          <w:rFonts w:hint="cs"/>
          <w:rtl/>
        </w:rPr>
        <w:t xml:space="preserve">، </w:t>
      </w:r>
      <w:hyperlink r:id="rId7" w:history="1">
        <w:r w:rsidRPr="005F2EA3">
          <w:rPr>
            <w:rStyle w:val="Hyperlink"/>
          </w:rPr>
          <w:t>http://bit.ly/2QPj3ig</w:t>
        </w:r>
      </w:hyperlink>
    </w:p>
  </w:footnote>
  <w:footnote w:id="8">
    <w:p w14:paraId="74561D5E" w14:textId="77777777" w:rsidR="009C20B6" w:rsidRDefault="009C20B6" w:rsidP="009C20B6">
      <w:pPr>
        <w:pStyle w:val="FootnoteText"/>
        <w:bidi/>
      </w:pPr>
      <w:r>
        <w:rPr>
          <w:rStyle w:val="FootnoteReference"/>
        </w:rPr>
        <w:footnoteRef/>
      </w:r>
      <w:r>
        <w:t xml:space="preserve"> </w:t>
      </w:r>
      <w:r w:rsidRPr="00B336C7">
        <w:rPr>
          <w:rFonts w:hint="eastAsia"/>
          <w:rtl/>
        </w:rPr>
        <w:t>تركيا</w:t>
      </w:r>
      <w:r w:rsidRPr="00B336C7">
        <w:rPr>
          <w:rtl/>
        </w:rPr>
        <w:t xml:space="preserve"> </w:t>
      </w:r>
      <w:r w:rsidRPr="00B336C7">
        <w:rPr>
          <w:rFonts w:hint="eastAsia"/>
          <w:rtl/>
        </w:rPr>
        <w:t>تخرق</w:t>
      </w:r>
      <w:r w:rsidRPr="00B336C7">
        <w:rPr>
          <w:rtl/>
        </w:rPr>
        <w:t xml:space="preserve"> </w:t>
      </w:r>
      <w:r w:rsidRPr="00B336C7">
        <w:rPr>
          <w:rFonts w:hint="eastAsia"/>
          <w:rtl/>
        </w:rPr>
        <w:t>حظر</w:t>
      </w:r>
      <w:r w:rsidRPr="00B336C7">
        <w:rPr>
          <w:rtl/>
        </w:rPr>
        <w:t xml:space="preserve"> </w:t>
      </w:r>
      <w:r w:rsidRPr="00B336C7">
        <w:rPr>
          <w:rFonts w:hint="eastAsia"/>
          <w:rtl/>
        </w:rPr>
        <w:t>السلاح</w:t>
      </w:r>
      <w:r w:rsidRPr="00B336C7">
        <w:rPr>
          <w:rtl/>
        </w:rPr>
        <w:t xml:space="preserve"> </w:t>
      </w:r>
      <w:r w:rsidRPr="00B336C7">
        <w:rPr>
          <w:rFonts w:hint="eastAsia"/>
          <w:rtl/>
        </w:rPr>
        <w:t>على</w:t>
      </w:r>
      <w:r w:rsidRPr="00B336C7">
        <w:rPr>
          <w:rtl/>
        </w:rPr>
        <w:t xml:space="preserve"> </w:t>
      </w:r>
      <w:r w:rsidRPr="00B336C7">
        <w:rPr>
          <w:rFonts w:hint="eastAsia"/>
          <w:rtl/>
        </w:rPr>
        <w:t>ليبيا</w:t>
      </w:r>
      <w:r w:rsidRPr="00B336C7">
        <w:rPr>
          <w:rtl/>
        </w:rPr>
        <w:t>..</w:t>
      </w:r>
      <w:r w:rsidRPr="00AD7B3F">
        <w:rPr>
          <w:b/>
          <w:bCs/>
          <w:rtl/>
        </w:rPr>
        <w:t xml:space="preserve"> </w:t>
      </w:r>
      <w:r w:rsidRPr="00AD7B3F">
        <w:rPr>
          <w:rFonts w:hint="eastAsia"/>
          <w:rtl/>
        </w:rPr>
        <w:t>تهريب</w:t>
      </w:r>
      <w:r w:rsidRPr="00AD7B3F">
        <w:rPr>
          <w:rtl/>
        </w:rPr>
        <w:t xml:space="preserve"> </w:t>
      </w:r>
      <w:r w:rsidRPr="00AD7B3F">
        <w:rPr>
          <w:rFonts w:hint="eastAsia"/>
          <w:rtl/>
        </w:rPr>
        <w:t>مدرعات</w:t>
      </w:r>
      <w:r>
        <w:rPr>
          <w:rFonts w:hint="cs"/>
          <w:rtl/>
        </w:rPr>
        <w:t xml:space="preserve"> ، العربية نت ، </w:t>
      </w:r>
      <w:hyperlink r:id="rId8" w:history="1">
        <w:r w:rsidRPr="005F2EA3">
          <w:rPr>
            <w:rStyle w:val="Hyperlink"/>
          </w:rPr>
          <w:t>http://bit.ly/3a5ly7I</w:t>
        </w:r>
      </w:hyperlink>
    </w:p>
  </w:footnote>
  <w:footnote w:id="9">
    <w:p w14:paraId="26B184FA" w14:textId="77777777" w:rsidR="009C20B6" w:rsidRDefault="009C20B6" w:rsidP="009C20B6">
      <w:pPr>
        <w:pStyle w:val="FootnoteText"/>
        <w:bidi/>
        <w:rPr>
          <w:lang w:bidi="ar-EG"/>
        </w:rPr>
      </w:pPr>
      <w:r>
        <w:rPr>
          <w:rStyle w:val="FootnoteReference"/>
        </w:rPr>
        <w:footnoteRef/>
      </w:r>
      <w:r>
        <w:t xml:space="preserve"> </w:t>
      </w:r>
      <w:r w:rsidRPr="00473962">
        <w:rPr>
          <w:rFonts w:hint="eastAsia"/>
          <w:rtl/>
        </w:rPr>
        <w:t>بالأسماء</w:t>
      </w:r>
      <w:r w:rsidRPr="00473962">
        <w:rPr>
          <w:rtl/>
        </w:rPr>
        <w:t xml:space="preserve"> </w:t>
      </w:r>
      <w:r w:rsidRPr="00473962">
        <w:rPr>
          <w:rFonts w:hint="eastAsia"/>
          <w:rtl/>
        </w:rPr>
        <w:t>والتواريخ</w:t>
      </w:r>
      <w:r w:rsidRPr="00473962">
        <w:rPr>
          <w:rtl/>
        </w:rPr>
        <w:t xml:space="preserve">.. </w:t>
      </w:r>
      <w:r w:rsidRPr="00473962">
        <w:rPr>
          <w:rFonts w:hint="eastAsia"/>
          <w:rtl/>
        </w:rPr>
        <w:t>كيف</w:t>
      </w:r>
      <w:r w:rsidRPr="00473962">
        <w:rPr>
          <w:rtl/>
        </w:rPr>
        <w:t xml:space="preserve"> </w:t>
      </w:r>
      <w:r w:rsidRPr="00473962">
        <w:rPr>
          <w:rFonts w:hint="eastAsia"/>
          <w:rtl/>
        </w:rPr>
        <w:t>تدخلت</w:t>
      </w:r>
      <w:r w:rsidRPr="00473962">
        <w:rPr>
          <w:rtl/>
        </w:rPr>
        <w:t xml:space="preserve"> </w:t>
      </w:r>
      <w:r w:rsidRPr="00473962">
        <w:rPr>
          <w:rFonts w:hint="eastAsia"/>
          <w:rtl/>
        </w:rPr>
        <w:t>تركيا</w:t>
      </w:r>
      <w:r w:rsidRPr="00473962">
        <w:rPr>
          <w:rtl/>
        </w:rPr>
        <w:t xml:space="preserve"> </w:t>
      </w:r>
      <w:r w:rsidRPr="00473962">
        <w:rPr>
          <w:rFonts w:hint="eastAsia"/>
          <w:rtl/>
        </w:rPr>
        <w:t>بالسلاح</w:t>
      </w:r>
      <w:r w:rsidRPr="00473962">
        <w:rPr>
          <w:rtl/>
        </w:rPr>
        <w:t xml:space="preserve"> </w:t>
      </w:r>
      <w:r w:rsidRPr="00473962">
        <w:rPr>
          <w:rFonts w:hint="eastAsia"/>
          <w:rtl/>
        </w:rPr>
        <w:t>في</w:t>
      </w:r>
      <w:r w:rsidRPr="00473962">
        <w:rPr>
          <w:rtl/>
        </w:rPr>
        <w:t xml:space="preserve"> </w:t>
      </w:r>
      <w:r w:rsidRPr="00473962">
        <w:rPr>
          <w:rFonts w:hint="eastAsia"/>
          <w:rtl/>
        </w:rPr>
        <w:t>معارك</w:t>
      </w:r>
      <w:r w:rsidRPr="00473962">
        <w:rPr>
          <w:rtl/>
        </w:rPr>
        <w:t xml:space="preserve"> </w:t>
      </w:r>
      <w:r w:rsidRPr="00473962">
        <w:rPr>
          <w:rFonts w:hint="eastAsia"/>
          <w:rtl/>
        </w:rPr>
        <w:t>ليبيا؟</w:t>
      </w:r>
      <w:r>
        <w:rPr>
          <w:rFonts w:hint="cs"/>
          <w:rtl/>
        </w:rPr>
        <w:t xml:space="preserve"> ، اسكاي نيوز ، </w:t>
      </w:r>
      <w:hyperlink r:id="rId9" w:history="1">
        <w:r w:rsidRPr="005F2EA3">
          <w:rPr>
            <w:rStyle w:val="Hyperlink"/>
          </w:rPr>
          <w:t>http://bit.ly/2QRkL2M</w:t>
        </w:r>
      </w:hyperlink>
      <w:r>
        <w:rPr>
          <w:rFonts w:hint="cs"/>
          <w:rtl/>
        </w:rPr>
        <w:t xml:space="preserve"> </w:t>
      </w:r>
    </w:p>
  </w:footnote>
  <w:footnote w:id="10">
    <w:p w14:paraId="03473EF8" w14:textId="77777777" w:rsidR="009C20B6" w:rsidRDefault="009C20B6" w:rsidP="009C20B6">
      <w:pPr>
        <w:pStyle w:val="FootnoteText"/>
        <w:bidi/>
      </w:pPr>
      <w:r>
        <w:rPr>
          <w:rStyle w:val="FootnoteReference"/>
        </w:rPr>
        <w:footnoteRef/>
      </w:r>
      <w:r>
        <w:t xml:space="preserve"> </w:t>
      </w:r>
      <w:r>
        <w:rPr>
          <w:rFonts w:hint="cs"/>
          <w:rtl/>
        </w:rPr>
        <w:t>دوفع تركيا في الصراع ، مرجع سابق ذكره</w:t>
      </w:r>
    </w:p>
  </w:footnote>
  <w:footnote w:id="11">
    <w:p w14:paraId="5F4762E5" w14:textId="77777777" w:rsidR="009C20B6" w:rsidRDefault="009C20B6" w:rsidP="009C20B6">
      <w:pPr>
        <w:pStyle w:val="FootnoteText"/>
        <w:bidi/>
      </w:pPr>
      <w:r>
        <w:rPr>
          <w:rStyle w:val="FootnoteReference"/>
        </w:rPr>
        <w:footnoteRef/>
      </w:r>
      <w:r>
        <w:t xml:space="preserve"> </w:t>
      </w:r>
      <w:r w:rsidRPr="00D93745">
        <w:rPr>
          <w:rFonts w:hint="eastAsia"/>
          <w:rtl/>
        </w:rPr>
        <w:t>مفاجأة</w:t>
      </w:r>
      <w:r w:rsidRPr="00D93745">
        <w:rPr>
          <w:rtl/>
        </w:rPr>
        <w:t xml:space="preserve"> </w:t>
      </w:r>
      <w:r w:rsidRPr="00D93745">
        <w:rPr>
          <w:rFonts w:hint="eastAsia"/>
          <w:rtl/>
        </w:rPr>
        <w:t>تركية</w:t>
      </w:r>
      <w:r w:rsidRPr="00D93745">
        <w:rPr>
          <w:rtl/>
        </w:rPr>
        <w:t xml:space="preserve"> </w:t>
      </w:r>
      <w:r w:rsidRPr="00D93745">
        <w:rPr>
          <w:rFonts w:hint="eastAsia"/>
          <w:rtl/>
        </w:rPr>
        <w:t>من</w:t>
      </w:r>
      <w:r w:rsidRPr="00D93745">
        <w:rPr>
          <w:rtl/>
        </w:rPr>
        <w:t xml:space="preserve"> </w:t>
      </w:r>
      <w:r w:rsidRPr="00D93745">
        <w:rPr>
          <w:rFonts w:hint="eastAsia"/>
          <w:rtl/>
        </w:rPr>
        <w:t>العيار</w:t>
      </w:r>
      <w:r w:rsidRPr="00D93745">
        <w:rPr>
          <w:rtl/>
        </w:rPr>
        <w:t xml:space="preserve"> </w:t>
      </w:r>
      <w:r w:rsidRPr="00D93745">
        <w:rPr>
          <w:rFonts w:hint="eastAsia"/>
          <w:rtl/>
        </w:rPr>
        <w:t>الثقيل</w:t>
      </w:r>
      <w:r>
        <w:rPr>
          <w:rFonts w:hint="cs"/>
          <w:rtl/>
        </w:rPr>
        <w:t xml:space="preserve"> أ</w:t>
      </w:r>
      <w:r w:rsidRPr="00D93745">
        <w:rPr>
          <w:rFonts w:hint="eastAsia"/>
          <w:rtl/>
        </w:rPr>
        <w:t>كبر</w:t>
      </w:r>
      <w:r w:rsidRPr="00D93745">
        <w:rPr>
          <w:rtl/>
        </w:rPr>
        <w:t xml:space="preserve"> </w:t>
      </w:r>
      <w:r w:rsidRPr="00D93745">
        <w:rPr>
          <w:rFonts w:hint="eastAsia"/>
          <w:rtl/>
        </w:rPr>
        <w:t>شحنة</w:t>
      </w:r>
      <w:r w:rsidRPr="00D93745">
        <w:rPr>
          <w:rtl/>
        </w:rPr>
        <w:t xml:space="preserve"> </w:t>
      </w:r>
      <w:r w:rsidRPr="00D93745">
        <w:rPr>
          <w:rFonts w:hint="eastAsia"/>
          <w:rtl/>
        </w:rPr>
        <w:t>أسلحة</w:t>
      </w:r>
      <w:r w:rsidRPr="00D93745">
        <w:rPr>
          <w:rtl/>
        </w:rPr>
        <w:t xml:space="preserve"> </w:t>
      </w:r>
      <w:r w:rsidRPr="00D93745">
        <w:rPr>
          <w:rFonts w:hint="eastAsia"/>
          <w:rtl/>
        </w:rPr>
        <w:t>تركية</w:t>
      </w:r>
      <w:r w:rsidRPr="00D93745">
        <w:rPr>
          <w:rtl/>
        </w:rPr>
        <w:t xml:space="preserve"> </w:t>
      </w:r>
      <w:r w:rsidRPr="00D93745">
        <w:rPr>
          <w:rFonts w:hint="eastAsia"/>
          <w:rtl/>
        </w:rPr>
        <w:t>إلى</w:t>
      </w:r>
      <w:r w:rsidRPr="00D93745">
        <w:rPr>
          <w:rtl/>
        </w:rPr>
        <w:t xml:space="preserve"> </w:t>
      </w:r>
      <w:r w:rsidRPr="00D93745">
        <w:rPr>
          <w:rFonts w:hint="eastAsia"/>
          <w:rtl/>
        </w:rPr>
        <w:t>ليبيا</w:t>
      </w:r>
      <w:r>
        <w:rPr>
          <w:rFonts w:hint="cs"/>
          <w:rtl/>
        </w:rPr>
        <w:t xml:space="preserve"> ، العربي الأخبارية ، فبراير 2020 ، </w:t>
      </w:r>
      <w:hyperlink r:id="rId10" w:history="1">
        <w:r w:rsidRPr="00864F6C">
          <w:rPr>
            <w:rStyle w:val="Hyperlink"/>
          </w:rPr>
          <w:t>http://bit.ly/3a04Aqe</w:t>
        </w:r>
      </w:hyperlink>
    </w:p>
  </w:footnote>
  <w:footnote w:id="12">
    <w:p w14:paraId="50A9CAE0" w14:textId="77777777" w:rsidR="009C20B6" w:rsidRDefault="009C20B6" w:rsidP="009C20B6">
      <w:pPr>
        <w:pStyle w:val="FootnoteText"/>
        <w:bidi/>
      </w:pPr>
      <w:r>
        <w:rPr>
          <w:rStyle w:val="FootnoteReference"/>
        </w:rPr>
        <w:footnoteRef/>
      </w:r>
      <w:r>
        <w:t xml:space="preserve"> </w:t>
      </w:r>
      <w:r w:rsidRPr="00C82E8C">
        <w:rPr>
          <w:rFonts w:hint="eastAsia"/>
          <w:rtl/>
        </w:rPr>
        <w:t>داخلية</w:t>
      </w:r>
      <w:r w:rsidRPr="00C82E8C">
        <w:rPr>
          <w:rtl/>
        </w:rPr>
        <w:t xml:space="preserve"> </w:t>
      </w:r>
      <w:r w:rsidRPr="00C82E8C">
        <w:rPr>
          <w:rFonts w:hint="eastAsia"/>
          <w:rtl/>
        </w:rPr>
        <w:t>تونس</w:t>
      </w:r>
      <w:r w:rsidRPr="00C82E8C">
        <w:rPr>
          <w:rtl/>
        </w:rPr>
        <w:t xml:space="preserve"> </w:t>
      </w:r>
      <w:r w:rsidRPr="00C82E8C">
        <w:rPr>
          <w:rFonts w:hint="eastAsia"/>
          <w:rtl/>
        </w:rPr>
        <w:t>تعلن</w:t>
      </w:r>
      <w:r w:rsidRPr="00C82E8C">
        <w:rPr>
          <w:rtl/>
        </w:rPr>
        <w:t xml:space="preserve"> </w:t>
      </w:r>
      <w:r w:rsidRPr="00C82E8C">
        <w:rPr>
          <w:rFonts w:hint="eastAsia"/>
          <w:rtl/>
        </w:rPr>
        <w:t>ضبط</w:t>
      </w:r>
      <w:r w:rsidRPr="00C82E8C">
        <w:rPr>
          <w:rtl/>
        </w:rPr>
        <w:t xml:space="preserve"> </w:t>
      </w:r>
      <w:r w:rsidRPr="00C82E8C">
        <w:rPr>
          <w:rFonts w:hint="eastAsia"/>
          <w:rtl/>
        </w:rPr>
        <w:t>أسلحة</w:t>
      </w:r>
      <w:r w:rsidRPr="00C82E8C">
        <w:rPr>
          <w:rtl/>
        </w:rPr>
        <w:t xml:space="preserve"> </w:t>
      </w:r>
      <w:r w:rsidRPr="00C82E8C">
        <w:rPr>
          <w:rFonts w:hint="eastAsia"/>
          <w:rtl/>
        </w:rPr>
        <w:t>قادمة</w:t>
      </w:r>
      <w:r w:rsidRPr="00C82E8C">
        <w:rPr>
          <w:rtl/>
        </w:rPr>
        <w:t xml:space="preserve"> </w:t>
      </w:r>
      <w:r w:rsidRPr="00C82E8C">
        <w:rPr>
          <w:rFonts w:hint="eastAsia"/>
          <w:rtl/>
        </w:rPr>
        <w:t>من</w:t>
      </w:r>
      <w:r w:rsidRPr="00C82E8C">
        <w:rPr>
          <w:rtl/>
        </w:rPr>
        <w:t xml:space="preserve"> </w:t>
      </w:r>
      <w:r w:rsidRPr="00C82E8C">
        <w:rPr>
          <w:rFonts w:hint="eastAsia"/>
          <w:rtl/>
        </w:rPr>
        <w:t>تركيا</w:t>
      </w:r>
      <w:r w:rsidRPr="00C82E8C">
        <w:rPr>
          <w:rtl/>
        </w:rPr>
        <w:t xml:space="preserve"> </w:t>
      </w:r>
      <w:r w:rsidRPr="00C82E8C">
        <w:rPr>
          <w:rFonts w:hint="eastAsia"/>
          <w:rtl/>
        </w:rPr>
        <w:t>قبل</w:t>
      </w:r>
      <w:r w:rsidRPr="00C82E8C">
        <w:rPr>
          <w:rtl/>
        </w:rPr>
        <w:t xml:space="preserve"> </w:t>
      </w:r>
      <w:r w:rsidRPr="00C82E8C">
        <w:rPr>
          <w:rFonts w:hint="eastAsia"/>
          <w:rtl/>
        </w:rPr>
        <w:t>تهريبها</w:t>
      </w:r>
      <w:r w:rsidRPr="00C82E8C">
        <w:rPr>
          <w:rtl/>
        </w:rPr>
        <w:t xml:space="preserve"> </w:t>
      </w:r>
      <w:r w:rsidRPr="00C82E8C">
        <w:rPr>
          <w:rFonts w:hint="eastAsia"/>
          <w:rtl/>
        </w:rPr>
        <w:t>إلى</w:t>
      </w:r>
      <w:r w:rsidRPr="00C82E8C">
        <w:rPr>
          <w:rtl/>
        </w:rPr>
        <w:t xml:space="preserve"> </w:t>
      </w:r>
      <w:r w:rsidRPr="00C82E8C">
        <w:rPr>
          <w:rFonts w:hint="eastAsia"/>
          <w:rtl/>
        </w:rPr>
        <w:t>ليبيا</w:t>
      </w:r>
      <w:r>
        <w:rPr>
          <w:rFonts w:hint="cs"/>
          <w:rtl/>
        </w:rPr>
        <w:t xml:space="preserve"> ، منوفا ، يناير 2020 ، </w:t>
      </w:r>
      <w:hyperlink r:id="rId11" w:history="1">
        <w:r w:rsidRPr="00864F6C">
          <w:rPr>
            <w:rStyle w:val="Hyperlink"/>
          </w:rPr>
          <w:t>http://bit.ly/2ujRPYu</w:t>
        </w:r>
      </w:hyperlink>
    </w:p>
  </w:footnote>
  <w:footnote w:id="13">
    <w:p w14:paraId="1CD8E27F" w14:textId="77777777" w:rsidR="009C20B6" w:rsidRDefault="009C20B6" w:rsidP="009C20B6">
      <w:pPr>
        <w:pStyle w:val="FootnoteText"/>
        <w:bidi/>
      </w:pPr>
      <w:r>
        <w:rPr>
          <w:rStyle w:val="FootnoteReference"/>
        </w:rPr>
        <w:footnoteRef/>
      </w:r>
      <w:r>
        <w:t xml:space="preserve"> </w:t>
      </w:r>
      <w:r w:rsidRPr="00D762F9">
        <w:rPr>
          <w:rFonts w:cs="Arial"/>
          <w:rtl/>
        </w:rPr>
        <w:t>بوتين يعرب عن مخاوفه من تدفق الميليشيات الإرهابية على ليبيا من إدلب السورية عبر تركيا، سكاي نيوز عربية (يوتيوب)، 5 يوليو 2019، متاح على الرابط التالي</w:t>
      </w:r>
      <w:r>
        <w:rPr>
          <w:rFonts w:cs="Arial" w:hint="cs"/>
          <w:rtl/>
        </w:rPr>
        <w:t xml:space="preserve">: </w:t>
      </w:r>
      <w:hyperlink r:id="rId12" w:history="1">
        <w:r w:rsidRPr="00751133">
          <w:rPr>
            <w:rStyle w:val="Hyperlink"/>
            <w:rFonts w:cs="Arial"/>
          </w:rPr>
          <w:t>https://bit.ly/2vT8pzo</w:t>
        </w:r>
      </w:hyperlink>
    </w:p>
  </w:footnote>
  <w:footnote w:id="14">
    <w:p w14:paraId="4775E3EC" w14:textId="77777777" w:rsidR="009C20B6" w:rsidRDefault="009C20B6" w:rsidP="009C20B6">
      <w:pPr>
        <w:pStyle w:val="FootnoteText"/>
        <w:bidi/>
      </w:pPr>
      <w:r>
        <w:rPr>
          <w:rStyle w:val="FootnoteReference"/>
        </w:rPr>
        <w:footnoteRef/>
      </w:r>
      <w:r>
        <w:t xml:space="preserve"> </w:t>
      </w:r>
      <w:r w:rsidRPr="00713347">
        <w:rPr>
          <w:rFonts w:cs="Arial"/>
          <w:rtl/>
          <w:lang w:bidi="ar-EG"/>
        </w:rPr>
        <w:t>المرصد السوري لحقوق الانسان:</w:t>
      </w:r>
      <w:r>
        <w:rPr>
          <w:rFonts w:cs="Arial" w:hint="cs"/>
          <w:rtl/>
          <w:lang w:bidi="ar-EG"/>
        </w:rPr>
        <w:t xml:space="preserve"> </w:t>
      </w:r>
      <w:r w:rsidRPr="00713347">
        <w:rPr>
          <w:rFonts w:cs="Arial"/>
          <w:rtl/>
          <w:lang w:bidi="ar-EG"/>
        </w:rPr>
        <w:t>تركيا تجند مئات الشباب لإرسالهم إلى جبهات القتال في ليبيا</w:t>
      </w:r>
      <w:r>
        <w:rPr>
          <w:rFonts w:cs="Arial" w:hint="cs"/>
          <w:rtl/>
          <w:lang w:bidi="ar-EG"/>
        </w:rPr>
        <w:t xml:space="preserve">"، المرصد السوري لحقوق الانسان، 9 أغسطس 2020، على الرابط التالي: </w:t>
      </w:r>
      <w:hyperlink r:id="rId13" w:history="1">
        <w:r w:rsidRPr="00774F72">
          <w:rPr>
            <w:rStyle w:val="Hyperlink"/>
            <w:rFonts w:cs="Arial"/>
            <w:lang w:bidi="ar-EG"/>
          </w:rPr>
          <w:t>https://bit.ly/3kPZ7sm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3818" w14:textId="77777777" w:rsidR="00DE52E3" w:rsidRDefault="00DE5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50C6A" w14:textId="77777777" w:rsidR="00DE52E3" w:rsidRDefault="00DE5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1E0A" w14:textId="74E5FA64" w:rsidR="00D869E9" w:rsidRDefault="000269F3" w:rsidP="00DE52E3">
    <w:pPr>
      <w:pStyle w:val="a"/>
      <w:jc w:val="both"/>
    </w:pPr>
    <w:r>
      <w:rPr>
        <w:noProof/>
        <w:sz w:val="24"/>
        <w:szCs w:val="24"/>
      </w:rPr>
      <w:t xml:space="preserve">   </w:t>
    </w:r>
    <w:r>
      <w:t xml:space="preserve">                                                                         </w:t>
    </w:r>
    <w:r>
      <w:rPr>
        <w:noProof/>
      </w:rPr>
      <w:t xml:space="preserve">  </w:t>
    </w:r>
    <w:r w:rsidR="001A50DF" w:rsidRPr="004C074D">
      <w:rPr>
        <w:noProof/>
      </w:rPr>
      <w:drawing>
        <wp:inline distT="0" distB="0" distL="0" distR="0" wp14:anchorId="3DC5D088" wp14:editId="68DDC446">
          <wp:extent cx="1210444" cy="1257300"/>
          <wp:effectExtent l="0" t="0" r="889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Image\PforT\Final Logo PF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0444"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360"/>
      </w:pPr>
      <w:rPr>
        <w:rFonts w:ascii="Calibri" w:hAnsi="Calibri"/>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DA5C5E"/>
    <w:multiLevelType w:val="hybridMultilevel"/>
    <w:tmpl w:val="120CD8D2"/>
    <w:lvl w:ilvl="0" w:tplc="34CCE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3264B"/>
    <w:multiLevelType w:val="hybridMultilevel"/>
    <w:tmpl w:val="009E1262"/>
    <w:lvl w:ilvl="0" w:tplc="E73C8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475DE"/>
    <w:multiLevelType w:val="hybridMultilevel"/>
    <w:tmpl w:val="2AFC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F108F"/>
    <w:multiLevelType w:val="hybridMultilevel"/>
    <w:tmpl w:val="8E5CF6FA"/>
    <w:lvl w:ilvl="0" w:tplc="A5D46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31319"/>
    <w:multiLevelType w:val="hybridMultilevel"/>
    <w:tmpl w:val="818C7558"/>
    <w:lvl w:ilvl="0" w:tplc="95345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A5ABC"/>
    <w:multiLevelType w:val="hybridMultilevel"/>
    <w:tmpl w:val="4650DE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DC02817"/>
    <w:multiLevelType w:val="hybridMultilevel"/>
    <w:tmpl w:val="69F8E4D8"/>
    <w:lvl w:ilvl="0" w:tplc="C97E6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F3981"/>
    <w:multiLevelType w:val="hybridMultilevel"/>
    <w:tmpl w:val="6C68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25F9B"/>
    <w:multiLevelType w:val="hybridMultilevel"/>
    <w:tmpl w:val="0626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D1577"/>
    <w:multiLevelType w:val="hybridMultilevel"/>
    <w:tmpl w:val="7940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2"/>
  </w:num>
  <w:num w:numId="6">
    <w:abstractNumId w:val="9"/>
  </w:num>
  <w:num w:numId="7">
    <w:abstractNumId w:val="3"/>
  </w:num>
  <w:num w:numId="8">
    <w:abstractNumId w:val="10"/>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CB"/>
    <w:rsid w:val="0000309C"/>
    <w:rsid w:val="0002639C"/>
    <w:rsid w:val="000269F3"/>
    <w:rsid w:val="00041C4C"/>
    <w:rsid w:val="000730E0"/>
    <w:rsid w:val="000A2523"/>
    <w:rsid w:val="000A7F20"/>
    <w:rsid w:val="000E1BCD"/>
    <w:rsid w:val="00101815"/>
    <w:rsid w:val="00106234"/>
    <w:rsid w:val="001436B5"/>
    <w:rsid w:val="00145F87"/>
    <w:rsid w:val="001A50DF"/>
    <w:rsid w:val="001C5F7D"/>
    <w:rsid w:val="001C64AB"/>
    <w:rsid w:val="001F28D8"/>
    <w:rsid w:val="002527B0"/>
    <w:rsid w:val="002E2E4A"/>
    <w:rsid w:val="002E3893"/>
    <w:rsid w:val="002E3FF3"/>
    <w:rsid w:val="002F0247"/>
    <w:rsid w:val="003064CC"/>
    <w:rsid w:val="003B03BD"/>
    <w:rsid w:val="003B299B"/>
    <w:rsid w:val="003F09CF"/>
    <w:rsid w:val="003F3D81"/>
    <w:rsid w:val="003F665D"/>
    <w:rsid w:val="00432973"/>
    <w:rsid w:val="00436E3A"/>
    <w:rsid w:val="00440E3B"/>
    <w:rsid w:val="004B17BD"/>
    <w:rsid w:val="004B4B2E"/>
    <w:rsid w:val="004E33FF"/>
    <w:rsid w:val="00512DB7"/>
    <w:rsid w:val="00517683"/>
    <w:rsid w:val="005303EB"/>
    <w:rsid w:val="0054502C"/>
    <w:rsid w:val="00567D23"/>
    <w:rsid w:val="005709FF"/>
    <w:rsid w:val="00592EBC"/>
    <w:rsid w:val="005F646D"/>
    <w:rsid w:val="006042B5"/>
    <w:rsid w:val="0062180F"/>
    <w:rsid w:val="00621DAA"/>
    <w:rsid w:val="006803D0"/>
    <w:rsid w:val="006A54D1"/>
    <w:rsid w:val="006C58D1"/>
    <w:rsid w:val="006C5F85"/>
    <w:rsid w:val="006E67C2"/>
    <w:rsid w:val="00722FA1"/>
    <w:rsid w:val="00733B24"/>
    <w:rsid w:val="0076180A"/>
    <w:rsid w:val="007C0349"/>
    <w:rsid w:val="007C7D03"/>
    <w:rsid w:val="007E19CB"/>
    <w:rsid w:val="00800762"/>
    <w:rsid w:val="00800B20"/>
    <w:rsid w:val="00810AC5"/>
    <w:rsid w:val="008E6262"/>
    <w:rsid w:val="008F16E2"/>
    <w:rsid w:val="0095372F"/>
    <w:rsid w:val="009844BD"/>
    <w:rsid w:val="009907BE"/>
    <w:rsid w:val="00992754"/>
    <w:rsid w:val="009C20B6"/>
    <w:rsid w:val="009E4B4B"/>
    <w:rsid w:val="00A36A7F"/>
    <w:rsid w:val="00A46196"/>
    <w:rsid w:val="00A7639C"/>
    <w:rsid w:val="00AA1D01"/>
    <w:rsid w:val="00AC10CF"/>
    <w:rsid w:val="00AC414B"/>
    <w:rsid w:val="00AC7A72"/>
    <w:rsid w:val="00AD4150"/>
    <w:rsid w:val="00AE20E2"/>
    <w:rsid w:val="00B026C1"/>
    <w:rsid w:val="00B1114F"/>
    <w:rsid w:val="00B35444"/>
    <w:rsid w:val="00B478F5"/>
    <w:rsid w:val="00B60CEB"/>
    <w:rsid w:val="00BD06ED"/>
    <w:rsid w:val="00C014FB"/>
    <w:rsid w:val="00C05380"/>
    <w:rsid w:val="00C06B6E"/>
    <w:rsid w:val="00C66D57"/>
    <w:rsid w:val="00C769F0"/>
    <w:rsid w:val="00CA17E2"/>
    <w:rsid w:val="00CC66BC"/>
    <w:rsid w:val="00CE0CCF"/>
    <w:rsid w:val="00CF60A1"/>
    <w:rsid w:val="00CF78E0"/>
    <w:rsid w:val="00D157B9"/>
    <w:rsid w:val="00D36472"/>
    <w:rsid w:val="00D750C4"/>
    <w:rsid w:val="00D869E9"/>
    <w:rsid w:val="00D86EB3"/>
    <w:rsid w:val="00DB0CAF"/>
    <w:rsid w:val="00DB2C5D"/>
    <w:rsid w:val="00DC50FD"/>
    <w:rsid w:val="00DD2C33"/>
    <w:rsid w:val="00DE52E3"/>
    <w:rsid w:val="00DF42F3"/>
    <w:rsid w:val="00E26840"/>
    <w:rsid w:val="00E46063"/>
    <w:rsid w:val="00E77729"/>
    <w:rsid w:val="00E93E75"/>
    <w:rsid w:val="00ED1C5B"/>
    <w:rsid w:val="00EF6266"/>
    <w:rsid w:val="00F64F2E"/>
    <w:rsid w:val="00F811AF"/>
    <w:rsid w:val="00F85392"/>
    <w:rsid w:val="00F97806"/>
    <w:rsid w:val="00FD16C3"/>
    <w:rsid w:val="00FD2FA8"/>
    <w:rsid w:val="00FD7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58D2"/>
  <w15:chartTrackingRefBased/>
  <w15:docId w15:val="{A8D19F8E-A95E-455D-9F0A-4FAD41C9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F3"/>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رأس صفحة"/>
    <w:basedOn w:val="Normal"/>
    <w:link w:val="Char"/>
    <w:uiPriority w:val="99"/>
    <w:unhideWhenUsed/>
    <w:rsid w:val="0076180A"/>
    <w:pPr>
      <w:tabs>
        <w:tab w:val="center" w:pos="4680"/>
        <w:tab w:val="right" w:pos="9360"/>
      </w:tabs>
      <w:bidi/>
      <w:spacing w:after="0" w:line="240" w:lineRule="auto"/>
    </w:pPr>
    <w:rPr>
      <w:rFonts w:ascii="Calibri" w:eastAsia="Times New Roman" w:hAnsi="Calibri" w:cs="Arial"/>
    </w:rPr>
  </w:style>
  <w:style w:type="character" w:customStyle="1" w:styleId="Char">
    <w:name w:val="رأس صفحة Char"/>
    <w:basedOn w:val="DefaultParagraphFont"/>
    <w:link w:val="a"/>
    <w:uiPriority w:val="99"/>
    <w:rsid w:val="0076180A"/>
  </w:style>
  <w:style w:type="paragraph" w:customStyle="1" w:styleId="a0">
    <w:name w:val="تذييل صفحة"/>
    <w:basedOn w:val="Normal"/>
    <w:link w:val="Char0"/>
    <w:uiPriority w:val="99"/>
    <w:unhideWhenUsed/>
    <w:rsid w:val="0076180A"/>
    <w:pPr>
      <w:tabs>
        <w:tab w:val="center" w:pos="4680"/>
        <w:tab w:val="right" w:pos="9360"/>
      </w:tabs>
      <w:bidi/>
      <w:spacing w:after="0" w:line="240" w:lineRule="auto"/>
    </w:pPr>
    <w:rPr>
      <w:rFonts w:ascii="Calibri" w:eastAsia="Times New Roman" w:hAnsi="Calibri" w:cs="Arial"/>
    </w:rPr>
  </w:style>
  <w:style w:type="character" w:customStyle="1" w:styleId="Char0">
    <w:name w:val="تذييل صفحة Char"/>
    <w:basedOn w:val="DefaultParagraphFont"/>
    <w:link w:val="a0"/>
    <w:uiPriority w:val="99"/>
    <w:rsid w:val="0076180A"/>
  </w:style>
  <w:style w:type="paragraph" w:styleId="BalloonText">
    <w:name w:val="Balloon Text"/>
    <w:basedOn w:val="Normal"/>
    <w:link w:val="BalloonTextChar"/>
    <w:uiPriority w:val="99"/>
    <w:semiHidden/>
    <w:unhideWhenUsed/>
    <w:rsid w:val="0076180A"/>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6180A"/>
    <w:rPr>
      <w:rFonts w:ascii="Tahoma" w:hAnsi="Tahoma" w:cs="Tahoma"/>
      <w:sz w:val="16"/>
      <w:szCs w:val="16"/>
    </w:rPr>
  </w:style>
  <w:style w:type="character" w:customStyle="1" w:styleId="apple-style-span">
    <w:name w:val="apple-style-span"/>
    <w:basedOn w:val="DefaultParagraphFont"/>
    <w:rsid w:val="00AD4150"/>
  </w:style>
  <w:style w:type="table" w:styleId="TableGrid">
    <w:name w:val="Table Grid"/>
    <w:basedOn w:val="TableNormal"/>
    <w:uiPriority w:val="59"/>
    <w:rsid w:val="00AD41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869E9"/>
    <w:pPr>
      <w:bidi/>
      <w:spacing w:after="200" w:line="276" w:lineRule="auto"/>
      <w:ind w:left="720"/>
      <w:contextualSpacing/>
    </w:pPr>
    <w:rPr>
      <w:rFonts w:ascii="Calibri" w:eastAsia="Times New Roman" w:hAnsi="Calibri" w:cs="Arial"/>
    </w:rPr>
  </w:style>
  <w:style w:type="paragraph" w:styleId="NormalWeb">
    <w:name w:val="Normal (Web)"/>
    <w:basedOn w:val="Normal"/>
    <w:uiPriority w:val="99"/>
    <w:unhideWhenUsed/>
    <w:rsid w:val="00D869E9"/>
    <w:pPr>
      <w:bidi/>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7C38"/>
  </w:style>
  <w:style w:type="character" w:customStyle="1" w:styleId="c20">
    <w:name w:val="c20"/>
    <w:basedOn w:val="DefaultParagraphFont"/>
    <w:rsid w:val="00FD7C38"/>
  </w:style>
  <w:style w:type="character" w:customStyle="1" w:styleId="c2">
    <w:name w:val="c2"/>
    <w:basedOn w:val="DefaultParagraphFont"/>
    <w:rsid w:val="00FD7C38"/>
  </w:style>
  <w:style w:type="table" w:customStyle="1" w:styleId="-11">
    <w:name w:val="تظليل فاتح - تمييز 11"/>
    <w:basedOn w:val="TableNormal"/>
    <w:uiPriority w:val="60"/>
    <w:rsid w:val="004B4B2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D36472"/>
    <w:rPr>
      <w:color w:val="0000FF"/>
      <w:u w:val="single"/>
    </w:rPr>
  </w:style>
  <w:style w:type="paragraph" w:styleId="Footer">
    <w:name w:val="footer"/>
    <w:basedOn w:val="Normal"/>
    <w:link w:val="FooterChar"/>
    <w:uiPriority w:val="99"/>
    <w:unhideWhenUsed/>
    <w:rsid w:val="007E19CB"/>
    <w:pPr>
      <w:tabs>
        <w:tab w:val="center" w:pos="4680"/>
        <w:tab w:val="right" w:pos="9360"/>
      </w:tabs>
      <w:bidi/>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7E19CB"/>
    <w:rPr>
      <w:rFonts w:eastAsia="Times New Roman"/>
      <w:sz w:val="22"/>
      <w:szCs w:val="22"/>
    </w:rPr>
  </w:style>
  <w:style w:type="paragraph" w:styleId="Header">
    <w:name w:val="header"/>
    <w:basedOn w:val="Normal"/>
    <w:link w:val="HeaderChar"/>
    <w:uiPriority w:val="99"/>
    <w:unhideWhenUsed/>
    <w:rsid w:val="0002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F3"/>
    <w:rPr>
      <w:rFonts w:asciiTheme="minorHAnsi" w:eastAsiaTheme="minorHAnsi" w:hAnsiTheme="minorHAnsi" w:cstheme="minorBidi"/>
      <w:sz w:val="22"/>
      <w:szCs w:val="22"/>
    </w:rPr>
  </w:style>
  <w:style w:type="paragraph" w:styleId="BodyText">
    <w:name w:val="Body Text"/>
    <w:basedOn w:val="Normal"/>
    <w:link w:val="BodyTextChar"/>
    <w:uiPriority w:val="1"/>
    <w:qFormat/>
    <w:rsid w:val="00DE52E3"/>
    <w:pPr>
      <w:widowControl w:val="0"/>
      <w:autoSpaceDE w:val="0"/>
      <w:autoSpaceDN w:val="0"/>
      <w:adjustRightInd w:val="0"/>
      <w:spacing w:after="0" w:line="240" w:lineRule="auto"/>
      <w:ind w:left="112"/>
    </w:pPr>
    <w:rPr>
      <w:rFonts w:ascii="Calibri" w:eastAsiaTheme="minorEastAsia" w:hAnsi="Calibri" w:cs="Calibri"/>
    </w:rPr>
  </w:style>
  <w:style w:type="character" w:customStyle="1" w:styleId="BodyTextChar">
    <w:name w:val="Body Text Char"/>
    <w:basedOn w:val="DefaultParagraphFont"/>
    <w:link w:val="BodyText"/>
    <w:uiPriority w:val="1"/>
    <w:rsid w:val="00DE52E3"/>
    <w:rPr>
      <w:rFonts w:eastAsiaTheme="minorEastAsia" w:cs="Calibri"/>
      <w:sz w:val="22"/>
      <w:szCs w:val="22"/>
    </w:rPr>
  </w:style>
  <w:style w:type="paragraph" w:styleId="FootnoteText">
    <w:name w:val="footnote text"/>
    <w:basedOn w:val="Normal"/>
    <w:link w:val="FootnoteTextChar"/>
    <w:uiPriority w:val="99"/>
    <w:semiHidden/>
    <w:unhideWhenUsed/>
    <w:rsid w:val="00AC10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C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C10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it.ly/3a5ly7I" TargetMode="External"/><Relationship Id="rId13" Type="http://schemas.openxmlformats.org/officeDocument/2006/relationships/hyperlink" Target="https://bit.ly/3kPZ7sm" TargetMode="External"/><Relationship Id="rId3" Type="http://schemas.openxmlformats.org/officeDocument/2006/relationships/hyperlink" Target="https://bit.ly/2wBE0pz" TargetMode="External"/><Relationship Id="rId7" Type="http://schemas.openxmlformats.org/officeDocument/2006/relationships/hyperlink" Target="http://bit.ly/2QPj3ig" TargetMode="External"/><Relationship Id="rId12" Type="http://schemas.openxmlformats.org/officeDocument/2006/relationships/hyperlink" Target="https://bit.ly/2vT8pzo" TargetMode="External"/><Relationship Id="rId2" Type="http://schemas.openxmlformats.org/officeDocument/2006/relationships/hyperlink" Target="https://bit.ly/2QLHjkL" TargetMode="External"/><Relationship Id="rId1" Type="http://schemas.openxmlformats.org/officeDocument/2006/relationships/hyperlink" Target="https://bit.ly/2wFipMO" TargetMode="External"/><Relationship Id="rId6" Type="http://schemas.openxmlformats.org/officeDocument/2006/relationships/hyperlink" Target="http://bit.ly/2QRkL2M" TargetMode="External"/><Relationship Id="rId11" Type="http://schemas.openxmlformats.org/officeDocument/2006/relationships/hyperlink" Target="http://bit.ly/2ujRPYu" TargetMode="External"/><Relationship Id="rId5" Type="http://schemas.openxmlformats.org/officeDocument/2006/relationships/hyperlink" Target="http://bit.ly/37MsNyY" TargetMode="External"/><Relationship Id="rId10" Type="http://schemas.openxmlformats.org/officeDocument/2006/relationships/hyperlink" Target="http://bit.ly/3a04Aqe" TargetMode="External"/><Relationship Id="rId4" Type="http://schemas.openxmlformats.org/officeDocument/2006/relationships/hyperlink" Target="https://bit.ly/2QMPLAe" TargetMode="External"/><Relationship Id="rId9" Type="http://schemas.openxmlformats.org/officeDocument/2006/relationships/hyperlink" Target="http://bit.ly/2QRkL2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rna\&#1588;&#1585;&#1603;&#1575;&#1569;\Temp.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AB007-3AAF-478B-B994-4937CF3E9E81}">
  <ds:schemaRefs>
    <ds:schemaRef ds:uri="http://schemas.openxmlformats.org/officeDocument/2006/bibliography"/>
  </ds:schemaRefs>
</ds:datastoreItem>
</file>

<file path=customXml/itemProps2.xml><?xml version="1.0" encoding="utf-8"?>
<ds:datastoreItem xmlns:ds="http://schemas.openxmlformats.org/officeDocument/2006/customXml" ds:itemID="{732A9643-B6EF-4689-B4BC-DF15EAAE373F}"/>
</file>

<file path=customXml/itemProps3.xml><?xml version="1.0" encoding="utf-8"?>
<ds:datastoreItem xmlns:ds="http://schemas.openxmlformats.org/officeDocument/2006/customXml" ds:itemID="{D2A7ADE1-2E0D-413C-924C-7D5BE78C99A1}"/>
</file>

<file path=customXml/itemProps4.xml><?xml version="1.0" encoding="utf-8"?>
<ds:datastoreItem xmlns:ds="http://schemas.openxmlformats.org/officeDocument/2006/customXml" ds:itemID="{9BD033D0-7EA0-4FB6-8A3A-3C46652702C7}"/>
</file>

<file path=docProps/app.xml><?xml version="1.0" encoding="utf-8"?>
<Properties xmlns="http://schemas.openxmlformats.org/officeDocument/2006/extended-properties" xmlns:vt="http://schemas.openxmlformats.org/officeDocument/2006/docPropsVTypes">
  <Template>Temp</Template>
  <TotalTime>5</TotalTime>
  <Pages>3</Pages>
  <Words>857</Words>
  <Characters>4886</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cp:lastModifiedBy>DELL</cp:lastModifiedBy>
  <cp:revision>2</cp:revision>
  <cp:lastPrinted>2015-08-01T10:34:00Z</cp:lastPrinted>
  <dcterms:created xsi:type="dcterms:W3CDTF">2020-08-17T17:16:00Z</dcterms:created>
  <dcterms:modified xsi:type="dcterms:W3CDTF">2020-08-17T17:16:00Z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