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5615" w14:textId="77777777" w:rsidR="00C05D9B" w:rsidRPr="004B1E4E" w:rsidRDefault="00C05D9B" w:rsidP="418A2397">
      <w:pPr>
        <w:rPr>
          <w:color w:val="auto"/>
          <w:sz w:val="24"/>
          <w:szCs w:val="24"/>
        </w:rPr>
      </w:pPr>
    </w:p>
    <w:p w14:paraId="399133F4" w14:textId="77777777" w:rsidR="005403E3" w:rsidRPr="004B1E4E" w:rsidRDefault="005403E3" w:rsidP="418A2397">
      <w:pPr>
        <w:rPr>
          <w:color w:val="auto"/>
          <w:sz w:val="24"/>
          <w:szCs w:val="24"/>
        </w:rPr>
      </w:pPr>
    </w:p>
    <w:p w14:paraId="1282E6B1" w14:textId="77777777" w:rsidR="005403E3" w:rsidRPr="004B1E4E" w:rsidRDefault="005403E3" w:rsidP="418A2397">
      <w:pPr>
        <w:rPr>
          <w:color w:val="auto"/>
          <w:sz w:val="24"/>
          <w:szCs w:val="24"/>
        </w:rPr>
      </w:pPr>
    </w:p>
    <w:p w14:paraId="42D8DFFA" w14:textId="32F03161" w:rsidR="00266AA3" w:rsidRDefault="151F1C22" w:rsidP="418A2397">
      <w:pPr>
        <w:jc w:val="center"/>
        <w:rPr>
          <w:b/>
          <w:bCs/>
          <w:sz w:val="24"/>
          <w:szCs w:val="24"/>
        </w:rPr>
      </w:pPr>
      <w:r w:rsidRPr="418A2397">
        <w:rPr>
          <w:b/>
          <w:bCs/>
          <w:sz w:val="24"/>
          <w:szCs w:val="24"/>
        </w:rPr>
        <w:t>Libya</w:t>
      </w:r>
      <w:r w:rsidR="004B1E4E" w:rsidRPr="418A2397">
        <w:rPr>
          <w:b/>
          <w:bCs/>
          <w:sz w:val="24"/>
          <w:szCs w:val="24"/>
        </w:rPr>
        <w:t xml:space="preserve">’s Compliance with </w:t>
      </w:r>
      <w:r w:rsidR="439F7833" w:rsidRPr="418A2397">
        <w:rPr>
          <w:b/>
          <w:bCs/>
          <w:sz w:val="24"/>
          <w:szCs w:val="24"/>
        </w:rPr>
        <w:t xml:space="preserve">The International </w:t>
      </w:r>
      <w:r w:rsidR="24448781" w:rsidRPr="418A2397">
        <w:rPr>
          <w:b/>
          <w:bCs/>
          <w:sz w:val="24"/>
          <w:szCs w:val="24"/>
        </w:rPr>
        <w:t>Covenant on Civil and Political Rights</w:t>
      </w:r>
    </w:p>
    <w:p w14:paraId="15156532" w14:textId="03C948FB" w:rsidR="004B1E4E" w:rsidRPr="004B1E4E" w:rsidRDefault="4B590C31" w:rsidP="418A2397">
      <w:pPr>
        <w:jc w:val="center"/>
        <w:rPr>
          <w:b/>
          <w:bCs/>
          <w:sz w:val="24"/>
          <w:szCs w:val="24"/>
        </w:rPr>
      </w:pPr>
      <w:r w:rsidRPr="025F20C0">
        <w:rPr>
          <w:b/>
          <w:bCs/>
          <w:sz w:val="24"/>
          <w:szCs w:val="24"/>
        </w:rPr>
        <w:t>Suggested List of Issues</w:t>
      </w:r>
      <w:r w:rsidR="7C482E1F" w:rsidRPr="025F20C0">
        <w:rPr>
          <w:b/>
          <w:bCs/>
          <w:sz w:val="24"/>
          <w:szCs w:val="24"/>
        </w:rPr>
        <w:t xml:space="preserve"> </w:t>
      </w:r>
      <w:r w:rsidR="2B03B358" w:rsidRPr="025F20C0">
        <w:rPr>
          <w:b/>
          <w:bCs/>
          <w:sz w:val="24"/>
          <w:szCs w:val="24"/>
        </w:rPr>
        <w:t xml:space="preserve">Prior to Reporting </w:t>
      </w:r>
      <w:r w:rsidRPr="025F20C0">
        <w:rPr>
          <w:b/>
          <w:bCs/>
          <w:sz w:val="24"/>
          <w:szCs w:val="24"/>
        </w:rPr>
        <w:t xml:space="preserve">Relating to </w:t>
      </w:r>
      <w:r w:rsidR="0F7884CE" w:rsidRPr="025F20C0">
        <w:rPr>
          <w:b/>
          <w:bCs/>
          <w:sz w:val="24"/>
          <w:szCs w:val="24"/>
        </w:rPr>
        <w:t>the Death Penalty</w:t>
      </w:r>
    </w:p>
    <w:p w14:paraId="70D7EDCD" w14:textId="77777777" w:rsidR="004B1E4E" w:rsidRPr="004B1E4E" w:rsidRDefault="004B1E4E" w:rsidP="418A2397">
      <w:pPr>
        <w:jc w:val="center"/>
        <w:rPr>
          <w:sz w:val="24"/>
          <w:szCs w:val="24"/>
        </w:rPr>
      </w:pPr>
    </w:p>
    <w:p w14:paraId="26CACBFB" w14:textId="77777777" w:rsidR="004B1E4E" w:rsidRPr="00D25C36" w:rsidRDefault="004B1E4E" w:rsidP="418A2397">
      <w:pPr>
        <w:jc w:val="center"/>
        <w:rPr>
          <w:b/>
          <w:bCs/>
          <w:sz w:val="24"/>
          <w:szCs w:val="24"/>
        </w:rPr>
      </w:pPr>
      <w:r w:rsidRPr="418A2397">
        <w:rPr>
          <w:b/>
          <w:bCs/>
          <w:sz w:val="24"/>
          <w:szCs w:val="24"/>
        </w:rPr>
        <w:t xml:space="preserve">Submitted by </w:t>
      </w:r>
      <w:r w:rsidR="00AA7FCB" w:rsidRPr="418A2397">
        <w:rPr>
          <w:b/>
          <w:bCs/>
          <w:sz w:val="24"/>
          <w:szCs w:val="24"/>
        </w:rPr>
        <w:t>T</w:t>
      </w:r>
      <w:r w:rsidRPr="418A2397">
        <w:rPr>
          <w:b/>
          <w:bCs/>
          <w:sz w:val="24"/>
          <w:szCs w:val="24"/>
        </w:rPr>
        <w:t>he Advocates for Human Rights</w:t>
      </w:r>
    </w:p>
    <w:p w14:paraId="4D00356C" w14:textId="77777777" w:rsidR="004B1E4E" w:rsidRPr="004B1E4E" w:rsidRDefault="004B1E4E" w:rsidP="418A2397">
      <w:pPr>
        <w:jc w:val="center"/>
        <w:rPr>
          <w:sz w:val="24"/>
          <w:szCs w:val="24"/>
        </w:rPr>
      </w:pPr>
      <w:r w:rsidRPr="418A2397">
        <w:rPr>
          <w:sz w:val="24"/>
          <w:szCs w:val="24"/>
        </w:rPr>
        <w:t>a non-governmental organization in special consultative status with ECOSOC</w:t>
      </w:r>
      <w:r w:rsidR="00624A10" w:rsidRPr="418A2397">
        <w:rPr>
          <w:sz w:val="24"/>
          <w:szCs w:val="24"/>
        </w:rPr>
        <w:t xml:space="preserve"> since 1996</w:t>
      </w:r>
    </w:p>
    <w:p w14:paraId="1BA9247F" w14:textId="3D6132B1" w:rsidR="6143E367" w:rsidRDefault="6143E367" w:rsidP="418A2397">
      <w:pPr>
        <w:jc w:val="center"/>
        <w:rPr>
          <w:sz w:val="24"/>
          <w:szCs w:val="24"/>
        </w:rPr>
      </w:pPr>
      <w:r w:rsidRPr="418A2397">
        <w:rPr>
          <w:sz w:val="24"/>
          <w:szCs w:val="24"/>
        </w:rPr>
        <w:t>and</w:t>
      </w:r>
    </w:p>
    <w:p w14:paraId="1C0E56E3" w14:textId="29C15F73" w:rsidR="004B1E4E" w:rsidRPr="004B1E4E" w:rsidRDefault="6143E367" w:rsidP="00295E9B">
      <w:pPr>
        <w:spacing w:after="240"/>
        <w:jc w:val="center"/>
        <w:rPr>
          <w:sz w:val="24"/>
          <w:szCs w:val="24"/>
        </w:rPr>
      </w:pPr>
      <w:r w:rsidRPr="418A2397">
        <w:rPr>
          <w:b/>
          <w:bCs/>
          <w:sz w:val="24"/>
          <w:szCs w:val="24"/>
        </w:rPr>
        <w:t>The World Coalition Against the Death Penalt</w:t>
      </w:r>
      <w:r w:rsidR="00295E9B">
        <w:rPr>
          <w:b/>
          <w:bCs/>
          <w:sz w:val="24"/>
          <w:szCs w:val="24"/>
        </w:rPr>
        <w:t>y</w:t>
      </w:r>
    </w:p>
    <w:p w14:paraId="6D281675" w14:textId="518BEB20" w:rsidR="004B1E4E" w:rsidRPr="000C380B" w:rsidRDefault="46CE5A36" w:rsidP="418A2397">
      <w:pPr>
        <w:jc w:val="center"/>
        <w:rPr>
          <w:b/>
          <w:bCs/>
          <w:sz w:val="24"/>
          <w:szCs w:val="24"/>
        </w:rPr>
      </w:pPr>
      <w:r w:rsidRPr="025F20C0">
        <w:rPr>
          <w:b/>
          <w:bCs/>
          <w:sz w:val="24"/>
          <w:szCs w:val="24"/>
        </w:rPr>
        <w:t>130</w:t>
      </w:r>
      <w:r w:rsidRPr="025F20C0">
        <w:rPr>
          <w:b/>
          <w:bCs/>
          <w:sz w:val="24"/>
          <w:szCs w:val="24"/>
          <w:vertAlign w:val="superscript"/>
        </w:rPr>
        <w:t>th</w:t>
      </w:r>
      <w:r w:rsidRPr="025F20C0">
        <w:rPr>
          <w:b/>
          <w:bCs/>
          <w:sz w:val="24"/>
          <w:szCs w:val="24"/>
        </w:rPr>
        <w:t xml:space="preserve"> </w:t>
      </w:r>
      <w:r w:rsidR="72E788D1" w:rsidRPr="025F20C0">
        <w:rPr>
          <w:b/>
          <w:bCs/>
          <w:sz w:val="24"/>
          <w:szCs w:val="24"/>
        </w:rPr>
        <w:t xml:space="preserve">Session of the </w:t>
      </w:r>
      <w:r w:rsidR="5B63418D" w:rsidRPr="025F20C0">
        <w:rPr>
          <w:b/>
          <w:bCs/>
          <w:sz w:val="24"/>
          <w:szCs w:val="24"/>
        </w:rPr>
        <w:t>Human Rights Committee</w:t>
      </w:r>
      <w:r w:rsidR="4B590C31" w:rsidRPr="025F20C0">
        <w:rPr>
          <w:b/>
          <w:bCs/>
          <w:sz w:val="24"/>
          <w:szCs w:val="24"/>
        </w:rPr>
        <w:t xml:space="preserve"> </w:t>
      </w:r>
    </w:p>
    <w:p w14:paraId="35F27819" w14:textId="17BF3350" w:rsidR="004B1E4E" w:rsidRPr="000C380B" w:rsidRDefault="00170235" w:rsidP="00170235">
      <w:pPr>
        <w:tabs>
          <w:tab w:val="center" w:pos="4680"/>
          <w:tab w:val="left" w:pos="7170"/>
        </w:tabs>
        <w:rPr>
          <w:b/>
          <w:bCs/>
          <w:sz w:val="24"/>
          <w:szCs w:val="24"/>
        </w:rPr>
      </w:pPr>
      <w:r w:rsidRPr="009F6514">
        <w:rPr>
          <w:b/>
          <w:bCs/>
          <w:sz w:val="24"/>
          <w:szCs w:val="24"/>
        </w:rPr>
        <w:tab/>
      </w:r>
      <w:r w:rsidR="0A0614A7" w:rsidRPr="025F20C0">
        <w:rPr>
          <w:b/>
          <w:bCs/>
          <w:sz w:val="24"/>
          <w:szCs w:val="24"/>
        </w:rPr>
        <w:t>12 October 2020</w:t>
      </w:r>
      <w:r w:rsidR="72E788D1" w:rsidRPr="025F20C0">
        <w:rPr>
          <w:b/>
          <w:bCs/>
          <w:sz w:val="24"/>
          <w:szCs w:val="24"/>
        </w:rPr>
        <w:t>–</w:t>
      </w:r>
      <w:r w:rsidR="10E7A239" w:rsidRPr="025F20C0">
        <w:rPr>
          <w:b/>
          <w:bCs/>
          <w:sz w:val="24"/>
          <w:szCs w:val="24"/>
        </w:rPr>
        <w:t>06 November 2020</w:t>
      </w:r>
      <w:r w:rsidR="32E831C1" w:rsidRPr="025F20C0">
        <w:rPr>
          <w:b/>
          <w:bCs/>
          <w:sz w:val="24"/>
          <w:szCs w:val="24"/>
        </w:rPr>
        <w:t xml:space="preserve"> </w:t>
      </w:r>
      <w:r w:rsidRPr="009F6514">
        <w:rPr>
          <w:b/>
          <w:bCs/>
          <w:sz w:val="24"/>
          <w:szCs w:val="24"/>
        </w:rPr>
        <w:tab/>
      </w:r>
    </w:p>
    <w:p w14:paraId="31F618A5" w14:textId="77777777" w:rsidR="001565F9" w:rsidRPr="004B1E4E" w:rsidRDefault="001565F9" w:rsidP="418A2397">
      <w:pPr>
        <w:rPr>
          <w:sz w:val="24"/>
          <w:szCs w:val="24"/>
          <w:lang w:val="es-ES"/>
        </w:rPr>
      </w:pPr>
    </w:p>
    <w:p w14:paraId="491C494F" w14:textId="50CCADB8" w:rsidR="005132BB" w:rsidRPr="000C380B" w:rsidRDefault="000C380B" w:rsidP="418A2397">
      <w:pPr>
        <w:jc w:val="center"/>
        <w:rPr>
          <w:b/>
          <w:bCs/>
          <w:color w:val="auto"/>
          <w:sz w:val="24"/>
          <w:szCs w:val="24"/>
        </w:rPr>
      </w:pPr>
      <w:r w:rsidRPr="418A2397">
        <w:rPr>
          <w:b/>
          <w:bCs/>
          <w:color w:val="auto"/>
          <w:sz w:val="24"/>
          <w:szCs w:val="24"/>
        </w:rPr>
        <w:t xml:space="preserve">Submitted </w:t>
      </w:r>
      <w:r w:rsidR="0B56696B" w:rsidRPr="418A2397">
        <w:rPr>
          <w:b/>
          <w:bCs/>
          <w:color w:val="auto"/>
          <w:sz w:val="24"/>
          <w:szCs w:val="24"/>
        </w:rPr>
        <w:t>17 August 2020</w:t>
      </w:r>
    </w:p>
    <w:p w14:paraId="5D352D98" w14:textId="77777777" w:rsidR="000C380B" w:rsidRPr="004B1E4E" w:rsidRDefault="000C380B" w:rsidP="418A2397">
      <w:pPr>
        <w:jc w:val="both"/>
        <w:rPr>
          <w:color w:val="auto"/>
          <w:sz w:val="24"/>
          <w:szCs w:val="24"/>
        </w:rPr>
      </w:pPr>
    </w:p>
    <w:p w14:paraId="239BF7C5" w14:textId="76808A6B" w:rsidR="008214B4" w:rsidRDefault="004B1E4E" w:rsidP="418A2397">
      <w:pPr>
        <w:jc w:val="both"/>
        <w:rPr>
          <w:sz w:val="24"/>
          <w:szCs w:val="24"/>
        </w:rPr>
      </w:pPr>
      <w:r w:rsidRPr="418A2397">
        <w:rPr>
          <w:b/>
          <w:bCs/>
          <w:sz w:val="24"/>
          <w:szCs w:val="24"/>
        </w:rPr>
        <w:t xml:space="preserve">The Advocates for Human Rights </w:t>
      </w:r>
      <w:r w:rsidRPr="418A2397">
        <w:rPr>
          <w:sz w:val="24"/>
          <w:szCs w:val="24"/>
        </w:rPr>
        <w:t>(The Advocates) is a volunteer-based non</w:t>
      </w:r>
      <w:r w:rsidR="00266AA3" w:rsidRPr="418A2397">
        <w:rPr>
          <w:sz w:val="24"/>
          <w:szCs w:val="24"/>
        </w:rPr>
        <w:t>-</w:t>
      </w:r>
      <w:r w:rsidRPr="418A2397">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418A2397">
        <w:rPr>
          <w:sz w:val="24"/>
          <w:szCs w:val="24"/>
          <w:lang w:val="es-ES"/>
        </w:rPr>
        <w:t>including</w:t>
      </w:r>
      <w:proofErr w:type="spellEnd"/>
      <w:r w:rsidRPr="418A2397">
        <w:rPr>
          <w:sz w:val="24"/>
          <w:szCs w:val="24"/>
        </w:rPr>
        <w:t xml:space="preserve"> monitoring and fact finding, direct legal representation, education and training, and publications.</w:t>
      </w:r>
      <w:r w:rsidR="008214B4" w:rsidRPr="418A2397">
        <w:rPr>
          <w:sz w:val="24"/>
          <w:szCs w:val="24"/>
        </w:rPr>
        <w:t xml:space="preserve">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29517650" w14:textId="14B64246" w:rsidR="2AE41C69" w:rsidRDefault="2AE41C69" w:rsidP="418A2397">
      <w:pPr>
        <w:jc w:val="both"/>
        <w:rPr>
          <w:sz w:val="24"/>
          <w:szCs w:val="24"/>
        </w:rPr>
      </w:pPr>
    </w:p>
    <w:p w14:paraId="7997CA96" w14:textId="6CB4B535" w:rsidR="29812C53" w:rsidRDefault="29812C53" w:rsidP="418A2397">
      <w:pPr>
        <w:jc w:val="both"/>
        <w:rPr>
          <w:sz w:val="24"/>
          <w:szCs w:val="24"/>
        </w:rPr>
      </w:pPr>
      <w:r w:rsidRPr="418A2397">
        <w:rPr>
          <w:b/>
          <w:bCs/>
          <w:sz w:val="24"/>
          <w:szCs w:val="24"/>
        </w:rPr>
        <w:t>The World Coalition Against the Death Penalty</w:t>
      </w:r>
      <w:r w:rsidR="135CE737" w:rsidRPr="418A2397">
        <w:rPr>
          <w:sz w:val="24"/>
          <w:szCs w:val="24"/>
        </w:rPr>
        <w:t xml:space="preserve">, an alliance of more than </w:t>
      </w:r>
      <w:r w:rsidR="135CE737" w:rsidRPr="009F6514">
        <w:rPr>
          <w:sz w:val="24"/>
          <w:szCs w:val="24"/>
        </w:rPr>
        <w:t>1</w:t>
      </w:r>
      <w:r w:rsidR="006B1AD5">
        <w:rPr>
          <w:sz w:val="24"/>
          <w:szCs w:val="24"/>
        </w:rPr>
        <w:t>6</w:t>
      </w:r>
      <w:r w:rsidR="135CE737" w:rsidRPr="009F6514">
        <w:rPr>
          <w:sz w:val="24"/>
          <w:szCs w:val="24"/>
        </w:rPr>
        <w:t>0</w:t>
      </w:r>
      <w:r w:rsidR="135CE737" w:rsidRPr="418A2397">
        <w:rPr>
          <w:sz w:val="24"/>
          <w:szCs w:val="24"/>
        </w:rPr>
        <w:t xml:space="preserve"> NGOs, bar associations, local </w:t>
      </w:r>
      <w:proofErr w:type="gramStart"/>
      <w:r w:rsidR="135CE737" w:rsidRPr="418A2397">
        <w:rPr>
          <w:sz w:val="24"/>
          <w:szCs w:val="24"/>
        </w:rPr>
        <w:t>authorities</w:t>
      </w:r>
      <w:proofErr w:type="gramEnd"/>
      <w:r w:rsidR="135CE737" w:rsidRPr="418A2397">
        <w:rPr>
          <w:sz w:val="24"/>
          <w:szCs w:val="24"/>
        </w:rPr>
        <w:t xml:space="preserve">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317D09D9" w14:textId="77777777" w:rsidR="008214B4" w:rsidRPr="00AE35EF" w:rsidRDefault="008214B4" w:rsidP="418A2397">
      <w:pPr>
        <w:jc w:val="both"/>
        <w:rPr>
          <w:sz w:val="24"/>
          <w:szCs w:val="24"/>
        </w:rPr>
      </w:pPr>
    </w:p>
    <w:p w14:paraId="24EF9609" w14:textId="77777777" w:rsidR="00AA281D" w:rsidRPr="00CC65F5" w:rsidRDefault="00AA281D" w:rsidP="418A2397">
      <w:pPr>
        <w:jc w:val="both"/>
        <w:rPr>
          <w:b/>
          <w:bCs/>
          <w:sz w:val="24"/>
          <w:szCs w:val="24"/>
        </w:rPr>
      </w:pPr>
    </w:p>
    <w:p w14:paraId="165BA6B2" w14:textId="77777777" w:rsidR="004B1E4E" w:rsidRPr="00CC65F5" w:rsidRDefault="004B1E4E" w:rsidP="418A2397">
      <w:pPr>
        <w:rPr>
          <w:b/>
          <w:bCs/>
          <w:color w:val="auto"/>
          <w:sz w:val="24"/>
          <w:szCs w:val="24"/>
        </w:rPr>
      </w:pPr>
    </w:p>
    <w:p w14:paraId="5516C2D2" w14:textId="77777777" w:rsidR="004B1E4E" w:rsidRPr="004B1E4E" w:rsidRDefault="004B1E4E" w:rsidP="418A2397">
      <w:pPr>
        <w:jc w:val="center"/>
        <w:rPr>
          <w:b/>
          <w:bCs/>
          <w:caps/>
          <w:color w:val="auto"/>
          <w:sz w:val="24"/>
          <w:szCs w:val="24"/>
        </w:rPr>
      </w:pPr>
      <w:r w:rsidRPr="418A2397">
        <w:rPr>
          <w:color w:val="auto"/>
          <w:sz w:val="24"/>
          <w:szCs w:val="24"/>
        </w:rPr>
        <w:br w:type="page"/>
      </w:r>
      <w:r w:rsidRPr="418A2397">
        <w:rPr>
          <w:b/>
          <w:bCs/>
          <w:caps/>
          <w:color w:val="auto"/>
          <w:sz w:val="24"/>
          <w:szCs w:val="24"/>
        </w:rPr>
        <w:lastRenderedPageBreak/>
        <w:t>Executive Summary</w:t>
      </w:r>
    </w:p>
    <w:p w14:paraId="653CC90E" w14:textId="77777777" w:rsidR="004B1E4E" w:rsidRDefault="004B1E4E" w:rsidP="418A2397">
      <w:pPr>
        <w:rPr>
          <w:color w:val="auto"/>
          <w:sz w:val="24"/>
          <w:szCs w:val="24"/>
        </w:rPr>
      </w:pPr>
    </w:p>
    <w:p w14:paraId="1AD6D763" w14:textId="4E810A0B" w:rsidR="634D6796" w:rsidRDefault="634D6796" w:rsidP="25EAA7A5">
      <w:pPr>
        <w:numPr>
          <w:ilvl w:val="0"/>
          <w:numId w:val="8"/>
        </w:numPr>
        <w:spacing w:after="120"/>
        <w:ind w:left="360"/>
        <w:jc w:val="both"/>
        <w:rPr>
          <w:color w:val="auto"/>
          <w:sz w:val="24"/>
          <w:szCs w:val="24"/>
        </w:rPr>
      </w:pPr>
      <w:r w:rsidRPr="25EAA7A5">
        <w:rPr>
          <w:sz w:val="24"/>
          <w:szCs w:val="24"/>
        </w:rPr>
        <w:t xml:space="preserve">Since </w:t>
      </w:r>
      <w:r w:rsidR="00170235" w:rsidRPr="25EAA7A5">
        <w:rPr>
          <w:sz w:val="24"/>
          <w:szCs w:val="24"/>
        </w:rPr>
        <w:t>the Human Rights Committee’s last</w:t>
      </w:r>
      <w:r w:rsidRPr="25EAA7A5">
        <w:rPr>
          <w:sz w:val="24"/>
          <w:szCs w:val="24"/>
        </w:rPr>
        <w:t xml:space="preserve"> review, human rights abuses in Libya have </w:t>
      </w:r>
      <w:r w:rsidR="00170235" w:rsidRPr="25EAA7A5">
        <w:rPr>
          <w:sz w:val="24"/>
          <w:szCs w:val="24"/>
        </w:rPr>
        <w:t xml:space="preserve">become </w:t>
      </w:r>
      <w:r w:rsidRPr="25EAA7A5">
        <w:rPr>
          <w:sz w:val="24"/>
          <w:szCs w:val="24"/>
        </w:rPr>
        <w:t xml:space="preserve">worse and more widespread. </w:t>
      </w:r>
      <w:r w:rsidR="00170235" w:rsidRPr="25EAA7A5">
        <w:rPr>
          <w:sz w:val="24"/>
          <w:szCs w:val="24"/>
        </w:rPr>
        <w:t>Death penalty practices lack transparency, and insufficient government control over detention centers limits efforts to monitor and report detention conditions. Moreover, c</w:t>
      </w:r>
      <w:r w:rsidRPr="25EAA7A5">
        <w:rPr>
          <w:sz w:val="24"/>
          <w:szCs w:val="24"/>
        </w:rPr>
        <w:t xml:space="preserve">ivil society organizations continue to report instances of widespread torture, arbitrary detention, enforced disappearances, often carried out by the Government of Libya and </w:t>
      </w:r>
      <w:r w:rsidR="05418A77" w:rsidRPr="25EAA7A5">
        <w:rPr>
          <w:sz w:val="24"/>
          <w:szCs w:val="24"/>
        </w:rPr>
        <w:t>S</w:t>
      </w:r>
      <w:r w:rsidRPr="25EAA7A5">
        <w:rPr>
          <w:sz w:val="24"/>
          <w:szCs w:val="24"/>
        </w:rPr>
        <w:t>tate-</w:t>
      </w:r>
      <w:r w:rsidR="47C5B187" w:rsidRPr="25EAA7A5">
        <w:rPr>
          <w:sz w:val="24"/>
          <w:szCs w:val="24"/>
        </w:rPr>
        <w:t>a</w:t>
      </w:r>
      <w:r w:rsidRPr="25EAA7A5">
        <w:rPr>
          <w:sz w:val="24"/>
          <w:szCs w:val="24"/>
        </w:rPr>
        <w:t xml:space="preserve">ffiliated actors. </w:t>
      </w:r>
      <w:r w:rsidR="4F0D9C21" w:rsidRPr="25EAA7A5">
        <w:rPr>
          <w:sz w:val="24"/>
          <w:szCs w:val="24"/>
        </w:rPr>
        <w:t xml:space="preserve">People </w:t>
      </w:r>
      <w:r w:rsidR="005D47C7" w:rsidRPr="25EAA7A5">
        <w:rPr>
          <w:sz w:val="24"/>
          <w:szCs w:val="24"/>
        </w:rPr>
        <w:t xml:space="preserve">accused of crimes </w:t>
      </w:r>
      <w:r w:rsidR="4F0D9C21" w:rsidRPr="25EAA7A5">
        <w:rPr>
          <w:sz w:val="24"/>
          <w:szCs w:val="24"/>
        </w:rPr>
        <w:t xml:space="preserve">do not receive adequate legal representation, and the Libyan judiciary is often unable to operate </w:t>
      </w:r>
      <w:r w:rsidR="004C34D5" w:rsidRPr="25EAA7A5">
        <w:rPr>
          <w:sz w:val="24"/>
          <w:szCs w:val="24"/>
        </w:rPr>
        <w:t xml:space="preserve">effectively </w:t>
      </w:r>
      <w:r w:rsidR="4F0D9C21" w:rsidRPr="25EAA7A5">
        <w:rPr>
          <w:sz w:val="24"/>
          <w:szCs w:val="24"/>
        </w:rPr>
        <w:t>due to security co</w:t>
      </w:r>
      <w:r w:rsidR="7150E20D" w:rsidRPr="25EAA7A5">
        <w:rPr>
          <w:sz w:val="24"/>
          <w:szCs w:val="24"/>
        </w:rPr>
        <w:t>ncerns.</w:t>
      </w:r>
    </w:p>
    <w:p w14:paraId="45F69E58" w14:textId="44E8AA91" w:rsidR="616238D8" w:rsidRDefault="616238D8" w:rsidP="6BA28100">
      <w:pPr>
        <w:spacing w:after="120"/>
        <w:jc w:val="center"/>
        <w:rPr>
          <w:b/>
          <w:bCs/>
          <w:sz w:val="24"/>
          <w:szCs w:val="24"/>
        </w:rPr>
      </w:pPr>
      <w:r w:rsidRPr="6BA28100">
        <w:rPr>
          <w:b/>
          <w:bCs/>
          <w:color w:val="auto"/>
          <w:sz w:val="24"/>
          <w:szCs w:val="24"/>
        </w:rPr>
        <w:t>Libya</w:t>
      </w:r>
      <w:r w:rsidR="008F2F99" w:rsidRPr="6BA28100">
        <w:rPr>
          <w:b/>
          <w:bCs/>
          <w:color w:val="auto"/>
          <w:sz w:val="24"/>
          <w:szCs w:val="24"/>
        </w:rPr>
        <w:t xml:space="preserve"> fails to uphold its obligations under the </w:t>
      </w:r>
      <w:r w:rsidR="299E272B" w:rsidRPr="6BA28100">
        <w:rPr>
          <w:b/>
          <w:bCs/>
          <w:color w:val="auto"/>
          <w:sz w:val="24"/>
          <w:szCs w:val="24"/>
        </w:rPr>
        <w:t>I</w:t>
      </w:r>
      <w:r w:rsidR="5CF50379" w:rsidRPr="6BA28100">
        <w:rPr>
          <w:b/>
          <w:bCs/>
          <w:sz w:val="24"/>
          <w:szCs w:val="24"/>
        </w:rPr>
        <w:t>nternational Covenant on Civil and Political Rights</w:t>
      </w:r>
    </w:p>
    <w:p w14:paraId="59F5BE96" w14:textId="76AF331E" w:rsidR="004B1E4E" w:rsidRDefault="00D10CD5" w:rsidP="00734434">
      <w:pPr>
        <w:keepNext/>
        <w:numPr>
          <w:ilvl w:val="0"/>
          <w:numId w:val="9"/>
        </w:numPr>
        <w:spacing w:before="240" w:after="120"/>
        <w:ind w:left="720" w:hanging="360"/>
        <w:jc w:val="both"/>
        <w:rPr>
          <w:b/>
          <w:bCs/>
          <w:color w:val="auto"/>
          <w:sz w:val="24"/>
          <w:szCs w:val="24"/>
        </w:rPr>
      </w:pPr>
      <w:r w:rsidRPr="025F20C0">
        <w:rPr>
          <w:b/>
          <w:bCs/>
          <w:color w:val="auto"/>
          <w:sz w:val="24"/>
          <w:szCs w:val="24"/>
        </w:rPr>
        <w:t xml:space="preserve">The State has not yet ratified the Second Optional </w:t>
      </w:r>
      <w:r w:rsidR="55C72B7F" w:rsidRPr="025F20C0">
        <w:rPr>
          <w:b/>
          <w:bCs/>
          <w:color w:val="auto"/>
          <w:sz w:val="24"/>
          <w:szCs w:val="24"/>
        </w:rPr>
        <w:t xml:space="preserve">Protocol </w:t>
      </w:r>
      <w:r w:rsidR="726F8E87" w:rsidRPr="025F20C0">
        <w:rPr>
          <w:b/>
          <w:bCs/>
          <w:color w:val="auto"/>
          <w:sz w:val="24"/>
          <w:szCs w:val="24"/>
        </w:rPr>
        <w:t>to the I</w:t>
      </w:r>
      <w:r w:rsidR="25780179" w:rsidRPr="025F20C0">
        <w:rPr>
          <w:b/>
          <w:bCs/>
          <w:color w:val="auto"/>
          <w:sz w:val="24"/>
          <w:szCs w:val="24"/>
        </w:rPr>
        <w:t xml:space="preserve">CCPR </w:t>
      </w:r>
      <w:r w:rsidR="726F8E87" w:rsidRPr="025F20C0">
        <w:rPr>
          <w:b/>
          <w:bCs/>
          <w:color w:val="auto"/>
          <w:sz w:val="24"/>
          <w:szCs w:val="24"/>
        </w:rPr>
        <w:t>aimed at the abolition of the death penalty</w:t>
      </w:r>
      <w:r w:rsidR="6EA9BCFF" w:rsidRPr="025F20C0">
        <w:rPr>
          <w:b/>
          <w:bCs/>
          <w:color w:val="auto"/>
          <w:sz w:val="24"/>
          <w:szCs w:val="24"/>
        </w:rPr>
        <w:t xml:space="preserve"> and maintains the death penalty as a legal form of punishment.</w:t>
      </w:r>
    </w:p>
    <w:p w14:paraId="21A1A735" w14:textId="19D66DC5" w:rsidR="0B3666E6" w:rsidRDefault="6B359E56" w:rsidP="6BA28100">
      <w:pPr>
        <w:numPr>
          <w:ilvl w:val="0"/>
          <w:numId w:val="8"/>
        </w:numPr>
        <w:spacing w:after="120" w:line="259" w:lineRule="auto"/>
        <w:ind w:left="360"/>
        <w:jc w:val="both"/>
        <w:rPr>
          <w:color w:val="auto"/>
          <w:sz w:val="24"/>
          <w:szCs w:val="24"/>
        </w:rPr>
      </w:pPr>
      <w:r w:rsidRPr="418A2397">
        <w:rPr>
          <w:color w:val="auto"/>
          <w:sz w:val="24"/>
          <w:szCs w:val="24"/>
        </w:rPr>
        <w:t xml:space="preserve">The Human Rights Committee </w:t>
      </w:r>
      <w:r w:rsidR="005D47C7" w:rsidRPr="009F6514">
        <w:rPr>
          <w:color w:val="auto"/>
          <w:sz w:val="24"/>
          <w:szCs w:val="24"/>
        </w:rPr>
        <w:t>observed</w:t>
      </w:r>
      <w:r w:rsidRPr="418A2397">
        <w:rPr>
          <w:color w:val="auto"/>
          <w:sz w:val="24"/>
          <w:szCs w:val="24"/>
        </w:rPr>
        <w:t xml:space="preserve"> in its </w:t>
      </w:r>
      <w:r w:rsidR="6237E335" w:rsidRPr="418A2397">
        <w:rPr>
          <w:color w:val="auto"/>
          <w:sz w:val="24"/>
          <w:szCs w:val="24"/>
        </w:rPr>
        <w:t xml:space="preserve">2007 Concluding Observations </w:t>
      </w:r>
      <w:r w:rsidR="556AAB0A" w:rsidRPr="418A2397">
        <w:rPr>
          <w:color w:val="auto"/>
          <w:sz w:val="24"/>
          <w:szCs w:val="24"/>
        </w:rPr>
        <w:t xml:space="preserve">that </w:t>
      </w:r>
      <w:r w:rsidR="004C34D5" w:rsidRPr="009F6514">
        <w:rPr>
          <w:color w:val="auto"/>
          <w:sz w:val="24"/>
          <w:szCs w:val="24"/>
        </w:rPr>
        <w:t>Libya’s</w:t>
      </w:r>
      <w:r w:rsidR="069FB356" w:rsidRPr="418A2397">
        <w:rPr>
          <w:color w:val="auto"/>
          <w:sz w:val="24"/>
          <w:szCs w:val="24"/>
        </w:rPr>
        <w:t xml:space="preserve"> legal system </w:t>
      </w:r>
      <w:r w:rsidR="51951C03" w:rsidRPr="418A2397">
        <w:rPr>
          <w:color w:val="auto"/>
          <w:sz w:val="24"/>
          <w:szCs w:val="24"/>
        </w:rPr>
        <w:t xml:space="preserve">allows for the application of the death penalty </w:t>
      </w:r>
      <w:r w:rsidR="6283047B" w:rsidRPr="418A2397">
        <w:rPr>
          <w:color w:val="auto"/>
          <w:sz w:val="24"/>
          <w:szCs w:val="24"/>
        </w:rPr>
        <w:t xml:space="preserve">for </w:t>
      </w:r>
      <w:r w:rsidR="57E01434" w:rsidRPr="418A2397">
        <w:rPr>
          <w:color w:val="auto"/>
          <w:sz w:val="24"/>
          <w:szCs w:val="24"/>
        </w:rPr>
        <w:t xml:space="preserve">vaguely defined </w:t>
      </w:r>
      <w:r w:rsidR="6283047B" w:rsidRPr="418A2397">
        <w:rPr>
          <w:color w:val="auto"/>
          <w:sz w:val="24"/>
          <w:szCs w:val="24"/>
        </w:rPr>
        <w:t>offences</w:t>
      </w:r>
      <w:r w:rsidR="067C4249" w:rsidRPr="418A2397">
        <w:rPr>
          <w:color w:val="auto"/>
          <w:sz w:val="24"/>
          <w:szCs w:val="24"/>
        </w:rPr>
        <w:t xml:space="preserve"> that</w:t>
      </w:r>
      <w:r w:rsidR="46E1B458" w:rsidRPr="418A2397">
        <w:rPr>
          <w:color w:val="auto"/>
          <w:sz w:val="24"/>
          <w:szCs w:val="24"/>
        </w:rPr>
        <w:t xml:space="preserve"> </w:t>
      </w:r>
      <w:r w:rsidR="3FDDE358" w:rsidRPr="009F6514">
        <w:rPr>
          <w:color w:val="auto"/>
          <w:sz w:val="24"/>
          <w:szCs w:val="24"/>
        </w:rPr>
        <w:t>“</w:t>
      </w:r>
      <w:r w:rsidR="24EA3329" w:rsidRPr="418A2397">
        <w:rPr>
          <w:color w:val="auto"/>
          <w:sz w:val="24"/>
          <w:szCs w:val="24"/>
        </w:rPr>
        <w:t>can</w:t>
      </w:r>
      <w:r w:rsidR="46E1B458" w:rsidRPr="418A2397">
        <w:rPr>
          <w:color w:val="auto"/>
          <w:sz w:val="24"/>
          <w:szCs w:val="24"/>
        </w:rPr>
        <w:t>not necessarily</w:t>
      </w:r>
      <w:r w:rsidR="0A71BEE9" w:rsidRPr="418A2397">
        <w:rPr>
          <w:color w:val="auto"/>
          <w:sz w:val="24"/>
          <w:szCs w:val="24"/>
        </w:rPr>
        <w:t xml:space="preserve"> be </w:t>
      </w:r>
      <w:r w:rsidR="08F1C72E" w:rsidRPr="418A2397">
        <w:rPr>
          <w:color w:val="auto"/>
          <w:sz w:val="24"/>
          <w:szCs w:val="24"/>
        </w:rPr>
        <w:t xml:space="preserve">characterized </w:t>
      </w:r>
      <w:r w:rsidR="08F1C72E" w:rsidRPr="025F20C0">
        <w:rPr>
          <w:sz w:val="24"/>
          <w:szCs w:val="24"/>
        </w:rPr>
        <w:t>as the most serious crimes under article 6, paragraph 2, of the Covenant</w:t>
      </w:r>
      <w:r w:rsidR="08F1C72E" w:rsidRPr="009F6514">
        <w:rPr>
          <w:sz w:val="24"/>
          <w:szCs w:val="24"/>
        </w:rPr>
        <w:t>.</w:t>
      </w:r>
      <w:r w:rsidR="79BE7E45" w:rsidRPr="009F6514">
        <w:rPr>
          <w:sz w:val="24"/>
          <w:szCs w:val="24"/>
        </w:rPr>
        <w:t>”</w:t>
      </w:r>
      <w:r w:rsidRPr="25EAA7A5">
        <w:rPr>
          <w:rStyle w:val="FootnoteReference"/>
          <w:color w:val="auto"/>
          <w:sz w:val="24"/>
          <w:szCs w:val="24"/>
        </w:rPr>
        <w:footnoteReference w:id="2"/>
      </w:r>
      <w:r w:rsidR="6283047B" w:rsidRPr="418A2397">
        <w:rPr>
          <w:color w:val="auto"/>
          <w:sz w:val="24"/>
          <w:szCs w:val="24"/>
        </w:rPr>
        <w:t xml:space="preserve">The Committee </w:t>
      </w:r>
      <w:r w:rsidR="5696DB55" w:rsidRPr="418A2397">
        <w:rPr>
          <w:color w:val="auto"/>
          <w:sz w:val="24"/>
          <w:szCs w:val="24"/>
        </w:rPr>
        <w:t>further</w:t>
      </w:r>
      <w:r w:rsidR="6283047B" w:rsidRPr="418A2397">
        <w:rPr>
          <w:color w:val="auto"/>
          <w:sz w:val="24"/>
          <w:szCs w:val="24"/>
        </w:rPr>
        <w:t xml:space="preserve"> </w:t>
      </w:r>
      <w:r w:rsidR="005D47C7" w:rsidRPr="009F6514">
        <w:rPr>
          <w:color w:val="auto"/>
          <w:sz w:val="24"/>
          <w:szCs w:val="24"/>
        </w:rPr>
        <w:t>observed that</w:t>
      </w:r>
      <w:r w:rsidR="17886033" w:rsidRPr="418A2397">
        <w:rPr>
          <w:color w:val="auto"/>
          <w:sz w:val="24"/>
          <w:szCs w:val="24"/>
        </w:rPr>
        <w:t xml:space="preserve"> the State delegation did not provide sufficient data regarding the number of individuals executed or </w:t>
      </w:r>
      <w:r w:rsidR="2FC635E0" w:rsidRPr="418A2397">
        <w:rPr>
          <w:color w:val="auto"/>
          <w:sz w:val="24"/>
          <w:szCs w:val="24"/>
        </w:rPr>
        <w:t>sentenced to death in recent years</w:t>
      </w:r>
      <w:r w:rsidR="216547E8" w:rsidRPr="418A2397">
        <w:rPr>
          <w:color w:val="auto"/>
          <w:sz w:val="24"/>
          <w:szCs w:val="24"/>
        </w:rPr>
        <w:t>.</w:t>
      </w:r>
      <w:r w:rsidR="0B3666E6" w:rsidRPr="025F20C0">
        <w:rPr>
          <w:rStyle w:val="FootnoteReference"/>
          <w:color w:val="auto"/>
          <w:sz w:val="24"/>
          <w:szCs w:val="24"/>
        </w:rPr>
        <w:footnoteReference w:id="3"/>
      </w:r>
      <w:r w:rsidR="004C34D5" w:rsidRPr="009F6514">
        <w:rPr>
          <w:color w:val="auto"/>
          <w:sz w:val="24"/>
          <w:szCs w:val="24"/>
        </w:rPr>
        <w:t xml:space="preserve"> </w:t>
      </w:r>
      <w:r w:rsidR="755D4292" w:rsidRPr="418A2397">
        <w:rPr>
          <w:color w:val="auto"/>
          <w:sz w:val="24"/>
          <w:szCs w:val="24"/>
        </w:rPr>
        <w:t xml:space="preserve">The Committee recommended that </w:t>
      </w:r>
      <w:r w:rsidR="004C34D5" w:rsidRPr="009F6514">
        <w:rPr>
          <w:color w:val="auto"/>
          <w:sz w:val="24"/>
          <w:szCs w:val="24"/>
        </w:rPr>
        <w:t>Libya</w:t>
      </w:r>
      <w:r w:rsidR="755D4292" w:rsidRPr="418A2397">
        <w:rPr>
          <w:color w:val="auto"/>
          <w:sz w:val="24"/>
          <w:szCs w:val="24"/>
        </w:rPr>
        <w:t xml:space="preserve"> take urgent steps </w:t>
      </w:r>
      <w:r w:rsidR="77722399" w:rsidRPr="418A2397">
        <w:rPr>
          <w:color w:val="auto"/>
          <w:sz w:val="24"/>
          <w:szCs w:val="24"/>
        </w:rPr>
        <w:t>to reduce the number of crimes eligible for the death penalt</w:t>
      </w:r>
      <w:r w:rsidR="386C65A5" w:rsidRPr="418A2397">
        <w:rPr>
          <w:color w:val="auto"/>
          <w:sz w:val="24"/>
          <w:szCs w:val="24"/>
        </w:rPr>
        <w:t>y, abolish the death penalty</w:t>
      </w:r>
      <w:r w:rsidR="709329F9" w:rsidRPr="418A2397">
        <w:rPr>
          <w:color w:val="auto"/>
          <w:sz w:val="24"/>
          <w:szCs w:val="24"/>
        </w:rPr>
        <w:t xml:space="preserve">, </w:t>
      </w:r>
      <w:r w:rsidR="386C65A5" w:rsidRPr="418A2397">
        <w:rPr>
          <w:color w:val="auto"/>
          <w:sz w:val="24"/>
          <w:szCs w:val="24"/>
        </w:rPr>
        <w:t>consider the ratification of the Second Optional Protocol to the Covenant, and provide the Committee with more detailed data regarding death sent</w:t>
      </w:r>
      <w:r w:rsidR="0241C205" w:rsidRPr="418A2397">
        <w:rPr>
          <w:color w:val="auto"/>
          <w:sz w:val="24"/>
          <w:szCs w:val="24"/>
        </w:rPr>
        <w:t>ences imposed.</w:t>
      </w:r>
      <w:r w:rsidR="0B3666E6" w:rsidRPr="418A2397">
        <w:rPr>
          <w:rStyle w:val="FootnoteReference"/>
          <w:color w:val="auto"/>
          <w:sz w:val="24"/>
          <w:szCs w:val="24"/>
        </w:rPr>
        <w:footnoteReference w:id="4"/>
      </w:r>
      <w:r w:rsidR="755D4292" w:rsidRPr="418A2397">
        <w:rPr>
          <w:color w:val="auto"/>
          <w:sz w:val="24"/>
          <w:szCs w:val="24"/>
        </w:rPr>
        <w:t xml:space="preserve"> </w:t>
      </w:r>
    </w:p>
    <w:p w14:paraId="788C7B3D" w14:textId="65A9CDEF" w:rsidR="00974E48" w:rsidRDefault="31869018" w:rsidP="43C5181D">
      <w:pPr>
        <w:numPr>
          <w:ilvl w:val="0"/>
          <w:numId w:val="8"/>
        </w:numPr>
        <w:spacing w:after="120" w:line="259" w:lineRule="auto"/>
        <w:ind w:left="360"/>
        <w:jc w:val="both"/>
        <w:rPr>
          <w:color w:val="auto"/>
          <w:sz w:val="24"/>
          <w:szCs w:val="24"/>
        </w:rPr>
      </w:pPr>
      <w:r w:rsidRPr="418A2397">
        <w:rPr>
          <w:color w:val="auto"/>
          <w:sz w:val="24"/>
          <w:szCs w:val="24"/>
        </w:rPr>
        <w:t xml:space="preserve">Libya’s 2015 State Party Report </w:t>
      </w:r>
      <w:r w:rsidR="005D47C7" w:rsidRPr="009F6514">
        <w:rPr>
          <w:color w:val="auto"/>
          <w:sz w:val="24"/>
          <w:szCs w:val="24"/>
        </w:rPr>
        <w:t>asserts</w:t>
      </w:r>
      <w:r w:rsidR="6133825F" w:rsidRPr="418A2397">
        <w:rPr>
          <w:color w:val="auto"/>
          <w:sz w:val="24"/>
          <w:szCs w:val="24"/>
        </w:rPr>
        <w:t xml:space="preserve"> that the Libyan </w:t>
      </w:r>
      <w:r w:rsidR="6A285C36" w:rsidRPr="418A2397">
        <w:rPr>
          <w:color w:val="auto"/>
          <w:sz w:val="24"/>
          <w:szCs w:val="24"/>
        </w:rPr>
        <w:t>Government</w:t>
      </w:r>
      <w:r w:rsidR="6133825F" w:rsidRPr="418A2397">
        <w:rPr>
          <w:color w:val="auto"/>
          <w:sz w:val="24"/>
          <w:szCs w:val="24"/>
        </w:rPr>
        <w:t xml:space="preserve"> </w:t>
      </w:r>
      <w:r w:rsidR="0EBB61AA" w:rsidRPr="418A2397">
        <w:rPr>
          <w:color w:val="auto"/>
          <w:sz w:val="24"/>
          <w:szCs w:val="24"/>
        </w:rPr>
        <w:t>ha</w:t>
      </w:r>
      <w:r w:rsidR="6133825F" w:rsidRPr="418A2397">
        <w:rPr>
          <w:color w:val="auto"/>
          <w:sz w:val="24"/>
          <w:szCs w:val="24"/>
        </w:rPr>
        <w:t>s tak</w:t>
      </w:r>
      <w:r w:rsidR="0F0740F5" w:rsidRPr="418A2397">
        <w:rPr>
          <w:color w:val="auto"/>
          <w:sz w:val="24"/>
          <w:szCs w:val="24"/>
        </w:rPr>
        <w:t>en</w:t>
      </w:r>
      <w:r w:rsidR="6133825F" w:rsidRPr="418A2397">
        <w:rPr>
          <w:color w:val="auto"/>
          <w:sz w:val="24"/>
          <w:szCs w:val="24"/>
        </w:rPr>
        <w:t xml:space="preserve"> efforts to restrict the use of the death penalty. The report</w:t>
      </w:r>
      <w:r w:rsidR="39AD5135" w:rsidRPr="418A2397">
        <w:rPr>
          <w:color w:val="auto"/>
          <w:sz w:val="24"/>
          <w:szCs w:val="24"/>
        </w:rPr>
        <w:t xml:space="preserve"> points to</w:t>
      </w:r>
      <w:r w:rsidR="6133825F" w:rsidRPr="418A2397">
        <w:rPr>
          <w:color w:val="auto"/>
          <w:sz w:val="24"/>
          <w:szCs w:val="24"/>
        </w:rPr>
        <w:t xml:space="preserve"> legal measure</w:t>
      </w:r>
      <w:r w:rsidR="29F750C1" w:rsidRPr="418A2397">
        <w:rPr>
          <w:color w:val="auto"/>
          <w:sz w:val="24"/>
          <w:szCs w:val="24"/>
        </w:rPr>
        <w:t>s</w:t>
      </w:r>
      <w:r w:rsidR="6133825F" w:rsidRPr="418A2397">
        <w:rPr>
          <w:color w:val="auto"/>
          <w:sz w:val="24"/>
          <w:szCs w:val="24"/>
        </w:rPr>
        <w:t xml:space="preserve"> such as the payment of blood money and renunciation by guardians of their rights</w:t>
      </w:r>
      <w:r w:rsidR="1F583FD2" w:rsidRPr="418A2397">
        <w:rPr>
          <w:color w:val="auto"/>
          <w:sz w:val="24"/>
          <w:szCs w:val="24"/>
        </w:rPr>
        <w:t xml:space="preserve"> a</w:t>
      </w:r>
      <w:r w:rsidR="0DD8F4F3" w:rsidRPr="418A2397">
        <w:rPr>
          <w:color w:val="auto"/>
          <w:sz w:val="24"/>
          <w:szCs w:val="24"/>
        </w:rPr>
        <w:t>s</w:t>
      </w:r>
      <w:r w:rsidR="1F583FD2" w:rsidRPr="418A2397">
        <w:rPr>
          <w:color w:val="auto"/>
          <w:sz w:val="24"/>
          <w:szCs w:val="24"/>
        </w:rPr>
        <w:t xml:space="preserve"> successful examples of Libya’s efforts to </w:t>
      </w:r>
      <w:r w:rsidR="5AC302E0" w:rsidRPr="418A2397">
        <w:rPr>
          <w:color w:val="auto"/>
          <w:sz w:val="24"/>
          <w:szCs w:val="24"/>
        </w:rPr>
        <w:t>limit</w:t>
      </w:r>
      <w:r w:rsidR="1F583FD2" w:rsidRPr="418A2397">
        <w:rPr>
          <w:color w:val="auto"/>
          <w:sz w:val="24"/>
          <w:szCs w:val="24"/>
        </w:rPr>
        <w:t xml:space="preserve"> the use of the death penalty. </w:t>
      </w:r>
      <w:r w:rsidR="70A2FACB" w:rsidRPr="418A2397">
        <w:rPr>
          <w:color w:val="auto"/>
          <w:sz w:val="24"/>
          <w:szCs w:val="24"/>
        </w:rPr>
        <w:t xml:space="preserve">The State Party Report also </w:t>
      </w:r>
      <w:r w:rsidR="005D47C7" w:rsidRPr="009F6514">
        <w:rPr>
          <w:color w:val="auto"/>
          <w:sz w:val="24"/>
          <w:szCs w:val="24"/>
        </w:rPr>
        <w:t>draws</w:t>
      </w:r>
      <w:r w:rsidR="60095069" w:rsidRPr="418A2397">
        <w:rPr>
          <w:color w:val="auto"/>
          <w:sz w:val="24"/>
          <w:szCs w:val="24"/>
        </w:rPr>
        <w:t xml:space="preserve"> attention to</w:t>
      </w:r>
      <w:r w:rsidR="70A2FACB" w:rsidRPr="418A2397">
        <w:rPr>
          <w:color w:val="auto"/>
          <w:sz w:val="24"/>
          <w:szCs w:val="24"/>
        </w:rPr>
        <w:t xml:space="preserve"> the existing conflict between </w:t>
      </w:r>
      <w:r w:rsidR="004C34D5" w:rsidRPr="009F6514">
        <w:rPr>
          <w:color w:val="auto"/>
          <w:sz w:val="24"/>
          <w:szCs w:val="24"/>
        </w:rPr>
        <w:t>people</w:t>
      </w:r>
      <w:r w:rsidR="70A2FACB" w:rsidRPr="418A2397">
        <w:rPr>
          <w:color w:val="auto"/>
          <w:sz w:val="24"/>
          <w:szCs w:val="24"/>
        </w:rPr>
        <w:t xml:space="preserve"> who favor the abolition of the death penalty and </w:t>
      </w:r>
      <w:r w:rsidR="004C34D5" w:rsidRPr="009F6514">
        <w:rPr>
          <w:color w:val="auto"/>
          <w:sz w:val="24"/>
          <w:szCs w:val="24"/>
        </w:rPr>
        <w:t>people</w:t>
      </w:r>
      <w:r w:rsidR="70A2FACB" w:rsidRPr="418A2397">
        <w:rPr>
          <w:color w:val="auto"/>
          <w:sz w:val="24"/>
          <w:szCs w:val="24"/>
        </w:rPr>
        <w:t xml:space="preserve"> who advocate to maintain it.</w:t>
      </w:r>
      <w:r w:rsidR="00974E48" w:rsidRPr="418A2397">
        <w:rPr>
          <w:rStyle w:val="FootnoteReference"/>
          <w:color w:val="auto"/>
          <w:sz w:val="24"/>
          <w:szCs w:val="24"/>
        </w:rPr>
        <w:footnoteReference w:id="5"/>
      </w:r>
    </w:p>
    <w:p w14:paraId="26DCDEFB" w14:textId="31E6F073" w:rsidR="34D0779E" w:rsidRDefault="1D345FA4" w:rsidP="65B86087">
      <w:pPr>
        <w:numPr>
          <w:ilvl w:val="0"/>
          <w:numId w:val="8"/>
        </w:numPr>
        <w:spacing w:after="120" w:line="259" w:lineRule="auto"/>
        <w:ind w:left="360"/>
        <w:jc w:val="both"/>
        <w:rPr>
          <w:color w:val="000000" w:themeColor="text1"/>
          <w:sz w:val="24"/>
          <w:szCs w:val="24"/>
        </w:rPr>
      </w:pPr>
      <w:r w:rsidRPr="65B86087">
        <w:rPr>
          <w:sz w:val="24"/>
          <w:szCs w:val="24"/>
        </w:rPr>
        <w:t xml:space="preserve">According to Human Rights Watch, </w:t>
      </w:r>
      <w:r w:rsidR="004C34D5" w:rsidRPr="009F6514">
        <w:rPr>
          <w:sz w:val="24"/>
          <w:szCs w:val="24"/>
        </w:rPr>
        <w:t xml:space="preserve">since 2010 </w:t>
      </w:r>
      <w:r w:rsidR="584312BC" w:rsidRPr="65B86087">
        <w:rPr>
          <w:sz w:val="24"/>
          <w:szCs w:val="24"/>
        </w:rPr>
        <w:t>Libya has</w:t>
      </w:r>
      <w:r w:rsidR="25C1ED51" w:rsidRPr="65B86087">
        <w:rPr>
          <w:sz w:val="24"/>
          <w:szCs w:val="24"/>
        </w:rPr>
        <w:t xml:space="preserve"> </w:t>
      </w:r>
      <w:r w:rsidR="70612E76" w:rsidRPr="65B86087">
        <w:rPr>
          <w:sz w:val="24"/>
          <w:szCs w:val="24"/>
        </w:rPr>
        <w:t>observed</w:t>
      </w:r>
      <w:r w:rsidR="56EC4DCB" w:rsidRPr="65B86087">
        <w:rPr>
          <w:sz w:val="24"/>
          <w:szCs w:val="24"/>
        </w:rPr>
        <w:t xml:space="preserve"> a </w:t>
      </w:r>
      <w:r w:rsidR="584312BC" w:rsidRPr="65B86087">
        <w:rPr>
          <w:sz w:val="24"/>
          <w:szCs w:val="24"/>
        </w:rPr>
        <w:t>de facto moratorium on executions</w:t>
      </w:r>
      <w:r w:rsidR="004C34D5" w:rsidRPr="009F6514">
        <w:rPr>
          <w:sz w:val="24"/>
          <w:szCs w:val="24"/>
        </w:rPr>
        <w:t>,</w:t>
      </w:r>
      <w:r w:rsidR="34D0779E" w:rsidRPr="009F6514">
        <w:rPr>
          <w:rStyle w:val="FootnoteReference"/>
          <w:sz w:val="24"/>
          <w:szCs w:val="24"/>
        </w:rPr>
        <w:footnoteReference w:id="6"/>
      </w:r>
      <w:r w:rsidR="0B48DDEA" w:rsidRPr="009F6514">
        <w:rPr>
          <w:sz w:val="24"/>
          <w:szCs w:val="24"/>
        </w:rPr>
        <w:t xml:space="preserve"> </w:t>
      </w:r>
      <w:r w:rsidR="004C34D5" w:rsidRPr="009F6514">
        <w:rPr>
          <w:sz w:val="24"/>
          <w:szCs w:val="24"/>
        </w:rPr>
        <w:t>but</w:t>
      </w:r>
      <w:r w:rsidR="7019CD62" w:rsidRPr="65B86087">
        <w:rPr>
          <w:sz w:val="24"/>
          <w:szCs w:val="24"/>
        </w:rPr>
        <w:t xml:space="preserve"> b</w:t>
      </w:r>
      <w:r w:rsidR="584312BC" w:rsidRPr="65B86087">
        <w:rPr>
          <w:sz w:val="24"/>
          <w:szCs w:val="24"/>
        </w:rPr>
        <w:t xml:space="preserve">oth military and civilian courts in Libya continue to pronounce death </w:t>
      </w:r>
      <w:r w:rsidR="584312BC" w:rsidRPr="65B86087">
        <w:rPr>
          <w:sz w:val="24"/>
          <w:szCs w:val="24"/>
        </w:rPr>
        <w:lastRenderedPageBreak/>
        <w:t>sentences.</w:t>
      </w:r>
      <w:r w:rsidR="34D0779E" w:rsidRPr="65B86087">
        <w:rPr>
          <w:rStyle w:val="FootnoteReference"/>
          <w:sz w:val="24"/>
          <w:szCs w:val="24"/>
        </w:rPr>
        <w:footnoteReference w:id="7"/>
      </w:r>
      <w:r w:rsidR="584312BC" w:rsidRPr="65B86087">
        <w:rPr>
          <w:sz w:val="24"/>
          <w:szCs w:val="24"/>
        </w:rPr>
        <w:t xml:space="preserve"> For example, in a mass trial on August 15, 2018, 45 defendants were sentenced to death for the </w:t>
      </w:r>
      <w:r w:rsidR="54842F12" w:rsidRPr="009F6514">
        <w:rPr>
          <w:sz w:val="24"/>
          <w:szCs w:val="24"/>
        </w:rPr>
        <w:t>alleged</w:t>
      </w:r>
      <w:r w:rsidR="584312BC" w:rsidRPr="009F6514">
        <w:rPr>
          <w:sz w:val="24"/>
          <w:szCs w:val="24"/>
        </w:rPr>
        <w:t xml:space="preserve"> </w:t>
      </w:r>
      <w:r w:rsidR="584312BC" w:rsidRPr="65B86087">
        <w:rPr>
          <w:sz w:val="24"/>
          <w:szCs w:val="24"/>
        </w:rPr>
        <w:t>killing of protesters during the 2011 revolution.</w:t>
      </w:r>
      <w:r w:rsidR="34D0779E" w:rsidRPr="65B86087">
        <w:rPr>
          <w:rStyle w:val="FootnoteReference"/>
          <w:sz w:val="24"/>
          <w:szCs w:val="24"/>
        </w:rPr>
        <w:footnoteReference w:id="8"/>
      </w:r>
    </w:p>
    <w:p w14:paraId="2E224A42" w14:textId="63CF46EB" w:rsidR="004C34D5" w:rsidRPr="009F6514" w:rsidRDefault="34BBCE82" w:rsidP="0098207F">
      <w:pPr>
        <w:numPr>
          <w:ilvl w:val="0"/>
          <w:numId w:val="8"/>
        </w:numPr>
        <w:spacing w:after="120" w:line="259" w:lineRule="auto"/>
        <w:ind w:left="360"/>
        <w:jc w:val="both"/>
        <w:rPr>
          <w:color w:val="000000" w:themeColor="text1"/>
          <w:sz w:val="24"/>
          <w:szCs w:val="24"/>
        </w:rPr>
      </w:pPr>
      <w:r w:rsidRPr="009F6514">
        <w:rPr>
          <w:sz w:val="24"/>
          <w:szCs w:val="24"/>
        </w:rPr>
        <w:t>Over 30 articles of the Penal Code provide for the death penalty, including as a punishment for</w:t>
      </w:r>
      <w:r w:rsidR="004C34D5" w:rsidRPr="009F6514">
        <w:rPr>
          <w:sz w:val="24"/>
          <w:szCs w:val="24"/>
        </w:rPr>
        <w:t xml:space="preserve"> military offenses,</w:t>
      </w:r>
      <w:r w:rsidRPr="009F6514">
        <w:rPr>
          <w:sz w:val="24"/>
          <w:szCs w:val="24"/>
        </w:rPr>
        <w:t xml:space="preserve"> establishing or participating in unlawful organizations, </w:t>
      </w:r>
      <w:r w:rsidR="510E52FB" w:rsidRPr="009F6514">
        <w:rPr>
          <w:sz w:val="24"/>
          <w:szCs w:val="24"/>
        </w:rPr>
        <w:t>and committing crimes</w:t>
      </w:r>
      <w:r w:rsidR="75DAA196" w:rsidRPr="009F6514">
        <w:rPr>
          <w:sz w:val="24"/>
          <w:szCs w:val="24"/>
        </w:rPr>
        <w:t xml:space="preserve"> </w:t>
      </w:r>
      <w:r w:rsidR="510E52FB" w:rsidRPr="009F6514">
        <w:rPr>
          <w:sz w:val="24"/>
          <w:szCs w:val="24"/>
        </w:rPr>
        <w:t>result</w:t>
      </w:r>
      <w:r w:rsidR="76884937" w:rsidRPr="009F6514">
        <w:rPr>
          <w:sz w:val="24"/>
          <w:szCs w:val="24"/>
        </w:rPr>
        <w:t>ing</w:t>
      </w:r>
      <w:r w:rsidR="510E52FB" w:rsidRPr="009F6514">
        <w:rPr>
          <w:sz w:val="24"/>
          <w:szCs w:val="24"/>
        </w:rPr>
        <w:t xml:space="preserve"> in death</w:t>
      </w:r>
      <w:r w:rsidRPr="009F6514">
        <w:rPr>
          <w:sz w:val="24"/>
          <w:szCs w:val="24"/>
        </w:rPr>
        <w:t>.</w:t>
      </w:r>
      <w:r w:rsidR="084F7C46" w:rsidRPr="009F6514">
        <w:rPr>
          <w:rStyle w:val="FootnoteReference"/>
          <w:sz w:val="24"/>
          <w:szCs w:val="24"/>
        </w:rPr>
        <w:footnoteReference w:id="9"/>
      </w:r>
      <w:r w:rsidR="672669B9" w:rsidRPr="009F6514">
        <w:rPr>
          <w:sz w:val="24"/>
          <w:szCs w:val="24"/>
        </w:rPr>
        <w:t xml:space="preserve"> </w:t>
      </w:r>
      <w:r w:rsidR="004C34D5" w:rsidRPr="009F6514">
        <w:rPr>
          <w:sz w:val="24"/>
          <w:szCs w:val="24"/>
        </w:rPr>
        <w:t>Several c</w:t>
      </w:r>
      <w:r w:rsidR="43F44050" w:rsidRPr="009F6514">
        <w:rPr>
          <w:sz w:val="24"/>
          <w:szCs w:val="24"/>
        </w:rPr>
        <w:t>rimes eligible for the death penalty</w:t>
      </w:r>
      <w:r w:rsidR="52520090" w:rsidRPr="009F6514">
        <w:rPr>
          <w:sz w:val="24"/>
          <w:szCs w:val="24"/>
        </w:rPr>
        <w:t xml:space="preserve">, </w:t>
      </w:r>
      <w:r w:rsidR="43F44050" w:rsidRPr="009F6514">
        <w:rPr>
          <w:sz w:val="24"/>
          <w:szCs w:val="24"/>
        </w:rPr>
        <w:t>includ</w:t>
      </w:r>
      <w:r w:rsidR="205FFBE5" w:rsidRPr="009F6514">
        <w:rPr>
          <w:sz w:val="24"/>
          <w:szCs w:val="24"/>
        </w:rPr>
        <w:t>ing</w:t>
      </w:r>
      <w:r w:rsidR="43F44050" w:rsidRPr="009F6514">
        <w:rPr>
          <w:sz w:val="24"/>
          <w:szCs w:val="24"/>
        </w:rPr>
        <w:t xml:space="preserve"> establishing or participating in unlawful organizations, terrorism, drug trafficking, and treason</w:t>
      </w:r>
      <w:r w:rsidR="0EC9B529" w:rsidRPr="009F6514">
        <w:rPr>
          <w:sz w:val="24"/>
          <w:szCs w:val="24"/>
        </w:rPr>
        <w:t>,</w:t>
      </w:r>
      <w:r w:rsidR="261E8AED" w:rsidRPr="009F6514">
        <w:rPr>
          <w:rStyle w:val="FootnoteReference"/>
          <w:sz w:val="24"/>
          <w:szCs w:val="24"/>
        </w:rPr>
        <w:footnoteReference w:id="10"/>
      </w:r>
      <w:r w:rsidR="43F44050" w:rsidRPr="009F6514">
        <w:rPr>
          <w:sz w:val="24"/>
          <w:szCs w:val="24"/>
        </w:rPr>
        <w:t xml:space="preserve"> </w:t>
      </w:r>
      <w:r w:rsidR="040040B0" w:rsidRPr="009F6514">
        <w:rPr>
          <w:sz w:val="24"/>
          <w:szCs w:val="24"/>
        </w:rPr>
        <w:t xml:space="preserve">do not necessarily amount to </w:t>
      </w:r>
      <w:r w:rsidR="004C34D5" w:rsidRPr="009F6514">
        <w:rPr>
          <w:sz w:val="24"/>
          <w:szCs w:val="24"/>
        </w:rPr>
        <w:t>“</w:t>
      </w:r>
      <w:r w:rsidR="040040B0" w:rsidRPr="009F6514">
        <w:rPr>
          <w:sz w:val="24"/>
          <w:szCs w:val="24"/>
        </w:rPr>
        <w:t>most serious</w:t>
      </w:r>
      <w:r w:rsidR="004C34D5" w:rsidRPr="009F6514">
        <w:rPr>
          <w:sz w:val="24"/>
          <w:szCs w:val="24"/>
        </w:rPr>
        <w:t>”</w:t>
      </w:r>
      <w:r w:rsidR="040040B0" w:rsidRPr="009F6514">
        <w:rPr>
          <w:sz w:val="24"/>
          <w:szCs w:val="24"/>
        </w:rPr>
        <w:t xml:space="preserve"> crimes.</w:t>
      </w:r>
      <w:r w:rsidR="261E8AED" w:rsidRPr="009F6514">
        <w:rPr>
          <w:rStyle w:val="FootnoteReference"/>
          <w:sz w:val="24"/>
          <w:szCs w:val="24"/>
        </w:rPr>
        <w:footnoteReference w:id="11"/>
      </w:r>
      <w:r w:rsidR="0C6AEDCE" w:rsidRPr="009F6514">
        <w:rPr>
          <w:sz w:val="24"/>
          <w:szCs w:val="24"/>
        </w:rPr>
        <w:t xml:space="preserve"> </w:t>
      </w:r>
    </w:p>
    <w:p w14:paraId="3A1CC9FA" w14:textId="0CA84316" w:rsidR="261E8AED" w:rsidRDefault="43F44050" w:rsidP="418A2397">
      <w:pPr>
        <w:numPr>
          <w:ilvl w:val="0"/>
          <w:numId w:val="8"/>
        </w:numPr>
        <w:spacing w:after="120" w:line="259" w:lineRule="auto"/>
        <w:ind w:left="360"/>
        <w:jc w:val="both"/>
        <w:rPr>
          <w:color w:val="000000" w:themeColor="text1"/>
          <w:sz w:val="24"/>
          <w:szCs w:val="24"/>
        </w:rPr>
      </w:pPr>
      <w:r w:rsidRPr="418A2397">
        <w:rPr>
          <w:sz w:val="24"/>
          <w:szCs w:val="24"/>
        </w:rPr>
        <w:t>Under Libyan law, the death sentence is mandatory for cases of aggravated murder or other crimes resulting in death (unless the perpetrator is pardoned by the family of the victim).</w:t>
      </w:r>
      <w:r w:rsidR="261E8AED" w:rsidRPr="418A2397">
        <w:rPr>
          <w:rStyle w:val="FootnoteReference"/>
          <w:sz w:val="24"/>
          <w:szCs w:val="24"/>
        </w:rPr>
        <w:footnoteReference w:id="12"/>
      </w:r>
      <w:r w:rsidRPr="418A2397">
        <w:rPr>
          <w:sz w:val="24"/>
          <w:szCs w:val="24"/>
        </w:rPr>
        <w:t xml:space="preserve"> </w:t>
      </w:r>
    </w:p>
    <w:p w14:paraId="5F372C70" w14:textId="4CC13613" w:rsidR="09CDA27C" w:rsidRDefault="3765369B" w:rsidP="418A2397">
      <w:pPr>
        <w:numPr>
          <w:ilvl w:val="0"/>
          <w:numId w:val="8"/>
        </w:numPr>
        <w:spacing w:after="120" w:line="259" w:lineRule="auto"/>
        <w:ind w:left="360"/>
        <w:jc w:val="both"/>
        <w:rPr>
          <w:color w:val="000000" w:themeColor="text1"/>
          <w:sz w:val="24"/>
          <w:szCs w:val="24"/>
        </w:rPr>
      </w:pPr>
      <w:r w:rsidRPr="418A2397">
        <w:rPr>
          <w:sz w:val="24"/>
          <w:szCs w:val="24"/>
        </w:rPr>
        <w:t>According to the Libyan Penal Code,</w:t>
      </w:r>
      <w:r w:rsidR="49C70CE1" w:rsidRPr="418A2397">
        <w:rPr>
          <w:sz w:val="24"/>
          <w:szCs w:val="24"/>
        </w:rPr>
        <w:t xml:space="preserve"> </w:t>
      </w:r>
      <w:r w:rsidR="43F44050" w:rsidRPr="418A2397">
        <w:rPr>
          <w:sz w:val="24"/>
          <w:szCs w:val="24"/>
        </w:rPr>
        <w:t>individuals under the age of 18,</w:t>
      </w:r>
      <w:r w:rsidR="536F3656" w:rsidRPr="418A2397">
        <w:rPr>
          <w:sz w:val="24"/>
          <w:szCs w:val="24"/>
        </w:rPr>
        <w:t xml:space="preserve"> people with mental illness, </w:t>
      </w:r>
      <w:r w:rsidR="5F689D67" w:rsidRPr="418A2397">
        <w:rPr>
          <w:sz w:val="24"/>
          <w:szCs w:val="24"/>
        </w:rPr>
        <w:t xml:space="preserve">and </w:t>
      </w:r>
      <w:r w:rsidR="004C34D5" w:rsidRPr="009F6514">
        <w:rPr>
          <w:sz w:val="24"/>
          <w:szCs w:val="24"/>
        </w:rPr>
        <w:t>people</w:t>
      </w:r>
      <w:r w:rsidR="536F3656" w:rsidRPr="418A2397">
        <w:rPr>
          <w:sz w:val="24"/>
          <w:szCs w:val="24"/>
        </w:rPr>
        <w:t xml:space="preserve"> who commit offences against public health due to </w:t>
      </w:r>
      <w:r w:rsidR="3DF0C411" w:rsidRPr="418A2397">
        <w:rPr>
          <w:sz w:val="24"/>
          <w:szCs w:val="24"/>
        </w:rPr>
        <w:t xml:space="preserve">negligence </w:t>
      </w:r>
      <w:r w:rsidR="43F44050" w:rsidRPr="418A2397">
        <w:rPr>
          <w:sz w:val="24"/>
          <w:szCs w:val="24"/>
        </w:rPr>
        <w:t>are legally exempt from the death penalty</w:t>
      </w:r>
      <w:r w:rsidR="2712CAC6" w:rsidRPr="418A2397">
        <w:rPr>
          <w:sz w:val="24"/>
          <w:szCs w:val="24"/>
        </w:rPr>
        <w:t>.</w:t>
      </w:r>
      <w:r w:rsidR="09CDA27C" w:rsidRPr="418A2397">
        <w:rPr>
          <w:rStyle w:val="FootnoteReference"/>
          <w:sz w:val="24"/>
          <w:szCs w:val="24"/>
        </w:rPr>
        <w:footnoteReference w:id="13"/>
      </w:r>
      <w:r w:rsidR="23895EE8" w:rsidRPr="418A2397">
        <w:rPr>
          <w:sz w:val="24"/>
          <w:szCs w:val="24"/>
        </w:rPr>
        <w:t xml:space="preserve"> The Criminal Procedure Code </w:t>
      </w:r>
      <w:r w:rsidR="549B4961" w:rsidRPr="418A2397">
        <w:rPr>
          <w:sz w:val="24"/>
          <w:szCs w:val="24"/>
        </w:rPr>
        <w:t>further stipulates that pregnant women under sentence of death should not be executed until two months after deliver</w:t>
      </w:r>
      <w:r w:rsidR="1FFEEB57" w:rsidRPr="418A2397">
        <w:rPr>
          <w:sz w:val="24"/>
          <w:szCs w:val="24"/>
        </w:rPr>
        <w:t>y.</w:t>
      </w:r>
      <w:r w:rsidR="09CDA27C" w:rsidRPr="418A2397">
        <w:rPr>
          <w:rStyle w:val="FootnoteReference"/>
          <w:sz w:val="24"/>
          <w:szCs w:val="24"/>
        </w:rPr>
        <w:footnoteReference w:id="14"/>
      </w:r>
      <w:r w:rsidR="549B4961" w:rsidRPr="418A2397">
        <w:rPr>
          <w:sz w:val="24"/>
          <w:szCs w:val="24"/>
        </w:rPr>
        <w:t xml:space="preserve"> </w:t>
      </w:r>
      <w:r w:rsidR="42498052" w:rsidRPr="009F6514">
        <w:rPr>
          <w:sz w:val="24"/>
          <w:szCs w:val="24"/>
        </w:rPr>
        <w:t>It</w:t>
      </w:r>
      <w:r w:rsidR="43F44050" w:rsidRPr="418A2397">
        <w:rPr>
          <w:sz w:val="24"/>
          <w:szCs w:val="24"/>
        </w:rPr>
        <w:t xml:space="preserve"> is unclear if these </w:t>
      </w:r>
      <w:r w:rsidR="483D1C73" w:rsidRPr="418A2397">
        <w:rPr>
          <w:sz w:val="24"/>
          <w:szCs w:val="24"/>
        </w:rPr>
        <w:t>laws</w:t>
      </w:r>
      <w:r w:rsidR="43F44050" w:rsidRPr="418A2397">
        <w:rPr>
          <w:sz w:val="24"/>
          <w:szCs w:val="24"/>
        </w:rPr>
        <w:t xml:space="preserve"> are observed.</w:t>
      </w:r>
      <w:r w:rsidR="42498052" w:rsidRPr="009F6514">
        <w:rPr>
          <w:sz w:val="24"/>
          <w:szCs w:val="24"/>
        </w:rPr>
        <w:t xml:space="preserve"> </w:t>
      </w:r>
    </w:p>
    <w:p w14:paraId="21F00CB2" w14:textId="44B24BD4" w:rsidR="7048DB55" w:rsidRDefault="6AA28528" w:rsidP="418A2397">
      <w:pPr>
        <w:numPr>
          <w:ilvl w:val="0"/>
          <w:numId w:val="8"/>
        </w:numPr>
        <w:spacing w:after="120" w:line="259" w:lineRule="auto"/>
        <w:ind w:left="360"/>
        <w:jc w:val="both"/>
        <w:rPr>
          <w:color w:val="auto"/>
          <w:sz w:val="24"/>
          <w:szCs w:val="24"/>
        </w:rPr>
      </w:pPr>
      <w:r w:rsidRPr="418A2397">
        <w:rPr>
          <w:sz w:val="24"/>
          <w:szCs w:val="24"/>
        </w:rPr>
        <w:t>Libya has not ratified the Second Optional Protocol to the International Covenant on Civil and Political Rights.</w:t>
      </w:r>
      <w:r w:rsidR="7048DB55" w:rsidRPr="418A2397">
        <w:rPr>
          <w:rStyle w:val="FootnoteReference"/>
          <w:sz w:val="24"/>
          <w:szCs w:val="24"/>
        </w:rPr>
        <w:footnoteReference w:id="15"/>
      </w:r>
    </w:p>
    <w:p w14:paraId="37DD3EDC" w14:textId="747FD641" w:rsidR="57BB3A15" w:rsidRPr="009F6514" w:rsidRDefault="57BB3A15" w:rsidP="37CEECB2">
      <w:pPr>
        <w:numPr>
          <w:ilvl w:val="0"/>
          <w:numId w:val="8"/>
        </w:numPr>
        <w:spacing w:after="120" w:line="259" w:lineRule="auto"/>
        <w:ind w:left="360"/>
        <w:jc w:val="both"/>
        <w:rPr>
          <w:color w:val="000000" w:themeColor="text1"/>
          <w:sz w:val="24"/>
          <w:szCs w:val="24"/>
        </w:rPr>
      </w:pPr>
      <w:r w:rsidRPr="009F6514">
        <w:rPr>
          <w:sz w:val="24"/>
          <w:szCs w:val="24"/>
        </w:rPr>
        <w:t xml:space="preserve">It is unclear how many individuals are on death row in Libya. </w:t>
      </w:r>
      <w:r w:rsidR="6ACA10E0" w:rsidRPr="009F6514">
        <w:rPr>
          <w:sz w:val="24"/>
          <w:szCs w:val="24"/>
        </w:rPr>
        <w:t>In 2019, at least 45 individuals were sentenced to death.</w:t>
      </w:r>
      <w:r w:rsidRPr="009F6514">
        <w:rPr>
          <w:rStyle w:val="FootnoteReference"/>
          <w:sz w:val="24"/>
          <w:szCs w:val="24"/>
        </w:rPr>
        <w:footnoteReference w:id="16"/>
      </w:r>
    </w:p>
    <w:p w14:paraId="2A3FA08E" w14:textId="3C16D33B" w:rsidR="004B1E4E" w:rsidRPr="004B1E4E" w:rsidRDefault="464A5EC9" w:rsidP="00170316">
      <w:pPr>
        <w:keepNext/>
        <w:numPr>
          <w:ilvl w:val="0"/>
          <w:numId w:val="9"/>
        </w:numPr>
        <w:spacing w:before="240" w:after="240"/>
        <w:ind w:left="720" w:hanging="360"/>
        <w:rPr>
          <w:b/>
          <w:bCs/>
          <w:color w:val="auto"/>
          <w:sz w:val="24"/>
          <w:szCs w:val="24"/>
        </w:rPr>
      </w:pPr>
      <w:r w:rsidRPr="418A2397">
        <w:rPr>
          <w:b/>
          <w:bCs/>
          <w:color w:val="auto"/>
          <w:sz w:val="24"/>
          <w:szCs w:val="24"/>
        </w:rPr>
        <w:lastRenderedPageBreak/>
        <w:t>Detention Conditions violate national and international human rights standards.</w:t>
      </w:r>
    </w:p>
    <w:p w14:paraId="1F8F3818" w14:textId="414688BC" w:rsidR="28E96E60" w:rsidRPr="009F6514" w:rsidRDefault="754B09CE" w:rsidP="37CEECB2">
      <w:pPr>
        <w:numPr>
          <w:ilvl w:val="0"/>
          <w:numId w:val="8"/>
        </w:numPr>
        <w:spacing w:after="120" w:line="259" w:lineRule="auto"/>
        <w:ind w:left="360"/>
        <w:jc w:val="both"/>
        <w:rPr>
          <w:color w:val="000000" w:themeColor="text1"/>
          <w:sz w:val="24"/>
          <w:szCs w:val="24"/>
        </w:rPr>
      </w:pPr>
      <w:r w:rsidRPr="009F6514">
        <w:rPr>
          <w:color w:val="auto"/>
          <w:sz w:val="24"/>
          <w:szCs w:val="24"/>
        </w:rPr>
        <w:t>In its 200</w:t>
      </w:r>
      <w:r w:rsidR="6DED99FA" w:rsidRPr="009F6514">
        <w:rPr>
          <w:color w:val="auto"/>
          <w:sz w:val="24"/>
          <w:szCs w:val="24"/>
        </w:rPr>
        <w:t>7</w:t>
      </w:r>
      <w:r w:rsidRPr="009F6514">
        <w:rPr>
          <w:color w:val="auto"/>
          <w:sz w:val="24"/>
          <w:szCs w:val="24"/>
        </w:rPr>
        <w:t xml:space="preserve"> Concluding Observations</w:t>
      </w:r>
      <w:r w:rsidR="45ABC7CE" w:rsidRPr="009F6514">
        <w:rPr>
          <w:color w:val="auto"/>
          <w:sz w:val="24"/>
          <w:szCs w:val="24"/>
        </w:rPr>
        <w:t xml:space="preserve">, the Committee </w:t>
      </w:r>
      <w:r w:rsidR="25164B60" w:rsidRPr="009F6514">
        <w:rPr>
          <w:color w:val="auto"/>
          <w:sz w:val="24"/>
          <w:szCs w:val="24"/>
        </w:rPr>
        <w:t xml:space="preserve">expressed its concern about continuing reports </w:t>
      </w:r>
      <w:r w:rsidR="002C285A" w:rsidRPr="009F6514">
        <w:rPr>
          <w:color w:val="auto"/>
          <w:sz w:val="24"/>
          <w:szCs w:val="24"/>
        </w:rPr>
        <w:t xml:space="preserve">of </w:t>
      </w:r>
      <w:r w:rsidR="25164B60" w:rsidRPr="009F6514">
        <w:rPr>
          <w:color w:val="auto"/>
          <w:sz w:val="24"/>
          <w:szCs w:val="24"/>
        </w:rPr>
        <w:t xml:space="preserve">systematic use of torture and </w:t>
      </w:r>
      <w:r w:rsidR="002C285A" w:rsidRPr="009F6514">
        <w:rPr>
          <w:color w:val="auto"/>
          <w:sz w:val="24"/>
          <w:szCs w:val="24"/>
        </w:rPr>
        <w:t xml:space="preserve">other forms of </w:t>
      </w:r>
      <w:r w:rsidR="25164B60" w:rsidRPr="009F6514">
        <w:rPr>
          <w:color w:val="auto"/>
          <w:sz w:val="24"/>
          <w:szCs w:val="24"/>
        </w:rPr>
        <w:t xml:space="preserve">cruel, inhuman, and degrading treatment in detention </w:t>
      </w:r>
      <w:r w:rsidR="7A92A38A" w:rsidRPr="009F6514">
        <w:rPr>
          <w:color w:val="auto"/>
          <w:sz w:val="24"/>
          <w:szCs w:val="24"/>
        </w:rPr>
        <w:t>facilities.</w:t>
      </w:r>
      <w:r w:rsidR="28E96E60" w:rsidRPr="009F6514">
        <w:rPr>
          <w:rStyle w:val="FootnoteReference"/>
          <w:color w:val="auto"/>
          <w:sz w:val="24"/>
          <w:szCs w:val="24"/>
        </w:rPr>
        <w:footnoteReference w:id="17"/>
      </w:r>
      <w:r w:rsidR="004C34D5" w:rsidRPr="009F6514">
        <w:rPr>
          <w:color w:val="auto"/>
          <w:sz w:val="24"/>
          <w:szCs w:val="24"/>
        </w:rPr>
        <w:t xml:space="preserve"> </w:t>
      </w:r>
      <w:r w:rsidR="4C2B3C7A" w:rsidRPr="009F6514">
        <w:rPr>
          <w:color w:val="auto"/>
          <w:sz w:val="24"/>
          <w:szCs w:val="24"/>
        </w:rPr>
        <w:t>The Committee urged the State Party to “take urgent and effective measures to stop the use of all forms of torture and cruel, inhuman or degrading treatment or punishment</w:t>
      </w:r>
      <w:r w:rsidR="657C63EE" w:rsidRPr="009F6514">
        <w:rPr>
          <w:color w:val="auto"/>
          <w:sz w:val="24"/>
          <w:szCs w:val="24"/>
        </w:rPr>
        <w:t>,</w:t>
      </w:r>
      <w:r w:rsidR="4C2B3C7A" w:rsidRPr="009F6514">
        <w:rPr>
          <w:color w:val="auto"/>
          <w:sz w:val="24"/>
          <w:szCs w:val="24"/>
        </w:rPr>
        <w:t>”</w:t>
      </w:r>
      <w:r w:rsidR="657C63EE" w:rsidRPr="009F6514">
        <w:rPr>
          <w:color w:val="auto"/>
          <w:sz w:val="24"/>
          <w:szCs w:val="24"/>
        </w:rPr>
        <w:t xml:space="preserve"> </w:t>
      </w:r>
      <w:r w:rsidR="4C2B3C7A" w:rsidRPr="009F6514">
        <w:rPr>
          <w:color w:val="auto"/>
          <w:sz w:val="24"/>
          <w:szCs w:val="24"/>
        </w:rPr>
        <w:t>to investigate all allegations of torture and ill-treatment and prosecute those people responsible</w:t>
      </w:r>
      <w:r w:rsidR="67FDA4CE" w:rsidRPr="009F6514">
        <w:rPr>
          <w:color w:val="auto"/>
          <w:sz w:val="24"/>
          <w:szCs w:val="24"/>
        </w:rPr>
        <w:t xml:space="preserve">, and to </w:t>
      </w:r>
      <w:r w:rsidR="67FDA4CE" w:rsidRPr="009F6514">
        <w:rPr>
          <w:color w:val="000000" w:themeColor="text1"/>
          <w:sz w:val="24"/>
          <w:szCs w:val="24"/>
        </w:rPr>
        <w:t>“immediately stop the imposition of all corporal punishment and repeal legislation for its imposition.”</w:t>
      </w:r>
      <w:r w:rsidR="28E96E60" w:rsidRPr="009F6514">
        <w:rPr>
          <w:rStyle w:val="FootnoteReference"/>
          <w:color w:val="000000" w:themeColor="text1"/>
          <w:sz w:val="24"/>
          <w:szCs w:val="24"/>
        </w:rPr>
        <w:footnoteReference w:id="18"/>
      </w:r>
    </w:p>
    <w:p w14:paraId="4D15B600" w14:textId="5933BA7A" w:rsidR="0A821D4D" w:rsidRDefault="3061F679" w:rsidP="418A2397">
      <w:pPr>
        <w:numPr>
          <w:ilvl w:val="0"/>
          <w:numId w:val="8"/>
        </w:numPr>
        <w:spacing w:after="120"/>
        <w:ind w:left="360"/>
        <w:jc w:val="both"/>
        <w:rPr>
          <w:color w:val="auto"/>
          <w:sz w:val="24"/>
          <w:szCs w:val="24"/>
        </w:rPr>
      </w:pPr>
      <w:r w:rsidRPr="418A2397">
        <w:rPr>
          <w:color w:val="auto"/>
          <w:sz w:val="24"/>
          <w:szCs w:val="24"/>
        </w:rPr>
        <w:t xml:space="preserve">In </w:t>
      </w:r>
      <w:r w:rsidR="7339AC01" w:rsidRPr="009F6514">
        <w:rPr>
          <w:color w:val="auto"/>
          <w:sz w:val="24"/>
          <w:szCs w:val="24"/>
        </w:rPr>
        <w:t>its</w:t>
      </w:r>
      <w:r w:rsidRPr="418A2397">
        <w:rPr>
          <w:color w:val="auto"/>
          <w:sz w:val="24"/>
          <w:szCs w:val="24"/>
        </w:rPr>
        <w:t xml:space="preserve"> </w:t>
      </w:r>
      <w:r w:rsidR="174EB00B" w:rsidRPr="418A2397">
        <w:rPr>
          <w:color w:val="auto"/>
          <w:sz w:val="24"/>
          <w:szCs w:val="24"/>
        </w:rPr>
        <w:t xml:space="preserve">2015 State Party Report, </w:t>
      </w:r>
      <w:r w:rsidR="4F134757" w:rsidRPr="418A2397">
        <w:rPr>
          <w:color w:val="auto"/>
          <w:sz w:val="24"/>
          <w:szCs w:val="24"/>
        </w:rPr>
        <w:t xml:space="preserve">the </w:t>
      </w:r>
      <w:r w:rsidR="320D7190" w:rsidRPr="418A2397">
        <w:rPr>
          <w:color w:val="auto"/>
          <w:sz w:val="24"/>
          <w:szCs w:val="24"/>
        </w:rPr>
        <w:t>G</w:t>
      </w:r>
      <w:r w:rsidR="4F134757" w:rsidRPr="418A2397">
        <w:rPr>
          <w:color w:val="auto"/>
          <w:sz w:val="24"/>
          <w:szCs w:val="24"/>
        </w:rPr>
        <w:t xml:space="preserve">overnment of </w:t>
      </w:r>
      <w:r w:rsidR="54FD46AD" w:rsidRPr="418A2397">
        <w:rPr>
          <w:color w:val="auto"/>
          <w:sz w:val="24"/>
          <w:szCs w:val="24"/>
        </w:rPr>
        <w:t xml:space="preserve">Libya </w:t>
      </w:r>
      <w:r w:rsidR="32E5AA6D" w:rsidRPr="009F6514">
        <w:rPr>
          <w:color w:val="auto"/>
          <w:sz w:val="24"/>
          <w:szCs w:val="24"/>
        </w:rPr>
        <w:t xml:space="preserve">drew </w:t>
      </w:r>
      <w:r w:rsidR="1EA90CD2" w:rsidRPr="009F6514">
        <w:rPr>
          <w:color w:val="auto"/>
          <w:sz w:val="24"/>
          <w:szCs w:val="24"/>
        </w:rPr>
        <w:t>attention</w:t>
      </w:r>
      <w:r w:rsidR="32E5AA6D" w:rsidRPr="009F6514">
        <w:rPr>
          <w:color w:val="auto"/>
          <w:sz w:val="24"/>
          <w:szCs w:val="24"/>
        </w:rPr>
        <w:t xml:space="preserve"> to</w:t>
      </w:r>
      <w:r w:rsidR="54FD46AD" w:rsidRPr="418A2397">
        <w:rPr>
          <w:color w:val="auto"/>
          <w:sz w:val="24"/>
          <w:szCs w:val="24"/>
        </w:rPr>
        <w:t xml:space="preserve"> the “institutional and security challenges” </w:t>
      </w:r>
      <w:r w:rsidR="20BD9CDA" w:rsidRPr="009F6514">
        <w:rPr>
          <w:color w:val="auto"/>
          <w:sz w:val="24"/>
          <w:szCs w:val="24"/>
        </w:rPr>
        <w:t>that complicate the process of</w:t>
      </w:r>
      <w:r w:rsidR="346C24F5" w:rsidRPr="009F6514">
        <w:rPr>
          <w:color w:val="auto"/>
          <w:sz w:val="24"/>
          <w:szCs w:val="24"/>
        </w:rPr>
        <w:t xml:space="preserve"> </w:t>
      </w:r>
      <w:r w:rsidR="5CE3CA0F" w:rsidRPr="009F6514">
        <w:rPr>
          <w:color w:val="auto"/>
          <w:sz w:val="24"/>
          <w:szCs w:val="24"/>
        </w:rPr>
        <w:t>improving</w:t>
      </w:r>
      <w:r w:rsidR="54FD46AD" w:rsidRPr="009F6514">
        <w:rPr>
          <w:color w:val="auto"/>
          <w:sz w:val="24"/>
          <w:szCs w:val="24"/>
        </w:rPr>
        <w:t xml:space="preserve"> detention conditions</w:t>
      </w:r>
      <w:r w:rsidR="15F36898" w:rsidRPr="009F6514">
        <w:rPr>
          <w:color w:val="auto"/>
          <w:sz w:val="24"/>
          <w:szCs w:val="24"/>
        </w:rPr>
        <w:t>.</w:t>
      </w:r>
      <w:r w:rsidR="0A821D4D" w:rsidRPr="009F6514">
        <w:rPr>
          <w:rStyle w:val="FootnoteReference"/>
          <w:color w:val="auto"/>
          <w:sz w:val="24"/>
          <w:szCs w:val="24"/>
        </w:rPr>
        <w:footnoteReference w:id="19"/>
      </w:r>
      <w:r w:rsidR="75D6D436" w:rsidRPr="009F6514">
        <w:rPr>
          <w:color w:val="auto"/>
          <w:sz w:val="24"/>
          <w:szCs w:val="24"/>
        </w:rPr>
        <w:t xml:space="preserve"> The </w:t>
      </w:r>
      <w:r w:rsidR="75D6D436" w:rsidRPr="418A2397">
        <w:rPr>
          <w:color w:val="auto"/>
          <w:sz w:val="24"/>
          <w:szCs w:val="24"/>
        </w:rPr>
        <w:t>delegation emphasized that the Ministry of the Interior instructed all prisons to adhere to international standards</w:t>
      </w:r>
      <w:r w:rsidR="7A21597C" w:rsidRPr="418A2397">
        <w:rPr>
          <w:color w:val="auto"/>
          <w:sz w:val="24"/>
          <w:szCs w:val="24"/>
        </w:rPr>
        <w:t xml:space="preserve"> and allowed the Working Group on Arbitrary Detention </w:t>
      </w:r>
      <w:r w:rsidR="176C757E" w:rsidRPr="418A2397">
        <w:rPr>
          <w:color w:val="auto"/>
          <w:sz w:val="24"/>
          <w:szCs w:val="24"/>
        </w:rPr>
        <w:t xml:space="preserve">and other international NGOs </w:t>
      </w:r>
      <w:r w:rsidR="7A21597C" w:rsidRPr="418A2397">
        <w:rPr>
          <w:color w:val="auto"/>
          <w:sz w:val="24"/>
          <w:szCs w:val="24"/>
        </w:rPr>
        <w:t>to visit</w:t>
      </w:r>
      <w:r w:rsidR="4D87EE87" w:rsidRPr="418A2397">
        <w:rPr>
          <w:color w:val="auto"/>
          <w:sz w:val="24"/>
          <w:szCs w:val="24"/>
        </w:rPr>
        <w:t xml:space="preserve"> Libyan prisons.</w:t>
      </w:r>
      <w:r w:rsidR="0A821D4D" w:rsidRPr="418A2397">
        <w:rPr>
          <w:rStyle w:val="FootnoteReference"/>
          <w:color w:val="auto"/>
          <w:sz w:val="24"/>
          <w:szCs w:val="24"/>
        </w:rPr>
        <w:footnoteReference w:id="20"/>
      </w:r>
      <w:r w:rsidR="4A8EB359" w:rsidRPr="418A2397">
        <w:rPr>
          <w:color w:val="auto"/>
          <w:sz w:val="24"/>
          <w:szCs w:val="24"/>
        </w:rPr>
        <w:t xml:space="preserve"> The working group has not yet visited the country</w:t>
      </w:r>
      <w:r w:rsidR="002C285A" w:rsidRPr="009F6514">
        <w:rPr>
          <w:color w:val="auto"/>
          <w:sz w:val="24"/>
          <w:szCs w:val="24"/>
        </w:rPr>
        <w:t xml:space="preserve"> and has had a request pending since 2008</w:t>
      </w:r>
      <w:r w:rsidR="4A8EB359" w:rsidRPr="418A2397">
        <w:rPr>
          <w:color w:val="auto"/>
          <w:sz w:val="24"/>
          <w:szCs w:val="24"/>
        </w:rPr>
        <w:t>.</w:t>
      </w:r>
      <w:r w:rsidR="0A821D4D" w:rsidRPr="418A2397">
        <w:rPr>
          <w:rStyle w:val="FootnoteReference"/>
          <w:color w:val="auto"/>
          <w:sz w:val="24"/>
          <w:szCs w:val="24"/>
        </w:rPr>
        <w:footnoteReference w:id="21"/>
      </w:r>
    </w:p>
    <w:p w14:paraId="56485CA6" w14:textId="13A73F29" w:rsidR="18BE64C0" w:rsidRPr="009F6514" w:rsidRDefault="002C285A" w:rsidP="37CEECB2">
      <w:pPr>
        <w:numPr>
          <w:ilvl w:val="0"/>
          <w:numId w:val="8"/>
        </w:numPr>
        <w:spacing w:after="120"/>
        <w:ind w:left="360"/>
        <w:jc w:val="both"/>
        <w:rPr>
          <w:rStyle w:val="FootnoteReference"/>
          <w:color w:val="auto"/>
          <w:sz w:val="24"/>
          <w:szCs w:val="24"/>
        </w:rPr>
      </w:pPr>
      <w:r w:rsidRPr="009F6514">
        <w:rPr>
          <w:color w:val="auto"/>
          <w:sz w:val="24"/>
          <w:szCs w:val="24"/>
        </w:rPr>
        <w:t>T</w:t>
      </w:r>
      <w:r w:rsidR="6AA6D498" w:rsidRPr="009F6514">
        <w:rPr>
          <w:color w:val="auto"/>
          <w:sz w:val="24"/>
          <w:szCs w:val="24"/>
        </w:rPr>
        <w:t xml:space="preserve">he </w:t>
      </w:r>
      <w:r w:rsidR="61677BC0" w:rsidRPr="009F6514">
        <w:rPr>
          <w:color w:val="auto"/>
          <w:sz w:val="24"/>
          <w:szCs w:val="24"/>
        </w:rPr>
        <w:t xml:space="preserve">Libyan </w:t>
      </w:r>
      <w:r w:rsidR="701C1AB1" w:rsidRPr="009F6514">
        <w:rPr>
          <w:color w:val="auto"/>
          <w:sz w:val="24"/>
          <w:szCs w:val="24"/>
        </w:rPr>
        <w:t>G</w:t>
      </w:r>
      <w:r w:rsidR="61677BC0" w:rsidRPr="009F6514">
        <w:rPr>
          <w:color w:val="auto"/>
          <w:sz w:val="24"/>
          <w:szCs w:val="24"/>
        </w:rPr>
        <w:t xml:space="preserve">overnment </w:t>
      </w:r>
      <w:r w:rsidRPr="009F6514">
        <w:rPr>
          <w:color w:val="auto"/>
          <w:sz w:val="24"/>
          <w:szCs w:val="24"/>
        </w:rPr>
        <w:t xml:space="preserve">also </w:t>
      </w:r>
      <w:r w:rsidR="61677BC0" w:rsidRPr="009F6514">
        <w:rPr>
          <w:color w:val="auto"/>
          <w:sz w:val="24"/>
          <w:szCs w:val="24"/>
        </w:rPr>
        <w:t>empha</w:t>
      </w:r>
      <w:r w:rsidR="0A727576" w:rsidRPr="009F6514">
        <w:rPr>
          <w:color w:val="auto"/>
          <w:sz w:val="24"/>
          <w:szCs w:val="24"/>
        </w:rPr>
        <w:t xml:space="preserve">sized </w:t>
      </w:r>
      <w:r w:rsidR="3168BFCD" w:rsidRPr="009F6514">
        <w:rPr>
          <w:color w:val="auto"/>
          <w:sz w:val="24"/>
          <w:szCs w:val="24"/>
        </w:rPr>
        <w:t>its</w:t>
      </w:r>
      <w:r w:rsidR="48991642" w:rsidRPr="009F6514">
        <w:rPr>
          <w:color w:val="auto"/>
          <w:sz w:val="24"/>
          <w:szCs w:val="24"/>
        </w:rPr>
        <w:t xml:space="preserve"> ful</w:t>
      </w:r>
      <w:r w:rsidR="48991642" w:rsidRPr="009F6514">
        <w:rPr>
          <w:sz w:val="24"/>
          <w:szCs w:val="24"/>
        </w:rPr>
        <w:t>l commitment to respecting and strengthening human rights</w:t>
      </w:r>
      <w:r w:rsidR="066B175D" w:rsidRPr="009F6514">
        <w:rPr>
          <w:sz w:val="24"/>
          <w:szCs w:val="24"/>
        </w:rPr>
        <w:t xml:space="preserve">. </w:t>
      </w:r>
      <w:r w:rsidR="0F819152" w:rsidRPr="009F6514">
        <w:rPr>
          <w:sz w:val="24"/>
          <w:szCs w:val="24"/>
        </w:rPr>
        <w:t>It</w:t>
      </w:r>
      <w:r w:rsidR="742C9659" w:rsidRPr="009F6514">
        <w:rPr>
          <w:sz w:val="24"/>
          <w:szCs w:val="24"/>
        </w:rPr>
        <w:t xml:space="preserve"> drew attention to the</w:t>
      </w:r>
      <w:r w:rsidR="48991642" w:rsidRPr="009F6514">
        <w:rPr>
          <w:sz w:val="24"/>
          <w:szCs w:val="24"/>
        </w:rPr>
        <w:t xml:space="preserve"> </w:t>
      </w:r>
      <w:r w:rsidR="44A0DB27" w:rsidRPr="009F6514">
        <w:rPr>
          <w:sz w:val="24"/>
          <w:szCs w:val="24"/>
        </w:rPr>
        <w:t>implementation of the</w:t>
      </w:r>
      <w:r w:rsidR="48991642" w:rsidRPr="009F6514">
        <w:rPr>
          <w:sz w:val="24"/>
          <w:szCs w:val="24"/>
        </w:rPr>
        <w:t xml:space="preserve"> 2011 Constitutional Declaration</w:t>
      </w:r>
      <w:r w:rsidR="185D4801" w:rsidRPr="009F6514">
        <w:rPr>
          <w:sz w:val="24"/>
          <w:szCs w:val="24"/>
        </w:rPr>
        <w:t>, in which “Libya strived assiduously to embed this commitment.</w:t>
      </w:r>
      <w:r w:rsidR="78398423" w:rsidRPr="009F6514">
        <w:rPr>
          <w:sz w:val="24"/>
          <w:szCs w:val="24"/>
        </w:rPr>
        <w:t>”</w:t>
      </w:r>
      <w:r w:rsidR="18BE64C0" w:rsidRPr="009F6514">
        <w:rPr>
          <w:rStyle w:val="FootnoteReference"/>
          <w:sz w:val="24"/>
          <w:szCs w:val="24"/>
        </w:rPr>
        <w:footnoteReference w:id="22"/>
      </w:r>
      <w:r w:rsidR="6F0818EA" w:rsidRPr="009F6514">
        <w:rPr>
          <w:sz w:val="24"/>
          <w:szCs w:val="24"/>
        </w:rPr>
        <w:t xml:space="preserve"> </w:t>
      </w:r>
    </w:p>
    <w:p w14:paraId="49D3672B" w14:textId="3FE2E52F" w:rsidR="45402FD9" w:rsidRDefault="1B86D23F" w:rsidP="43C5181D">
      <w:pPr>
        <w:numPr>
          <w:ilvl w:val="0"/>
          <w:numId w:val="8"/>
        </w:numPr>
        <w:spacing w:after="120" w:line="259" w:lineRule="auto"/>
        <w:ind w:left="360"/>
        <w:jc w:val="both"/>
        <w:rPr>
          <w:color w:val="auto"/>
          <w:sz w:val="24"/>
          <w:szCs w:val="24"/>
        </w:rPr>
      </w:pPr>
      <w:r w:rsidRPr="418A2397">
        <w:rPr>
          <w:color w:val="auto"/>
          <w:sz w:val="24"/>
          <w:szCs w:val="24"/>
        </w:rPr>
        <w:t xml:space="preserve">Although </w:t>
      </w:r>
      <w:r w:rsidR="5BC3492C" w:rsidRPr="418A2397">
        <w:rPr>
          <w:color w:val="auto"/>
          <w:sz w:val="24"/>
          <w:szCs w:val="24"/>
        </w:rPr>
        <w:t xml:space="preserve">the Constitutional Declaration and Libyan legislation </w:t>
      </w:r>
      <w:r w:rsidR="5BC3492C" w:rsidRPr="009F6514">
        <w:rPr>
          <w:color w:val="auto"/>
          <w:sz w:val="24"/>
          <w:szCs w:val="24"/>
        </w:rPr>
        <w:t>prohibit</w:t>
      </w:r>
      <w:r w:rsidR="5BC3492C" w:rsidRPr="418A2397">
        <w:rPr>
          <w:color w:val="auto"/>
          <w:sz w:val="24"/>
          <w:szCs w:val="24"/>
        </w:rPr>
        <w:t xml:space="preserve"> tor</w:t>
      </w:r>
      <w:r w:rsidR="7938CFBE" w:rsidRPr="418A2397">
        <w:rPr>
          <w:color w:val="auto"/>
          <w:sz w:val="24"/>
          <w:szCs w:val="24"/>
        </w:rPr>
        <w:t>ture, A</w:t>
      </w:r>
      <w:r w:rsidRPr="418A2397">
        <w:rPr>
          <w:color w:val="auto"/>
          <w:sz w:val="24"/>
          <w:szCs w:val="24"/>
        </w:rPr>
        <w:t>mnesty International</w:t>
      </w:r>
      <w:r w:rsidR="7E487881" w:rsidRPr="418A2397">
        <w:rPr>
          <w:color w:val="auto"/>
          <w:sz w:val="24"/>
          <w:szCs w:val="24"/>
        </w:rPr>
        <w:t xml:space="preserve"> </w:t>
      </w:r>
      <w:r w:rsidR="7E487881" w:rsidRPr="009F6514">
        <w:rPr>
          <w:color w:val="auto"/>
          <w:sz w:val="24"/>
          <w:szCs w:val="24"/>
        </w:rPr>
        <w:t>repor</w:t>
      </w:r>
      <w:r w:rsidR="002C285A" w:rsidRPr="009F6514">
        <w:rPr>
          <w:color w:val="auto"/>
          <w:sz w:val="24"/>
          <w:szCs w:val="24"/>
        </w:rPr>
        <w:t>ts</w:t>
      </w:r>
      <w:r w:rsidR="7E487881" w:rsidRPr="418A2397">
        <w:rPr>
          <w:color w:val="auto"/>
          <w:sz w:val="24"/>
          <w:szCs w:val="24"/>
        </w:rPr>
        <w:t xml:space="preserve"> that torture and ill-treatment are widespread in detention centers, including instances of mock executions, beatings and floggings, </w:t>
      </w:r>
      <w:r w:rsidR="002C285A" w:rsidRPr="009F6514">
        <w:rPr>
          <w:color w:val="auto"/>
          <w:sz w:val="24"/>
          <w:szCs w:val="24"/>
        </w:rPr>
        <w:t xml:space="preserve">prolonged </w:t>
      </w:r>
      <w:r w:rsidR="7E487881" w:rsidRPr="418A2397">
        <w:rPr>
          <w:color w:val="auto"/>
          <w:sz w:val="24"/>
          <w:szCs w:val="24"/>
        </w:rPr>
        <w:t>solitary confinement</w:t>
      </w:r>
      <w:r w:rsidR="2D3BB530" w:rsidRPr="418A2397">
        <w:rPr>
          <w:color w:val="auto"/>
          <w:sz w:val="24"/>
          <w:szCs w:val="24"/>
        </w:rPr>
        <w:t>, and sexual abuse.</w:t>
      </w:r>
      <w:r w:rsidR="45402FD9" w:rsidRPr="418A2397">
        <w:rPr>
          <w:rStyle w:val="FootnoteReference"/>
          <w:color w:val="auto"/>
          <w:sz w:val="24"/>
          <w:szCs w:val="24"/>
        </w:rPr>
        <w:footnoteReference w:id="23"/>
      </w:r>
      <w:r w:rsidR="4E6759A9" w:rsidRPr="418A2397">
        <w:rPr>
          <w:color w:val="auto"/>
          <w:sz w:val="24"/>
          <w:szCs w:val="24"/>
        </w:rPr>
        <w:t xml:space="preserve"> </w:t>
      </w:r>
    </w:p>
    <w:p w14:paraId="20155AB2" w14:textId="4F176589" w:rsidR="1A9AAC68" w:rsidRPr="009F6514" w:rsidRDefault="1437119E" w:rsidP="418A2397">
      <w:pPr>
        <w:numPr>
          <w:ilvl w:val="0"/>
          <w:numId w:val="8"/>
        </w:numPr>
        <w:spacing w:after="120" w:line="259" w:lineRule="auto"/>
        <w:ind w:left="360"/>
        <w:jc w:val="both"/>
        <w:rPr>
          <w:color w:val="000000" w:themeColor="text1"/>
          <w:sz w:val="24"/>
          <w:szCs w:val="24"/>
        </w:rPr>
      </w:pPr>
      <w:r w:rsidRPr="43C5181D">
        <w:rPr>
          <w:sz w:val="24"/>
          <w:szCs w:val="24"/>
        </w:rPr>
        <w:t xml:space="preserve">The </w:t>
      </w:r>
      <w:r w:rsidR="009F6514">
        <w:rPr>
          <w:sz w:val="24"/>
          <w:szCs w:val="24"/>
        </w:rPr>
        <w:t xml:space="preserve">Office of the High Commissioner for </w:t>
      </w:r>
      <w:r w:rsidRPr="43C5181D">
        <w:rPr>
          <w:sz w:val="24"/>
          <w:szCs w:val="24"/>
        </w:rPr>
        <w:t xml:space="preserve">Human Rights </w:t>
      </w:r>
      <w:r w:rsidR="009F6514">
        <w:rPr>
          <w:sz w:val="24"/>
          <w:szCs w:val="24"/>
        </w:rPr>
        <w:t>has compiled evidence of</w:t>
      </w:r>
      <w:r w:rsidRPr="43C5181D">
        <w:rPr>
          <w:sz w:val="24"/>
          <w:szCs w:val="24"/>
        </w:rPr>
        <w:t xml:space="preserve"> numerous cases of torture in detention centers. According to the </w:t>
      </w:r>
      <w:r w:rsidR="4FC431D8" w:rsidRPr="43C5181D">
        <w:rPr>
          <w:sz w:val="24"/>
          <w:szCs w:val="24"/>
        </w:rPr>
        <w:t xml:space="preserve">2020 </w:t>
      </w:r>
      <w:r w:rsidR="002C285A" w:rsidRPr="009F6514">
        <w:rPr>
          <w:sz w:val="24"/>
          <w:szCs w:val="24"/>
        </w:rPr>
        <w:t xml:space="preserve">OHCHR </w:t>
      </w:r>
      <w:r w:rsidR="4FC431D8" w:rsidRPr="43C5181D">
        <w:rPr>
          <w:sz w:val="24"/>
          <w:szCs w:val="24"/>
        </w:rPr>
        <w:t>Compilation on Libya</w:t>
      </w:r>
      <w:r w:rsidR="002C285A" w:rsidRPr="009F6514">
        <w:rPr>
          <w:sz w:val="24"/>
          <w:szCs w:val="24"/>
        </w:rPr>
        <w:t xml:space="preserve"> for the country’s third Universal Periodic Review</w:t>
      </w:r>
      <w:r w:rsidR="4FC431D8" w:rsidRPr="43C5181D">
        <w:rPr>
          <w:sz w:val="24"/>
          <w:szCs w:val="24"/>
        </w:rPr>
        <w:t>, “i</w:t>
      </w:r>
      <w:r w:rsidRPr="43C5181D">
        <w:rPr>
          <w:sz w:val="24"/>
          <w:szCs w:val="24"/>
        </w:rPr>
        <w:t>ndividuals suffered beatings with plastic pipes or electrical cables, prolonged suspension in stress positions, solitary confinement, incommunicado detention and electrocution.</w:t>
      </w:r>
      <w:r w:rsidR="5434A267" w:rsidRPr="43C5181D">
        <w:rPr>
          <w:sz w:val="24"/>
          <w:szCs w:val="24"/>
        </w:rPr>
        <w:t>”</w:t>
      </w:r>
      <w:r w:rsidR="1A9AAC68" w:rsidRPr="43C5181D">
        <w:rPr>
          <w:rStyle w:val="FootnoteReference"/>
          <w:sz w:val="24"/>
          <w:szCs w:val="24"/>
        </w:rPr>
        <w:footnoteReference w:id="24"/>
      </w:r>
      <w:r w:rsidR="09089602" w:rsidRPr="43C5181D">
        <w:rPr>
          <w:sz w:val="24"/>
          <w:szCs w:val="24"/>
        </w:rPr>
        <w:t xml:space="preserve"> OHCHR further reported that </w:t>
      </w:r>
      <w:r w:rsidR="1986A363" w:rsidRPr="009F6514">
        <w:rPr>
          <w:sz w:val="24"/>
          <w:szCs w:val="24"/>
        </w:rPr>
        <w:t>“</w:t>
      </w:r>
      <w:r w:rsidR="09089602" w:rsidRPr="43C5181D">
        <w:rPr>
          <w:sz w:val="24"/>
          <w:szCs w:val="24"/>
        </w:rPr>
        <w:t xml:space="preserve">torture had resulted in the death of </w:t>
      </w:r>
      <w:r w:rsidR="1986A363" w:rsidRPr="009F6514">
        <w:rPr>
          <w:sz w:val="24"/>
          <w:szCs w:val="24"/>
        </w:rPr>
        <w:t>detainees in various facilities, including</w:t>
      </w:r>
      <w:r w:rsidR="2AD7ADE0" w:rsidRPr="43C5181D">
        <w:rPr>
          <w:sz w:val="24"/>
          <w:szCs w:val="24"/>
        </w:rPr>
        <w:t xml:space="preserve"> a</w:t>
      </w:r>
      <w:r w:rsidR="09089602" w:rsidRPr="43C5181D">
        <w:rPr>
          <w:sz w:val="24"/>
          <w:szCs w:val="24"/>
        </w:rPr>
        <w:t>t the Al-</w:t>
      </w:r>
      <w:proofErr w:type="spellStart"/>
      <w:r w:rsidR="09089602" w:rsidRPr="43C5181D">
        <w:rPr>
          <w:sz w:val="24"/>
          <w:szCs w:val="24"/>
        </w:rPr>
        <w:t>Birsis</w:t>
      </w:r>
      <w:proofErr w:type="spellEnd"/>
      <w:r w:rsidR="09089602" w:rsidRPr="43C5181D">
        <w:rPr>
          <w:sz w:val="24"/>
          <w:szCs w:val="24"/>
        </w:rPr>
        <w:t xml:space="preserve"> facility, the military police facility in Al-</w:t>
      </w:r>
      <w:proofErr w:type="spellStart"/>
      <w:r w:rsidR="09089602" w:rsidRPr="43C5181D">
        <w:rPr>
          <w:sz w:val="24"/>
          <w:szCs w:val="24"/>
        </w:rPr>
        <w:t>Abyar</w:t>
      </w:r>
      <w:proofErr w:type="spellEnd"/>
      <w:r w:rsidR="09089602" w:rsidRPr="43C5181D">
        <w:rPr>
          <w:sz w:val="24"/>
          <w:szCs w:val="24"/>
        </w:rPr>
        <w:t>, the Military Intelligence Battalion base in Al-Rajma, Al-</w:t>
      </w:r>
      <w:proofErr w:type="spellStart"/>
      <w:r w:rsidR="09089602" w:rsidRPr="43C5181D">
        <w:rPr>
          <w:sz w:val="24"/>
          <w:szCs w:val="24"/>
        </w:rPr>
        <w:lastRenderedPageBreak/>
        <w:t>Sai’qa</w:t>
      </w:r>
      <w:proofErr w:type="spellEnd"/>
      <w:r w:rsidR="09089602" w:rsidRPr="43C5181D">
        <w:rPr>
          <w:sz w:val="24"/>
          <w:szCs w:val="24"/>
        </w:rPr>
        <w:t xml:space="preserve"> military base in </w:t>
      </w:r>
      <w:proofErr w:type="spellStart"/>
      <w:r w:rsidR="09089602" w:rsidRPr="43C5181D">
        <w:rPr>
          <w:sz w:val="24"/>
          <w:szCs w:val="24"/>
        </w:rPr>
        <w:t>Bu’atni</w:t>
      </w:r>
      <w:proofErr w:type="spellEnd"/>
      <w:r w:rsidR="09089602" w:rsidRPr="43C5181D">
        <w:rPr>
          <w:sz w:val="24"/>
          <w:szCs w:val="24"/>
        </w:rPr>
        <w:t xml:space="preserve">, and in a </w:t>
      </w:r>
      <w:r w:rsidR="1986A363" w:rsidRPr="009F6514">
        <w:rPr>
          <w:sz w:val="24"/>
          <w:szCs w:val="24"/>
        </w:rPr>
        <w:t>facility reportedly</w:t>
      </w:r>
      <w:r w:rsidR="09089602" w:rsidRPr="43C5181D">
        <w:rPr>
          <w:sz w:val="24"/>
          <w:szCs w:val="24"/>
        </w:rPr>
        <w:t xml:space="preserve"> operated by the Tripoli Revolutionaries Brigade</w:t>
      </w:r>
      <w:r w:rsidR="1986A363" w:rsidRPr="009F6514">
        <w:rPr>
          <w:sz w:val="24"/>
          <w:szCs w:val="24"/>
        </w:rPr>
        <w:t>.”</w:t>
      </w:r>
      <w:r w:rsidR="1A9AAC68" w:rsidRPr="418A2397">
        <w:rPr>
          <w:rStyle w:val="FootnoteReference"/>
          <w:sz w:val="24"/>
          <w:szCs w:val="24"/>
        </w:rPr>
        <w:footnoteReference w:id="25"/>
      </w:r>
    </w:p>
    <w:p w14:paraId="5AB313AE" w14:textId="76A49C89" w:rsidR="66E6EAB0" w:rsidRDefault="1DF3DE2F" w:rsidP="418A2397">
      <w:pPr>
        <w:numPr>
          <w:ilvl w:val="0"/>
          <w:numId w:val="8"/>
        </w:numPr>
        <w:spacing w:after="120" w:line="259" w:lineRule="auto"/>
        <w:ind w:left="360"/>
        <w:jc w:val="both"/>
        <w:rPr>
          <w:color w:val="auto"/>
          <w:sz w:val="24"/>
          <w:szCs w:val="24"/>
        </w:rPr>
      </w:pPr>
      <w:r w:rsidRPr="418A2397">
        <w:rPr>
          <w:color w:val="auto"/>
          <w:sz w:val="24"/>
          <w:szCs w:val="24"/>
        </w:rPr>
        <w:t>T</w:t>
      </w:r>
      <w:r w:rsidR="7E487881" w:rsidRPr="418A2397">
        <w:rPr>
          <w:color w:val="auto"/>
          <w:sz w:val="24"/>
          <w:szCs w:val="24"/>
        </w:rPr>
        <w:t xml:space="preserve">he </w:t>
      </w:r>
      <w:r w:rsidR="7E487881" w:rsidRPr="009F6514">
        <w:rPr>
          <w:color w:val="auto"/>
          <w:sz w:val="24"/>
          <w:szCs w:val="24"/>
        </w:rPr>
        <w:t>U</w:t>
      </w:r>
      <w:r w:rsidR="002C285A" w:rsidRPr="009F6514">
        <w:rPr>
          <w:color w:val="auto"/>
          <w:sz w:val="24"/>
          <w:szCs w:val="24"/>
        </w:rPr>
        <w:t>.</w:t>
      </w:r>
      <w:r w:rsidR="7C668367" w:rsidRPr="009F6514">
        <w:rPr>
          <w:color w:val="auto"/>
          <w:sz w:val="24"/>
          <w:szCs w:val="24"/>
        </w:rPr>
        <w:t>S</w:t>
      </w:r>
      <w:r w:rsidR="002C285A" w:rsidRPr="009F6514">
        <w:rPr>
          <w:color w:val="auto"/>
          <w:sz w:val="24"/>
          <w:szCs w:val="24"/>
        </w:rPr>
        <w:t>.</w:t>
      </w:r>
      <w:r w:rsidR="007C4D8E">
        <w:rPr>
          <w:color w:val="auto"/>
          <w:sz w:val="24"/>
          <w:szCs w:val="24"/>
        </w:rPr>
        <w:t xml:space="preserve"> </w:t>
      </w:r>
      <w:r w:rsidR="7E487881" w:rsidRPr="418A2397">
        <w:rPr>
          <w:color w:val="auto"/>
          <w:sz w:val="24"/>
          <w:szCs w:val="24"/>
        </w:rPr>
        <w:t xml:space="preserve">Department of State </w:t>
      </w:r>
      <w:r w:rsidR="7E487881" w:rsidRPr="009F6514">
        <w:rPr>
          <w:color w:val="auto"/>
          <w:sz w:val="24"/>
          <w:szCs w:val="24"/>
        </w:rPr>
        <w:t>report</w:t>
      </w:r>
      <w:r w:rsidR="002C285A" w:rsidRPr="009F6514">
        <w:rPr>
          <w:color w:val="auto"/>
          <w:sz w:val="24"/>
          <w:szCs w:val="24"/>
        </w:rPr>
        <w:t>s</w:t>
      </w:r>
      <w:r w:rsidR="7E487881" w:rsidRPr="418A2397">
        <w:rPr>
          <w:color w:val="auto"/>
          <w:sz w:val="24"/>
          <w:szCs w:val="24"/>
        </w:rPr>
        <w:t xml:space="preserve"> </w:t>
      </w:r>
      <w:r w:rsidR="47D87FA6" w:rsidRPr="418A2397">
        <w:rPr>
          <w:color w:val="auto"/>
          <w:sz w:val="24"/>
          <w:szCs w:val="24"/>
        </w:rPr>
        <w:t xml:space="preserve">that while police forces control certain </w:t>
      </w:r>
      <w:r w:rsidR="26C29F69" w:rsidRPr="418A2397">
        <w:rPr>
          <w:color w:val="auto"/>
          <w:sz w:val="24"/>
          <w:szCs w:val="24"/>
        </w:rPr>
        <w:t xml:space="preserve">detention </w:t>
      </w:r>
      <w:r w:rsidR="47D87FA6" w:rsidRPr="418A2397">
        <w:rPr>
          <w:color w:val="auto"/>
          <w:sz w:val="24"/>
          <w:szCs w:val="24"/>
        </w:rPr>
        <w:t xml:space="preserve">facilities, </w:t>
      </w:r>
      <w:r w:rsidR="4DC25F6A" w:rsidRPr="418A2397">
        <w:rPr>
          <w:color w:val="auto"/>
          <w:sz w:val="24"/>
          <w:szCs w:val="24"/>
        </w:rPr>
        <w:t xml:space="preserve">the Libyan </w:t>
      </w:r>
      <w:r w:rsidR="40CB61AB" w:rsidRPr="418A2397">
        <w:rPr>
          <w:color w:val="auto"/>
          <w:sz w:val="24"/>
          <w:szCs w:val="24"/>
        </w:rPr>
        <w:t>G</w:t>
      </w:r>
      <w:r w:rsidR="4DC25F6A" w:rsidRPr="418A2397">
        <w:rPr>
          <w:color w:val="auto"/>
          <w:sz w:val="24"/>
          <w:szCs w:val="24"/>
        </w:rPr>
        <w:t xml:space="preserve">overnment </w:t>
      </w:r>
      <w:r w:rsidR="4DC25F6A" w:rsidRPr="009F6514">
        <w:rPr>
          <w:color w:val="auto"/>
          <w:sz w:val="24"/>
          <w:szCs w:val="24"/>
        </w:rPr>
        <w:t>cont</w:t>
      </w:r>
      <w:r w:rsidR="6DAF5ED8" w:rsidRPr="009F6514">
        <w:rPr>
          <w:color w:val="auto"/>
          <w:sz w:val="24"/>
          <w:szCs w:val="24"/>
        </w:rPr>
        <w:t>inue</w:t>
      </w:r>
      <w:r w:rsidR="2222E942" w:rsidRPr="009F6514">
        <w:rPr>
          <w:color w:val="auto"/>
          <w:sz w:val="24"/>
          <w:szCs w:val="24"/>
        </w:rPr>
        <w:t>s</w:t>
      </w:r>
      <w:r w:rsidR="6DAF5ED8" w:rsidRPr="418A2397">
        <w:rPr>
          <w:color w:val="auto"/>
          <w:sz w:val="24"/>
          <w:szCs w:val="24"/>
        </w:rPr>
        <w:t xml:space="preserve"> to rely primarily on independent armed groups to manage detention centers.</w:t>
      </w:r>
      <w:r w:rsidR="66E6EAB0" w:rsidRPr="418A2397">
        <w:rPr>
          <w:rStyle w:val="FootnoteReference"/>
          <w:color w:val="auto"/>
          <w:sz w:val="24"/>
          <w:szCs w:val="24"/>
        </w:rPr>
        <w:footnoteReference w:id="26"/>
      </w:r>
      <w:r w:rsidR="6DAF5ED8" w:rsidRPr="418A2397">
        <w:rPr>
          <w:color w:val="auto"/>
          <w:sz w:val="24"/>
          <w:szCs w:val="24"/>
        </w:rPr>
        <w:t xml:space="preserve"> The State Department reported that </w:t>
      </w:r>
      <w:r w:rsidR="7327686E" w:rsidRPr="418A2397">
        <w:rPr>
          <w:color w:val="auto"/>
          <w:sz w:val="24"/>
          <w:szCs w:val="24"/>
        </w:rPr>
        <w:t xml:space="preserve">prisoners </w:t>
      </w:r>
      <w:r w:rsidR="7327686E" w:rsidRPr="009F6514">
        <w:rPr>
          <w:color w:val="auto"/>
          <w:sz w:val="24"/>
          <w:szCs w:val="24"/>
        </w:rPr>
        <w:t>face</w:t>
      </w:r>
      <w:r w:rsidR="7327686E" w:rsidRPr="418A2397">
        <w:rPr>
          <w:color w:val="auto"/>
          <w:sz w:val="24"/>
          <w:szCs w:val="24"/>
        </w:rPr>
        <w:t xml:space="preserve"> severe cruel and degrading treatment </w:t>
      </w:r>
      <w:r w:rsidR="7842B385" w:rsidRPr="009F6514">
        <w:rPr>
          <w:color w:val="auto"/>
          <w:sz w:val="24"/>
          <w:szCs w:val="24"/>
        </w:rPr>
        <w:t xml:space="preserve">in these facilities, </w:t>
      </w:r>
      <w:r w:rsidR="7327686E" w:rsidRPr="418A2397">
        <w:rPr>
          <w:color w:val="auto"/>
          <w:sz w:val="24"/>
          <w:szCs w:val="24"/>
        </w:rPr>
        <w:t>including beatings, electric shocks, burns, and rape.</w:t>
      </w:r>
      <w:r w:rsidR="66E6EAB0" w:rsidRPr="418A2397">
        <w:rPr>
          <w:rStyle w:val="FootnoteReference"/>
          <w:color w:val="auto"/>
          <w:sz w:val="24"/>
          <w:szCs w:val="24"/>
        </w:rPr>
        <w:footnoteReference w:id="27"/>
      </w:r>
    </w:p>
    <w:p w14:paraId="721B88CA" w14:textId="06CFC82F" w:rsidR="7A53BE26" w:rsidRDefault="3D4C9956" w:rsidP="418A2397">
      <w:pPr>
        <w:numPr>
          <w:ilvl w:val="0"/>
          <w:numId w:val="8"/>
        </w:numPr>
        <w:spacing w:after="120" w:line="259" w:lineRule="auto"/>
        <w:ind w:left="360"/>
        <w:jc w:val="both"/>
        <w:rPr>
          <w:color w:val="auto"/>
          <w:sz w:val="24"/>
          <w:szCs w:val="24"/>
        </w:rPr>
      </w:pPr>
      <w:r w:rsidRPr="418A2397">
        <w:rPr>
          <w:color w:val="auto"/>
          <w:sz w:val="24"/>
          <w:szCs w:val="24"/>
        </w:rPr>
        <w:t xml:space="preserve">The lack of full government control over detention facilities </w:t>
      </w:r>
      <w:r w:rsidR="364FE387" w:rsidRPr="009F6514">
        <w:rPr>
          <w:color w:val="auto"/>
          <w:sz w:val="24"/>
          <w:szCs w:val="24"/>
        </w:rPr>
        <w:t xml:space="preserve">and </w:t>
      </w:r>
      <w:r w:rsidR="27401852" w:rsidRPr="009F6514">
        <w:rPr>
          <w:color w:val="auto"/>
          <w:sz w:val="24"/>
          <w:szCs w:val="24"/>
        </w:rPr>
        <w:t xml:space="preserve">the </w:t>
      </w:r>
      <w:r w:rsidR="364FE387" w:rsidRPr="009F6514">
        <w:rPr>
          <w:color w:val="auto"/>
          <w:sz w:val="24"/>
          <w:szCs w:val="24"/>
        </w:rPr>
        <w:t xml:space="preserve">absence of a centralized system of record-keeping </w:t>
      </w:r>
      <w:r w:rsidRPr="009F6514">
        <w:rPr>
          <w:color w:val="auto"/>
          <w:sz w:val="24"/>
          <w:szCs w:val="24"/>
        </w:rPr>
        <w:t>limit</w:t>
      </w:r>
      <w:r w:rsidRPr="418A2397">
        <w:rPr>
          <w:color w:val="auto"/>
          <w:sz w:val="24"/>
          <w:szCs w:val="24"/>
        </w:rPr>
        <w:t xml:space="preserve"> the information available on conditions within Libyan facilities.</w:t>
      </w:r>
      <w:r w:rsidR="7A53BE26" w:rsidRPr="418A2397">
        <w:rPr>
          <w:rStyle w:val="FootnoteReference"/>
          <w:color w:val="auto"/>
          <w:sz w:val="24"/>
          <w:szCs w:val="24"/>
        </w:rPr>
        <w:footnoteReference w:id="28"/>
      </w:r>
      <w:r w:rsidR="50EBA3FF" w:rsidRPr="418A2397">
        <w:rPr>
          <w:color w:val="auto"/>
          <w:sz w:val="24"/>
          <w:szCs w:val="24"/>
        </w:rPr>
        <w:t xml:space="preserve"> </w:t>
      </w:r>
      <w:r w:rsidR="3019C9EF" w:rsidRPr="009F6514">
        <w:rPr>
          <w:color w:val="auto"/>
          <w:sz w:val="24"/>
          <w:szCs w:val="24"/>
        </w:rPr>
        <w:t>Additionally</w:t>
      </w:r>
      <w:r w:rsidR="5F94AE02" w:rsidRPr="418A2397">
        <w:rPr>
          <w:color w:val="auto"/>
          <w:sz w:val="24"/>
          <w:szCs w:val="24"/>
        </w:rPr>
        <w:t>, monitoring</w:t>
      </w:r>
      <w:r w:rsidR="4F1AE181" w:rsidRPr="418A2397">
        <w:rPr>
          <w:color w:val="auto"/>
          <w:sz w:val="24"/>
          <w:szCs w:val="24"/>
        </w:rPr>
        <w:t xml:space="preserve"> and training of prison staff by international organizations </w:t>
      </w:r>
      <w:r w:rsidR="36366033" w:rsidRPr="009F6514">
        <w:rPr>
          <w:color w:val="auto"/>
          <w:sz w:val="24"/>
          <w:szCs w:val="24"/>
        </w:rPr>
        <w:t>remain</w:t>
      </w:r>
      <w:r w:rsidR="128275FD" w:rsidRPr="009F6514">
        <w:rPr>
          <w:color w:val="auto"/>
          <w:sz w:val="24"/>
          <w:szCs w:val="24"/>
        </w:rPr>
        <w:t>s</w:t>
      </w:r>
      <w:r w:rsidR="36366033" w:rsidRPr="418A2397">
        <w:rPr>
          <w:color w:val="auto"/>
          <w:sz w:val="24"/>
          <w:szCs w:val="24"/>
        </w:rPr>
        <w:t xml:space="preserve"> largely suspended</w:t>
      </w:r>
      <w:r w:rsidR="36366033" w:rsidRPr="009F6514">
        <w:rPr>
          <w:color w:val="auto"/>
          <w:sz w:val="24"/>
          <w:szCs w:val="24"/>
        </w:rPr>
        <w:t>.</w:t>
      </w:r>
    </w:p>
    <w:p w14:paraId="43A08C66" w14:textId="1428605A" w:rsidR="56A76AB8" w:rsidRPr="009F6514" w:rsidRDefault="31027385" w:rsidP="00170316">
      <w:pPr>
        <w:numPr>
          <w:ilvl w:val="0"/>
          <w:numId w:val="8"/>
        </w:numPr>
        <w:spacing w:after="240" w:line="259" w:lineRule="auto"/>
        <w:ind w:left="360"/>
        <w:jc w:val="both"/>
        <w:rPr>
          <w:color w:val="000000" w:themeColor="text1"/>
          <w:sz w:val="24"/>
          <w:szCs w:val="24"/>
          <w:vertAlign w:val="superscript"/>
        </w:rPr>
      </w:pPr>
      <w:r w:rsidRPr="6BA28100">
        <w:rPr>
          <w:color w:val="000000" w:themeColor="text1"/>
          <w:sz w:val="24"/>
          <w:szCs w:val="24"/>
        </w:rPr>
        <w:t>The Penal Code of 1953 does not prohibit all forms of corporal punishment</w:t>
      </w:r>
      <w:r w:rsidR="29C99961" w:rsidRPr="6BA28100">
        <w:rPr>
          <w:color w:val="000000" w:themeColor="text1"/>
          <w:sz w:val="24"/>
          <w:szCs w:val="24"/>
        </w:rPr>
        <w:t>, and H</w:t>
      </w:r>
      <w:r w:rsidRPr="6BA28100">
        <w:rPr>
          <w:color w:val="000000" w:themeColor="text1"/>
          <w:sz w:val="24"/>
          <w:szCs w:val="24"/>
        </w:rPr>
        <w:t xml:space="preserve">uman Rights Watch </w:t>
      </w:r>
      <w:r w:rsidRPr="009F6514">
        <w:rPr>
          <w:color w:val="auto"/>
          <w:sz w:val="24"/>
          <w:szCs w:val="24"/>
        </w:rPr>
        <w:t>reported</w:t>
      </w:r>
      <w:r w:rsidRPr="6BA28100">
        <w:rPr>
          <w:color w:val="000000" w:themeColor="text1"/>
          <w:sz w:val="24"/>
          <w:szCs w:val="24"/>
        </w:rPr>
        <w:t xml:space="preserve"> that </w:t>
      </w:r>
      <w:r w:rsidR="6F9D3523" w:rsidRPr="6BA28100">
        <w:rPr>
          <w:color w:val="000000" w:themeColor="text1"/>
          <w:sz w:val="24"/>
          <w:szCs w:val="24"/>
        </w:rPr>
        <w:t>“</w:t>
      </w:r>
      <w:r w:rsidRPr="6BA28100">
        <w:rPr>
          <w:color w:val="000000" w:themeColor="text1"/>
          <w:sz w:val="24"/>
          <w:szCs w:val="24"/>
        </w:rPr>
        <w:t>Gaddafi-era laws prescribe lashings and amputation of limbs</w:t>
      </w:r>
      <w:r w:rsidR="76187933" w:rsidRPr="6BA28100">
        <w:rPr>
          <w:color w:val="000000" w:themeColor="text1"/>
          <w:sz w:val="24"/>
          <w:szCs w:val="24"/>
        </w:rPr>
        <w:t xml:space="preserve">” </w:t>
      </w:r>
      <w:r w:rsidR="2B4245FE" w:rsidRPr="6BA28100">
        <w:rPr>
          <w:color w:val="000000" w:themeColor="text1"/>
          <w:sz w:val="24"/>
          <w:szCs w:val="24"/>
        </w:rPr>
        <w:t>a</w:t>
      </w:r>
      <w:r w:rsidR="76187933" w:rsidRPr="6BA28100">
        <w:rPr>
          <w:color w:val="000000" w:themeColor="text1"/>
          <w:sz w:val="24"/>
          <w:szCs w:val="24"/>
        </w:rPr>
        <w:t xml:space="preserve">nd that </w:t>
      </w:r>
      <w:r w:rsidR="76187933" w:rsidRPr="418A2397">
        <w:rPr>
          <w:sz w:val="24"/>
          <w:szCs w:val="24"/>
        </w:rPr>
        <w:t>protection from such punishment for persons under 18 was insufficient.</w:t>
      </w:r>
      <w:r w:rsidR="56A76AB8" w:rsidRPr="6BA28100">
        <w:rPr>
          <w:rStyle w:val="FootnoteReference"/>
          <w:color w:val="000000" w:themeColor="text1"/>
          <w:sz w:val="24"/>
          <w:szCs w:val="24"/>
        </w:rPr>
        <w:footnoteReference w:id="29"/>
      </w:r>
      <w:r w:rsidRPr="6BA28100">
        <w:rPr>
          <w:color w:val="000000" w:themeColor="text1"/>
          <w:sz w:val="24"/>
          <w:szCs w:val="24"/>
        </w:rPr>
        <w:t xml:space="preserve"> </w:t>
      </w:r>
    </w:p>
    <w:p w14:paraId="464842F5" w14:textId="24161FD1" w:rsidR="56A76AB8" w:rsidRDefault="6881DC7F" w:rsidP="00170316">
      <w:pPr>
        <w:pStyle w:val="ListParagraph"/>
        <w:numPr>
          <w:ilvl w:val="0"/>
          <w:numId w:val="9"/>
        </w:numPr>
        <w:spacing w:after="240" w:line="259" w:lineRule="auto"/>
        <w:ind w:left="720" w:hanging="360"/>
        <w:rPr>
          <w:rFonts w:ascii="Times New Roman" w:eastAsia="Times New Roman" w:hAnsi="Times New Roman"/>
          <w:b/>
          <w:bCs/>
          <w:color w:val="000000" w:themeColor="text1"/>
          <w:sz w:val="24"/>
          <w:szCs w:val="24"/>
        </w:rPr>
      </w:pPr>
      <w:r w:rsidRPr="418A2397">
        <w:rPr>
          <w:rFonts w:ascii="Times New Roman" w:eastAsia="Times New Roman" w:hAnsi="Times New Roman"/>
          <w:b/>
          <w:bCs/>
          <w:color w:val="000000" w:themeColor="text1"/>
          <w:sz w:val="24"/>
          <w:szCs w:val="24"/>
        </w:rPr>
        <w:t xml:space="preserve">The State refuses to offer </w:t>
      </w:r>
      <w:r w:rsidR="009F6514">
        <w:rPr>
          <w:rFonts w:ascii="Times New Roman" w:eastAsia="Times New Roman" w:hAnsi="Times New Roman"/>
          <w:b/>
          <w:bCs/>
          <w:color w:val="000000" w:themeColor="text1"/>
          <w:sz w:val="24"/>
          <w:szCs w:val="24"/>
        </w:rPr>
        <w:t>adequate</w:t>
      </w:r>
      <w:r w:rsidRPr="418A2397">
        <w:rPr>
          <w:rFonts w:ascii="Times New Roman" w:eastAsia="Times New Roman" w:hAnsi="Times New Roman"/>
          <w:b/>
          <w:bCs/>
          <w:color w:val="000000" w:themeColor="text1"/>
          <w:sz w:val="24"/>
          <w:szCs w:val="24"/>
        </w:rPr>
        <w:t xml:space="preserve"> legal aid to </w:t>
      </w:r>
      <w:r w:rsidR="009F6514">
        <w:rPr>
          <w:rFonts w:ascii="Times New Roman" w:eastAsia="Times New Roman" w:hAnsi="Times New Roman"/>
          <w:b/>
          <w:bCs/>
          <w:color w:val="000000" w:themeColor="text1"/>
          <w:sz w:val="24"/>
          <w:szCs w:val="24"/>
        </w:rPr>
        <w:t>people suspected of committing crimes</w:t>
      </w:r>
      <w:r w:rsidR="007C4D8E">
        <w:rPr>
          <w:rFonts w:ascii="Times New Roman" w:eastAsia="Times New Roman" w:hAnsi="Times New Roman"/>
          <w:b/>
          <w:bCs/>
          <w:color w:val="000000" w:themeColor="text1"/>
          <w:sz w:val="24"/>
          <w:szCs w:val="24"/>
        </w:rPr>
        <w:t>.</w:t>
      </w:r>
    </w:p>
    <w:p w14:paraId="4EDA21A1" w14:textId="6B220EF3" w:rsidR="56A76AB8" w:rsidRDefault="2A296990" w:rsidP="6BA28100">
      <w:pPr>
        <w:numPr>
          <w:ilvl w:val="0"/>
          <w:numId w:val="8"/>
        </w:numPr>
        <w:spacing w:after="120" w:line="259" w:lineRule="auto"/>
        <w:ind w:left="360"/>
        <w:jc w:val="both"/>
        <w:rPr>
          <w:color w:val="000000" w:themeColor="text1"/>
          <w:sz w:val="24"/>
          <w:szCs w:val="24"/>
          <w:vertAlign w:val="superscript"/>
        </w:rPr>
      </w:pPr>
      <w:r w:rsidRPr="6BA28100">
        <w:rPr>
          <w:color w:val="000000" w:themeColor="text1"/>
          <w:sz w:val="24"/>
          <w:szCs w:val="24"/>
        </w:rPr>
        <w:t>In its</w:t>
      </w:r>
      <w:r w:rsidR="31027385" w:rsidRPr="6BA28100">
        <w:rPr>
          <w:color w:val="000000" w:themeColor="text1"/>
          <w:sz w:val="24"/>
          <w:szCs w:val="24"/>
        </w:rPr>
        <w:t xml:space="preserve"> 2007 Concluding Observations, the Committee reiterated its concern </w:t>
      </w:r>
      <w:r w:rsidR="31027385" w:rsidRPr="009F6514">
        <w:rPr>
          <w:color w:val="000000" w:themeColor="text1"/>
          <w:sz w:val="24"/>
          <w:szCs w:val="24"/>
        </w:rPr>
        <w:t>a</w:t>
      </w:r>
      <w:r w:rsidR="009F6514">
        <w:rPr>
          <w:color w:val="000000" w:themeColor="text1"/>
          <w:sz w:val="24"/>
          <w:szCs w:val="24"/>
        </w:rPr>
        <w:t>bout</w:t>
      </w:r>
      <w:r w:rsidR="31027385" w:rsidRPr="6BA28100">
        <w:rPr>
          <w:color w:val="000000" w:themeColor="text1"/>
          <w:sz w:val="24"/>
          <w:szCs w:val="24"/>
        </w:rPr>
        <w:t xml:space="preserve"> reports that </w:t>
      </w:r>
      <w:r w:rsidR="7CAB23EF" w:rsidRPr="6BA28100">
        <w:rPr>
          <w:color w:val="000000" w:themeColor="text1"/>
          <w:sz w:val="24"/>
          <w:szCs w:val="24"/>
        </w:rPr>
        <w:t xml:space="preserve">people </w:t>
      </w:r>
      <w:r w:rsidR="31027385" w:rsidRPr="6BA28100">
        <w:rPr>
          <w:color w:val="000000" w:themeColor="text1"/>
          <w:sz w:val="24"/>
          <w:szCs w:val="24"/>
        </w:rPr>
        <w:t xml:space="preserve">are held in lengthy pre-trial detention without access to legal counsel. The Committee urged the State </w:t>
      </w:r>
      <w:r w:rsidR="4A01D7F4" w:rsidRPr="6BA28100">
        <w:rPr>
          <w:color w:val="000000" w:themeColor="text1"/>
          <w:sz w:val="24"/>
          <w:szCs w:val="24"/>
        </w:rPr>
        <w:t>P</w:t>
      </w:r>
      <w:r w:rsidR="31027385" w:rsidRPr="6BA28100">
        <w:rPr>
          <w:color w:val="000000" w:themeColor="text1"/>
          <w:sz w:val="24"/>
          <w:szCs w:val="24"/>
        </w:rPr>
        <w:t xml:space="preserve">arty to take all necessary efforts to </w:t>
      </w:r>
      <w:r w:rsidR="009F6514">
        <w:rPr>
          <w:color w:val="000000" w:themeColor="text1"/>
          <w:sz w:val="24"/>
          <w:szCs w:val="24"/>
        </w:rPr>
        <w:t>initiate</w:t>
      </w:r>
      <w:r w:rsidR="31027385" w:rsidRPr="6BA28100">
        <w:rPr>
          <w:color w:val="000000" w:themeColor="text1"/>
          <w:sz w:val="24"/>
          <w:szCs w:val="24"/>
        </w:rPr>
        <w:t xml:space="preserve"> independent judicial supervision of </w:t>
      </w:r>
      <w:r w:rsidR="009F6514">
        <w:rPr>
          <w:color w:val="000000" w:themeColor="text1"/>
          <w:sz w:val="24"/>
          <w:szCs w:val="24"/>
        </w:rPr>
        <w:t xml:space="preserve">detention </w:t>
      </w:r>
      <w:r w:rsidR="31027385" w:rsidRPr="6BA28100">
        <w:rPr>
          <w:color w:val="000000" w:themeColor="text1"/>
          <w:sz w:val="24"/>
          <w:szCs w:val="24"/>
        </w:rPr>
        <w:t xml:space="preserve">centers and </w:t>
      </w:r>
      <w:r w:rsidR="009F6514">
        <w:rPr>
          <w:color w:val="000000" w:themeColor="text1"/>
          <w:sz w:val="24"/>
          <w:szCs w:val="24"/>
        </w:rPr>
        <w:t xml:space="preserve">to </w:t>
      </w:r>
      <w:r w:rsidR="31027385" w:rsidRPr="6BA28100">
        <w:rPr>
          <w:color w:val="000000" w:themeColor="text1"/>
          <w:sz w:val="24"/>
          <w:szCs w:val="24"/>
        </w:rPr>
        <w:t xml:space="preserve">ensure prompt access to lawyers for </w:t>
      </w:r>
      <w:r w:rsidR="009F6514">
        <w:rPr>
          <w:color w:val="000000" w:themeColor="text1"/>
          <w:sz w:val="24"/>
          <w:szCs w:val="24"/>
        </w:rPr>
        <w:t>people who are</w:t>
      </w:r>
      <w:r w:rsidR="31027385" w:rsidRPr="6BA28100">
        <w:rPr>
          <w:color w:val="000000" w:themeColor="text1"/>
          <w:sz w:val="24"/>
          <w:szCs w:val="24"/>
        </w:rPr>
        <w:t xml:space="preserve"> detained.</w:t>
      </w:r>
      <w:r w:rsidR="56A76AB8" w:rsidRPr="6BA28100">
        <w:rPr>
          <w:rStyle w:val="FootnoteReference"/>
          <w:color w:val="000000" w:themeColor="text1"/>
          <w:sz w:val="24"/>
          <w:szCs w:val="24"/>
        </w:rPr>
        <w:footnoteReference w:id="30"/>
      </w:r>
    </w:p>
    <w:p w14:paraId="36361D03" w14:textId="1CBC4344" w:rsidR="56A76AB8" w:rsidRDefault="31027385" w:rsidP="4731B1E9">
      <w:pPr>
        <w:numPr>
          <w:ilvl w:val="0"/>
          <w:numId w:val="8"/>
        </w:numPr>
        <w:spacing w:after="20" w:line="259" w:lineRule="auto"/>
        <w:ind w:left="360"/>
        <w:jc w:val="both"/>
        <w:rPr>
          <w:color w:val="000000" w:themeColor="text1"/>
          <w:sz w:val="24"/>
          <w:szCs w:val="24"/>
          <w:vertAlign w:val="superscript"/>
        </w:rPr>
      </w:pPr>
      <w:r w:rsidRPr="6BA28100">
        <w:rPr>
          <w:color w:val="000000" w:themeColor="text1"/>
          <w:sz w:val="24"/>
          <w:szCs w:val="24"/>
        </w:rPr>
        <w:t xml:space="preserve">The State Party Report </w:t>
      </w:r>
      <w:r w:rsidR="009F6514">
        <w:rPr>
          <w:color w:val="000000" w:themeColor="text1"/>
          <w:sz w:val="24"/>
          <w:szCs w:val="24"/>
        </w:rPr>
        <w:t>states</w:t>
      </w:r>
      <w:r w:rsidRPr="6BA28100">
        <w:rPr>
          <w:color w:val="000000" w:themeColor="text1"/>
          <w:sz w:val="24"/>
          <w:szCs w:val="24"/>
        </w:rPr>
        <w:t xml:space="preserve"> that the Constitutional Declaration includes a </w:t>
      </w:r>
      <w:r w:rsidR="3CAB0C47" w:rsidRPr="6BA28100">
        <w:rPr>
          <w:color w:val="000000" w:themeColor="text1"/>
          <w:sz w:val="24"/>
          <w:szCs w:val="24"/>
        </w:rPr>
        <w:t>chapter addressing</w:t>
      </w:r>
      <w:r w:rsidRPr="6BA28100">
        <w:rPr>
          <w:color w:val="000000" w:themeColor="text1"/>
          <w:sz w:val="24"/>
          <w:szCs w:val="24"/>
        </w:rPr>
        <w:t xml:space="preserve"> rights and civil liberties</w:t>
      </w:r>
      <w:r w:rsidR="7CE78557" w:rsidRPr="6BA28100">
        <w:rPr>
          <w:color w:val="000000" w:themeColor="text1"/>
          <w:sz w:val="24"/>
          <w:szCs w:val="24"/>
        </w:rPr>
        <w:t>,</w:t>
      </w:r>
      <w:r w:rsidRPr="6BA28100">
        <w:rPr>
          <w:color w:val="000000" w:themeColor="text1"/>
          <w:sz w:val="24"/>
          <w:szCs w:val="24"/>
        </w:rPr>
        <w:t xml:space="preserve"> including the rights to a fair trial with legal s</w:t>
      </w:r>
      <w:r w:rsidR="150CCCCD" w:rsidRPr="6BA28100">
        <w:rPr>
          <w:color w:val="000000" w:themeColor="text1"/>
          <w:sz w:val="24"/>
          <w:szCs w:val="24"/>
        </w:rPr>
        <w:t>afegu</w:t>
      </w:r>
      <w:r w:rsidRPr="6BA28100">
        <w:rPr>
          <w:color w:val="000000" w:themeColor="text1"/>
          <w:sz w:val="24"/>
          <w:szCs w:val="24"/>
        </w:rPr>
        <w:t>ards.</w:t>
      </w:r>
      <w:r w:rsidR="56A76AB8" w:rsidRPr="6BA28100">
        <w:rPr>
          <w:rStyle w:val="FootnoteReference"/>
          <w:color w:val="000000" w:themeColor="text1"/>
          <w:sz w:val="24"/>
          <w:szCs w:val="24"/>
        </w:rPr>
        <w:footnoteReference w:id="31"/>
      </w:r>
    </w:p>
    <w:p w14:paraId="6355D3C0" w14:textId="1F867F2D" w:rsidR="4BC3E266" w:rsidRPr="009F6514" w:rsidRDefault="4BC3E266" w:rsidP="00170316">
      <w:pPr>
        <w:numPr>
          <w:ilvl w:val="0"/>
          <w:numId w:val="8"/>
        </w:numPr>
        <w:spacing w:after="120" w:line="259" w:lineRule="auto"/>
        <w:ind w:left="360"/>
        <w:jc w:val="both"/>
        <w:rPr>
          <w:color w:val="000000" w:themeColor="text1"/>
          <w:sz w:val="24"/>
          <w:szCs w:val="24"/>
          <w:vertAlign w:val="superscript"/>
        </w:rPr>
      </w:pPr>
      <w:r w:rsidRPr="009F6514">
        <w:rPr>
          <w:sz w:val="24"/>
          <w:szCs w:val="24"/>
        </w:rPr>
        <w:lastRenderedPageBreak/>
        <w:t>According</w:t>
      </w:r>
      <w:r w:rsidR="31027385" w:rsidRPr="009F6514">
        <w:rPr>
          <w:sz w:val="24"/>
          <w:szCs w:val="24"/>
        </w:rPr>
        <w:t xml:space="preserve"> to </w:t>
      </w:r>
      <w:r w:rsidRPr="009F6514">
        <w:rPr>
          <w:sz w:val="24"/>
          <w:szCs w:val="24"/>
        </w:rPr>
        <w:t xml:space="preserve">Libyan law, detention can be extended </w:t>
      </w:r>
      <w:r w:rsidR="009F6514">
        <w:rPr>
          <w:sz w:val="24"/>
          <w:szCs w:val="24"/>
        </w:rPr>
        <w:t xml:space="preserve">only </w:t>
      </w:r>
      <w:r w:rsidRPr="009F6514">
        <w:rPr>
          <w:sz w:val="24"/>
          <w:szCs w:val="24"/>
        </w:rPr>
        <w:t>by a circuit court.</w:t>
      </w:r>
      <w:r w:rsidRPr="009F6514">
        <w:rPr>
          <w:rStyle w:val="FootnoteReference"/>
          <w:sz w:val="24"/>
          <w:szCs w:val="24"/>
        </w:rPr>
        <w:footnoteReference w:id="32"/>
      </w:r>
      <w:r w:rsidRPr="009F6514">
        <w:rPr>
          <w:sz w:val="24"/>
          <w:szCs w:val="24"/>
        </w:rPr>
        <w:t xml:space="preserve"> Many people in detention face extended pretrial detention for up to one year</w:t>
      </w:r>
      <w:r w:rsidRPr="009F6514">
        <w:rPr>
          <w:color w:val="auto"/>
          <w:sz w:val="24"/>
          <w:szCs w:val="24"/>
        </w:rPr>
        <w:t>.</w:t>
      </w:r>
      <w:r w:rsidRPr="009F6514">
        <w:rPr>
          <w:rStyle w:val="FootnoteReference"/>
          <w:sz w:val="24"/>
          <w:szCs w:val="24"/>
        </w:rPr>
        <w:footnoteReference w:id="33"/>
      </w:r>
      <w:r w:rsidRPr="009F6514">
        <w:rPr>
          <w:sz w:val="24"/>
          <w:szCs w:val="24"/>
        </w:rPr>
        <w:t xml:space="preserve"> Few individuals who have been detained</w:t>
      </w:r>
      <w:r w:rsidRPr="009F6514">
        <w:rPr>
          <w:color w:val="auto"/>
          <w:sz w:val="24"/>
          <w:szCs w:val="24"/>
        </w:rPr>
        <w:t xml:space="preserve"> have access to legal </w:t>
      </w:r>
      <w:r w:rsidR="31027385" w:rsidRPr="009F6514">
        <w:rPr>
          <w:color w:val="auto"/>
          <w:sz w:val="24"/>
          <w:szCs w:val="24"/>
        </w:rPr>
        <w:t>counsel</w:t>
      </w:r>
      <w:r w:rsidRPr="009F6514">
        <w:rPr>
          <w:color w:val="auto"/>
          <w:sz w:val="24"/>
          <w:szCs w:val="24"/>
        </w:rPr>
        <w:t>.</w:t>
      </w:r>
      <w:r w:rsidRPr="009F6514">
        <w:rPr>
          <w:rStyle w:val="FootnoteReference"/>
          <w:color w:val="auto"/>
          <w:sz w:val="24"/>
          <w:szCs w:val="24"/>
        </w:rPr>
        <w:footnoteReference w:id="34"/>
      </w:r>
    </w:p>
    <w:p w14:paraId="0782BA36" w14:textId="2E320968" w:rsidR="56A76AB8" w:rsidRDefault="4FEA924C" w:rsidP="00170316">
      <w:pPr>
        <w:numPr>
          <w:ilvl w:val="0"/>
          <w:numId w:val="8"/>
        </w:numPr>
        <w:spacing w:after="120" w:line="259" w:lineRule="auto"/>
        <w:ind w:left="360"/>
        <w:jc w:val="both"/>
        <w:rPr>
          <w:color w:val="000000" w:themeColor="text1"/>
          <w:sz w:val="24"/>
          <w:szCs w:val="24"/>
          <w:vertAlign w:val="superscript"/>
        </w:rPr>
      </w:pPr>
      <w:r w:rsidRPr="009F6514">
        <w:rPr>
          <w:color w:val="000000" w:themeColor="text1"/>
          <w:sz w:val="24"/>
          <w:szCs w:val="24"/>
        </w:rPr>
        <w:t>The</w:t>
      </w:r>
      <w:r w:rsidR="51258639" w:rsidRPr="009F6514">
        <w:rPr>
          <w:color w:val="000000" w:themeColor="text1"/>
          <w:sz w:val="24"/>
          <w:szCs w:val="24"/>
        </w:rPr>
        <w:t xml:space="preserve"> U</w:t>
      </w:r>
      <w:r w:rsidR="009F6514">
        <w:rPr>
          <w:color w:val="000000" w:themeColor="text1"/>
          <w:sz w:val="24"/>
          <w:szCs w:val="24"/>
        </w:rPr>
        <w:t>.</w:t>
      </w:r>
      <w:r w:rsidR="0ECDFB7E" w:rsidRPr="009F6514">
        <w:rPr>
          <w:color w:val="000000" w:themeColor="text1"/>
          <w:sz w:val="24"/>
          <w:szCs w:val="24"/>
        </w:rPr>
        <w:t>S</w:t>
      </w:r>
      <w:r w:rsidR="009F6514">
        <w:rPr>
          <w:color w:val="000000" w:themeColor="text1"/>
          <w:sz w:val="24"/>
          <w:szCs w:val="24"/>
        </w:rPr>
        <w:t>. State</w:t>
      </w:r>
      <w:r w:rsidR="51258639" w:rsidRPr="009F6514">
        <w:rPr>
          <w:color w:val="000000" w:themeColor="text1"/>
          <w:sz w:val="24"/>
          <w:szCs w:val="24"/>
        </w:rPr>
        <w:t xml:space="preserve"> Department</w:t>
      </w:r>
      <w:r w:rsidR="51258639" w:rsidRPr="025F20C0">
        <w:rPr>
          <w:color w:val="000000" w:themeColor="text1"/>
          <w:sz w:val="24"/>
          <w:szCs w:val="24"/>
        </w:rPr>
        <w:t xml:space="preserve"> reports that thousands of people in detention do not have access to bail, lawyers, or information regarding the charges brought against them. </w:t>
      </w:r>
      <w:r w:rsidR="31027385" w:rsidRPr="6BA28100">
        <w:rPr>
          <w:color w:val="000000" w:themeColor="text1"/>
          <w:sz w:val="24"/>
          <w:szCs w:val="24"/>
        </w:rPr>
        <w:t>The same report also notes that trials are often “operated sporadically depending on local security conditions.”</w:t>
      </w:r>
      <w:r w:rsidR="56A76AB8" w:rsidRPr="6BA28100">
        <w:rPr>
          <w:rStyle w:val="FootnoteReference"/>
          <w:color w:val="000000" w:themeColor="text1"/>
          <w:sz w:val="24"/>
          <w:szCs w:val="24"/>
        </w:rPr>
        <w:footnoteReference w:id="35"/>
      </w:r>
    </w:p>
    <w:p w14:paraId="3FC70D84" w14:textId="2D5DF5B1" w:rsidR="56A76AB8" w:rsidRDefault="54A79267" w:rsidP="00170316">
      <w:pPr>
        <w:numPr>
          <w:ilvl w:val="0"/>
          <w:numId w:val="8"/>
        </w:numPr>
        <w:spacing w:after="120" w:line="259" w:lineRule="auto"/>
        <w:ind w:left="360"/>
        <w:jc w:val="both"/>
        <w:rPr>
          <w:color w:val="000000" w:themeColor="text1"/>
          <w:sz w:val="24"/>
          <w:szCs w:val="24"/>
          <w:vertAlign w:val="superscript"/>
        </w:rPr>
      </w:pPr>
      <w:r w:rsidRPr="6BA28100">
        <w:rPr>
          <w:color w:val="000000" w:themeColor="text1"/>
          <w:sz w:val="24"/>
          <w:szCs w:val="24"/>
        </w:rPr>
        <w:t>Human Rights Watch reports that civilian and military courts operate at reduced capacity because of insecurity. Consequently, prison authorities continue holding thousa</w:t>
      </w:r>
      <w:r w:rsidR="5DA022C0" w:rsidRPr="6BA28100">
        <w:rPr>
          <w:color w:val="000000" w:themeColor="text1"/>
          <w:sz w:val="24"/>
          <w:szCs w:val="24"/>
        </w:rPr>
        <w:t>nds of individuals in detention without charges.</w:t>
      </w:r>
      <w:r w:rsidR="56A76AB8" w:rsidRPr="6BA28100">
        <w:rPr>
          <w:rStyle w:val="FootnoteReference"/>
          <w:color w:val="000000" w:themeColor="text1"/>
          <w:sz w:val="24"/>
          <w:szCs w:val="24"/>
        </w:rPr>
        <w:footnoteReference w:id="36"/>
      </w:r>
    </w:p>
    <w:p w14:paraId="68688A6F" w14:textId="05C8E379" w:rsidR="56A76AB8" w:rsidRDefault="7A259792" w:rsidP="00170316">
      <w:pPr>
        <w:numPr>
          <w:ilvl w:val="0"/>
          <w:numId w:val="9"/>
        </w:numPr>
        <w:spacing w:before="240" w:after="240" w:line="259" w:lineRule="auto"/>
        <w:ind w:left="720" w:hanging="360"/>
        <w:rPr>
          <w:b/>
          <w:bCs/>
          <w:color w:val="auto"/>
          <w:sz w:val="24"/>
          <w:szCs w:val="24"/>
        </w:rPr>
      </w:pPr>
      <w:r w:rsidRPr="418A2397">
        <w:rPr>
          <w:b/>
          <w:bCs/>
          <w:color w:val="auto"/>
          <w:sz w:val="24"/>
          <w:szCs w:val="24"/>
        </w:rPr>
        <w:t>Suggested questions for the Government of Libya</w:t>
      </w:r>
      <w:r w:rsidRPr="418A2397">
        <w:rPr>
          <w:color w:val="auto"/>
          <w:sz w:val="24"/>
          <w:szCs w:val="24"/>
        </w:rPr>
        <w:t>:</w:t>
      </w:r>
    </w:p>
    <w:p w14:paraId="63DDF47A" w14:textId="30D362C9" w:rsidR="56A76AB8" w:rsidRPr="009F6514" w:rsidRDefault="35D52AE4" w:rsidP="37CEECB2">
      <w:pPr>
        <w:numPr>
          <w:ilvl w:val="1"/>
          <w:numId w:val="8"/>
        </w:numPr>
        <w:spacing w:after="120" w:line="259" w:lineRule="auto"/>
        <w:jc w:val="both"/>
        <w:rPr>
          <w:color w:val="000000" w:themeColor="text1"/>
          <w:sz w:val="24"/>
          <w:szCs w:val="24"/>
        </w:rPr>
      </w:pPr>
      <w:r w:rsidRPr="25EAA7A5">
        <w:rPr>
          <w:sz w:val="24"/>
          <w:szCs w:val="24"/>
        </w:rPr>
        <w:t>What steps has the government taken to implement an official moratorium on the death penalty?</w:t>
      </w:r>
    </w:p>
    <w:p w14:paraId="064CE2B9" w14:textId="77777777" w:rsidR="0003496C" w:rsidRPr="009F6514" w:rsidRDefault="0003496C" w:rsidP="0003496C">
      <w:pPr>
        <w:numPr>
          <w:ilvl w:val="1"/>
          <w:numId w:val="8"/>
        </w:numPr>
        <w:spacing w:after="120" w:line="259" w:lineRule="auto"/>
        <w:jc w:val="both"/>
        <w:rPr>
          <w:color w:val="000000" w:themeColor="text1"/>
          <w:sz w:val="24"/>
          <w:szCs w:val="24"/>
        </w:rPr>
      </w:pPr>
      <w:r w:rsidRPr="25EAA7A5">
        <w:rPr>
          <w:sz w:val="24"/>
          <w:szCs w:val="24"/>
        </w:rPr>
        <w:t>What steps has the government taken to ratify the Second Optional Protocol to the International Covenant on Civil and Political Rights?</w:t>
      </w:r>
    </w:p>
    <w:p w14:paraId="7E39E811" w14:textId="0BB0A067" w:rsidR="56A76AB8" w:rsidRPr="009F6514" w:rsidRDefault="35D52AE4" w:rsidP="37CEECB2">
      <w:pPr>
        <w:numPr>
          <w:ilvl w:val="1"/>
          <w:numId w:val="8"/>
        </w:numPr>
        <w:spacing w:after="120" w:line="259" w:lineRule="auto"/>
        <w:jc w:val="both"/>
        <w:rPr>
          <w:color w:val="000000" w:themeColor="text1"/>
          <w:sz w:val="24"/>
          <w:szCs w:val="24"/>
        </w:rPr>
      </w:pPr>
      <w:r w:rsidRPr="25EAA7A5">
        <w:rPr>
          <w:sz w:val="24"/>
          <w:szCs w:val="24"/>
        </w:rPr>
        <w:t xml:space="preserve">How many people are currently </w:t>
      </w:r>
      <w:r w:rsidR="009F6514" w:rsidRPr="25EAA7A5">
        <w:rPr>
          <w:sz w:val="24"/>
          <w:szCs w:val="24"/>
        </w:rPr>
        <w:t>under sentence of death</w:t>
      </w:r>
      <w:r w:rsidRPr="25EAA7A5">
        <w:rPr>
          <w:sz w:val="24"/>
          <w:szCs w:val="24"/>
        </w:rPr>
        <w:t>? What crimes have they been convicted of? How long have they been imprisoned?</w:t>
      </w:r>
      <w:r w:rsidR="0003496C" w:rsidRPr="25EAA7A5">
        <w:rPr>
          <w:sz w:val="24"/>
          <w:szCs w:val="24"/>
        </w:rPr>
        <w:t xml:space="preserve"> Please describe the conditions of detention applicable to these individuals as compared with the ordinary prison population.</w:t>
      </w:r>
    </w:p>
    <w:p w14:paraId="105773A1" w14:textId="38EC7F94" w:rsidR="009F6514" w:rsidRPr="009F6514" w:rsidRDefault="009F6514" w:rsidP="009F6514">
      <w:pPr>
        <w:numPr>
          <w:ilvl w:val="1"/>
          <w:numId w:val="8"/>
        </w:numPr>
        <w:spacing w:after="120" w:line="259" w:lineRule="auto"/>
        <w:jc w:val="both"/>
        <w:rPr>
          <w:color w:val="auto"/>
          <w:sz w:val="24"/>
          <w:szCs w:val="24"/>
        </w:rPr>
      </w:pPr>
      <w:r w:rsidRPr="25EAA7A5">
        <w:rPr>
          <w:color w:val="auto"/>
          <w:sz w:val="24"/>
          <w:szCs w:val="24"/>
        </w:rPr>
        <w:t xml:space="preserve">Please provide disaggregated data broken down by age (including current age and age at the time of the offense), race and ethnicity, nationality, and sex relating to all persons sentenced to death or executed </w:t>
      </w:r>
      <w:r w:rsidRPr="25EAA7A5">
        <w:rPr>
          <w:sz w:val="24"/>
          <w:szCs w:val="24"/>
        </w:rPr>
        <w:t>during</w:t>
      </w:r>
      <w:r w:rsidRPr="25EAA7A5">
        <w:rPr>
          <w:color w:val="auto"/>
          <w:sz w:val="24"/>
          <w:szCs w:val="24"/>
        </w:rPr>
        <w:t xml:space="preserve"> the reporting period, including: the crimes of conviction; location and date of arrest; duration of pre-trial detention; date legal counsel was provided or obtained; location, date, and duration of trial; date of sentencing; location of post-trial detention; and location and date of execution, if applicable. </w:t>
      </w:r>
    </w:p>
    <w:p w14:paraId="5E7373EE" w14:textId="1119C6A7" w:rsidR="56A76AB8" w:rsidRPr="009F6514" w:rsidRDefault="0003496C" w:rsidP="37CEECB2">
      <w:pPr>
        <w:numPr>
          <w:ilvl w:val="1"/>
          <w:numId w:val="8"/>
        </w:numPr>
        <w:spacing w:after="120" w:line="259" w:lineRule="auto"/>
        <w:jc w:val="both"/>
        <w:rPr>
          <w:color w:val="000000" w:themeColor="text1"/>
          <w:sz w:val="24"/>
          <w:szCs w:val="24"/>
        </w:rPr>
      </w:pPr>
      <w:r w:rsidRPr="25EAA7A5">
        <w:rPr>
          <w:sz w:val="24"/>
          <w:szCs w:val="24"/>
        </w:rPr>
        <w:t xml:space="preserve">Please identify all crimes for which the death penalty is a potential penalty. </w:t>
      </w:r>
      <w:r w:rsidR="35D52AE4" w:rsidRPr="25EAA7A5">
        <w:rPr>
          <w:sz w:val="24"/>
          <w:szCs w:val="24"/>
        </w:rPr>
        <w:t>What steps has the Libyan Government taken to reduce the number of crimes eligible for the death penalty and to limit the application of the death penalty to the most serious crimes?</w:t>
      </w:r>
    </w:p>
    <w:p w14:paraId="7E931D67" w14:textId="77777777" w:rsidR="0003496C" w:rsidRPr="0003496C" w:rsidRDefault="35D52AE4" w:rsidP="37CEECB2">
      <w:pPr>
        <w:numPr>
          <w:ilvl w:val="1"/>
          <w:numId w:val="8"/>
        </w:numPr>
        <w:spacing w:after="120" w:line="259" w:lineRule="auto"/>
        <w:jc w:val="both"/>
        <w:rPr>
          <w:color w:val="auto"/>
          <w:sz w:val="24"/>
          <w:szCs w:val="24"/>
        </w:rPr>
      </w:pPr>
      <w:r w:rsidRPr="25EAA7A5">
        <w:rPr>
          <w:sz w:val="24"/>
          <w:szCs w:val="24"/>
        </w:rPr>
        <w:lastRenderedPageBreak/>
        <w:t>What steps has the Government of Libya taken to ensure that pregnant women</w:t>
      </w:r>
      <w:r w:rsidR="7711FB42" w:rsidRPr="25EAA7A5">
        <w:rPr>
          <w:sz w:val="24"/>
          <w:szCs w:val="24"/>
        </w:rPr>
        <w:t xml:space="preserve">, people with </w:t>
      </w:r>
      <w:r w:rsidR="0003496C" w:rsidRPr="25EAA7A5">
        <w:rPr>
          <w:sz w:val="24"/>
          <w:szCs w:val="24"/>
        </w:rPr>
        <w:t xml:space="preserve">psycho-social </w:t>
      </w:r>
      <w:r w:rsidR="7711FB42" w:rsidRPr="25EAA7A5">
        <w:rPr>
          <w:sz w:val="24"/>
          <w:szCs w:val="24"/>
        </w:rPr>
        <w:t>disabilities,</w:t>
      </w:r>
      <w:r w:rsidRPr="25EAA7A5">
        <w:rPr>
          <w:sz w:val="24"/>
          <w:szCs w:val="24"/>
        </w:rPr>
        <w:t xml:space="preserve"> and individuals </w:t>
      </w:r>
      <w:r w:rsidR="0003496C" w:rsidRPr="25EAA7A5">
        <w:rPr>
          <w:sz w:val="24"/>
          <w:szCs w:val="24"/>
        </w:rPr>
        <w:t xml:space="preserve">convicted of crimes committed while </w:t>
      </w:r>
      <w:r w:rsidRPr="25EAA7A5">
        <w:rPr>
          <w:sz w:val="24"/>
          <w:szCs w:val="24"/>
        </w:rPr>
        <w:t xml:space="preserve">under the age of </w:t>
      </w:r>
      <w:r w:rsidR="3B0283F1" w:rsidRPr="25EAA7A5">
        <w:rPr>
          <w:sz w:val="24"/>
          <w:szCs w:val="24"/>
        </w:rPr>
        <w:t>18 are not sentenced to death?</w:t>
      </w:r>
    </w:p>
    <w:p w14:paraId="0E57561E" w14:textId="4EA28110" w:rsidR="0003496C" w:rsidRPr="0003496C" w:rsidRDefault="0003496C" w:rsidP="37CEECB2">
      <w:pPr>
        <w:numPr>
          <w:ilvl w:val="1"/>
          <w:numId w:val="8"/>
        </w:numPr>
        <w:spacing w:after="120" w:line="259" w:lineRule="auto"/>
        <w:jc w:val="both"/>
        <w:rPr>
          <w:color w:val="auto"/>
          <w:sz w:val="24"/>
          <w:szCs w:val="24"/>
        </w:rPr>
      </w:pPr>
      <w:r w:rsidRPr="25EAA7A5">
        <w:rPr>
          <w:sz w:val="24"/>
          <w:szCs w:val="24"/>
        </w:rPr>
        <w:t>Under what circumstances is the death penalty a mandatory punishment?</w:t>
      </w:r>
    </w:p>
    <w:p w14:paraId="4B3E22F2" w14:textId="1D19C3C9" w:rsidR="0003496C" w:rsidRPr="0003496C" w:rsidRDefault="0003496C" w:rsidP="37CEECB2">
      <w:pPr>
        <w:numPr>
          <w:ilvl w:val="1"/>
          <w:numId w:val="8"/>
        </w:numPr>
        <w:spacing w:after="120" w:line="259" w:lineRule="auto"/>
        <w:jc w:val="both"/>
        <w:rPr>
          <w:color w:val="auto"/>
          <w:sz w:val="24"/>
          <w:szCs w:val="24"/>
        </w:rPr>
      </w:pPr>
      <w:r w:rsidRPr="25EAA7A5">
        <w:rPr>
          <w:sz w:val="24"/>
          <w:szCs w:val="24"/>
        </w:rPr>
        <w:t>What steps has the Libyan Government taken to collaborate with civil society to sensitize the population about human rights issues related to the death penalty and about alternatives to the death penalty?</w:t>
      </w:r>
    </w:p>
    <w:p w14:paraId="3DACC5F2" w14:textId="12B00038" w:rsidR="56A76AB8" w:rsidRPr="009F6514" w:rsidRDefault="0003496C" w:rsidP="37CEECB2">
      <w:pPr>
        <w:numPr>
          <w:ilvl w:val="1"/>
          <w:numId w:val="8"/>
        </w:numPr>
        <w:spacing w:after="120" w:line="259" w:lineRule="auto"/>
        <w:jc w:val="both"/>
        <w:rPr>
          <w:color w:val="auto"/>
          <w:sz w:val="24"/>
          <w:szCs w:val="24"/>
        </w:rPr>
      </w:pPr>
      <w:r w:rsidRPr="25EAA7A5">
        <w:rPr>
          <w:sz w:val="24"/>
          <w:szCs w:val="24"/>
        </w:rPr>
        <w:t>How does the Libyan Government ensure that the system payment of blood money for murder does not result in the arbitrary application of the death penalty</w:t>
      </w:r>
      <w:r w:rsidR="3B0283F1" w:rsidRPr="25EAA7A5">
        <w:rPr>
          <w:sz w:val="24"/>
          <w:szCs w:val="24"/>
        </w:rPr>
        <w:t xml:space="preserve"> </w:t>
      </w:r>
      <w:r w:rsidRPr="25EAA7A5">
        <w:rPr>
          <w:sz w:val="24"/>
          <w:szCs w:val="24"/>
        </w:rPr>
        <w:t>for people who are not able to make such payments?</w:t>
      </w:r>
    </w:p>
    <w:p w14:paraId="24C116D4" w14:textId="3CC51FBA" w:rsidR="56A76AB8" w:rsidRPr="009F6514" w:rsidRDefault="0003496C" w:rsidP="37CEECB2">
      <w:pPr>
        <w:numPr>
          <w:ilvl w:val="1"/>
          <w:numId w:val="8"/>
        </w:numPr>
        <w:spacing w:after="120" w:line="259" w:lineRule="auto"/>
        <w:jc w:val="both"/>
        <w:rPr>
          <w:color w:val="000000" w:themeColor="text1"/>
          <w:sz w:val="24"/>
          <w:szCs w:val="24"/>
        </w:rPr>
      </w:pPr>
      <w:r w:rsidRPr="25EAA7A5">
        <w:rPr>
          <w:sz w:val="24"/>
          <w:szCs w:val="24"/>
        </w:rPr>
        <w:t xml:space="preserve">What steps has </w:t>
      </w:r>
      <w:r w:rsidR="365BF818" w:rsidRPr="25EAA7A5">
        <w:rPr>
          <w:sz w:val="24"/>
          <w:szCs w:val="24"/>
        </w:rPr>
        <w:t xml:space="preserve">the Libyan Government </w:t>
      </w:r>
      <w:r w:rsidRPr="25EAA7A5">
        <w:rPr>
          <w:sz w:val="24"/>
          <w:szCs w:val="24"/>
        </w:rPr>
        <w:t xml:space="preserve">taken to </w:t>
      </w:r>
      <w:r w:rsidR="365BF818" w:rsidRPr="25EAA7A5">
        <w:rPr>
          <w:sz w:val="24"/>
          <w:szCs w:val="24"/>
        </w:rPr>
        <w:t xml:space="preserve">consolidate control over detention facilities </w:t>
      </w:r>
      <w:proofErr w:type="gramStart"/>
      <w:r w:rsidR="365BF818" w:rsidRPr="25EAA7A5">
        <w:rPr>
          <w:sz w:val="24"/>
          <w:szCs w:val="24"/>
        </w:rPr>
        <w:t>in order to</w:t>
      </w:r>
      <w:proofErr w:type="gramEnd"/>
      <w:r w:rsidR="365BF818" w:rsidRPr="25EAA7A5">
        <w:rPr>
          <w:sz w:val="24"/>
          <w:szCs w:val="24"/>
        </w:rPr>
        <w:t xml:space="preserve"> ensure human rights are being upheld? </w:t>
      </w:r>
    </w:p>
    <w:p w14:paraId="1AF2C31A" w14:textId="19E83586" w:rsidR="56A76AB8" w:rsidRPr="009F6514" w:rsidRDefault="372926BA" w:rsidP="418A2397">
      <w:pPr>
        <w:numPr>
          <w:ilvl w:val="1"/>
          <w:numId w:val="8"/>
        </w:numPr>
        <w:spacing w:after="120" w:line="259" w:lineRule="auto"/>
        <w:jc w:val="both"/>
        <w:rPr>
          <w:color w:val="000000" w:themeColor="text1"/>
          <w:sz w:val="24"/>
          <w:szCs w:val="24"/>
        </w:rPr>
      </w:pPr>
      <w:r w:rsidRPr="025F20C0">
        <w:rPr>
          <w:sz w:val="24"/>
          <w:szCs w:val="24"/>
        </w:rPr>
        <w:t xml:space="preserve">What efforts has the government made to ensure </w:t>
      </w:r>
      <w:r w:rsidR="0EC7BED8" w:rsidRPr="025F20C0">
        <w:rPr>
          <w:sz w:val="24"/>
          <w:szCs w:val="24"/>
        </w:rPr>
        <w:t xml:space="preserve">that people in detention </w:t>
      </w:r>
      <w:r w:rsidR="025F20C0" w:rsidRPr="025F20C0">
        <w:rPr>
          <w:sz w:val="24"/>
          <w:szCs w:val="24"/>
        </w:rPr>
        <w:t>c</w:t>
      </w:r>
      <w:r w:rsidRPr="025F20C0">
        <w:rPr>
          <w:sz w:val="24"/>
          <w:szCs w:val="24"/>
        </w:rPr>
        <w:t>an access adequate food and health care?</w:t>
      </w:r>
    </w:p>
    <w:p w14:paraId="0521B12D" w14:textId="21B5B645" w:rsidR="56A76AB8" w:rsidRPr="009F6514" w:rsidRDefault="0003496C" w:rsidP="37CEECB2">
      <w:pPr>
        <w:numPr>
          <w:ilvl w:val="1"/>
          <w:numId w:val="8"/>
        </w:numPr>
        <w:spacing w:after="120" w:line="259" w:lineRule="auto"/>
        <w:jc w:val="both"/>
        <w:rPr>
          <w:color w:val="000000" w:themeColor="text1"/>
          <w:sz w:val="24"/>
          <w:szCs w:val="24"/>
        </w:rPr>
      </w:pPr>
      <w:r w:rsidRPr="25EAA7A5">
        <w:rPr>
          <w:sz w:val="24"/>
          <w:szCs w:val="24"/>
        </w:rPr>
        <w:t xml:space="preserve">What mechanisms are in place </w:t>
      </w:r>
      <w:r w:rsidR="365BF818" w:rsidRPr="25EAA7A5">
        <w:rPr>
          <w:sz w:val="24"/>
          <w:szCs w:val="24"/>
        </w:rPr>
        <w:t xml:space="preserve">to monitor State prisons and </w:t>
      </w:r>
      <w:r w:rsidRPr="25EAA7A5">
        <w:rPr>
          <w:sz w:val="24"/>
          <w:szCs w:val="24"/>
        </w:rPr>
        <w:t xml:space="preserve">respond to allegations of </w:t>
      </w:r>
      <w:r w:rsidR="365BF818" w:rsidRPr="25EAA7A5">
        <w:rPr>
          <w:sz w:val="24"/>
          <w:szCs w:val="24"/>
        </w:rPr>
        <w:t xml:space="preserve">human rights </w:t>
      </w:r>
      <w:r w:rsidRPr="25EAA7A5">
        <w:rPr>
          <w:sz w:val="24"/>
          <w:szCs w:val="24"/>
        </w:rPr>
        <w:t xml:space="preserve">violations </w:t>
      </w:r>
      <w:r w:rsidR="365BF818" w:rsidRPr="25EAA7A5">
        <w:rPr>
          <w:sz w:val="24"/>
          <w:szCs w:val="24"/>
        </w:rPr>
        <w:t xml:space="preserve">in </w:t>
      </w:r>
      <w:r w:rsidRPr="25EAA7A5">
        <w:rPr>
          <w:sz w:val="24"/>
          <w:szCs w:val="24"/>
        </w:rPr>
        <w:t>detention</w:t>
      </w:r>
      <w:r w:rsidR="365BF818" w:rsidRPr="25EAA7A5">
        <w:rPr>
          <w:sz w:val="24"/>
          <w:szCs w:val="24"/>
        </w:rPr>
        <w:t xml:space="preserve"> centers?</w:t>
      </w:r>
    </w:p>
    <w:p w14:paraId="42E9A5A2" w14:textId="65FDD3E3" w:rsidR="56A76AB8" w:rsidRPr="009F6514" w:rsidRDefault="570D5F29" w:rsidP="37CEECB2">
      <w:pPr>
        <w:numPr>
          <w:ilvl w:val="1"/>
          <w:numId w:val="8"/>
        </w:numPr>
        <w:spacing w:after="120" w:line="259" w:lineRule="auto"/>
        <w:jc w:val="both"/>
        <w:rPr>
          <w:color w:val="000000" w:themeColor="text1"/>
          <w:sz w:val="24"/>
          <w:szCs w:val="24"/>
        </w:rPr>
      </w:pPr>
      <w:r w:rsidRPr="25EAA7A5">
        <w:rPr>
          <w:sz w:val="24"/>
          <w:szCs w:val="24"/>
        </w:rPr>
        <w:t xml:space="preserve">What measures has the Government of Libya undertaken to ensure </w:t>
      </w:r>
      <w:r w:rsidR="0003496C" w:rsidRPr="25EAA7A5">
        <w:rPr>
          <w:sz w:val="24"/>
          <w:szCs w:val="24"/>
        </w:rPr>
        <w:t xml:space="preserve">that </w:t>
      </w:r>
      <w:r w:rsidRPr="25EAA7A5">
        <w:rPr>
          <w:sz w:val="24"/>
          <w:szCs w:val="24"/>
        </w:rPr>
        <w:t xml:space="preserve">torture is prohibited and </w:t>
      </w:r>
      <w:r w:rsidR="0003496C" w:rsidRPr="25EAA7A5">
        <w:rPr>
          <w:sz w:val="24"/>
          <w:szCs w:val="24"/>
        </w:rPr>
        <w:t xml:space="preserve">that </w:t>
      </w:r>
      <w:r w:rsidRPr="25EAA7A5">
        <w:rPr>
          <w:sz w:val="24"/>
          <w:szCs w:val="24"/>
        </w:rPr>
        <w:t xml:space="preserve">officials </w:t>
      </w:r>
      <w:r w:rsidR="0003496C" w:rsidRPr="25EAA7A5">
        <w:rPr>
          <w:sz w:val="24"/>
          <w:szCs w:val="24"/>
        </w:rPr>
        <w:t>who engage in torture are held accountable</w:t>
      </w:r>
      <w:r w:rsidRPr="25EAA7A5">
        <w:rPr>
          <w:sz w:val="24"/>
          <w:szCs w:val="24"/>
        </w:rPr>
        <w:t>?</w:t>
      </w:r>
    </w:p>
    <w:p w14:paraId="1913A277" w14:textId="381C63DF" w:rsidR="56A76AB8" w:rsidRPr="009F6514" w:rsidRDefault="365BF818" w:rsidP="418A2397">
      <w:pPr>
        <w:numPr>
          <w:ilvl w:val="1"/>
          <w:numId w:val="8"/>
        </w:numPr>
        <w:spacing w:after="120" w:line="259" w:lineRule="auto"/>
        <w:jc w:val="both"/>
        <w:rPr>
          <w:color w:val="000000" w:themeColor="text1"/>
          <w:sz w:val="24"/>
          <w:szCs w:val="24"/>
        </w:rPr>
      </w:pPr>
      <w:r w:rsidRPr="25EAA7A5">
        <w:rPr>
          <w:sz w:val="24"/>
          <w:szCs w:val="24"/>
        </w:rPr>
        <w:t>What has the government done to facilitate a visit from the Working Group on Arb</w:t>
      </w:r>
      <w:r w:rsidR="26672205" w:rsidRPr="25EAA7A5">
        <w:rPr>
          <w:sz w:val="24"/>
          <w:szCs w:val="24"/>
        </w:rPr>
        <w:t xml:space="preserve">itrary Detention and </w:t>
      </w:r>
      <w:r w:rsidR="0003496C" w:rsidRPr="25EAA7A5">
        <w:rPr>
          <w:sz w:val="24"/>
          <w:szCs w:val="24"/>
        </w:rPr>
        <w:t>other independent bodies that monitor detention conditions</w:t>
      </w:r>
      <w:r w:rsidR="26672205" w:rsidRPr="25EAA7A5">
        <w:rPr>
          <w:sz w:val="24"/>
          <w:szCs w:val="24"/>
        </w:rPr>
        <w:t xml:space="preserve">? </w:t>
      </w:r>
    </w:p>
    <w:p w14:paraId="5EFA4DB9" w14:textId="5272DBA8" w:rsidR="56A76AB8" w:rsidRDefault="372926BA" w:rsidP="418A2397">
      <w:pPr>
        <w:numPr>
          <w:ilvl w:val="1"/>
          <w:numId w:val="8"/>
        </w:numPr>
        <w:spacing w:after="120" w:line="259" w:lineRule="auto"/>
        <w:jc w:val="both"/>
        <w:rPr>
          <w:color w:val="auto"/>
          <w:sz w:val="24"/>
          <w:szCs w:val="24"/>
        </w:rPr>
      </w:pPr>
      <w:r w:rsidRPr="025F20C0">
        <w:rPr>
          <w:sz w:val="24"/>
          <w:szCs w:val="24"/>
        </w:rPr>
        <w:t xml:space="preserve">What concrete measures is the government taking to ensure that </w:t>
      </w:r>
      <w:r w:rsidR="267CB340" w:rsidRPr="025F20C0">
        <w:rPr>
          <w:sz w:val="24"/>
          <w:szCs w:val="24"/>
        </w:rPr>
        <w:t>people in detention</w:t>
      </w:r>
      <w:r w:rsidRPr="025F20C0">
        <w:rPr>
          <w:sz w:val="24"/>
          <w:szCs w:val="24"/>
        </w:rPr>
        <w:t xml:space="preserve"> are not held for extended periods of time </w:t>
      </w:r>
      <w:r w:rsidR="0003496C" w:rsidRPr="25EAA7A5">
        <w:rPr>
          <w:sz w:val="24"/>
          <w:szCs w:val="24"/>
        </w:rPr>
        <w:t>without charge or</w:t>
      </w:r>
      <w:r w:rsidR="7F51456B" w:rsidRPr="25EAA7A5">
        <w:rPr>
          <w:sz w:val="24"/>
          <w:szCs w:val="24"/>
        </w:rPr>
        <w:t xml:space="preserve"> without proper judicial review? </w:t>
      </w:r>
    </w:p>
    <w:p w14:paraId="69231180" w14:textId="0A46A5BF" w:rsidR="7F51456B" w:rsidRPr="009F6514" w:rsidRDefault="7F51456B" w:rsidP="37CEECB2">
      <w:pPr>
        <w:numPr>
          <w:ilvl w:val="1"/>
          <w:numId w:val="8"/>
        </w:numPr>
        <w:spacing w:after="120" w:line="259" w:lineRule="auto"/>
        <w:jc w:val="both"/>
        <w:rPr>
          <w:color w:val="000000" w:themeColor="text1"/>
          <w:sz w:val="24"/>
          <w:szCs w:val="24"/>
        </w:rPr>
      </w:pPr>
      <w:r w:rsidRPr="25EAA7A5">
        <w:rPr>
          <w:sz w:val="24"/>
          <w:szCs w:val="24"/>
        </w:rPr>
        <w:t xml:space="preserve">What </w:t>
      </w:r>
      <w:r w:rsidR="0003496C" w:rsidRPr="25EAA7A5">
        <w:rPr>
          <w:sz w:val="24"/>
          <w:szCs w:val="24"/>
        </w:rPr>
        <w:t xml:space="preserve">relief is available to people </w:t>
      </w:r>
      <w:r w:rsidRPr="25EAA7A5">
        <w:rPr>
          <w:sz w:val="24"/>
          <w:szCs w:val="24"/>
        </w:rPr>
        <w:t>who are detained on arbitrary charges</w:t>
      </w:r>
      <w:r w:rsidR="0003496C" w:rsidRPr="25EAA7A5">
        <w:rPr>
          <w:sz w:val="24"/>
          <w:szCs w:val="24"/>
        </w:rPr>
        <w:t xml:space="preserve"> or without charge</w:t>
      </w:r>
      <w:r w:rsidRPr="25EAA7A5">
        <w:rPr>
          <w:sz w:val="24"/>
          <w:szCs w:val="24"/>
        </w:rPr>
        <w:t>?</w:t>
      </w:r>
    </w:p>
    <w:p w14:paraId="5AD7CCD2" w14:textId="1BB5821F" w:rsidR="56A76AB8" w:rsidRDefault="372926BA" w:rsidP="418A2397">
      <w:pPr>
        <w:numPr>
          <w:ilvl w:val="1"/>
          <w:numId w:val="8"/>
        </w:numPr>
        <w:spacing w:after="120" w:line="259" w:lineRule="auto"/>
        <w:jc w:val="both"/>
        <w:rPr>
          <w:color w:val="auto"/>
          <w:sz w:val="24"/>
          <w:szCs w:val="24"/>
        </w:rPr>
      </w:pPr>
      <w:r w:rsidRPr="025F20C0">
        <w:rPr>
          <w:sz w:val="24"/>
          <w:szCs w:val="24"/>
        </w:rPr>
        <w:t xml:space="preserve">Please elaborate on the steps taken by the government to ensure respect </w:t>
      </w:r>
      <w:r w:rsidR="0003496C" w:rsidRPr="25EAA7A5">
        <w:rPr>
          <w:sz w:val="24"/>
          <w:szCs w:val="24"/>
        </w:rPr>
        <w:t xml:space="preserve">for </w:t>
      </w:r>
      <w:r w:rsidRPr="025F20C0">
        <w:rPr>
          <w:sz w:val="24"/>
          <w:szCs w:val="24"/>
        </w:rPr>
        <w:t xml:space="preserve">the right defendants to a fair trial and </w:t>
      </w:r>
      <w:r w:rsidR="0003496C" w:rsidRPr="25EAA7A5">
        <w:rPr>
          <w:sz w:val="24"/>
          <w:szCs w:val="24"/>
        </w:rPr>
        <w:t xml:space="preserve">to </w:t>
      </w:r>
      <w:r w:rsidRPr="025F20C0">
        <w:rPr>
          <w:sz w:val="24"/>
          <w:szCs w:val="24"/>
        </w:rPr>
        <w:t>adequate legal representation</w:t>
      </w:r>
      <w:r w:rsidR="0003496C" w:rsidRPr="25EAA7A5">
        <w:rPr>
          <w:sz w:val="24"/>
          <w:szCs w:val="24"/>
        </w:rPr>
        <w:t>, particularly when they are at risk of being sentenced to death</w:t>
      </w:r>
      <w:r w:rsidRPr="025F20C0">
        <w:rPr>
          <w:sz w:val="24"/>
          <w:szCs w:val="24"/>
        </w:rPr>
        <w:t>?</w:t>
      </w:r>
    </w:p>
    <w:p w14:paraId="3D37699B" w14:textId="5D8185E5" w:rsidR="00F51AFD" w:rsidRPr="00E114C5" w:rsidRDefault="00F51AFD" w:rsidP="0003496C">
      <w:pPr>
        <w:spacing w:after="120"/>
        <w:jc w:val="both"/>
        <w:rPr>
          <w:color w:val="auto"/>
          <w:sz w:val="24"/>
          <w:szCs w:val="24"/>
        </w:rPr>
      </w:pPr>
    </w:p>
    <w:sectPr w:rsidR="00F51AFD" w:rsidRPr="00E114C5" w:rsidSect="004B1E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9CC6" w14:textId="77777777" w:rsidR="00FC1645" w:rsidRDefault="00FC1645">
      <w:r>
        <w:separator/>
      </w:r>
    </w:p>
  </w:endnote>
  <w:endnote w:type="continuationSeparator" w:id="0">
    <w:p w14:paraId="5AF5D782" w14:textId="77777777" w:rsidR="00FC1645" w:rsidRDefault="00FC1645">
      <w:r>
        <w:continuationSeparator/>
      </w:r>
    </w:p>
  </w:endnote>
  <w:endnote w:type="continuationNotice" w:id="1">
    <w:p w14:paraId="16246E3D" w14:textId="77777777" w:rsidR="00FC1645" w:rsidRDefault="00FC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5F4F" w14:textId="77777777" w:rsidR="00B85561" w:rsidRDefault="00B8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1F9F"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12B81A7D" w14:textId="77777777" w:rsidR="00804604" w:rsidRPr="00C26130" w:rsidRDefault="00804604" w:rsidP="00C26130">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9A19" w14:textId="3212D95B" w:rsidR="00804604" w:rsidRPr="000F3447" w:rsidRDefault="009D41D3"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0" behindDoc="0" locked="0" layoutInCell="1" allowOverlap="1" wp14:anchorId="64076538" wp14:editId="4D78E5C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3D9AD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w:pict>
        </mc:Fallback>
      </mc:AlternateContent>
    </w:r>
  </w:p>
  <w:p w14:paraId="0D909304"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7E64C36F" w14:textId="00AE22BE"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 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4C45" w14:textId="77777777" w:rsidR="00FC1645" w:rsidRDefault="00FC1645">
      <w:r>
        <w:separator/>
      </w:r>
    </w:p>
  </w:footnote>
  <w:footnote w:type="continuationSeparator" w:id="0">
    <w:p w14:paraId="2CC33059" w14:textId="77777777" w:rsidR="00FC1645" w:rsidRDefault="00FC1645">
      <w:r>
        <w:continuationSeparator/>
      </w:r>
    </w:p>
  </w:footnote>
  <w:footnote w:type="continuationNotice" w:id="1">
    <w:p w14:paraId="61FDDC7B" w14:textId="77777777" w:rsidR="00FC1645" w:rsidRDefault="00FC1645"/>
  </w:footnote>
  <w:footnote w:id="2">
    <w:p w14:paraId="66C86C2A" w14:textId="6B11CB9D" w:rsidR="25EAA7A5" w:rsidRPr="00F1785E" w:rsidRDefault="25EAA7A5" w:rsidP="00F1785E">
      <w:pPr>
        <w:pStyle w:val="FootnoteText"/>
        <w:jc w:val="both"/>
        <w:rPr>
          <w:i/>
          <w:iCs/>
          <w:color w:val="000000" w:themeColor="text1"/>
        </w:rPr>
      </w:pPr>
      <w:r w:rsidRPr="00F1785E">
        <w:rPr>
          <w:rStyle w:val="FootnoteReference"/>
          <w:color w:val="000000" w:themeColor="text1"/>
        </w:rPr>
        <w:footnoteRef/>
      </w:r>
      <w:r w:rsidRPr="00F1785E">
        <w:rPr>
          <w:color w:val="000000" w:themeColor="text1"/>
        </w:rPr>
        <w:t xml:space="preserve"> Human Rights Committee, </w:t>
      </w:r>
      <w:r w:rsidRPr="00F1785E">
        <w:rPr>
          <w:i/>
          <w:iCs/>
          <w:color w:val="000000" w:themeColor="text1"/>
        </w:rPr>
        <w:t xml:space="preserve">Consideration of Reports Submitted by States Parties Under Article 40 of the Covenant: Concluding observations of the Human Rights Committee, </w:t>
      </w:r>
      <w:r w:rsidRPr="00F1785E">
        <w:rPr>
          <w:color w:val="000000" w:themeColor="text1"/>
        </w:rPr>
        <w:t>(15 Nov. 2007), U.N. Doc. CCPR/C/LBY/CO/4, ¶13.</w:t>
      </w:r>
    </w:p>
  </w:footnote>
  <w:footnote w:id="3">
    <w:p w14:paraId="7BBAFBC7" w14:textId="37918FDE" w:rsidR="025F20C0" w:rsidRPr="00F1785E" w:rsidRDefault="025F20C0" w:rsidP="00F1785E">
      <w:pPr>
        <w:pStyle w:val="FootnoteText"/>
        <w:jc w:val="both"/>
        <w:rPr>
          <w:i/>
          <w:color w:val="000000" w:themeColor="text1"/>
        </w:rPr>
      </w:pPr>
      <w:r w:rsidRPr="00F1785E">
        <w:rPr>
          <w:rStyle w:val="FootnoteReference"/>
          <w:color w:val="000000" w:themeColor="text1"/>
        </w:rPr>
        <w:footnoteRef/>
      </w:r>
      <w:r w:rsidRPr="00F1785E">
        <w:rPr>
          <w:color w:val="000000" w:themeColor="text1"/>
        </w:rPr>
        <w:t xml:space="preserve"> Human Rights Committee, </w:t>
      </w:r>
      <w:r w:rsidRPr="00F1785E">
        <w:rPr>
          <w:i/>
          <w:color w:val="000000" w:themeColor="text1"/>
        </w:rPr>
        <w:t xml:space="preserve">Consideration of Reports Submitted by States Parties Under Article 40 of the Covenant: Concluding observations of the Human Rights Committee, </w:t>
      </w:r>
      <w:r w:rsidRPr="00F1785E">
        <w:rPr>
          <w:color w:val="000000" w:themeColor="text1"/>
        </w:rPr>
        <w:t xml:space="preserve">(15 Nov. 2007), U.N. Doc. CCPR/C/LBY/CO/4, ¶13. </w:t>
      </w:r>
    </w:p>
  </w:footnote>
  <w:footnote w:id="4">
    <w:p w14:paraId="58A8B873" w14:textId="1A848FD2" w:rsidR="2AE41C69" w:rsidRPr="00F1785E" w:rsidRDefault="2AE41C69" w:rsidP="00F1785E">
      <w:pPr>
        <w:pStyle w:val="FootnoteText"/>
        <w:jc w:val="both"/>
        <w:rPr>
          <w:i/>
          <w:color w:val="000000" w:themeColor="text1"/>
        </w:rPr>
      </w:pPr>
      <w:r w:rsidRPr="00F1785E">
        <w:rPr>
          <w:rStyle w:val="FootnoteReference"/>
          <w:color w:val="000000" w:themeColor="text1"/>
        </w:rPr>
        <w:footnoteRef/>
      </w:r>
      <w:r w:rsidR="43C5181D" w:rsidRPr="00F1785E">
        <w:rPr>
          <w:color w:val="000000" w:themeColor="text1"/>
        </w:rPr>
        <w:t xml:space="preserve"> Human Rights Committee, </w:t>
      </w:r>
      <w:r w:rsidR="43C5181D" w:rsidRPr="00F1785E">
        <w:rPr>
          <w:i/>
          <w:color w:val="000000" w:themeColor="text1"/>
        </w:rPr>
        <w:t xml:space="preserve">Consideration of Reports Submitted by States Parties Under Article 40 of the Covenant: Concluding observations of the Human Rights Committee, </w:t>
      </w:r>
      <w:r w:rsidR="43C5181D" w:rsidRPr="00F1785E">
        <w:rPr>
          <w:color w:val="000000" w:themeColor="text1"/>
        </w:rPr>
        <w:t>(15 Nov. 2007), U.N. Doc. CCPR/C/LBY/CO/4, ¶13.</w:t>
      </w:r>
    </w:p>
  </w:footnote>
  <w:footnote w:id="5">
    <w:p w14:paraId="0F6619BE" w14:textId="1DB9E893" w:rsidR="2AE41C69" w:rsidRPr="00F1785E" w:rsidRDefault="2AE41C69" w:rsidP="00F1785E">
      <w:pPr>
        <w:pStyle w:val="FootnoteText"/>
        <w:jc w:val="both"/>
        <w:rPr>
          <w:color w:val="000000" w:themeColor="text1"/>
        </w:rPr>
      </w:pPr>
      <w:r w:rsidRPr="00F1785E">
        <w:rPr>
          <w:rStyle w:val="FootnoteReference"/>
          <w:color w:val="000000" w:themeColor="text1"/>
        </w:rPr>
        <w:footnoteRef/>
      </w:r>
      <w:r w:rsidR="43C5181D" w:rsidRPr="00F1785E">
        <w:rPr>
          <w:color w:val="000000" w:themeColor="text1"/>
        </w:rPr>
        <w:t xml:space="preserve"> Human Rights Council, </w:t>
      </w:r>
      <w:r w:rsidR="43C5181D" w:rsidRPr="00F1785E">
        <w:rPr>
          <w:i/>
          <w:color w:val="000000" w:themeColor="text1"/>
        </w:rPr>
        <w:t xml:space="preserve">National report submitted in accordance with paragraph 5 of the annex to Human Rights Council resolution 16/211: Libya, </w:t>
      </w:r>
      <w:r w:rsidR="43C5181D" w:rsidRPr="00F1785E">
        <w:rPr>
          <w:color w:val="000000" w:themeColor="text1"/>
        </w:rPr>
        <w:t>(5 May 2015), U.N. Doc. A/HRC/WG.6/22/LBY/1, ¶76.</w:t>
      </w:r>
    </w:p>
  </w:footnote>
  <w:footnote w:id="6">
    <w:p w14:paraId="1DD9A510" w14:textId="049A98B6" w:rsidR="37CEECB2" w:rsidRPr="00F1785E" w:rsidRDefault="37CEECB2"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Human Rights Watch, “Libya: Events of 2019,” Accessed 10 Aug. 2020, </w:t>
      </w:r>
      <w:hyperlink r:id="rId1" w:anchor="699e6e">
        <w:r w:rsidRPr="00F1785E">
          <w:rPr>
            <w:rStyle w:val="Hyperlink"/>
            <w:color w:val="000000" w:themeColor="text1"/>
            <w:u w:val="none"/>
          </w:rPr>
          <w:t>https://www.hrw.org/world-report/2020/country-chapters/libya#699e6e</w:t>
        </w:r>
      </w:hyperlink>
      <w:r w:rsidRPr="00F1785E">
        <w:rPr>
          <w:color w:val="000000" w:themeColor="text1"/>
        </w:rPr>
        <w:t xml:space="preserve">. </w:t>
      </w:r>
    </w:p>
  </w:footnote>
  <w:footnote w:id="7">
    <w:p w14:paraId="62E2139D" w14:textId="67B0756A" w:rsidR="65B86087" w:rsidRPr="00F1785E" w:rsidRDefault="65B86087" w:rsidP="00F1785E">
      <w:pPr>
        <w:pStyle w:val="FootnoteText"/>
        <w:jc w:val="both"/>
        <w:rPr>
          <w:rFonts w:eastAsia="Helvetica Neue"/>
          <w:color w:val="000000" w:themeColor="text1"/>
        </w:rPr>
      </w:pPr>
      <w:r w:rsidRPr="00F1785E">
        <w:rPr>
          <w:rStyle w:val="FootnoteReference"/>
          <w:color w:val="000000" w:themeColor="text1"/>
        </w:rPr>
        <w:footnoteRef/>
      </w:r>
      <w:r w:rsidRPr="00F1785E">
        <w:rPr>
          <w:color w:val="000000" w:themeColor="text1"/>
        </w:rPr>
        <w:t xml:space="preserve"> Human Rights Council, </w:t>
      </w:r>
      <w:r w:rsidRPr="00F1785E">
        <w:rPr>
          <w:i/>
          <w:color w:val="000000" w:themeColor="text1"/>
        </w:rPr>
        <w:t xml:space="preserve">Summary of Stakeholders’ Information on Libya, </w:t>
      </w:r>
      <w:r w:rsidRPr="00F1785E">
        <w:rPr>
          <w:color w:val="000000" w:themeColor="text1"/>
        </w:rPr>
        <w:t>(28 Feb. 2020), U.N. Doc. A/HRC/WG.6/36/LBY/3, ¶16.</w:t>
      </w:r>
    </w:p>
  </w:footnote>
  <w:footnote w:id="8">
    <w:p w14:paraId="35529538" w14:textId="643CA118" w:rsidR="65B86087" w:rsidRPr="00F1785E" w:rsidRDefault="65B86087" w:rsidP="00F1785E">
      <w:pPr>
        <w:pStyle w:val="Heading1"/>
        <w:spacing w:before="0"/>
        <w:jc w:val="both"/>
        <w:rPr>
          <w:rStyle w:val="Hyperlink"/>
          <w:rFonts w:ascii="Times New Roman" w:eastAsia="Times New Roman" w:hAnsi="Times New Roman" w:cs="Times New Roman"/>
          <w:color w:val="000000" w:themeColor="text1"/>
          <w:sz w:val="20"/>
          <w:szCs w:val="20"/>
          <w:u w:val="none"/>
        </w:rPr>
      </w:pPr>
      <w:r w:rsidRPr="00F1785E">
        <w:rPr>
          <w:rStyle w:val="FootnoteReference"/>
          <w:rFonts w:ascii="Times New Roman" w:eastAsia="Times New Roman" w:hAnsi="Times New Roman" w:cs="Times New Roman"/>
          <w:color w:val="000000" w:themeColor="text1"/>
          <w:sz w:val="20"/>
          <w:szCs w:val="20"/>
        </w:rPr>
        <w:footnoteRef/>
      </w:r>
      <w:r w:rsidRPr="00F1785E">
        <w:rPr>
          <w:rFonts w:ascii="Times New Roman" w:eastAsia="Times New Roman" w:hAnsi="Times New Roman" w:cs="Times New Roman"/>
          <w:color w:val="000000" w:themeColor="text1"/>
          <w:sz w:val="20"/>
          <w:szCs w:val="20"/>
        </w:rPr>
        <w:t xml:space="preserve"> Human Rights Watch, ”Libya: 45 Sentenced to Death for 2011 Killings,” Accessed Aug. 5, 2020, </w:t>
      </w:r>
      <w:hyperlink r:id="rId2">
        <w:r w:rsidRPr="00F1785E">
          <w:rPr>
            <w:rStyle w:val="Hyperlink"/>
            <w:rFonts w:ascii="Times New Roman" w:eastAsia="Times New Roman" w:hAnsi="Times New Roman" w:cs="Times New Roman"/>
            <w:color w:val="000000" w:themeColor="text1"/>
            <w:sz w:val="20"/>
            <w:szCs w:val="20"/>
            <w:u w:val="none"/>
          </w:rPr>
          <w:t>https://www.hrw.org/news/2018/08/22/libya-45-sentenced-death-2011-killings</w:t>
        </w:r>
        <w:r w:rsidRPr="00F1785E">
          <w:rPr>
            <w:rFonts w:ascii="Times New Roman" w:eastAsia="Times New Roman" w:hAnsi="Times New Roman" w:cs="Times New Roman"/>
            <w:color w:val="000000" w:themeColor="text1"/>
            <w:sz w:val="20"/>
            <w:szCs w:val="20"/>
          </w:rPr>
          <w:t>.</w:t>
        </w:r>
      </w:hyperlink>
    </w:p>
  </w:footnote>
  <w:footnote w:id="9">
    <w:p w14:paraId="17C2FED7" w14:textId="77777777" w:rsidR="007D1DDA" w:rsidRDefault="43C5181D" w:rsidP="00F1785E">
      <w:pPr>
        <w:jc w:val="both"/>
        <w:rPr>
          <w:color w:val="000000" w:themeColor="text1"/>
        </w:rPr>
      </w:pPr>
      <w:r w:rsidRPr="00F1785E">
        <w:rPr>
          <w:rStyle w:val="FootnoteReference"/>
          <w:color w:val="000000" w:themeColor="text1"/>
        </w:rPr>
        <w:footnoteRef/>
      </w:r>
      <w:r w:rsidR="004C34D5" w:rsidRPr="00F1785E">
        <w:rPr>
          <w:color w:val="000000" w:themeColor="text1"/>
        </w:rPr>
        <w:t xml:space="preserve"> </w:t>
      </w:r>
      <w:r w:rsidR="37CEECB2" w:rsidRPr="00F1785E">
        <w:rPr>
          <w:color w:val="000000" w:themeColor="text1"/>
        </w:rPr>
        <w:t xml:space="preserve">Human Rights Council, </w:t>
      </w:r>
      <w:r w:rsidR="37CEECB2" w:rsidRPr="00F1785E">
        <w:rPr>
          <w:i/>
          <w:iCs/>
          <w:color w:val="000000" w:themeColor="text1"/>
        </w:rPr>
        <w:t xml:space="preserve">Summary of Stakeholders’ Information on Libya, </w:t>
      </w:r>
      <w:r w:rsidR="37CEECB2" w:rsidRPr="00F1785E">
        <w:rPr>
          <w:color w:val="000000" w:themeColor="text1"/>
        </w:rPr>
        <w:t xml:space="preserve">(28 Feb. 2020), U.N. Doc. A/HRC/WG.6/36/LBY/3, ¶16. Available online at </w:t>
      </w:r>
      <w:hyperlink r:id="rId3">
        <w:r w:rsidR="37CEECB2" w:rsidRPr="00F1785E">
          <w:rPr>
            <w:rStyle w:val="Hyperlink"/>
            <w:color w:val="000000" w:themeColor="text1"/>
            <w:u w:val="none"/>
          </w:rPr>
          <w:t>https://undocs.org/A/HRC/WG.6/36/LBY/3</w:t>
        </w:r>
      </w:hyperlink>
      <w:r w:rsidR="37CEECB2" w:rsidRPr="00F1785E">
        <w:rPr>
          <w:color w:val="000000" w:themeColor="text1"/>
        </w:rPr>
        <w:t xml:space="preserve">; for examples, see Penal Code [LBY] arts. 17, 19, 196-207. Available online at </w:t>
      </w:r>
    </w:p>
    <w:p w14:paraId="3AE76A01" w14:textId="6DE57B95" w:rsidR="43C5181D" w:rsidRPr="00F1785E" w:rsidRDefault="37CEECB2" w:rsidP="00F1785E">
      <w:pPr>
        <w:jc w:val="both"/>
        <w:rPr>
          <w:color w:val="000000" w:themeColor="text1"/>
        </w:rPr>
      </w:pPr>
      <w:r w:rsidRPr="00F1785E">
        <w:rPr>
          <w:rStyle w:val="Hyperlink"/>
          <w:color w:val="000000" w:themeColor="text1"/>
          <w:u w:val="none"/>
        </w:rPr>
        <w:t>https://www.ilo.org/dyn/natlex/docs/ELECTRONIC/97659/134630/F-1373419708/LBY97659%20Eng.pdf</w:t>
      </w:r>
    </w:p>
  </w:footnote>
  <w:footnote w:id="10">
    <w:p w14:paraId="4454FA0B" w14:textId="77777777" w:rsidR="007D1DDA" w:rsidRDefault="43C5181D" w:rsidP="00F1785E">
      <w:pPr>
        <w:jc w:val="both"/>
        <w:rPr>
          <w:color w:val="000000" w:themeColor="text1"/>
        </w:rPr>
      </w:pPr>
      <w:r w:rsidRPr="00F1785E">
        <w:rPr>
          <w:rStyle w:val="FootnoteReference"/>
          <w:color w:val="000000" w:themeColor="text1"/>
        </w:rPr>
        <w:footnoteRef/>
      </w:r>
      <w:r w:rsidR="37CEECB2" w:rsidRPr="00F1785E">
        <w:rPr>
          <w:color w:val="000000" w:themeColor="text1"/>
        </w:rPr>
        <w:t xml:space="preserve"> Human Rights Council, </w:t>
      </w:r>
      <w:r w:rsidR="37CEECB2" w:rsidRPr="00F1785E">
        <w:rPr>
          <w:i/>
          <w:iCs/>
          <w:color w:val="000000" w:themeColor="text1"/>
        </w:rPr>
        <w:t xml:space="preserve">Summary of Stakeholders’ Information on Libya, </w:t>
      </w:r>
      <w:r w:rsidR="37CEECB2" w:rsidRPr="00F1785E">
        <w:rPr>
          <w:color w:val="000000" w:themeColor="text1"/>
        </w:rPr>
        <w:t xml:space="preserve">(28 Feb. 2020), U.N. Doc. A/HRC/WG.6/36/LBY/3, ¶16. Available online at </w:t>
      </w:r>
      <w:hyperlink r:id="rId4">
        <w:r w:rsidR="37CEECB2" w:rsidRPr="00F1785E">
          <w:rPr>
            <w:rStyle w:val="Hyperlink"/>
            <w:color w:val="000000" w:themeColor="text1"/>
            <w:u w:val="none"/>
          </w:rPr>
          <w:t>https://undocs.org/A/HRC/WG.6/36/LBY/3</w:t>
        </w:r>
      </w:hyperlink>
      <w:r w:rsidR="37CEECB2" w:rsidRPr="00F1785E">
        <w:rPr>
          <w:color w:val="000000" w:themeColor="text1"/>
        </w:rPr>
        <w:t xml:space="preserve">; Penal Code [LBY] arts. 165-172, 174–7, 206, 296, 305–6, 368. Available online at </w:t>
      </w:r>
    </w:p>
    <w:p w14:paraId="5ADA88F2" w14:textId="3EA76A21" w:rsidR="43C5181D" w:rsidRPr="007D1DDA" w:rsidRDefault="007D1DDA" w:rsidP="00F1785E">
      <w:pPr>
        <w:jc w:val="both"/>
        <w:rPr>
          <w:color w:val="auto"/>
        </w:rPr>
      </w:pPr>
      <w:hyperlink r:id="rId5" w:history="1">
        <w:r w:rsidRPr="007D1DDA">
          <w:rPr>
            <w:rStyle w:val="Hyperlink"/>
            <w:color w:val="auto"/>
            <w:u w:val="none"/>
          </w:rPr>
          <w:t>https://www.ilo.org/dyn/natlex/docs/ELECTRONIC/97659/134630/F-1373419708/LBY97659%20Eng.pdf</w:t>
        </w:r>
      </w:hyperlink>
      <w:r w:rsidR="37CEECB2" w:rsidRPr="007D1DDA">
        <w:rPr>
          <w:color w:val="auto"/>
        </w:rPr>
        <w:t xml:space="preserve">. </w:t>
      </w:r>
    </w:p>
  </w:footnote>
  <w:footnote w:id="11">
    <w:p w14:paraId="0CC48AED" w14:textId="71298F3F" w:rsidR="43C5181D" w:rsidRPr="00F1785E" w:rsidRDefault="43C5181D" w:rsidP="00F1785E">
      <w:pPr>
        <w:jc w:val="both"/>
        <w:rPr>
          <w:color w:val="000000" w:themeColor="text1"/>
        </w:rPr>
      </w:pPr>
      <w:r w:rsidRPr="00F1785E">
        <w:rPr>
          <w:rStyle w:val="FootnoteReference"/>
          <w:color w:val="000000" w:themeColor="text1"/>
        </w:rPr>
        <w:footnoteRef/>
      </w:r>
      <w:r w:rsidR="4731B1E9" w:rsidRPr="00F1785E">
        <w:rPr>
          <w:color w:val="000000" w:themeColor="text1"/>
        </w:rPr>
        <w:t xml:space="preserve"> Human Rights Council, “International Covenant on Civil and Political Rights,” Accessed August 5, 2020, art. 6, ¶ 2. Available online at</w:t>
      </w:r>
      <w:r w:rsidR="004C34D5" w:rsidRPr="00F1785E">
        <w:rPr>
          <w:color w:val="000000" w:themeColor="text1"/>
        </w:rPr>
        <w:t xml:space="preserve"> </w:t>
      </w:r>
      <w:hyperlink r:id="rId6">
        <w:r w:rsidR="4731B1E9" w:rsidRPr="00F1785E">
          <w:rPr>
            <w:rStyle w:val="Hyperlink"/>
            <w:color w:val="000000" w:themeColor="text1"/>
            <w:u w:val="none"/>
          </w:rPr>
          <w:t>https://www.ohchr.org/en/professionalinterest/pages/ccpr.aspx</w:t>
        </w:r>
      </w:hyperlink>
      <w:r w:rsidR="4731B1E9" w:rsidRPr="00F1785E">
        <w:rPr>
          <w:color w:val="000000" w:themeColor="text1"/>
        </w:rPr>
        <w:t>.</w:t>
      </w:r>
    </w:p>
  </w:footnote>
  <w:footnote w:id="12">
    <w:p w14:paraId="0B4BBA8A" w14:textId="77777777" w:rsidR="0048187D" w:rsidRPr="0096636D" w:rsidRDefault="43C5181D" w:rsidP="00F1785E">
      <w:pPr>
        <w:jc w:val="both"/>
        <w:rPr>
          <w:color w:val="auto"/>
        </w:rPr>
      </w:pPr>
      <w:r w:rsidRPr="00F1785E">
        <w:rPr>
          <w:rStyle w:val="FootnoteReference"/>
          <w:color w:val="000000" w:themeColor="text1"/>
        </w:rPr>
        <w:footnoteRef/>
      </w:r>
      <w:r w:rsidR="37CEECB2" w:rsidRPr="00F1785E">
        <w:rPr>
          <w:color w:val="000000" w:themeColor="text1"/>
        </w:rPr>
        <w:t xml:space="preserve"> Penal Code [LBY] arts. 368-372, 218. Available online at </w:t>
      </w:r>
    </w:p>
    <w:p w14:paraId="5462214C" w14:textId="338DE0BC" w:rsidR="43C5181D" w:rsidRPr="00F1785E" w:rsidRDefault="0048187D" w:rsidP="00F1785E">
      <w:pPr>
        <w:jc w:val="both"/>
        <w:rPr>
          <w:color w:val="000000" w:themeColor="text1"/>
        </w:rPr>
      </w:pPr>
      <w:hyperlink r:id="rId7" w:history="1">
        <w:r w:rsidRPr="0096636D">
          <w:rPr>
            <w:rStyle w:val="Hyperlink"/>
            <w:color w:val="auto"/>
            <w:u w:val="none"/>
          </w:rPr>
          <w:t>https://www.ilo.org/dyn/natlex/docs/ELECTRONIC/97659/134630/F-1373419708/LBY97659%20Eng.pdf</w:t>
        </w:r>
      </w:hyperlink>
      <w:r w:rsidR="37CEECB2" w:rsidRPr="0096636D">
        <w:rPr>
          <w:color w:val="auto"/>
        </w:rPr>
        <w:t>.</w:t>
      </w:r>
    </w:p>
  </w:footnote>
  <w:footnote w:id="13">
    <w:p w14:paraId="6E1164A5" w14:textId="77777777" w:rsidR="00185210"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Penal Code [</w:t>
      </w:r>
      <w:r w:rsidR="37CEECB2" w:rsidRPr="00F1785E">
        <w:rPr>
          <w:color w:val="000000" w:themeColor="text1"/>
        </w:rPr>
        <w:t>LBY</w:t>
      </w:r>
      <w:r w:rsidR="418A2397" w:rsidRPr="00F1785E">
        <w:rPr>
          <w:color w:val="000000" w:themeColor="text1"/>
        </w:rPr>
        <w:t xml:space="preserve">] arts. 84, 316, 29, 81. Available online at </w:t>
      </w:r>
    </w:p>
    <w:p w14:paraId="4B669373" w14:textId="3AB32BD8" w:rsidR="43C5181D" w:rsidRPr="0048187D" w:rsidRDefault="00185210" w:rsidP="00F1785E">
      <w:pPr>
        <w:pStyle w:val="FootnoteText"/>
        <w:jc w:val="both"/>
        <w:rPr>
          <w:color w:val="auto"/>
        </w:rPr>
      </w:pPr>
      <w:hyperlink r:id="rId8" w:history="1">
        <w:r w:rsidRPr="0048187D">
          <w:rPr>
            <w:rStyle w:val="Hyperlink"/>
            <w:color w:val="auto"/>
            <w:u w:val="none"/>
          </w:rPr>
          <w:t>https://www.ilo.org/dyn/natlex/docs/ELECTRONIC/97659/134630/F-1373419708/LBY97659%20Eng.pdf.</w:t>
        </w:r>
      </w:hyperlink>
    </w:p>
  </w:footnote>
  <w:footnote w:id="14">
    <w:p w14:paraId="2CA94031" w14:textId="77777777" w:rsidR="007D1DDA"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Criminal Procedure Code [</w:t>
      </w:r>
      <w:r w:rsidR="37CEECB2" w:rsidRPr="00F1785E">
        <w:rPr>
          <w:color w:val="000000" w:themeColor="text1"/>
        </w:rPr>
        <w:t>LBY</w:t>
      </w:r>
      <w:r w:rsidR="418A2397" w:rsidRPr="00F1785E">
        <w:rPr>
          <w:color w:val="000000" w:themeColor="text1"/>
        </w:rPr>
        <w:t xml:space="preserve">] arts. 436 and 444. Available online at </w:t>
      </w:r>
    </w:p>
    <w:p w14:paraId="031945AF" w14:textId="2CD1C92C" w:rsidR="43C5181D" w:rsidRPr="00F1785E" w:rsidRDefault="007D1DDA" w:rsidP="00F1785E">
      <w:pPr>
        <w:pStyle w:val="FootnoteText"/>
        <w:jc w:val="both"/>
        <w:rPr>
          <w:color w:val="000000" w:themeColor="text1"/>
        </w:rPr>
      </w:pPr>
      <w:hyperlink r:id="rId9" w:history="1">
        <w:r w:rsidRPr="006651B5">
          <w:rPr>
            <w:rStyle w:val="Hyperlink"/>
          </w:rPr>
          <w:t>https://security-legislation.ly/sites/default/files/lois/292-Criminal%20Procedure%20Code_EN.pdf</w:t>
        </w:r>
      </w:hyperlink>
      <w:r w:rsidR="418A2397" w:rsidRPr="00F1785E">
        <w:rPr>
          <w:color w:val="000000" w:themeColor="text1"/>
        </w:rPr>
        <w:t xml:space="preserve">. </w:t>
      </w:r>
    </w:p>
  </w:footnote>
  <w:footnote w:id="15">
    <w:p w14:paraId="7AEDDFDA" w14:textId="03F42F1B" w:rsidR="43C5181D" w:rsidRPr="00F1785E" w:rsidRDefault="43C5181D" w:rsidP="00F1785E">
      <w:pPr>
        <w:jc w:val="both"/>
        <w:rPr>
          <w:color w:val="000000" w:themeColor="text1"/>
        </w:rPr>
      </w:pPr>
      <w:r w:rsidRPr="00F1785E">
        <w:rPr>
          <w:rStyle w:val="FootnoteReference"/>
          <w:color w:val="000000" w:themeColor="text1"/>
        </w:rPr>
        <w:footnoteRef/>
      </w:r>
      <w:r w:rsidRPr="00F1785E">
        <w:rPr>
          <w:color w:val="000000" w:themeColor="text1"/>
        </w:rPr>
        <w:t xml:space="preserve"> Human Rights Council, </w:t>
      </w:r>
      <w:r w:rsidRPr="00F1785E">
        <w:rPr>
          <w:i/>
          <w:color w:val="000000" w:themeColor="text1"/>
        </w:rPr>
        <w:t xml:space="preserve">Summary of Stakeholders’ Information on Libya, </w:t>
      </w:r>
      <w:r w:rsidRPr="00F1785E">
        <w:rPr>
          <w:color w:val="000000" w:themeColor="text1"/>
        </w:rPr>
        <w:t xml:space="preserve">(28 Feb. 2020), U.N. Doc. A/HRC/WG.6/36/LBY/3, ¶2. Available online at </w:t>
      </w:r>
      <w:hyperlink r:id="rId10">
        <w:r w:rsidRPr="00F1785E">
          <w:rPr>
            <w:rStyle w:val="Hyperlink"/>
            <w:color w:val="000000" w:themeColor="text1"/>
            <w:u w:val="none"/>
          </w:rPr>
          <w:t>https://undocs.org/A/HRC/WG.6/36/LBY/3</w:t>
        </w:r>
      </w:hyperlink>
      <w:r w:rsidRPr="00F1785E">
        <w:rPr>
          <w:color w:val="000000" w:themeColor="text1"/>
        </w:rPr>
        <w:t>.</w:t>
      </w:r>
    </w:p>
  </w:footnote>
  <w:footnote w:id="16">
    <w:p w14:paraId="4EBA655A" w14:textId="0F99D61D" w:rsidR="37CEECB2" w:rsidRPr="00F1785E" w:rsidRDefault="37CEECB2"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Amnesty International, </w:t>
      </w:r>
      <w:r w:rsidRPr="00F1785E">
        <w:rPr>
          <w:i/>
          <w:iCs/>
          <w:color w:val="000000" w:themeColor="text1"/>
        </w:rPr>
        <w:t xml:space="preserve">Death Sentences and Executions 2019, </w:t>
      </w:r>
      <w:r w:rsidRPr="00F1785E">
        <w:rPr>
          <w:color w:val="000000" w:themeColor="text1"/>
        </w:rPr>
        <w:t xml:space="preserve">(London: Amnesty International, 2020), 11. Available online at </w:t>
      </w:r>
      <w:hyperlink r:id="rId11">
        <w:r w:rsidRPr="00F1785E">
          <w:rPr>
            <w:rStyle w:val="Hyperlink"/>
            <w:color w:val="000000" w:themeColor="text1"/>
            <w:u w:val="none"/>
          </w:rPr>
          <w:t>https://www.amnesty.org/download/Documents/ACT5018472020ENGLISH.PDF</w:t>
        </w:r>
      </w:hyperlink>
      <w:r w:rsidRPr="00F1785E">
        <w:rPr>
          <w:color w:val="000000" w:themeColor="text1"/>
        </w:rPr>
        <w:t>.</w:t>
      </w:r>
    </w:p>
  </w:footnote>
  <w:footnote w:id="17">
    <w:p w14:paraId="1DE76882" w14:textId="4946BDC9" w:rsidR="43C5181D" w:rsidRPr="00F1785E" w:rsidRDefault="43C5181D" w:rsidP="00F1785E">
      <w:pPr>
        <w:pStyle w:val="FootnoteText"/>
        <w:jc w:val="both"/>
        <w:rPr>
          <w:i/>
          <w:iCs/>
          <w:color w:val="000000" w:themeColor="text1"/>
        </w:rPr>
      </w:pPr>
      <w:r w:rsidRPr="00F1785E">
        <w:rPr>
          <w:rStyle w:val="FootnoteReference"/>
          <w:color w:val="000000" w:themeColor="text1"/>
        </w:rPr>
        <w:footnoteRef/>
      </w:r>
      <w:r w:rsidR="37CEECB2" w:rsidRPr="00F1785E">
        <w:rPr>
          <w:color w:val="000000" w:themeColor="text1"/>
        </w:rPr>
        <w:t xml:space="preserve"> Human Rights Committee, </w:t>
      </w:r>
      <w:r w:rsidR="37CEECB2" w:rsidRPr="00F1785E">
        <w:rPr>
          <w:i/>
          <w:iCs/>
          <w:color w:val="000000" w:themeColor="text1"/>
        </w:rPr>
        <w:t xml:space="preserve">Consideration of Reports Submitted by States Parties Under Article 40 of the Covenant: Concluding observations of the Human Rights Committee, </w:t>
      </w:r>
      <w:r w:rsidR="37CEECB2" w:rsidRPr="00F1785E">
        <w:rPr>
          <w:color w:val="000000" w:themeColor="text1"/>
        </w:rPr>
        <w:t>(15 Nov. 2007), U.N. Doc. CCPR/C/LBY/CO/4, ¶15.</w:t>
      </w:r>
    </w:p>
  </w:footnote>
  <w:footnote w:id="18">
    <w:p w14:paraId="00BC4525" w14:textId="4E01B360" w:rsidR="37CEECB2" w:rsidRPr="00F1785E" w:rsidRDefault="37CEECB2" w:rsidP="00F1785E">
      <w:pPr>
        <w:pStyle w:val="FootnoteText"/>
        <w:jc w:val="both"/>
        <w:rPr>
          <w:i/>
          <w:iCs/>
          <w:color w:val="000000" w:themeColor="text1"/>
        </w:rPr>
      </w:pPr>
      <w:r w:rsidRPr="00F1785E">
        <w:rPr>
          <w:rStyle w:val="FootnoteReference"/>
          <w:color w:val="000000" w:themeColor="text1"/>
        </w:rPr>
        <w:footnoteRef/>
      </w:r>
      <w:r w:rsidRPr="00F1785E">
        <w:rPr>
          <w:color w:val="000000" w:themeColor="text1"/>
        </w:rPr>
        <w:t xml:space="preserve"> Human Rights Committee, </w:t>
      </w:r>
      <w:r w:rsidRPr="00F1785E">
        <w:rPr>
          <w:i/>
          <w:iCs/>
          <w:color w:val="000000" w:themeColor="text1"/>
        </w:rPr>
        <w:t xml:space="preserve">Consideration of Reports Submitted by States Parties Under Article 40 of the Covenant: Concluding observations of the Human Rights Committee, </w:t>
      </w:r>
      <w:r w:rsidRPr="00F1785E">
        <w:rPr>
          <w:color w:val="000000" w:themeColor="text1"/>
        </w:rPr>
        <w:t>(15 Nov. 2007), U.N. Doc. CCPR/C/LBY/CO/4, ¶¶15, 16.</w:t>
      </w:r>
    </w:p>
  </w:footnote>
  <w:footnote w:id="19">
    <w:p w14:paraId="6107B77A" w14:textId="06D3C355"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37CEECB2" w:rsidRPr="00F1785E">
        <w:rPr>
          <w:color w:val="000000" w:themeColor="text1"/>
        </w:rPr>
        <w:t xml:space="preserve"> Human Rights Council, </w:t>
      </w:r>
      <w:r w:rsidR="37CEECB2" w:rsidRPr="00F1785E">
        <w:rPr>
          <w:i/>
          <w:iCs/>
          <w:color w:val="000000" w:themeColor="text1"/>
        </w:rPr>
        <w:t xml:space="preserve">National report submitted in accordance with paragraph 5 of the annex to Human Rights Council resolution 16/211: Libya, </w:t>
      </w:r>
      <w:r w:rsidR="37CEECB2" w:rsidRPr="00F1785E">
        <w:rPr>
          <w:color w:val="000000" w:themeColor="text1"/>
        </w:rPr>
        <w:t>(5 May 2015), U.N. Doc. A/HRC/WG.6/22/LBY/1, ¶74.</w:t>
      </w:r>
    </w:p>
  </w:footnote>
  <w:footnote w:id="20">
    <w:p w14:paraId="2988170A" w14:textId="0DACB34C"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Human Rights Council, </w:t>
      </w:r>
      <w:r w:rsidR="418A2397" w:rsidRPr="00F1785E">
        <w:rPr>
          <w:i/>
          <w:color w:val="000000" w:themeColor="text1"/>
        </w:rPr>
        <w:t xml:space="preserve">National report submitted in accordance with paragraph 5 of the annex to Human Rights Council resolution 16/211: Libya, </w:t>
      </w:r>
      <w:r w:rsidR="418A2397" w:rsidRPr="00F1785E">
        <w:rPr>
          <w:color w:val="000000" w:themeColor="text1"/>
        </w:rPr>
        <w:t>(5 May 2015), U.N. Doc. A/HRC/WG.6/22/LBY/1, ¶74.</w:t>
      </w:r>
    </w:p>
  </w:footnote>
  <w:footnote w:id="21">
    <w:p w14:paraId="22A328BC" w14:textId="18A01C1E"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Office of the High Commissioner</w:t>
      </w:r>
      <w:r w:rsidR="00CA73F6">
        <w:rPr>
          <w:color w:val="000000" w:themeColor="text1"/>
        </w:rPr>
        <w:t xml:space="preserve"> for Human Rights</w:t>
      </w:r>
      <w:r w:rsidR="418A2397" w:rsidRPr="00F1785E">
        <w:rPr>
          <w:color w:val="000000" w:themeColor="text1"/>
        </w:rPr>
        <w:t xml:space="preserve">, ”Country Visits—Working Group on Arbitrary Detention,” Accessed Aug. 5, 2020, </w:t>
      </w:r>
      <w:hyperlink r:id="rId12">
        <w:r w:rsidR="418A2397" w:rsidRPr="00F1785E">
          <w:rPr>
            <w:rStyle w:val="Hyperlink"/>
            <w:color w:val="000000" w:themeColor="text1"/>
            <w:u w:val="none"/>
          </w:rPr>
          <w:t>https://www.ohchr.org/EN/Issues/Detention/Pages/Visits.aspx</w:t>
        </w:r>
      </w:hyperlink>
      <w:r w:rsidR="418A2397" w:rsidRPr="00F1785E">
        <w:rPr>
          <w:color w:val="000000" w:themeColor="text1"/>
        </w:rPr>
        <w:t>.</w:t>
      </w:r>
    </w:p>
  </w:footnote>
  <w:footnote w:id="22">
    <w:p w14:paraId="56E9C1FE" w14:textId="4C0DCD63"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37CEECB2" w:rsidRPr="00F1785E">
        <w:rPr>
          <w:color w:val="000000" w:themeColor="text1"/>
        </w:rPr>
        <w:t xml:space="preserve"> Human Rights Council, </w:t>
      </w:r>
      <w:r w:rsidR="37CEECB2" w:rsidRPr="00F1785E">
        <w:rPr>
          <w:i/>
          <w:iCs/>
          <w:color w:val="000000" w:themeColor="text1"/>
        </w:rPr>
        <w:t xml:space="preserve">National report submitted in accordance with paragraph 5 of the annex to Human Rights Council resolution 16/211: Libya, </w:t>
      </w:r>
      <w:r w:rsidR="37CEECB2" w:rsidRPr="00F1785E">
        <w:rPr>
          <w:color w:val="000000" w:themeColor="text1"/>
        </w:rPr>
        <w:t xml:space="preserve">(5 May 2015), U.N. Doc. A/HRC/WG.6/22/LBY/1, ¶83. </w:t>
      </w:r>
    </w:p>
  </w:footnote>
  <w:footnote w:id="23">
    <w:p w14:paraId="0082A78F" w14:textId="044E8189" w:rsidR="43C5181D" w:rsidRPr="00F1785E" w:rsidRDefault="43C5181D" w:rsidP="00F1785E">
      <w:pPr>
        <w:jc w:val="both"/>
        <w:rPr>
          <w:color w:val="000000" w:themeColor="text1"/>
        </w:rPr>
      </w:pPr>
      <w:r w:rsidRPr="00F1785E">
        <w:rPr>
          <w:rStyle w:val="FootnoteReference"/>
          <w:color w:val="000000" w:themeColor="text1"/>
        </w:rPr>
        <w:footnoteRef/>
      </w:r>
      <w:r w:rsidR="418A2397" w:rsidRPr="00F1785E">
        <w:rPr>
          <w:color w:val="000000" w:themeColor="text1"/>
        </w:rPr>
        <w:t xml:space="preserve"> Amnesty International, “Libya 2019,” Accessed 5 Aug. 2020, </w:t>
      </w:r>
      <w:hyperlink r:id="rId13">
        <w:r w:rsidR="418A2397" w:rsidRPr="00F1785E">
          <w:rPr>
            <w:rStyle w:val="Hyperlink"/>
            <w:color w:val="000000" w:themeColor="text1"/>
            <w:u w:val="none"/>
          </w:rPr>
          <w:t>https://www.amnesty.org/en/countries/middle-east-and-north-africa/libya/report-libya/</w:t>
        </w:r>
      </w:hyperlink>
      <w:r w:rsidR="418A2397" w:rsidRPr="00F1785E">
        <w:rPr>
          <w:color w:val="000000" w:themeColor="text1"/>
        </w:rPr>
        <w:t xml:space="preserve">. </w:t>
      </w:r>
    </w:p>
  </w:footnote>
  <w:footnote w:id="24">
    <w:p w14:paraId="1AA191D0" w14:textId="1B1E44A5"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Human Rights Council, </w:t>
      </w:r>
      <w:r w:rsidR="418A2397" w:rsidRPr="00F1785E">
        <w:rPr>
          <w:i/>
          <w:color w:val="000000" w:themeColor="text1"/>
        </w:rPr>
        <w:t xml:space="preserve">Compilation on Libya, </w:t>
      </w:r>
      <w:r w:rsidR="418A2397" w:rsidRPr="00F1785E">
        <w:rPr>
          <w:color w:val="000000" w:themeColor="text1"/>
        </w:rPr>
        <w:t>(12 Mar. 2020) U.N. Doc. A/HRC/WG.6/36/LBY/2, ¶18. Available online at</w:t>
      </w:r>
      <w:r w:rsidR="0096636D">
        <w:rPr>
          <w:color w:val="000000" w:themeColor="text1"/>
        </w:rPr>
        <w:t xml:space="preserve"> </w:t>
      </w:r>
    </w:p>
  </w:footnote>
  <w:footnote w:id="25">
    <w:p w14:paraId="639C8559" w14:textId="41695D38"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418A2397" w:rsidRPr="00F1785E">
        <w:rPr>
          <w:color w:val="000000" w:themeColor="text1"/>
        </w:rPr>
        <w:t xml:space="preserve"> Human Rights Council, </w:t>
      </w:r>
      <w:r w:rsidR="418A2397" w:rsidRPr="00F1785E">
        <w:rPr>
          <w:i/>
          <w:color w:val="000000" w:themeColor="text1"/>
        </w:rPr>
        <w:t xml:space="preserve">Compilation on Libya, </w:t>
      </w:r>
      <w:r w:rsidR="418A2397" w:rsidRPr="00F1785E">
        <w:rPr>
          <w:color w:val="000000" w:themeColor="text1"/>
        </w:rPr>
        <w:t>(12 Mar. 2020) U.N. Doc. A/HRC/WG.6/36/LBY/2, ¶19. Available online at</w:t>
      </w:r>
      <w:r w:rsidR="418A2397" w:rsidRPr="00F1785E">
        <w:rPr>
          <w:i/>
          <w:color w:val="000000" w:themeColor="text1"/>
        </w:rPr>
        <w:t xml:space="preserve"> </w:t>
      </w:r>
      <w:hyperlink r:id="rId14">
        <w:r w:rsidR="418A2397" w:rsidRPr="00F1785E">
          <w:rPr>
            <w:rStyle w:val="Hyperlink"/>
            <w:color w:val="000000" w:themeColor="text1"/>
            <w:u w:val="none"/>
          </w:rPr>
          <w:t>https://documents-dds-ny.un.org/doc/UNDOC/GEN/G20/065/95/PDF/G2006595.pdf?OpenElement</w:t>
        </w:r>
      </w:hyperlink>
      <w:r w:rsidR="418A2397" w:rsidRPr="00F1785E">
        <w:rPr>
          <w:color w:val="000000" w:themeColor="text1"/>
        </w:rPr>
        <w:t>.</w:t>
      </w:r>
    </w:p>
  </w:footnote>
  <w:footnote w:id="26">
    <w:p w14:paraId="1824EFE5" w14:textId="534DF274"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w:t>
      </w:r>
      <w:r w:rsidR="4731B1E9" w:rsidRPr="00F1785E">
        <w:rPr>
          <w:color w:val="000000" w:themeColor="text1"/>
        </w:rPr>
        <w:t>US</w:t>
      </w:r>
      <w:r w:rsidRPr="00F1785E">
        <w:rPr>
          <w:color w:val="000000" w:themeColor="text1"/>
        </w:rPr>
        <w:t xml:space="preserve"> Department of State, "2019 Country Reports on Human Rights Practices: Libya,” Accessed 23 July 2020, https://www.state.gov/reports/2019-country-reports-on-human-rights-practices/libya/.</w:t>
      </w:r>
    </w:p>
  </w:footnote>
  <w:footnote w:id="27">
    <w:p w14:paraId="4BEDC625" w14:textId="66BDA92E"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w:t>
      </w:r>
      <w:r w:rsidR="4731B1E9" w:rsidRPr="00F1785E">
        <w:rPr>
          <w:color w:val="000000" w:themeColor="text1"/>
        </w:rPr>
        <w:t>US</w:t>
      </w:r>
      <w:r w:rsidRPr="00F1785E">
        <w:rPr>
          <w:color w:val="000000" w:themeColor="text1"/>
        </w:rPr>
        <w:t xml:space="preserve"> Department of State, "2019 Country Reports on Human Rights Practices: Libya,” Accessed 23 July 2020, https://www.state.gov/reports/2019-country-reports-on-human-rights-practices/libya/.</w:t>
      </w:r>
    </w:p>
  </w:footnote>
  <w:footnote w:id="28">
    <w:p w14:paraId="3D60F01C" w14:textId="7DBACA17" w:rsidR="43C5181D" w:rsidRPr="00F1785E" w:rsidRDefault="43C5181D"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w:t>
      </w:r>
      <w:r w:rsidR="4731B1E9" w:rsidRPr="00F1785E">
        <w:rPr>
          <w:color w:val="000000" w:themeColor="text1"/>
        </w:rPr>
        <w:t>US</w:t>
      </w:r>
      <w:r w:rsidRPr="00F1785E">
        <w:rPr>
          <w:color w:val="000000" w:themeColor="text1"/>
        </w:rPr>
        <w:t xml:space="preserve"> Department of State, "2019 Country Reports on Human Rights Practices: Libya,” Accessed 23 July 2020, https://www.state.gov/reports/2019-country-reports-on-human-rights-practices/libya/.</w:t>
      </w:r>
    </w:p>
  </w:footnote>
  <w:footnote w:id="29">
    <w:p w14:paraId="503CBBB7" w14:textId="3E96D017" w:rsidR="418A2397" w:rsidRPr="00F1785E" w:rsidRDefault="418A2397"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Human Rights Council, </w:t>
      </w:r>
      <w:r w:rsidRPr="00F1785E">
        <w:rPr>
          <w:i/>
          <w:color w:val="000000" w:themeColor="text1"/>
        </w:rPr>
        <w:t xml:space="preserve">Summary of Stakeholders’ Information on Libya, </w:t>
      </w:r>
      <w:r w:rsidRPr="00F1785E">
        <w:rPr>
          <w:color w:val="000000" w:themeColor="text1"/>
        </w:rPr>
        <w:t>(28 Feb. 2020), U.N. Doc. A/HRC/WG.6/36/LBY/3, ¶24.</w:t>
      </w:r>
    </w:p>
  </w:footnote>
  <w:footnote w:id="30">
    <w:p w14:paraId="0D6D21E1" w14:textId="0A336696" w:rsidR="418A2397" w:rsidRPr="00F1785E" w:rsidRDefault="418A2397" w:rsidP="00F1785E">
      <w:pPr>
        <w:pStyle w:val="FootnoteText"/>
        <w:jc w:val="both"/>
        <w:rPr>
          <w:i/>
          <w:color w:val="000000" w:themeColor="text1"/>
        </w:rPr>
      </w:pPr>
      <w:r w:rsidRPr="00F1785E">
        <w:rPr>
          <w:rStyle w:val="FootnoteReference"/>
          <w:color w:val="000000" w:themeColor="text1"/>
        </w:rPr>
        <w:footnoteRef/>
      </w:r>
      <w:r w:rsidRPr="00F1785E">
        <w:rPr>
          <w:color w:val="000000" w:themeColor="text1"/>
        </w:rPr>
        <w:t xml:space="preserve"> Human Rights Committee, </w:t>
      </w:r>
      <w:r w:rsidRPr="00F1785E">
        <w:rPr>
          <w:i/>
          <w:color w:val="000000" w:themeColor="text1"/>
        </w:rPr>
        <w:t xml:space="preserve">Consideration of Reports Submitted by States Parties Under Article 40 of the Covenant: Concluding observations of the Human Rights Committee, </w:t>
      </w:r>
      <w:r w:rsidRPr="00F1785E">
        <w:rPr>
          <w:color w:val="000000" w:themeColor="text1"/>
        </w:rPr>
        <w:t>(15 Nov. 2007), U.N. Doc. CCPR/C/LBY/CO/4, ¶19.</w:t>
      </w:r>
    </w:p>
  </w:footnote>
  <w:footnote w:id="31">
    <w:p w14:paraId="42CB5B82" w14:textId="56DBC1AE" w:rsidR="418A2397" w:rsidRPr="00F1785E" w:rsidRDefault="418A2397"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Human Rights Council, </w:t>
      </w:r>
      <w:r w:rsidRPr="00F1785E">
        <w:rPr>
          <w:i/>
          <w:color w:val="000000" w:themeColor="text1"/>
        </w:rPr>
        <w:t xml:space="preserve">National report submitted in accordance with paragraph 5 of the annex to Human Rights Council resolution 16/211: Libya, </w:t>
      </w:r>
      <w:r w:rsidRPr="00F1785E">
        <w:rPr>
          <w:color w:val="000000" w:themeColor="text1"/>
        </w:rPr>
        <w:t>(5 May 2015), U.N. Doc. A/HRC/WG.6/22/LBY/1, ¶48.</w:t>
      </w:r>
    </w:p>
  </w:footnote>
  <w:footnote w:id="32">
    <w:p w14:paraId="237ACBB8" w14:textId="77777777" w:rsidR="007B2CF2" w:rsidRDefault="37CEECB2"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Code of Criminal Procedure [LB] art. 123. Available online at </w:t>
      </w:r>
    </w:p>
    <w:p w14:paraId="585E4F05" w14:textId="2FC7BA36" w:rsidR="37CEECB2" w:rsidRPr="00F13667" w:rsidRDefault="007B2CF2" w:rsidP="00F1785E">
      <w:pPr>
        <w:pStyle w:val="FootnoteText"/>
        <w:jc w:val="both"/>
        <w:rPr>
          <w:color w:val="000000" w:themeColor="text1"/>
        </w:rPr>
      </w:pPr>
      <w:hyperlink r:id="rId15" w:history="1">
        <w:r w:rsidRPr="00F13667">
          <w:rPr>
            <w:rStyle w:val="Hyperlink"/>
            <w:color w:val="auto"/>
            <w:u w:val="none"/>
          </w:rPr>
          <w:t>https://security-legislation.ly/sites/default/files/lois/292-Criminal%20Procedure%20Code_EN.pdf</w:t>
        </w:r>
      </w:hyperlink>
      <w:r w:rsidR="37CEECB2" w:rsidRPr="00F13667">
        <w:rPr>
          <w:color w:val="auto"/>
        </w:rPr>
        <w:t>.</w:t>
      </w:r>
    </w:p>
  </w:footnote>
  <w:footnote w:id="33">
    <w:p w14:paraId="609B312A" w14:textId="00EFB27C" w:rsidR="37CEECB2" w:rsidRPr="00F1785E" w:rsidRDefault="37CEECB2" w:rsidP="00F1785E">
      <w:pPr>
        <w:pStyle w:val="FootnoteText"/>
        <w:jc w:val="both"/>
        <w:rPr>
          <w:color w:val="000000" w:themeColor="text1"/>
        </w:rPr>
      </w:pPr>
      <w:r w:rsidRPr="00F1785E">
        <w:rPr>
          <w:rStyle w:val="FootnoteReference"/>
          <w:color w:val="000000" w:themeColor="text1"/>
        </w:rPr>
        <w:footnoteRef/>
      </w:r>
      <w:r w:rsidR="4731B1E9" w:rsidRPr="00F1785E">
        <w:rPr>
          <w:color w:val="000000" w:themeColor="text1"/>
        </w:rPr>
        <w:t xml:space="preserve"> US Department of State, "2019 Country Reports on Human Rights Practices: Libya,” Accessed 23 July 2020, </w:t>
      </w:r>
      <w:hyperlink r:id="rId16">
        <w:r w:rsidR="4731B1E9" w:rsidRPr="00F1785E">
          <w:rPr>
            <w:rStyle w:val="Hyperlink"/>
            <w:color w:val="000000" w:themeColor="text1"/>
            <w:u w:val="none"/>
          </w:rPr>
          <w:t>https://www.state.gov/reports/2019-country-reports-on-human-rights-practices/libya/</w:t>
        </w:r>
      </w:hyperlink>
    </w:p>
  </w:footnote>
  <w:footnote w:id="34">
    <w:p w14:paraId="71895D9E" w14:textId="0DDF5CF8" w:rsidR="37CEECB2" w:rsidRPr="00F1785E" w:rsidRDefault="37CEECB2" w:rsidP="00F1785E">
      <w:pPr>
        <w:pStyle w:val="FootnoteText"/>
        <w:jc w:val="both"/>
        <w:rPr>
          <w:color w:val="000000" w:themeColor="text1"/>
        </w:rPr>
      </w:pPr>
      <w:r w:rsidRPr="00F1785E">
        <w:rPr>
          <w:rStyle w:val="FootnoteReference"/>
          <w:color w:val="000000" w:themeColor="text1"/>
        </w:rPr>
        <w:footnoteRef/>
      </w:r>
      <w:r w:rsidR="4731B1E9" w:rsidRPr="00F1785E">
        <w:rPr>
          <w:color w:val="000000" w:themeColor="text1"/>
        </w:rPr>
        <w:t xml:space="preserve"> US Department of State, "2019 Country Reports on Human Rights Practices: Libya,” Accessed 23 July 2020, </w:t>
      </w:r>
      <w:hyperlink r:id="rId17">
        <w:r w:rsidR="4731B1E9" w:rsidRPr="00F1785E">
          <w:rPr>
            <w:rStyle w:val="Hyperlink"/>
            <w:color w:val="000000" w:themeColor="text1"/>
            <w:u w:val="none"/>
          </w:rPr>
          <w:t>https://www.state.gov/reports/2019-country-reports-on-human-rights-practices/libya/</w:t>
        </w:r>
      </w:hyperlink>
      <w:r w:rsidR="4731B1E9" w:rsidRPr="00F1785E">
        <w:rPr>
          <w:color w:val="000000" w:themeColor="text1"/>
        </w:rPr>
        <w:t>.</w:t>
      </w:r>
    </w:p>
  </w:footnote>
  <w:footnote w:id="35">
    <w:p w14:paraId="5B10F1FC" w14:textId="11A64618" w:rsidR="418A2397" w:rsidRPr="00F1785E" w:rsidRDefault="418A2397" w:rsidP="00F1785E">
      <w:pPr>
        <w:pStyle w:val="FootnoteText"/>
        <w:jc w:val="both"/>
        <w:rPr>
          <w:color w:val="000000" w:themeColor="text1"/>
        </w:rPr>
      </w:pPr>
      <w:r w:rsidRPr="00F1785E">
        <w:rPr>
          <w:rStyle w:val="FootnoteReference"/>
          <w:color w:val="000000" w:themeColor="text1"/>
        </w:rPr>
        <w:footnoteRef/>
      </w:r>
      <w:r w:rsidRPr="00F1785E">
        <w:rPr>
          <w:color w:val="000000" w:themeColor="text1"/>
        </w:rPr>
        <w:t xml:space="preserve"> </w:t>
      </w:r>
      <w:r w:rsidR="4731B1E9" w:rsidRPr="00F1785E">
        <w:rPr>
          <w:color w:val="000000" w:themeColor="text1"/>
        </w:rPr>
        <w:t>US</w:t>
      </w:r>
      <w:r w:rsidRPr="00F1785E">
        <w:rPr>
          <w:color w:val="000000" w:themeColor="text1"/>
        </w:rPr>
        <w:t xml:space="preserve"> Department of State, "2019 Country Reports on Human Rights Practices: Libya,” Accessed 23 July 2020, </w:t>
      </w:r>
      <w:hyperlink r:id="rId18">
        <w:r w:rsidRPr="00F1785E">
          <w:rPr>
            <w:rStyle w:val="Hyperlink"/>
            <w:color w:val="000000" w:themeColor="text1"/>
            <w:u w:val="none"/>
          </w:rPr>
          <w:t>https://www.state.gov/reports/2019-country-reports-on-human-rights-practices/libya/</w:t>
        </w:r>
      </w:hyperlink>
      <w:r w:rsidRPr="00F1785E">
        <w:rPr>
          <w:color w:val="000000" w:themeColor="text1"/>
        </w:rPr>
        <w:t>.</w:t>
      </w:r>
    </w:p>
  </w:footnote>
  <w:footnote w:id="36">
    <w:p w14:paraId="38A8CBAA" w14:textId="3519CFFE" w:rsidR="418A2397" w:rsidRPr="00F1785E" w:rsidRDefault="418A2397" w:rsidP="00F1785E">
      <w:pPr>
        <w:jc w:val="both"/>
        <w:rPr>
          <w:color w:val="000000" w:themeColor="text1"/>
        </w:rPr>
      </w:pPr>
      <w:r w:rsidRPr="00F1785E">
        <w:rPr>
          <w:rStyle w:val="FootnoteReference"/>
          <w:color w:val="000000" w:themeColor="text1"/>
        </w:rPr>
        <w:footnoteRef/>
      </w:r>
      <w:r w:rsidRPr="00F1785E">
        <w:rPr>
          <w:color w:val="000000" w:themeColor="text1"/>
        </w:rPr>
        <w:t xml:space="preserve"> Human Rights Watch, “World Report 2020: Libya,” Accessed 23 July 2020, </w:t>
      </w:r>
      <w:hyperlink r:id="rId19" w:anchor="699e6e">
        <w:r w:rsidRPr="00F1785E">
          <w:rPr>
            <w:rStyle w:val="Hyperlink"/>
            <w:color w:val="000000" w:themeColor="text1"/>
            <w:u w:val="none"/>
          </w:rPr>
          <w:t>https://www.hrw.org/world-report/2020/country-chapters/libya#699e6e</w:t>
        </w:r>
      </w:hyperlink>
      <w:r w:rsidRPr="00F1785E">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652B" w14:textId="77777777" w:rsidR="00B85561" w:rsidRDefault="00B8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FC0C" w14:textId="77777777" w:rsidR="00804604" w:rsidRDefault="00804604" w:rsidP="00C26130">
    <w:pPr>
      <w:pStyle w:val="Header"/>
      <w:tabs>
        <w:tab w:val="left" w:pos="27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2069" w14:textId="79B40BB2" w:rsidR="00804604" w:rsidRDefault="00B85561" w:rsidP="00170235">
    <w:pPr>
      <w:pStyle w:val="Header"/>
      <w:jc w:val="both"/>
    </w:pPr>
    <w:r w:rsidRPr="00C157F1">
      <w:rPr>
        <w:noProof/>
      </w:rPr>
      <w:drawing>
        <wp:anchor distT="0" distB="0" distL="114300" distR="114300" simplePos="0" relativeHeight="251660288" behindDoc="1" locked="0" layoutInCell="1" allowOverlap="1" wp14:anchorId="5346CE6E" wp14:editId="4780D251">
          <wp:simplePos x="0" y="0"/>
          <wp:positionH relativeFrom="column">
            <wp:posOffset>3986530</wp:posOffset>
          </wp:positionH>
          <wp:positionV relativeFrom="paragraph">
            <wp:posOffset>-86995</wp:posOffset>
          </wp:positionV>
          <wp:extent cx="2314522" cy="886968"/>
          <wp:effectExtent l="0" t="0" r="0" b="2540"/>
          <wp:wrapTight wrapText="bothSides">
            <wp:wrapPolygon edited="0">
              <wp:start x="0" y="0"/>
              <wp:lineTo x="0" y="21352"/>
              <wp:lineTo x="21458" y="21352"/>
              <wp:lineTo x="21458"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2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7F1">
      <w:rPr>
        <w:noProof/>
      </w:rPr>
      <w:drawing>
        <wp:anchor distT="0" distB="0" distL="114300" distR="114300" simplePos="0" relativeHeight="251661312" behindDoc="1" locked="0" layoutInCell="1" allowOverlap="1" wp14:anchorId="2CCE2A3D" wp14:editId="40A9B97A">
          <wp:simplePos x="0" y="0"/>
          <wp:positionH relativeFrom="column">
            <wp:posOffset>-89535</wp:posOffset>
          </wp:positionH>
          <wp:positionV relativeFrom="paragraph">
            <wp:posOffset>-2540</wp:posOffset>
          </wp:positionV>
          <wp:extent cx="1323975" cy="600075"/>
          <wp:effectExtent l="0" t="0" r="0" b="0"/>
          <wp:wrapTight wrapText="bothSides">
            <wp:wrapPolygon edited="0">
              <wp:start x="0" y="0"/>
              <wp:lineTo x="0" y="21029"/>
              <wp:lineTo x="21341" y="21029"/>
              <wp:lineTo x="213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97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0E564B24"/>
    <w:lvl w:ilvl="0" w:tplc="0EECB05A">
      <w:start w:val="1"/>
      <w:numFmt w:val="decimal"/>
      <w:lvlText w:val="%1."/>
      <w:lvlJc w:val="left"/>
      <w:pPr>
        <w:ind w:left="720" w:hanging="360"/>
      </w:pPr>
      <w:rPr>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253AA"/>
    <w:multiLevelType w:val="hybridMultilevel"/>
    <w:tmpl w:val="F5A0BD34"/>
    <w:lvl w:ilvl="0" w:tplc="277636E2">
      <w:start w:val="1"/>
      <w:numFmt w:val="bullet"/>
      <w:lvlText w:val="•"/>
      <w:lvlJc w:val="left"/>
      <w:pPr>
        <w:ind w:left="720" w:hanging="360"/>
      </w:pPr>
      <w:rPr>
        <w:rFonts w:ascii="Times" w:hAnsi="Times" w:hint="default"/>
      </w:rPr>
    </w:lvl>
    <w:lvl w:ilvl="1" w:tplc="EBF0ECAA">
      <w:start w:val="1"/>
      <w:numFmt w:val="bullet"/>
      <w:lvlText w:val="o"/>
      <w:lvlJc w:val="left"/>
      <w:pPr>
        <w:ind w:left="1440" w:hanging="360"/>
      </w:pPr>
      <w:rPr>
        <w:rFonts w:ascii="Courier New" w:hAnsi="Courier New" w:hint="default"/>
      </w:rPr>
    </w:lvl>
    <w:lvl w:ilvl="2" w:tplc="E5C8EEF8">
      <w:start w:val="1"/>
      <w:numFmt w:val="bullet"/>
      <w:lvlText w:val=""/>
      <w:lvlJc w:val="left"/>
      <w:pPr>
        <w:ind w:left="2160" w:hanging="360"/>
      </w:pPr>
      <w:rPr>
        <w:rFonts w:ascii="Wingdings" w:hAnsi="Wingdings" w:hint="default"/>
      </w:rPr>
    </w:lvl>
    <w:lvl w:ilvl="3" w:tplc="49EE7BC4">
      <w:start w:val="1"/>
      <w:numFmt w:val="bullet"/>
      <w:lvlText w:val=""/>
      <w:lvlJc w:val="left"/>
      <w:pPr>
        <w:ind w:left="2880" w:hanging="360"/>
      </w:pPr>
      <w:rPr>
        <w:rFonts w:ascii="Symbol" w:hAnsi="Symbol" w:hint="default"/>
      </w:rPr>
    </w:lvl>
    <w:lvl w:ilvl="4" w:tplc="A1D2636C">
      <w:start w:val="1"/>
      <w:numFmt w:val="bullet"/>
      <w:lvlText w:val="o"/>
      <w:lvlJc w:val="left"/>
      <w:pPr>
        <w:ind w:left="3600" w:hanging="360"/>
      </w:pPr>
      <w:rPr>
        <w:rFonts w:ascii="Courier New" w:hAnsi="Courier New" w:hint="default"/>
      </w:rPr>
    </w:lvl>
    <w:lvl w:ilvl="5" w:tplc="C11825F4">
      <w:start w:val="1"/>
      <w:numFmt w:val="bullet"/>
      <w:lvlText w:val=""/>
      <w:lvlJc w:val="left"/>
      <w:pPr>
        <w:ind w:left="4320" w:hanging="360"/>
      </w:pPr>
      <w:rPr>
        <w:rFonts w:ascii="Wingdings" w:hAnsi="Wingdings" w:hint="default"/>
      </w:rPr>
    </w:lvl>
    <w:lvl w:ilvl="6" w:tplc="85E05004">
      <w:start w:val="1"/>
      <w:numFmt w:val="bullet"/>
      <w:lvlText w:val=""/>
      <w:lvlJc w:val="left"/>
      <w:pPr>
        <w:ind w:left="5040" w:hanging="360"/>
      </w:pPr>
      <w:rPr>
        <w:rFonts w:ascii="Symbol" w:hAnsi="Symbol" w:hint="default"/>
      </w:rPr>
    </w:lvl>
    <w:lvl w:ilvl="7" w:tplc="43FEEA4A">
      <w:start w:val="1"/>
      <w:numFmt w:val="bullet"/>
      <w:lvlText w:val="o"/>
      <w:lvlJc w:val="left"/>
      <w:pPr>
        <w:ind w:left="5760" w:hanging="360"/>
      </w:pPr>
      <w:rPr>
        <w:rFonts w:ascii="Courier New" w:hAnsi="Courier New" w:hint="default"/>
      </w:rPr>
    </w:lvl>
    <w:lvl w:ilvl="8" w:tplc="DDCECF2C">
      <w:start w:val="1"/>
      <w:numFmt w:val="bullet"/>
      <w:lvlText w:val=""/>
      <w:lvlJc w:val="left"/>
      <w:pPr>
        <w:ind w:left="6480" w:hanging="360"/>
      </w:pPr>
      <w:rPr>
        <w:rFonts w:ascii="Wingdings" w:hAnsi="Wingdings" w:hint="default"/>
      </w:rPr>
    </w:lvl>
  </w:abstractNum>
  <w:abstractNum w:abstractNumId="9"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1B3D"/>
    <w:multiLevelType w:val="hybridMultilevel"/>
    <w:tmpl w:val="73DE869C"/>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30F59"/>
    <w:rsid w:val="000342B6"/>
    <w:rsid w:val="0003496C"/>
    <w:rsid w:val="00046377"/>
    <w:rsid w:val="00056CF5"/>
    <w:rsid w:val="000734A4"/>
    <w:rsid w:val="0008238F"/>
    <w:rsid w:val="00084255"/>
    <w:rsid w:val="00085935"/>
    <w:rsid w:val="000910FC"/>
    <w:rsid w:val="0009644E"/>
    <w:rsid w:val="000A1F17"/>
    <w:rsid w:val="000A66B8"/>
    <w:rsid w:val="000B042D"/>
    <w:rsid w:val="000B4DB3"/>
    <w:rsid w:val="000C380B"/>
    <w:rsid w:val="000C6340"/>
    <w:rsid w:val="000E1DDC"/>
    <w:rsid w:val="000F1E67"/>
    <w:rsid w:val="000F3447"/>
    <w:rsid w:val="000F56E0"/>
    <w:rsid w:val="001008D1"/>
    <w:rsid w:val="00111994"/>
    <w:rsid w:val="001215B4"/>
    <w:rsid w:val="001364DE"/>
    <w:rsid w:val="00136514"/>
    <w:rsid w:val="00143423"/>
    <w:rsid w:val="00147EA4"/>
    <w:rsid w:val="001565F9"/>
    <w:rsid w:val="00160BDA"/>
    <w:rsid w:val="00170235"/>
    <w:rsid w:val="00170316"/>
    <w:rsid w:val="00172ACF"/>
    <w:rsid w:val="00181B2A"/>
    <w:rsid w:val="00185210"/>
    <w:rsid w:val="0018642B"/>
    <w:rsid w:val="001A59C1"/>
    <w:rsid w:val="001A5ED5"/>
    <w:rsid w:val="001A7AF4"/>
    <w:rsid w:val="001B1AC4"/>
    <w:rsid w:val="001B27D7"/>
    <w:rsid w:val="001B46C2"/>
    <w:rsid w:val="001B5E1E"/>
    <w:rsid w:val="001B799A"/>
    <w:rsid w:val="001C42EB"/>
    <w:rsid w:val="001D4D68"/>
    <w:rsid w:val="001F5774"/>
    <w:rsid w:val="00220D48"/>
    <w:rsid w:val="002352CD"/>
    <w:rsid w:val="00237C8C"/>
    <w:rsid w:val="00242F64"/>
    <w:rsid w:val="002439A3"/>
    <w:rsid w:val="00243E14"/>
    <w:rsid w:val="00255789"/>
    <w:rsid w:val="00266AA3"/>
    <w:rsid w:val="00272519"/>
    <w:rsid w:val="002734D9"/>
    <w:rsid w:val="00282223"/>
    <w:rsid w:val="00291BE8"/>
    <w:rsid w:val="00295E9B"/>
    <w:rsid w:val="002A0797"/>
    <w:rsid w:val="002A4838"/>
    <w:rsid w:val="002C285A"/>
    <w:rsid w:val="002C57BC"/>
    <w:rsid w:val="002D36C6"/>
    <w:rsid w:val="002E34EA"/>
    <w:rsid w:val="00315C53"/>
    <w:rsid w:val="00322CB1"/>
    <w:rsid w:val="003369A6"/>
    <w:rsid w:val="00340484"/>
    <w:rsid w:val="00344140"/>
    <w:rsid w:val="00344556"/>
    <w:rsid w:val="00345B90"/>
    <w:rsid w:val="00346FD8"/>
    <w:rsid w:val="0035378E"/>
    <w:rsid w:val="0035424D"/>
    <w:rsid w:val="00390AC3"/>
    <w:rsid w:val="003937C6"/>
    <w:rsid w:val="003A0BC2"/>
    <w:rsid w:val="003A1D3E"/>
    <w:rsid w:val="003A6F6D"/>
    <w:rsid w:val="003B2240"/>
    <w:rsid w:val="003C1E49"/>
    <w:rsid w:val="003C60FE"/>
    <w:rsid w:val="00417CE5"/>
    <w:rsid w:val="00430A63"/>
    <w:rsid w:val="00450118"/>
    <w:rsid w:val="00450405"/>
    <w:rsid w:val="00453314"/>
    <w:rsid w:val="004740E2"/>
    <w:rsid w:val="00476CC4"/>
    <w:rsid w:val="0048187D"/>
    <w:rsid w:val="004866AE"/>
    <w:rsid w:val="004A17D9"/>
    <w:rsid w:val="004A5B01"/>
    <w:rsid w:val="004A7D93"/>
    <w:rsid w:val="004A7FF9"/>
    <w:rsid w:val="004B1E4E"/>
    <w:rsid w:val="004B4CAF"/>
    <w:rsid w:val="004B73AF"/>
    <w:rsid w:val="004C34D5"/>
    <w:rsid w:val="004D2568"/>
    <w:rsid w:val="004D3EE9"/>
    <w:rsid w:val="004E7176"/>
    <w:rsid w:val="004E783D"/>
    <w:rsid w:val="004F2465"/>
    <w:rsid w:val="004F34E5"/>
    <w:rsid w:val="005132BB"/>
    <w:rsid w:val="00524166"/>
    <w:rsid w:val="00524C18"/>
    <w:rsid w:val="005336C2"/>
    <w:rsid w:val="00534C5B"/>
    <w:rsid w:val="005403E3"/>
    <w:rsid w:val="0055461C"/>
    <w:rsid w:val="00571EF6"/>
    <w:rsid w:val="00596B08"/>
    <w:rsid w:val="0059754B"/>
    <w:rsid w:val="005A6CC8"/>
    <w:rsid w:val="005B0C1B"/>
    <w:rsid w:val="005BEC3F"/>
    <w:rsid w:val="005C183B"/>
    <w:rsid w:val="005C58B6"/>
    <w:rsid w:val="005C5BF7"/>
    <w:rsid w:val="005D47C7"/>
    <w:rsid w:val="005D4EE6"/>
    <w:rsid w:val="005F2A19"/>
    <w:rsid w:val="005F2DF4"/>
    <w:rsid w:val="0060568A"/>
    <w:rsid w:val="0061778F"/>
    <w:rsid w:val="00624A10"/>
    <w:rsid w:val="00626C39"/>
    <w:rsid w:val="00643D7A"/>
    <w:rsid w:val="00646D29"/>
    <w:rsid w:val="0066318F"/>
    <w:rsid w:val="006927DD"/>
    <w:rsid w:val="006B1AD5"/>
    <w:rsid w:val="006B3424"/>
    <w:rsid w:val="006B7B89"/>
    <w:rsid w:val="006D39C4"/>
    <w:rsid w:val="006D703D"/>
    <w:rsid w:val="006E7D5B"/>
    <w:rsid w:val="006F582F"/>
    <w:rsid w:val="007143B8"/>
    <w:rsid w:val="007234C8"/>
    <w:rsid w:val="007316AA"/>
    <w:rsid w:val="00734434"/>
    <w:rsid w:val="00741B9C"/>
    <w:rsid w:val="00757A1C"/>
    <w:rsid w:val="007637D8"/>
    <w:rsid w:val="00765EBC"/>
    <w:rsid w:val="0077231B"/>
    <w:rsid w:val="00774643"/>
    <w:rsid w:val="007838DE"/>
    <w:rsid w:val="007B2CF2"/>
    <w:rsid w:val="007C4387"/>
    <w:rsid w:val="007C4D8E"/>
    <w:rsid w:val="007D1DDA"/>
    <w:rsid w:val="007D2FB7"/>
    <w:rsid w:val="007E79C4"/>
    <w:rsid w:val="007F23A8"/>
    <w:rsid w:val="00804604"/>
    <w:rsid w:val="0081221D"/>
    <w:rsid w:val="008214B4"/>
    <w:rsid w:val="00826961"/>
    <w:rsid w:val="00836428"/>
    <w:rsid w:val="00847C78"/>
    <w:rsid w:val="00852B97"/>
    <w:rsid w:val="00870521"/>
    <w:rsid w:val="0087642D"/>
    <w:rsid w:val="008856D7"/>
    <w:rsid w:val="0089523C"/>
    <w:rsid w:val="008BC273"/>
    <w:rsid w:val="008C3B9B"/>
    <w:rsid w:val="008C7B1F"/>
    <w:rsid w:val="008C7B63"/>
    <w:rsid w:val="008F0BDD"/>
    <w:rsid w:val="008F20E3"/>
    <w:rsid w:val="008F2F99"/>
    <w:rsid w:val="008F6084"/>
    <w:rsid w:val="009057C8"/>
    <w:rsid w:val="00930518"/>
    <w:rsid w:val="0093193B"/>
    <w:rsid w:val="00947170"/>
    <w:rsid w:val="00947B3D"/>
    <w:rsid w:val="00956E94"/>
    <w:rsid w:val="009627A1"/>
    <w:rsid w:val="0096636D"/>
    <w:rsid w:val="009712FE"/>
    <w:rsid w:val="00974E48"/>
    <w:rsid w:val="009875AD"/>
    <w:rsid w:val="009924AF"/>
    <w:rsid w:val="00996A22"/>
    <w:rsid w:val="009A7F71"/>
    <w:rsid w:val="009B51D7"/>
    <w:rsid w:val="009D3BEA"/>
    <w:rsid w:val="009D41D3"/>
    <w:rsid w:val="009D5161"/>
    <w:rsid w:val="009E4D16"/>
    <w:rsid w:val="009F12E2"/>
    <w:rsid w:val="009F3358"/>
    <w:rsid w:val="009F478B"/>
    <w:rsid w:val="009F6514"/>
    <w:rsid w:val="009F69C1"/>
    <w:rsid w:val="00A40EE1"/>
    <w:rsid w:val="00A423ED"/>
    <w:rsid w:val="00A536F3"/>
    <w:rsid w:val="00A82DA9"/>
    <w:rsid w:val="00A91D08"/>
    <w:rsid w:val="00AA281D"/>
    <w:rsid w:val="00AA6318"/>
    <w:rsid w:val="00AA7FCB"/>
    <w:rsid w:val="00AB59AE"/>
    <w:rsid w:val="00AB5BD9"/>
    <w:rsid w:val="00AD0AA1"/>
    <w:rsid w:val="00AE07A3"/>
    <w:rsid w:val="00AE372A"/>
    <w:rsid w:val="00B275A9"/>
    <w:rsid w:val="00B40DBF"/>
    <w:rsid w:val="00B44231"/>
    <w:rsid w:val="00B457C4"/>
    <w:rsid w:val="00B54060"/>
    <w:rsid w:val="00B71178"/>
    <w:rsid w:val="00B85561"/>
    <w:rsid w:val="00B85693"/>
    <w:rsid w:val="00B914A2"/>
    <w:rsid w:val="00B9541E"/>
    <w:rsid w:val="00BA4CDE"/>
    <w:rsid w:val="00BB0488"/>
    <w:rsid w:val="00BB3ED5"/>
    <w:rsid w:val="00BB4AB9"/>
    <w:rsid w:val="00BC07C0"/>
    <w:rsid w:val="00BD3CFF"/>
    <w:rsid w:val="00BE59BD"/>
    <w:rsid w:val="00BE7278"/>
    <w:rsid w:val="00C0174A"/>
    <w:rsid w:val="00C05D9B"/>
    <w:rsid w:val="00C157F1"/>
    <w:rsid w:val="00C26130"/>
    <w:rsid w:val="00C315B6"/>
    <w:rsid w:val="00C376F3"/>
    <w:rsid w:val="00C4132F"/>
    <w:rsid w:val="00C463D2"/>
    <w:rsid w:val="00C62A44"/>
    <w:rsid w:val="00C75F57"/>
    <w:rsid w:val="00C80A39"/>
    <w:rsid w:val="00C81936"/>
    <w:rsid w:val="00C84C4C"/>
    <w:rsid w:val="00CA73F6"/>
    <w:rsid w:val="00CA7D78"/>
    <w:rsid w:val="00CB631F"/>
    <w:rsid w:val="00CC5314"/>
    <w:rsid w:val="00CC65F5"/>
    <w:rsid w:val="00D0019C"/>
    <w:rsid w:val="00D10CD5"/>
    <w:rsid w:val="00D17F80"/>
    <w:rsid w:val="00D25C36"/>
    <w:rsid w:val="00D3182B"/>
    <w:rsid w:val="00D52AD6"/>
    <w:rsid w:val="00D73432"/>
    <w:rsid w:val="00D861C1"/>
    <w:rsid w:val="00D86901"/>
    <w:rsid w:val="00D92835"/>
    <w:rsid w:val="00D94424"/>
    <w:rsid w:val="00DA6DB6"/>
    <w:rsid w:val="00DB78EB"/>
    <w:rsid w:val="00DC41C9"/>
    <w:rsid w:val="00DC5473"/>
    <w:rsid w:val="00DD2F76"/>
    <w:rsid w:val="00DE6FE8"/>
    <w:rsid w:val="00E114C5"/>
    <w:rsid w:val="00E13D93"/>
    <w:rsid w:val="00E15266"/>
    <w:rsid w:val="00E162F5"/>
    <w:rsid w:val="00E3230E"/>
    <w:rsid w:val="00E35775"/>
    <w:rsid w:val="00E63AA4"/>
    <w:rsid w:val="00E75FC3"/>
    <w:rsid w:val="00E826D1"/>
    <w:rsid w:val="00E90CCA"/>
    <w:rsid w:val="00E95CF7"/>
    <w:rsid w:val="00EA0EEB"/>
    <w:rsid w:val="00EA5ACB"/>
    <w:rsid w:val="00ED2DCC"/>
    <w:rsid w:val="00EF2BE5"/>
    <w:rsid w:val="00F042FA"/>
    <w:rsid w:val="00F13667"/>
    <w:rsid w:val="00F1785E"/>
    <w:rsid w:val="00F22813"/>
    <w:rsid w:val="00F2442A"/>
    <w:rsid w:val="00F344FE"/>
    <w:rsid w:val="00F51AFD"/>
    <w:rsid w:val="00F612FF"/>
    <w:rsid w:val="00F6493F"/>
    <w:rsid w:val="00F75663"/>
    <w:rsid w:val="00F811E7"/>
    <w:rsid w:val="00F9056C"/>
    <w:rsid w:val="00FA2944"/>
    <w:rsid w:val="00FB4891"/>
    <w:rsid w:val="00FC1645"/>
    <w:rsid w:val="00FC686F"/>
    <w:rsid w:val="00FC7FBE"/>
    <w:rsid w:val="00FE0378"/>
    <w:rsid w:val="00FE2347"/>
    <w:rsid w:val="01A2D790"/>
    <w:rsid w:val="01A93C17"/>
    <w:rsid w:val="01A9C522"/>
    <w:rsid w:val="0241C205"/>
    <w:rsid w:val="025F20C0"/>
    <w:rsid w:val="0272822D"/>
    <w:rsid w:val="029398B4"/>
    <w:rsid w:val="0298E655"/>
    <w:rsid w:val="030E9344"/>
    <w:rsid w:val="039D1DCB"/>
    <w:rsid w:val="040040B0"/>
    <w:rsid w:val="0422C3A4"/>
    <w:rsid w:val="044F526D"/>
    <w:rsid w:val="04C44A8F"/>
    <w:rsid w:val="04CF0F89"/>
    <w:rsid w:val="04DD4F65"/>
    <w:rsid w:val="05418A77"/>
    <w:rsid w:val="056CB292"/>
    <w:rsid w:val="05C48F6C"/>
    <w:rsid w:val="05C79955"/>
    <w:rsid w:val="05E57B9D"/>
    <w:rsid w:val="061D6FAC"/>
    <w:rsid w:val="066B175D"/>
    <w:rsid w:val="067C4249"/>
    <w:rsid w:val="0685DF5A"/>
    <w:rsid w:val="069FB356"/>
    <w:rsid w:val="06B7CF08"/>
    <w:rsid w:val="06CF3887"/>
    <w:rsid w:val="071F5596"/>
    <w:rsid w:val="075F6E9F"/>
    <w:rsid w:val="07DDD117"/>
    <w:rsid w:val="07DED8C9"/>
    <w:rsid w:val="07F20BDE"/>
    <w:rsid w:val="07F80568"/>
    <w:rsid w:val="0800B8AA"/>
    <w:rsid w:val="084F7C46"/>
    <w:rsid w:val="085DF9E0"/>
    <w:rsid w:val="0867C70B"/>
    <w:rsid w:val="08B8DDE9"/>
    <w:rsid w:val="08F1C72E"/>
    <w:rsid w:val="0906F4CC"/>
    <w:rsid w:val="09089602"/>
    <w:rsid w:val="09A174F6"/>
    <w:rsid w:val="09B0C8A2"/>
    <w:rsid w:val="09B6BCEF"/>
    <w:rsid w:val="09BD1CFD"/>
    <w:rsid w:val="09CDA27C"/>
    <w:rsid w:val="0A0614A7"/>
    <w:rsid w:val="0A39CCC3"/>
    <w:rsid w:val="0A71BEE9"/>
    <w:rsid w:val="0A727576"/>
    <w:rsid w:val="0A741EE4"/>
    <w:rsid w:val="0A821D4D"/>
    <w:rsid w:val="0A90A68C"/>
    <w:rsid w:val="0AB3B38A"/>
    <w:rsid w:val="0ADA4A83"/>
    <w:rsid w:val="0B3666E6"/>
    <w:rsid w:val="0B4138D0"/>
    <w:rsid w:val="0B48DDEA"/>
    <w:rsid w:val="0B49F73F"/>
    <w:rsid w:val="0B56696B"/>
    <w:rsid w:val="0B96B6B0"/>
    <w:rsid w:val="0BAD186B"/>
    <w:rsid w:val="0BEB14E0"/>
    <w:rsid w:val="0C252AF8"/>
    <w:rsid w:val="0C6AEDCE"/>
    <w:rsid w:val="0C93FDAA"/>
    <w:rsid w:val="0CCCE624"/>
    <w:rsid w:val="0D13660F"/>
    <w:rsid w:val="0D382A8F"/>
    <w:rsid w:val="0D9C09EE"/>
    <w:rsid w:val="0DBF63A0"/>
    <w:rsid w:val="0DD8F4F3"/>
    <w:rsid w:val="0E310376"/>
    <w:rsid w:val="0E3BB65A"/>
    <w:rsid w:val="0E7D0575"/>
    <w:rsid w:val="0EAF3158"/>
    <w:rsid w:val="0EBB61AA"/>
    <w:rsid w:val="0EBDC2EC"/>
    <w:rsid w:val="0EC3E90F"/>
    <w:rsid w:val="0EC7BED8"/>
    <w:rsid w:val="0EC9B529"/>
    <w:rsid w:val="0ECDFB7E"/>
    <w:rsid w:val="0EF241D7"/>
    <w:rsid w:val="0EF719F2"/>
    <w:rsid w:val="0F0740F5"/>
    <w:rsid w:val="0F21B4C3"/>
    <w:rsid w:val="0F4B56CE"/>
    <w:rsid w:val="0F7884CE"/>
    <w:rsid w:val="0F819152"/>
    <w:rsid w:val="0FBA74DF"/>
    <w:rsid w:val="0FECF1E7"/>
    <w:rsid w:val="105357AF"/>
    <w:rsid w:val="1061B2A6"/>
    <w:rsid w:val="10AB50FD"/>
    <w:rsid w:val="10E7142B"/>
    <w:rsid w:val="10E7A239"/>
    <w:rsid w:val="10E829DF"/>
    <w:rsid w:val="10EB863C"/>
    <w:rsid w:val="1115937E"/>
    <w:rsid w:val="1133E5E2"/>
    <w:rsid w:val="1144E76D"/>
    <w:rsid w:val="114BA33B"/>
    <w:rsid w:val="1198E7A9"/>
    <w:rsid w:val="12519AD1"/>
    <w:rsid w:val="125F50F0"/>
    <w:rsid w:val="126FB4E4"/>
    <w:rsid w:val="1271438A"/>
    <w:rsid w:val="12751723"/>
    <w:rsid w:val="128275FD"/>
    <w:rsid w:val="130A023D"/>
    <w:rsid w:val="135CE737"/>
    <w:rsid w:val="13CB406A"/>
    <w:rsid w:val="13EC01D9"/>
    <w:rsid w:val="1437119E"/>
    <w:rsid w:val="144697C7"/>
    <w:rsid w:val="14B997BC"/>
    <w:rsid w:val="15016D7C"/>
    <w:rsid w:val="150CCCCD"/>
    <w:rsid w:val="151F1C22"/>
    <w:rsid w:val="155718DD"/>
    <w:rsid w:val="15945464"/>
    <w:rsid w:val="15E9CECF"/>
    <w:rsid w:val="15EBB51D"/>
    <w:rsid w:val="15F36898"/>
    <w:rsid w:val="15FF544C"/>
    <w:rsid w:val="160E74FC"/>
    <w:rsid w:val="16528CD7"/>
    <w:rsid w:val="16604FDB"/>
    <w:rsid w:val="16743487"/>
    <w:rsid w:val="168F14B9"/>
    <w:rsid w:val="16942732"/>
    <w:rsid w:val="16DCED99"/>
    <w:rsid w:val="16FBA1C2"/>
    <w:rsid w:val="174EB00B"/>
    <w:rsid w:val="17536A2F"/>
    <w:rsid w:val="175E4954"/>
    <w:rsid w:val="176C757E"/>
    <w:rsid w:val="17886033"/>
    <w:rsid w:val="17A24222"/>
    <w:rsid w:val="18136004"/>
    <w:rsid w:val="181EA691"/>
    <w:rsid w:val="18327CB1"/>
    <w:rsid w:val="185616B7"/>
    <w:rsid w:val="185D4801"/>
    <w:rsid w:val="185E3298"/>
    <w:rsid w:val="1880AB65"/>
    <w:rsid w:val="18BE64C0"/>
    <w:rsid w:val="1934FC43"/>
    <w:rsid w:val="194478E7"/>
    <w:rsid w:val="1986A363"/>
    <w:rsid w:val="199A4EC1"/>
    <w:rsid w:val="199BB4CD"/>
    <w:rsid w:val="199DAD90"/>
    <w:rsid w:val="19BCF595"/>
    <w:rsid w:val="19F20E53"/>
    <w:rsid w:val="1A30F87B"/>
    <w:rsid w:val="1A912EA1"/>
    <w:rsid w:val="1A9AAC68"/>
    <w:rsid w:val="1A9BA467"/>
    <w:rsid w:val="1AA69340"/>
    <w:rsid w:val="1AE6CBA2"/>
    <w:rsid w:val="1B1AF244"/>
    <w:rsid w:val="1B4EB587"/>
    <w:rsid w:val="1B5442B7"/>
    <w:rsid w:val="1B5C1CD0"/>
    <w:rsid w:val="1B6BC2D7"/>
    <w:rsid w:val="1B76BE48"/>
    <w:rsid w:val="1B86D23F"/>
    <w:rsid w:val="1B9C42B3"/>
    <w:rsid w:val="1BA8B3F8"/>
    <w:rsid w:val="1C090257"/>
    <w:rsid w:val="1C2A4FA9"/>
    <w:rsid w:val="1C391770"/>
    <w:rsid w:val="1C6507BD"/>
    <w:rsid w:val="1C778F63"/>
    <w:rsid w:val="1C9CB5FF"/>
    <w:rsid w:val="1CA74137"/>
    <w:rsid w:val="1CC933BA"/>
    <w:rsid w:val="1D1BA163"/>
    <w:rsid w:val="1D2E385B"/>
    <w:rsid w:val="1D345FA4"/>
    <w:rsid w:val="1D543783"/>
    <w:rsid w:val="1D878A24"/>
    <w:rsid w:val="1D8833BB"/>
    <w:rsid w:val="1DDD35DE"/>
    <w:rsid w:val="1DE46264"/>
    <w:rsid w:val="1DF3DE2F"/>
    <w:rsid w:val="1E47F189"/>
    <w:rsid w:val="1EA90CD2"/>
    <w:rsid w:val="1EAF3097"/>
    <w:rsid w:val="1F583FD2"/>
    <w:rsid w:val="1F90BFA8"/>
    <w:rsid w:val="1FBAB08C"/>
    <w:rsid w:val="1FFA0A78"/>
    <w:rsid w:val="1FFE24D6"/>
    <w:rsid w:val="1FFEEB57"/>
    <w:rsid w:val="20231381"/>
    <w:rsid w:val="205FFBE5"/>
    <w:rsid w:val="2080108F"/>
    <w:rsid w:val="20A000E7"/>
    <w:rsid w:val="20BD9CDA"/>
    <w:rsid w:val="20DF7E5E"/>
    <w:rsid w:val="20F724DE"/>
    <w:rsid w:val="21560CB8"/>
    <w:rsid w:val="216547E8"/>
    <w:rsid w:val="218CDED2"/>
    <w:rsid w:val="21A72B82"/>
    <w:rsid w:val="21DC51D8"/>
    <w:rsid w:val="21EAEFAE"/>
    <w:rsid w:val="21EB497E"/>
    <w:rsid w:val="2222E942"/>
    <w:rsid w:val="22549D3B"/>
    <w:rsid w:val="22A61763"/>
    <w:rsid w:val="22E2DCE8"/>
    <w:rsid w:val="235E280C"/>
    <w:rsid w:val="237731D7"/>
    <w:rsid w:val="23895EE8"/>
    <w:rsid w:val="23919545"/>
    <w:rsid w:val="23993131"/>
    <w:rsid w:val="23C389C3"/>
    <w:rsid w:val="2418282F"/>
    <w:rsid w:val="24448781"/>
    <w:rsid w:val="244CE3F3"/>
    <w:rsid w:val="24DBD328"/>
    <w:rsid w:val="24EA3329"/>
    <w:rsid w:val="25164B60"/>
    <w:rsid w:val="255F73FC"/>
    <w:rsid w:val="2571E091"/>
    <w:rsid w:val="25780179"/>
    <w:rsid w:val="25A934C1"/>
    <w:rsid w:val="25B45207"/>
    <w:rsid w:val="25BB7F23"/>
    <w:rsid w:val="25C1ED51"/>
    <w:rsid w:val="25EAA7A5"/>
    <w:rsid w:val="260A232E"/>
    <w:rsid w:val="261E8AED"/>
    <w:rsid w:val="26672205"/>
    <w:rsid w:val="267CB340"/>
    <w:rsid w:val="26878D4A"/>
    <w:rsid w:val="26C29F69"/>
    <w:rsid w:val="26D199E7"/>
    <w:rsid w:val="26E620A5"/>
    <w:rsid w:val="2712CAC6"/>
    <w:rsid w:val="27401852"/>
    <w:rsid w:val="27493E9A"/>
    <w:rsid w:val="279380DD"/>
    <w:rsid w:val="27B3405C"/>
    <w:rsid w:val="27DA4991"/>
    <w:rsid w:val="2842092D"/>
    <w:rsid w:val="28513415"/>
    <w:rsid w:val="2862B5F7"/>
    <w:rsid w:val="289808B7"/>
    <w:rsid w:val="28C15BFF"/>
    <w:rsid w:val="28E96E60"/>
    <w:rsid w:val="28F774B9"/>
    <w:rsid w:val="2916E23D"/>
    <w:rsid w:val="295CDD71"/>
    <w:rsid w:val="29690C23"/>
    <w:rsid w:val="2977D940"/>
    <w:rsid w:val="29812C53"/>
    <w:rsid w:val="2995EF53"/>
    <w:rsid w:val="2998E390"/>
    <w:rsid w:val="299E272B"/>
    <w:rsid w:val="29C99961"/>
    <w:rsid w:val="29D53BD8"/>
    <w:rsid w:val="29EEEBED"/>
    <w:rsid w:val="29F750C1"/>
    <w:rsid w:val="2A296990"/>
    <w:rsid w:val="2A555E6D"/>
    <w:rsid w:val="2AD7ADE0"/>
    <w:rsid w:val="2AE41C69"/>
    <w:rsid w:val="2AF397F2"/>
    <w:rsid w:val="2B03B358"/>
    <w:rsid w:val="2B40356D"/>
    <w:rsid w:val="2B4245FE"/>
    <w:rsid w:val="2B54E395"/>
    <w:rsid w:val="2B62488F"/>
    <w:rsid w:val="2B83C697"/>
    <w:rsid w:val="2B86BAF4"/>
    <w:rsid w:val="2BD32EB2"/>
    <w:rsid w:val="2BE294EC"/>
    <w:rsid w:val="2C2A80D4"/>
    <w:rsid w:val="2C6ECE99"/>
    <w:rsid w:val="2C915F19"/>
    <w:rsid w:val="2CEEB594"/>
    <w:rsid w:val="2D3200BF"/>
    <w:rsid w:val="2D3BB530"/>
    <w:rsid w:val="2DFBD45E"/>
    <w:rsid w:val="2E5CA099"/>
    <w:rsid w:val="2E98E618"/>
    <w:rsid w:val="2EE2DBB0"/>
    <w:rsid w:val="2F034A0F"/>
    <w:rsid w:val="2F085C85"/>
    <w:rsid w:val="2F487C65"/>
    <w:rsid w:val="2F5F6DB0"/>
    <w:rsid w:val="2F66E7FF"/>
    <w:rsid w:val="2FC635E0"/>
    <w:rsid w:val="3019C9EF"/>
    <w:rsid w:val="301E66CE"/>
    <w:rsid w:val="304753C1"/>
    <w:rsid w:val="3061F679"/>
    <w:rsid w:val="30CF323C"/>
    <w:rsid w:val="31027385"/>
    <w:rsid w:val="3125D88A"/>
    <w:rsid w:val="3128801B"/>
    <w:rsid w:val="3141862F"/>
    <w:rsid w:val="31534325"/>
    <w:rsid w:val="3168BFCD"/>
    <w:rsid w:val="317D20D1"/>
    <w:rsid w:val="31869018"/>
    <w:rsid w:val="31C7818A"/>
    <w:rsid w:val="31FA8DE4"/>
    <w:rsid w:val="31FF882D"/>
    <w:rsid w:val="3202FAD0"/>
    <w:rsid w:val="320D7190"/>
    <w:rsid w:val="321C875D"/>
    <w:rsid w:val="324D9663"/>
    <w:rsid w:val="3258AF4B"/>
    <w:rsid w:val="327D6A3D"/>
    <w:rsid w:val="32AAAEBB"/>
    <w:rsid w:val="32E5AA6D"/>
    <w:rsid w:val="32E831C1"/>
    <w:rsid w:val="331D5F1D"/>
    <w:rsid w:val="33DC59E9"/>
    <w:rsid w:val="34072178"/>
    <w:rsid w:val="3420B2E5"/>
    <w:rsid w:val="34287B72"/>
    <w:rsid w:val="343069BC"/>
    <w:rsid w:val="343C0ED7"/>
    <w:rsid w:val="346C24F5"/>
    <w:rsid w:val="347E1160"/>
    <w:rsid w:val="348A0D7A"/>
    <w:rsid w:val="34A7AA4B"/>
    <w:rsid w:val="34BBCE82"/>
    <w:rsid w:val="34D0779E"/>
    <w:rsid w:val="34D1BB0B"/>
    <w:rsid w:val="35141BC9"/>
    <w:rsid w:val="3546DADD"/>
    <w:rsid w:val="354E6C23"/>
    <w:rsid w:val="356A295F"/>
    <w:rsid w:val="35AE1C93"/>
    <w:rsid w:val="35D52AE4"/>
    <w:rsid w:val="36043124"/>
    <w:rsid w:val="36073522"/>
    <w:rsid w:val="3611B057"/>
    <w:rsid w:val="361336EE"/>
    <w:rsid w:val="36366033"/>
    <w:rsid w:val="36427240"/>
    <w:rsid w:val="364FE387"/>
    <w:rsid w:val="365BF818"/>
    <w:rsid w:val="3681CBFB"/>
    <w:rsid w:val="36CC98D2"/>
    <w:rsid w:val="372926BA"/>
    <w:rsid w:val="375B36EE"/>
    <w:rsid w:val="3765369B"/>
    <w:rsid w:val="3775346F"/>
    <w:rsid w:val="37C64E67"/>
    <w:rsid w:val="37CEECB2"/>
    <w:rsid w:val="37F97A21"/>
    <w:rsid w:val="37FB535B"/>
    <w:rsid w:val="38364B66"/>
    <w:rsid w:val="383A373C"/>
    <w:rsid w:val="38442765"/>
    <w:rsid w:val="386C65A5"/>
    <w:rsid w:val="387C58A0"/>
    <w:rsid w:val="38A5FDFE"/>
    <w:rsid w:val="3954CE7F"/>
    <w:rsid w:val="39636BED"/>
    <w:rsid w:val="39A62E71"/>
    <w:rsid w:val="39AD5135"/>
    <w:rsid w:val="3A0F6D5B"/>
    <w:rsid w:val="3A30162B"/>
    <w:rsid w:val="3A324702"/>
    <w:rsid w:val="3A528CD4"/>
    <w:rsid w:val="3AAC9E03"/>
    <w:rsid w:val="3B0283F1"/>
    <w:rsid w:val="3B21CED2"/>
    <w:rsid w:val="3B778CE0"/>
    <w:rsid w:val="3BB4F526"/>
    <w:rsid w:val="3C1370F7"/>
    <w:rsid w:val="3C5E4FD7"/>
    <w:rsid w:val="3C6F525D"/>
    <w:rsid w:val="3C72F706"/>
    <w:rsid w:val="3C909A27"/>
    <w:rsid w:val="3CAB0C47"/>
    <w:rsid w:val="3CCB3F7A"/>
    <w:rsid w:val="3D40F020"/>
    <w:rsid w:val="3D4627D2"/>
    <w:rsid w:val="3D4C9956"/>
    <w:rsid w:val="3D4FEC31"/>
    <w:rsid w:val="3D8EAC98"/>
    <w:rsid w:val="3DE4EE6A"/>
    <w:rsid w:val="3DE93724"/>
    <w:rsid w:val="3DF0C411"/>
    <w:rsid w:val="3DFF1FAA"/>
    <w:rsid w:val="3E12A4D7"/>
    <w:rsid w:val="3E2563AE"/>
    <w:rsid w:val="3E7F2FE5"/>
    <w:rsid w:val="3E8B76A8"/>
    <w:rsid w:val="3EE0CA49"/>
    <w:rsid w:val="3EFB7382"/>
    <w:rsid w:val="3F1DDE9B"/>
    <w:rsid w:val="3F39B9B6"/>
    <w:rsid w:val="3F3DD8F0"/>
    <w:rsid w:val="3F6886A3"/>
    <w:rsid w:val="3F773935"/>
    <w:rsid w:val="3F8D61FE"/>
    <w:rsid w:val="3FDDE358"/>
    <w:rsid w:val="3FF008E2"/>
    <w:rsid w:val="4028DE58"/>
    <w:rsid w:val="4061E109"/>
    <w:rsid w:val="4066DF4D"/>
    <w:rsid w:val="40816783"/>
    <w:rsid w:val="40CB61AB"/>
    <w:rsid w:val="418A2397"/>
    <w:rsid w:val="41D6905C"/>
    <w:rsid w:val="42200A9E"/>
    <w:rsid w:val="422B286C"/>
    <w:rsid w:val="42498052"/>
    <w:rsid w:val="42690299"/>
    <w:rsid w:val="42CA2EDF"/>
    <w:rsid w:val="43189C68"/>
    <w:rsid w:val="4334C2AA"/>
    <w:rsid w:val="43420039"/>
    <w:rsid w:val="437C4790"/>
    <w:rsid w:val="439F7833"/>
    <w:rsid w:val="43C5181D"/>
    <w:rsid w:val="43CC10BD"/>
    <w:rsid w:val="43F44050"/>
    <w:rsid w:val="44A0DB27"/>
    <w:rsid w:val="44F53AE2"/>
    <w:rsid w:val="44FA97A6"/>
    <w:rsid w:val="44FFB1D4"/>
    <w:rsid w:val="4502F8F5"/>
    <w:rsid w:val="45402FD9"/>
    <w:rsid w:val="454F4830"/>
    <w:rsid w:val="4581463A"/>
    <w:rsid w:val="45ABC7CE"/>
    <w:rsid w:val="461AFABF"/>
    <w:rsid w:val="4627FE5C"/>
    <w:rsid w:val="464A5EC9"/>
    <w:rsid w:val="46CE5A36"/>
    <w:rsid w:val="46E1B458"/>
    <w:rsid w:val="46E3C045"/>
    <w:rsid w:val="46EE7456"/>
    <w:rsid w:val="471CC307"/>
    <w:rsid w:val="4731B1E9"/>
    <w:rsid w:val="4740D366"/>
    <w:rsid w:val="4759861A"/>
    <w:rsid w:val="478CE5C5"/>
    <w:rsid w:val="47A75259"/>
    <w:rsid w:val="47C5B187"/>
    <w:rsid w:val="47D87FA6"/>
    <w:rsid w:val="48214034"/>
    <w:rsid w:val="48336147"/>
    <w:rsid w:val="483D1C73"/>
    <w:rsid w:val="48991642"/>
    <w:rsid w:val="48EAA19E"/>
    <w:rsid w:val="48F4669F"/>
    <w:rsid w:val="48FC9400"/>
    <w:rsid w:val="49903005"/>
    <w:rsid w:val="49C70CE1"/>
    <w:rsid w:val="49F4E771"/>
    <w:rsid w:val="4A01D7F4"/>
    <w:rsid w:val="4A10859F"/>
    <w:rsid w:val="4A156626"/>
    <w:rsid w:val="4A180A05"/>
    <w:rsid w:val="4A8EB359"/>
    <w:rsid w:val="4AA189C4"/>
    <w:rsid w:val="4AAD062D"/>
    <w:rsid w:val="4ACCFF53"/>
    <w:rsid w:val="4AD6E0E9"/>
    <w:rsid w:val="4B20BCFD"/>
    <w:rsid w:val="4B37DB51"/>
    <w:rsid w:val="4B3BF526"/>
    <w:rsid w:val="4B590C31"/>
    <w:rsid w:val="4B5AFFC2"/>
    <w:rsid w:val="4BAEEDE0"/>
    <w:rsid w:val="4BC3E266"/>
    <w:rsid w:val="4C2B3C7A"/>
    <w:rsid w:val="4C3914DF"/>
    <w:rsid w:val="4C519E0B"/>
    <w:rsid w:val="4C6293A6"/>
    <w:rsid w:val="4C68959F"/>
    <w:rsid w:val="4C800D87"/>
    <w:rsid w:val="4CDEC3CB"/>
    <w:rsid w:val="4CE2694E"/>
    <w:rsid w:val="4CE42BF0"/>
    <w:rsid w:val="4CF17EE1"/>
    <w:rsid w:val="4D062F5F"/>
    <w:rsid w:val="4D51E904"/>
    <w:rsid w:val="4D76D938"/>
    <w:rsid w:val="4D788413"/>
    <w:rsid w:val="4D87EE87"/>
    <w:rsid w:val="4DC25F6A"/>
    <w:rsid w:val="4DE3F94C"/>
    <w:rsid w:val="4E321EBA"/>
    <w:rsid w:val="4E63E410"/>
    <w:rsid w:val="4E6759A9"/>
    <w:rsid w:val="4E99BE52"/>
    <w:rsid w:val="4E9B94C1"/>
    <w:rsid w:val="4ECE2864"/>
    <w:rsid w:val="4F0D9C21"/>
    <w:rsid w:val="4F134757"/>
    <w:rsid w:val="4F1AE181"/>
    <w:rsid w:val="4F211C5A"/>
    <w:rsid w:val="4F961DE7"/>
    <w:rsid w:val="4FB22771"/>
    <w:rsid w:val="4FC431D8"/>
    <w:rsid w:val="4FEA924C"/>
    <w:rsid w:val="4FED2CBD"/>
    <w:rsid w:val="5097E568"/>
    <w:rsid w:val="50BCD0DA"/>
    <w:rsid w:val="50D5DF7F"/>
    <w:rsid w:val="50EBA3FF"/>
    <w:rsid w:val="50F01F4B"/>
    <w:rsid w:val="510E52FB"/>
    <w:rsid w:val="511163AF"/>
    <w:rsid w:val="51258639"/>
    <w:rsid w:val="5153173E"/>
    <w:rsid w:val="5180BE43"/>
    <w:rsid w:val="51951C03"/>
    <w:rsid w:val="51B9AF3A"/>
    <w:rsid w:val="51D7BD07"/>
    <w:rsid w:val="51F8A23B"/>
    <w:rsid w:val="5233E429"/>
    <w:rsid w:val="524825C7"/>
    <w:rsid w:val="52520090"/>
    <w:rsid w:val="5263A53E"/>
    <w:rsid w:val="527C1142"/>
    <w:rsid w:val="52DEEFC8"/>
    <w:rsid w:val="536F3656"/>
    <w:rsid w:val="537163C4"/>
    <w:rsid w:val="537AF7F6"/>
    <w:rsid w:val="5391A3CB"/>
    <w:rsid w:val="53D3F060"/>
    <w:rsid w:val="53EA2036"/>
    <w:rsid w:val="540A44C4"/>
    <w:rsid w:val="5434A267"/>
    <w:rsid w:val="544FA577"/>
    <w:rsid w:val="54622D3F"/>
    <w:rsid w:val="54842F12"/>
    <w:rsid w:val="54845524"/>
    <w:rsid w:val="54918405"/>
    <w:rsid w:val="549B4961"/>
    <w:rsid w:val="54A79267"/>
    <w:rsid w:val="54FD46AD"/>
    <w:rsid w:val="555740F2"/>
    <w:rsid w:val="556AAB0A"/>
    <w:rsid w:val="55985A2A"/>
    <w:rsid w:val="55A60EDF"/>
    <w:rsid w:val="55C72B7F"/>
    <w:rsid w:val="55D6107C"/>
    <w:rsid w:val="55E6D917"/>
    <w:rsid w:val="5604EBB1"/>
    <w:rsid w:val="561BEBE3"/>
    <w:rsid w:val="561C8A00"/>
    <w:rsid w:val="5681247C"/>
    <w:rsid w:val="5696DB55"/>
    <w:rsid w:val="56A76AB8"/>
    <w:rsid w:val="56ABDF49"/>
    <w:rsid w:val="56EC4DCB"/>
    <w:rsid w:val="570D5F29"/>
    <w:rsid w:val="57986BEC"/>
    <w:rsid w:val="57BB3A15"/>
    <w:rsid w:val="57E01434"/>
    <w:rsid w:val="58083A4D"/>
    <w:rsid w:val="584312BC"/>
    <w:rsid w:val="585B6552"/>
    <w:rsid w:val="590AF7A2"/>
    <w:rsid w:val="59175BAB"/>
    <w:rsid w:val="592BBD7D"/>
    <w:rsid w:val="594E50BD"/>
    <w:rsid w:val="595A1169"/>
    <w:rsid w:val="596651F7"/>
    <w:rsid w:val="597263EA"/>
    <w:rsid w:val="597B0840"/>
    <w:rsid w:val="597F3221"/>
    <w:rsid w:val="59917B35"/>
    <w:rsid w:val="59A21E17"/>
    <w:rsid w:val="5A70193B"/>
    <w:rsid w:val="5A879806"/>
    <w:rsid w:val="5A8E4123"/>
    <w:rsid w:val="5A90014E"/>
    <w:rsid w:val="5AA6A243"/>
    <w:rsid w:val="5AB5945B"/>
    <w:rsid w:val="5AC302E0"/>
    <w:rsid w:val="5AC49BBF"/>
    <w:rsid w:val="5B171775"/>
    <w:rsid w:val="5B20A78A"/>
    <w:rsid w:val="5B417630"/>
    <w:rsid w:val="5B42F05B"/>
    <w:rsid w:val="5B63418D"/>
    <w:rsid w:val="5B8BE182"/>
    <w:rsid w:val="5BA12722"/>
    <w:rsid w:val="5BA18BC9"/>
    <w:rsid w:val="5BB45546"/>
    <w:rsid w:val="5BC3492C"/>
    <w:rsid w:val="5BC5F013"/>
    <w:rsid w:val="5C1235F6"/>
    <w:rsid w:val="5C40E3B5"/>
    <w:rsid w:val="5C4D80B1"/>
    <w:rsid w:val="5C512D05"/>
    <w:rsid w:val="5C577873"/>
    <w:rsid w:val="5C8CEF99"/>
    <w:rsid w:val="5CAA9DCF"/>
    <w:rsid w:val="5CCB2F06"/>
    <w:rsid w:val="5CE3CA0F"/>
    <w:rsid w:val="5CF50379"/>
    <w:rsid w:val="5D05A0DC"/>
    <w:rsid w:val="5D180AA3"/>
    <w:rsid w:val="5D2A772A"/>
    <w:rsid w:val="5D363057"/>
    <w:rsid w:val="5D5C8789"/>
    <w:rsid w:val="5D604364"/>
    <w:rsid w:val="5D8E5E78"/>
    <w:rsid w:val="5DA022C0"/>
    <w:rsid w:val="5DAC3D6D"/>
    <w:rsid w:val="5DF3A872"/>
    <w:rsid w:val="5EF4EDB1"/>
    <w:rsid w:val="5F689D67"/>
    <w:rsid w:val="5F6B6037"/>
    <w:rsid w:val="5F8FE077"/>
    <w:rsid w:val="5F94AE02"/>
    <w:rsid w:val="5FE094CF"/>
    <w:rsid w:val="60095069"/>
    <w:rsid w:val="603871EC"/>
    <w:rsid w:val="60C14355"/>
    <w:rsid w:val="610A2E55"/>
    <w:rsid w:val="6133825F"/>
    <w:rsid w:val="6143E367"/>
    <w:rsid w:val="616238D8"/>
    <w:rsid w:val="61642931"/>
    <w:rsid w:val="61677BC0"/>
    <w:rsid w:val="61877A58"/>
    <w:rsid w:val="61A11085"/>
    <w:rsid w:val="61C7FF39"/>
    <w:rsid w:val="61C986E5"/>
    <w:rsid w:val="620476AA"/>
    <w:rsid w:val="6236D43F"/>
    <w:rsid w:val="6237E335"/>
    <w:rsid w:val="6265A7CB"/>
    <w:rsid w:val="6283047B"/>
    <w:rsid w:val="63434ADC"/>
    <w:rsid w:val="634D6796"/>
    <w:rsid w:val="636FF14C"/>
    <w:rsid w:val="637877C6"/>
    <w:rsid w:val="63E94CDE"/>
    <w:rsid w:val="6468D80F"/>
    <w:rsid w:val="647B77DE"/>
    <w:rsid w:val="64813CB3"/>
    <w:rsid w:val="64993D93"/>
    <w:rsid w:val="649C4F5D"/>
    <w:rsid w:val="64B93FA6"/>
    <w:rsid w:val="64BC2240"/>
    <w:rsid w:val="65037685"/>
    <w:rsid w:val="653A7CC0"/>
    <w:rsid w:val="654AEAEE"/>
    <w:rsid w:val="6553487C"/>
    <w:rsid w:val="657C63EE"/>
    <w:rsid w:val="65B62A44"/>
    <w:rsid w:val="65B86087"/>
    <w:rsid w:val="65D88EF5"/>
    <w:rsid w:val="65E205DC"/>
    <w:rsid w:val="660BE0A2"/>
    <w:rsid w:val="66551FD9"/>
    <w:rsid w:val="66861B76"/>
    <w:rsid w:val="6686DDB0"/>
    <w:rsid w:val="66A2ECAC"/>
    <w:rsid w:val="66E6EAB0"/>
    <w:rsid w:val="672669B9"/>
    <w:rsid w:val="6793A3FC"/>
    <w:rsid w:val="67B1C272"/>
    <w:rsid w:val="67FDA4CE"/>
    <w:rsid w:val="6881DC7F"/>
    <w:rsid w:val="6884D404"/>
    <w:rsid w:val="68A86E70"/>
    <w:rsid w:val="68AC1186"/>
    <w:rsid w:val="68DAA867"/>
    <w:rsid w:val="692BF72F"/>
    <w:rsid w:val="6957F5C7"/>
    <w:rsid w:val="69882173"/>
    <w:rsid w:val="69A928DA"/>
    <w:rsid w:val="6A07BD37"/>
    <w:rsid w:val="6A285C36"/>
    <w:rsid w:val="6A2C18BE"/>
    <w:rsid w:val="6A793947"/>
    <w:rsid w:val="6AA28528"/>
    <w:rsid w:val="6AA6D498"/>
    <w:rsid w:val="6ACA10E0"/>
    <w:rsid w:val="6ACEA121"/>
    <w:rsid w:val="6B10B2AB"/>
    <w:rsid w:val="6B359E56"/>
    <w:rsid w:val="6B61A0CB"/>
    <w:rsid w:val="6BA28100"/>
    <w:rsid w:val="6C047064"/>
    <w:rsid w:val="6C402A65"/>
    <w:rsid w:val="6C774BA3"/>
    <w:rsid w:val="6D8CE9E5"/>
    <w:rsid w:val="6DAF5ED8"/>
    <w:rsid w:val="6DED99FA"/>
    <w:rsid w:val="6E1C1041"/>
    <w:rsid w:val="6E410A83"/>
    <w:rsid w:val="6E539BCC"/>
    <w:rsid w:val="6E65DE9B"/>
    <w:rsid w:val="6E8840BF"/>
    <w:rsid w:val="6EA9BCFF"/>
    <w:rsid w:val="6EB80A1E"/>
    <w:rsid w:val="6EF444C3"/>
    <w:rsid w:val="6F0818EA"/>
    <w:rsid w:val="6F15E629"/>
    <w:rsid w:val="6F497336"/>
    <w:rsid w:val="6F6779D0"/>
    <w:rsid w:val="6F67DF40"/>
    <w:rsid w:val="6F817411"/>
    <w:rsid w:val="6F8488C1"/>
    <w:rsid w:val="6F9D3523"/>
    <w:rsid w:val="6FA50987"/>
    <w:rsid w:val="6FB4AB5F"/>
    <w:rsid w:val="6FBE8004"/>
    <w:rsid w:val="6FCCE55A"/>
    <w:rsid w:val="6FF6AB31"/>
    <w:rsid w:val="70078336"/>
    <w:rsid w:val="700BD229"/>
    <w:rsid w:val="7019CD62"/>
    <w:rsid w:val="701C1AB1"/>
    <w:rsid w:val="702E64A6"/>
    <w:rsid w:val="7048DB55"/>
    <w:rsid w:val="70612E76"/>
    <w:rsid w:val="7091267A"/>
    <w:rsid w:val="709329F9"/>
    <w:rsid w:val="70A2FACB"/>
    <w:rsid w:val="70B189CC"/>
    <w:rsid w:val="70C541A9"/>
    <w:rsid w:val="70EDB73A"/>
    <w:rsid w:val="712961DF"/>
    <w:rsid w:val="7150E20D"/>
    <w:rsid w:val="71607162"/>
    <w:rsid w:val="7198AE6D"/>
    <w:rsid w:val="71C7248B"/>
    <w:rsid w:val="71FEAC3F"/>
    <w:rsid w:val="7206F848"/>
    <w:rsid w:val="726F8E87"/>
    <w:rsid w:val="72E788D1"/>
    <w:rsid w:val="730B284B"/>
    <w:rsid w:val="7320E301"/>
    <w:rsid w:val="7327686E"/>
    <w:rsid w:val="7339AC01"/>
    <w:rsid w:val="73627D84"/>
    <w:rsid w:val="73975965"/>
    <w:rsid w:val="739EE590"/>
    <w:rsid w:val="73D24597"/>
    <w:rsid w:val="73DB4CAA"/>
    <w:rsid w:val="73F10BDF"/>
    <w:rsid w:val="741F7BDC"/>
    <w:rsid w:val="742C6A2E"/>
    <w:rsid w:val="742C9659"/>
    <w:rsid w:val="74E4F610"/>
    <w:rsid w:val="754B09CE"/>
    <w:rsid w:val="755D4292"/>
    <w:rsid w:val="75A48044"/>
    <w:rsid w:val="75A5E31F"/>
    <w:rsid w:val="75BC1319"/>
    <w:rsid w:val="75D0551E"/>
    <w:rsid w:val="75D6D436"/>
    <w:rsid w:val="75DAA196"/>
    <w:rsid w:val="76025968"/>
    <w:rsid w:val="76187933"/>
    <w:rsid w:val="763F22AD"/>
    <w:rsid w:val="764BBD6C"/>
    <w:rsid w:val="764F8CC0"/>
    <w:rsid w:val="7682D1DB"/>
    <w:rsid w:val="76884937"/>
    <w:rsid w:val="76A098E2"/>
    <w:rsid w:val="76A0C23B"/>
    <w:rsid w:val="76B4D3A9"/>
    <w:rsid w:val="76E85D03"/>
    <w:rsid w:val="7711FB42"/>
    <w:rsid w:val="773E9967"/>
    <w:rsid w:val="77722399"/>
    <w:rsid w:val="777D4CD5"/>
    <w:rsid w:val="7784ADD4"/>
    <w:rsid w:val="77AAEC20"/>
    <w:rsid w:val="77CDAB6C"/>
    <w:rsid w:val="78182EA9"/>
    <w:rsid w:val="781A8D19"/>
    <w:rsid w:val="7823D946"/>
    <w:rsid w:val="78398423"/>
    <w:rsid w:val="7842B385"/>
    <w:rsid w:val="78620C25"/>
    <w:rsid w:val="78849C24"/>
    <w:rsid w:val="78B315D5"/>
    <w:rsid w:val="78E25963"/>
    <w:rsid w:val="790474C8"/>
    <w:rsid w:val="79066703"/>
    <w:rsid w:val="7938CFBE"/>
    <w:rsid w:val="794621FD"/>
    <w:rsid w:val="7981D30B"/>
    <w:rsid w:val="79BE7E45"/>
    <w:rsid w:val="79CE18DA"/>
    <w:rsid w:val="79EF2AC4"/>
    <w:rsid w:val="7A21597C"/>
    <w:rsid w:val="7A259792"/>
    <w:rsid w:val="7A289253"/>
    <w:rsid w:val="7A388E5B"/>
    <w:rsid w:val="7A53BE26"/>
    <w:rsid w:val="7A92A38A"/>
    <w:rsid w:val="7AA038C7"/>
    <w:rsid w:val="7AA07EAD"/>
    <w:rsid w:val="7AB27E8F"/>
    <w:rsid w:val="7AB93FEC"/>
    <w:rsid w:val="7AC02924"/>
    <w:rsid w:val="7AC6D198"/>
    <w:rsid w:val="7AF663F9"/>
    <w:rsid w:val="7B29B051"/>
    <w:rsid w:val="7B92B675"/>
    <w:rsid w:val="7BD80218"/>
    <w:rsid w:val="7BFCB24D"/>
    <w:rsid w:val="7C0A473F"/>
    <w:rsid w:val="7C320D0F"/>
    <w:rsid w:val="7C482E1F"/>
    <w:rsid w:val="7C668367"/>
    <w:rsid w:val="7C69B9BC"/>
    <w:rsid w:val="7C7D751D"/>
    <w:rsid w:val="7C86F249"/>
    <w:rsid w:val="7CAB23EF"/>
    <w:rsid w:val="7CBF7176"/>
    <w:rsid w:val="7CE78557"/>
    <w:rsid w:val="7CED5E4E"/>
    <w:rsid w:val="7CEEB486"/>
    <w:rsid w:val="7DB11CA4"/>
    <w:rsid w:val="7DDA73AD"/>
    <w:rsid w:val="7E487881"/>
    <w:rsid w:val="7EFE8BAE"/>
    <w:rsid w:val="7F47B2F5"/>
    <w:rsid w:val="7F51456B"/>
    <w:rsid w:val="7F70D7A2"/>
    <w:rsid w:val="7F7760F0"/>
    <w:rsid w:val="7FB26069"/>
    <w:rsid w:val="7FBAA5A0"/>
    <w:rsid w:val="7FE1F732"/>
    <w:rsid w:val="7FEBFB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3C6A0"/>
  <w15:chartTrackingRefBased/>
  <w15:docId w15:val="{F7AEAB0F-F72B-CD4B-B703-DD0848C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8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dyn/natlex/docs/ELECTRONIC/97659/134630/F-1373419708/LBY97659%20Eng.pdf." TargetMode="External"/><Relationship Id="rId13" Type="http://schemas.openxmlformats.org/officeDocument/2006/relationships/hyperlink" Target="https://www.amnesty.org/en/countries/middle-east-and-north-africa/libya/report-libya/" TargetMode="External"/><Relationship Id="rId18" Type="http://schemas.openxmlformats.org/officeDocument/2006/relationships/hyperlink" Target="https://www.state.gov/reports/2019-country-reports-on-human-rights-practices/libya/" TargetMode="External"/><Relationship Id="rId3" Type="http://schemas.openxmlformats.org/officeDocument/2006/relationships/hyperlink" Target="https://undocs.org/A/HRC/WG.6/36/LBY/3" TargetMode="External"/><Relationship Id="rId7" Type="http://schemas.openxmlformats.org/officeDocument/2006/relationships/hyperlink" Target="https://www.ilo.org/dyn/natlex/docs/ELECTRONIC/97659/134630/F-1373419708/LBY97659%20Eng.pdf" TargetMode="External"/><Relationship Id="rId12" Type="http://schemas.openxmlformats.org/officeDocument/2006/relationships/hyperlink" Target="https://www.ohchr.org/EN/Issues/Detention/Pages/Visits.aspx" TargetMode="External"/><Relationship Id="rId17" Type="http://schemas.openxmlformats.org/officeDocument/2006/relationships/hyperlink" Target="https://www.state.gov/reports/2019-country-reports-on-human-rights-practices/libya/" TargetMode="External"/><Relationship Id="rId2" Type="http://schemas.openxmlformats.org/officeDocument/2006/relationships/hyperlink" Target="https://www.hrw.org/news/2018/08/22/libya-45-sentenced-death-2011-killings" TargetMode="External"/><Relationship Id="rId16" Type="http://schemas.openxmlformats.org/officeDocument/2006/relationships/hyperlink" Target="https://www.state.gov/reports/2019-country-reports-on-human-rights-practices/libya/" TargetMode="External"/><Relationship Id="rId1" Type="http://schemas.openxmlformats.org/officeDocument/2006/relationships/hyperlink" Target="https://www.hrw.org/world-report/2020/country-chapters/libya" TargetMode="External"/><Relationship Id="rId6" Type="http://schemas.openxmlformats.org/officeDocument/2006/relationships/hyperlink" Target="https://www.ohchr.org/en/professionalinterest/pages/ccpr.aspx" TargetMode="External"/><Relationship Id="rId11" Type="http://schemas.openxmlformats.org/officeDocument/2006/relationships/hyperlink" Target="https://www.amnesty.org/download/Documents/ACT5018472020ENGLISH.PDF" TargetMode="External"/><Relationship Id="rId5" Type="http://schemas.openxmlformats.org/officeDocument/2006/relationships/hyperlink" Target="https://www.ilo.org/dyn/natlex/docs/ELECTRONIC/97659/134630/F-1373419708/LBY97659%20Eng.pdf" TargetMode="External"/><Relationship Id="rId15" Type="http://schemas.openxmlformats.org/officeDocument/2006/relationships/hyperlink" Target="https://security-legislation.ly/sites/default/files/lois/292-Criminal%20Procedure%20Code_EN.pdf" TargetMode="External"/><Relationship Id="rId10" Type="http://schemas.openxmlformats.org/officeDocument/2006/relationships/hyperlink" Target="https://undocs.org/A/HRC/WG.6/36/LBY/3" TargetMode="External"/><Relationship Id="rId19" Type="http://schemas.openxmlformats.org/officeDocument/2006/relationships/hyperlink" Target="https://www.hrw.org/world-report/2020/country-chapters/libya" TargetMode="External"/><Relationship Id="rId4" Type="http://schemas.openxmlformats.org/officeDocument/2006/relationships/hyperlink" Target="https://undocs.org/A/HRC/WG.6/36/LBY/3" TargetMode="External"/><Relationship Id="rId9" Type="http://schemas.openxmlformats.org/officeDocument/2006/relationships/hyperlink" Target="https://security-legislation.ly/sites/default/files/lois/292-Criminal%20Procedure%20Code_EN.pdf" TargetMode="External"/><Relationship Id="rId14" Type="http://schemas.openxmlformats.org/officeDocument/2006/relationships/hyperlink" Target="https://documents-dds-ny.un.org/doc/UNDOC/GEN/G20/065/95/PDF/G2006595.pdf?OpenEleme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9D374E-45A3-4B7B-9A51-4AC250804332}">
  <ds:schemaRefs>
    <ds:schemaRef ds:uri="http://schemas.microsoft.com/office/2006/metadata/properties"/>
    <ds:schemaRef ds:uri="http://schemas.microsoft.com/office/infopath/2007/PartnerControls"/>
    <ds:schemaRef ds:uri="e968d4b9-9f0d-4b6f-81c6-222446f6098e"/>
  </ds:schemaRefs>
</ds:datastoreItem>
</file>

<file path=customXml/itemProps2.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3.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4.xml><?xml version="1.0" encoding="utf-8"?>
<ds:datastoreItem xmlns:ds="http://schemas.openxmlformats.org/officeDocument/2006/customXml" ds:itemID="{60742A02-C2B4-473F-92E7-9C5973F4EAC1}"/>
</file>

<file path=customXml/itemProps5.xml><?xml version="1.0" encoding="utf-8"?>
<ds:datastoreItem xmlns:ds="http://schemas.openxmlformats.org/officeDocument/2006/customXml" ds:itemID="{F008FE1F-3AA1-4336-BAA7-BD39AE85E6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2046</Words>
  <Characters>11665</Characters>
  <Application>Microsoft Office Word</Application>
  <DocSecurity>0</DocSecurity>
  <Lines>97</Lines>
  <Paragraphs>27</Paragraphs>
  <ScaleCrop>false</ScaleCrop>
  <Company>Minnesota Advocates for Human Rights</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39</cp:revision>
  <cp:lastPrinted>2020-08-17T20:51:00Z</cp:lastPrinted>
  <dcterms:created xsi:type="dcterms:W3CDTF">2020-08-03T12:47:00Z</dcterms:created>
  <dcterms:modified xsi:type="dcterms:W3CDTF">2020-08-17T20:53:00Z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189600</vt:r8>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0x010100D94DC6E63E0E4C40BB58A92BBDBC479C</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