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33D00" w14:textId="3C925509" w:rsidR="00151F56" w:rsidRPr="001C4C6B" w:rsidRDefault="00151F56">
      <w:pPr>
        <w:rPr>
          <w:rFonts w:ascii="Cambria" w:hAnsi="Cambria"/>
          <w:noProof/>
        </w:rPr>
      </w:pPr>
      <w:r w:rsidRPr="001C4C6B">
        <w:rPr>
          <w:rFonts w:ascii="Cambria" w:hAnsi="Cambria"/>
          <w:noProof/>
        </w:rPr>
        <w:drawing>
          <wp:anchor distT="0" distB="0" distL="114300" distR="114300" simplePos="0" relativeHeight="251658240" behindDoc="1" locked="0" layoutInCell="1" allowOverlap="1" wp14:anchorId="7EB2A70F" wp14:editId="2C8DBAAD">
            <wp:simplePos x="0" y="0"/>
            <wp:positionH relativeFrom="page">
              <wp:align>left</wp:align>
            </wp:positionH>
            <wp:positionV relativeFrom="paragraph">
              <wp:posOffset>-874395</wp:posOffset>
            </wp:positionV>
            <wp:extent cx="7515225" cy="106299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15225" cy="10629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6F3085" w14:textId="77777777" w:rsidR="00151F56" w:rsidRPr="001C4C6B" w:rsidRDefault="00151F56">
      <w:pPr>
        <w:rPr>
          <w:rFonts w:ascii="Cambria" w:hAnsi="Cambria"/>
          <w:noProof/>
        </w:rPr>
      </w:pPr>
    </w:p>
    <w:p w14:paraId="510DDBB7" w14:textId="77777777" w:rsidR="00151F56" w:rsidRPr="001C4C6B" w:rsidRDefault="00151F56">
      <w:pPr>
        <w:rPr>
          <w:rFonts w:ascii="Cambria" w:hAnsi="Cambria"/>
          <w:noProof/>
        </w:rPr>
      </w:pPr>
    </w:p>
    <w:p w14:paraId="0E69A534" w14:textId="77777777" w:rsidR="00151F56" w:rsidRPr="001C4C6B" w:rsidRDefault="00151F56" w:rsidP="00151F56">
      <w:pPr>
        <w:spacing w:line="276" w:lineRule="auto"/>
        <w:jc w:val="center"/>
        <w:rPr>
          <w:rFonts w:ascii="Cambria" w:hAnsi="Cambria"/>
          <w:b/>
        </w:rPr>
      </w:pPr>
    </w:p>
    <w:p w14:paraId="7B3F6B48" w14:textId="1DF65C20" w:rsidR="00151F56" w:rsidRPr="001C4C6B" w:rsidRDefault="00151F56" w:rsidP="00E44CBD">
      <w:pPr>
        <w:spacing w:line="276" w:lineRule="auto"/>
        <w:jc w:val="center"/>
        <w:rPr>
          <w:rFonts w:ascii="Cambria" w:hAnsi="Cambria"/>
          <w:b/>
          <w:sz w:val="22"/>
          <w:szCs w:val="22"/>
          <w:lang w:val="en-GB"/>
        </w:rPr>
      </w:pPr>
      <w:r w:rsidRPr="001C4C6B">
        <w:rPr>
          <w:rFonts w:ascii="Cambria" w:hAnsi="Cambria"/>
          <w:b/>
        </w:rPr>
        <w:t xml:space="preserve">Submission to the 128th session of the Human Rights Committee in relation to the fifth Periodic Report of </w:t>
      </w:r>
    </w:p>
    <w:p w14:paraId="4B03B127" w14:textId="77777777" w:rsidR="00151F56" w:rsidRPr="001C4C6B" w:rsidRDefault="00151F56" w:rsidP="00E44CBD">
      <w:pPr>
        <w:spacing w:line="276" w:lineRule="auto"/>
        <w:rPr>
          <w:rFonts w:ascii="Cambria" w:hAnsi="Cambria"/>
          <w:b/>
        </w:rPr>
      </w:pPr>
    </w:p>
    <w:p w14:paraId="67AFF2B7" w14:textId="2FC43EDE" w:rsidR="00151F56" w:rsidRPr="001C4C6B" w:rsidRDefault="00151F56" w:rsidP="00E44CBD">
      <w:pPr>
        <w:spacing w:line="276" w:lineRule="auto"/>
        <w:jc w:val="center"/>
        <w:rPr>
          <w:rFonts w:ascii="Cambria" w:hAnsi="Cambria"/>
          <w:b/>
          <w:u w:val="single"/>
        </w:rPr>
      </w:pPr>
      <w:r w:rsidRPr="001C4C6B">
        <w:rPr>
          <w:rFonts w:ascii="Cambria" w:hAnsi="Cambria"/>
          <w:b/>
          <w:u w:val="single"/>
        </w:rPr>
        <w:t>The Philippines</w:t>
      </w:r>
    </w:p>
    <w:p w14:paraId="63FF569B" w14:textId="67080FA0" w:rsidR="00151F56" w:rsidRPr="001C4C6B" w:rsidRDefault="00151F56" w:rsidP="00E44CBD">
      <w:pPr>
        <w:spacing w:line="276" w:lineRule="auto"/>
        <w:jc w:val="right"/>
        <w:rPr>
          <w:rFonts w:ascii="Cambria" w:hAnsi="Cambria"/>
          <w:b/>
        </w:rPr>
      </w:pPr>
      <w:r w:rsidRPr="001C4C6B">
        <w:rPr>
          <w:rFonts w:ascii="Cambria" w:hAnsi="Cambria"/>
          <w:b/>
        </w:rPr>
        <w:t>January 2020</w:t>
      </w:r>
    </w:p>
    <w:p w14:paraId="10677FEA" w14:textId="77777777" w:rsidR="00151F56" w:rsidRPr="001C4C6B" w:rsidRDefault="00151F56" w:rsidP="00E44CBD">
      <w:pPr>
        <w:spacing w:line="276" w:lineRule="auto"/>
        <w:jc w:val="both"/>
        <w:rPr>
          <w:rFonts w:ascii="Cambria" w:hAnsi="Cambria"/>
        </w:rPr>
      </w:pPr>
    </w:p>
    <w:p w14:paraId="207A107C" w14:textId="77777777" w:rsidR="00151F56" w:rsidRPr="001C4C6B" w:rsidRDefault="00151F56" w:rsidP="00E44CBD">
      <w:pPr>
        <w:spacing w:line="276" w:lineRule="auto"/>
        <w:jc w:val="both"/>
        <w:rPr>
          <w:rFonts w:ascii="Cambria" w:hAnsi="Cambria"/>
        </w:rPr>
      </w:pPr>
    </w:p>
    <w:p w14:paraId="2AD33341" w14:textId="7E2A9FC3" w:rsidR="00151F56" w:rsidRPr="001C4C6B" w:rsidRDefault="00151F56" w:rsidP="00E44CBD">
      <w:pPr>
        <w:spacing w:line="276" w:lineRule="auto"/>
        <w:ind w:left="720" w:hanging="720"/>
        <w:jc w:val="both"/>
        <w:rPr>
          <w:rFonts w:ascii="Cambria" w:hAnsi="Cambria"/>
        </w:rPr>
      </w:pPr>
      <w:r w:rsidRPr="001C4C6B">
        <w:rPr>
          <w:rFonts w:ascii="Cambria" w:hAnsi="Cambria"/>
        </w:rPr>
        <w:t xml:space="preserve">1. </w:t>
      </w:r>
      <w:r w:rsidRPr="001C4C6B">
        <w:rPr>
          <w:rFonts w:ascii="Cambria" w:hAnsi="Cambria"/>
        </w:rPr>
        <w:tab/>
        <w:t>The Equal Rights Trust (the Trust) makes this submission to the 128th session of the Human Rights Committee (the Committee) in advance of its consideration of a list of issues to be raised with the Philippines.</w:t>
      </w:r>
    </w:p>
    <w:p w14:paraId="443FF4A0" w14:textId="64987078" w:rsidR="00151F56" w:rsidRPr="001C4C6B" w:rsidRDefault="00151F56" w:rsidP="00E44CBD">
      <w:pPr>
        <w:spacing w:line="276" w:lineRule="auto"/>
        <w:ind w:left="720" w:hanging="720"/>
        <w:jc w:val="both"/>
        <w:rPr>
          <w:rFonts w:ascii="Cambria" w:hAnsi="Cambria"/>
        </w:rPr>
      </w:pPr>
    </w:p>
    <w:p w14:paraId="471F9D56" w14:textId="5F34D451" w:rsidR="00151F56" w:rsidRPr="001C4C6B" w:rsidRDefault="00151F56" w:rsidP="00E44CBD">
      <w:pPr>
        <w:spacing w:line="276" w:lineRule="auto"/>
        <w:ind w:left="720" w:hanging="720"/>
        <w:jc w:val="both"/>
        <w:rPr>
          <w:rFonts w:ascii="Cambria" w:hAnsi="Cambria"/>
        </w:rPr>
      </w:pPr>
      <w:r w:rsidRPr="001C4C6B">
        <w:rPr>
          <w:rFonts w:ascii="Cambria" w:hAnsi="Cambria"/>
        </w:rPr>
        <w:t>2.</w:t>
      </w:r>
      <w:r w:rsidRPr="001C4C6B">
        <w:rPr>
          <w:rFonts w:ascii="Cambria" w:hAnsi="Cambria"/>
        </w:rPr>
        <w:tab/>
      </w:r>
      <w:r w:rsidR="00AF3241" w:rsidRPr="001C4C6B">
        <w:rPr>
          <w:rFonts w:ascii="Cambria" w:hAnsi="Cambria"/>
        </w:rPr>
        <w:t>The Equal Rights Trust (ERT) is an independent international organisation whose mission is to eliminate discrimination and ensure that everyone can participate in society on an equal basis. Over the course of the last decade, we have worked in partnership with civil society in more than 40 different countries, supporting efforts to secure the adoption and implementation of comprehensive equality laws.</w:t>
      </w:r>
      <w:r w:rsidR="001C4C6B">
        <w:rPr>
          <w:rFonts w:ascii="Cambria" w:hAnsi="Cambria"/>
        </w:rPr>
        <w:t xml:space="preserve"> In the Philippines, we are working in partnership with the Stop the Discrimination Coalition, an alliance of </w:t>
      </w:r>
      <w:r w:rsidR="00600FBA">
        <w:rPr>
          <w:rFonts w:ascii="Cambria" w:hAnsi="Cambria"/>
        </w:rPr>
        <w:t>civil society organisations which have come together to promote the adoption of comprehensive anti-discrimination law.</w:t>
      </w:r>
    </w:p>
    <w:p w14:paraId="4C90FDBA" w14:textId="3A5A25B4" w:rsidR="00AF3241" w:rsidRPr="001C4C6B" w:rsidRDefault="00E44CBD" w:rsidP="00E44CBD">
      <w:pPr>
        <w:tabs>
          <w:tab w:val="left" w:pos="5985"/>
        </w:tabs>
        <w:spacing w:line="276" w:lineRule="auto"/>
        <w:jc w:val="both"/>
        <w:rPr>
          <w:rFonts w:ascii="Cambria" w:hAnsi="Cambria"/>
        </w:rPr>
      </w:pPr>
      <w:r w:rsidRPr="001C4C6B">
        <w:rPr>
          <w:rFonts w:ascii="Cambria" w:hAnsi="Cambria"/>
        </w:rPr>
        <w:tab/>
      </w:r>
    </w:p>
    <w:p w14:paraId="383FFAF7" w14:textId="08C211FA" w:rsidR="00AF3241" w:rsidRPr="001C4C6B" w:rsidRDefault="00AF3241" w:rsidP="00E44CBD">
      <w:pPr>
        <w:spacing w:line="276" w:lineRule="auto"/>
        <w:ind w:left="720" w:hanging="720"/>
        <w:jc w:val="both"/>
        <w:rPr>
          <w:rFonts w:ascii="Cambria" w:hAnsi="Cambria"/>
        </w:rPr>
      </w:pPr>
      <w:r w:rsidRPr="001C4C6B">
        <w:rPr>
          <w:rFonts w:ascii="Cambria" w:hAnsi="Cambria"/>
        </w:rPr>
        <w:t>3.</w:t>
      </w:r>
      <w:r w:rsidRPr="001C4C6B">
        <w:rPr>
          <w:rFonts w:ascii="Cambria" w:hAnsi="Cambria"/>
        </w:rPr>
        <w:tab/>
        <w:t xml:space="preserve">This submission focuses on the enjoyment of the rights to equality and non-discrimination in the Philippines, as protected under Articles 2(1) and 26 of the International Covenant on Civil and Political Rights (the </w:t>
      </w:r>
      <w:r w:rsidR="00600FBA">
        <w:rPr>
          <w:rFonts w:ascii="Cambria" w:hAnsi="Cambria"/>
        </w:rPr>
        <w:t>Covenant</w:t>
      </w:r>
      <w:r w:rsidRPr="001C4C6B">
        <w:rPr>
          <w:rFonts w:ascii="Cambria" w:hAnsi="Cambria"/>
        </w:rPr>
        <w:t>).</w:t>
      </w:r>
      <w:r w:rsidR="00600FBA">
        <w:rPr>
          <w:rFonts w:ascii="Cambria" w:hAnsi="Cambria"/>
        </w:rPr>
        <w:t xml:space="preserve"> In particular, we focus on the state’s obligations, under these Articles, to enact specific, comprehensive anti-discrimination law, if it is to effectively guarantee non-discrimination, both in respect of the enjoyment of other rights protected by the Covenant and as a free-standing, fundamental right in itself.</w:t>
      </w:r>
    </w:p>
    <w:p w14:paraId="4E65BFD1" w14:textId="307C8CF8" w:rsidR="00AF3241" w:rsidRPr="001C4C6B" w:rsidRDefault="00AF3241" w:rsidP="00E44CBD">
      <w:pPr>
        <w:spacing w:line="276" w:lineRule="auto"/>
        <w:ind w:left="720" w:hanging="720"/>
        <w:jc w:val="both"/>
        <w:rPr>
          <w:rFonts w:ascii="Cambria" w:hAnsi="Cambria"/>
        </w:rPr>
      </w:pPr>
    </w:p>
    <w:p w14:paraId="3538C9FB" w14:textId="1838628A" w:rsidR="00AF3241" w:rsidRPr="001C4C6B" w:rsidRDefault="00AF3241" w:rsidP="00E44CBD">
      <w:pPr>
        <w:spacing w:line="276" w:lineRule="auto"/>
        <w:ind w:left="720" w:hanging="720"/>
        <w:jc w:val="both"/>
        <w:rPr>
          <w:rFonts w:ascii="Cambria" w:hAnsi="Cambria"/>
          <w:b/>
          <w:bCs/>
        </w:rPr>
      </w:pPr>
      <w:r w:rsidRPr="001C4C6B">
        <w:rPr>
          <w:rFonts w:ascii="Cambria" w:hAnsi="Cambria"/>
          <w:b/>
          <w:bCs/>
        </w:rPr>
        <w:t xml:space="preserve">Obligations under Articles 2(1) and 26 of the </w:t>
      </w:r>
      <w:r w:rsidR="00600FBA" w:rsidRPr="001C4C6B">
        <w:rPr>
          <w:rFonts w:ascii="Cambria" w:hAnsi="Cambria"/>
          <w:b/>
          <w:bCs/>
        </w:rPr>
        <w:t>C</w:t>
      </w:r>
      <w:r w:rsidR="00600FBA">
        <w:rPr>
          <w:rFonts w:ascii="Cambria" w:hAnsi="Cambria"/>
          <w:b/>
          <w:bCs/>
        </w:rPr>
        <w:t>ovenant</w:t>
      </w:r>
    </w:p>
    <w:p w14:paraId="3E96AF41" w14:textId="0B1DEEB5" w:rsidR="00AF3241" w:rsidRPr="001C4C6B" w:rsidRDefault="00AF3241" w:rsidP="00E44CBD">
      <w:pPr>
        <w:spacing w:line="276" w:lineRule="auto"/>
        <w:ind w:left="720" w:hanging="720"/>
        <w:jc w:val="both"/>
        <w:rPr>
          <w:rFonts w:ascii="Cambria" w:hAnsi="Cambria"/>
        </w:rPr>
      </w:pPr>
    </w:p>
    <w:p w14:paraId="165B52E6" w14:textId="06AF1D1C" w:rsidR="00AF3241" w:rsidRPr="001C4C6B" w:rsidRDefault="00405E68" w:rsidP="00E44CBD">
      <w:pPr>
        <w:spacing w:line="276" w:lineRule="auto"/>
        <w:ind w:left="720" w:hanging="720"/>
        <w:jc w:val="both"/>
        <w:rPr>
          <w:rFonts w:ascii="Cambria" w:hAnsi="Cambria"/>
        </w:rPr>
      </w:pPr>
      <w:r w:rsidRPr="001C4C6B">
        <w:rPr>
          <w:rFonts w:ascii="Cambria" w:hAnsi="Cambria"/>
        </w:rPr>
        <w:t>5.</w:t>
      </w:r>
      <w:r w:rsidRPr="001C4C6B">
        <w:rPr>
          <w:rFonts w:ascii="Cambria" w:hAnsi="Cambria"/>
        </w:rPr>
        <w:tab/>
        <w:t xml:space="preserve">Under Article 2(1) of the </w:t>
      </w:r>
      <w:r w:rsidR="00600FBA">
        <w:rPr>
          <w:rFonts w:ascii="Cambria" w:hAnsi="Cambria"/>
        </w:rPr>
        <w:t>Covenant,</w:t>
      </w:r>
      <w:r w:rsidR="00600FBA" w:rsidRPr="001C4C6B">
        <w:rPr>
          <w:rFonts w:ascii="Cambria" w:hAnsi="Cambria"/>
        </w:rPr>
        <w:t xml:space="preserve"> </w:t>
      </w:r>
      <w:r w:rsidRPr="001C4C6B">
        <w:rPr>
          <w:rFonts w:ascii="Cambria" w:hAnsi="Cambria"/>
        </w:rPr>
        <w:t xml:space="preserve">state parties are required to respect and ensure the enjoyment of </w:t>
      </w:r>
      <w:r w:rsidR="00600FBA">
        <w:rPr>
          <w:rFonts w:ascii="Cambria" w:hAnsi="Cambria"/>
        </w:rPr>
        <w:t>all</w:t>
      </w:r>
      <w:r w:rsidRPr="001C4C6B">
        <w:rPr>
          <w:rFonts w:ascii="Cambria" w:hAnsi="Cambria"/>
        </w:rPr>
        <w:t xml:space="preserve"> rights provided in the Covenant without distinction. This Article is </w:t>
      </w:r>
      <w:r w:rsidR="00600FBA">
        <w:rPr>
          <w:rFonts w:ascii="Cambria" w:hAnsi="Cambria"/>
        </w:rPr>
        <w:t>complement</w:t>
      </w:r>
      <w:r w:rsidR="00600FBA" w:rsidRPr="001C4C6B">
        <w:rPr>
          <w:rFonts w:ascii="Cambria" w:hAnsi="Cambria"/>
        </w:rPr>
        <w:t xml:space="preserve">ed </w:t>
      </w:r>
      <w:r w:rsidRPr="001C4C6B">
        <w:rPr>
          <w:rFonts w:ascii="Cambria" w:hAnsi="Cambria"/>
        </w:rPr>
        <w:t xml:space="preserve">by Article 26 ICCPR, which the Committee has </w:t>
      </w:r>
      <w:r w:rsidR="00600FBA">
        <w:rPr>
          <w:rFonts w:ascii="Cambria" w:hAnsi="Cambria"/>
        </w:rPr>
        <w:t>stated provides</w:t>
      </w:r>
      <w:r w:rsidRPr="001C4C6B">
        <w:rPr>
          <w:rFonts w:ascii="Cambria" w:hAnsi="Cambria"/>
        </w:rPr>
        <w:t xml:space="preserve"> an “autonomous right” to non-discrimination</w:t>
      </w:r>
      <w:r w:rsidR="00600FBA">
        <w:rPr>
          <w:rFonts w:ascii="Cambria" w:hAnsi="Cambria"/>
        </w:rPr>
        <w:t xml:space="preserve"> which “</w:t>
      </w:r>
      <w:r w:rsidR="00600FBA" w:rsidRPr="00600FBA">
        <w:rPr>
          <w:rFonts w:ascii="Cambria" w:hAnsi="Cambria"/>
        </w:rPr>
        <w:t>prohibits discrimination in law or in fact in any field regulated and protected by public authorities</w:t>
      </w:r>
      <w:r w:rsidR="00600FBA">
        <w:rPr>
          <w:rFonts w:ascii="Cambria" w:hAnsi="Cambria"/>
        </w:rPr>
        <w:t xml:space="preserve"> (…) [and] i</w:t>
      </w:r>
      <w:r w:rsidR="00600FBA" w:rsidRPr="00600FBA">
        <w:rPr>
          <w:rFonts w:ascii="Cambria" w:hAnsi="Cambria"/>
        </w:rPr>
        <w:t>s not limited to those rights which are provided for in the Covenant</w:t>
      </w:r>
      <w:r w:rsidR="00600FBA">
        <w:rPr>
          <w:rFonts w:ascii="Cambria" w:hAnsi="Cambria"/>
        </w:rPr>
        <w:t>”</w:t>
      </w:r>
      <w:r w:rsidR="00600FBA" w:rsidRPr="00600FBA">
        <w:rPr>
          <w:rFonts w:ascii="Cambria" w:hAnsi="Cambria"/>
        </w:rPr>
        <w:t>.</w:t>
      </w:r>
      <w:r w:rsidRPr="001C4C6B">
        <w:rPr>
          <w:rStyle w:val="FootnoteReference"/>
          <w:rFonts w:ascii="Cambria" w:hAnsi="Cambria"/>
        </w:rPr>
        <w:footnoteReference w:id="1"/>
      </w:r>
      <w:r w:rsidRPr="001C4C6B">
        <w:rPr>
          <w:rFonts w:ascii="Cambria" w:hAnsi="Cambria"/>
        </w:rPr>
        <w:t xml:space="preserve"> </w:t>
      </w:r>
    </w:p>
    <w:p w14:paraId="32310F24" w14:textId="71F729CF" w:rsidR="00DB6C26" w:rsidRDefault="00405E68" w:rsidP="00DB6C26">
      <w:pPr>
        <w:spacing w:line="276" w:lineRule="auto"/>
        <w:ind w:left="720" w:hanging="720"/>
        <w:jc w:val="both"/>
        <w:rPr>
          <w:rFonts w:ascii="Cambria" w:hAnsi="Cambria"/>
        </w:rPr>
      </w:pPr>
      <w:r w:rsidRPr="001C4C6B">
        <w:rPr>
          <w:rFonts w:ascii="Cambria" w:hAnsi="Cambria"/>
        </w:rPr>
        <w:lastRenderedPageBreak/>
        <w:t>6.</w:t>
      </w:r>
      <w:r w:rsidRPr="001C4C6B">
        <w:rPr>
          <w:rFonts w:ascii="Cambria" w:hAnsi="Cambria"/>
        </w:rPr>
        <w:tab/>
        <w:t xml:space="preserve">As </w:t>
      </w:r>
      <w:r w:rsidR="00D26497">
        <w:rPr>
          <w:rFonts w:ascii="Cambria" w:hAnsi="Cambria"/>
        </w:rPr>
        <w:t xml:space="preserve">Article 26 of the Covenant states, </w:t>
      </w:r>
      <w:r w:rsidR="00F576AA">
        <w:rPr>
          <w:rFonts w:ascii="Cambria" w:hAnsi="Cambria"/>
        </w:rPr>
        <w:t>protection of the right to non-discrimination necessitates the adoption of specific legislation: this is the only way in which states can meet their obligation to ensure that “</w:t>
      </w:r>
      <w:r w:rsidR="00F576AA" w:rsidRPr="00F576AA">
        <w:rPr>
          <w:rFonts w:ascii="Cambria" w:hAnsi="Cambria"/>
        </w:rPr>
        <w:t>the law shall prohibit any discrimination and guarantee to all persons equal and effective protection against discrimination on any groun</w:t>
      </w:r>
      <w:r w:rsidR="00F576AA">
        <w:rPr>
          <w:rFonts w:ascii="Cambria" w:hAnsi="Cambria"/>
        </w:rPr>
        <w:t>d”.</w:t>
      </w:r>
      <w:r w:rsidR="00F576AA">
        <w:rPr>
          <w:rStyle w:val="FootnoteReference"/>
          <w:rFonts w:ascii="Cambria" w:hAnsi="Cambria"/>
        </w:rPr>
        <w:footnoteReference w:id="2"/>
      </w:r>
      <w:r w:rsidR="00F576AA">
        <w:rPr>
          <w:rFonts w:ascii="Cambria" w:hAnsi="Cambria"/>
        </w:rPr>
        <w:t xml:space="preserve"> Moreover, as the </w:t>
      </w:r>
      <w:r w:rsidRPr="001C4C6B">
        <w:rPr>
          <w:rFonts w:ascii="Cambria" w:hAnsi="Cambria"/>
        </w:rPr>
        <w:t xml:space="preserve">Committee has noted in its recommendations to </w:t>
      </w:r>
      <w:r w:rsidR="00F576AA">
        <w:rPr>
          <w:rFonts w:ascii="Cambria" w:hAnsi="Cambria"/>
        </w:rPr>
        <w:t xml:space="preserve">various </w:t>
      </w:r>
      <w:r w:rsidRPr="001C4C6B">
        <w:rPr>
          <w:rFonts w:ascii="Cambria" w:hAnsi="Cambria"/>
        </w:rPr>
        <w:t>states, compliance with these obligations necessitates</w:t>
      </w:r>
      <w:r w:rsidR="00E44CBD" w:rsidRPr="001C4C6B">
        <w:rPr>
          <w:rFonts w:ascii="Cambria" w:hAnsi="Cambria"/>
        </w:rPr>
        <w:t>,</w:t>
      </w:r>
      <w:r w:rsidRPr="001C4C6B">
        <w:rPr>
          <w:rFonts w:ascii="Cambria" w:hAnsi="Cambria"/>
        </w:rPr>
        <w:t xml:space="preserve"> </w:t>
      </w:r>
      <w:r w:rsidRPr="001C4C6B">
        <w:rPr>
          <w:rFonts w:ascii="Cambria" w:hAnsi="Cambria"/>
          <w:i/>
          <w:iCs/>
        </w:rPr>
        <w:t>inter alia</w:t>
      </w:r>
      <w:r w:rsidR="00E44CBD" w:rsidRPr="001C4C6B">
        <w:rPr>
          <w:rFonts w:ascii="Cambria" w:hAnsi="Cambria"/>
          <w:i/>
          <w:iCs/>
        </w:rPr>
        <w:t>,</w:t>
      </w:r>
      <w:r w:rsidRPr="001C4C6B">
        <w:rPr>
          <w:rFonts w:ascii="Cambria" w:hAnsi="Cambria"/>
        </w:rPr>
        <w:t xml:space="preserve"> the adoption of specific, comprehensive anti-discrimination legislation.</w:t>
      </w:r>
      <w:r w:rsidRPr="001C4C6B">
        <w:rPr>
          <w:rStyle w:val="FootnoteReference"/>
          <w:rFonts w:ascii="Cambria" w:hAnsi="Cambria"/>
        </w:rPr>
        <w:footnoteReference w:id="3"/>
      </w:r>
      <w:r w:rsidRPr="001C4C6B">
        <w:rPr>
          <w:rFonts w:ascii="Cambria" w:hAnsi="Cambria"/>
        </w:rPr>
        <w:t xml:space="preserve"> </w:t>
      </w:r>
    </w:p>
    <w:p w14:paraId="76D31F18" w14:textId="77777777" w:rsidR="00DB6C26" w:rsidRDefault="00DB6C26" w:rsidP="00DB6C26">
      <w:pPr>
        <w:spacing w:line="276" w:lineRule="auto"/>
        <w:ind w:left="720" w:hanging="720"/>
        <w:jc w:val="both"/>
        <w:rPr>
          <w:rFonts w:ascii="Cambria" w:hAnsi="Cambria"/>
        </w:rPr>
      </w:pPr>
    </w:p>
    <w:p w14:paraId="42C9176F" w14:textId="542A15ED" w:rsidR="00405E68" w:rsidRPr="00581D05" w:rsidRDefault="00511D2D" w:rsidP="00DB6C26">
      <w:pPr>
        <w:spacing w:line="276" w:lineRule="auto"/>
        <w:ind w:left="720" w:hanging="720"/>
        <w:jc w:val="both"/>
        <w:rPr>
          <w:rFonts w:ascii="Cambria" w:hAnsi="Cambria"/>
        </w:rPr>
      </w:pPr>
      <w:r w:rsidRPr="00DB6C26">
        <w:rPr>
          <w:rFonts w:ascii="Cambria" w:hAnsi="Cambria"/>
        </w:rPr>
        <w:t xml:space="preserve"> </w:t>
      </w:r>
      <w:r w:rsidR="00DB6C26">
        <w:rPr>
          <w:rFonts w:ascii="Cambria" w:hAnsi="Cambria"/>
        </w:rPr>
        <w:t>7.</w:t>
      </w:r>
      <w:r w:rsidR="00DB6C26">
        <w:rPr>
          <w:rFonts w:ascii="Cambria" w:hAnsi="Cambria"/>
        </w:rPr>
        <w:tab/>
      </w:r>
      <w:r w:rsidR="00405E68" w:rsidRPr="00581D05">
        <w:rPr>
          <w:rFonts w:ascii="Cambria" w:hAnsi="Cambria"/>
        </w:rPr>
        <w:t xml:space="preserve">In order to be genuinely comprehensive, such legislation should </w:t>
      </w:r>
      <w:r w:rsidR="0008489D">
        <w:rPr>
          <w:rFonts w:ascii="Cambria" w:hAnsi="Cambria"/>
          <w:i/>
          <w:iCs/>
        </w:rPr>
        <w:t>inter alia</w:t>
      </w:r>
      <w:r w:rsidR="00D26497">
        <w:rPr>
          <w:rFonts w:ascii="Cambria" w:hAnsi="Cambria"/>
        </w:rPr>
        <w:t>:</w:t>
      </w:r>
      <w:r w:rsidR="0008489D">
        <w:rPr>
          <w:rFonts w:ascii="Cambria" w:hAnsi="Cambria"/>
          <w:i/>
          <w:iCs/>
        </w:rPr>
        <w:t xml:space="preserve"> </w:t>
      </w:r>
      <w:r w:rsidR="00405E68" w:rsidRPr="00581D05">
        <w:rPr>
          <w:rFonts w:ascii="Cambria" w:hAnsi="Cambria"/>
        </w:rPr>
        <w:t>define and prohibit direct and indirect discrimination, harassment and failure to make reasonable accommodation</w:t>
      </w:r>
      <w:r w:rsidR="00D26497">
        <w:rPr>
          <w:rFonts w:ascii="Cambria" w:hAnsi="Cambria"/>
        </w:rPr>
        <w:t>;</w:t>
      </w:r>
      <w:r w:rsidR="00D26497">
        <w:rPr>
          <w:rStyle w:val="FootnoteReference"/>
          <w:rFonts w:ascii="Cambria" w:hAnsi="Cambria"/>
        </w:rPr>
        <w:footnoteReference w:id="4"/>
      </w:r>
      <w:r w:rsidR="00405E68" w:rsidRPr="00581D05">
        <w:rPr>
          <w:rFonts w:ascii="Cambria" w:hAnsi="Cambria"/>
        </w:rPr>
        <w:t xml:space="preserve"> on </w:t>
      </w:r>
      <w:r w:rsidR="0008489D">
        <w:rPr>
          <w:rFonts w:ascii="Cambria" w:hAnsi="Cambria"/>
        </w:rPr>
        <w:t>a comprehensive</w:t>
      </w:r>
      <w:r w:rsidR="00405E68" w:rsidRPr="00581D05">
        <w:rPr>
          <w:rFonts w:ascii="Cambria" w:hAnsi="Cambria"/>
        </w:rPr>
        <w:t xml:space="preserve"> and open-ended list of characteristic</w:t>
      </w:r>
      <w:r w:rsidR="00F576AA">
        <w:rPr>
          <w:rFonts w:ascii="Cambria" w:hAnsi="Cambria"/>
        </w:rPr>
        <w:t>s;</w:t>
      </w:r>
      <w:r w:rsidR="00F576AA">
        <w:rPr>
          <w:rStyle w:val="FootnoteReference"/>
          <w:rFonts w:ascii="Cambria" w:hAnsi="Cambria"/>
        </w:rPr>
        <w:footnoteReference w:id="5"/>
      </w:r>
      <w:r w:rsidR="00F576AA">
        <w:rPr>
          <w:rFonts w:ascii="Cambria" w:hAnsi="Cambria"/>
        </w:rPr>
        <w:t xml:space="preserve"> </w:t>
      </w:r>
      <w:r w:rsidR="00405E68" w:rsidRPr="00581D05">
        <w:rPr>
          <w:rFonts w:ascii="Cambria" w:hAnsi="Cambria"/>
        </w:rPr>
        <w:t>in respect of all areas of life regulated by law;</w:t>
      </w:r>
      <w:r w:rsidR="00D26497">
        <w:rPr>
          <w:rStyle w:val="FootnoteReference"/>
          <w:rFonts w:ascii="Cambria" w:hAnsi="Cambria"/>
        </w:rPr>
        <w:footnoteReference w:id="6"/>
      </w:r>
      <w:r w:rsidR="00405E68" w:rsidRPr="00581D05">
        <w:rPr>
          <w:rFonts w:ascii="Cambria" w:hAnsi="Cambria"/>
        </w:rPr>
        <w:t xml:space="preserve"> establish the procedural safeguards necessary for the effective functioning of equality law</w:t>
      </w:r>
      <w:r w:rsidR="00F576AA">
        <w:rPr>
          <w:rFonts w:ascii="Cambria" w:hAnsi="Cambria"/>
        </w:rPr>
        <w:t>, including provision for the transfer of the burden of proof</w:t>
      </w:r>
      <w:r w:rsidR="00405E68" w:rsidRPr="00581D05">
        <w:rPr>
          <w:rFonts w:ascii="Cambria" w:hAnsi="Cambria"/>
        </w:rPr>
        <w:t>;</w:t>
      </w:r>
      <w:r w:rsidR="00F576AA">
        <w:rPr>
          <w:rStyle w:val="FootnoteReference"/>
          <w:rFonts w:ascii="Cambria" w:hAnsi="Cambria"/>
        </w:rPr>
        <w:footnoteReference w:id="7"/>
      </w:r>
      <w:r w:rsidR="00405E68" w:rsidRPr="00581D05">
        <w:rPr>
          <w:rFonts w:ascii="Cambria" w:hAnsi="Cambria"/>
        </w:rPr>
        <w:t xml:space="preserve"> and require that states take positive action measures to accelerate progress towards equality for particular groups.</w:t>
      </w:r>
      <w:r w:rsidR="00405E68" w:rsidRPr="00DB6C26">
        <w:rPr>
          <w:vertAlign w:val="superscript"/>
        </w:rPr>
        <w:footnoteReference w:id="8"/>
      </w:r>
      <w:r w:rsidR="0008489D">
        <w:rPr>
          <w:rFonts w:ascii="Cambria" w:hAnsi="Cambria"/>
        </w:rPr>
        <w:t xml:space="preserve"> The </w:t>
      </w:r>
      <w:r w:rsidR="0008489D" w:rsidRPr="00581D05">
        <w:rPr>
          <w:rFonts w:ascii="Cambria" w:hAnsi="Cambria"/>
          <w:i/>
          <w:iCs/>
        </w:rPr>
        <w:t>Declaration of Principles on Equality</w:t>
      </w:r>
      <w:r w:rsidR="0008489D">
        <w:rPr>
          <w:rFonts w:ascii="Cambria" w:hAnsi="Cambria"/>
        </w:rPr>
        <w:t>, developed in 2008 by 128 experts from more than 40 different states, with the assistance of the Equal Rights Trust, sets out the principles which states should follow when developing such legislation, in order to ensure compliance with their obligations under international law.</w:t>
      </w:r>
      <w:r w:rsidR="0008489D">
        <w:rPr>
          <w:rStyle w:val="FootnoteReference"/>
          <w:rFonts w:ascii="Cambria" w:hAnsi="Cambria"/>
        </w:rPr>
        <w:footnoteReference w:id="9"/>
      </w:r>
    </w:p>
    <w:p w14:paraId="2411F718" w14:textId="77777777" w:rsidR="00AF3241" w:rsidRPr="001C4C6B" w:rsidRDefault="00AF3241" w:rsidP="00E44CBD">
      <w:pPr>
        <w:spacing w:line="276" w:lineRule="auto"/>
        <w:jc w:val="both"/>
        <w:rPr>
          <w:rFonts w:ascii="Cambria" w:hAnsi="Cambria"/>
        </w:rPr>
      </w:pPr>
    </w:p>
    <w:p w14:paraId="410E9803" w14:textId="4424C985" w:rsidR="00AF3241" w:rsidRPr="001C4C6B" w:rsidRDefault="00DB6C26" w:rsidP="00E44CBD">
      <w:pPr>
        <w:spacing w:line="276" w:lineRule="auto"/>
        <w:ind w:left="720" w:hanging="720"/>
        <w:jc w:val="both"/>
        <w:rPr>
          <w:rFonts w:ascii="Cambria" w:hAnsi="Cambria"/>
          <w:b/>
          <w:bCs/>
        </w:rPr>
      </w:pPr>
      <w:r>
        <w:rPr>
          <w:rFonts w:ascii="Cambria" w:hAnsi="Cambria"/>
          <w:b/>
          <w:bCs/>
        </w:rPr>
        <w:t>Concerns</w:t>
      </w:r>
    </w:p>
    <w:p w14:paraId="2D3A7FA7" w14:textId="77777777" w:rsidR="00AF3241" w:rsidRPr="001C4C6B" w:rsidRDefault="00AF3241" w:rsidP="00E44CBD">
      <w:pPr>
        <w:spacing w:line="276" w:lineRule="auto"/>
        <w:ind w:left="720" w:hanging="720"/>
        <w:jc w:val="both"/>
        <w:rPr>
          <w:rFonts w:ascii="Cambria" w:hAnsi="Cambria"/>
        </w:rPr>
      </w:pPr>
    </w:p>
    <w:p w14:paraId="5FD856DC" w14:textId="6D9803CE" w:rsidR="00DB6C26" w:rsidRDefault="00DB6C26" w:rsidP="00E44CBD">
      <w:pPr>
        <w:spacing w:line="276" w:lineRule="auto"/>
        <w:ind w:left="720" w:hanging="720"/>
        <w:jc w:val="both"/>
        <w:rPr>
          <w:rFonts w:ascii="Cambria" w:hAnsi="Cambria"/>
        </w:rPr>
      </w:pPr>
      <w:r>
        <w:rPr>
          <w:rFonts w:ascii="Cambria" w:hAnsi="Cambria"/>
        </w:rPr>
        <w:t>8</w:t>
      </w:r>
      <w:r w:rsidR="002943D3" w:rsidRPr="001C4C6B">
        <w:rPr>
          <w:rFonts w:ascii="Cambria" w:hAnsi="Cambria"/>
        </w:rPr>
        <w:t>.</w:t>
      </w:r>
      <w:r w:rsidR="002943D3" w:rsidRPr="001C4C6B">
        <w:rPr>
          <w:rFonts w:ascii="Cambria" w:hAnsi="Cambria"/>
        </w:rPr>
        <w:tab/>
        <w:t xml:space="preserve">Contrary to its obligations under the </w:t>
      </w:r>
      <w:r>
        <w:rPr>
          <w:rFonts w:ascii="Cambria" w:hAnsi="Cambria"/>
        </w:rPr>
        <w:t>Covenant and other international human rights instruments to which it is party</w:t>
      </w:r>
      <w:r w:rsidR="002943D3" w:rsidRPr="001C4C6B">
        <w:rPr>
          <w:rFonts w:ascii="Cambria" w:hAnsi="Cambria"/>
        </w:rPr>
        <w:t xml:space="preserve">, the Philippines has not adopted comprehensive </w:t>
      </w:r>
      <w:r>
        <w:rPr>
          <w:rFonts w:ascii="Cambria" w:hAnsi="Cambria"/>
        </w:rPr>
        <w:t>anti-discrimination</w:t>
      </w:r>
      <w:r w:rsidR="002943D3" w:rsidRPr="001C4C6B">
        <w:rPr>
          <w:rFonts w:ascii="Cambria" w:hAnsi="Cambria"/>
        </w:rPr>
        <w:t xml:space="preserve"> legislation. </w:t>
      </w:r>
      <w:r>
        <w:rPr>
          <w:rFonts w:ascii="Cambria" w:hAnsi="Cambria"/>
        </w:rPr>
        <w:t xml:space="preserve">This is </w:t>
      </w:r>
      <w:proofErr w:type="gramStart"/>
      <w:r>
        <w:rPr>
          <w:rFonts w:ascii="Cambria" w:hAnsi="Cambria"/>
        </w:rPr>
        <w:t>despite the fact that</w:t>
      </w:r>
      <w:proofErr w:type="gramEnd"/>
      <w:r>
        <w:rPr>
          <w:rFonts w:ascii="Cambria" w:hAnsi="Cambria"/>
        </w:rPr>
        <w:t xml:space="preserve"> draft </w:t>
      </w:r>
      <w:r w:rsidR="0008489D">
        <w:rPr>
          <w:rFonts w:ascii="Cambria" w:hAnsi="Cambria"/>
        </w:rPr>
        <w:t xml:space="preserve">anti-discrimination </w:t>
      </w:r>
      <w:r>
        <w:rPr>
          <w:rFonts w:ascii="Cambria" w:hAnsi="Cambria"/>
        </w:rPr>
        <w:t xml:space="preserve">legislation has been under consideration since 2014, and </w:t>
      </w:r>
      <w:r>
        <w:rPr>
          <w:rFonts w:ascii="Cambria" w:hAnsi="Cambria"/>
        </w:rPr>
        <w:lastRenderedPageBreak/>
        <w:t>despite the recommendations made by the Committee’s sister bodies, such as the Committee on Economic, Social and Cultural Rights.</w:t>
      </w:r>
      <w:r>
        <w:rPr>
          <w:rStyle w:val="FootnoteReference"/>
          <w:rFonts w:ascii="Cambria" w:hAnsi="Cambria"/>
        </w:rPr>
        <w:footnoteReference w:id="10"/>
      </w:r>
    </w:p>
    <w:p w14:paraId="6BEEE956" w14:textId="77777777" w:rsidR="00DB6C26" w:rsidRDefault="00DB6C26" w:rsidP="00E44CBD">
      <w:pPr>
        <w:spacing w:line="276" w:lineRule="auto"/>
        <w:ind w:left="720" w:hanging="720"/>
        <w:jc w:val="both"/>
        <w:rPr>
          <w:rFonts w:ascii="Cambria" w:hAnsi="Cambria"/>
        </w:rPr>
      </w:pPr>
    </w:p>
    <w:p w14:paraId="4EB9DCC6" w14:textId="7BD6E673" w:rsidR="00DB6C26" w:rsidRDefault="000A09E5" w:rsidP="00DB6C26">
      <w:pPr>
        <w:spacing w:line="276" w:lineRule="auto"/>
        <w:ind w:left="720" w:hanging="720"/>
        <w:jc w:val="both"/>
        <w:rPr>
          <w:rFonts w:ascii="Cambria" w:hAnsi="Cambria"/>
        </w:rPr>
      </w:pPr>
      <w:r>
        <w:rPr>
          <w:rFonts w:ascii="Cambria" w:hAnsi="Cambria"/>
        </w:rPr>
        <w:t>9.</w:t>
      </w:r>
      <w:r>
        <w:rPr>
          <w:rFonts w:ascii="Cambria" w:hAnsi="Cambria"/>
        </w:rPr>
        <w:tab/>
      </w:r>
      <w:r w:rsidR="002943D3" w:rsidRPr="001C4C6B">
        <w:rPr>
          <w:rFonts w:ascii="Cambria" w:hAnsi="Cambria"/>
        </w:rPr>
        <w:t xml:space="preserve">In the absence of such legislation, </w:t>
      </w:r>
      <w:r>
        <w:rPr>
          <w:rFonts w:ascii="Cambria" w:hAnsi="Cambria"/>
        </w:rPr>
        <w:t xml:space="preserve">the state is in contravention of its specific obligation under Article 26 to ensure that “the law (…) prohibit[s] any discrimination”, and is also unable to meet its obligations, arising under both Article 26 and Article 2, to ensure enjoyment of the right to non-discrimination in practice. As a result of the gap in legislative protection, </w:t>
      </w:r>
      <w:r>
        <w:rPr>
          <w:rFonts w:ascii="Cambria" w:hAnsi="Cambria"/>
          <w:u w:val="single"/>
        </w:rPr>
        <w:t>c</w:t>
      </w:r>
      <w:r w:rsidR="002943D3" w:rsidRPr="001C4C6B">
        <w:rPr>
          <w:rFonts w:ascii="Cambria" w:hAnsi="Cambria"/>
          <w:u w:val="single"/>
        </w:rPr>
        <w:t>ertain groups – LGBTI persons for example – do not benefit from legislative protection from discrimination</w:t>
      </w:r>
      <w:r w:rsidR="002943D3" w:rsidRPr="001C4C6B">
        <w:rPr>
          <w:rFonts w:ascii="Cambria" w:hAnsi="Cambria"/>
        </w:rPr>
        <w:t>. Although some laws, such as the Magna Carta for Public Social Workers, ostensibly prohibit discrimination on the grounds of sexual orientation,</w:t>
      </w:r>
      <w:r w:rsidR="002943D3" w:rsidRPr="001C4C6B">
        <w:rPr>
          <w:rStyle w:val="FootnoteReference"/>
          <w:rFonts w:ascii="Cambria" w:hAnsi="Cambria"/>
        </w:rPr>
        <w:footnoteReference w:id="11"/>
      </w:r>
      <w:r w:rsidR="002943D3" w:rsidRPr="001C4C6B">
        <w:rPr>
          <w:rFonts w:ascii="Cambria" w:hAnsi="Cambria"/>
        </w:rPr>
        <w:t xml:space="preserve"> such protections are limited in scope and undermined by discriminatory provisions in other laws. </w:t>
      </w:r>
    </w:p>
    <w:p w14:paraId="770D2935" w14:textId="77777777" w:rsidR="00DB6C26" w:rsidRDefault="00DB6C26" w:rsidP="00DB6C26">
      <w:pPr>
        <w:spacing w:line="276" w:lineRule="auto"/>
        <w:ind w:left="720" w:hanging="720"/>
        <w:jc w:val="both"/>
        <w:rPr>
          <w:rFonts w:ascii="Cambria" w:hAnsi="Cambria"/>
        </w:rPr>
      </w:pPr>
    </w:p>
    <w:p w14:paraId="42966C54" w14:textId="09E87708" w:rsidR="002943D3" w:rsidRPr="001C4C6B" w:rsidRDefault="000A09E5" w:rsidP="00DB6C26">
      <w:pPr>
        <w:spacing w:line="276" w:lineRule="auto"/>
        <w:ind w:left="720" w:hanging="720"/>
        <w:jc w:val="both"/>
        <w:rPr>
          <w:rFonts w:ascii="Cambria" w:hAnsi="Cambria"/>
        </w:rPr>
      </w:pPr>
      <w:r>
        <w:rPr>
          <w:rFonts w:ascii="Cambria" w:hAnsi="Cambria"/>
        </w:rPr>
        <w:t>10.</w:t>
      </w:r>
      <w:r>
        <w:rPr>
          <w:rFonts w:ascii="Cambria" w:hAnsi="Cambria"/>
        </w:rPr>
        <w:tab/>
      </w:r>
      <w:r w:rsidR="002943D3" w:rsidRPr="001C4C6B">
        <w:rPr>
          <w:rFonts w:ascii="Cambria" w:hAnsi="Cambria"/>
        </w:rPr>
        <w:t xml:space="preserve">More broadly, in the absence of comprehensive equality law, </w:t>
      </w:r>
      <w:r w:rsidR="00DB6C26">
        <w:rPr>
          <w:rFonts w:ascii="Cambria" w:hAnsi="Cambria"/>
          <w:u w:val="single"/>
        </w:rPr>
        <w:t>members of other groups</w:t>
      </w:r>
      <w:r w:rsidR="002943D3" w:rsidRPr="001C4C6B">
        <w:rPr>
          <w:rFonts w:ascii="Cambria" w:hAnsi="Cambria"/>
          <w:u w:val="single"/>
        </w:rPr>
        <w:t xml:space="preserve"> experiencing discrimination are forced to rely on a patchwork of non-discrimination provisions which, together, fail to provide comprehensive protection</w:t>
      </w:r>
      <w:r w:rsidR="002943D3" w:rsidRPr="001C4C6B">
        <w:rPr>
          <w:rFonts w:ascii="Cambria" w:hAnsi="Cambria"/>
        </w:rPr>
        <w:t xml:space="preserve"> both between and within groups. Thus, for example, ethnic minorities have limited protection from discrimination in employment, as there is no specific law on race or </w:t>
      </w:r>
      <w:r w:rsidR="002943D3" w:rsidRPr="001C4C6B">
        <w:rPr>
          <w:rFonts w:ascii="Cambria" w:hAnsi="Cambria"/>
          <w:bCs/>
        </w:rPr>
        <w:t>ethnic discrimination,</w:t>
      </w:r>
      <w:r w:rsidR="002943D3" w:rsidRPr="001C4C6B">
        <w:rPr>
          <w:rStyle w:val="FootnoteReference"/>
          <w:rFonts w:ascii="Cambria" w:hAnsi="Cambria"/>
          <w:bCs/>
        </w:rPr>
        <w:footnoteReference w:id="12"/>
      </w:r>
      <w:r w:rsidR="002943D3" w:rsidRPr="001C4C6B">
        <w:rPr>
          <w:rFonts w:ascii="Cambria" w:hAnsi="Cambria"/>
        </w:rPr>
        <w:t xml:space="preserve"> and the Labour Code – which prohibits discrimination against women – does not cover ethnic discrimination. </w:t>
      </w:r>
    </w:p>
    <w:p w14:paraId="2484140D" w14:textId="77777777" w:rsidR="002943D3" w:rsidRPr="001C4C6B" w:rsidRDefault="002943D3" w:rsidP="00E44CBD">
      <w:pPr>
        <w:spacing w:line="276" w:lineRule="auto"/>
        <w:ind w:left="720" w:hanging="720"/>
        <w:jc w:val="both"/>
        <w:rPr>
          <w:rFonts w:ascii="Cambria" w:hAnsi="Cambria"/>
        </w:rPr>
      </w:pPr>
    </w:p>
    <w:p w14:paraId="14CCBC3F" w14:textId="7E53CA47" w:rsidR="000A09E5" w:rsidRDefault="000A09E5" w:rsidP="00E44CBD">
      <w:pPr>
        <w:spacing w:line="276" w:lineRule="auto"/>
        <w:ind w:left="720" w:hanging="720"/>
        <w:jc w:val="both"/>
        <w:rPr>
          <w:rFonts w:ascii="Cambria" w:hAnsi="Cambria"/>
        </w:rPr>
      </w:pPr>
      <w:r>
        <w:rPr>
          <w:rFonts w:ascii="Cambria" w:hAnsi="Cambria"/>
        </w:rPr>
        <w:t>11.</w:t>
      </w:r>
      <w:r>
        <w:rPr>
          <w:rFonts w:ascii="Cambria" w:hAnsi="Cambria"/>
        </w:rPr>
        <w:tab/>
      </w:r>
      <w:r w:rsidR="002943D3" w:rsidRPr="00581D05">
        <w:rPr>
          <w:rFonts w:ascii="Cambria" w:hAnsi="Cambria"/>
          <w:u w:val="single"/>
        </w:rPr>
        <w:t>W</w:t>
      </w:r>
      <w:r w:rsidR="002943D3" w:rsidRPr="001C4C6B">
        <w:rPr>
          <w:rFonts w:ascii="Cambria" w:hAnsi="Cambria"/>
          <w:u w:val="single"/>
        </w:rPr>
        <w:t>here specific anti-discrimination laws have been enacted, some are not consistent with relevant international standards</w:t>
      </w:r>
      <w:r w:rsidR="002943D3" w:rsidRPr="001C4C6B">
        <w:rPr>
          <w:rFonts w:ascii="Cambria" w:hAnsi="Cambria"/>
        </w:rPr>
        <w:t xml:space="preserve">. For example, the Committee on the Rights of Persons </w:t>
      </w:r>
      <w:proofErr w:type="gramStart"/>
      <w:r w:rsidR="002943D3" w:rsidRPr="001C4C6B">
        <w:rPr>
          <w:rFonts w:ascii="Cambria" w:hAnsi="Cambria"/>
        </w:rPr>
        <w:t>With</w:t>
      </w:r>
      <w:proofErr w:type="gramEnd"/>
      <w:r w:rsidR="002943D3" w:rsidRPr="001C4C6B">
        <w:rPr>
          <w:rFonts w:ascii="Cambria" w:hAnsi="Cambria"/>
        </w:rPr>
        <w:t xml:space="preserve"> Disabilities has noted that the Magna Carta for Persons With Disabilities uses a medical, rather than a social, model of disability and is limited in its material scope.</w:t>
      </w:r>
      <w:r w:rsidR="002943D3" w:rsidRPr="001C4C6B">
        <w:rPr>
          <w:rStyle w:val="FootnoteReference"/>
          <w:rFonts w:ascii="Cambria" w:hAnsi="Cambria"/>
        </w:rPr>
        <w:footnoteReference w:id="13"/>
      </w:r>
      <w:r w:rsidR="002943D3" w:rsidRPr="001C4C6B">
        <w:rPr>
          <w:rFonts w:ascii="Cambria" w:hAnsi="Cambria"/>
        </w:rPr>
        <w:t xml:space="preserve"> </w:t>
      </w:r>
    </w:p>
    <w:p w14:paraId="7C933FBC" w14:textId="77777777" w:rsidR="000A09E5" w:rsidRDefault="000A09E5" w:rsidP="00E44CBD">
      <w:pPr>
        <w:spacing w:line="276" w:lineRule="auto"/>
        <w:ind w:left="720" w:hanging="720"/>
        <w:jc w:val="both"/>
        <w:rPr>
          <w:rFonts w:ascii="Cambria" w:hAnsi="Cambria"/>
        </w:rPr>
      </w:pPr>
    </w:p>
    <w:p w14:paraId="1B9553B0" w14:textId="0B497584" w:rsidR="002943D3" w:rsidRDefault="000A09E5" w:rsidP="00E44CBD">
      <w:pPr>
        <w:spacing w:line="276" w:lineRule="auto"/>
        <w:ind w:left="720" w:hanging="720"/>
        <w:jc w:val="both"/>
        <w:rPr>
          <w:rFonts w:ascii="Cambria" w:hAnsi="Cambria"/>
        </w:rPr>
      </w:pPr>
      <w:r>
        <w:rPr>
          <w:rFonts w:ascii="Cambria" w:hAnsi="Cambria"/>
        </w:rPr>
        <w:t>12.</w:t>
      </w:r>
      <w:r>
        <w:rPr>
          <w:rFonts w:ascii="Cambria" w:hAnsi="Cambria"/>
        </w:rPr>
        <w:tab/>
      </w:r>
      <w:r w:rsidR="002943D3" w:rsidRPr="001C4C6B">
        <w:rPr>
          <w:rFonts w:ascii="Cambria" w:hAnsi="Cambria"/>
        </w:rPr>
        <w:t xml:space="preserve">A further problem is the </w:t>
      </w:r>
      <w:r w:rsidR="002943D3" w:rsidRPr="001C4C6B">
        <w:rPr>
          <w:rFonts w:ascii="Cambria" w:hAnsi="Cambria"/>
          <w:u w:val="single"/>
        </w:rPr>
        <w:t>inadequate implementation and enforcement of existing laws</w:t>
      </w:r>
      <w:r w:rsidR="002943D3" w:rsidRPr="001C4C6B">
        <w:rPr>
          <w:rFonts w:ascii="Cambria" w:hAnsi="Cambria"/>
        </w:rPr>
        <w:t>: the CESCR has expressed concern about the poor implementation of the Indigenous Peoples’ Rights Act, and the limited powers of the National Commission on Indigenous Peoples,</w:t>
      </w:r>
      <w:r w:rsidR="002943D3" w:rsidRPr="001C4C6B">
        <w:rPr>
          <w:rStyle w:val="FootnoteReference"/>
          <w:rFonts w:ascii="Cambria" w:hAnsi="Cambria"/>
        </w:rPr>
        <w:footnoteReference w:id="14"/>
      </w:r>
      <w:r w:rsidR="002943D3" w:rsidRPr="001C4C6B">
        <w:rPr>
          <w:rFonts w:ascii="Cambria" w:hAnsi="Cambria"/>
          <w:vertAlign w:val="superscript"/>
        </w:rPr>
        <w:t xml:space="preserve"> </w:t>
      </w:r>
      <w:r w:rsidR="002943D3" w:rsidRPr="001C4C6B">
        <w:rPr>
          <w:rFonts w:ascii="Cambria" w:hAnsi="Cambria"/>
        </w:rPr>
        <w:t xml:space="preserve">while the Committee on the Elimination of </w:t>
      </w:r>
      <w:r w:rsidR="002943D3" w:rsidRPr="001C4C6B">
        <w:rPr>
          <w:rFonts w:ascii="Cambria" w:hAnsi="Cambria"/>
        </w:rPr>
        <w:lastRenderedPageBreak/>
        <w:t>Discrimination Against Women has noted the absence of implementing measures in the 2009 Magna Carta of Women.</w:t>
      </w:r>
      <w:r w:rsidR="002943D3" w:rsidRPr="001C4C6B">
        <w:rPr>
          <w:rStyle w:val="FootnoteReference"/>
          <w:rFonts w:ascii="Cambria" w:hAnsi="Cambria"/>
        </w:rPr>
        <w:footnoteReference w:id="15"/>
      </w:r>
    </w:p>
    <w:p w14:paraId="1D4C0159" w14:textId="07DC76EC" w:rsidR="000A09E5" w:rsidRDefault="000A09E5" w:rsidP="00E44CBD">
      <w:pPr>
        <w:spacing w:line="276" w:lineRule="auto"/>
        <w:ind w:left="720" w:hanging="720"/>
        <w:jc w:val="both"/>
        <w:rPr>
          <w:rFonts w:ascii="Cambria" w:hAnsi="Cambria"/>
        </w:rPr>
      </w:pPr>
    </w:p>
    <w:p w14:paraId="2FCAE911" w14:textId="37657191" w:rsidR="000A09E5" w:rsidRPr="001C4C6B" w:rsidRDefault="000A09E5" w:rsidP="00E44CBD">
      <w:pPr>
        <w:spacing w:line="276" w:lineRule="auto"/>
        <w:ind w:left="720" w:hanging="720"/>
        <w:jc w:val="both"/>
        <w:rPr>
          <w:rFonts w:ascii="Cambria" w:hAnsi="Cambria"/>
          <w:vertAlign w:val="superscript"/>
        </w:rPr>
      </w:pPr>
      <w:r>
        <w:rPr>
          <w:rFonts w:ascii="Cambria" w:hAnsi="Cambria"/>
        </w:rPr>
        <w:t>13.</w:t>
      </w:r>
      <w:r>
        <w:rPr>
          <w:rFonts w:ascii="Cambria" w:hAnsi="Cambria"/>
        </w:rPr>
        <w:tab/>
        <w:t xml:space="preserve">More broadly, in the absence of specific, comprehensive legislation, the </w:t>
      </w:r>
      <w:r w:rsidRPr="00581D05">
        <w:rPr>
          <w:rFonts w:ascii="Cambria" w:hAnsi="Cambria"/>
          <w:u w:val="single"/>
        </w:rPr>
        <w:t>legal framework on equality and non-discrimination is incomplete and inconsistent</w:t>
      </w:r>
      <w:r>
        <w:rPr>
          <w:rFonts w:ascii="Cambria" w:hAnsi="Cambria"/>
        </w:rPr>
        <w:t>.</w:t>
      </w:r>
      <w:r>
        <w:rPr>
          <w:rFonts w:ascii="Cambria" w:hAnsi="Cambria"/>
          <w:u w:val="single"/>
        </w:rPr>
        <w:t xml:space="preserve"> </w:t>
      </w:r>
      <w:r w:rsidRPr="00581D05">
        <w:rPr>
          <w:rFonts w:ascii="Cambria" w:hAnsi="Cambria"/>
        </w:rPr>
        <w:t xml:space="preserve">Both duty-bearers and rights-holders lack clarity as to the appropriate definition of discrimination, the forms of prohibited conduct and the personal and material scope. </w:t>
      </w:r>
      <w:r>
        <w:rPr>
          <w:rFonts w:ascii="Cambria" w:hAnsi="Cambria"/>
        </w:rPr>
        <w:t xml:space="preserve"> </w:t>
      </w:r>
    </w:p>
    <w:p w14:paraId="1A54F2C9" w14:textId="77777777" w:rsidR="002943D3" w:rsidRPr="001C4C6B" w:rsidRDefault="002943D3" w:rsidP="00E44CBD">
      <w:pPr>
        <w:spacing w:line="276" w:lineRule="auto"/>
        <w:ind w:left="720" w:hanging="720"/>
        <w:jc w:val="both"/>
        <w:rPr>
          <w:rFonts w:ascii="Cambria" w:hAnsi="Cambria"/>
          <w:vertAlign w:val="superscript"/>
        </w:rPr>
      </w:pPr>
    </w:p>
    <w:p w14:paraId="04450AD2" w14:textId="505E949C" w:rsidR="002943D3" w:rsidRPr="001C4C6B" w:rsidRDefault="002943D3" w:rsidP="00E44CBD">
      <w:pPr>
        <w:spacing w:line="276" w:lineRule="auto"/>
        <w:ind w:left="720" w:hanging="720"/>
        <w:jc w:val="both"/>
        <w:rPr>
          <w:rFonts w:ascii="Cambria" w:hAnsi="Cambria"/>
          <w:b/>
          <w:bCs/>
        </w:rPr>
      </w:pPr>
      <w:r w:rsidRPr="001C4C6B">
        <w:rPr>
          <w:rFonts w:ascii="Cambria" w:hAnsi="Cambria"/>
          <w:b/>
          <w:bCs/>
        </w:rPr>
        <w:t>Proposed Questions</w:t>
      </w:r>
    </w:p>
    <w:p w14:paraId="3850CDE4" w14:textId="67BCC1ED" w:rsidR="002943D3" w:rsidRPr="001C4C6B" w:rsidRDefault="002943D3" w:rsidP="00E44CBD">
      <w:pPr>
        <w:spacing w:line="276" w:lineRule="auto"/>
        <w:ind w:left="720" w:hanging="720"/>
        <w:jc w:val="both"/>
        <w:rPr>
          <w:rFonts w:ascii="Cambria" w:hAnsi="Cambria"/>
        </w:rPr>
      </w:pPr>
    </w:p>
    <w:p w14:paraId="6CC7ACD5" w14:textId="6F83F369" w:rsidR="00C41CB7" w:rsidRPr="001C4C6B" w:rsidRDefault="00E44CBD" w:rsidP="00E44CBD">
      <w:pPr>
        <w:ind w:left="720" w:hanging="720"/>
        <w:jc w:val="both"/>
        <w:rPr>
          <w:rFonts w:ascii="Cambria" w:hAnsi="Cambria"/>
        </w:rPr>
      </w:pPr>
      <w:r w:rsidRPr="001C4C6B">
        <w:rPr>
          <w:rFonts w:ascii="Cambria" w:hAnsi="Cambria"/>
        </w:rPr>
        <w:t>1</w:t>
      </w:r>
      <w:r w:rsidR="000A09E5">
        <w:rPr>
          <w:rFonts w:ascii="Cambria" w:hAnsi="Cambria"/>
        </w:rPr>
        <w:t>4</w:t>
      </w:r>
      <w:r w:rsidRPr="001C4C6B">
        <w:rPr>
          <w:rFonts w:ascii="Cambria" w:hAnsi="Cambria"/>
        </w:rPr>
        <w:t>.</w:t>
      </w:r>
      <w:r w:rsidRPr="001C4C6B">
        <w:rPr>
          <w:rFonts w:ascii="Cambria" w:hAnsi="Cambria"/>
        </w:rPr>
        <w:tab/>
        <w:t>In view of the above, the Equal Rights Trust urges the Committee to ask the Philippines:</w:t>
      </w:r>
    </w:p>
    <w:p w14:paraId="5FAA94C8" w14:textId="2E1A9765" w:rsidR="00E44CBD" w:rsidRPr="001C4C6B" w:rsidRDefault="00E44CBD" w:rsidP="00E44CBD">
      <w:pPr>
        <w:ind w:left="720" w:hanging="720"/>
        <w:rPr>
          <w:rFonts w:ascii="Cambria" w:hAnsi="Cambria"/>
        </w:rPr>
      </w:pPr>
    </w:p>
    <w:p w14:paraId="4D2ED642" w14:textId="32D51BED" w:rsidR="00E44CBD" w:rsidRPr="001C4C6B" w:rsidRDefault="00E44CBD" w:rsidP="00E44CBD">
      <w:pPr>
        <w:ind w:left="1440" w:hanging="720"/>
        <w:jc w:val="both"/>
        <w:rPr>
          <w:rFonts w:ascii="Cambria" w:hAnsi="Cambria"/>
        </w:rPr>
      </w:pPr>
      <w:r w:rsidRPr="001C4C6B">
        <w:rPr>
          <w:rFonts w:ascii="Cambria" w:hAnsi="Cambria"/>
        </w:rPr>
        <w:t>a)</w:t>
      </w:r>
      <w:r w:rsidRPr="001C4C6B">
        <w:rPr>
          <w:rFonts w:ascii="Cambria" w:hAnsi="Cambria"/>
        </w:rPr>
        <w:tab/>
        <w:t xml:space="preserve">What progress has been made by the state in adopting comprehensive equality legislation in line with its obligations under Articles 2(1) and 26 of the Covenant? </w:t>
      </w:r>
    </w:p>
    <w:p w14:paraId="349D2658" w14:textId="0BD4D03E" w:rsidR="00E44CBD" w:rsidRPr="001C4C6B" w:rsidRDefault="00E44CBD" w:rsidP="00E44CBD">
      <w:pPr>
        <w:ind w:left="1440" w:hanging="720"/>
        <w:rPr>
          <w:rFonts w:ascii="Cambria" w:hAnsi="Cambria"/>
        </w:rPr>
      </w:pPr>
    </w:p>
    <w:p w14:paraId="7E459EEE" w14:textId="44D8F5D2" w:rsidR="00E44CBD" w:rsidRPr="001C4C6B" w:rsidRDefault="00E44CBD" w:rsidP="00E44CBD">
      <w:pPr>
        <w:ind w:left="1440" w:hanging="720"/>
        <w:jc w:val="both"/>
        <w:rPr>
          <w:rFonts w:ascii="Cambria" w:hAnsi="Cambria"/>
        </w:rPr>
      </w:pPr>
      <w:r w:rsidRPr="001C4C6B">
        <w:rPr>
          <w:rFonts w:ascii="Cambria" w:hAnsi="Cambria"/>
        </w:rPr>
        <w:t>b)</w:t>
      </w:r>
      <w:r w:rsidRPr="001C4C6B">
        <w:rPr>
          <w:rFonts w:ascii="Cambria" w:hAnsi="Cambria"/>
        </w:rPr>
        <w:tab/>
        <w:t>To what extent do other national laws provide protection from forms of direct and indirect discrimination, failure to make reasonable accommodations and harassment?</w:t>
      </w:r>
      <w:r w:rsidR="00581D05" w:rsidRPr="00581D05">
        <w:rPr>
          <w:rFonts w:ascii="Cambria" w:hAnsi="Cambria"/>
        </w:rPr>
        <w:t xml:space="preserve"> </w:t>
      </w:r>
      <w:r w:rsidR="00581D05">
        <w:rPr>
          <w:rFonts w:ascii="Cambria" w:hAnsi="Cambria"/>
        </w:rPr>
        <w:t>On which grounds is discrimination prohibited</w:t>
      </w:r>
      <w:r w:rsidR="00581D05">
        <w:rPr>
          <w:rFonts w:ascii="Cambria" w:hAnsi="Cambria"/>
        </w:rPr>
        <w:t>?</w:t>
      </w:r>
    </w:p>
    <w:p w14:paraId="1D8ED15B" w14:textId="0B0253B9" w:rsidR="00E44CBD" w:rsidRPr="001C4C6B" w:rsidRDefault="00E44CBD" w:rsidP="00E44CBD">
      <w:pPr>
        <w:ind w:left="1440" w:hanging="720"/>
        <w:jc w:val="both"/>
        <w:rPr>
          <w:rFonts w:ascii="Cambria" w:hAnsi="Cambria"/>
        </w:rPr>
      </w:pPr>
    </w:p>
    <w:p w14:paraId="048032DE" w14:textId="171B5E1B" w:rsidR="00E44CBD" w:rsidRPr="001C4C6B" w:rsidRDefault="00E44CBD" w:rsidP="00E44CBD">
      <w:pPr>
        <w:ind w:left="1440" w:hanging="720"/>
        <w:jc w:val="both"/>
        <w:rPr>
          <w:rFonts w:ascii="Cambria" w:hAnsi="Cambria"/>
        </w:rPr>
      </w:pPr>
      <w:r w:rsidRPr="001C4C6B">
        <w:rPr>
          <w:rFonts w:ascii="Cambria" w:hAnsi="Cambria"/>
        </w:rPr>
        <w:t>c)</w:t>
      </w:r>
      <w:r w:rsidRPr="001C4C6B">
        <w:rPr>
          <w:rFonts w:ascii="Cambria" w:hAnsi="Cambria"/>
        </w:rPr>
        <w:tab/>
        <w:t>What concrete measures has the State Party taken to ensure access to justice for survivors of discrimination?</w:t>
      </w:r>
    </w:p>
    <w:p w14:paraId="04740184" w14:textId="77777777" w:rsidR="00E44CBD" w:rsidRPr="001C4C6B" w:rsidRDefault="00E44CBD" w:rsidP="00E44CBD">
      <w:pPr>
        <w:ind w:left="1440" w:hanging="720"/>
        <w:jc w:val="both"/>
        <w:rPr>
          <w:rFonts w:ascii="Cambria" w:hAnsi="Cambria"/>
        </w:rPr>
      </w:pPr>
    </w:p>
    <w:p w14:paraId="73529481" w14:textId="0A2BEA7A" w:rsidR="00E44CBD" w:rsidRPr="001C4C6B" w:rsidRDefault="00E44CBD" w:rsidP="00E44CBD">
      <w:pPr>
        <w:ind w:left="1440" w:hanging="720"/>
        <w:jc w:val="both"/>
        <w:rPr>
          <w:rFonts w:ascii="Cambria" w:hAnsi="Cambria"/>
        </w:rPr>
      </w:pPr>
      <w:r w:rsidRPr="001C4C6B">
        <w:rPr>
          <w:rFonts w:ascii="Cambria" w:hAnsi="Cambria"/>
        </w:rPr>
        <w:t>d)</w:t>
      </w:r>
      <w:r w:rsidRPr="001C4C6B">
        <w:rPr>
          <w:rFonts w:ascii="Cambria" w:hAnsi="Cambria"/>
        </w:rPr>
        <w:tab/>
        <w:t>What monitoring mechanisms have been put in place by the state to identify inequalities, discriminatory practices and patterns of disadvantage?</w:t>
      </w:r>
    </w:p>
    <w:sectPr w:rsidR="00E44CBD" w:rsidRPr="001C4C6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71810" w14:textId="77777777" w:rsidR="000B36F9" w:rsidRDefault="000B36F9" w:rsidP="00151F56">
      <w:r>
        <w:separator/>
      </w:r>
    </w:p>
  </w:endnote>
  <w:endnote w:type="continuationSeparator" w:id="0">
    <w:p w14:paraId="1E6A9CB6" w14:textId="77777777" w:rsidR="000B36F9" w:rsidRDefault="000B36F9" w:rsidP="00151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0599607"/>
      <w:docPartObj>
        <w:docPartGallery w:val="Page Numbers (Bottom of Page)"/>
        <w:docPartUnique/>
      </w:docPartObj>
    </w:sdtPr>
    <w:sdtEndPr>
      <w:rPr>
        <w:noProof/>
      </w:rPr>
    </w:sdtEndPr>
    <w:sdtContent>
      <w:p w14:paraId="4ACA5FD8" w14:textId="34FBECEB" w:rsidR="00E44CBD" w:rsidRDefault="00E44CB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722C6C" w14:textId="77777777" w:rsidR="00E44CBD" w:rsidRDefault="00E44C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A9E8B" w14:textId="77777777" w:rsidR="000B36F9" w:rsidRDefault="000B36F9" w:rsidP="00151F56">
      <w:r>
        <w:separator/>
      </w:r>
    </w:p>
  </w:footnote>
  <w:footnote w:type="continuationSeparator" w:id="0">
    <w:p w14:paraId="7F5E732A" w14:textId="77777777" w:rsidR="000B36F9" w:rsidRDefault="000B36F9" w:rsidP="00151F56">
      <w:r>
        <w:continuationSeparator/>
      </w:r>
    </w:p>
  </w:footnote>
  <w:footnote w:id="1">
    <w:p w14:paraId="10AEADB8" w14:textId="2BA765EE" w:rsidR="00405E68" w:rsidRPr="00581D05" w:rsidRDefault="00405E68" w:rsidP="00581D05">
      <w:pPr>
        <w:pStyle w:val="FootnoteText"/>
        <w:spacing w:after="120"/>
        <w:rPr>
          <w:rFonts w:ascii="Cambria" w:hAnsi="Cambria" w:cstheme="majorHAnsi"/>
          <w:lang w:val="en-GB"/>
        </w:rPr>
      </w:pPr>
      <w:r w:rsidRPr="00581D05">
        <w:rPr>
          <w:rStyle w:val="FootnoteReference"/>
          <w:rFonts w:ascii="Cambria" w:hAnsi="Cambria" w:cstheme="majorHAnsi"/>
        </w:rPr>
        <w:footnoteRef/>
      </w:r>
      <w:r w:rsidRPr="00581D05">
        <w:rPr>
          <w:rFonts w:ascii="Cambria" w:hAnsi="Cambria" w:cstheme="majorHAnsi"/>
        </w:rPr>
        <w:t xml:space="preserve"> Human Rights Committee, </w:t>
      </w:r>
      <w:r w:rsidRPr="00581D05">
        <w:rPr>
          <w:rFonts w:ascii="Cambria" w:hAnsi="Cambria" w:cstheme="majorHAnsi"/>
          <w:i/>
          <w:iCs/>
        </w:rPr>
        <w:t>General Comment No. 18: Non-Discrimination</w:t>
      </w:r>
      <w:r w:rsidRPr="00581D05">
        <w:rPr>
          <w:rFonts w:ascii="Cambria" w:hAnsi="Cambria" w:cstheme="majorHAnsi"/>
        </w:rPr>
        <w:t>, 1989, Para 12.</w:t>
      </w:r>
    </w:p>
  </w:footnote>
  <w:footnote w:id="2">
    <w:p w14:paraId="7C6F943E" w14:textId="64BE27C9" w:rsidR="00F576AA" w:rsidRPr="00581D05" w:rsidRDefault="00F576AA" w:rsidP="00581D05">
      <w:pPr>
        <w:pStyle w:val="FootnoteText"/>
        <w:spacing w:after="120"/>
        <w:rPr>
          <w:rFonts w:ascii="Cambria" w:hAnsi="Cambria"/>
          <w:lang w:val="en-GB"/>
        </w:rPr>
      </w:pPr>
      <w:r w:rsidRPr="00581D05">
        <w:rPr>
          <w:rStyle w:val="FootnoteReference"/>
          <w:rFonts w:ascii="Cambria" w:hAnsi="Cambria"/>
        </w:rPr>
        <w:footnoteRef/>
      </w:r>
      <w:r w:rsidRPr="00581D05">
        <w:rPr>
          <w:rFonts w:ascii="Cambria" w:hAnsi="Cambria"/>
        </w:rPr>
        <w:t xml:space="preserve"> </w:t>
      </w:r>
      <w:r w:rsidRPr="00581D05">
        <w:rPr>
          <w:rFonts w:ascii="Cambria" w:hAnsi="Cambria"/>
          <w:lang w:val="en-GB"/>
        </w:rPr>
        <w:t>International Covenant on Civil and Political Rights, Article 26.</w:t>
      </w:r>
    </w:p>
  </w:footnote>
  <w:footnote w:id="3">
    <w:p w14:paraId="7475DD86" w14:textId="0F67CE44" w:rsidR="00405E68" w:rsidRPr="00581D05" w:rsidRDefault="00405E68" w:rsidP="00581D05">
      <w:pPr>
        <w:pStyle w:val="FootnoteText"/>
        <w:spacing w:after="120"/>
        <w:rPr>
          <w:rFonts w:ascii="Cambria" w:hAnsi="Cambria" w:cstheme="majorHAnsi"/>
          <w:lang w:val="en-GB"/>
        </w:rPr>
      </w:pPr>
      <w:r w:rsidRPr="00581D05">
        <w:rPr>
          <w:rStyle w:val="FootnoteReference"/>
          <w:rFonts w:ascii="Cambria" w:hAnsi="Cambria" w:cstheme="majorHAnsi"/>
        </w:rPr>
        <w:footnoteRef/>
      </w:r>
      <w:r w:rsidRPr="00581D05">
        <w:rPr>
          <w:rFonts w:ascii="Cambria" w:hAnsi="Cambria" w:cstheme="majorHAnsi"/>
        </w:rPr>
        <w:t xml:space="preserve"> See, for instance, Human Rights Committee, </w:t>
      </w:r>
      <w:r w:rsidRPr="00581D05">
        <w:rPr>
          <w:rFonts w:ascii="Cambria" w:hAnsi="Cambria" w:cstheme="majorHAnsi"/>
          <w:i/>
          <w:iCs/>
        </w:rPr>
        <w:t>Concluding Observations: Iceland</w:t>
      </w:r>
      <w:r w:rsidRPr="00581D05">
        <w:rPr>
          <w:rFonts w:ascii="Cambria" w:hAnsi="Cambria" w:cstheme="majorHAnsi"/>
        </w:rPr>
        <w:t>, UN Doc. CCPR/C/ISL/CO/5, 31 August 2012, Para 6.</w:t>
      </w:r>
    </w:p>
  </w:footnote>
  <w:footnote w:id="4">
    <w:p w14:paraId="6321552F" w14:textId="36265722" w:rsidR="00D26497" w:rsidRPr="00581D05" w:rsidRDefault="00D26497" w:rsidP="00581D05">
      <w:pPr>
        <w:pStyle w:val="FootnoteText"/>
        <w:spacing w:after="120"/>
        <w:rPr>
          <w:rFonts w:ascii="Cambria" w:hAnsi="Cambria"/>
          <w:lang w:val="en-GB"/>
        </w:rPr>
      </w:pPr>
      <w:r w:rsidRPr="00581D05">
        <w:rPr>
          <w:rStyle w:val="FootnoteReference"/>
          <w:rFonts w:ascii="Cambria" w:hAnsi="Cambria"/>
        </w:rPr>
        <w:footnoteRef/>
      </w:r>
      <w:r w:rsidRPr="00581D05">
        <w:rPr>
          <w:rFonts w:ascii="Cambria" w:hAnsi="Cambria"/>
        </w:rPr>
        <w:t xml:space="preserve"> </w:t>
      </w:r>
      <w:r w:rsidR="00F576AA" w:rsidRPr="00581D05">
        <w:rPr>
          <w:rFonts w:ascii="Cambria" w:hAnsi="Cambria"/>
        </w:rPr>
        <w:t xml:space="preserve">See, for example, </w:t>
      </w:r>
      <w:r w:rsidR="00F576AA" w:rsidRPr="00581D05">
        <w:rPr>
          <w:rFonts w:ascii="Cambria" w:hAnsi="Cambria" w:cstheme="majorHAnsi"/>
        </w:rPr>
        <w:t>Committee on</w:t>
      </w:r>
      <w:r w:rsidR="00F576AA" w:rsidRPr="00581D05">
        <w:rPr>
          <w:rFonts w:ascii="Cambria" w:hAnsi="Cambria" w:cstheme="majorHAnsi"/>
          <w:i/>
          <w:iCs/>
        </w:rPr>
        <w:t xml:space="preserve"> </w:t>
      </w:r>
      <w:r w:rsidR="00F576AA" w:rsidRPr="00581D05">
        <w:rPr>
          <w:rFonts w:ascii="Cambria" w:hAnsi="Cambria" w:cstheme="majorHAnsi"/>
        </w:rPr>
        <w:t xml:space="preserve">the Rights of Persons with Disabilities (CRPD), </w:t>
      </w:r>
      <w:r w:rsidR="00F576AA" w:rsidRPr="00581D05">
        <w:rPr>
          <w:rFonts w:ascii="Cambria" w:hAnsi="Cambria" w:cstheme="majorHAnsi"/>
          <w:i/>
          <w:iCs/>
        </w:rPr>
        <w:t>General Comment No. 6 on the Right of Persons with Disabilities to Equality and Non-Discrimination</w:t>
      </w:r>
      <w:r w:rsidR="00F576AA" w:rsidRPr="00581D05">
        <w:rPr>
          <w:rFonts w:ascii="Cambria" w:hAnsi="Cambria" w:cstheme="majorHAnsi"/>
        </w:rPr>
        <w:t>, UN Doc. CPRD/C/ GC/6, 2018, Para 18.</w:t>
      </w:r>
    </w:p>
  </w:footnote>
  <w:footnote w:id="5">
    <w:p w14:paraId="4F73FF65" w14:textId="6C73A432" w:rsidR="00F576AA" w:rsidRPr="00581D05" w:rsidRDefault="00F576AA" w:rsidP="00581D05">
      <w:pPr>
        <w:pStyle w:val="FootnoteText"/>
        <w:spacing w:after="120"/>
        <w:rPr>
          <w:rFonts w:ascii="Cambria" w:hAnsi="Cambria"/>
          <w:lang w:val="en-GB"/>
        </w:rPr>
      </w:pPr>
      <w:r w:rsidRPr="00581D05">
        <w:rPr>
          <w:rStyle w:val="FootnoteReference"/>
          <w:rFonts w:ascii="Cambria" w:hAnsi="Cambria"/>
        </w:rPr>
        <w:footnoteRef/>
      </w:r>
      <w:r w:rsidRPr="00581D05">
        <w:rPr>
          <w:rFonts w:ascii="Cambria" w:hAnsi="Cambria"/>
        </w:rPr>
        <w:t xml:space="preserve"> See, for example, </w:t>
      </w:r>
      <w:r w:rsidRPr="00581D05">
        <w:rPr>
          <w:rFonts w:ascii="Cambria" w:hAnsi="Cambria" w:cstheme="majorHAnsi"/>
        </w:rPr>
        <w:t xml:space="preserve">Committee on Economic, Social and Cultural Rights, </w:t>
      </w:r>
      <w:r w:rsidRPr="00581D05">
        <w:rPr>
          <w:rFonts w:ascii="Cambria" w:hAnsi="Cambria" w:cstheme="majorHAnsi"/>
          <w:i/>
          <w:iCs/>
        </w:rPr>
        <w:t>General Comment No. 20: Nondiscrimination in economic, social and cultural rights (Article 2, Para. 2, of the International Covenant on Economic, Social and Cultural Rights)</w:t>
      </w:r>
      <w:r w:rsidRPr="00581D05">
        <w:rPr>
          <w:rFonts w:ascii="Cambria" w:hAnsi="Cambria" w:cstheme="majorHAnsi"/>
        </w:rPr>
        <w:t xml:space="preserve"> UN Doc. E/C.12/GC/20, 2009, Paras. 15-35.</w:t>
      </w:r>
    </w:p>
  </w:footnote>
  <w:footnote w:id="6">
    <w:p w14:paraId="3EBF76FE" w14:textId="1A46EC41" w:rsidR="00D26497" w:rsidRPr="00581D05" w:rsidRDefault="00D26497" w:rsidP="00581D05">
      <w:pPr>
        <w:pStyle w:val="FootnoteText"/>
        <w:spacing w:after="120"/>
        <w:rPr>
          <w:rFonts w:ascii="Cambria" w:hAnsi="Cambria"/>
          <w:lang w:val="en-GB"/>
        </w:rPr>
      </w:pPr>
      <w:r w:rsidRPr="00581D05">
        <w:rPr>
          <w:rStyle w:val="FootnoteReference"/>
          <w:rFonts w:ascii="Cambria" w:hAnsi="Cambria"/>
        </w:rPr>
        <w:footnoteRef/>
      </w:r>
      <w:r w:rsidRPr="00581D05">
        <w:rPr>
          <w:rFonts w:ascii="Cambria" w:hAnsi="Cambria"/>
        </w:rPr>
        <w:t xml:space="preserve"> </w:t>
      </w:r>
      <w:r w:rsidRPr="00581D05">
        <w:rPr>
          <w:rFonts w:ascii="Cambria" w:hAnsi="Cambria"/>
          <w:lang w:val="en-GB"/>
        </w:rPr>
        <w:t>The Committee has interpreted Article 26 of the Covenant as “prohibit[</w:t>
      </w:r>
      <w:proofErr w:type="spellStart"/>
      <w:r w:rsidRPr="00581D05">
        <w:rPr>
          <w:rFonts w:ascii="Cambria" w:hAnsi="Cambria"/>
          <w:lang w:val="en-GB"/>
        </w:rPr>
        <w:t>ing</w:t>
      </w:r>
      <w:proofErr w:type="spellEnd"/>
      <w:r w:rsidRPr="00581D05">
        <w:rPr>
          <w:rFonts w:ascii="Cambria" w:hAnsi="Cambria"/>
          <w:lang w:val="en-GB"/>
        </w:rPr>
        <w:t>] discrimination in law or in fact in any field regulated and protected by public authorities”</w:t>
      </w:r>
      <w:r w:rsidR="00F576AA" w:rsidRPr="00581D05">
        <w:rPr>
          <w:rFonts w:ascii="Cambria" w:hAnsi="Cambria"/>
          <w:lang w:val="en-GB"/>
        </w:rPr>
        <w:t xml:space="preserve"> (See above, note 1).</w:t>
      </w:r>
    </w:p>
  </w:footnote>
  <w:footnote w:id="7">
    <w:p w14:paraId="4F6F6679" w14:textId="4B2DD3BC" w:rsidR="00F576AA" w:rsidRPr="00581D05" w:rsidRDefault="00F576AA" w:rsidP="00581D05">
      <w:pPr>
        <w:pStyle w:val="FootnoteText"/>
        <w:spacing w:after="120"/>
        <w:rPr>
          <w:rFonts w:ascii="Cambria" w:hAnsi="Cambria"/>
          <w:lang w:val="en-GB"/>
        </w:rPr>
      </w:pPr>
      <w:r w:rsidRPr="00581D05">
        <w:rPr>
          <w:rStyle w:val="FootnoteReference"/>
          <w:rFonts w:ascii="Cambria" w:hAnsi="Cambria"/>
        </w:rPr>
        <w:footnoteRef/>
      </w:r>
      <w:r w:rsidRPr="00581D05">
        <w:rPr>
          <w:rFonts w:ascii="Cambria" w:hAnsi="Cambria"/>
        </w:rPr>
        <w:t xml:space="preserve"> See, for example, above, note 4, Para 31.</w:t>
      </w:r>
    </w:p>
  </w:footnote>
  <w:footnote w:id="8">
    <w:p w14:paraId="52DAB67D" w14:textId="01BD0389" w:rsidR="00405E68" w:rsidRPr="00581D05" w:rsidRDefault="00405E68" w:rsidP="00581D05">
      <w:pPr>
        <w:pStyle w:val="FootnoteText"/>
        <w:spacing w:after="120"/>
        <w:rPr>
          <w:rFonts w:ascii="Cambria" w:hAnsi="Cambria" w:cstheme="majorHAnsi"/>
          <w:i/>
          <w:iCs/>
        </w:rPr>
      </w:pPr>
      <w:r w:rsidRPr="00581D05">
        <w:rPr>
          <w:rStyle w:val="FootnoteReference"/>
          <w:rFonts w:ascii="Cambria" w:hAnsi="Cambria" w:cstheme="majorHAnsi"/>
        </w:rPr>
        <w:footnoteRef/>
      </w:r>
      <w:r w:rsidRPr="00581D05">
        <w:rPr>
          <w:rFonts w:ascii="Cambria" w:hAnsi="Cambria" w:cstheme="majorHAnsi"/>
        </w:rPr>
        <w:t xml:space="preserve"> </w:t>
      </w:r>
      <w:r w:rsidR="00F576AA" w:rsidRPr="00581D05">
        <w:rPr>
          <w:rFonts w:ascii="Cambria" w:hAnsi="Cambria" w:cstheme="majorHAnsi"/>
          <w:i/>
          <w:iCs/>
        </w:rPr>
        <w:t xml:space="preserve">Ibid., </w:t>
      </w:r>
      <w:r w:rsidR="00F576AA" w:rsidRPr="00581D05">
        <w:rPr>
          <w:rFonts w:ascii="Cambria" w:hAnsi="Cambria" w:cstheme="majorHAnsi"/>
        </w:rPr>
        <w:t xml:space="preserve">Paras 28 and 29. See also, above note 5, Para </w:t>
      </w:r>
      <w:proofErr w:type="gramStart"/>
      <w:r w:rsidR="00F576AA" w:rsidRPr="00581D05">
        <w:rPr>
          <w:rFonts w:ascii="Cambria" w:hAnsi="Cambria" w:cstheme="majorHAnsi"/>
        </w:rPr>
        <w:t>9.</w:t>
      </w:r>
      <w:r w:rsidRPr="00581D05">
        <w:rPr>
          <w:rFonts w:ascii="Cambria" w:hAnsi="Cambria" w:cstheme="majorHAnsi"/>
        </w:rPr>
        <w:t>.</w:t>
      </w:r>
      <w:proofErr w:type="gramEnd"/>
    </w:p>
  </w:footnote>
  <w:footnote w:id="9">
    <w:p w14:paraId="01032C26" w14:textId="387E0997" w:rsidR="0008489D" w:rsidRPr="00581D05" w:rsidRDefault="0008489D" w:rsidP="00581D05">
      <w:pPr>
        <w:pStyle w:val="FootnoteText"/>
        <w:spacing w:after="120"/>
        <w:rPr>
          <w:rFonts w:ascii="Cambria" w:hAnsi="Cambria"/>
          <w:lang w:val="en-GB"/>
        </w:rPr>
      </w:pPr>
      <w:r w:rsidRPr="00581D05">
        <w:rPr>
          <w:rStyle w:val="FootnoteReference"/>
          <w:rFonts w:ascii="Cambria" w:hAnsi="Cambria"/>
        </w:rPr>
        <w:footnoteRef/>
      </w:r>
      <w:r w:rsidRPr="00581D05">
        <w:rPr>
          <w:rFonts w:ascii="Cambria" w:hAnsi="Cambria"/>
        </w:rPr>
        <w:t xml:space="preserve"> </w:t>
      </w:r>
      <w:r w:rsidRPr="00581D05">
        <w:rPr>
          <w:rFonts w:ascii="Cambria" w:hAnsi="Cambria"/>
          <w:i/>
        </w:rPr>
        <w:t>Declaration of Principles on Equality</w:t>
      </w:r>
      <w:r w:rsidRPr="00581D05">
        <w:rPr>
          <w:rFonts w:ascii="Cambria" w:hAnsi="Cambria"/>
        </w:rPr>
        <w:t>, The Equal Rights Trust, London, 2008.</w:t>
      </w:r>
    </w:p>
  </w:footnote>
  <w:footnote w:id="10">
    <w:p w14:paraId="25F18E0B" w14:textId="0EF0F205" w:rsidR="00DB6C26" w:rsidRPr="00581D05" w:rsidRDefault="00DB6C26" w:rsidP="00581D05">
      <w:pPr>
        <w:pStyle w:val="FootnoteText"/>
        <w:spacing w:after="120"/>
        <w:rPr>
          <w:rFonts w:ascii="Cambria" w:hAnsi="Cambria"/>
          <w:lang w:val="en-GB"/>
        </w:rPr>
      </w:pPr>
      <w:r w:rsidRPr="00581D05">
        <w:rPr>
          <w:rStyle w:val="FootnoteReference"/>
          <w:rFonts w:ascii="Cambria" w:hAnsi="Cambria"/>
        </w:rPr>
        <w:footnoteRef/>
      </w:r>
      <w:r w:rsidRPr="00581D05">
        <w:rPr>
          <w:rFonts w:ascii="Cambria" w:hAnsi="Cambria"/>
        </w:rPr>
        <w:t xml:space="preserve"> Committee on Economic, Social and Cultural Rights (CESCR), </w:t>
      </w:r>
      <w:r w:rsidRPr="00581D05">
        <w:rPr>
          <w:rFonts w:ascii="Cambria" w:hAnsi="Cambria"/>
          <w:i/>
          <w:iCs/>
        </w:rPr>
        <w:t xml:space="preserve">Concluding </w:t>
      </w:r>
      <w:r w:rsidR="001C15AC">
        <w:rPr>
          <w:rFonts w:ascii="Cambria" w:hAnsi="Cambria"/>
          <w:i/>
          <w:iCs/>
        </w:rPr>
        <w:t>Observations:</w:t>
      </w:r>
      <w:r w:rsidRPr="00581D05">
        <w:rPr>
          <w:rFonts w:ascii="Cambria" w:hAnsi="Cambria"/>
          <w:i/>
          <w:iCs/>
        </w:rPr>
        <w:t xml:space="preserve"> Philippines</w:t>
      </w:r>
      <w:r w:rsidRPr="00581D05">
        <w:rPr>
          <w:rFonts w:ascii="Cambria" w:hAnsi="Cambria"/>
        </w:rPr>
        <w:t xml:space="preserve">, </w:t>
      </w:r>
      <w:r w:rsidR="001C29F1">
        <w:rPr>
          <w:rFonts w:ascii="Cambria" w:hAnsi="Cambria"/>
        </w:rPr>
        <w:t xml:space="preserve">UN Doc. </w:t>
      </w:r>
      <w:r w:rsidR="001C29F1" w:rsidRPr="00581D05">
        <w:rPr>
          <w:rFonts w:ascii="Cambria" w:hAnsi="Cambria"/>
        </w:rPr>
        <w:t>E/C.12/PHL/CO/5-6</w:t>
      </w:r>
      <w:r w:rsidR="001C29F1">
        <w:rPr>
          <w:rFonts w:ascii="Cambria" w:hAnsi="Cambria"/>
        </w:rPr>
        <w:t xml:space="preserve">, </w:t>
      </w:r>
      <w:r w:rsidRPr="00581D05">
        <w:rPr>
          <w:rFonts w:ascii="Cambria" w:hAnsi="Cambria"/>
        </w:rPr>
        <w:t>26 October 2016</w:t>
      </w:r>
      <w:r w:rsidR="001C15AC">
        <w:rPr>
          <w:rFonts w:ascii="Cambria" w:hAnsi="Cambria"/>
        </w:rPr>
        <w:t>.</w:t>
      </w:r>
    </w:p>
  </w:footnote>
  <w:footnote w:id="11">
    <w:p w14:paraId="15486CE8" w14:textId="5A8C8949" w:rsidR="002943D3" w:rsidRPr="00581D05" w:rsidRDefault="002943D3" w:rsidP="00581D05">
      <w:pPr>
        <w:pStyle w:val="FootnoteText"/>
        <w:spacing w:after="120"/>
        <w:rPr>
          <w:rFonts w:ascii="Cambria" w:hAnsi="Cambria" w:cstheme="majorHAnsi"/>
          <w:lang w:val="en-GB"/>
        </w:rPr>
      </w:pPr>
      <w:r w:rsidRPr="00581D05">
        <w:rPr>
          <w:rStyle w:val="FootnoteReference"/>
          <w:rFonts w:ascii="Cambria" w:hAnsi="Cambria" w:cstheme="majorHAnsi"/>
        </w:rPr>
        <w:footnoteRef/>
      </w:r>
      <w:r w:rsidRPr="00581D05">
        <w:rPr>
          <w:rFonts w:ascii="Cambria" w:hAnsi="Cambria" w:cstheme="majorHAnsi"/>
        </w:rPr>
        <w:t xml:space="preserve"> Magna Carta for Social Workers, 2006, Section 17.</w:t>
      </w:r>
    </w:p>
  </w:footnote>
  <w:footnote w:id="12">
    <w:p w14:paraId="4D2DE426" w14:textId="1719E0DE" w:rsidR="002943D3" w:rsidRPr="00581D05" w:rsidRDefault="002943D3" w:rsidP="00581D05">
      <w:pPr>
        <w:pStyle w:val="FootnoteText"/>
        <w:spacing w:after="120"/>
        <w:rPr>
          <w:rFonts w:ascii="Cambria" w:hAnsi="Cambria" w:cstheme="majorHAnsi"/>
          <w:lang w:val="en-GB"/>
        </w:rPr>
      </w:pPr>
      <w:r w:rsidRPr="00581D05">
        <w:rPr>
          <w:rStyle w:val="FootnoteReference"/>
          <w:rFonts w:ascii="Cambria" w:hAnsi="Cambria" w:cstheme="majorHAnsi"/>
        </w:rPr>
        <w:footnoteRef/>
      </w:r>
      <w:r w:rsidRPr="00581D05">
        <w:rPr>
          <w:rFonts w:ascii="Cambria" w:hAnsi="Cambria" w:cstheme="majorHAnsi"/>
        </w:rPr>
        <w:t xml:space="preserve"> Committee on the Elimination of Racial Discrimination, </w:t>
      </w:r>
      <w:r w:rsidRPr="00581D05">
        <w:rPr>
          <w:rFonts w:ascii="Cambria" w:hAnsi="Cambria" w:cstheme="majorHAnsi"/>
          <w:i/>
          <w:iCs/>
        </w:rPr>
        <w:t>Concluding Observations: Philippines</w:t>
      </w:r>
      <w:r w:rsidRPr="00581D05">
        <w:rPr>
          <w:rFonts w:ascii="Cambria" w:hAnsi="Cambria" w:cstheme="majorHAnsi"/>
        </w:rPr>
        <w:t>, UN Doc. CERD/C/PHL/CO/20, 23 September 2009, Para 15.</w:t>
      </w:r>
    </w:p>
  </w:footnote>
  <w:footnote w:id="13">
    <w:p w14:paraId="71A36220" w14:textId="0709777C" w:rsidR="002943D3" w:rsidRPr="00581D05" w:rsidRDefault="002943D3" w:rsidP="00581D05">
      <w:pPr>
        <w:pStyle w:val="FootnoteText"/>
        <w:spacing w:after="120"/>
        <w:rPr>
          <w:rFonts w:ascii="Cambria" w:hAnsi="Cambria" w:cstheme="majorHAnsi"/>
          <w:lang w:val="en-GB"/>
        </w:rPr>
      </w:pPr>
      <w:r w:rsidRPr="00581D05">
        <w:rPr>
          <w:rStyle w:val="FootnoteReference"/>
          <w:rFonts w:ascii="Cambria" w:hAnsi="Cambria" w:cstheme="majorHAnsi"/>
        </w:rPr>
        <w:footnoteRef/>
      </w:r>
      <w:r w:rsidRPr="00581D05">
        <w:rPr>
          <w:rFonts w:ascii="Cambria" w:hAnsi="Cambria" w:cstheme="majorHAnsi"/>
        </w:rPr>
        <w:t xml:space="preserve"> Committee on the Rights of Persons </w:t>
      </w:r>
      <w:proofErr w:type="gramStart"/>
      <w:r w:rsidRPr="00581D05">
        <w:rPr>
          <w:rFonts w:ascii="Cambria" w:hAnsi="Cambria" w:cstheme="majorHAnsi"/>
        </w:rPr>
        <w:t>With</w:t>
      </w:r>
      <w:proofErr w:type="gramEnd"/>
      <w:r w:rsidRPr="00581D05">
        <w:rPr>
          <w:rFonts w:ascii="Cambria" w:hAnsi="Cambria" w:cstheme="majorHAnsi"/>
        </w:rPr>
        <w:t xml:space="preserve"> Disabilities, </w:t>
      </w:r>
      <w:r w:rsidRPr="00581D05">
        <w:rPr>
          <w:rFonts w:ascii="Cambria" w:hAnsi="Cambria" w:cstheme="majorHAnsi"/>
          <w:i/>
          <w:iCs/>
        </w:rPr>
        <w:t>Concluding Observations: Philippines</w:t>
      </w:r>
      <w:r w:rsidRPr="00581D05">
        <w:rPr>
          <w:rFonts w:ascii="Cambria" w:hAnsi="Cambria" w:cstheme="majorHAnsi"/>
        </w:rPr>
        <w:t>, UN Doc. CRPD/C/PHL/CO/1, 16 October 2018, Paras 6-7, and 10-11.</w:t>
      </w:r>
    </w:p>
  </w:footnote>
  <w:footnote w:id="14">
    <w:p w14:paraId="79C0FF0A" w14:textId="39C10A2D" w:rsidR="002943D3" w:rsidRPr="00581D05" w:rsidRDefault="002943D3" w:rsidP="00581D05">
      <w:pPr>
        <w:pStyle w:val="FootnoteText"/>
        <w:spacing w:after="120"/>
        <w:rPr>
          <w:rFonts w:ascii="Cambria" w:hAnsi="Cambria" w:cstheme="majorHAnsi"/>
          <w:lang w:val="en-GB"/>
        </w:rPr>
      </w:pPr>
      <w:r w:rsidRPr="00581D05">
        <w:rPr>
          <w:rStyle w:val="FootnoteReference"/>
          <w:rFonts w:ascii="Cambria" w:hAnsi="Cambria" w:cstheme="majorHAnsi"/>
        </w:rPr>
        <w:footnoteRef/>
      </w:r>
      <w:r w:rsidRPr="00581D05">
        <w:rPr>
          <w:rFonts w:ascii="Cambria" w:hAnsi="Cambria" w:cstheme="majorHAnsi"/>
        </w:rPr>
        <w:t xml:space="preserve"> Committee on Economic, Social and Cultural Rights, </w:t>
      </w:r>
      <w:r w:rsidRPr="00581D05">
        <w:rPr>
          <w:rFonts w:ascii="Cambria" w:hAnsi="Cambria" w:cstheme="majorHAnsi"/>
          <w:i/>
          <w:iCs/>
        </w:rPr>
        <w:t>Concluding Observations: Philippines</w:t>
      </w:r>
      <w:r w:rsidRPr="00581D05">
        <w:rPr>
          <w:rFonts w:ascii="Cambria" w:hAnsi="Cambria" w:cstheme="majorHAnsi"/>
        </w:rPr>
        <w:t>, UN Doc. E/C.12/PHL/CO/5-6, 26 October 2016, Paras 13-14.</w:t>
      </w:r>
    </w:p>
  </w:footnote>
  <w:footnote w:id="15">
    <w:p w14:paraId="6668C2AB" w14:textId="12A8ADFA" w:rsidR="002943D3" w:rsidRPr="00581D05" w:rsidRDefault="002943D3" w:rsidP="00581D05">
      <w:pPr>
        <w:pStyle w:val="FootnoteText"/>
        <w:spacing w:after="120"/>
        <w:rPr>
          <w:rFonts w:ascii="Cambria" w:hAnsi="Cambria" w:cstheme="majorHAnsi"/>
          <w:lang w:val="en-GB"/>
        </w:rPr>
      </w:pPr>
      <w:r w:rsidRPr="00581D05">
        <w:rPr>
          <w:rStyle w:val="FootnoteReference"/>
          <w:rFonts w:ascii="Cambria" w:hAnsi="Cambria" w:cstheme="majorHAnsi"/>
        </w:rPr>
        <w:footnoteRef/>
      </w:r>
      <w:r w:rsidRPr="00581D05">
        <w:rPr>
          <w:rFonts w:ascii="Cambria" w:hAnsi="Cambria" w:cstheme="majorHAnsi"/>
        </w:rPr>
        <w:t xml:space="preserve"> Committee on the Elimination of Discriminatio</w:t>
      </w:r>
      <w:bookmarkStart w:id="0" w:name="_GoBack"/>
      <w:bookmarkEnd w:id="0"/>
      <w:r w:rsidRPr="00581D05">
        <w:rPr>
          <w:rFonts w:ascii="Cambria" w:hAnsi="Cambria" w:cstheme="majorHAnsi"/>
        </w:rPr>
        <w:t>n Against Women, Concluding Observations: Philippines, UN Doc. CEDAW/C/PHL/CO/7-8, 25 July 2016, Paras 19-22.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383B44"/>
    <w:multiLevelType w:val="hybridMultilevel"/>
    <w:tmpl w:val="A1B8A014"/>
    <w:lvl w:ilvl="0" w:tplc="B4EC5A0E">
      <w:start w:val="1"/>
      <w:numFmt w:val="decimal"/>
      <w:lvlText w:val="%1."/>
      <w:lvlJc w:val="left"/>
      <w:pPr>
        <w:ind w:left="1440" w:hanging="360"/>
      </w:pPr>
      <w:rPr>
        <w:b w:val="0"/>
        <w:bCs/>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 w15:restartNumberingAfterBreak="0">
    <w:nsid w:val="66FD33CC"/>
    <w:multiLevelType w:val="hybridMultilevel"/>
    <w:tmpl w:val="688E7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651893"/>
    <w:multiLevelType w:val="hybridMultilevel"/>
    <w:tmpl w:val="CEBA6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F56"/>
    <w:rsid w:val="0008489D"/>
    <w:rsid w:val="000A09E5"/>
    <w:rsid w:val="000B36F9"/>
    <w:rsid w:val="00151F56"/>
    <w:rsid w:val="001C15AC"/>
    <w:rsid w:val="001C29F1"/>
    <w:rsid w:val="001C4C6B"/>
    <w:rsid w:val="002943D3"/>
    <w:rsid w:val="00405E68"/>
    <w:rsid w:val="00511D2D"/>
    <w:rsid w:val="00581D05"/>
    <w:rsid w:val="00600FBA"/>
    <w:rsid w:val="007D6397"/>
    <w:rsid w:val="00950EEA"/>
    <w:rsid w:val="00A921F4"/>
    <w:rsid w:val="00AF3241"/>
    <w:rsid w:val="00C41CB7"/>
    <w:rsid w:val="00CB5B34"/>
    <w:rsid w:val="00D26497"/>
    <w:rsid w:val="00DB6C26"/>
    <w:rsid w:val="00E44CBD"/>
    <w:rsid w:val="00ED6AF2"/>
    <w:rsid w:val="00F576AA"/>
    <w:rsid w:val="00F70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E8247"/>
  <w15:chartTrackingRefBased/>
  <w15:docId w15:val="{BD6298A7-0A98-45D6-B70F-AE9F41001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F56"/>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921F4"/>
    <w:rPr>
      <w:sz w:val="20"/>
      <w:szCs w:val="20"/>
    </w:rPr>
  </w:style>
  <w:style w:type="character" w:customStyle="1" w:styleId="FootnoteTextChar">
    <w:name w:val="Footnote Text Char"/>
    <w:basedOn w:val="DefaultParagraphFont"/>
    <w:link w:val="FootnoteText"/>
    <w:uiPriority w:val="99"/>
    <w:semiHidden/>
    <w:rsid w:val="00A921F4"/>
    <w:rPr>
      <w:sz w:val="20"/>
      <w:szCs w:val="20"/>
    </w:rPr>
  </w:style>
  <w:style w:type="character" w:styleId="Hyperlink">
    <w:name w:val="Hyperlink"/>
    <w:basedOn w:val="DefaultParagraphFont"/>
    <w:uiPriority w:val="99"/>
    <w:semiHidden/>
    <w:unhideWhenUsed/>
    <w:rsid w:val="00151F56"/>
    <w:rPr>
      <w:color w:val="0563C1" w:themeColor="hyperlink"/>
      <w:u w:val="single"/>
    </w:rPr>
  </w:style>
  <w:style w:type="paragraph" w:styleId="EndnoteText">
    <w:name w:val="endnote text"/>
    <w:basedOn w:val="Normal"/>
    <w:link w:val="EndnoteTextChar"/>
    <w:uiPriority w:val="99"/>
    <w:semiHidden/>
    <w:unhideWhenUsed/>
    <w:rsid w:val="00151F56"/>
  </w:style>
  <w:style w:type="character" w:customStyle="1" w:styleId="EndnoteTextChar">
    <w:name w:val="Endnote Text Char"/>
    <w:basedOn w:val="DefaultParagraphFont"/>
    <w:link w:val="EndnoteText"/>
    <w:uiPriority w:val="99"/>
    <w:semiHidden/>
    <w:rsid w:val="00151F56"/>
    <w:rPr>
      <w:rFonts w:ascii="Times New Roman" w:hAnsi="Times New Roman" w:cs="Times New Roman"/>
      <w:sz w:val="24"/>
      <w:szCs w:val="24"/>
      <w:lang w:val="en-US"/>
    </w:rPr>
  </w:style>
  <w:style w:type="paragraph" w:styleId="ListParagraph">
    <w:name w:val="List Paragraph"/>
    <w:basedOn w:val="Normal"/>
    <w:uiPriority w:val="34"/>
    <w:qFormat/>
    <w:rsid w:val="00151F56"/>
    <w:pPr>
      <w:ind w:left="720"/>
      <w:contextualSpacing/>
    </w:pPr>
    <w:rPr>
      <w:rFonts w:asciiTheme="minorHAnsi" w:hAnsiTheme="minorHAnsi" w:cstheme="minorBidi"/>
    </w:rPr>
  </w:style>
  <w:style w:type="character" w:styleId="EndnoteReference">
    <w:name w:val="endnote reference"/>
    <w:basedOn w:val="DefaultParagraphFont"/>
    <w:uiPriority w:val="99"/>
    <w:semiHidden/>
    <w:unhideWhenUsed/>
    <w:rsid w:val="00151F56"/>
    <w:rPr>
      <w:vertAlign w:val="superscript"/>
    </w:rPr>
  </w:style>
  <w:style w:type="character" w:styleId="CommentReference">
    <w:name w:val="annotation reference"/>
    <w:basedOn w:val="DefaultParagraphFont"/>
    <w:uiPriority w:val="99"/>
    <w:semiHidden/>
    <w:unhideWhenUsed/>
    <w:rsid w:val="00AF3241"/>
    <w:rPr>
      <w:sz w:val="16"/>
      <w:szCs w:val="16"/>
    </w:rPr>
  </w:style>
  <w:style w:type="paragraph" w:styleId="CommentText">
    <w:name w:val="annotation text"/>
    <w:basedOn w:val="Normal"/>
    <w:link w:val="CommentTextChar"/>
    <w:uiPriority w:val="99"/>
    <w:semiHidden/>
    <w:unhideWhenUsed/>
    <w:rsid w:val="00AF3241"/>
    <w:rPr>
      <w:sz w:val="20"/>
      <w:szCs w:val="20"/>
    </w:rPr>
  </w:style>
  <w:style w:type="character" w:customStyle="1" w:styleId="CommentTextChar">
    <w:name w:val="Comment Text Char"/>
    <w:basedOn w:val="DefaultParagraphFont"/>
    <w:link w:val="CommentText"/>
    <w:uiPriority w:val="99"/>
    <w:semiHidden/>
    <w:rsid w:val="00AF3241"/>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F3241"/>
    <w:rPr>
      <w:b/>
      <w:bCs/>
    </w:rPr>
  </w:style>
  <w:style w:type="character" w:customStyle="1" w:styleId="CommentSubjectChar">
    <w:name w:val="Comment Subject Char"/>
    <w:basedOn w:val="CommentTextChar"/>
    <w:link w:val="CommentSubject"/>
    <w:uiPriority w:val="99"/>
    <w:semiHidden/>
    <w:rsid w:val="00AF3241"/>
    <w:rPr>
      <w:rFonts w:ascii="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AF32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241"/>
    <w:rPr>
      <w:rFonts w:ascii="Segoe UI" w:hAnsi="Segoe UI" w:cs="Segoe UI"/>
      <w:sz w:val="18"/>
      <w:szCs w:val="18"/>
      <w:lang w:val="en-US"/>
    </w:rPr>
  </w:style>
  <w:style w:type="character" w:styleId="FootnoteReference">
    <w:name w:val="footnote reference"/>
    <w:basedOn w:val="DefaultParagraphFont"/>
    <w:uiPriority w:val="99"/>
    <w:semiHidden/>
    <w:unhideWhenUsed/>
    <w:rsid w:val="00405E68"/>
    <w:rPr>
      <w:vertAlign w:val="superscript"/>
    </w:rPr>
  </w:style>
  <w:style w:type="paragraph" w:styleId="Header">
    <w:name w:val="header"/>
    <w:basedOn w:val="Normal"/>
    <w:link w:val="HeaderChar"/>
    <w:uiPriority w:val="99"/>
    <w:unhideWhenUsed/>
    <w:rsid w:val="00E44CBD"/>
    <w:pPr>
      <w:tabs>
        <w:tab w:val="center" w:pos="4513"/>
        <w:tab w:val="right" w:pos="9026"/>
      </w:tabs>
    </w:pPr>
  </w:style>
  <w:style w:type="character" w:customStyle="1" w:styleId="HeaderChar">
    <w:name w:val="Header Char"/>
    <w:basedOn w:val="DefaultParagraphFont"/>
    <w:link w:val="Header"/>
    <w:uiPriority w:val="99"/>
    <w:rsid w:val="00E44CBD"/>
    <w:rPr>
      <w:rFonts w:ascii="Times New Roman" w:hAnsi="Times New Roman" w:cs="Times New Roman"/>
      <w:sz w:val="24"/>
      <w:szCs w:val="24"/>
      <w:lang w:val="en-US"/>
    </w:rPr>
  </w:style>
  <w:style w:type="paragraph" w:styleId="Footer">
    <w:name w:val="footer"/>
    <w:basedOn w:val="Normal"/>
    <w:link w:val="FooterChar"/>
    <w:uiPriority w:val="99"/>
    <w:unhideWhenUsed/>
    <w:rsid w:val="00E44CBD"/>
    <w:pPr>
      <w:tabs>
        <w:tab w:val="center" w:pos="4513"/>
        <w:tab w:val="right" w:pos="9026"/>
      </w:tabs>
    </w:pPr>
  </w:style>
  <w:style w:type="character" w:customStyle="1" w:styleId="FooterChar">
    <w:name w:val="Footer Char"/>
    <w:basedOn w:val="DefaultParagraphFont"/>
    <w:link w:val="Footer"/>
    <w:uiPriority w:val="99"/>
    <w:rsid w:val="00E44CBD"/>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57563">
      <w:bodyDiv w:val="1"/>
      <w:marLeft w:val="0"/>
      <w:marRight w:val="0"/>
      <w:marTop w:val="0"/>
      <w:marBottom w:val="0"/>
      <w:divBdr>
        <w:top w:val="none" w:sz="0" w:space="0" w:color="auto"/>
        <w:left w:val="none" w:sz="0" w:space="0" w:color="auto"/>
        <w:bottom w:val="none" w:sz="0" w:space="0" w:color="auto"/>
        <w:right w:val="none" w:sz="0" w:space="0" w:color="auto"/>
      </w:divBdr>
    </w:div>
    <w:div w:id="280232809">
      <w:bodyDiv w:val="1"/>
      <w:marLeft w:val="0"/>
      <w:marRight w:val="0"/>
      <w:marTop w:val="0"/>
      <w:marBottom w:val="0"/>
      <w:divBdr>
        <w:top w:val="none" w:sz="0" w:space="0" w:color="auto"/>
        <w:left w:val="none" w:sz="0" w:space="0" w:color="auto"/>
        <w:bottom w:val="none" w:sz="0" w:space="0" w:color="auto"/>
        <w:right w:val="none" w:sz="0" w:space="0" w:color="auto"/>
      </w:divBdr>
    </w:div>
    <w:div w:id="504633471">
      <w:bodyDiv w:val="1"/>
      <w:marLeft w:val="0"/>
      <w:marRight w:val="0"/>
      <w:marTop w:val="0"/>
      <w:marBottom w:val="0"/>
      <w:divBdr>
        <w:top w:val="none" w:sz="0" w:space="0" w:color="auto"/>
        <w:left w:val="none" w:sz="0" w:space="0" w:color="auto"/>
        <w:bottom w:val="none" w:sz="0" w:space="0" w:color="auto"/>
        <w:right w:val="none" w:sz="0" w:space="0" w:color="auto"/>
      </w:divBdr>
    </w:div>
    <w:div w:id="1274744715">
      <w:bodyDiv w:val="1"/>
      <w:marLeft w:val="0"/>
      <w:marRight w:val="0"/>
      <w:marTop w:val="0"/>
      <w:marBottom w:val="0"/>
      <w:divBdr>
        <w:top w:val="none" w:sz="0" w:space="0" w:color="auto"/>
        <w:left w:val="none" w:sz="0" w:space="0" w:color="auto"/>
        <w:bottom w:val="none" w:sz="0" w:space="0" w:color="auto"/>
        <w:right w:val="none" w:sz="0" w:space="0" w:color="auto"/>
      </w:divBdr>
    </w:div>
    <w:div w:id="1285384905">
      <w:bodyDiv w:val="1"/>
      <w:marLeft w:val="0"/>
      <w:marRight w:val="0"/>
      <w:marTop w:val="0"/>
      <w:marBottom w:val="0"/>
      <w:divBdr>
        <w:top w:val="none" w:sz="0" w:space="0" w:color="auto"/>
        <w:left w:val="none" w:sz="0" w:space="0" w:color="auto"/>
        <w:bottom w:val="none" w:sz="0" w:space="0" w:color="auto"/>
        <w:right w:val="none" w:sz="0" w:space="0" w:color="auto"/>
      </w:divBdr>
    </w:div>
    <w:div w:id="1909223411">
      <w:bodyDiv w:val="1"/>
      <w:marLeft w:val="0"/>
      <w:marRight w:val="0"/>
      <w:marTop w:val="0"/>
      <w:marBottom w:val="0"/>
      <w:divBdr>
        <w:top w:val="none" w:sz="0" w:space="0" w:color="auto"/>
        <w:left w:val="none" w:sz="0" w:space="0" w:color="auto"/>
        <w:bottom w:val="none" w:sz="0" w:space="0" w:color="auto"/>
        <w:right w:val="none" w:sz="0" w:space="0" w:color="auto"/>
      </w:divBdr>
    </w:div>
    <w:div w:id="192888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7BCE3C-535F-4A29-BB32-262EFE9AA485}">
  <ds:schemaRefs>
    <ds:schemaRef ds:uri="http://schemas.openxmlformats.org/officeDocument/2006/bibliography"/>
  </ds:schemaRefs>
</ds:datastoreItem>
</file>

<file path=customXml/itemProps2.xml><?xml version="1.0" encoding="utf-8"?>
<ds:datastoreItem xmlns:ds="http://schemas.openxmlformats.org/officeDocument/2006/customXml" ds:itemID="{97957DB0-46A7-44A6-9194-6DC26F30F9BF}"/>
</file>

<file path=customXml/itemProps3.xml><?xml version="1.0" encoding="utf-8"?>
<ds:datastoreItem xmlns:ds="http://schemas.openxmlformats.org/officeDocument/2006/customXml" ds:itemID="{CC6D7CCF-43B4-4B65-9790-2D3385835D95}"/>
</file>

<file path=customXml/itemProps4.xml><?xml version="1.0" encoding="utf-8"?>
<ds:datastoreItem xmlns:ds="http://schemas.openxmlformats.org/officeDocument/2006/customXml" ds:itemID="{B75CE84C-7723-4C90-AE45-202BE74999FB}"/>
</file>

<file path=docProps/app.xml><?xml version="1.0" encoding="utf-8"?>
<Properties xmlns="http://schemas.openxmlformats.org/officeDocument/2006/extended-properties" xmlns:vt="http://schemas.openxmlformats.org/officeDocument/2006/docPropsVTypes">
  <Template>Normal</Template>
  <TotalTime>6</TotalTime>
  <Pages>4</Pages>
  <Words>1068</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Barnes</dc:creator>
  <cp:keywords/>
  <dc:description/>
  <cp:lastModifiedBy>Sam Barnes</cp:lastModifiedBy>
  <cp:revision>5</cp:revision>
  <dcterms:created xsi:type="dcterms:W3CDTF">2020-01-20T12:26:00Z</dcterms:created>
  <dcterms:modified xsi:type="dcterms:W3CDTF">2020-01-20T12:28:00Z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