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5AB5" w14:textId="14241399" w:rsidR="00F51E96" w:rsidRDefault="00AD4BAE" w:rsidP="00515FC3">
      <w:pPr>
        <w:spacing w:after="0"/>
        <w:ind w:left="57" w:right="57"/>
        <w:jc w:val="center"/>
        <w:rPr>
          <w:rFonts w:ascii="Arial" w:hAnsi="Arial" w:cs="Arial"/>
          <w:b/>
          <w:u w:val="single"/>
        </w:rPr>
      </w:pPr>
      <w:r>
        <w:rPr>
          <w:rFonts w:ascii="Arial" w:hAnsi="Arial" w:cs="Arial"/>
          <w:b/>
        </w:rPr>
        <w:pict w14:anchorId="4710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84.5pt">
            <v:imagedata r:id="rId8" o:title="A19_logo__pms"/>
          </v:shape>
        </w:pict>
      </w:r>
    </w:p>
    <w:p w14:paraId="16D84C38" w14:textId="77777777" w:rsidR="00F51E96" w:rsidRPr="00D30692" w:rsidRDefault="00F51E96" w:rsidP="00515FC3">
      <w:pPr>
        <w:spacing w:after="0"/>
        <w:ind w:left="57" w:right="57"/>
        <w:jc w:val="center"/>
        <w:rPr>
          <w:rFonts w:ascii="Arial" w:hAnsi="Arial" w:cs="Arial"/>
          <w:b/>
          <w:u w:val="single"/>
        </w:rPr>
      </w:pPr>
    </w:p>
    <w:p w14:paraId="0D460A69" w14:textId="65D6B327" w:rsidR="00465F16" w:rsidRPr="00D30692" w:rsidRDefault="00465F16" w:rsidP="00515FC3">
      <w:pPr>
        <w:spacing w:after="0"/>
        <w:ind w:left="57" w:right="57"/>
        <w:jc w:val="center"/>
        <w:rPr>
          <w:rFonts w:ascii="Arial" w:hAnsi="Arial" w:cs="Arial"/>
          <w:b/>
          <w:sz w:val="28"/>
          <w:szCs w:val="28"/>
        </w:rPr>
      </w:pPr>
      <w:r w:rsidRPr="00D30692">
        <w:rPr>
          <w:rFonts w:ascii="Arial" w:hAnsi="Arial" w:cs="Arial"/>
          <w:b/>
          <w:sz w:val="28"/>
          <w:szCs w:val="28"/>
        </w:rPr>
        <w:t>Submission t</w:t>
      </w:r>
      <w:r w:rsidR="00D30692" w:rsidRPr="00D30692">
        <w:rPr>
          <w:rFonts w:ascii="Arial" w:hAnsi="Arial" w:cs="Arial"/>
          <w:b/>
          <w:sz w:val="28"/>
          <w:szCs w:val="28"/>
        </w:rPr>
        <w:t>o the United Nations</w:t>
      </w:r>
      <w:r w:rsidR="00F32158" w:rsidRPr="00D30692">
        <w:rPr>
          <w:rFonts w:ascii="Arial" w:hAnsi="Arial" w:cs="Arial"/>
          <w:b/>
          <w:sz w:val="28"/>
          <w:szCs w:val="28"/>
        </w:rPr>
        <w:t xml:space="preserve"> Human Rights Committee</w:t>
      </w:r>
      <w:r w:rsidR="00D30692" w:rsidRPr="00D30692">
        <w:rPr>
          <w:rFonts w:ascii="Arial" w:hAnsi="Arial" w:cs="Arial"/>
          <w:b/>
          <w:sz w:val="28"/>
          <w:szCs w:val="28"/>
        </w:rPr>
        <w:t>, List of Issues</w:t>
      </w:r>
      <w:r w:rsidR="00D30692">
        <w:rPr>
          <w:rFonts w:ascii="Arial" w:hAnsi="Arial" w:cs="Arial"/>
          <w:b/>
          <w:sz w:val="28"/>
          <w:szCs w:val="28"/>
        </w:rPr>
        <w:t xml:space="preserve"> of Kenya</w:t>
      </w:r>
    </w:p>
    <w:p w14:paraId="1EBF2189" w14:textId="77777777" w:rsidR="00C118F1" w:rsidRPr="00D30692" w:rsidRDefault="00C118F1" w:rsidP="00515FC3">
      <w:pPr>
        <w:spacing w:after="0"/>
        <w:ind w:left="57" w:right="57"/>
        <w:jc w:val="center"/>
        <w:rPr>
          <w:rFonts w:ascii="Arial" w:hAnsi="Arial" w:cs="Arial"/>
          <w:b/>
          <w:sz w:val="28"/>
          <w:szCs w:val="28"/>
        </w:rPr>
      </w:pPr>
    </w:p>
    <w:p w14:paraId="42D0E3AC" w14:textId="0D9C468B" w:rsidR="003122F7" w:rsidRPr="00D30692" w:rsidRDefault="00465F16" w:rsidP="009D3016">
      <w:pPr>
        <w:spacing w:after="0"/>
        <w:ind w:left="57" w:right="57"/>
        <w:jc w:val="center"/>
        <w:rPr>
          <w:rFonts w:ascii="Arial" w:hAnsi="Arial" w:cs="Arial"/>
          <w:b/>
          <w:sz w:val="28"/>
          <w:szCs w:val="28"/>
        </w:rPr>
      </w:pPr>
      <w:r w:rsidRPr="00D30692">
        <w:rPr>
          <w:rFonts w:ascii="Arial" w:hAnsi="Arial" w:cs="Arial"/>
          <w:b/>
          <w:sz w:val="28"/>
          <w:szCs w:val="28"/>
        </w:rPr>
        <w:t>128</w:t>
      </w:r>
      <w:r w:rsidRPr="00D30692">
        <w:rPr>
          <w:rFonts w:ascii="Arial" w:hAnsi="Arial" w:cs="Arial"/>
          <w:b/>
          <w:sz w:val="28"/>
          <w:szCs w:val="28"/>
          <w:vertAlign w:val="superscript"/>
        </w:rPr>
        <w:t>th</w:t>
      </w:r>
      <w:r w:rsidRPr="00D30692">
        <w:rPr>
          <w:rFonts w:ascii="Arial" w:hAnsi="Arial" w:cs="Arial"/>
          <w:b/>
          <w:sz w:val="28"/>
          <w:szCs w:val="28"/>
        </w:rPr>
        <w:t xml:space="preserve"> </w:t>
      </w:r>
      <w:r w:rsidR="00D30692">
        <w:rPr>
          <w:rFonts w:ascii="Arial" w:hAnsi="Arial" w:cs="Arial"/>
          <w:b/>
          <w:sz w:val="28"/>
          <w:szCs w:val="28"/>
        </w:rPr>
        <w:t xml:space="preserve">Session, </w:t>
      </w:r>
      <w:r w:rsidRPr="00D30692">
        <w:rPr>
          <w:rFonts w:ascii="Arial" w:hAnsi="Arial" w:cs="Arial"/>
          <w:b/>
          <w:sz w:val="28"/>
          <w:szCs w:val="28"/>
        </w:rPr>
        <w:t>March</w:t>
      </w:r>
      <w:r w:rsidR="001B5E0C" w:rsidRPr="00D30692">
        <w:rPr>
          <w:rFonts w:ascii="Arial" w:hAnsi="Arial" w:cs="Arial"/>
          <w:b/>
          <w:sz w:val="28"/>
          <w:szCs w:val="28"/>
        </w:rPr>
        <w:t xml:space="preserve"> 2020</w:t>
      </w:r>
    </w:p>
    <w:p w14:paraId="4B0C9604" w14:textId="14A37EB1" w:rsidR="00F51E96" w:rsidRDefault="00F51E96" w:rsidP="00D30692">
      <w:pPr>
        <w:spacing w:after="0"/>
        <w:ind w:right="57"/>
        <w:jc w:val="both"/>
        <w:rPr>
          <w:rFonts w:ascii="Arial" w:hAnsi="Arial" w:cs="Arial"/>
          <w:b/>
        </w:rPr>
      </w:pPr>
    </w:p>
    <w:p w14:paraId="058734A4" w14:textId="77777777" w:rsidR="00F51E96" w:rsidRPr="00515FC3" w:rsidRDefault="00F51E96" w:rsidP="00515FC3">
      <w:pPr>
        <w:spacing w:after="0"/>
        <w:ind w:left="57" w:right="57"/>
        <w:jc w:val="both"/>
        <w:rPr>
          <w:rFonts w:ascii="Arial" w:hAnsi="Arial" w:cs="Arial"/>
          <w:b/>
        </w:rPr>
      </w:pPr>
    </w:p>
    <w:p w14:paraId="2B1C156B" w14:textId="77777777" w:rsidR="00C118F1" w:rsidRPr="003122F7" w:rsidRDefault="001B5E0C" w:rsidP="00515FC3">
      <w:pPr>
        <w:spacing w:after="0"/>
        <w:ind w:left="57" w:right="57"/>
        <w:jc w:val="both"/>
        <w:rPr>
          <w:rFonts w:ascii="Arial" w:hAnsi="Arial" w:cs="Arial"/>
          <w:b/>
          <w:u w:val="single"/>
        </w:rPr>
      </w:pPr>
      <w:r w:rsidRPr="003122F7">
        <w:rPr>
          <w:rFonts w:ascii="Arial" w:hAnsi="Arial" w:cs="Arial"/>
          <w:b/>
          <w:u w:val="single"/>
        </w:rPr>
        <w:t>Executive Summary</w:t>
      </w:r>
    </w:p>
    <w:p w14:paraId="1BBF3EC7" w14:textId="77777777" w:rsidR="00515FC3" w:rsidRDefault="00515FC3" w:rsidP="00515FC3">
      <w:pPr>
        <w:spacing w:after="0"/>
        <w:ind w:left="57" w:right="57"/>
        <w:jc w:val="both"/>
        <w:rPr>
          <w:rFonts w:ascii="Arial" w:hAnsi="Arial" w:cs="Arial"/>
          <w:b/>
        </w:rPr>
      </w:pPr>
      <w:bookmarkStart w:id="0" w:name="_GoBack"/>
      <w:bookmarkEnd w:id="0"/>
    </w:p>
    <w:p w14:paraId="24917847" w14:textId="3397B116" w:rsidR="00C118F1" w:rsidRPr="00515FC3" w:rsidRDefault="001B5E0C" w:rsidP="00515FC3">
      <w:pPr>
        <w:pStyle w:val="ListParagraph"/>
        <w:numPr>
          <w:ilvl w:val="0"/>
          <w:numId w:val="43"/>
        </w:numPr>
        <w:spacing w:after="0"/>
        <w:ind w:right="57"/>
        <w:jc w:val="both"/>
        <w:rPr>
          <w:rFonts w:ascii="Arial" w:hAnsi="Arial" w:cs="Arial"/>
        </w:rPr>
      </w:pPr>
      <w:r w:rsidRPr="00515FC3">
        <w:rPr>
          <w:rFonts w:ascii="Arial" w:hAnsi="Arial" w:cs="Arial"/>
        </w:rPr>
        <w:t>ARTICLE 19</w:t>
      </w:r>
      <w:r w:rsidR="000E32C0" w:rsidRPr="00515FC3">
        <w:rPr>
          <w:rFonts w:ascii="Arial" w:hAnsi="Arial" w:cs="Arial"/>
        </w:rPr>
        <w:t xml:space="preserve"> </w:t>
      </w:r>
      <w:r w:rsidRPr="00515FC3">
        <w:rPr>
          <w:rFonts w:ascii="Arial" w:hAnsi="Arial" w:cs="Arial"/>
        </w:rPr>
        <w:t>welcome</w:t>
      </w:r>
      <w:r w:rsidR="00FE5C5A" w:rsidRPr="00515FC3">
        <w:rPr>
          <w:rFonts w:ascii="Arial" w:hAnsi="Arial" w:cs="Arial"/>
        </w:rPr>
        <w:t>s</w:t>
      </w:r>
      <w:r w:rsidRPr="00515FC3">
        <w:rPr>
          <w:rFonts w:ascii="Arial" w:hAnsi="Arial" w:cs="Arial"/>
        </w:rPr>
        <w:t xml:space="preserve"> the opportunity </w:t>
      </w:r>
      <w:r w:rsidR="00BD4B86" w:rsidRPr="00515FC3">
        <w:rPr>
          <w:rFonts w:ascii="Arial" w:hAnsi="Arial" w:cs="Arial"/>
        </w:rPr>
        <w:t xml:space="preserve">to </w:t>
      </w:r>
      <w:r w:rsidR="00FE5C5A" w:rsidRPr="00515FC3">
        <w:rPr>
          <w:rFonts w:ascii="Arial" w:hAnsi="Arial" w:cs="Arial"/>
        </w:rPr>
        <w:t>submit this information to the United Natio</w:t>
      </w:r>
      <w:r w:rsidR="00CF0F84">
        <w:rPr>
          <w:rFonts w:ascii="Arial" w:hAnsi="Arial" w:cs="Arial"/>
        </w:rPr>
        <w:t>ns Human Rights Committee (the C</w:t>
      </w:r>
      <w:r w:rsidR="00FE5C5A" w:rsidRPr="00515FC3">
        <w:rPr>
          <w:rFonts w:ascii="Arial" w:hAnsi="Arial" w:cs="Arial"/>
        </w:rPr>
        <w:t xml:space="preserve">ommittee), ahead of the adoption of the list of issues </w:t>
      </w:r>
      <w:r w:rsidR="00BD4B86" w:rsidRPr="00515FC3">
        <w:rPr>
          <w:rFonts w:ascii="Arial" w:hAnsi="Arial" w:cs="Arial"/>
        </w:rPr>
        <w:t xml:space="preserve">prior to the upcoming review of Kenya. </w:t>
      </w:r>
      <w:r w:rsidRPr="00515FC3">
        <w:rPr>
          <w:rFonts w:ascii="Arial" w:hAnsi="Arial" w:cs="Arial"/>
        </w:rPr>
        <w:t xml:space="preserve">This submission </w:t>
      </w:r>
      <w:r w:rsidR="00FE5C5A" w:rsidRPr="00515FC3">
        <w:rPr>
          <w:rFonts w:ascii="Arial" w:hAnsi="Arial" w:cs="Arial"/>
        </w:rPr>
        <w:t xml:space="preserve">sets out ARTICLE 19’s key concerns in relation to the fulfilment of </w:t>
      </w:r>
      <w:r w:rsidR="00BD4B86" w:rsidRPr="00515FC3">
        <w:rPr>
          <w:rFonts w:ascii="Arial" w:hAnsi="Arial" w:cs="Arial"/>
        </w:rPr>
        <w:t xml:space="preserve">the International Covenant </w:t>
      </w:r>
      <w:proofErr w:type="spellStart"/>
      <w:r w:rsidR="00BD4B86" w:rsidRPr="00515FC3">
        <w:rPr>
          <w:rFonts w:ascii="Arial" w:hAnsi="Arial" w:cs="Arial"/>
        </w:rPr>
        <w:t>of</w:t>
      </w:r>
      <w:proofErr w:type="spellEnd"/>
      <w:r w:rsidR="00BD4B86" w:rsidRPr="00515FC3">
        <w:rPr>
          <w:rFonts w:ascii="Arial" w:hAnsi="Arial" w:cs="Arial"/>
        </w:rPr>
        <w:t xml:space="preserve"> Civil and Political Rights (</w:t>
      </w:r>
      <w:r w:rsidR="00E35489" w:rsidRPr="00515FC3">
        <w:rPr>
          <w:rFonts w:ascii="Arial" w:hAnsi="Arial" w:cs="Arial"/>
        </w:rPr>
        <w:t xml:space="preserve">ICCPR), </w:t>
      </w:r>
      <w:r w:rsidR="00FE5C5A" w:rsidRPr="00515FC3">
        <w:rPr>
          <w:rFonts w:ascii="Arial" w:hAnsi="Arial" w:cs="Arial"/>
        </w:rPr>
        <w:t xml:space="preserve">in </w:t>
      </w:r>
      <w:r w:rsidR="008912E7">
        <w:rPr>
          <w:rFonts w:ascii="Arial" w:hAnsi="Arial" w:cs="Arial"/>
        </w:rPr>
        <w:t>particular</w:t>
      </w:r>
      <w:r w:rsidR="00FE5C5A" w:rsidRPr="00515FC3">
        <w:rPr>
          <w:rFonts w:ascii="Arial" w:hAnsi="Arial" w:cs="Arial"/>
        </w:rPr>
        <w:t xml:space="preserve"> to </w:t>
      </w:r>
      <w:r w:rsidRPr="00515FC3">
        <w:rPr>
          <w:rFonts w:ascii="Arial" w:hAnsi="Arial" w:cs="Arial"/>
        </w:rPr>
        <w:t xml:space="preserve">the right to freedom </w:t>
      </w:r>
      <w:r w:rsidR="00B43667" w:rsidRPr="00515FC3">
        <w:rPr>
          <w:rFonts w:ascii="Arial" w:hAnsi="Arial" w:cs="Arial"/>
        </w:rPr>
        <w:t>o</w:t>
      </w:r>
      <w:r w:rsidR="00E35489" w:rsidRPr="00515FC3">
        <w:rPr>
          <w:rFonts w:ascii="Arial" w:hAnsi="Arial" w:cs="Arial"/>
        </w:rPr>
        <w:t>f expression and information (</w:t>
      </w:r>
      <w:r w:rsidR="00E35489" w:rsidRPr="009D3016">
        <w:rPr>
          <w:rFonts w:ascii="Arial" w:hAnsi="Arial" w:cs="Arial"/>
          <w:b/>
        </w:rPr>
        <w:t>Article 19</w:t>
      </w:r>
      <w:r w:rsidR="00E35489" w:rsidRPr="00515FC3">
        <w:rPr>
          <w:rFonts w:ascii="Arial" w:hAnsi="Arial" w:cs="Arial"/>
        </w:rPr>
        <w:t>),</w:t>
      </w:r>
      <w:r w:rsidRPr="00515FC3">
        <w:rPr>
          <w:rFonts w:ascii="Arial" w:hAnsi="Arial" w:cs="Arial"/>
        </w:rPr>
        <w:t xml:space="preserve"> the right to freedom of peaceful assembly </w:t>
      </w:r>
      <w:r w:rsidR="00E35489" w:rsidRPr="00515FC3">
        <w:rPr>
          <w:rFonts w:ascii="Arial" w:hAnsi="Arial" w:cs="Arial"/>
        </w:rPr>
        <w:t>(</w:t>
      </w:r>
      <w:r w:rsidR="00E35489" w:rsidRPr="009D3016">
        <w:rPr>
          <w:rFonts w:ascii="Arial" w:hAnsi="Arial" w:cs="Arial"/>
          <w:b/>
        </w:rPr>
        <w:t>Article 21</w:t>
      </w:r>
      <w:r w:rsidR="00E35489" w:rsidRPr="00515FC3">
        <w:rPr>
          <w:rFonts w:ascii="Arial" w:hAnsi="Arial" w:cs="Arial"/>
        </w:rPr>
        <w:t xml:space="preserve">), </w:t>
      </w:r>
      <w:r w:rsidRPr="00515FC3">
        <w:rPr>
          <w:rFonts w:ascii="Arial" w:hAnsi="Arial" w:cs="Arial"/>
        </w:rPr>
        <w:t xml:space="preserve">and </w:t>
      </w:r>
      <w:r w:rsidR="00E35489" w:rsidRPr="00515FC3">
        <w:rPr>
          <w:rFonts w:ascii="Arial" w:hAnsi="Arial" w:cs="Arial"/>
        </w:rPr>
        <w:t>the right to freedom of association (</w:t>
      </w:r>
      <w:r w:rsidR="00E35489" w:rsidRPr="009D3016">
        <w:rPr>
          <w:rFonts w:ascii="Arial" w:hAnsi="Arial" w:cs="Arial"/>
          <w:b/>
        </w:rPr>
        <w:t>Article 22</w:t>
      </w:r>
      <w:r w:rsidR="00E35489" w:rsidRPr="00515FC3">
        <w:rPr>
          <w:rFonts w:ascii="Arial" w:hAnsi="Arial" w:cs="Arial"/>
        </w:rPr>
        <w:t>)</w:t>
      </w:r>
      <w:r w:rsidR="00515FC3">
        <w:rPr>
          <w:rFonts w:ascii="Arial" w:hAnsi="Arial" w:cs="Arial"/>
        </w:rPr>
        <w:t>, and the right to privacy (</w:t>
      </w:r>
      <w:r w:rsidR="00515FC3" w:rsidRPr="009D3016">
        <w:rPr>
          <w:rFonts w:ascii="Arial" w:hAnsi="Arial" w:cs="Arial"/>
          <w:b/>
        </w:rPr>
        <w:t>A</w:t>
      </w:r>
      <w:r w:rsidR="00FE5C5A" w:rsidRPr="009D3016">
        <w:rPr>
          <w:rFonts w:ascii="Arial" w:hAnsi="Arial" w:cs="Arial"/>
          <w:b/>
        </w:rPr>
        <w:t>rticle 17</w:t>
      </w:r>
      <w:r w:rsidR="00FE5C5A" w:rsidRPr="00515FC3">
        <w:rPr>
          <w:rFonts w:ascii="Arial" w:hAnsi="Arial" w:cs="Arial"/>
        </w:rPr>
        <w:t>)</w:t>
      </w:r>
      <w:r w:rsidR="004619DB">
        <w:rPr>
          <w:rFonts w:ascii="Arial" w:hAnsi="Arial" w:cs="Arial"/>
        </w:rPr>
        <w:t xml:space="preserve">. </w:t>
      </w:r>
    </w:p>
    <w:p w14:paraId="0A784A33" w14:textId="297800F4" w:rsidR="00515FC3" w:rsidRDefault="00515FC3" w:rsidP="009D3016">
      <w:pPr>
        <w:spacing w:after="0"/>
        <w:ind w:right="57"/>
        <w:jc w:val="both"/>
        <w:rPr>
          <w:rFonts w:ascii="Arial" w:hAnsi="Arial" w:cs="Arial"/>
        </w:rPr>
      </w:pPr>
    </w:p>
    <w:p w14:paraId="10D1930C" w14:textId="5DE3F1C8" w:rsidR="00E35489" w:rsidRPr="00F51E96" w:rsidRDefault="004309EE" w:rsidP="00F51E96">
      <w:pPr>
        <w:pStyle w:val="ListParagraph"/>
        <w:numPr>
          <w:ilvl w:val="0"/>
          <w:numId w:val="43"/>
        </w:numPr>
        <w:spacing w:after="0"/>
        <w:ind w:right="57"/>
        <w:jc w:val="both"/>
        <w:rPr>
          <w:rFonts w:ascii="Arial" w:hAnsi="Arial" w:cs="Arial"/>
        </w:rPr>
      </w:pPr>
      <w:r>
        <w:rPr>
          <w:rFonts w:ascii="Arial" w:hAnsi="Arial" w:cs="Arial"/>
        </w:rPr>
        <w:t>ARTICLE 19</w:t>
      </w:r>
      <w:r w:rsidR="00460008" w:rsidRPr="008912E7">
        <w:rPr>
          <w:rFonts w:ascii="Arial" w:hAnsi="Arial" w:cs="Arial"/>
        </w:rPr>
        <w:t xml:space="preserve"> </w:t>
      </w:r>
      <w:r w:rsidR="00CF0F84" w:rsidRPr="008912E7">
        <w:rPr>
          <w:rFonts w:ascii="Arial" w:hAnsi="Arial" w:cs="Arial"/>
        </w:rPr>
        <w:t>remain</w:t>
      </w:r>
      <w:r>
        <w:rPr>
          <w:rFonts w:ascii="Arial" w:hAnsi="Arial" w:cs="Arial"/>
        </w:rPr>
        <w:t>s</w:t>
      </w:r>
      <w:r w:rsidR="00CF0F84" w:rsidRPr="008912E7">
        <w:rPr>
          <w:rFonts w:ascii="Arial" w:hAnsi="Arial" w:cs="Arial"/>
        </w:rPr>
        <w:t xml:space="preserve"> </w:t>
      </w:r>
      <w:r w:rsidR="00460008" w:rsidRPr="008912E7">
        <w:rPr>
          <w:rFonts w:ascii="Arial" w:hAnsi="Arial" w:cs="Arial"/>
        </w:rPr>
        <w:t xml:space="preserve">concerned by </w:t>
      </w:r>
      <w:r w:rsidR="002D01DA">
        <w:rPr>
          <w:rFonts w:ascii="Arial" w:hAnsi="Arial" w:cs="Arial"/>
        </w:rPr>
        <w:t>ongoing and serious restrictions to civic space in</w:t>
      </w:r>
      <w:r w:rsidR="008912E7" w:rsidRPr="008912E7">
        <w:rPr>
          <w:rFonts w:ascii="Arial" w:hAnsi="Arial" w:cs="Arial"/>
        </w:rPr>
        <w:t xml:space="preserve"> Kenya.</w:t>
      </w:r>
      <w:r w:rsidR="008912E7">
        <w:rPr>
          <w:rFonts w:ascii="Arial" w:hAnsi="Arial" w:cs="Arial"/>
        </w:rPr>
        <w:t xml:space="preserve"> </w:t>
      </w:r>
      <w:r>
        <w:rPr>
          <w:rFonts w:ascii="Arial" w:hAnsi="Arial" w:cs="Arial"/>
        </w:rPr>
        <w:t xml:space="preserve">Our research has found an overall decline </w:t>
      </w:r>
      <w:r w:rsidR="008912E7" w:rsidRPr="008912E7">
        <w:rPr>
          <w:rFonts w:ascii="Arial" w:hAnsi="Arial" w:cs="Arial"/>
        </w:rPr>
        <w:t>in free</w:t>
      </w:r>
      <w:r w:rsidR="002D01DA">
        <w:rPr>
          <w:rFonts w:ascii="Arial" w:hAnsi="Arial" w:cs="Arial"/>
        </w:rPr>
        <w:t>dom of</w:t>
      </w:r>
      <w:r w:rsidR="008912E7" w:rsidRPr="008912E7">
        <w:rPr>
          <w:rFonts w:ascii="Arial" w:hAnsi="Arial" w:cs="Arial"/>
        </w:rPr>
        <w:t xml:space="preserve"> expression </w:t>
      </w:r>
      <w:r>
        <w:rPr>
          <w:rFonts w:ascii="Arial" w:hAnsi="Arial" w:cs="Arial"/>
        </w:rPr>
        <w:t xml:space="preserve">in </w:t>
      </w:r>
      <w:r w:rsidR="00F51E96">
        <w:rPr>
          <w:rFonts w:ascii="Arial" w:hAnsi="Arial" w:cs="Arial"/>
        </w:rPr>
        <w:t>the country</w:t>
      </w:r>
      <w:r>
        <w:rPr>
          <w:rFonts w:ascii="Arial" w:hAnsi="Arial" w:cs="Arial"/>
        </w:rPr>
        <w:t xml:space="preserve"> since the last review of the Committee in 2012</w:t>
      </w:r>
      <w:r w:rsidR="004619DB">
        <w:rPr>
          <w:rFonts w:ascii="Arial" w:hAnsi="Arial" w:cs="Arial"/>
        </w:rPr>
        <w:t>.</w:t>
      </w:r>
      <w:r w:rsidR="004619DB">
        <w:rPr>
          <w:rStyle w:val="FootnoteReference"/>
          <w:rFonts w:ascii="Arial" w:hAnsi="Arial" w:cs="Arial"/>
        </w:rPr>
        <w:footnoteReference w:id="1"/>
      </w:r>
      <w:r w:rsidR="004619DB">
        <w:rPr>
          <w:rFonts w:ascii="Arial" w:hAnsi="Arial" w:cs="Arial"/>
        </w:rPr>
        <w:t xml:space="preserve"> </w:t>
      </w:r>
      <w:r>
        <w:rPr>
          <w:rFonts w:ascii="Arial" w:hAnsi="Arial" w:cs="Arial"/>
        </w:rPr>
        <w:t>This includes numerous attempts of the government to introduce new and undue</w:t>
      </w:r>
      <w:r w:rsidR="00F51E96">
        <w:rPr>
          <w:rFonts w:ascii="Arial" w:hAnsi="Arial" w:cs="Arial"/>
        </w:rPr>
        <w:t xml:space="preserve"> legal</w:t>
      </w:r>
      <w:r>
        <w:rPr>
          <w:rFonts w:ascii="Arial" w:hAnsi="Arial" w:cs="Arial"/>
        </w:rPr>
        <w:t xml:space="preserve"> </w:t>
      </w:r>
      <w:r w:rsidR="00F51E96">
        <w:rPr>
          <w:rFonts w:ascii="Arial" w:hAnsi="Arial" w:cs="Arial"/>
        </w:rPr>
        <w:t>restrictions</w:t>
      </w:r>
      <w:r w:rsidR="002D01DA">
        <w:rPr>
          <w:rFonts w:ascii="Arial" w:hAnsi="Arial" w:cs="Arial"/>
        </w:rPr>
        <w:t xml:space="preserve">, as well as </w:t>
      </w:r>
      <w:r w:rsidR="00F51E96" w:rsidRPr="00F51E96">
        <w:rPr>
          <w:rFonts w:ascii="Arial" w:hAnsi="Arial" w:cs="Arial"/>
        </w:rPr>
        <w:t>significant</w:t>
      </w:r>
      <w:r w:rsidRPr="00F51E96">
        <w:rPr>
          <w:rFonts w:ascii="Arial" w:hAnsi="Arial" w:cs="Arial"/>
        </w:rPr>
        <w:t xml:space="preserve"> </w:t>
      </w:r>
      <w:r w:rsidR="002D01DA">
        <w:rPr>
          <w:rFonts w:ascii="Arial" w:hAnsi="Arial" w:cs="Arial"/>
        </w:rPr>
        <w:t xml:space="preserve">harassment and </w:t>
      </w:r>
      <w:r w:rsidRPr="00F51E96">
        <w:rPr>
          <w:rFonts w:ascii="Arial" w:hAnsi="Arial" w:cs="Arial"/>
        </w:rPr>
        <w:t>violence agai</w:t>
      </w:r>
      <w:r w:rsidR="00AD4BAE">
        <w:rPr>
          <w:rFonts w:ascii="Arial" w:hAnsi="Arial" w:cs="Arial"/>
        </w:rPr>
        <w:t>nst proteste</w:t>
      </w:r>
      <w:r w:rsidR="00F51E96">
        <w:rPr>
          <w:rFonts w:ascii="Arial" w:hAnsi="Arial" w:cs="Arial"/>
        </w:rPr>
        <w:t xml:space="preserve">rs, </w:t>
      </w:r>
      <w:r w:rsidR="00F51E96" w:rsidRPr="00F51E96">
        <w:rPr>
          <w:rFonts w:ascii="Arial" w:hAnsi="Arial" w:cs="Arial"/>
        </w:rPr>
        <w:t xml:space="preserve">journalists and human rights defenders, </w:t>
      </w:r>
      <w:r w:rsidR="00F51E96">
        <w:rPr>
          <w:rFonts w:ascii="Arial" w:hAnsi="Arial" w:cs="Arial"/>
        </w:rPr>
        <w:t>particularly in the context of national elections</w:t>
      </w:r>
      <w:r w:rsidR="00F51E96" w:rsidRPr="00F51E96">
        <w:rPr>
          <w:rFonts w:ascii="Arial" w:hAnsi="Arial" w:cs="Arial"/>
        </w:rPr>
        <w:t xml:space="preserve"> in 2017.</w:t>
      </w:r>
      <w:r w:rsidR="002D01DA">
        <w:rPr>
          <w:rFonts w:ascii="Arial" w:hAnsi="Arial" w:cs="Arial"/>
        </w:rPr>
        <w:t xml:space="preserve"> Despite these negative trends, there has been limited progress</w:t>
      </w:r>
      <w:r w:rsidR="00AD4BAE">
        <w:rPr>
          <w:rFonts w:ascii="Arial" w:hAnsi="Arial" w:cs="Arial"/>
        </w:rPr>
        <w:t xml:space="preserve"> in certain areas</w:t>
      </w:r>
      <w:r w:rsidR="002D01DA">
        <w:rPr>
          <w:rFonts w:ascii="Arial" w:hAnsi="Arial" w:cs="Arial"/>
        </w:rPr>
        <w:t>, notably with the passage of the Access to Information Law in 2016</w:t>
      </w:r>
      <w:r w:rsidR="00AD4BAE">
        <w:rPr>
          <w:rFonts w:ascii="Arial" w:hAnsi="Arial" w:cs="Arial"/>
        </w:rPr>
        <w:t>, as well as successful constitutional challenges of legislation restrictive of freedom of expression</w:t>
      </w:r>
      <w:r w:rsidR="002D01DA">
        <w:rPr>
          <w:rFonts w:ascii="Arial" w:hAnsi="Arial" w:cs="Arial"/>
        </w:rPr>
        <w:t xml:space="preserve">.  </w:t>
      </w:r>
    </w:p>
    <w:p w14:paraId="1CC18091" w14:textId="014DDA17" w:rsidR="008912E7" w:rsidRPr="008912E7" w:rsidRDefault="008912E7" w:rsidP="008912E7">
      <w:pPr>
        <w:spacing w:after="0"/>
        <w:ind w:right="57"/>
        <w:jc w:val="both"/>
        <w:rPr>
          <w:rFonts w:ascii="Arial" w:hAnsi="Arial" w:cs="Arial"/>
        </w:rPr>
      </w:pPr>
    </w:p>
    <w:p w14:paraId="48A12EFA" w14:textId="4E1EF05F" w:rsidR="003122F7" w:rsidRPr="003122F7" w:rsidRDefault="003122F7" w:rsidP="00C2084D">
      <w:pPr>
        <w:spacing w:after="0"/>
        <w:ind w:left="57" w:right="57"/>
        <w:jc w:val="both"/>
        <w:rPr>
          <w:rFonts w:ascii="Arial" w:hAnsi="Arial" w:cs="Arial"/>
          <w:b/>
          <w:u w:val="single"/>
        </w:rPr>
      </w:pPr>
      <w:r>
        <w:rPr>
          <w:rFonts w:ascii="Arial" w:hAnsi="Arial" w:cs="Arial"/>
          <w:b/>
          <w:u w:val="single"/>
        </w:rPr>
        <w:t xml:space="preserve">Article 19: </w:t>
      </w:r>
      <w:r w:rsidRPr="003122F7">
        <w:rPr>
          <w:rFonts w:ascii="Arial" w:hAnsi="Arial" w:cs="Arial"/>
          <w:b/>
          <w:u w:val="single"/>
        </w:rPr>
        <w:t>Right to Freedom of Expression and Information</w:t>
      </w:r>
    </w:p>
    <w:p w14:paraId="1B2BBED7" w14:textId="77777777" w:rsidR="003122F7" w:rsidRPr="00C2084D" w:rsidRDefault="003122F7" w:rsidP="00C2084D">
      <w:pPr>
        <w:spacing w:after="0"/>
        <w:ind w:left="57" w:right="57"/>
        <w:jc w:val="both"/>
        <w:rPr>
          <w:rFonts w:ascii="Arial" w:hAnsi="Arial" w:cs="Arial"/>
        </w:rPr>
      </w:pPr>
    </w:p>
    <w:p w14:paraId="0F35E5FD" w14:textId="620DEE84" w:rsidR="000552CD" w:rsidRPr="00C2084D" w:rsidRDefault="001B5E0C" w:rsidP="00C2084D">
      <w:pPr>
        <w:spacing w:after="0"/>
        <w:ind w:left="57" w:right="57"/>
        <w:jc w:val="both"/>
        <w:rPr>
          <w:rFonts w:ascii="Arial" w:hAnsi="Arial" w:cs="Arial"/>
          <w:b/>
        </w:rPr>
      </w:pPr>
      <w:r w:rsidRPr="00C2084D">
        <w:rPr>
          <w:rFonts w:ascii="Arial" w:hAnsi="Arial" w:cs="Arial"/>
          <w:b/>
        </w:rPr>
        <w:t>Legal Framework for Free Expression</w:t>
      </w:r>
    </w:p>
    <w:p w14:paraId="44341F7B" w14:textId="556A8146" w:rsidR="00C118F1" w:rsidRDefault="00C118F1" w:rsidP="00C2084D">
      <w:pPr>
        <w:spacing w:after="0"/>
        <w:ind w:left="57" w:right="57"/>
        <w:jc w:val="both"/>
        <w:rPr>
          <w:rFonts w:ascii="Arial" w:hAnsi="Arial" w:cs="Arial"/>
          <w:lang w:val="en-US"/>
        </w:rPr>
      </w:pPr>
    </w:p>
    <w:p w14:paraId="71EE3AEF" w14:textId="468E605A" w:rsidR="00460008" w:rsidRPr="00515FC3" w:rsidRDefault="00460008" w:rsidP="00C2084D">
      <w:pPr>
        <w:spacing w:after="0"/>
        <w:ind w:left="57" w:right="57"/>
        <w:jc w:val="both"/>
        <w:rPr>
          <w:rFonts w:ascii="Arial" w:hAnsi="Arial" w:cs="Arial"/>
          <w:i/>
          <w:lang w:val="en-US"/>
        </w:rPr>
      </w:pPr>
      <w:r w:rsidRPr="00515FC3">
        <w:rPr>
          <w:rFonts w:ascii="Arial" w:hAnsi="Arial" w:cs="Arial"/>
          <w:i/>
          <w:lang w:val="en-US"/>
        </w:rPr>
        <w:t>Constitution</w:t>
      </w:r>
    </w:p>
    <w:p w14:paraId="5F132D04" w14:textId="77777777" w:rsidR="00460008" w:rsidRPr="00C2084D" w:rsidRDefault="00460008" w:rsidP="00C2084D">
      <w:pPr>
        <w:spacing w:after="0"/>
        <w:ind w:left="57" w:right="57"/>
        <w:jc w:val="both"/>
        <w:rPr>
          <w:rFonts w:ascii="Arial" w:hAnsi="Arial" w:cs="Arial"/>
          <w:lang w:val="en-US"/>
        </w:rPr>
      </w:pPr>
    </w:p>
    <w:p w14:paraId="1C9B9986" w14:textId="3548B10B" w:rsidR="000552CD" w:rsidRPr="00515FC3" w:rsidRDefault="001B5E0C" w:rsidP="00515FC3">
      <w:pPr>
        <w:pStyle w:val="ListParagraph"/>
        <w:numPr>
          <w:ilvl w:val="0"/>
          <w:numId w:val="43"/>
        </w:numPr>
        <w:spacing w:after="0"/>
        <w:ind w:right="57"/>
        <w:jc w:val="both"/>
        <w:rPr>
          <w:rFonts w:ascii="Arial" w:hAnsi="Arial" w:cs="Arial"/>
          <w:lang w:val="en-US"/>
        </w:rPr>
      </w:pPr>
      <w:r w:rsidRPr="00515FC3">
        <w:rPr>
          <w:rFonts w:ascii="Arial" w:hAnsi="Arial" w:cs="Arial"/>
          <w:lang w:val="en-US"/>
        </w:rPr>
        <w:t xml:space="preserve">Article 33 of the Constitution of Kenya 2010 gives strong protection to the right to freedom of expression, subject to the exclusions of Article 33(2), with Article 34 further </w:t>
      </w:r>
      <w:r w:rsidR="00E35489" w:rsidRPr="00515FC3">
        <w:rPr>
          <w:rFonts w:ascii="Arial" w:hAnsi="Arial" w:cs="Arial"/>
          <w:lang w:val="en-US"/>
        </w:rPr>
        <w:t>protecting freedom of the media</w:t>
      </w:r>
      <w:r w:rsidRPr="00515FC3">
        <w:rPr>
          <w:rFonts w:ascii="Arial" w:hAnsi="Arial" w:cs="Arial"/>
          <w:lang w:val="en-US"/>
        </w:rPr>
        <w:t xml:space="preserve"> and Article 35 protecting the right of access to information. Article 2 of the Constitution incorporates international law, including</w:t>
      </w:r>
      <w:r w:rsidR="00E35489" w:rsidRPr="00515FC3">
        <w:rPr>
          <w:rFonts w:ascii="Arial" w:hAnsi="Arial" w:cs="Arial"/>
          <w:lang w:val="en-US"/>
        </w:rPr>
        <w:t xml:space="preserve"> the ICCPR and other</w:t>
      </w:r>
      <w:r w:rsidRPr="00515FC3">
        <w:rPr>
          <w:rFonts w:ascii="Arial" w:hAnsi="Arial" w:cs="Arial"/>
          <w:lang w:val="en-US"/>
        </w:rPr>
        <w:t xml:space="preserve"> human rights treaties which Kenya has ratif</w:t>
      </w:r>
      <w:r w:rsidR="00E35489" w:rsidRPr="00515FC3">
        <w:rPr>
          <w:rFonts w:ascii="Arial" w:hAnsi="Arial" w:cs="Arial"/>
          <w:lang w:val="en-US"/>
        </w:rPr>
        <w:t>ied, directly into national law.</w:t>
      </w:r>
      <w:r w:rsidRPr="00C2084D">
        <w:rPr>
          <w:rStyle w:val="FootnoteAnchor"/>
          <w:rFonts w:ascii="Arial" w:hAnsi="Arial" w:cs="Arial"/>
          <w:lang w:val="en-US"/>
        </w:rPr>
        <w:footnoteReference w:id="2"/>
      </w:r>
    </w:p>
    <w:p w14:paraId="185D756F" w14:textId="77777777" w:rsidR="000552CD" w:rsidRPr="00C2084D" w:rsidRDefault="000552CD" w:rsidP="00C2084D">
      <w:pPr>
        <w:spacing w:after="0"/>
        <w:ind w:left="57" w:right="57"/>
        <w:jc w:val="both"/>
        <w:rPr>
          <w:rFonts w:ascii="Arial" w:hAnsi="Arial" w:cs="Arial"/>
          <w:lang w:val="en-US"/>
        </w:rPr>
      </w:pPr>
    </w:p>
    <w:p w14:paraId="546EEF4D" w14:textId="328A166D" w:rsidR="000552CD" w:rsidRPr="00C2084D" w:rsidRDefault="001B5E0C" w:rsidP="00C2084D">
      <w:pPr>
        <w:spacing w:after="0"/>
        <w:ind w:left="57" w:right="57"/>
        <w:jc w:val="both"/>
        <w:rPr>
          <w:rFonts w:ascii="Arial" w:hAnsi="Arial" w:cs="Arial"/>
          <w:i/>
          <w:lang w:val="en-US"/>
        </w:rPr>
      </w:pPr>
      <w:r w:rsidRPr="00C2084D">
        <w:rPr>
          <w:rFonts w:ascii="Arial" w:hAnsi="Arial" w:cs="Arial"/>
          <w:i/>
          <w:lang w:val="en-US"/>
        </w:rPr>
        <w:t xml:space="preserve">Penal Code </w:t>
      </w:r>
    </w:p>
    <w:p w14:paraId="14091EA8" w14:textId="77777777" w:rsidR="00C118F1" w:rsidRPr="00C2084D" w:rsidRDefault="00C118F1" w:rsidP="00C2084D">
      <w:pPr>
        <w:spacing w:after="0"/>
        <w:ind w:left="57" w:right="57"/>
        <w:jc w:val="both"/>
        <w:rPr>
          <w:rFonts w:ascii="Arial" w:hAnsi="Arial" w:cs="Arial"/>
          <w:u w:val="single"/>
          <w:lang w:val="en-US"/>
        </w:rPr>
      </w:pPr>
    </w:p>
    <w:p w14:paraId="12CF4F7B" w14:textId="7B1F7F98" w:rsidR="00C118F1" w:rsidRPr="00C2084D" w:rsidRDefault="00BB08B4" w:rsidP="00515FC3">
      <w:pPr>
        <w:pStyle w:val="ListParagraph"/>
        <w:numPr>
          <w:ilvl w:val="0"/>
          <w:numId w:val="43"/>
        </w:numPr>
        <w:spacing w:after="0"/>
        <w:ind w:right="57"/>
        <w:jc w:val="both"/>
        <w:rPr>
          <w:rFonts w:ascii="Arial" w:hAnsi="Arial" w:cs="Arial"/>
          <w:lang w:val="en-US"/>
        </w:rPr>
      </w:pPr>
      <w:r w:rsidRPr="00C2084D">
        <w:rPr>
          <w:rFonts w:ascii="Arial" w:hAnsi="Arial" w:cs="Arial"/>
          <w:lang w:val="en-US"/>
        </w:rPr>
        <w:t xml:space="preserve">Since the previous </w:t>
      </w:r>
      <w:r w:rsidR="001B5E0C" w:rsidRPr="00C2084D">
        <w:rPr>
          <w:rFonts w:ascii="Arial" w:hAnsi="Arial" w:cs="Arial"/>
          <w:lang w:val="en-US"/>
        </w:rPr>
        <w:t xml:space="preserve">review, the Kenyan judiciary has struck down </w:t>
      </w:r>
      <w:r w:rsidR="000E32C0" w:rsidRPr="00C2084D">
        <w:rPr>
          <w:rFonts w:ascii="Arial" w:hAnsi="Arial" w:cs="Arial"/>
          <w:lang w:val="en-US"/>
        </w:rPr>
        <w:t xml:space="preserve">several </w:t>
      </w:r>
      <w:r w:rsidR="001B5E0C" w:rsidRPr="00C2084D">
        <w:rPr>
          <w:rFonts w:ascii="Arial" w:hAnsi="Arial" w:cs="Arial"/>
          <w:lang w:val="en-US"/>
        </w:rPr>
        <w:t>provisions of national law on the basis of their incompatibility with Constitutional freedom of expression guarantees.</w:t>
      </w:r>
      <w:bookmarkStart w:id="1" w:name="move24021522"/>
      <w:bookmarkEnd w:id="1"/>
    </w:p>
    <w:p w14:paraId="29D4B684" w14:textId="77777777" w:rsidR="00C118F1" w:rsidRPr="00C2084D" w:rsidRDefault="00C118F1" w:rsidP="00C2084D">
      <w:pPr>
        <w:pStyle w:val="ListParagraph"/>
        <w:spacing w:after="0"/>
        <w:ind w:left="57" w:right="57"/>
        <w:jc w:val="both"/>
        <w:rPr>
          <w:rFonts w:ascii="Arial" w:hAnsi="Arial" w:cs="Arial"/>
          <w:lang w:val="en-US"/>
        </w:rPr>
      </w:pPr>
    </w:p>
    <w:p w14:paraId="7AFBF8C6" w14:textId="497B1DB4" w:rsidR="00C118F1" w:rsidRPr="00C2084D" w:rsidRDefault="001B5E0C" w:rsidP="00515FC3">
      <w:pPr>
        <w:pStyle w:val="ListParagraph"/>
        <w:numPr>
          <w:ilvl w:val="0"/>
          <w:numId w:val="43"/>
        </w:numPr>
        <w:spacing w:after="0"/>
        <w:ind w:right="57"/>
        <w:jc w:val="both"/>
        <w:rPr>
          <w:rFonts w:ascii="Arial" w:hAnsi="Arial" w:cs="Arial"/>
          <w:lang w:val="en-US"/>
        </w:rPr>
      </w:pPr>
      <w:r w:rsidRPr="00C2084D">
        <w:rPr>
          <w:rFonts w:ascii="Arial" w:hAnsi="Arial" w:cs="Arial"/>
        </w:rPr>
        <w:t xml:space="preserve">In April 2017, the High Court of Kenya declared Section 132 of the Penal Code </w:t>
      </w:r>
      <w:r w:rsidR="0092582C" w:rsidRPr="00C2084D">
        <w:rPr>
          <w:rFonts w:ascii="Arial" w:hAnsi="Arial" w:cs="Arial"/>
        </w:rPr>
        <w:t>unconstitutional</w:t>
      </w:r>
      <w:r w:rsidR="00C118F1" w:rsidRPr="00C2084D">
        <w:rPr>
          <w:rFonts w:ascii="Arial" w:hAnsi="Arial" w:cs="Arial"/>
        </w:rPr>
        <w:t>.</w:t>
      </w:r>
      <w:r w:rsidRPr="00C2084D">
        <w:rPr>
          <w:rStyle w:val="FootnoteAnchor"/>
          <w:rFonts w:ascii="Arial" w:hAnsi="Arial" w:cs="Arial"/>
        </w:rPr>
        <w:footnoteReference w:id="3"/>
      </w:r>
      <w:r w:rsidRPr="00C2084D">
        <w:rPr>
          <w:rFonts w:ascii="Arial" w:hAnsi="Arial" w:cs="Arial"/>
        </w:rPr>
        <w:t xml:space="preserve"> </w:t>
      </w:r>
      <w:r w:rsidR="0091536B" w:rsidRPr="00C2084D">
        <w:rPr>
          <w:rFonts w:ascii="Arial" w:hAnsi="Arial" w:cs="Arial"/>
        </w:rPr>
        <w:t>The provision criminalised anyone whose statements or acts “[excited] defiance of or disobedience” to public officers, or were “calculated to discredit” them, punishable by up to three years’ imprisonment. These extremely vague terms enabled its routine misuse by state officials to government critics.</w:t>
      </w:r>
      <w:r w:rsidR="0091536B" w:rsidRPr="00C2084D">
        <w:rPr>
          <w:rStyle w:val="FootnoteReference"/>
          <w:rFonts w:ascii="Arial" w:hAnsi="Arial" w:cs="Arial"/>
        </w:rPr>
        <w:footnoteReference w:id="4"/>
      </w:r>
      <w:r w:rsidR="0091536B" w:rsidRPr="00C2084D">
        <w:rPr>
          <w:rFonts w:ascii="Arial" w:hAnsi="Arial" w:cs="Arial"/>
        </w:rPr>
        <w:t xml:space="preserve"> The constitutional challenge was brought by Robert Alai, a social media commentator and blogger, together with ARTICLE 19. Alai had been arrested and charged under Section 132 for a Facebook post that criticised President Uhuru Kenyatta’s comments regarding the opposition leader and CORD Principal </w:t>
      </w:r>
      <w:proofErr w:type="spellStart"/>
      <w:r w:rsidR="0091536B" w:rsidRPr="00C2084D">
        <w:rPr>
          <w:rFonts w:ascii="Arial" w:hAnsi="Arial" w:cs="Arial"/>
        </w:rPr>
        <w:t>Raila</w:t>
      </w:r>
      <w:proofErr w:type="spellEnd"/>
      <w:r w:rsidR="0091536B" w:rsidRPr="00C2084D">
        <w:rPr>
          <w:rFonts w:ascii="Arial" w:hAnsi="Arial" w:cs="Arial"/>
        </w:rPr>
        <w:t xml:space="preserve"> </w:t>
      </w:r>
      <w:proofErr w:type="spellStart"/>
      <w:r w:rsidR="0091536B" w:rsidRPr="00C2084D">
        <w:rPr>
          <w:rFonts w:ascii="Arial" w:hAnsi="Arial" w:cs="Arial"/>
        </w:rPr>
        <w:t>Odinga</w:t>
      </w:r>
      <w:proofErr w:type="spellEnd"/>
      <w:r w:rsidR="00C118F1" w:rsidRPr="00C2084D">
        <w:rPr>
          <w:rFonts w:ascii="Arial" w:hAnsi="Arial" w:cs="Arial"/>
        </w:rPr>
        <w:t>.</w:t>
      </w:r>
    </w:p>
    <w:p w14:paraId="1A335399" w14:textId="77777777" w:rsidR="0032548B" w:rsidRPr="00C2084D" w:rsidRDefault="0032548B" w:rsidP="00C2084D">
      <w:pPr>
        <w:spacing w:after="0"/>
        <w:ind w:left="57" w:right="57"/>
        <w:jc w:val="both"/>
        <w:rPr>
          <w:rFonts w:ascii="Arial" w:hAnsi="Arial" w:cs="Arial"/>
          <w:lang w:val="en-US"/>
        </w:rPr>
      </w:pPr>
    </w:p>
    <w:p w14:paraId="486F3998" w14:textId="04A06204" w:rsidR="00C118F1" w:rsidRPr="00515FC3" w:rsidRDefault="0091536B" w:rsidP="00515FC3">
      <w:pPr>
        <w:pStyle w:val="ListParagraph"/>
        <w:numPr>
          <w:ilvl w:val="0"/>
          <w:numId w:val="43"/>
        </w:numPr>
        <w:spacing w:after="0"/>
        <w:ind w:right="57"/>
        <w:jc w:val="both"/>
        <w:rPr>
          <w:rFonts w:ascii="Arial" w:hAnsi="Arial" w:cs="Arial"/>
          <w:lang w:val="en-US"/>
        </w:rPr>
      </w:pPr>
      <w:r w:rsidRPr="00515FC3">
        <w:rPr>
          <w:rFonts w:ascii="Arial" w:eastAsia="Times New Roman" w:hAnsi="Arial" w:cs="Arial"/>
        </w:rPr>
        <w:t xml:space="preserve">In February 2017, the High Court declared Section 194 of the Penal Code, on criminal defamation, unconstitutional, in a case brought by Jacqueline </w:t>
      </w:r>
      <w:proofErr w:type="spellStart"/>
      <w:r w:rsidRPr="00515FC3">
        <w:rPr>
          <w:rFonts w:ascii="Arial" w:eastAsia="Times New Roman" w:hAnsi="Arial" w:cs="Arial"/>
        </w:rPr>
        <w:t>Okuta</w:t>
      </w:r>
      <w:proofErr w:type="spellEnd"/>
      <w:r w:rsidRPr="00515FC3">
        <w:rPr>
          <w:rFonts w:ascii="Arial" w:eastAsia="Times New Roman" w:hAnsi="Arial" w:cs="Arial"/>
        </w:rPr>
        <w:t xml:space="preserve"> and Jackson </w:t>
      </w:r>
      <w:proofErr w:type="spellStart"/>
      <w:r w:rsidRPr="00515FC3">
        <w:rPr>
          <w:rFonts w:ascii="Arial" w:eastAsia="Times New Roman" w:hAnsi="Arial" w:cs="Arial"/>
        </w:rPr>
        <w:t>Njeru</w:t>
      </w:r>
      <w:proofErr w:type="spellEnd"/>
      <w:r w:rsidRPr="00515FC3">
        <w:rPr>
          <w:rFonts w:ascii="Arial" w:eastAsia="Times New Roman" w:hAnsi="Arial" w:cs="Arial"/>
        </w:rPr>
        <w:t>. Both had been pursued under Section 194, in relation to their posts on the Facebook page “</w:t>
      </w:r>
      <w:r w:rsidRPr="00515FC3">
        <w:rPr>
          <w:rFonts w:ascii="Arial" w:eastAsia="Times New Roman" w:hAnsi="Arial" w:cs="Arial"/>
          <w:i/>
        </w:rPr>
        <w:t>Buyer Beware Kenya</w:t>
      </w:r>
      <w:r w:rsidRPr="00515FC3">
        <w:rPr>
          <w:rFonts w:ascii="Arial" w:eastAsia="Times New Roman" w:hAnsi="Arial" w:cs="Arial"/>
        </w:rPr>
        <w:t>”.</w:t>
      </w:r>
      <w:r w:rsidRPr="00C2084D">
        <w:rPr>
          <w:rStyle w:val="FootnoteReference"/>
          <w:rFonts w:ascii="Arial" w:eastAsia="Times New Roman" w:hAnsi="Arial" w:cs="Arial"/>
        </w:rPr>
        <w:footnoteReference w:id="5"/>
      </w:r>
      <w:r w:rsidRPr="00515FC3">
        <w:rPr>
          <w:rFonts w:ascii="Arial" w:eastAsia="Times New Roman" w:hAnsi="Arial" w:cs="Arial"/>
        </w:rPr>
        <w:t xml:space="preserve"> The court held criminal defamation to be an unnecessary, excessive, and unjustifiable restriction on freedom of expression in an open and democratic society. </w:t>
      </w:r>
    </w:p>
    <w:p w14:paraId="598B01B3" w14:textId="77777777" w:rsidR="0032548B" w:rsidRPr="00C2084D" w:rsidRDefault="0032548B" w:rsidP="00C2084D">
      <w:pPr>
        <w:spacing w:after="0"/>
        <w:ind w:left="57" w:right="57"/>
        <w:jc w:val="both"/>
        <w:rPr>
          <w:rFonts w:ascii="Arial" w:hAnsi="Arial" w:cs="Arial"/>
          <w:lang w:val="en-US"/>
        </w:rPr>
      </w:pPr>
    </w:p>
    <w:p w14:paraId="76E30BA3" w14:textId="3C019176" w:rsidR="00C118F1" w:rsidRPr="00C2084D" w:rsidRDefault="001B5E0C" w:rsidP="00515FC3">
      <w:pPr>
        <w:pStyle w:val="ListParagraph"/>
        <w:numPr>
          <w:ilvl w:val="0"/>
          <w:numId w:val="43"/>
        </w:numPr>
        <w:spacing w:after="0"/>
        <w:ind w:right="57"/>
        <w:jc w:val="both"/>
        <w:rPr>
          <w:rFonts w:ascii="Arial" w:hAnsi="Arial" w:cs="Arial"/>
          <w:lang w:val="en-US"/>
        </w:rPr>
      </w:pPr>
      <w:r w:rsidRPr="00C2084D">
        <w:rPr>
          <w:rFonts w:ascii="Arial" w:hAnsi="Arial" w:cs="Arial"/>
          <w:lang w:val="en-US"/>
        </w:rPr>
        <w:t xml:space="preserve">Other content-based restrictions on expression – that do not comply with international human rights law and standards </w:t>
      </w:r>
      <w:r w:rsidR="00460008">
        <w:rPr>
          <w:rFonts w:ascii="Arial" w:hAnsi="Arial" w:cs="Arial"/>
          <w:lang w:val="en-US"/>
        </w:rPr>
        <w:t>–</w:t>
      </w:r>
      <w:r w:rsidRPr="00C2084D">
        <w:rPr>
          <w:rFonts w:ascii="Arial" w:hAnsi="Arial" w:cs="Arial"/>
          <w:lang w:val="en-US"/>
        </w:rPr>
        <w:t xml:space="preserve"> remain in the penal code, </w:t>
      </w:r>
      <w:r w:rsidRPr="00BA1722">
        <w:rPr>
          <w:rFonts w:ascii="Arial" w:hAnsi="Arial" w:cs="Arial"/>
          <w:lang w:val="en-US"/>
        </w:rPr>
        <w:t xml:space="preserve">however. </w:t>
      </w:r>
      <w:r w:rsidR="0091536B" w:rsidRPr="00BA1722">
        <w:rPr>
          <w:rFonts w:ascii="Arial" w:hAnsi="Arial" w:cs="Arial"/>
          <w:lang w:val="en-US"/>
        </w:rPr>
        <w:t xml:space="preserve">Of particular concern </w:t>
      </w:r>
      <w:r w:rsidR="008A2AE6" w:rsidRPr="00BA1722">
        <w:rPr>
          <w:rFonts w:ascii="Arial" w:hAnsi="Arial" w:cs="Arial"/>
          <w:lang w:val="en-US"/>
        </w:rPr>
        <w:t>is</w:t>
      </w:r>
      <w:r w:rsidR="0092582C" w:rsidRPr="00BA1722">
        <w:rPr>
          <w:rFonts w:ascii="Arial" w:hAnsi="Arial" w:cs="Arial"/>
          <w:lang w:val="en-US"/>
        </w:rPr>
        <w:t xml:space="preserve"> </w:t>
      </w:r>
      <w:r w:rsidRPr="00BA1722">
        <w:rPr>
          <w:rFonts w:ascii="Arial" w:hAnsi="Arial" w:cs="Arial"/>
          <w:lang w:val="en-US"/>
        </w:rPr>
        <w:t>Section 181 of the Penal Code</w:t>
      </w:r>
      <w:r w:rsidR="0092582C" w:rsidRPr="00BA1722">
        <w:rPr>
          <w:rFonts w:ascii="Arial" w:hAnsi="Arial" w:cs="Arial"/>
          <w:lang w:val="en-US"/>
        </w:rPr>
        <w:t>, which</w:t>
      </w:r>
      <w:r w:rsidRPr="00BA1722">
        <w:rPr>
          <w:rFonts w:ascii="Arial" w:hAnsi="Arial" w:cs="Arial"/>
          <w:lang w:val="en-US"/>
        </w:rPr>
        <w:t xml:space="preserve"> prohibits the “distribution and exhibition of</w:t>
      </w:r>
      <w:r w:rsidRPr="00C2084D">
        <w:rPr>
          <w:rFonts w:ascii="Arial" w:hAnsi="Arial" w:cs="Arial"/>
          <w:lang w:val="en-US"/>
        </w:rPr>
        <w:t xml:space="preserve"> indecent content with the potential to corrupt morals” punishable by</w:t>
      </w:r>
      <w:r w:rsidR="0081095F" w:rsidRPr="00C2084D">
        <w:rPr>
          <w:rFonts w:ascii="Arial" w:hAnsi="Arial" w:cs="Arial"/>
          <w:lang w:val="en-US"/>
        </w:rPr>
        <w:t xml:space="preserve"> imprisonment for 2 years or a fine of seven thousand shillings.</w:t>
      </w:r>
      <w:r w:rsidRPr="00C2084D">
        <w:rPr>
          <w:rFonts w:ascii="Arial" w:hAnsi="Arial" w:cs="Arial"/>
          <w:lang w:val="en-US"/>
        </w:rPr>
        <w:t xml:space="preserve"> </w:t>
      </w:r>
      <w:r w:rsidR="005F6216" w:rsidRPr="00C2084D">
        <w:rPr>
          <w:rFonts w:ascii="Arial" w:hAnsi="Arial" w:cs="Arial"/>
          <w:lang w:val="en-US"/>
        </w:rPr>
        <w:t>In practice, this provision has granted significant and excessive leeway to the authorities to</w:t>
      </w:r>
      <w:r w:rsidR="0092582C" w:rsidRPr="00C2084D">
        <w:rPr>
          <w:rFonts w:ascii="Arial" w:hAnsi="Arial" w:cs="Arial"/>
          <w:lang w:val="en-US"/>
        </w:rPr>
        <w:t xml:space="preserve"> target</w:t>
      </w:r>
      <w:r w:rsidR="005F6216" w:rsidRPr="00C2084D">
        <w:rPr>
          <w:rFonts w:ascii="Arial" w:hAnsi="Arial" w:cs="Arial"/>
          <w:lang w:val="en-US"/>
        </w:rPr>
        <w:t xml:space="preserve"> LGBT-related content. </w:t>
      </w:r>
      <w:r w:rsidR="0091536B" w:rsidRPr="00C2084D">
        <w:rPr>
          <w:rFonts w:ascii="Arial" w:hAnsi="Arial" w:cs="Arial"/>
          <w:lang w:val="en-US"/>
        </w:rPr>
        <w:t>W</w:t>
      </w:r>
      <w:r w:rsidR="005F6216" w:rsidRPr="00C2084D">
        <w:rPr>
          <w:rFonts w:ascii="Arial" w:hAnsi="Arial" w:cs="Arial"/>
          <w:lang w:val="en-US"/>
        </w:rPr>
        <w:t>e note that w</w:t>
      </w:r>
      <w:r w:rsidR="0091536B" w:rsidRPr="00C2084D">
        <w:rPr>
          <w:rFonts w:ascii="Arial" w:hAnsi="Arial" w:cs="Arial"/>
          <w:lang w:val="en-US"/>
        </w:rPr>
        <w:t>h</w:t>
      </w:r>
      <w:r w:rsidR="0092582C" w:rsidRPr="00C2084D">
        <w:rPr>
          <w:rFonts w:ascii="Arial" w:hAnsi="Arial" w:cs="Arial"/>
          <w:lang w:val="en-US"/>
        </w:rPr>
        <w:t>ile</w:t>
      </w:r>
      <w:r w:rsidR="005F6216" w:rsidRPr="00C2084D">
        <w:rPr>
          <w:rFonts w:ascii="Arial" w:hAnsi="Arial" w:cs="Arial"/>
          <w:lang w:val="en-US"/>
        </w:rPr>
        <w:t xml:space="preserve"> A</w:t>
      </w:r>
      <w:r w:rsidR="0091536B" w:rsidRPr="00C2084D">
        <w:rPr>
          <w:rFonts w:ascii="Arial" w:hAnsi="Arial" w:cs="Arial"/>
          <w:lang w:val="en-US"/>
        </w:rPr>
        <w:t>rticle 19(3) of the ICCPR allows for the restriction of expression on the grounds of protecting public morals, the Human Rights Committee has</w:t>
      </w:r>
      <w:r w:rsidR="005F6216" w:rsidRPr="00C2084D">
        <w:rPr>
          <w:rFonts w:ascii="Arial" w:hAnsi="Arial" w:cs="Arial"/>
          <w:lang w:val="en-US"/>
        </w:rPr>
        <w:t xml:space="preserve"> clarified</w:t>
      </w:r>
      <w:r w:rsidR="00BB08B4" w:rsidRPr="00C2084D">
        <w:rPr>
          <w:rFonts w:ascii="Arial" w:hAnsi="Arial" w:cs="Arial"/>
          <w:lang w:val="en-US"/>
        </w:rPr>
        <w:t xml:space="preserve"> in General Comment 34</w:t>
      </w:r>
      <w:r w:rsidR="005F6216" w:rsidRPr="00C2084D">
        <w:rPr>
          <w:rFonts w:ascii="Arial" w:hAnsi="Arial" w:cs="Arial"/>
          <w:lang w:val="en-US"/>
        </w:rPr>
        <w:t xml:space="preserve"> that any such restrictions cannot be based on principles that derive solely from a single tradition, and that such restrictions must also take into consideration the principle of non-discrimination.</w:t>
      </w:r>
      <w:r w:rsidR="005F6216" w:rsidRPr="00C2084D">
        <w:rPr>
          <w:rStyle w:val="FootnoteReference"/>
          <w:rFonts w:ascii="Arial" w:hAnsi="Arial" w:cs="Arial"/>
          <w:lang w:val="en-US"/>
        </w:rPr>
        <w:footnoteReference w:id="6"/>
      </w:r>
      <w:r w:rsidR="005F6216" w:rsidRPr="00C2084D">
        <w:rPr>
          <w:rFonts w:ascii="Arial" w:hAnsi="Arial" w:cs="Arial"/>
          <w:lang w:val="en-US"/>
        </w:rPr>
        <w:t xml:space="preserve"> </w:t>
      </w:r>
      <w:bookmarkStart w:id="2" w:name="move240215221"/>
      <w:bookmarkEnd w:id="2"/>
    </w:p>
    <w:p w14:paraId="2247227F" w14:textId="6458883C" w:rsidR="0032548B" w:rsidRPr="003122F7" w:rsidRDefault="0032548B" w:rsidP="00C2084D">
      <w:pPr>
        <w:spacing w:after="0"/>
        <w:ind w:left="57" w:right="57"/>
        <w:jc w:val="both"/>
        <w:rPr>
          <w:rFonts w:ascii="Arial" w:hAnsi="Arial" w:cs="Arial"/>
          <w:b/>
          <w:lang w:val="en-US"/>
        </w:rPr>
      </w:pPr>
    </w:p>
    <w:p w14:paraId="336F5A9C" w14:textId="40B4E0D3" w:rsidR="00090035" w:rsidRPr="003122F7" w:rsidRDefault="00515FC3" w:rsidP="00C2084D">
      <w:pPr>
        <w:spacing w:after="0"/>
        <w:ind w:left="57" w:right="57"/>
        <w:jc w:val="both"/>
        <w:rPr>
          <w:rFonts w:ascii="Arial" w:hAnsi="Arial" w:cs="Arial"/>
          <w:b/>
          <w:lang w:val="en-US"/>
        </w:rPr>
      </w:pPr>
      <w:r w:rsidRPr="003122F7">
        <w:rPr>
          <w:rFonts w:ascii="Arial" w:hAnsi="Arial" w:cs="Arial"/>
          <w:b/>
          <w:lang w:val="en-US"/>
        </w:rPr>
        <w:t>Legislation Restricting Online E</w:t>
      </w:r>
      <w:r w:rsidR="00090035" w:rsidRPr="003122F7">
        <w:rPr>
          <w:rFonts w:ascii="Arial" w:hAnsi="Arial" w:cs="Arial"/>
          <w:b/>
          <w:lang w:val="en-US"/>
        </w:rPr>
        <w:t xml:space="preserve">xpression </w:t>
      </w:r>
    </w:p>
    <w:p w14:paraId="7D586A62" w14:textId="343BD0AF" w:rsidR="00090035" w:rsidRDefault="00090035" w:rsidP="00C2084D">
      <w:pPr>
        <w:spacing w:after="0"/>
        <w:ind w:left="57" w:right="57"/>
        <w:jc w:val="both"/>
        <w:rPr>
          <w:rFonts w:ascii="Arial" w:hAnsi="Arial" w:cs="Arial"/>
          <w:lang w:val="en-US"/>
        </w:rPr>
      </w:pPr>
    </w:p>
    <w:p w14:paraId="4C3302AA" w14:textId="77777777" w:rsidR="00090035" w:rsidRPr="00C2084D" w:rsidRDefault="00090035"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In 2018, the government adopted the Computer Misuse and Cybercrimes Act (</w:t>
      </w:r>
      <w:r w:rsidRPr="00C2084D">
        <w:rPr>
          <w:rFonts w:ascii="Arial" w:hAnsi="Arial" w:cs="Arial"/>
          <w:bCs/>
          <w:color w:val="auto"/>
        </w:rPr>
        <w:t>CMCA</w:t>
      </w:r>
      <w:r w:rsidRPr="00C2084D">
        <w:rPr>
          <w:rFonts w:ascii="Arial" w:hAnsi="Arial" w:cs="Arial"/>
          <w:color w:val="auto"/>
        </w:rPr>
        <w:t>),</w:t>
      </w:r>
      <w:r w:rsidRPr="00C2084D">
        <w:rPr>
          <w:rStyle w:val="FootnoteAnchor"/>
          <w:rFonts w:ascii="Arial" w:hAnsi="Arial" w:cs="Arial"/>
          <w:color w:val="auto"/>
        </w:rPr>
        <w:footnoteReference w:id="7"/>
      </w:r>
      <w:r w:rsidRPr="00C2084D">
        <w:rPr>
          <w:rFonts w:ascii="Arial" w:hAnsi="Arial" w:cs="Arial"/>
          <w:color w:val="auto"/>
        </w:rPr>
        <w:t xml:space="preserve"> which poses significant threats to the free exercise of human rights online. Following the successful constitutional challenge of the criminal defamation provision in the penal code, this legislation appears partially aimed at re-criminalising defamation. </w:t>
      </w:r>
    </w:p>
    <w:p w14:paraId="5BFA09D9" w14:textId="77777777" w:rsidR="00090035" w:rsidRPr="00C2084D" w:rsidRDefault="00090035" w:rsidP="00090035">
      <w:pPr>
        <w:spacing w:after="0"/>
        <w:ind w:left="57" w:right="57"/>
        <w:jc w:val="both"/>
        <w:rPr>
          <w:rFonts w:ascii="Arial" w:hAnsi="Arial" w:cs="Arial"/>
          <w:color w:val="auto"/>
        </w:rPr>
      </w:pPr>
    </w:p>
    <w:p w14:paraId="2258BEB9" w14:textId="77777777" w:rsidR="00090035" w:rsidRPr="00C2084D" w:rsidRDefault="00090035"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 xml:space="preserve">Section 22 of the CMCA provides that anyone who intentionally publishes ‘false, misleading or fictitious’ information, that among other things is either a) likely to propagate war or incite others to violence; b) constitutes hate speech; or c) negatively impacts the rights or reputations of others. While clause (c) criminalizes “defamation”, clauses (b) and (c) criminalize a broad and ill-defined range of “hate speech”. It is punishable by up to two years’ imprisonment and/or a fine. The Human Rights Committee has consistently called for States to decriminalize defamation, making clear that individuals’ reputations can be adequately protected, where necessary, through civil defamation laws. In relation to “hate speech”, we note that Article 20(2) of the ICCPR only requires States to prohibit advocacy of (national, racial or religious) hatred that constitutes incitement to hostility, discrimination or violence. The breadth of this provision goes far beyond this, and the absence of clear requirements to show the expression intended to and was likely to incite harmful acts, is contrary to international standards, as set out in the Rabat Plan of Action.  </w:t>
      </w:r>
    </w:p>
    <w:p w14:paraId="41998078" w14:textId="77777777" w:rsidR="00090035" w:rsidRPr="00C2084D" w:rsidRDefault="00090035" w:rsidP="00090035">
      <w:pPr>
        <w:spacing w:after="0"/>
        <w:ind w:left="57" w:right="57"/>
        <w:jc w:val="both"/>
        <w:rPr>
          <w:rFonts w:ascii="Arial" w:hAnsi="Arial" w:cs="Arial"/>
          <w:color w:val="auto"/>
        </w:rPr>
      </w:pPr>
    </w:p>
    <w:p w14:paraId="38E25D73" w14:textId="77777777" w:rsidR="00090035" w:rsidRPr="00C2084D" w:rsidRDefault="00090035"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 xml:space="preserve">Section 23 of the CMCA further criminalises anyone who “knowingly publishes” false information “that is calculated or results in panic, chaos or violence among citizens of the Republic, or which is likely to discredit the reputation of a person”, punishable by a prison sentence of up to ten years’ imprisonment and/or a fine. </w:t>
      </w:r>
    </w:p>
    <w:p w14:paraId="5F27E728" w14:textId="77777777" w:rsidR="00090035" w:rsidRPr="00C2084D" w:rsidRDefault="00090035" w:rsidP="00090035">
      <w:pPr>
        <w:spacing w:after="0"/>
        <w:ind w:left="57" w:right="57"/>
        <w:jc w:val="both"/>
        <w:rPr>
          <w:rFonts w:ascii="Arial" w:hAnsi="Arial" w:cs="Arial"/>
          <w:color w:val="auto"/>
        </w:rPr>
      </w:pPr>
    </w:p>
    <w:p w14:paraId="18DBD654" w14:textId="77777777" w:rsidR="00090035" w:rsidRPr="00C2084D" w:rsidRDefault="00090035"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The constitutionality of Sections 22 and 23 of the CMCA is currently being litigated by BAKE.</w:t>
      </w:r>
      <w:r w:rsidRPr="00C2084D">
        <w:rPr>
          <w:rStyle w:val="FootnoteAnchor"/>
          <w:rFonts w:ascii="Arial" w:hAnsi="Arial" w:cs="Arial"/>
          <w:color w:val="auto"/>
        </w:rPr>
        <w:footnoteReference w:id="8"/>
      </w:r>
      <w:r w:rsidRPr="00C2084D">
        <w:rPr>
          <w:rFonts w:ascii="Arial" w:hAnsi="Arial" w:cs="Arial"/>
          <w:color w:val="auto"/>
        </w:rPr>
        <w:t xml:space="preserve"> The Kenyan High Court has provisionally suspended twenty-six sections of the CMCA in total by conservatory order, pending a final ruling in the challenge, which is due in January 2020.</w:t>
      </w:r>
      <w:r w:rsidRPr="00C2084D">
        <w:rPr>
          <w:rStyle w:val="FootnoteAnchor"/>
          <w:rFonts w:ascii="Arial" w:hAnsi="Arial" w:cs="Arial"/>
          <w:color w:val="auto"/>
        </w:rPr>
        <w:footnoteReference w:id="9"/>
      </w:r>
      <w:r w:rsidRPr="00C2084D">
        <w:rPr>
          <w:rFonts w:ascii="Arial" w:hAnsi="Arial" w:cs="Arial"/>
          <w:color w:val="auto"/>
        </w:rPr>
        <w:t xml:space="preserve"> The suspension prevents the authorities from prosecuting individuals using the suspended provisions.</w:t>
      </w:r>
      <w:r w:rsidRPr="00C2084D">
        <w:rPr>
          <w:rStyle w:val="FootnoteAnchor"/>
          <w:rFonts w:ascii="Arial" w:hAnsi="Arial" w:cs="Arial"/>
          <w:color w:val="auto"/>
        </w:rPr>
        <w:footnoteReference w:id="10"/>
      </w:r>
      <w:r w:rsidRPr="00C2084D">
        <w:rPr>
          <w:rFonts w:ascii="Arial" w:hAnsi="Arial" w:cs="Arial"/>
          <w:color w:val="auto"/>
        </w:rPr>
        <w:t xml:space="preserve"> Notably, the High Court usually exercises its judicial discretion to suspend legislative provisions by way of conservatory orders only where it is convinced that there is a ‘danger to life and limb or imminent danger to the Bill of Rights at that very moment.’</w:t>
      </w:r>
      <w:r w:rsidRPr="00C2084D">
        <w:rPr>
          <w:rStyle w:val="FootnoteAnchor"/>
          <w:rFonts w:ascii="Arial" w:hAnsi="Arial" w:cs="Arial"/>
          <w:color w:val="auto"/>
        </w:rPr>
        <w:footnoteReference w:id="11"/>
      </w:r>
      <w:r w:rsidRPr="00C2084D">
        <w:rPr>
          <w:rFonts w:ascii="Arial" w:hAnsi="Arial" w:cs="Arial"/>
          <w:color w:val="auto"/>
        </w:rPr>
        <w:t xml:space="preserve"> </w:t>
      </w:r>
    </w:p>
    <w:p w14:paraId="44BA2477" w14:textId="77777777" w:rsidR="00090035" w:rsidRPr="00C2084D" w:rsidRDefault="00090035" w:rsidP="00090035">
      <w:pPr>
        <w:spacing w:after="0"/>
        <w:ind w:left="57" w:right="57"/>
        <w:jc w:val="both"/>
        <w:rPr>
          <w:rFonts w:ascii="Arial" w:hAnsi="Arial" w:cs="Arial"/>
          <w:color w:val="auto"/>
        </w:rPr>
      </w:pPr>
    </w:p>
    <w:p w14:paraId="3415BBCD" w14:textId="7AE43F16" w:rsidR="00090035" w:rsidRPr="00C2084D" w:rsidRDefault="00090035"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 xml:space="preserve">The government is considering </w:t>
      </w:r>
      <w:r>
        <w:rPr>
          <w:rFonts w:ascii="Arial" w:hAnsi="Arial" w:cs="Arial"/>
          <w:color w:val="auto"/>
        </w:rPr>
        <w:t>the regulation of</w:t>
      </w:r>
      <w:r w:rsidRPr="00C2084D">
        <w:rPr>
          <w:rFonts w:ascii="Arial" w:hAnsi="Arial" w:cs="Arial"/>
          <w:color w:val="auto"/>
        </w:rPr>
        <w:t xml:space="preserve"> social media platforms, bloggers and group administrators, through the introduction of the Kenya Information and Communications (Amendment) Bill 2019. This Bill that is before the National Assembly </w:t>
      </w:r>
      <w:r>
        <w:rPr>
          <w:rFonts w:ascii="Arial" w:hAnsi="Arial" w:cs="Arial"/>
          <w:color w:val="auto"/>
        </w:rPr>
        <w:t xml:space="preserve">contains </w:t>
      </w:r>
      <w:r w:rsidRPr="00C2084D">
        <w:rPr>
          <w:rFonts w:ascii="Arial" w:hAnsi="Arial" w:cs="Arial"/>
          <w:color w:val="auto"/>
        </w:rPr>
        <w:t xml:space="preserve">provisions that </w:t>
      </w:r>
      <w:r>
        <w:rPr>
          <w:rFonts w:ascii="Arial" w:hAnsi="Arial" w:cs="Arial"/>
          <w:color w:val="auto"/>
        </w:rPr>
        <w:t>would severely and unduly restrict</w:t>
      </w:r>
      <w:r w:rsidRPr="00C2084D">
        <w:rPr>
          <w:rFonts w:ascii="Arial" w:hAnsi="Arial" w:cs="Arial"/>
          <w:color w:val="auto"/>
        </w:rPr>
        <w:t xml:space="preserve"> freedom of expression </w:t>
      </w:r>
      <w:r>
        <w:rPr>
          <w:rFonts w:ascii="Arial" w:hAnsi="Arial" w:cs="Arial"/>
          <w:color w:val="auto"/>
        </w:rPr>
        <w:t>online, including in the following ways</w:t>
      </w:r>
      <w:r w:rsidRPr="00C2084D">
        <w:rPr>
          <w:rFonts w:ascii="Arial" w:hAnsi="Arial" w:cs="Arial"/>
          <w:color w:val="auto"/>
        </w:rPr>
        <w:t xml:space="preserve">: </w:t>
      </w:r>
    </w:p>
    <w:p w14:paraId="40D287C1" w14:textId="77777777" w:rsidR="00090035" w:rsidRPr="00C2084D" w:rsidRDefault="00090035" w:rsidP="00090035">
      <w:pPr>
        <w:spacing w:after="0"/>
        <w:ind w:left="57" w:right="57"/>
        <w:jc w:val="both"/>
        <w:rPr>
          <w:rFonts w:ascii="Arial" w:hAnsi="Arial" w:cs="Arial"/>
          <w:color w:val="auto"/>
        </w:rPr>
      </w:pPr>
    </w:p>
    <w:p w14:paraId="67AEE09C" w14:textId="77777777" w:rsidR="00090035" w:rsidRPr="00C2084D" w:rsidRDefault="00090035" w:rsidP="00090035">
      <w:pPr>
        <w:pStyle w:val="ListParagraph"/>
        <w:numPr>
          <w:ilvl w:val="0"/>
          <w:numId w:val="31"/>
        </w:numPr>
        <w:spacing w:after="0"/>
        <w:ind w:right="57"/>
        <w:jc w:val="both"/>
        <w:rPr>
          <w:rFonts w:ascii="Arial" w:hAnsi="Arial" w:cs="Arial"/>
          <w:color w:val="auto"/>
        </w:rPr>
      </w:pPr>
      <w:r w:rsidRPr="00C2084D">
        <w:rPr>
          <w:rFonts w:ascii="Arial" w:hAnsi="Arial" w:cs="Arial"/>
          <w:color w:val="auto"/>
        </w:rPr>
        <w:t>It requires social media platforms to register with the Communications Authority of Kenya (</w:t>
      </w:r>
      <w:r w:rsidRPr="00C2084D">
        <w:rPr>
          <w:rFonts w:ascii="Arial" w:hAnsi="Arial" w:cs="Arial"/>
          <w:bCs/>
          <w:color w:val="auto"/>
        </w:rPr>
        <w:t>CAK</w:t>
      </w:r>
      <w:r w:rsidRPr="00C2084D">
        <w:rPr>
          <w:rFonts w:ascii="Arial" w:hAnsi="Arial" w:cs="Arial"/>
          <w:color w:val="auto"/>
        </w:rPr>
        <w:t xml:space="preserve">) and further requires </w:t>
      </w:r>
      <w:r w:rsidRPr="00C2084D">
        <w:rPr>
          <w:rStyle w:val="StrongEmphasis"/>
          <w:rFonts w:ascii="Arial" w:hAnsi="Arial" w:cs="Arial"/>
          <w:b w:val="0"/>
          <w:bCs w:val="0"/>
          <w:color w:val="auto"/>
        </w:rPr>
        <w:t>licensee’s to produce users’ data at the request of CAK without reasonable cause and/or a court order, threatening the right to privacy and security of the communications of social media users;</w:t>
      </w:r>
    </w:p>
    <w:p w14:paraId="3AEBB749" w14:textId="77777777" w:rsidR="00090035" w:rsidRPr="00C2084D" w:rsidRDefault="00090035" w:rsidP="00090035">
      <w:pPr>
        <w:pStyle w:val="ListParagraph"/>
        <w:numPr>
          <w:ilvl w:val="0"/>
          <w:numId w:val="31"/>
        </w:numPr>
        <w:spacing w:after="0"/>
        <w:ind w:right="57"/>
        <w:jc w:val="both"/>
        <w:rPr>
          <w:rFonts w:ascii="Arial" w:hAnsi="Arial" w:cs="Arial"/>
          <w:color w:val="auto"/>
        </w:rPr>
      </w:pPr>
      <w:r w:rsidRPr="00C2084D">
        <w:rPr>
          <w:rFonts w:ascii="Arial" w:hAnsi="Arial" w:cs="Arial"/>
          <w:color w:val="auto"/>
        </w:rPr>
        <w:lastRenderedPageBreak/>
        <w:t>It imposes mandatory registration and licensing requirements on bloggers, in effect subjecting them to direct regulation;</w:t>
      </w:r>
    </w:p>
    <w:p w14:paraId="7FE33399" w14:textId="77777777" w:rsidR="00090035" w:rsidRPr="00C2084D" w:rsidRDefault="00090035" w:rsidP="00090035">
      <w:pPr>
        <w:pStyle w:val="ListParagraph"/>
        <w:numPr>
          <w:ilvl w:val="0"/>
          <w:numId w:val="31"/>
        </w:numPr>
        <w:spacing w:after="0"/>
        <w:ind w:right="57"/>
        <w:jc w:val="both"/>
        <w:rPr>
          <w:rFonts w:ascii="Arial" w:hAnsi="Arial" w:cs="Arial"/>
          <w:color w:val="auto"/>
        </w:rPr>
      </w:pPr>
      <w:r w:rsidRPr="00C2084D">
        <w:rPr>
          <w:rFonts w:ascii="Arial" w:hAnsi="Arial" w:cs="Arial"/>
          <w:color w:val="auto"/>
        </w:rPr>
        <w:t xml:space="preserve">It requires social media users to </w:t>
      </w:r>
      <w:r w:rsidRPr="00C2084D">
        <w:rPr>
          <w:rStyle w:val="StrongEmphasis"/>
          <w:rFonts w:ascii="Arial" w:hAnsi="Arial" w:cs="Arial"/>
          <w:b w:val="0"/>
          <w:bCs w:val="0"/>
          <w:color w:val="auto"/>
        </w:rPr>
        <w:t>publish, write or share content which is ‘fair, accurate and unbiased’, in effect imposing a requirement of impartiality, and ‘truth’ on individual users, through exceptionally vague language that is open to abuse by the authorities to target speech they do not like</w:t>
      </w:r>
      <w:r w:rsidRPr="00C2084D">
        <w:rPr>
          <w:rFonts w:ascii="Arial" w:hAnsi="Arial" w:cs="Arial"/>
          <w:color w:val="auto"/>
        </w:rPr>
        <w:t>;</w:t>
      </w:r>
    </w:p>
    <w:p w14:paraId="7DEEE618" w14:textId="0F656763" w:rsidR="00090035" w:rsidRPr="003122F7" w:rsidRDefault="00090035" w:rsidP="003122F7">
      <w:pPr>
        <w:pStyle w:val="ListParagraph"/>
        <w:numPr>
          <w:ilvl w:val="0"/>
          <w:numId w:val="31"/>
        </w:numPr>
        <w:spacing w:after="0"/>
        <w:ind w:right="57"/>
        <w:jc w:val="both"/>
        <w:rPr>
          <w:rStyle w:val="StrongEmphasis"/>
          <w:rFonts w:ascii="Arial" w:hAnsi="Arial" w:cs="Arial"/>
          <w:b w:val="0"/>
          <w:bCs w:val="0"/>
          <w:color w:val="auto"/>
        </w:rPr>
      </w:pPr>
      <w:r w:rsidRPr="00C2084D">
        <w:rPr>
          <w:rStyle w:val="StrongEmphasis"/>
          <w:rFonts w:ascii="Arial" w:hAnsi="Arial" w:cs="Arial"/>
          <w:b w:val="0"/>
          <w:bCs w:val="0"/>
          <w:color w:val="auto"/>
        </w:rPr>
        <w:t>It requires group administrators to notify social media platform licensees of their intention to create a group platform. This proposed requirement to 'control undesirable content and discussion" is similar to a previous attempt by CAK under the 'Guidelines on Prevention of Dissemination of Undesirable Bulk and Premium Rate Political Messages and Political Social Media Content via Electronic Communications Networks' (Guideline 13.6).</w:t>
      </w:r>
    </w:p>
    <w:p w14:paraId="72F70C08" w14:textId="77777777" w:rsidR="00BB08B4" w:rsidRPr="00C2084D" w:rsidRDefault="00BB08B4" w:rsidP="00C2084D">
      <w:pPr>
        <w:pStyle w:val="ListParagraph"/>
        <w:spacing w:after="0"/>
        <w:ind w:left="57" w:right="57"/>
        <w:jc w:val="both"/>
        <w:rPr>
          <w:rFonts w:ascii="Arial" w:hAnsi="Arial" w:cs="Arial"/>
          <w:lang w:val="en-US"/>
        </w:rPr>
      </w:pPr>
    </w:p>
    <w:p w14:paraId="55401AC3" w14:textId="1E1176E6" w:rsidR="0092582C" w:rsidRPr="003122F7" w:rsidRDefault="00BB08B4" w:rsidP="00C2084D">
      <w:pPr>
        <w:spacing w:after="0"/>
        <w:ind w:left="57" w:right="57"/>
        <w:jc w:val="both"/>
        <w:rPr>
          <w:rFonts w:ascii="Arial" w:hAnsi="Arial" w:cs="Arial"/>
          <w:b/>
        </w:rPr>
      </w:pPr>
      <w:r w:rsidRPr="003122F7">
        <w:rPr>
          <w:rFonts w:ascii="Arial" w:hAnsi="Arial" w:cs="Arial"/>
          <w:b/>
        </w:rPr>
        <w:t>Counter-Terrorism and National Security Laws and Surveillance P</w:t>
      </w:r>
      <w:r w:rsidR="001B5E0C" w:rsidRPr="003122F7">
        <w:rPr>
          <w:rFonts w:ascii="Arial" w:hAnsi="Arial" w:cs="Arial"/>
          <w:b/>
        </w:rPr>
        <w:t>ractices</w:t>
      </w:r>
    </w:p>
    <w:p w14:paraId="2C238B29" w14:textId="0D961327" w:rsidR="00BB08B4" w:rsidRPr="00C2084D" w:rsidRDefault="00BB08B4" w:rsidP="00C2084D">
      <w:pPr>
        <w:spacing w:after="0"/>
        <w:ind w:left="57" w:right="57"/>
        <w:jc w:val="both"/>
        <w:rPr>
          <w:rFonts w:ascii="Arial" w:hAnsi="Arial" w:cs="Arial"/>
          <w:u w:val="single"/>
        </w:rPr>
      </w:pPr>
    </w:p>
    <w:p w14:paraId="64D821FF" w14:textId="3193FAC3" w:rsidR="00C118F1" w:rsidRPr="003122F7" w:rsidRDefault="003E7061" w:rsidP="00515FC3">
      <w:pPr>
        <w:pStyle w:val="ListParagraph"/>
        <w:numPr>
          <w:ilvl w:val="0"/>
          <w:numId w:val="43"/>
        </w:numPr>
        <w:autoSpaceDE w:val="0"/>
        <w:autoSpaceDN w:val="0"/>
        <w:adjustRightInd w:val="0"/>
        <w:spacing w:after="0"/>
        <w:ind w:right="57"/>
        <w:jc w:val="both"/>
        <w:rPr>
          <w:rFonts w:ascii="Arial" w:hAnsi="Arial" w:cs="Arial"/>
          <w:color w:val="auto"/>
        </w:rPr>
      </w:pPr>
      <w:r w:rsidRPr="003122F7">
        <w:rPr>
          <w:rFonts w:ascii="Arial" w:eastAsia="Times New Roman" w:hAnsi="Arial" w:cs="Arial"/>
        </w:rPr>
        <w:t>During the last review of Kenya in 2012, the Human Rights Committee recommended in its Concluding Observations that the government ‘</w:t>
      </w:r>
      <w:r w:rsidRPr="003122F7">
        <w:rPr>
          <w:rFonts w:ascii="Arial" w:hAnsi="Arial" w:cs="Arial"/>
          <w:color w:val="auto"/>
        </w:rPr>
        <w:t>enact legislation on counter-terrorism and ensure that it (a) define terrorist crimes both in terms of their purpose and their nature with sufficient precision, and (b) not impose undue restrictions on the exercise of rights under the Covenant’.</w:t>
      </w:r>
      <w:r w:rsidRPr="003122F7">
        <w:rPr>
          <w:rStyle w:val="FootnoteReference"/>
          <w:rFonts w:ascii="Arial" w:hAnsi="Arial" w:cs="Arial"/>
          <w:color w:val="auto"/>
        </w:rPr>
        <w:footnoteReference w:id="12"/>
      </w:r>
      <w:r w:rsidRPr="003122F7">
        <w:rPr>
          <w:rFonts w:ascii="Arial" w:hAnsi="Arial" w:cs="Arial"/>
          <w:color w:val="auto"/>
        </w:rPr>
        <w:t xml:space="preserve"> </w:t>
      </w:r>
      <w:r w:rsidR="001D7D80" w:rsidRPr="003122F7">
        <w:rPr>
          <w:rFonts w:ascii="Arial" w:hAnsi="Arial" w:cs="Arial"/>
          <w:color w:val="auto"/>
        </w:rPr>
        <w:t xml:space="preserve">This has not yet been implemented, </w:t>
      </w:r>
      <w:r w:rsidRPr="003122F7">
        <w:rPr>
          <w:rFonts w:ascii="Arial" w:hAnsi="Arial" w:cs="Arial"/>
          <w:color w:val="auto"/>
        </w:rPr>
        <w:t xml:space="preserve">and counter-terrorism legislation </w:t>
      </w:r>
      <w:r w:rsidR="001D7D80" w:rsidRPr="003122F7">
        <w:rPr>
          <w:rFonts w:ascii="Arial" w:hAnsi="Arial" w:cs="Arial"/>
          <w:color w:val="auto"/>
        </w:rPr>
        <w:t>remains</w:t>
      </w:r>
      <w:r w:rsidRPr="003122F7">
        <w:rPr>
          <w:rFonts w:ascii="Arial" w:hAnsi="Arial" w:cs="Arial"/>
          <w:color w:val="auto"/>
        </w:rPr>
        <w:t xml:space="preserve"> </w:t>
      </w:r>
      <w:r w:rsidR="001D7D80" w:rsidRPr="003122F7">
        <w:rPr>
          <w:rFonts w:ascii="Arial" w:hAnsi="Arial" w:cs="Arial"/>
          <w:color w:val="auto"/>
        </w:rPr>
        <w:t>in</w:t>
      </w:r>
      <w:r w:rsidRPr="003122F7">
        <w:rPr>
          <w:rFonts w:ascii="Arial" w:hAnsi="Arial" w:cs="Arial"/>
          <w:color w:val="auto"/>
        </w:rPr>
        <w:t xml:space="preserve">consistent with </w:t>
      </w:r>
      <w:r w:rsidR="001D7D80" w:rsidRPr="003122F7">
        <w:rPr>
          <w:rFonts w:ascii="Arial" w:hAnsi="Arial" w:cs="Arial"/>
          <w:color w:val="auto"/>
        </w:rPr>
        <w:t>provisions of the</w:t>
      </w:r>
      <w:r w:rsidRPr="003122F7">
        <w:rPr>
          <w:rFonts w:ascii="Arial" w:hAnsi="Arial" w:cs="Arial"/>
          <w:color w:val="auto"/>
        </w:rPr>
        <w:t xml:space="preserve"> ICCPR.</w:t>
      </w:r>
    </w:p>
    <w:p w14:paraId="17DB3BF6" w14:textId="097B938C" w:rsidR="00C118F1" w:rsidRPr="00C2084D" w:rsidRDefault="003E7061" w:rsidP="00C2084D">
      <w:pPr>
        <w:pStyle w:val="ListParagraph"/>
        <w:autoSpaceDE w:val="0"/>
        <w:autoSpaceDN w:val="0"/>
        <w:adjustRightInd w:val="0"/>
        <w:spacing w:after="0"/>
        <w:ind w:left="57" w:right="57"/>
        <w:jc w:val="both"/>
        <w:rPr>
          <w:rFonts w:ascii="Arial" w:hAnsi="Arial" w:cs="Arial"/>
          <w:color w:val="auto"/>
        </w:rPr>
      </w:pPr>
      <w:r w:rsidRPr="00C2084D">
        <w:rPr>
          <w:rFonts w:ascii="Arial" w:hAnsi="Arial" w:cs="Arial"/>
          <w:color w:val="auto"/>
        </w:rPr>
        <w:t xml:space="preserve"> </w:t>
      </w:r>
    </w:p>
    <w:p w14:paraId="48AD3FE9" w14:textId="364DB0E2" w:rsidR="00C118F1" w:rsidRPr="00C2084D" w:rsidRDefault="00B76BCB" w:rsidP="00515FC3">
      <w:pPr>
        <w:pStyle w:val="ListParagraph"/>
        <w:numPr>
          <w:ilvl w:val="0"/>
          <w:numId w:val="43"/>
        </w:numPr>
        <w:autoSpaceDE w:val="0"/>
        <w:autoSpaceDN w:val="0"/>
        <w:adjustRightInd w:val="0"/>
        <w:spacing w:after="0"/>
        <w:ind w:right="57"/>
        <w:jc w:val="both"/>
        <w:rPr>
          <w:rFonts w:ascii="TimesNewRomanGras" w:hAnsi="TimesNewRomanGras" w:cs="TimesNewRomanGras"/>
          <w:color w:val="auto"/>
        </w:rPr>
      </w:pPr>
      <w:r w:rsidRPr="00C2084D">
        <w:rPr>
          <w:rFonts w:ascii="Arial" w:hAnsi="Arial" w:cs="Arial"/>
        </w:rPr>
        <w:t>The 2012 Prevention of Terrorism Act (PTA) remains open to abuse against political opponents, civil society, and protesters, however. It adopts an overbroad definition of terrorist acts (Section I, Article 2), including any act that “prejudices public safety or national security”, and that “destabilises the religious, political, Constitutional, economic or social institutions of a country”.</w:t>
      </w:r>
      <w:r w:rsidR="0092582C" w:rsidRPr="00C2084D">
        <w:rPr>
          <w:rStyle w:val="FootnoteReference"/>
          <w:rFonts w:ascii="Arial" w:hAnsi="Arial" w:cs="Arial"/>
        </w:rPr>
        <w:footnoteReference w:id="13"/>
      </w:r>
      <w:r w:rsidRPr="00C2084D">
        <w:rPr>
          <w:rFonts w:ascii="Arial" w:hAnsi="Arial" w:cs="Arial"/>
        </w:rPr>
        <w:t xml:space="preserve"> The UN Special Rapporteur on the promotion and protection of human rights while countering terrorism has noted that, notwithstanding the absence of an internationally agreed definition of “terrorism”, vague definitions in national laws enable States to take “highly intrusive, disproportionate, and discriminatory measures, notably to limit freedom of expression.”</w:t>
      </w:r>
      <w:r w:rsidRPr="00C2084D">
        <w:rPr>
          <w:rStyle w:val="FootnoteReference"/>
          <w:rFonts w:ascii="Arial" w:hAnsi="Arial" w:cs="Arial"/>
        </w:rPr>
        <w:footnoteReference w:id="14"/>
      </w:r>
    </w:p>
    <w:p w14:paraId="65778D36" w14:textId="77777777" w:rsidR="0032548B" w:rsidRPr="00C2084D" w:rsidRDefault="0032548B" w:rsidP="00C2084D">
      <w:pPr>
        <w:autoSpaceDE w:val="0"/>
        <w:autoSpaceDN w:val="0"/>
        <w:adjustRightInd w:val="0"/>
        <w:spacing w:after="0"/>
        <w:ind w:left="57" w:right="57"/>
        <w:jc w:val="both"/>
        <w:rPr>
          <w:rFonts w:ascii="TimesNewRomanGras" w:hAnsi="TimesNewRomanGras" w:cs="TimesNewRomanGras"/>
          <w:color w:val="auto"/>
        </w:rPr>
      </w:pPr>
    </w:p>
    <w:p w14:paraId="46A5D942" w14:textId="3F5299CD" w:rsidR="00C118F1" w:rsidRPr="00C2084D" w:rsidRDefault="00B76BCB" w:rsidP="00515FC3">
      <w:pPr>
        <w:pStyle w:val="ListParagraph"/>
        <w:numPr>
          <w:ilvl w:val="0"/>
          <w:numId w:val="43"/>
        </w:numPr>
        <w:autoSpaceDE w:val="0"/>
        <w:autoSpaceDN w:val="0"/>
        <w:adjustRightInd w:val="0"/>
        <w:spacing w:after="0"/>
        <w:ind w:right="57"/>
        <w:jc w:val="both"/>
        <w:rPr>
          <w:rFonts w:ascii="TimesNewRomanGras" w:hAnsi="TimesNewRomanGras" w:cs="TimesNewRomanGras"/>
          <w:color w:val="auto"/>
        </w:rPr>
      </w:pPr>
      <w:r w:rsidRPr="00C2084D">
        <w:rPr>
          <w:rFonts w:ascii="Arial" w:hAnsi="Arial" w:cs="Arial"/>
        </w:rPr>
        <w:t>The PTA enables the blacklisting of organisations believed to be “acting in association with” a designated terrorist group, the freezing of their assets, and restrictions placed on their activities, with insufficient due process guarante</w:t>
      </w:r>
      <w:r w:rsidR="00F63A03" w:rsidRPr="00C2084D">
        <w:rPr>
          <w:rFonts w:ascii="Arial" w:hAnsi="Arial" w:cs="Arial"/>
        </w:rPr>
        <w:t>es. This has been applied to civil society organisation</w:t>
      </w:r>
      <w:r w:rsidR="00BC2571">
        <w:rPr>
          <w:rFonts w:ascii="Arial" w:hAnsi="Arial" w:cs="Arial"/>
        </w:rPr>
        <w:t>s</w:t>
      </w:r>
      <w:r w:rsidRPr="00C2084D">
        <w:rPr>
          <w:rFonts w:ascii="Arial" w:hAnsi="Arial" w:cs="Arial"/>
        </w:rPr>
        <w:t>, as in the case of</w:t>
      </w:r>
      <w:r w:rsidRPr="00C2084D">
        <w:rPr>
          <w:rFonts w:ascii="Arial" w:hAnsi="Arial" w:cs="Arial"/>
          <w:b/>
        </w:rPr>
        <w:t xml:space="preserve"> </w:t>
      </w:r>
      <w:proofErr w:type="spellStart"/>
      <w:r w:rsidRPr="00C2084D">
        <w:rPr>
          <w:rStyle w:val="Strong"/>
          <w:rFonts w:ascii="Arial" w:hAnsi="Arial" w:cs="Arial"/>
          <w:b w:val="0"/>
        </w:rPr>
        <w:t>Haki</w:t>
      </w:r>
      <w:proofErr w:type="spellEnd"/>
      <w:r w:rsidRPr="00C2084D">
        <w:rPr>
          <w:rStyle w:val="Strong"/>
          <w:rFonts w:ascii="Arial" w:hAnsi="Arial" w:cs="Arial"/>
          <w:b w:val="0"/>
        </w:rPr>
        <w:t xml:space="preserve"> Africa</w:t>
      </w:r>
      <w:r w:rsidRPr="00C2084D">
        <w:rPr>
          <w:rFonts w:ascii="Arial" w:hAnsi="Arial" w:cs="Arial"/>
        </w:rPr>
        <w:t xml:space="preserve"> and</w:t>
      </w:r>
      <w:r w:rsidRPr="00C2084D">
        <w:rPr>
          <w:rFonts w:ascii="Arial" w:hAnsi="Arial" w:cs="Arial"/>
          <w:b/>
        </w:rPr>
        <w:t xml:space="preserve"> </w:t>
      </w:r>
      <w:r w:rsidRPr="00C2084D">
        <w:rPr>
          <w:rStyle w:val="Strong"/>
          <w:rFonts w:ascii="Arial" w:hAnsi="Arial" w:cs="Arial"/>
          <w:b w:val="0"/>
        </w:rPr>
        <w:t>Muslims for Human Rights</w:t>
      </w:r>
      <w:r w:rsidRPr="00C2084D">
        <w:rPr>
          <w:rFonts w:ascii="Arial" w:hAnsi="Arial" w:cs="Arial"/>
          <w:b/>
        </w:rPr>
        <w:t xml:space="preserve"> </w:t>
      </w:r>
      <w:r w:rsidRPr="00C2084D">
        <w:rPr>
          <w:rFonts w:ascii="Arial" w:hAnsi="Arial" w:cs="Arial"/>
        </w:rPr>
        <w:t xml:space="preserve">(MUHURI) on 7 April 2015, in the aftermath of the </w:t>
      </w:r>
      <w:proofErr w:type="spellStart"/>
      <w:r w:rsidRPr="00C2084D">
        <w:rPr>
          <w:rFonts w:ascii="Arial" w:hAnsi="Arial" w:cs="Arial"/>
        </w:rPr>
        <w:t>Garissa</w:t>
      </w:r>
      <w:proofErr w:type="spellEnd"/>
      <w:r w:rsidRPr="00C2084D">
        <w:rPr>
          <w:rFonts w:ascii="Arial" w:hAnsi="Arial" w:cs="Arial"/>
        </w:rPr>
        <w:t xml:space="preserve"> terrorist attacks.</w:t>
      </w:r>
      <w:r w:rsidRPr="00C2084D">
        <w:rPr>
          <w:rStyle w:val="FootnoteReference"/>
          <w:rFonts w:ascii="Arial" w:hAnsi="Arial" w:cs="Arial"/>
        </w:rPr>
        <w:footnoteReference w:id="15"/>
      </w:r>
      <w:r w:rsidRPr="00C2084D">
        <w:rPr>
          <w:rFonts w:ascii="Arial" w:hAnsi="Arial" w:cs="Arial"/>
        </w:rPr>
        <w:t xml:space="preserve"> The ban on these groups was lifted by the Mombasa High Court on 12 November 2015.  </w:t>
      </w:r>
    </w:p>
    <w:p w14:paraId="28C94E18" w14:textId="77777777" w:rsidR="0032548B" w:rsidRPr="00C2084D" w:rsidRDefault="0032548B" w:rsidP="00C2084D">
      <w:pPr>
        <w:autoSpaceDE w:val="0"/>
        <w:autoSpaceDN w:val="0"/>
        <w:adjustRightInd w:val="0"/>
        <w:spacing w:after="0"/>
        <w:ind w:left="57" w:right="57"/>
        <w:jc w:val="both"/>
        <w:rPr>
          <w:rFonts w:ascii="TimesNewRomanGras" w:hAnsi="TimesNewRomanGras" w:cs="TimesNewRomanGras"/>
          <w:color w:val="auto"/>
        </w:rPr>
      </w:pPr>
    </w:p>
    <w:p w14:paraId="6187612F" w14:textId="7D107C94" w:rsidR="00C118F1" w:rsidRPr="00C2084D" w:rsidRDefault="00B76BCB" w:rsidP="00515FC3">
      <w:pPr>
        <w:pStyle w:val="ListParagraph"/>
        <w:numPr>
          <w:ilvl w:val="0"/>
          <w:numId w:val="43"/>
        </w:numPr>
        <w:autoSpaceDE w:val="0"/>
        <w:autoSpaceDN w:val="0"/>
        <w:adjustRightInd w:val="0"/>
        <w:spacing w:after="0"/>
        <w:ind w:right="57"/>
        <w:jc w:val="both"/>
        <w:rPr>
          <w:rFonts w:ascii="TimesNewRomanGras" w:hAnsi="TimesNewRomanGras" w:cs="TimesNewRomanGras"/>
          <w:color w:val="auto"/>
        </w:rPr>
      </w:pPr>
      <w:r w:rsidRPr="00C2084D">
        <w:rPr>
          <w:rFonts w:ascii="Arial" w:hAnsi="Arial" w:cs="Arial"/>
        </w:rPr>
        <w:lastRenderedPageBreak/>
        <w:t xml:space="preserve">Various other sections of the PTA obstruct media freedom, including Section 19, related to disclosure of and interference in information relevant to a terrorism investigation, punishable by up to twenty years’ imprisonment. </w:t>
      </w:r>
      <w:r w:rsidRPr="00C2084D">
        <w:rPr>
          <w:rFonts w:ascii="Arial" w:eastAsia="Times New Roman" w:hAnsi="Arial" w:cs="Arial"/>
        </w:rPr>
        <w:t xml:space="preserve">Robert Alai was arrested on 18 June 2019 for allegedly posting and sharing on social media pictures of Kenyan police officers who were killed in a terror attack in </w:t>
      </w:r>
      <w:proofErr w:type="spellStart"/>
      <w:r w:rsidRPr="00C2084D">
        <w:rPr>
          <w:rFonts w:ascii="Arial" w:eastAsia="Times New Roman" w:hAnsi="Arial" w:cs="Arial"/>
        </w:rPr>
        <w:t>Wajir</w:t>
      </w:r>
      <w:proofErr w:type="spellEnd"/>
      <w:r w:rsidRPr="00C2084D">
        <w:rPr>
          <w:rFonts w:ascii="Arial" w:eastAsia="Times New Roman" w:hAnsi="Arial" w:cs="Arial"/>
        </w:rPr>
        <w:t>. Despite Alai having taken down the pictures at the request of police, he was arraigned in court and charged with disclosure of information in relation to terrorist activities under Section 19.</w:t>
      </w:r>
      <w:r w:rsidRPr="00C2084D">
        <w:rPr>
          <w:rStyle w:val="FootnoteReference"/>
          <w:rFonts w:ascii="Arial" w:eastAsia="Times New Roman" w:hAnsi="Arial" w:cs="Arial"/>
        </w:rPr>
        <w:footnoteReference w:id="16"/>
      </w:r>
    </w:p>
    <w:p w14:paraId="54FB1461" w14:textId="77777777" w:rsidR="0032548B" w:rsidRPr="00C2084D" w:rsidRDefault="0032548B" w:rsidP="00C2084D">
      <w:pPr>
        <w:autoSpaceDE w:val="0"/>
        <w:autoSpaceDN w:val="0"/>
        <w:adjustRightInd w:val="0"/>
        <w:spacing w:after="0"/>
        <w:ind w:left="57" w:right="57"/>
        <w:jc w:val="both"/>
        <w:rPr>
          <w:rFonts w:ascii="TimesNewRomanGras" w:hAnsi="TimesNewRomanGras" w:cs="TimesNewRomanGras"/>
          <w:color w:val="auto"/>
        </w:rPr>
      </w:pPr>
    </w:p>
    <w:p w14:paraId="2C1506FB" w14:textId="3C9D7C9F" w:rsidR="000552CD" w:rsidRPr="00C2084D" w:rsidRDefault="001B5E0C" w:rsidP="00515FC3">
      <w:pPr>
        <w:pStyle w:val="ListParagraph"/>
        <w:numPr>
          <w:ilvl w:val="0"/>
          <w:numId w:val="43"/>
        </w:numPr>
        <w:autoSpaceDE w:val="0"/>
        <w:autoSpaceDN w:val="0"/>
        <w:adjustRightInd w:val="0"/>
        <w:spacing w:after="0"/>
        <w:ind w:right="57"/>
        <w:jc w:val="both"/>
        <w:rPr>
          <w:rFonts w:ascii="TimesNewRomanGras" w:hAnsi="TimesNewRomanGras" w:cs="TimesNewRomanGras"/>
          <w:color w:val="auto"/>
        </w:rPr>
      </w:pPr>
      <w:r w:rsidRPr="00C2084D">
        <w:rPr>
          <w:rFonts w:ascii="Arial" w:hAnsi="Arial" w:cs="Arial"/>
        </w:rPr>
        <w:t>Amendments to the PTA, introduced through the Security Laws (Amendment) Act (SLAA) of 19 December 2014, further broadened the authorities’ scope to misuse counter-terrorism powers against the media and civil society.</w:t>
      </w:r>
      <w:r w:rsidRPr="00C2084D">
        <w:rPr>
          <w:rStyle w:val="FootnoteAnchor"/>
          <w:rFonts w:ascii="Arial" w:hAnsi="Arial" w:cs="Arial"/>
        </w:rPr>
        <w:footnoteReference w:id="17"/>
      </w:r>
      <w:r w:rsidRPr="00C2084D">
        <w:rPr>
          <w:rFonts w:ascii="Arial" w:hAnsi="Arial" w:cs="Arial"/>
        </w:rPr>
        <w:t xml:space="preserve">  Section 64 of the SLAA introduced</w:t>
      </w:r>
      <w:r w:rsidR="00B76BCB" w:rsidRPr="00C2084D">
        <w:rPr>
          <w:rFonts w:ascii="Arial" w:hAnsi="Arial" w:cs="Arial"/>
        </w:rPr>
        <w:t xml:space="preserve"> into the PTA</w:t>
      </w:r>
      <w:r w:rsidRPr="00C2084D">
        <w:rPr>
          <w:rFonts w:ascii="Arial" w:hAnsi="Arial" w:cs="Arial"/>
        </w:rPr>
        <w:t xml:space="preserve">: </w:t>
      </w:r>
    </w:p>
    <w:p w14:paraId="3DB984F4" w14:textId="77777777" w:rsidR="000552CD" w:rsidRPr="00C2084D" w:rsidRDefault="000552CD" w:rsidP="00C2084D">
      <w:pPr>
        <w:pStyle w:val="ListParagraph"/>
        <w:spacing w:after="0"/>
        <w:ind w:left="57" w:right="57"/>
        <w:jc w:val="both"/>
        <w:rPr>
          <w:rFonts w:ascii="Arial" w:hAnsi="Arial" w:cs="Arial"/>
        </w:rPr>
      </w:pPr>
    </w:p>
    <w:p w14:paraId="5762BB73" w14:textId="582C1DA1" w:rsidR="00F63A03" w:rsidRPr="00C2084D" w:rsidRDefault="001B5E0C" w:rsidP="00C2084D">
      <w:pPr>
        <w:pStyle w:val="ListParagraph"/>
        <w:numPr>
          <w:ilvl w:val="0"/>
          <w:numId w:val="26"/>
        </w:numPr>
        <w:spacing w:after="0"/>
        <w:ind w:right="57"/>
        <w:jc w:val="both"/>
        <w:rPr>
          <w:rFonts w:ascii="Arial" w:hAnsi="Arial" w:cs="Arial"/>
        </w:rPr>
      </w:pPr>
      <w:r w:rsidRPr="00C2084D">
        <w:rPr>
          <w:rFonts w:ascii="Arial" w:hAnsi="Arial" w:cs="Arial"/>
        </w:rPr>
        <w:t>Section 30A, broadly prohibiting the “[publication or utterance of] a statement that is likely to be understood as directly or indirectly encouraging or inducing [someone] to commit or prepare to commit an act of terrorism”, punish</w:t>
      </w:r>
      <w:r w:rsidR="00F63A03" w:rsidRPr="00C2084D">
        <w:rPr>
          <w:rFonts w:ascii="Arial" w:hAnsi="Arial" w:cs="Arial"/>
        </w:rPr>
        <w:t>able by 14 years’ imprisonment.</w:t>
      </w:r>
    </w:p>
    <w:p w14:paraId="5D65AB7E" w14:textId="47774099" w:rsidR="00C118F1" w:rsidRPr="00C2084D" w:rsidRDefault="001B5E0C" w:rsidP="00C2084D">
      <w:pPr>
        <w:pStyle w:val="ListParagraph"/>
        <w:numPr>
          <w:ilvl w:val="0"/>
          <w:numId w:val="26"/>
        </w:numPr>
        <w:spacing w:after="0"/>
        <w:ind w:right="57"/>
        <w:jc w:val="both"/>
        <w:rPr>
          <w:rFonts w:ascii="Arial" w:hAnsi="Arial" w:cs="Arial"/>
        </w:rPr>
      </w:pPr>
      <w:r w:rsidRPr="00C2084D">
        <w:rPr>
          <w:rFonts w:ascii="Arial" w:hAnsi="Arial" w:cs="Arial"/>
        </w:rPr>
        <w:t xml:space="preserve">Section 30F, broadly prohibiting the broadcast of “any information which undermines investigations or security operations relating to terrorism”, and the publication or broadcast of images of victims of terrorist attack without consent, both punishable by up to three years’ imprisonment and/or a fine. </w:t>
      </w:r>
    </w:p>
    <w:p w14:paraId="22B9E0A0" w14:textId="77777777" w:rsidR="0032548B" w:rsidRPr="00C2084D" w:rsidRDefault="0032548B" w:rsidP="00C2084D">
      <w:pPr>
        <w:spacing w:after="0"/>
        <w:ind w:left="57" w:right="57"/>
        <w:jc w:val="both"/>
        <w:rPr>
          <w:rFonts w:ascii="Arial" w:hAnsi="Arial" w:cs="Arial"/>
        </w:rPr>
      </w:pPr>
    </w:p>
    <w:p w14:paraId="5C160DEF" w14:textId="06477FFA"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Section 12 of the SLAA amended the Penal Code, introducing </w:t>
      </w:r>
      <w:r w:rsidR="00B76BCB" w:rsidRPr="00C2084D">
        <w:rPr>
          <w:rFonts w:ascii="Arial" w:hAnsi="Arial" w:cs="Arial"/>
        </w:rPr>
        <w:t xml:space="preserve">Section </w:t>
      </w:r>
      <w:r w:rsidRPr="00C2084D">
        <w:rPr>
          <w:rFonts w:ascii="Arial" w:hAnsi="Arial" w:cs="Arial"/>
        </w:rPr>
        <w:t xml:space="preserve">66(a), criminalising: </w:t>
      </w:r>
    </w:p>
    <w:p w14:paraId="33C071A2" w14:textId="77777777" w:rsidR="00BB08B4" w:rsidRPr="00C2084D" w:rsidRDefault="00BB08B4" w:rsidP="00C2084D">
      <w:pPr>
        <w:pStyle w:val="ListParagraph"/>
        <w:spacing w:after="0"/>
        <w:ind w:left="57" w:right="57" w:hanging="360"/>
        <w:jc w:val="both"/>
        <w:rPr>
          <w:rFonts w:ascii="Arial" w:hAnsi="Arial" w:cs="Arial"/>
        </w:rPr>
      </w:pPr>
    </w:p>
    <w:p w14:paraId="552160AA" w14:textId="196CF8E1" w:rsidR="000552CD" w:rsidRPr="00C2084D" w:rsidRDefault="001B5E0C" w:rsidP="00C2084D">
      <w:pPr>
        <w:pStyle w:val="ListParagraph"/>
        <w:numPr>
          <w:ilvl w:val="0"/>
          <w:numId w:val="27"/>
        </w:numPr>
        <w:spacing w:after="0"/>
        <w:ind w:right="57"/>
        <w:jc w:val="both"/>
        <w:rPr>
          <w:rFonts w:ascii="Arial" w:hAnsi="Arial" w:cs="Arial"/>
        </w:rPr>
      </w:pPr>
      <w:r w:rsidRPr="00C2084D">
        <w:rPr>
          <w:rFonts w:ascii="Arial" w:hAnsi="Arial" w:cs="Arial"/>
        </w:rPr>
        <w:t xml:space="preserve">Anyone who “publishes, broadcasts, or causes to be published or distributed, through print, digital, or electronic means, insulting, threatening or inciting material, or images of dead or injured persons which are likely to cause fear and alarm to the general public or disturb public peace”, punishable by imprisonment of up to 5 years and/or a fine. </w:t>
      </w:r>
    </w:p>
    <w:p w14:paraId="41722C2A" w14:textId="0DD71071" w:rsidR="00C118F1" w:rsidRPr="00C2084D" w:rsidRDefault="001B5E0C" w:rsidP="00C2084D">
      <w:pPr>
        <w:pStyle w:val="ListParagraph"/>
        <w:numPr>
          <w:ilvl w:val="0"/>
          <w:numId w:val="27"/>
        </w:numPr>
        <w:spacing w:after="0"/>
        <w:ind w:right="57"/>
        <w:jc w:val="both"/>
        <w:rPr>
          <w:rFonts w:ascii="Arial" w:hAnsi="Arial" w:cs="Arial"/>
        </w:rPr>
      </w:pPr>
      <w:r w:rsidRPr="00C2084D">
        <w:rPr>
          <w:rFonts w:ascii="Arial" w:hAnsi="Arial" w:cs="Arial"/>
        </w:rPr>
        <w:t xml:space="preserve">Anyone who “publishes or broadcasts any information which undermines investigations or security operations by the National Police Service or the Kenya </w:t>
      </w:r>
      <w:proofErr w:type="spellStart"/>
      <w:r w:rsidRPr="00C2084D">
        <w:rPr>
          <w:rFonts w:ascii="Arial" w:hAnsi="Arial" w:cs="Arial"/>
        </w:rPr>
        <w:t>Defense</w:t>
      </w:r>
      <w:proofErr w:type="spellEnd"/>
      <w:r w:rsidRPr="00C2084D">
        <w:rPr>
          <w:rFonts w:ascii="Arial" w:hAnsi="Arial" w:cs="Arial"/>
        </w:rPr>
        <w:t xml:space="preserve"> forces</w:t>
      </w:r>
      <w:r w:rsidR="00EA2376" w:rsidRPr="00C2084D">
        <w:rPr>
          <w:rFonts w:ascii="Arial" w:hAnsi="Arial" w:cs="Arial"/>
        </w:rPr>
        <w:t>.</w:t>
      </w:r>
      <w:r w:rsidRPr="00C2084D">
        <w:rPr>
          <w:rFonts w:ascii="Arial" w:hAnsi="Arial" w:cs="Arial"/>
        </w:rPr>
        <w:t>”</w:t>
      </w:r>
    </w:p>
    <w:p w14:paraId="4721D34E" w14:textId="77777777" w:rsidR="00C118F1" w:rsidRPr="00C2084D" w:rsidRDefault="00C118F1" w:rsidP="00C2084D">
      <w:pPr>
        <w:pStyle w:val="ListParagraph"/>
        <w:spacing w:after="0"/>
        <w:ind w:left="57" w:right="57" w:hanging="360"/>
        <w:jc w:val="both"/>
        <w:rPr>
          <w:rFonts w:ascii="Arial" w:hAnsi="Arial" w:cs="Arial"/>
        </w:rPr>
      </w:pPr>
    </w:p>
    <w:p w14:paraId="103BAC81" w14:textId="1F2DE50B" w:rsidR="00C118F1" w:rsidRPr="00C2084D" w:rsidRDefault="00B76BCB" w:rsidP="00515FC3">
      <w:pPr>
        <w:pStyle w:val="ListParagraph"/>
        <w:numPr>
          <w:ilvl w:val="0"/>
          <w:numId w:val="43"/>
        </w:numPr>
        <w:spacing w:after="0"/>
        <w:ind w:right="57"/>
        <w:jc w:val="both"/>
        <w:rPr>
          <w:rFonts w:ascii="Arial" w:hAnsi="Arial" w:cs="Arial"/>
        </w:rPr>
      </w:pPr>
      <w:r w:rsidRPr="00C2084D">
        <w:rPr>
          <w:rFonts w:ascii="Arial" w:hAnsi="Arial" w:cs="Arial"/>
        </w:rPr>
        <w:t>Section</w:t>
      </w:r>
      <w:r w:rsidR="00EA2376" w:rsidRPr="00C2084D">
        <w:rPr>
          <w:rFonts w:ascii="Arial" w:hAnsi="Arial" w:cs="Arial"/>
        </w:rPr>
        <w:t xml:space="preserve"> 12</w:t>
      </w:r>
      <w:r w:rsidRPr="00C2084D">
        <w:rPr>
          <w:rFonts w:ascii="Arial" w:hAnsi="Arial" w:cs="Arial"/>
        </w:rPr>
        <w:t xml:space="preserve"> and 64 of the SLAA </w:t>
      </w:r>
      <w:r w:rsidR="001B5E0C" w:rsidRPr="00C2084D">
        <w:rPr>
          <w:rFonts w:ascii="Arial" w:hAnsi="Arial" w:cs="Arial"/>
        </w:rPr>
        <w:t xml:space="preserve">were declared unconstitutional and </w:t>
      </w:r>
      <w:r w:rsidR="0094127B" w:rsidRPr="00C2084D">
        <w:rPr>
          <w:rFonts w:ascii="Arial" w:hAnsi="Arial" w:cs="Arial"/>
        </w:rPr>
        <w:t xml:space="preserve">the relevant sections of both the PTA and penal code were </w:t>
      </w:r>
      <w:r w:rsidR="001B5E0C" w:rsidRPr="00C2084D">
        <w:rPr>
          <w:rFonts w:ascii="Arial" w:hAnsi="Arial" w:cs="Arial"/>
        </w:rPr>
        <w:t>suspended in a ruling by the High Court on 23 February 2015, for violating the right to freedom of expression and the media</w:t>
      </w:r>
      <w:r w:rsidRPr="00C2084D">
        <w:rPr>
          <w:rFonts w:ascii="Arial" w:hAnsi="Arial" w:cs="Arial"/>
        </w:rPr>
        <w:t xml:space="preserve"> with particular implications for investigative journalism</w:t>
      </w:r>
      <w:r w:rsidR="001B5E0C" w:rsidRPr="00C2084D">
        <w:rPr>
          <w:rFonts w:ascii="Arial" w:hAnsi="Arial" w:cs="Arial"/>
        </w:rPr>
        <w:t>.</w:t>
      </w:r>
      <w:r w:rsidR="001B5E0C" w:rsidRPr="00C2084D">
        <w:rPr>
          <w:rStyle w:val="FootnoteAnchor"/>
          <w:rFonts w:ascii="Arial" w:hAnsi="Arial" w:cs="Arial"/>
        </w:rPr>
        <w:footnoteReference w:id="18"/>
      </w:r>
      <w:r w:rsidR="001B5E0C" w:rsidRPr="00C2084D">
        <w:rPr>
          <w:rFonts w:ascii="Arial" w:hAnsi="Arial" w:cs="Arial"/>
        </w:rPr>
        <w:t xml:space="preserve"> </w:t>
      </w:r>
      <w:r w:rsidRPr="00C2084D">
        <w:rPr>
          <w:rFonts w:ascii="Arial" w:hAnsi="Arial" w:cs="Arial"/>
        </w:rPr>
        <w:t>Several other sections of the SLAA that compromised essential procedural safeguards and due process guarantees were struck down in the same ruling.</w:t>
      </w:r>
      <w:r w:rsidRPr="00C2084D">
        <w:rPr>
          <w:rStyle w:val="FootnoteReference"/>
          <w:rFonts w:ascii="Arial" w:hAnsi="Arial" w:cs="Arial"/>
        </w:rPr>
        <w:footnoteReference w:id="19"/>
      </w:r>
    </w:p>
    <w:p w14:paraId="0319FA99" w14:textId="77777777" w:rsidR="00C118F1" w:rsidRPr="00C2084D" w:rsidRDefault="00C118F1" w:rsidP="00C2084D">
      <w:pPr>
        <w:pStyle w:val="ListParagraph"/>
        <w:spacing w:after="0"/>
        <w:ind w:left="57" w:right="57" w:hanging="360"/>
        <w:jc w:val="both"/>
        <w:rPr>
          <w:rFonts w:ascii="Arial" w:hAnsi="Arial" w:cs="Arial"/>
        </w:rPr>
      </w:pPr>
    </w:p>
    <w:p w14:paraId="38DCAD77" w14:textId="4F5B3400" w:rsidR="003122F7" w:rsidRPr="00F51E96" w:rsidRDefault="001B5E0C" w:rsidP="00F51E96">
      <w:pPr>
        <w:pStyle w:val="ListParagraph"/>
        <w:numPr>
          <w:ilvl w:val="0"/>
          <w:numId w:val="43"/>
        </w:numPr>
        <w:spacing w:after="0"/>
        <w:ind w:right="57"/>
        <w:jc w:val="both"/>
        <w:rPr>
          <w:rFonts w:ascii="Arial" w:hAnsi="Arial" w:cs="Arial"/>
        </w:rPr>
      </w:pPr>
      <w:r w:rsidRPr="00C2084D">
        <w:rPr>
          <w:rFonts w:ascii="Arial" w:hAnsi="Arial" w:cs="Arial"/>
        </w:rPr>
        <w:t>Other problematic provisions</w:t>
      </w:r>
      <w:r w:rsidR="0094127B" w:rsidRPr="00C2084D">
        <w:rPr>
          <w:rFonts w:ascii="Arial" w:hAnsi="Arial" w:cs="Arial"/>
        </w:rPr>
        <w:t xml:space="preserve"> of the SLAA</w:t>
      </w:r>
      <w:r w:rsidRPr="00C2084D">
        <w:rPr>
          <w:rFonts w:ascii="Arial" w:hAnsi="Arial" w:cs="Arial"/>
        </w:rPr>
        <w:t xml:space="preserve">, including Section 62, inserting Section 12 (D) into the PTA, remain in place. This provision broadly criminalises anyone who “adopts or promotes an extreme belief system for the purpose of facilitating ideologically based violence to advance political, religious, or social change” punishable by up to 30 years’ imprisonment. This </w:t>
      </w:r>
      <w:r w:rsidR="0094127B" w:rsidRPr="00C2084D">
        <w:rPr>
          <w:rFonts w:ascii="Arial" w:hAnsi="Arial" w:cs="Arial"/>
        </w:rPr>
        <w:t xml:space="preserve">vague </w:t>
      </w:r>
      <w:r w:rsidRPr="00C2084D">
        <w:rPr>
          <w:rFonts w:ascii="Arial" w:hAnsi="Arial" w:cs="Arial"/>
        </w:rPr>
        <w:t>provision</w:t>
      </w:r>
      <w:r w:rsidR="0094127B" w:rsidRPr="00C2084D">
        <w:rPr>
          <w:rFonts w:ascii="Arial" w:hAnsi="Arial" w:cs="Arial"/>
        </w:rPr>
        <w:t xml:space="preserve"> – subject to extremely harsh penalties –</w:t>
      </w:r>
      <w:r w:rsidRPr="00C2084D">
        <w:rPr>
          <w:rFonts w:ascii="Arial" w:hAnsi="Arial" w:cs="Arial"/>
        </w:rPr>
        <w:t xml:space="preserve"> is open to being applied against human rights activists, and political opponents.</w:t>
      </w:r>
    </w:p>
    <w:p w14:paraId="53384F5F" w14:textId="77777777" w:rsidR="003122F7" w:rsidRPr="003122F7" w:rsidRDefault="003122F7" w:rsidP="003122F7">
      <w:pPr>
        <w:pStyle w:val="ListParagraph"/>
        <w:spacing w:after="0"/>
        <w:ind w:left="417" w:right="57"/>
        <w:jc w:val="both"/>
        <w:rPr>
          <w:rFonts w:ascii="Arial" w:hAnsi="Arial" w:cs="Arial"/>
          <w:b/>
        </w:rPr>
      </w:pPr>
    </w:p>
    <w:p w14:paraId="24702DE0" w14:textId="77A23BAD" w:rsidR="000552CD" w:rsidRPr="003122F7" w:rsidRDefault="001B5E0C" w:rsidP="00C2084D">
      <w:pPr>
        <w:spacing w:after="0"/>
        <w:ind w:left="57" w:right="57"/>
        <w:jc w:val="both"/>
        <w:rPr>
          <w:rFonts w:ascii="Arial" w:hAnsi="Arial" w:cs="Arial"/>
          <w:b/>
        </w:rPr>
      </w:pPr>
      <w:r w:rsidRPr="003122F7">
        <w:rPr>
          <w:rFonts w:ascii="Arial" w:hAnsi="Arial" w:cs="Arial"/>
          <w:b/>
        </w:rPr>
        <w:t xml:space="preserve">Surveillance </w:t>
      </w:r>
    </w:p>
    <w:p w14:paraId="5444261B" w14:textId="77777777" w:rsidR="00BB08B4" w:rsidRPr="00C2084D" w:rsidRDefault="00BB08B4" w:rsidP="00C2084D">
      <w:pPr>
        <w:spacing w:after="0"/>
        <w:ind w:left="57" w:right="57" w:firstLine="284"/>
        <w:jc w:val="both"/>
        <w:rPr>
          <w:rFonts w:ascii="Arial" w:hAnsi="Arial" w:cs="Arial"/>
          <w:u w:val="single"/>
        </w:rPr>
      </w:pPr>
    </w:p>
    <w:p w14:paraId="7E9CA2CB" w14:textId="60B45BB7"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eastAsia="Times New Roman" w:hAnsi="Arial" w:cs="Arial"/>
        </w:rPr>
        <w:t xml:space="preserve">The authorities have extensive powers to conduct mass and targeted surveillance, without appropriate human rights safeguards: this includes in particular </w:t>
      </w:r>
      <w:r w:rsidRPr="00C2084D">
        <w:rPr>
          <w:rFonts w:ascii="Arial" w:hAnsi="Arial" w:cs="Arial"/>
        </w:rPr>
        <w:t xml:space="preserve">Section 56 of the SLAA (2014), modifying the National Intelligence Service (NIS) Act (2012), to grant the Director General of the National Security Agency unfettered discretion to authorise surveillance to deal with “any threat to national security or to perform any of its functions” (Part V Section 42).  Sections 36 (1) and (2) of the PTA (2012), as well as Article 36 of the NIS Act </w:t>
      </w:r>
      <w:r w:rsidR="0094127B" w:rsidRPr="00C2084D">
        <w:rPr>
          <w:rFonts w:ascii="Arial" w:hAnsi="Arial" w:cs="Arial"/>
        </w:rPr>
        <w:t>also raise concerns for the right to privacy</w:t>
      </w:r>
      <w:r w:rsidRPr="00C2084D">
        <w:rPr>
          <w:rFonts w:ascii="Arial" w:hAnsi="Arial" w:cs="Arial"/>
        </w:rPr>
        <w:t xml:space="preserve">, and require reform. </w:t>
      </w:r>
    </w:p>
    <w:p w14:paraId="5A1E3D55" w14:textId="77777777" w:rsidR="000552CD" w:rsidRPr="00C2084D" w:rsidRDefault="000552CD" w:rsidP="00C2084D">
      <w:pPr>
        <w:spacing w:after="0"/>
        <w:ind w:left="57" w:right="57"/>
        <w:jc w:val="both"/>
        <w:rPr>
          <w:rFonts w:ascii="Arial" w:hAnsi="Arial" w:cs="Arial"/>
        </w:rPr>
      </w:pPr>
    </w:p>
    <w:p w14:paraId="5EB5A439" w14:textId="55AA425A" w:rsidR="00BB08B4"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These surveillance capabilities have seemingly enabled state interference in the work of Human Rights Defenders (HRDs). In December 2018, a report by the National Coalition of Human Rights Defenders for Kenya identified that a majority of HRDs who participated in the survey, reported experiencing security breaches including unlawful access of their social media and email accounts as well as phone-tapping.</w:t>
      </w:r>
      <w:r w:rsidRPr="00C2084D">
        <w:rPr>
          <w:rStyle w:val="FootnoteAnchor"/>
          <w:rFonts w:ascii="Arial" w:hAnsi="Arial" w:cs="Arial"/>
          <w:lang w:val="en-US"/>
        </w:rPr>
        <w:footnoteReference w:id="20"/>
      </w:r>
      <w:r w:rsidRPr="00C2084D">
        <w:rPr>
          <w:rFonts w:ascii="Arial" w:hAnsi="Arial" w:cs="Arial"/>
        </w:rPr>
        <w:t xml:space="preserve"> HRDs working at county level reported greater vulnerability to such breaches. Infiltration of civil society groups and meetings by state agents was also reported. These practices contribute to self-censorship</w:t>
      </w:r>
      <w:r w:rsidR="0094127B" w:rsidRPr="00C2084D">
        <w:rPr>
          <w:rFonts w:ascii="Arial" w:hAnsi="Arial" w:cs="Arial"/>
        </w:rPr>
        <w:t xml:space="preserve"> and have a chilling effect on individuals promoting and protecting human rights in the country</w:t>
      </w:r>
      <w:r w:rsidR="0032548B" w:rsidRPr="00C2084D">
        <w:rPr>
          <w:rFonts w:ascii="Arial" w:hAnsi="Arial" w:cs="Arial"/>
        </w:rPr>
        <w:t>.</w:t>
      </w:r>
    </w:p>
    <w:p w14:paraId="12D66D4E" w14:textId="0257C9BC" w:rsidR="0032548B" w:rsidRPr="003122F7" w:rsidRDefault="0032548B" w:rsidP="003122F7">
      <w:pPr>
        <w:spacing w:after="0"/>
        <w:ind w:right="57"/>
        <w:jc w:val="both"/>
        <w:rPr>
          <w:rFonts w:ascii="Arial" w:eastAsia="Times New Roman" w:hAnsi="Arial" w:cs="Arial"/>
        </w:rPr>
      </w:pPr>
    </w:p>
    <w:p w14:paraId="4F6B6A07" w14:textId="3DA78567" w:rsidR="000552CD" w:rsidRPr="00C2084D" w:rsidRDefault="001B5E0C" w:rsidP="00C2084D">
      <w:pPr>
        <w:spacing w:after="0"/>
        <w:ind w:left="57" w:right="57"/>
        <w:jc w:val="both"/>
        <w:rPr>
          <w:rFonts w:ascii="Arial" w:hAnsi="Arial" w:cs="Arial"/>
          <w:b/>
        </w:rPr>
      </w:pPr>
      <w:r w:rsidRPr="00C2084D">
        <w:rPr>
          <w:rFonts w:ascii="Arial" w:hAnsi="Arial" w:cs="Arial"/>
          <w:b/>
        </w:rPr>
        <w:t xml:space="preserve">Media </w:t>
      </w:r>
      <w:r w:rsidR="00BE7937" w:rsidRPr="00C2084D">
        <w:rPr>
          <w:rFonts w:ascii="Arial" w:hAnsi="Arial" w:cs="Arial"/>
          <w:b/>
        </w:rPr>
        <w:t>Freedom</w:t>
      </w:r>
    </w:p>
    <w:p w14:paraId="1FCB6304" w14:textId="77777777" w:rsidR="0032548B" w:rsidRPr="00C2084D" w:rsidRDefault="0032548B" w:rsidP="00C2084D">
      <w:pPr>
        <w:spacing w:after="0"/>
        <w:ind w:left="57" w:right="57"/>
        <w:jc w:val="both"/>
        <w:rPr>
          <w:rFonts w:ascii="Arial" w:hAnsi="Arial" w:cs="Arial"/>
          <w:b/>
        </w:rPr>
      </w:pPr>
    </w:p>
    <w:p w14:paraId="66CF6FA6" w14:textId="5F382EA5"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The media sector in Kenya is regulated through two laws: the Media Council Act (2013) (MCA) and the Kenya Information and Communications (Amendment) Act (2013) (KICA).</w:t>
      </w:r>
      <w:r w:rsidRPr="00C2084D">
        <w:rPr>
          <w:rStyle w:val="FootnoteAnchor"/>
          <w:rFonts w:ascii="Arial" w:hAnsi="Arial" w:cs="Arial"/>
        </w:rPr>
        <w:footnoteReference w:id="21"/>
      </w:r>
      <w:r w:rsidRPr="00C2084D">
        <w:rPr>
          <w:rFonts w:ascii="Arial" w:hAnsi="Arial" w:cs="Arial"/>
        </w:rPr>
        <w:t xml:space="preserve">  Both are overly restrictive of international and regional standards freedom of expression and media freedom, containing severe criminal penalties for journalists and media outlets. </w:t>
      </w:r>
    </w:p>
    <w:p w14:paraId="601DC9C1" w14:textId="77777777" w:rsidR="0032548B" w:rsidRPr="00C2084D" w:rsidRDefault="0032548B" w:rsidP="00C2084D">
      <w:pPr>
        <w:spacing w:after="0"/>
        <w:ind w:left="57" w:right="57"/>
        <w:jc w:val="both"/>
        <w:rPr>
          <w:rFonts w:ascii="Arial" w:hAnsi="Arial" w:cs="Arial"/>
        </w:rPr>
      </w:pPr>
    </w:p>
    <w:p w14:paraId="4289FB37" w14:textId="0AB25977"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The MCA Act established a media regulator with oversight over print, broadcast, and electronic media: </w:t>
      </w:r>
      <w:proofErr w:type="gramStart"/>
      <w:r w:rsidRPr="00C2084D">
        <w:rPr>
          <w:rFonts w:ascii="Arial" w:hAnsi="Arial" w:cs="Arial"/>
        </w:rPr>
        <w:t>the</w:t>
      </w:r>
      <w:proofErr w:type="gramEnd"/>
      <w:r w:rsidRPr="00C2084D">
        <w:rPr>
          <w:rFonts w:ascii="Arial" w:hAnsi="Arial" w:cs="Arial"/>
        </w:rPr>
        <w:t xml:space="preserve"> Media Council of Kenya. Although ostensibly an independent regulator, with its members appointed by an independent panel and through open recruitment, reports of government influence on the selection of its members remains. The membership of the Council is currently incomplete, as a result of apparent government efforts to stall the selection of applicants in February 2019. </w:t>
      </w:r>
    </w:p>
    <w:p w14:paraId="6845CC2E" w14:textId="77777777" w:rsidR="0032548B" w:rsidRPr="00C2084D" w:rsidRDefault="0032548B" w:rsidP="00C2084D">
      <w:pPr>
        <w:spacing w:after="0"/>
        <w:ind w:left="57" w:right="57"/>
        <w:jc w:val="both"/>
        <w:rPr>
          <w:rFonts w:ascii="Arial" w:hAnsi="Arial" w:cs="Arial"/>
        </w:rPr>
      </w:pPr>
    </w:p>
    <w:p w14:paraId="72D98F7F" w14:textId="778718A2"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The Media Council sets media standards and is responsible for the implementation of its </w:t>
      </w:r>
      <w:r w:rsidRPr="00C2084D">
        <w:rPr>
          <w:rFonts w:ascii="Arial" w:hAnsi="Arial" w:cs="Arial"/>
          <w:i/>
        </w:rPr>
        <w:t>code of conduct</w:t>
      </w:r>
      <w:r w:rsidRPr="00C2084D">
        <w:rPr>
          <w:rFonts w:ascii="Arial" w:hAnsi="Arial" w:cs="Arial"/>
        </w:rPr>
        <w:t xml:space="preserve">, including hearing complaints and imposing sanctions, for breaches. Available sanctions include the withdrawal of accreditation from media outlets, and seizure of assets to ensure payment of applicable penalties. The maximum penalties that can be imposed in case of breaches of the Code of Conduct range from USD 5,000 against individual journalists and media workers, to USD 200,000 against media companies. </w:t>
      </w:r>
    </w:p>
    <w:p w14:paraId="62114D95" w14:textId="77777777" w:rsidR="0032548B" w:rsidRPr="00C2084D" w:rsidRDefault="0032548B" w:rsidP="00C2084D">
      <w:pPr>
        <w:spacing w:after="0"/>
        <w:ind w:left="57" w:right="57"/>
        <w:jc w:val="both"/>
        <w:rPr>
          <w:rFonts w:ascii="Arial" w:hAnsi="Arial" w:cs="Arial"/>
        </w:rPr>
      </w:pPr>
    </w:p>
    <w:p w14:paraId="1F42EAA7" w14:textId="7D325AF4" w:rsidR="0032548B"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lastRenderedPageBreak/>
        <w:t>Where decisions by the Media Council are appealed, the MCA provides for a Government appointed Communications and Multimedia Appeals Tribunal to hear the complaints, facilitating undue government interference in the media.</w:t>
      </w:r>
    </w:p>
    <w:p w14:paraId="0F0F833E" w14:textId="077499F4" w:rsidR="0032548B" w:rsidRPr="00C2084D" w:rsidRDefault="001B5E0C" w:rsidP="00C2084D">
      <w:pPr>
        <w:spacing w:after="0"/>
        <w:ind w:left="57" w:right="57"/>
        <w:jc w:val="both"/>
        <w:rPr>
          <w:rFonts w:ascii="Arial" w:hAnsi="Arial" w:cs="Arial"/>
        </w:rPr>
      </w:pPr>
      <w:r w:rsidRPr="00C2084D">
        <w:rPr>
          <w:rFonts w:ascii="Arial" w:hAnsi="Arial" w:cs="Arial"/>
        </w:rPr>
        <w:t xml:space="preserve"> </w:t>
      </w:r>
    </w:p>
    <w:p w14:paraId="58E1ACAE" w14:textId="436A4F57" w:rsidR="00B52F43"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The KICA Act created the Communications Authority of Kenya – a government agency under the authority of the ICT Ministry – which is responsible for licencing broadcast and other media. Several sections of the KICA unduly restrict free and independent media in the country. Section 90 sets out broad powers for the search and seizure of broadcast equipment, for the purpose of any proceedings, and section 17 establishes wholly disproportionate criminal fines and imprisonment for various offences relating to the use of radio frequencies. </w:t>
      </w:r>
    </w:p>
    <w:p w14:paraId="262CA4B0" w14:textId="77777777" w:rsidR="0032548B" w:rsidRPr="00C2084D" w:rsidRDefault="0032548B" w:rsidP="00C2084D">
      <w:pPr>
        <w:spacing w:after="0"/>
        <w:ind w:left="57" w:right="57"/>
        <w:jc w:val="both"/>
        <w:rPr>
          <w:rFonts w:ascii="Arial" w:hAnsi="Arial" w:cs="Arial"/>
        </w:rPr>
      </w:pPr>
    </w:p>
    <w:p w14:paraId="41C5F4C1" w14:textId="0DE2BE51" w:rsidR="00B52F43" w:rsidRPr="00C2084D" w:rsidRDefault="0094127B" w:rsidP="00515FC3">
      <w:pPr>
        <w:pStyle w:val="ListParagraph"/>
        <w:numPr>
          <w:ilvl w:val="0"/>
          <w:numId w:val="43"/>
        </w:numPr>
        <w:spacing w:after="0"/>
        <w:ind w:right="57"/>
        <w:jc w:val="both"/>
        <w:rPr>
          <w:rFonts w:ascii="Arial" w:hAnsi="Arial" w:cs="Arial"/>
        </w:rPr>
      </w:pPr>
      <w:r w:rsidRPr="00C2084D">
        <w:rPr>
          <w:rFonts w:ascii="Arial" w:hAnsi="Arial" w:cs="Arial"/>
        </w:rPr>
        <w:t>A constitutional challenge by media organisations in 2014, resulted in the High Court declaring aspects of the MCA</w:t>
      </w:r>
      <w:r w:rsidR="00B52F43" w:rsidRPr="00C2084D">
        <w:rPr>
          <w:rFonts w:ascii="Arial" w:hAnsi="Arial" w:cs="Arial"/>
        </w:rPr>
        <w:t>, in particular sections 3(2)(a) and 6(2)(c)</w:t>
      </w:r>
      <w:r w:rsidRPr="00C2084D">
        <w:rPr>
          <w:rFonts w:ascii="Arial" w:hAnsi="Arial" w:cs="Arial"/>
        </w:rPr>
        <w:t xml:space="preserve"> unconstitutional.</w:t>
      </w:r>
      <w:r w:rsidR="00A97733" w:rsidRPr="00C2084D">
        <w:rPr>
          <w:rStyle w:val="FootnoteReference"/>
          <w:rFonts w:ascii="Arial" w:hAnsi="Arial" w:cs="Arial"/>
          <w:lang w:val="en-US"/>
        </w:rPr>
        <w:footnoteReference w:id="22"/>
      </w:r>
      <w:r w:rsidRPr="00C2084D">
        <w:rPr>
          <w:rFonts w:ascii="Arial" w:hAnsi="Arial" w:cs="Arial"/>
        </w:rPr>
        <w:t xml:space="preserve"> </w:t>
      </w:r>
      <w:r w:rsidR="00A97733" w:rsidRPr="00C2084D">
        <w:rPr>
          <w:rFonts w:ascii="Arial" w:hAnsi="Arial" w:cs="Arial"/>
        </w:rPr>
        <w:t xml:space="preserve">Following a constitutional challenge, </w:t>
      </w:r>
      <w:r w:rsidR="0051019E" w:rsidRPr="00C2084D">
        <w:rPr>
          <w:rFonts w:ascii="Arial" w:hAnsi="Arial" w:cs="Arial"/>
        </w:rPr>
        <w:t xml:space="preserve">Section 29 of KICA was </w:t>
      </w:r>
      <w:r w:rsidR="00E32C34" w:rsidRPr="00C2084D">
        <w:rPr>
          <w:rFonts w:ascii="Arial" w:hAnsi="Arial" w:cs="Arial"/>
        </w:rPr>
        <w:t xml:space="preserve">also </w:t>
      </w:r>
      <w:r w:rsidR="0051019E" w:rsidRPr="00C2084D">
        <w:rPr>
          <w:rFonts w:ascii="Arial" w:hAnsi="Arial" w:cs="Arial"/>
        </w:rPr>
        <w:t>ruled unconstitutional in April 2016.</w:t>
      </w:r>
      <w:r w:rsidR="0051019E" w:rsidRPr="00C2084D">
        <w:rPr>
          <w:rStyle w:val="FootnoteCharacters"/>
          <w:rFonts w:ascii="Arial" w:hAnsi="Arial" w:cs="Arial"/>
        </w:rPr>
        <w:t xml:space="preserve"> </w:t>
      </w:r>
      <w:r w:rsidR="0051019E" w:rsidRPr="00C2084D">
        <w:rPr>
          <w:rStyle w:val="FootnoteAnchor"/>
          <w:rFonts w:ascii="Arial" w:hAnsi="Arial" w:cs="Arial"/>
        </w:rPr>
        <w:footnoteReference w:id="23"/>
      </w:r>
      <w:r w:rsidR="0051019E" w:rsidRPr="00C2084D">
        <w:rPr>
          <w:rFonts w:ascii="Arial" w:hAnsi="Arial" w:cs="Arial"/>
        </w:rPr>
        <w:t xml:space="preserve"> </w:t>
      </w:r>
      <w:r w:rsidR="0051019E" w:rsidRPr="00C2084D">
        <w:rPr>
          <w:rStyle w:val="FootnoteCharacters"/>
          <w:rFonts w:ascii="Arial" w:hAnsi="Arial" w:cs="Arial"/>
        </w:rPr>
        <w:t xml:space="preserve"> </w:t>
      </w:r>
      <w:r w:rsidR="0051019E" w:rsidRPr="00C2084D">
        <w:rPr>
          <w:rFonts w:ascii="Arial" w:hAnsi="Arial" w:cs="Arial"/>
        </w:rPr>
        <w:t>Section 29 related to the “improper use of a licensed communications system” and effectively criminalised publishing vaguely defined unlawful information online: this included “grossly offensive”, “obscene” content, and content “causing annoyance”, “inconvenience”, or “needless anxiety”, punishable by up to three years’ imprisonment and/or a fine. The ruling held this to be an overbroad restriction on the freedom to seek, receive, and impart information, violating Article 33 of the Constitution.</w:t>
      </w:r>
      <w:r w:rsidR="0051019E" w:rsidRPr="00C2084D">
        <w:rPr>
          <w:rStyle w:val="FootnoteAnchor"/>
          <w:rFonts w:ascii="Arial" w:hAnsi="Arial" w:cs="Arial"/>
        </w:rPr>
        <w:footnoteReference w:id="24"/>
      </w:r>
      <w:r w:rsidR="0051019E" w:rsidRPr="00C2084D">
        <w:rPr>
          <w:rFonts w:ascii="Arial" w:hAnsi="Arial" w:cs="Arial"/>
        </w:rPr>
        <w:t xml:space="preserve"> </w:t>
      </w:r>
    </w:p>
    <w:p w14:paraId="2399ED91" w14:textId="77777777" w:rsidR="0032548B" w:rsidRPr="00C2084D" w:rsidRDefault="0032548B" w:rsidP="00C2084D">
      <w:pPr>
        <w:spacing w:after="0"/>
        <w:ind w:left="57" w:right="57"/>
        <w:jc w:val="both"/>
        <w:rPr>
          <w:rFonts w:ascii="Arial" w:hAnsi="Arial" w:cs="Arial"/>
        </w:rPr>
      </w:pPr>
    </w:p>
    <w:p w14:paraId="10C7E51A" w14:textId="4A9B8499" w:rsidR="00B52F43"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Prior to its suspension, the authorities had increased their use of Section 29 to target social media users, bloggers, and journalists, posting content that criticised public officials, or that expressed dissent. The constitutional challenge was brought by web developer Geoffrey </w:t>
      </w:r>
      <w:proofErr w:type="spellStart"/>
      <w:r w:rsidRPr="00C2084D">
        <w:rPr>
          <w:rFonts w:ascii="Arial" w:hAnsi="Arial" w:cs="Arial"/>
        </w:rPr>
        <w:t>Andare</w:t>
      </w:r>
      <w:proofErr w:type="spellEnd"/>
      <w:r w:rsidRPr="00C2084D">
        <w:rPr>
          <w:rFonts w:ascii="Arial" w:hAnsi="Arial" w:cs="Arial"/>
        </w:rPr>
        <w:t xml:space="preserve">, who was charged under Section 29 for a Facebook post criticising a representative of an NGO in relation to allegations of sexual harassment. In another emblematic case, the journalist Yassin </w:t>
      </w:r>
      <w:proofErr w:type="spellStart"/>
      <w:r w:rsidRPr="00C2084D">
        <w:rPr>
          <w:rFonts w:ascii="Arial" w:hAnsi="Arial" w:cs="Arial"/>
        </w:rPr>
        <w:t>Juma</w:t>
      </w:r>
      <w:proofErr w:type="spellEnd"/>
      <w:r w:rsidRPr="00C2084D">
        <w:rPr>
          <w:rFonts w:ascii="Arial" w:hAnsi="Arial" w:cs="Arial"/>
        </w:rPr>
        <w:t xml:space="preserve"> was arrested and detained in January 2016 </w:t>
      </w:r>
      <w:r w:rsidR="00B52F43" w:rsidRPr="00C2084D">
        <w:rPr>
          <w:rFonts w:ascii="Arial" w:hAnsi="Arial" w:cs="Arial"/>
        </w:rPr>
        <w:t>in relation to</w:t>
      </w:r>
      <w:r w:rsidRPr="00C2084D">
        <w:rPr>
          <w:rFonts w:ascii="Arial" w:hAnsi="Arial" w:cs="Arial"/>
        </w:rPr>
        <w:t xml:space="preserve"> a Facebook post containing a photo of a Kenyan soldier, allegedly killed in an attack on Kenyan peacekeepers in Somalia.</w:t>
      </w:r>
      <w:r w:rsidRPr="00C2084D">
        <w:rPr>
          <w:rFonts w:ascii="Arial" w:hAnsi="Arial" w:cs="Arial"/>
          <w:color w:val="333333"/>
          <w:shd w:val="clear" w:color="auto" w:fill="FFFFFF"/>
        </w:rPr>
        <w:t xml:space="preserve"> </w:t>
      </w:r>
      <w:r w:rsidRPr="00C2084D">
        <w:rPr>
          <w:rFonts w:ascii="Arial" w:hAnsi="Arial" w:cs="Arial"/>
        </w:rPr>
        <w:t xml:space="preserve">Mr </w:t>
      </w:r>
      <w:proofErr w:type="spellStart"/>
      <w:r w:rsidRPr="00C2084D">
        <w:rPr>
          <w:rFonts w:ascii="Arial" w:hAnsi="Arial" w:cs="Arial"/>
        </w:rPr>
        <w:t>Juma</w:t>
      </w:r>
      <w:proofErr w:type="spellEnd"/>
      <w:r w:rsidRPr="00C2084D">
        <w:rPr>
          <w:rFonts w:ascii="Arial" w:hAnsi="Arial" w:cs="Arial"/>
        </w:rPr>
        <w:t xml:space="preserve"> was released on procedural grounds, as the authorities failed to prepare key documentation. In January 2016, Judith </w:t>
      </w:r>
      <w:proofErr w:type="spellStart"/>
      <w:r w:rsidRPr="00C2084D">
        <w:rPr>
          <w:rFonts w:ascii="Arial" w:hAnsi="Arial" w:cs="Arial"/>
        </w:rPr>
        <w:t>Akolo</w:t>
      </w:r>
      <w:proofErr w:type="spellEnd"/>
      <w:r w:rsidRPr="00C2084D">
        <w:rPr>
          <w:rFonts w:ascii="Arial" w:hAnsi="Arial" w:cs="Arial"/>
        </w:rPr>
        <w:t>, a journalist with KBC, was taken to the Directorate of Criminal Investigations (DCI) offices and questioned</w:t>
      </w:r>
      <w:r w:rsidR="00E32C34" w:rsidRPr="00C2084D">
        <w:rPr>
          <w:rFonts w:ascii="Arial" w:hAnsi="Arial" w:cs="Arial"/>
        </w:rPr>
        <w:t xml:space="preserve"> in relation to this offence</w:t>
      </w:r>
      <w:r w:rsidRPr="00C2084D">
        <w:rPr>
          <w:rFonts w:ascii="Arial" w:hAnsi="Arial" w:cs="Arial"/>
        </w:rPr>
        <w:t xml:space="preserve"> for three hours for retweeting a post by a third party, which referred to an internal police memo showing recruitments with a one-day application deadline.</w:t>
      </w:r>
      <w:r w:rsidRPr="00C2084D">
        <w:rPr>
          <w:rFonts w:ascii="Arial" w:hAnsi="Arial" w:cs="Arial"/>
          <w:color w:val="666666"/>
          <w:shd w:val="clear" w:color="auto" w:fill="FFFFFF"/>
        </w:rPr>
        <w:t xml:space="preserve"> </w:t>
      </w:r>
      <w:proofErr w:type="spellStart"/>
      <w:r w:rsidRPr="00C2084D">
        <w:rPr>
          <w:rFonts w:ascii="Arial" w:hAnsi="Arial" w:cs="Arial"/>
        </w:rPr>
        <w:t>Akolo</w:t>
      </w:r>
      <w:proofErr w:type="spellEnd"/>
      <w:r w:rsidRPr="00C2084D">
        <w:rPr>
          <w:rFonts w:ascii="Arial" w:hAnsi="Arial" w:cs="Arial"/>
        </w:rPr>
        <w:t xml:space="preserve"> was asked to explain how she obtained the memo, despite not having written the original tweet – whilst the individual who had written the post was not questioned. </w:t>
      </w:r>
    </w:p>
    <w:p w14:paraId="45C66217" w14:textId="77777777" w:rsidR="0032548B" w:rsidRPr="00C2084D" w:rsidRDefault="0032548B" w:rsidP="00C2084D">
      <w:pPr>
        <w:spacing w:after="0"/>
        <w:ind w:left="57" w:right="57"/>
        <w:jc w:val="both"/>
        <w:rPr>
          <w:rFonts w:ascii="Arial" w:hAnsi="Arial" w:cs="Arial"/>
        </w:rPr>
      </w:pPr>
    </w:p>
    <w:p w14:paraId="277CF00C" w14:textId="225260C0" w:rsidR="002406C4" w:rsidRPr="00C2084D" w:rsidRDefault="003E541B" w:rsidP="00515FC3">
      <w:pPr>
        <w:pStyle w:val="ListParagraph"/>
        <w:numPr>
          <w:ilvl w:val="0"/>
          <w:numId w:val="43"/>
        </w:numPr>
        <w:spacing w:after="0"/>
        <w:ind w:right="57"/>
        <w:jc w:val="both"/>
        <w:rPr>
          <w:rStyle w:val="StrongEmphasis"/>
          <w:rFonts w:ascii="Arial" w:hAnsi="Arial" w:cs="Arial"/>
          <w:b w:val="0"/>
          <w:bCs w:val="0"/>
        </w:rPr>
      </w:pPr>
      <w:r w:rsidRPr="00C2084D">
        <w:rPr>
          <w:rFonts w:ascii="Arial" w:hAnsi="Arial" w:cs="Arial"/>
        </w:rPr>
        <w:t xml:space="preserve">A subsequent constitutional challenge to the KICA, in which ARTICLE 19 intervened, was decided by the High Court </w:t>
      </w:r>
      <w:r w:rsidR="00B52F43" w:rsidRPr="00C2084D">
        <w:rPr>
          <w:rFonts w:ascii="Arial" w:hAnsi="Arial" w:cs="Arial"/>
        </w:rPr>
        <w:t xml:space="preserve">in </w:t>
      </w:r>
      <w:r w:rsidR="002406C4" w:rsidRPr="00C2084D">
        <w:rPr>
          <w:rFonts w:ascii="Arial" w:hAnsi="Arial" w:cs="Arial"/>
          <w:color w:val="auto"/>
        </w:rPr>
        <w:t>2019.</w:t>
      </w:r>
      <w:r w:rsidRPr="00C91094">
        <w:rPr>
          <w:rStyle w:val="FootnoteAnchor"/>
          <w:rFonts w:ascii="Arial" w:hAnsi="Arial" w:cs="Arial"/>
          <w:iCs/>
          <w:color w:val="auto"/>
        </w:rPr>
        <w:footnoteReference w:id="25"/>
      </w:r>
      <w:r w:rsidR="00B52F43" w:rsidRPr="00C91094">
        <w:rPr>
          <w:rFonts w:ascii="Arial" w:hAnsi="Arial" w:cs="Arial"/>
          <w:color w:val="auto"/>
        </w:rPr>
        <w:t xml:space="preserve"> </w:t>
      </w:r>
      <w:r w:rsidRPr="00C2084D">
        <w:rPr>
          <w:rFonts w:ascii="Arial" w:hAnsi="Arial" w:cs="Arial"/>
          <w:color w:val="auto"/>
        </w:rPr>
        <w:t>Th</w:t>
      </w:r>
      <w:r w:rsidR="00B52F43" w:rsidRPr="00C2084D">
        <w:rPr>
          <w:rFonts w:ascii="Arial" w:hAnsi="Arial" w:cs="Arial"/>
          <w:color w:val="auto"/>
        </w:rPr>
        <w:t>e court held Section 84D of the KICA</w:t>
      </w:r>
      <w:r w:rsidRPr="00C2084D">
        <w:rPr>
          <w:rFonts w:ascii="Arial" w:hAnsi="Arial" w:cs="Arial"/>
          <w:color w:val="auto"/>
        </w:rPr>
        <w:t xml:space="preserve"> to be overly restrictive of expression and therefore </w:t>
      </w:r>
      <w:r w:rsidRPr="00C2084D">
        <w:rPr>
          <w:rStyle w:val="StrongEmphasis"/>
          <w:rFonts w:ascii="Arial" w:hAnsi="Arial" w:cs="Arial"/>
          <w:b w:val="0"/>
          <w:bCs w:val="0"/>
          <w:color w:val="auto"/>
        </w:rPr>
        <w:t xml:space="preserve">unconstitutional. Section 84D criminalised the publication </w:t>
      </w:r>
      <w:r w:rsidRPr="00C2084D">
        <w:rPr>
          <w:rStyle w:val="StrongEmphasis"/>
          <w:rFonts w:ascii="Arial" w:hAnsi="Arial" w:cs="Arial"/>
          <w:b w:val="0"/>
          <w:bCs w:val="0"/>
          <w:color w:val="auto"/>
        </w:rPr>
        <w:lastRenderedPageBreak/>
        <w:t xml:space="preserve">or distribution through electronic means, any ‘obscene’ information subject to a hefty fine or two years’ imprisonment, or both. This provision had a particular chilling effect on online expression, and media. </w:t>
      </w:r>
    </w:p>
    <w:p w14:paraId="39873579" w14:textId="77777777" w:rsidR="0032548B" w:rsidRPr="00C2084D" w:rsidRDefault="0032548B" w:rsidP="00C2084D">
      <w:pPr>
        <w:spacing w:after="0"/>
        <w:ind w:left="57" w:right="57"/>
        <w:jc w:val="both"/>
        <w:rPr>
          <w:rFonts w:ascii="Arial" w:hAnsi="Arial" w:cs="Arial"/>
        </w:rPr>
      </w:pPr>
    </w:p>
    <w:p w14:paraId="435FBDC8" w14:textId="760F2C09" w:rsidR="002406C4" w:rsidRPr="00C2084D" w:rsidRDefault="00A97733" w:rsidP="00515FC3">
      <w:pPr>
        <w:pStyle w:val="ListParagraph"/>
        <w:numPr>
          <w:ilvl w:val="0"/>
          <w:numId w:val="43"/>
        </w:numPr>
        <w:spacing w:after="0"/>
        <w:ind w:right="57"/>
        <w:jc w:val="both"/>
        <w:rPr>
          <w:rFonts w:ascii="Arial" w:hAnsi="Arial" w:cs="Arial"/>
        </w:rPr>
      </w:pPr>
      <w:r w:rsidRPr="00C2084D">
        <w:rPr>
          <w:rFonts w:ascii="Arial" w:hAnsi="Arial" w:cs="Arial"/>
        </w:rPr>
        <w:t>Attempts to intimidate and harass the media to prevent coverage of the opposition, and minimise negative coverage of the ruling party, have continued</w:t>
      </w:r>
      <w:r w:rsidR="00BC2571">
        <w:rPr>
          <w:rFonts w:ascii="Arial" w:hAnsi="Arial" w:cs="Arial"/>
        </w:rPr>
        <w:t>.</w:t>
      </w:r>
      <w:r w:rsidRPr="00C2084D">
        <w:rPr>
          <w:rFonts w:ascii="Arial" w:hAnsi="Arial" w:cs="Arial"/>
        </w:rPr>
        <w:t xml:space="preserve"> </w:t>
      </w:r>
    </w:p>
    <w:p w14:paraId="3170906A" w14:textId="77777777" w:rsidR="0032548B" w:rsidRPr="00C2084D" w:rsidRDefault="0032548B" w:rsidP="00C2084D">
      <w:pPr>
        <w:spacing w:after="0"/>
        <w:ind w:left="57" w:right="57"/>
        <w:jc w:val="both"/>
        <w:rPr>
          <w:rFonts w:ascii="Arial" w:hAnsi="Arial" w:cs="Arial"/>
        </w:rPr>
      </w:pPr>
    </w:p>
    <w:p w14:paraId="25F79D26" w14:textId="0EE79666" w:rsidR="00F40176" w:rsidRPr="00C2084D" w:rsidRDefault="00A97733" w:rsidP="00515FC3">
      <w:pPr>
        <w:pStyle w:val="ListParagraph"/>
        <w:numPr>
          <w:ilvl w:val="0"/>
          <w:numId w:val="43"/>
        </w:numPr>
        <w:spacing w:after="0"/>
        <w:ind w:right="57"/>
        <w:jc w:val="both"/>
        <w:rPr>
          <w:rFonts w:ascii="Arial" w:hAnsi="Arial" w:cs="Arial"/>
        </w:rPr>
      </w:pPr>
      <w:r w:rsidRPr="00C2084D">
        <w:rPr>
          <w:rFonts w:ascii="Arial" w:hAnsi="Arial" w:cs="Arial"/>
        </w:rPr>
        <w:t>An egregious example of state interference occurred in the aftermath of the c</w:t>
      </w:r>
      <w:r w:rsidR="00000E5A" w:rsidRPr="00C2084D">
        <w:rPr>
          <w:rFonts w:ascii="Arial" w:hAnsi="Arial" w:cs="Arial"/>
        </w:rPr>
        <w:t xml:space="preserve">ontested Presidential elections. </w:t>
      </w:r>
      <w:r w:rsidR="00E32C34" w:rsidRPr="00C2084D">
        <w:rPr>
          <w:rFonts w:ascii="Arial" w:hAnsi="Arial" w:cs="Arial"/>
        </w:rPr>
        <w:t>On J</w:t>
      </w:r>
      <w:r w:rsidR="00000E5A" w:rsidRPr="00C2084D">
        <w:rPr>
          <w:rFonts w:ascii="Arial" w:hAnsi="Arial" w:cs="Arial"/>
        </w:rPr>
        <w:t>anuary 2</w:t>
      </w:r>
      <w:r w:rsidR="00E32C34" w:rsidRPr="00C2084D">
        <w:rPr>
          <w:rFonts w:ascii="Arial" w:hAnsi="Arial" w:cs="Arial"/>
        </w:rPr>
        <w:t>6, 2018, t</w:t>
      </w:r>
      <w:r w:rsidRPr="00C2084D">
        <w:rPr>
          <w:rFonts w:ascii="Arial" w:hAnsi="Arial" w:cs="Arial"/>
        </w:rPr>
        <w:t xml:space="preserve">he Interior Cabinet Secretary summoned the Kenya Editors Guild to the State House, and threatened to revoke the licenses of any media companies that broadcast a planned 30 January rally and symbolic “swearing-in” of opposition leader </w:t>
      </w:r>
      <w:proofErr w:type="spellStart"/>
      <w:r w:rsidRPr="00C2084D">
        <w:rPr>
          <w:rFonts w:ascii="Arial" w:hAnsi="Arial" w:cs="Arial"/>
        </w:rPr>
        <w:t>Raila</w:t>
      </w:r>
      <w:proofErr w:type="spellEnd"/>
      <w:r w:rsidRPr="00C2084D">
        <w:rPr>
          <w:rFonts w:ascii="Arial" w:hAnsi="Arial" w:cs="Arial"/>
        </w:rPr>
        <w:t xml:space="preserve"> </w:t>
      </w:r>
      <w:proofErr w:type="spellStart"/>
      <w:r w:rsidRPr="00C2084D">
        <w:rPr>
          <w:rFonts w:ascii="Arial" w:hAnsi="Arial" w:cs="Arial"/>
        </w:rPr>
        <w:t>Odinga</w:t>
      </w:r>
      <w:proofErr w:type="spellEnd"/>
      <w:r w:rsidRPr="00C2084D">
        <w:rPr>
          <w:rFonts w:ascii="Arial" w:hAnsi="Arial" w:cs="Arial"/>
        </w:rPr>
        <w:t xml:space="preserve"> in Uhuru Park.</w:t>
      </w:r>
      <w:r w:rsidRPr="00C2084D">
        <w:rPr>
          <w:rStyle w:val="FootnoteReference"/>
          <w:rFonts w:ascii="Arial" w:hAnsi="Arial" w:cs="Arial"/>
        </w:rPr>
        <w:footnoteReference w:id="26"/>
      </w:r>
      <w:r w:rsidRPr="00C2084D">
        <w:rPr>
          <w:rFonts w:ascii="Arial" w:eastAsiaTheme="minorHAnsi" w:hAnsi="Arial" w:cs="Arial"/>
        </w:rPr>
        <w:t xml:space="preserve"> This threat was justified on the basis of alleged national security concerns. </w:t>
      </w:r>
      <w:r w:rsidR="00E32C34" w:rsidRPr="00C2084D">
        <w:rPr>
          <w:rFonts w:ascii="Arial" w:eastAsiaTheme="minorHAnsi" w:hAnsi="Arial" w:cs="Arial"/>
        </w:rPr>
        <w:t xml:space="preserve">Subsequently, </w:t>
      </w:r>
      <w:r w:rsidR="00000E5A" w:rsidRPr="00C2084D">
        <w:rPr>
          <w:rFonts w:ascii="Arial" w:eastAsiaTheme="minorHAnsi" w:hAnsi="Arial" w:cs="Arial"/>
        </w:rPr>
        <w:t>o</w:t>
      </w:r>
      <w:r w:rsidRPr="00C2084D">
        <w:rPr>
          <w:rFonts w:ascii="Arial" w:eastAsiaTheme="minorHAnsi" w:hAnsi="Arial" w:cs="Arial"/>
        </w:rPr>
        <w:t>n the orders of the Interior Cabinet Secretary, the Communications Authority suspended four channels (three broadcasters) (Citizen TV’s national and local channels, KTN and NTV) in advance of the 30 January event, in an unconstitutional act of prior c</w:t>
      </w:r>
      <w:r w:rsidR="00E32C34" w:rsidRPr="00C2084D">
        <w:rPr>
          <w:rFonts w:ascii="Arial" w:eastAsiaTheme="minorHAnsi" w:hAnsi="Arial" w:cs="Arial"/>
        </w:rPr>
        <w:t>ensorship that clearly violated</w:t>
      </w:r>
      <w:r w:rsidRPr="00C2084D">
        <w:rPr>
          <w:rFonts w:ascii="Arial" w:eastAsiaTheme="minorHAnsi" w:hAnsi="Arial" w:cs="Arial"/>
        </w:rPr>
        <w:t xml:space="preserve"> Kenya’s international human rights law obligations. </w:t>
      </w:r>
      <w:r w:rsidRPr="00C2084D">
        <w:rPr>
          <w:rFonts w:ascii="Arial" w:hAnsi="Arial" w:cs="Arial"/>
        </w:rPr>
        <w:t>On 31 January, the Interior Cabinet Secretary announced that the stations would remain suspended until investigations into what he termed a “serious breach of security” were concluded. The outlets were alleged to have ignored earlier advice</w:t>
      </w:r>
      <w:r w:rsidR="00000E5A" w:rsidRPr="00C2084D">
        <w:rPr>
          <w:rFonts w:ascii="Arial" w:hAnsi="Arial" w:cs="Arial"/>
        </w:rPr>
        <w:t xml:space="preserve"> to refrain from broadcasting the rally</w:t>
      </w:r>
      <w:r w:rsidRPr="00C2084D">
        <w:rPr>
          <w:rFonts w:ascii="Arial" w:hAnsi="Arial" w:cs="Arial"/>
        </w:rPr>
        <w:t xml:space="preserve">. A legal challenge to the suspension was brought by activist </w:t>
      </w:r>
      <w:proofErr w:type="spellStart"/>
      <w:r w:rsidRPr="00C2084D">
        <w:rPr>
          <w:rFonts w:ascii="Arial" w:hAnsi="Arial" w:cs="Arial"/>
        </w:rPr>
        <w:t>Okiya</w:t>
      </w:r>
      <w:proofErr w:type="spellEnd"/>
      <w:r w:rsidRPr="00C2084D">
        <w:rPr>
          <w:rFonts w:ascii="Arial" w:hAnsi="Arial" w:cs="Arial"/>
        </w:rPr>
        <w:t xml:space="preserve"> </w:t>
      </w:r>
      <w:proofErr w:type="spellStart"/>
      <w:r w:rsidRPr="00C2084D">
        <w:rPr>
          <w:rFonts w:ascii="Arial" w:hAnsi="Arial" w:cs="Arial"/>
        </w:rPr>
        <w:t>Omtatah</w:t>
      </w:r>
      <w:proofErr w:type="spellEnd"/>
      <w:r w:rsidRPr="00C2084D">
        <w:rPr>
          <w:rFonts w:ascii="Arial" w:hAnsi="Arial" w:cs="Arial"/>
        </w:rPr>
        <w:t xml:space="preserve">. In a 1 February </w:t>
      </w:r>
      <w:r w:rsidR="00000E5A" w:rsidRPr="00C2084D">
        <w:rPr>
          <w:rFonts w:ascii="Arial" w:hAnsi="Arial" w:cs="Arial"/>
        </w:rPr>
        <w:t xml:space="preserve">2018 </w:t>
      </w:r>
      <w:r w:rsidRPr="00C2084D">
        <w:rPr>
          <w:rFonts w:ascii="Arial" w:hAnsi="Arial" w:cs="Arial"/>
        </w:rPr>
        <w:t xml:space="preserve">ruling, the </w:t>
      </w:r>
      <w:proofErr w:type="spellStart"/>
      <w:r w:rsidRPr="00C2084D">
        <w:rPr>
          <w:rFonts w:ascii="Arial" w:hAnsi="Arial" w:cs="Arial"/>
        </w:rPr>
        <w:t>Milimani</w:t>
      </w:r>
      <w:proofErr w:type="spellEnd"/>
      <w:r w:rsidRPr="00C2084D">
        <w:rPr>
          <w:rFonts w:ascii="Arial" w:hAnsi="Arial" w:cs="Arial"/>
        </w:rPr>
        <w:t xml:space="preserve"> High Court held that the Commu</w:t>
      </w:r>
      <w:r w:rsidR="00000E5A" w:rsidRPr="00C2084D">
        <w:rPr>
          <w:rFonts w:ascii="Arial" w:hAnsi="Arial" w:cs="Arial"/>
        </w:rPr>
        <w:t>nication Authority of Kenya was required to</w:t>
      </w:r>
      <w:r w:rsidRPr="00C2084D">
        <w:rPr>
          <w:rFonts w:ascii="Arial" w:hAnsi="Arial" w:cs="Arial"/>
        </w:rPr>
        <w:t xml:space="preserve"> immediately restore the stations’ broadcasts.</w:t>
      </w:r>
      <w:r w:rsidRPr="00C2084D">
        <w:rPr>
          <w:rStyle w:val="FootnoteReference"/>
          <w:rFonts w:ascii="Arial" w:hAnsi="Arial" w:cs="Arial"/>
        </w:rPr>
        <w:footnoteReference w:id="27"/>
      </w:r>
      <w:r w:rsidRPr="00C2084D">
        <w:rPr>
          <w:rFonts w:ascii="Arial" w:hAnsi="Arial" w:cs="Arial"/>
        </w:rPr>
        <w:t xml:space="preserve">  The ruling was not implemented until 7 February, however – when the government declared the threat to national security had been fully investigated.</w:t>
      </w:r>
      <w:r w:rsidRPr="00C2084D" w:rsidDel="00860862">
        <w:rPr>
          <w:rFonts w:ascii="Arial" w:hAnsi="Arial" w:cs="Arial"/>
        </w:rPr>
        <w:t xml:space="preserve"> </w:t>
      </w:r>
    </w:p>
    <w:p w14:paraId="148B7FB1" w14:textId="77777777" w:rsidR="0032548B" w:rsidRPr="00C2084D" w:rsidRDefault="0032548B" w:rsidP="00C2084D">
      <w:pPr>
        <w:spacing w:after="0"/>
        <w:ind w:left="57" w:right="57"/>
        <w:jc w:val="both"/>
        <w:rPr>
          <w:rFonts w:ascii="Arial" w:hAnsi="Arial" w:cs="Arial"/>
        </w:rPr>
      </w:pPr>
    </w:p>
    <w:p w14:paraId="038E156C" w14:textId="6CE10BBB" w:rsidR="0032548B" w:rsidRPr="003122F7" w:rsidRDefault="00A97733" w:rsidP="003122F7">
      <w:pPr>
        <w:pStyle w:val="ListParagraph"/>
        <w:numPr>
          <w:ilvl w:val="0"/>
          <w:numId w:val="43"/>
        </w:numPr>
        <w:spacing w:after="0"/>
        <w:ind w:right="57"/>
        <w:jc w:val="both"/>
        <w:rPr>
          <w:rFonts w:ascii="Arial" w:hAnsi="Arial" w:cs="Arial"/>
        </w:rPr>
      </w:pPr>
      <w:r w:rsidRPr="00C2084D">
        <w:rPr>
          <w:rFonts w:ascii="Arial" w:hAnsi="Arial" w:cs="Arial"/>
        </w:rPr>
        <w:t xml:space="preserve">In </w:t>
      </w:r>
      <w:r w:rsidR="00000E5A" w:rsidRPr="00C2084D">
        <w:rPr>
          <w:rFonts w:ascii="Arial" w:hAnsi="Arial" w:cs="Arial"/>
        </w:rPr>
        <w:t xml:space="preserve">another example of state pressure on private media the </w:t>
      </w:r>
      <w:r w:rsidRPr="00C2084D">
        <w:rPr>
          <w:rFonts w:ascii="Arial" w:hAnsi="Arial" w:cs="Arial"/>
        </w:rPr>
        <w:t xml:space="preserve"> </w:t>
      </w:r>
      <w:r w:rsidR="008030D1" w:rsidRPr="00C2084D">
        <w:rPr>
          <w:rFonts w:ascii="Arial" w:hAnsi="Arial" w:cs="Arial"/>
        </w:rPr>
        <w:t xml:space="preserve">editor of the </w:t>
      </w:r>
      <w:r w:rsidRPr="00C2084D">
        <w:rPr>
          <w:rFonts w:ascii="Arial" w:hAnsi="Arial" w:cs="Arial"/>
        </w:rPr>
        <w:t xml:space="preserve"> </w:t>
      </w:r>
      <w:r w:rsidRPr="00C2084D">
        <w:rPr>
          <w:rFonts w:ascii="Arial" w:hAnsi="Arial" w:cs="Arial"/>
          <w:i/>
          <w:iCs/>
        </w:rPr>
        <w:t>Daily Nation</w:t>
      </w:r>
      <w:r w:rsidR="008030D1" w:rsidRPr="00C2084D">
        <w:rPr>
          <w:rFonts w:ascii="Arial" w:hAnsi="Arial" w:cs="Arial"/>
          <w:i/>
          <w:iCs/>
        </w:rPr>
        <w:t>,</w:t>
      </w:r>
      <w:r w:rsidR="00000E5A" w:rsidRPr="00C2084D">
        <w:rPr>
          <w:rFonts w:ascii="Arial" w:hAnsi="Arial" w:cs="Arial"/>
        </w:rPr>
        <w:t xml:space="preserve"> Dennis </w:t>
      </w:r>
      <w:proofErr w:type="spellStart"/>
      <w:r w:rsidR="00000E5A" w:rsidRPr="00C2084D">
        <w:rPr>
          <w:rFonts w:ascii="Arial" w:hAnsi="Arial" w:cs="Arial"/>
        </w:rPr>
        <w:t>Galava</w:t>
      </w:r>
      <w:proofErr w:type="spellEnd"/>
      <w:r w:rsidR="00000E5A" w:rsidRPr="00C2084D">
        <w:rPr>
          <w:rFonts w:ascii="Arial" w:hAnsi="Arial" w:cs="Arial"/>
        </w:rPr>
        <w:t>,</w:t>
      </w:r>
      <w:r w:rsidR="008030D1" w:rsidRPr="00C2084D">
        <w:rPr>
          <w:rFonts w:ascii="Arial" w:hAnsi="Arial" w:cs="Arial"/>
          <w:i/>
          <w:iCs/>
        </w:rPr>
        <w:t xml:space="preserve"> </w:t>
      </w:r>
      <w:r w:rsidRPr="00C2084D">
        <w:rPr>
          <w:rFonts w:ascii="Arial" w:hAnsi="Arial" w:cs="Arial"/>
        </w:rPr>
        <w:t xml:space="preserve">was fired </w:t>
      </w:r>
      <w:r w:rsidR="00000E5A" w:rsidRPr="00C2084D">
        <w:rPr>
          <w:rFonts w:ascii="Arial" w:hAnsi="Arial" w:cs="Arial"/>
        </w:rPr>
        <w:t xml:space="preserve">in 2016 </w:t>
      </w:r>
      <w:r w:rsidR="008030D1" w:rsidRPr="00C2084D">
        <w:rPr>
          <w:rFonts w:ascii="Arial" w:hAnsi="Arial" w:cs="Arial"/>
        </w:rPr>
        <w:t xml:space="preserve">after </w:t>
      </w:r>
      <w:r w:rsidRPr="00C2084D">
        <w:rPr>
          <w:rFonts w:ascii="Arial" w:hAnsi="Arial" w:cs="Arial"/>
        </w:rPr>
        <w:t>publishing an opinion piece which heavily criticised President Uhuru Kenyatta’s administration</w:t>
      </w:r>
      <w:r w:rsidR="00000E5A" w:rsidRPr="00C2084D">
        <w:rPr>
          <w:rFonts w:ascii="Arial" w:hAnsi="Arial" w:cs="Arial"/>
        </w:rPr>
        <w:t>.</w:t>
      </w:r>
      <w:r w:rsidRPr="00C2084D">
        <w:rPr>
          <w:rStyle w:val="FootnoteAnchor"/>
          <w:rFonts w:ascii="Arial" w:hAnsi="Arial" w:cs="Arial"/>
        </w:rPr>
        <w:footnoteReference w:id="28"/>
      </w:r>
      <w:r w:rsidR="00000E5A" w:rsidRPr="00C2084D">
        <w:rPr>
          <w:rFonts w:ascii="Arial" w:hAnsi="Arial" w:cs="Arial"/>
        </w:rPr>
        <w:t xml:space="preserve"> It is widely considered that the government pressured the paper’s ownership - </w:t>
      </w:r>
      <w:r w:rsidRPr="00C2084D">
        <w:rPr>
          <w:rFonts w:ascii="Arial" w:hAnsi="Arial" w:cs="Arial"/>
        </w:rPr>
        <w:t xml:space="preserve"> the Nation Media Group, the largest media establishment in East and Central Africa</w:t>
      </w:r>
      <w:r w:rsidR="00000E5A" w:rsidRPr="00C2084D">
        <w:rPr>
          <w:rFonts w:ascii="Arial" w:hAnsi="Arial" w:cs="Arial"/>
        </w:rPr>
        <w:t xml:space="preserve"> - to remove </w:t>
      </w:r>
      <w:proofErr w:type="spellStart"/>
      <w:r w:rsidR="00000E5A" w:rsidRPr="00C2084D">
        <w:rPr>
          <w:rFonts w:ascii="Arial" w:hAnsi="Arial" w:cs="Arial"/>
        </w:rPr>
        <w:t>Galava</w:t>
      </w:r>
      <w:proofErr w:type="spellEnd"/>
      <w:r w:rsidR="00000E5A" w:rsidRPr="00C2084D">
        <w:rPr>
          <w:rFonts w:ascii="Arial" w:hAnsi="Arial" w:cs="Arial"/>
        </w:rPr>
        <w:t xml:space="preserve"> from his post.</w:t>
      </w:r>
      <w:r w:rsidRPr="00C2084D">
        <w:rPr>
          <w:rFonts w:ascii="Arial" w:hAnsi="Arial" w:cs="Arial"/>
        </w:rPr>
        <w:t xml:space="preserve"> </w:t>
      </w:r>
    </w:p>
    <w:p w14:paraId="1CBB1756" w14:textId="77777777" w:rsidR="000552CD" w:rsidRPr="00C2084D" w:rsidRDefault="000552CD" w:rsidP="00C2084D">
      <w:pPr>
        <w:pStyle w:val="ListParagraph"/>
        <w:numPr>
          <w:ilvl w:val="0"/>
          <w:numId w:val="10"/>
        </w:numPr>
        <w:spacing w:after="0"/>
        <w:jc w:val="both"/>
        <w:rPr>
          <w:rFonts w:ascii="Arial" w:hAnsi="Arial" w:cs="Arial"/>
          <w:vanish/>
        </w:rPr>
      </w:pPr>
    </w:p>
    <w:p w14:paraId="507B0B31" w14:textId="77777777" w:rsidR="000552CD" w:rsidRPr="00C2084D" w:rsidRDefault="000552CD" w:rsidP="00C2084D">
      <w:pPr>
        <w:pStyle w:val="ListParagraph"/>
        <w:numPr>
          <w:ilvl w:val="0"/>
          <w:numId w:val="10"/>
        </w:numPr>
        <w:spacing w:after="0"/>
        <w:jc w:val="both"/>
        <w:rPr>
          <w:rFonts w:ascii="Arial" w:hAnsi="Arial" w:cs="Arial"/>
          <w:vanish/>
        </w:rPr>
      </w:pPr>
    </w:p>
    <w:p w14:paraId="1B69458C" w14:textId="77777777" w:rsidR="000552CD" w:rsidRPr="00C2084D" w:rsidRDefault="000552CD" w:rsidP="00C2084D">
      <w:pPr>
        <w:pStyle w:val="ListParagraph"/>
        <w:numPr>
          <w:ilvl w:val="0"/>
          <w:numId w:val="10"/>
        </w:numPr>
        <w:spacing w:after="0"/>
        <w:jc w:val="both"/>
        <w:rPr>
          <w:rFonts w:ascii="Arial" w:hAnsi="Arial" w:cs="Arial"/>
          <w:vanish/>
        </w:rPr>
      </w:pPr>
    </w:p>
    <w:p w14:paraId="309DD12B" w14:textId="77777777" w:rsidR="000552CD" w:rsidRPr="00C2084D" w:rsidRDefault="000552CD" w:rsidP="00C2084D">
      <w:pPr>
        <w:pStyle w:val="ListParagraph"/>
        <w:numPr>
          <w:ilvl w:val="0"/>
          <w:numId w:val="10"/>
        </w:numPr>
        <w:spacing w:after="0"/>
        <w:jc w:val="both"/>
        <w:rPr>
          <w:rFonts w:ascii="Arial" w:hAnsi="Arial" w:cs="Arial"/>
          <w:vanish/>
        </w:rPr>
      </w:pPr>
    </w:p>
    <w:p w14:paraId="316E3923" w14:textId="77777777" w:rsidR="000552CD" w:rsidRPr="00C2084D" w:rsidRDefault="000552CD" w:rsidP="00C2084D">
      <w:pPr>
        <w:pStyle w:val="ListParagraph"/>
        <w:numPr>
          <w:ilvl w:val="0"/>
          <w:numId w:val="10"/>
        </w:numPr>
        <w:spacing w:after="0"/>
        <w:jc w:val="both"/>
        <w:rPr>
          <w:rFonts w:ascii="Arial" w:hAnsi="Arial" w:cs="Arial"/>
          <w:vanish/>
        </w:rPr>
      </w:pPr>
    </w:p>
    <w:p w14:paraId="6C92B75F" w14:textId="77777777" w:rsidR="000552CD" w:rsidRPr="00C2084D" w:rsidRDefault="000552CD" w:rsidP="00C2084D">
      <w:pPr>
        <w:pStyle w:val="ListParagraph"/>
        <w:numPr>
          <w:ilvl w:val="0"/>
          <w:numId w:val="10"/>
        </w:numPr>
        <w:spacing w:after="0"/>
        <w:jc w:val="both"/>
        <w:rPr>
          <w:rFonts w:ascii="Arial" w:hAnsi="Arial" w:cs="Arial"/>
          <w:vanish/>
        </w:rPr>
      </w:pPr>
    </w:p>
    <w:p w14:paraId="5391B88A" w14:textId="77777777" w:rsidR="000552CD" w:rsidRPr="00C2084D" w:rsidRDefault="000552CD" w:rsidP="00C2084D">
      <w:pPr>
        <w:pStyle w:val="ListParagraph"/>
        <w:numPr>
          <w:ilvl w:val="0"/>
          <w:numId w:val="10"/>
        </w:numPr>
        <w:spacing w:after="0"/>
        <w:jc w:val="both"/>
        <w:rPr>
          <w:rFonts w:ascii="Arial" w:hAnsi="Arial" w:cs="Arial"/>
          <w:vanish/>
        </w:rPr>
      </w:pPr>
    </w:p>
    <w:p w14:paraId="186157E2" w14:textId="77777777" w:rsidR="000552CD" w:rsidRPr="00C2084D" w:rsidRDefault="000552CD" w:rsidP="00C2084D">
      <w:pPr>
        <w:pStyle w:val="ListParagraph"/>
        <w:numPr>
          <w:ilvl w:val="0"/>
          <w:numId w:val="10"/>
        </w:numPr>
        <w:spacing w:after="0"/>
        <w:jc w:val="both"/>
        <w:rPr>
          <w:rFonts w:ascii="Arial" w:hAnsi="Arial" w:cs="Arial"/>
          <w:vanish/>
        </w:rPr>
      </w:pPr>
    </w:p>
    <w:p w14:paraId="69753318" w14:textId="77777777" w:rsidR="000552CD" w:rsidRPr="00C2084D" w:rsidRDefault="000552CD" w:rsidP="00C2084D">
      <w:pPr>
        <w:pStyle w:val="ListParagraph"/>
        <w:numPr>
          <w:ilvl w:val="0"/>
          <w:numId w:val="10"/>
        </w:numPr>
        <w:spacing w:after="0"/>
        <w:jc w:val="both"/>
        <w:rPr>
          <w:rFonts w:ascii="Arial" w:hAnsi="Arial" w:cs="Arial"/>
          <w:vanish/>
        </w:rPr>
      </w:pPr>
    </w:p>
    <w:p w14:paraId="5036102F" w14:textId="77777777" w:rsidR="000552CD" w:rsidRPr="00C2084D" w:rsidRDefault="000552CD" w:rsidP="00C2084D">
      <w:pPr>
        <w:pStyle w:val="ListParagraph"/>
        <w:numPr>
          <w:ilvl w:val="0"/>
          <w:numId w:val="10"/>
        </w:numPr>
        <w:spacing w:after="0"/>
        <w:jc w:val="both"/>
        <w:rPr>
          <w:rFonts w:ascii="Arial" w:hAnsi="Arial" w:cs="Arial"/>
          <w:vanish/>
        </w:rPr>
      </w:pPr>
    </w:p>
    <w:p w14:paraId="4517CD91" w14:textId="77777777" w:rsidR="000552CD" w:rsidRPr="00C2084D" w:rsidRDefault="000552CD" w:rsidP="00C2084D">
      <w:pPr>
        <w:pStyle w:val="ListParagraph"/>
        <w:numPr>
          <w:ilvl w:val="0"/>
          <w:numId w:val="10"/>
        </w:numPr>
        <w:spacing w:after="0"/>
        <w:jc w:val="both"/>
        <w:rPr>
          <w:rFonts w:ascii="Arial" w:hAnsi="Arial" w:cs="Arial"/>
          <w:vanish/>
        </w:rPr>
      </w:pPr>
    </w:p>
    <w:p w14:paraId="3D35FC22" w14:textId="77777777" w:rsidR="000552CD" w:rsidRPr="00C2084D" w:rsidRDefault="000552CD" w:rsidP="00C2084D">
      <w:pPr>
        <w:pStyle w:val="ListParagraph"/>
        <w:numPr>
          <w:ilvl w:val="0"/>
          <w:numId w:val="10"/>
        </w:numPr>
        <w:spacing w:after="0"/>
        <w:jc w:val="both"/>
        <w:rPr>
          <w:rFonts w:ascii="Arial" w:hAnsi="Arial" w:cs="Arial"/>
          <w:vanish/>
        </w:rPr>
      </w:pPr>
    </w:p>
    <w:p w14:paraId="5B1670A1" w14:textId="77777777" w:rsidR="000552CD" w:rsidRPr="00C2084D" w:rsidRDefault="000552CD" w:rsidP="00C2084D">
      <w:pPr>
        <w:pStyle w:val="ListParagraph"/>
        <w:numPr>
          <w:ilvl w:val="0"/>
          <w:numId w:val="10"/>
        </w:numPr>
        <w:spacing w:after="0"/>
        <w:jc w:val="both"/>
        <w:rPr>
          <w:rFonts w:ascii="Arial" w:hAnsi="Arial" w:cs="Arial"/>
          <w:vanish/>
        </w:rPr>
      </w:pPr>
    </w:p>
    <w:p w14:paraId="06EBA6E2" w14:textId="77777777" w:rsidR="000552CD" w:rsidRPr="00C2084D" w:rsidRDefault="000552CD" w:rsidP="00C2084D">
      <w:pPr>
        <w:pStyle w:val="ListParagraph"/>
        <w:numPr>
          <w:ilvl w:val="0"/>
          <w:numId w:val="10"/>
        </w:numPr>
        <w:spacing w:after="0"/>
        <w:jc w:val="both"/>
        <w:rPr>
          <w:rFonts w:ascii="Arial" w:hAnsi="Arial" w:cs="Arial"/>
          <w:vanish/>
        </w:rPr>
      </w:pPr>
    </w:p>
    <w:p w14:paraId="196DF024" w14:textId="77777777" w:rsidR="000552CD" w:rsidRPr="00C2084D" w:rsidRDefault="000552CD" w:rsidP="00C2084D">
      <w:pPr>
        <w:pStyle w:val="ListParagraph"/>
        <w:numPr>
          <w:ilvl w:val="0"/>
          <w:numId w:val="10"/>
        </w:numPr>
        <w:spacing w:after="0"/>
        <w:jc w:val="both"/>
        <w:rPr>
          <w:rFonts w:ascii="Arial" w:hAnsi="Arial" w:cs="Arial"/>
          <w:vanish/>
        </w:rPr>
      </w:pPr>
    </w:p>
    <w:p w14:paraId="29A245DC" w14:textId="77777777" w:rsidR="000552CD" w:rsidRPr="00C2084D" w:rsidRDefault="000552CD" w:rsidP="00C2084D">
      <w:pPr>
        <w:pStyle w:val="ListParagraph"/>
        <w:numPr>
          <w:ilvl w:val="0"/>
          <w:numId w:val="10"/>
        </w:numPr>
        <w:spacing w:after="0"/>
        <w:jc w:val="both"/>
        <w:rPr>
          <w:rFonts w:ascii="Arial" w:hAnsi="Arial" w:cs="Arial"/>
          <w:vanish/>
        </w:rPr>
      </w:pPr>
    </w:p>
    <w:p w14:paraId="515EC5EA" w14:textId="77777777" w:rsidR="000552CD" w:rsidRPr="00C2084D" w:rsidRDefault="000552CD" w:rsidP="00C2084D">
      <w:pPr>
        <w:pStyle w:val="ListParagraph"/>
        <w:numPr>
          <w:ilvl w:val="0"/>
          <w:numId w:val="10"/>
        </w:numPr>
        <w:spacing w:after="0"/>
        <w:jc w:val="both"/>
        <w:rPr>
          <w:rFonts w:ascii="Arial" w:hAnsi="Arial" w:cs="Arial"/>
          <w:vanish/>
        </w:rPr>
      </w:pPr>
    </w:p>
    <w:p w14:paraId="3BDB764D" w14:textId="77777777" w:rsidR="000552CD" w:rsidRPr="00C2084D" w:rsidRDefault="000552CD" w:rsidP="00C2084D">
      <w:pPr>
        <w:pStyle w:val="ListParagraph"/>
        <w:numPr>
          <w:ilvl w:val="0"/>
          <w:numId w:val="10"/>
        </w:numPr>
        <w:spacing w:after="0"/>
        <w:jc w:val="both"/>
        <w:rPr>
          <w:rFonts w:ascii="Arial" w:hAnsi="Arial" w:cs="Arial"/>
          <w:vanish/>
        </w:rPr>
      </w:pPr>
    </w:p>
    <w:p w14:paraId="6D564F12" w14:textId="77777777" w:rsidR="000552CD" w:rsidRPr="00C2084D" w:rsidRDefault="000552CD" w:rsidP="00C2084D">
      <w:pPr>
        <w:pStyle w:val="ListParagraph"/>
        <w:numPr>
          <w:ilvl w:val="0"/>
          <w:numId w:val="10"/>
        </w:numPr>
        <w:spacing w:after="0"/>
        <w:jc w:val="both"/>
        <w:rPr>
          <w:rFonts w:ascii="Arial" w:hAnsi="Arial" w:cs="Arial"/>
          <w:vanish/>
        </w:rPr>
      </w:pPr>
    </w:p>
    <w:p w14:paraId="23246359" w14:textId="77777777" w:rsidR="000552CD" w:rsidRPr="00C2084D" w:rsidRDefault="000552CD" w:rsidP="00C2084D">
      <w:pPr>
        <w:pStyle w:val="ListParagraph"/>
        <w:numPr>
          <w:ilvl w:val="0"/>
          <w:numId w:val="10"/>
        </w:numPr>
        <w:spacing w:after="0"/>
        <w:jc w:val="both"/>
        <w:rPr>
          <w:rFonts w:ascii="Arial" w:hAnsi="Arial" w:cs="Arial"/>
          <w:vanish/>
        </w:rPr>
      </w:pPr>
    </w:p>
    <w:p w14:paraId="4603FFE9" w14:textId="77777777" w:rsidR="000552CD" w:rsidRPr="00C2084D" w:rsidRDefault="000552CD" w:rsidP="00C2084D">
      <w:pPr>
        <w:pStyle w:val="ListParagraph"/>
        <w:numPr>
          <w:ilvl w:val="0"/>
          <w:numId w:val="10"/>
        </w:numPr>
        <w:spacing w:after="0"/>
        <w:jc w:val="both"/>
        <w:rPr>
          <w:rFonts w:ascii="Arial" w:hAnsi="Arial" w:cs="Arial"/>
          <w:vanish/>
        </w:rPr>
      </w:pPr>
    </w:p>
    <w:p w14:paraId="227D586D" w14:textId="77777777" w:rsidR="000552CD" w:rsidRPr="00C2084D" w:rsidRDefault="000552CD" w:rsidP="00C2084D">
      <w:pPr>
        <w:pStyle w:val="ListParagraph"/>
        <w:numPr>
          <w:ilvl w:val="0"/>
          <w:numId w:val="10"/>
        </w:numPr>
        <w:spacing w:after="0"/>
        <w:jc w:val="both"/>
        <w:rPr>
          <w:rFonts w:ascii="Arial" w:hAnsi="Arial" w:cs="Arial"/>
          <w:vanish/>
        </w:rPr>
      </w:pPr>
    </w:p>
    <w:p w14:paraId="3DB60BB7" w14:textId="77777777" w:rsidR="000552CD" w:rsidRPr="00C2084D" w:rsidRDefault="000552CD" w:rsidP="00C2084D">
      <w:pPr>
        <w:pStyle w:val="ListParagraph"/>
        <w:numPr>
          <w:ilvl w:val="0"/>
          <w:numId w:val="10"/>
        </w:numPr>
        <w:spacing w:after="0"/>
        <w:jc w:val="both"/>
        <w:rPr>
          <w:rFonts w:ascii="Arial" w:hAnsi="Arial" w:cs="Arial"/>
          <w:vanish/>
        </w:rPr>
      </w:pPr>
    </w:p>
    <w:p w14:paraId="0BEC3537" w14:textId="77777777" w:rsidR="000552CD" w:rsidRPr="00C2084D" w:rsidRDefault="000552CD" w:rsidP="00C2084D">
      <w:pPr>
        <w:pStyle w:val="ListParagraph"/>
        <w:numPr>
          <w:ilvl w:val="0"/>
          <w:numId w:val="10"/>
        </w:numPr>
        <w:spacing w:after="0"/>
        <w:jc w:val="both"/>
        <w:rPr>
          <w:rFonts w:ascii="Arial" w:hAnsi="Arial" w:cs="Arial"/>
          <w:vanish/>
        </w:rPr>
      </w:pPr>
    </w:p>
    <w:p w14:paraId="4047951C" w14:textId="77777777" w:rsidR="000552CD" w:rsidRPr="00C2084D" w:rsidRDefault="000552CD" w:rsidP="00C2084D">
      <w:pPr>
        <w:pStyle w:val="ListParagraph"/>
        <w:spacing w:after="0"/>
        <w:jc w:val="both"/>
        <w:rPr>
          <w:rFonts w:ascii="Arial" w:hAnsi="Arial" w:cs="Arial"/>
          <w:b/>
        </w:rPr>
      </w:pPr>
      <w:bookmarkStart w:id="3" w:name="sdfootnote41anc"/>
      <w:bookmarkStart w:id="4" w:name="sdfootnote57anc"/>
      <w:bookmarkEnd w:id="3"/>
      <w:bookmarkEnd w:id="4"/>
    </w:p>
    <w:p w14:paraId="153023CC" w14:textId="7A06A57F" w:rsidR="000552CD" w:rsidRPr="00C2084D" w:rsidRDefault="00211FBA" w:rsidP="00C2084D">
      <w:pPr>
        <w:spacing w:after="0"/>
        <w:ind w:right="57"/>
        <w:jc w:val="both"/>
        <w:rPr>
          <w:rFonts w:ascii="Arial" w:hAnsi="Arial" w:cs="Arial"/>
          <w:b/>
        </w:rPr>
      </w:pPr>
      <w:r w:rsidRPr="00C2084D">
        <w:rPr>
          <w:rFonts w:ascii="Arial" w:hAnsi="Arial" w:cs="Arial"/>
          <w:b/>
        </w:rPr>
        <w:t>Discriminatory R</w:t>
      </w:r>
      <w:r w:rsidR="00BE7937" w:rsidRPr="00C2084D">
        <w:rPr>
          <w:rFonts w:ascii="Arial" w:hAnsi="Arial" w:cs="Arial"/>
          <w:b/>
        </w:rPr>
        <w:t>estrictions on Artistic E</w:t>
      </w:r>
      <w:r w:rsidR="001B5E0C" w:rsidRPr="00C2084D">
        <w:rPr>
          <w:rFonts w:ascii="Arial" w:hAnsi="Arial" w:cs="Arial"/>
          <w:b/>
        </w:rPr>
        <w:t>xpression</w:t>
      </w:r>
    </w:p>
    <w:p w14:paraId="6DD8F271" w14:textId="77777777" w:rsidR="00211FBA" w:rsidRPr="00C2084D" w:rsidRDefault="00211FBA" w:rsidP="00C2084D">
      <w:pPr>
        <w:spacing w:after="0"/>
        <w:ind w:left="57" w:right="57"/>
        <w:jc w:val="both"/>
        <w:rPr>
          <w:rFonts w:ascii="Arial" w:hAnsi="Arial" w:cs="Arial"/>
          <w:b/>
        </w:rPr>
      </w:pPr>
    </w:p>
    <w:p w14:paraId="72DA0DAA" w14:textId="2D5C957E"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The Kenya Films and Classification Board (KFCB) has increased its interference in artistic expression, in particular to limit the distribution of content it deems to conflict with traditional values, through the overzealous application of restrictive guidelines and legislation. </w:t>
      </w:r>
      <w:r w:rsidR="00774E58" w:rsidRPr="00C2084D">
        <w:rPr>
          <w:rFonts w:ascii="Arial" w:hAnsi="Arial" w:cs="Arial"/>
        </w:rPr>
        <w:t xml:space="preserve">The restrictive approach is underpinned by the aforementioned Section 181 of the Penal Code, criminalising the distribution of </w:t>
      </w:r>
      <w:r w:rsidR="009E1073" w:rsidRPr="00C2084D">
        <w:rPr>
          <w:rFonts w:ascii="Arial" w:hAnsi="Arial" w:cs="Arial"/>
        </w:rPr>
        <w:t xml:space="preserve">supposedly </w:t>
      </w:r>
      <w:r w:rsidR="00774E58" w:rsidRPr="00C2084D">
        <w:rPr>
          <w:rFonts w:ascii="Arial" w:hAnsi="Arial" w:cs="Arial"/>
        </w:rPr>
        <w:t xml:space="preserve">obscene content. </w:t>
      </w:r>
      <w:r w:rsidRPr="00C2084D">
        <w:rPr>
          <w:rFonts w:ascii="Arial" w:hAnsi="Arial" w:cs="Arial"/>
        </w:rPr>
        <w:t xml:space="preserve">The KFCB is a statutory body, established by the colonial-era Films and Stage Plays Act 1962, which has power to ‘regulate </w:t>
      </w:r>
      <w:r w:rsidRPr="00C2084D">
        <w:rPr>
          <w:rFonts w:ascii="Arial" w:hAnsi="Arial" w:cs="Arial"/>
        </w:rPr>
        <w:lastRenderedPageBreak/>
        <w:t>the creation, broadcasting, possession, distribution and exhibition of films’, through the application of its Guidelines of 2012.</w:t>
      </w:r>
      <w:r w:rsidRPr="00C2084D">
        <w:rPr>
          <w:rStyle w:val="FootnoteAnchor"/>
          <w:rFonts w:ascii="Arial" w:hAnsi="Arial" w:cs="Arial"/>
        </w:rPr>
        <w:footnoteReference w:id="29"/>
      </w:r>
      <w:r w:rsidRPr="00C2084D">
        <w:rPr>
          <w:rFonts w:ascii="Arial" w:hAnsi="Arial" w:cs="Arial"/>
        </w:rPr>
        <w:t xml:space="preserve"> </w:t>
      </w:r>
    </w:p>
    <w:p w14:paraId="555EA2FF" w14:textId="77777777" w:rsidR="00211FBA" w:rsidRPr="00C2084D" w:rsidRDefault="00211FBA" w:rsidP="00C2084D">
      <w:pPr>
        <w:spacing w:after="0"/>
        <w:ind w:left="57" w:right="57"/>
        <w:jc w:val="both"/>
        <w:rPr>
          <w:rFonts w:ascii="Arial" w:hAnsi="Arial" w:cs="Arial"/>
        </w:rPr>
      </w:pPr>
    </w:p>
    <w:p w14:paraId="4A788312" w14:textId="101955EC"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In 2016, the KFCB proposed a new “Film, Stage Plays and Publications” Bill that would have </w:t>
      </w:r>
      <w:r w:rsidR="0032475A" w:rsidRPr="00C2084D">
        <w:rPr>
          <w:rFonts w:ascii="Arial" w:hAnsi="Arial" w:cs="Arial"/>
        </w:rPr>
        <w:t>significantly undermined artistic freedom</w:t>
      </w:r>
      <w:r w:rsidRPr="00C2084D">
        <w:rPr>
          <w:rFonts w:ascii="Arial" w:hAnsi="Arial" w:cs="Arial"/>
        </w:rPr>
        <w:t>, as well as media freedom and freedom of expression more broadly</w:t>
      </w:r>
      <w:r w:rsidR="0032475A" w:rsidRPr="00C2084D">
        <w:rPr>
          <w:rFonts w:ascii="Arial" w:hAnsi="Arial" w:cs="Arial"/>
        </w:rPr>
        <w:t>.</w:t>
      </w:r>
      <w:r w:rsidRPr="00C2084D">
        <w:rPr>
          <w:rStyle w:val="FootnoteAnchor"/>
          <w:rFonts w:ascii="Arial" w:hAnsi="Arial" w:cs="Arial"/>
        </w:rPr>
        <w:footnoteReference w:id="30"/>
      </w:r>
      <w:r w:rsidRPr="00C2084D">
        <w:rPr>
          <w:rFonts w:ascii="Arial" w:hAnsi="Arial" w:cs="Arial"/>
        </w:rPr>
        <w:t xml:space="preserve"> The proposed Bill was heavily criticised by civil society groups and stakeholders in the creative industries, and withdrawn </w:t>
      </w:r>
      <w:r w:rsidR="00C554AA" w:rsidRPr="00C2084D">
        <w:rPr>
          <w:rFonts w:ascii="Arial" w:hAnsi="Arial" w:cs="Arial"/>
        </w:rPr>
        <w:t>i</w:t>
      </w:r>
      <w:r w:rsidRPr="00C2084D">
        <w:rPr>
          <w:rFonts w:ascii="Arial" w:hAnsi="Arial" w:cs="Arial"/>
        </w:rPr>
        <w:t>n October 2016.</w:t>
      </w:r>
      <w:r w:rsidRPr="00C2084D">
        <w:rPr>
          <w:rStyle w:val="FootnoteAnchor"/>
          <w:rFonts w:ascii="Arial" w:hAnsi="Arial" w:cs="Arial"/>
        </w:rPr>
        <w:footnoteReference w:id="31"/>
      </w:r>
      <w:r w:rsidRPr="00C2084D">
        <w:rPr>
          <w:rFonts w:ascii="Arial" w:hAnsi="Arial" w:cs="Arial"/>
        </w:rPr>
        <w:t xml:space="preserve"> </w:t>
      </w:r>
      <w:r w:rsidR="0032475A" w:rsidRPr="00C2084D">
        <w:rPr>
          <w:rFonts w:ascii="Arial" w:hAnsi="Arial" w:cs="Arial"/>
        </w:rPr>
        <w:t xml:space="preserve">There has been significant delay in bringing forward a new draft bill. </w:t>
      </w:r>
      <w:r w:rsidR="00B0653B" w:rsidRPr="00C2084D">
        <w:rPr>
          <w:rFonts w:ascii="Arial" w:hAnsi="Arial" w:cs="Arial"/>
          <w:lang w:bidi="en-US"/>
        </w:rPr>
        <w:t xml:space="preserve">On the 18th of December 2016, the Ministry of Sports, Culture and Arts and the Executive Office of the President convened a meeting of creative sector umbrella organizations and associations, and subsequently oversaw the formation of a sectoral team to </w:t>
      </w:r>
      <w:r w:rsidR="0032475A" w:rsidRPr="00C2084D">
        <w:rPr>
          <w:rFonts w:ascii="Arial" w:hAnsi="Arial" w:cs="Arial"/>
          <w:lang w:bidi="en-US"/>
        </w:rPr>
        <w:t>work with the government</w:t>
      </w:r>
      <w:r w:rsidR="00B0653B" w:rsidRPr="00C2084D">
        <w:rPr>
          <w:rFonts w:ascii="Arial" w:hAnsi="Arial" w:cs="Arial"/>
          <w:lang w:bidi="en-US"/>
        </w:rPr>
        <w:t xml:space="preserve"> to resolve </w:t>
      </w:r>
      <w:r w:rsidR="0032475A" w:rsidRPr="00C2084D">
        <w:rPr>
          <w:rFonts w:ascii="Arial" w:hAnsi="Arial" w:cs="Arial"/>
          <w:lang w:bidi="en-US"/>
        </w:rPr>
        <w:t>concerns surrounding the bill</w:t>
      </w:r>
      <w:r w:rsidR="00B0653B" w:rsidRPr="00C2084D">
        <w:rPr>
          <w:rFonts w:ascii="Arial" w:hAnsi="Arial" w:cs="Arial"/>
          <w:lang w:bidi="en-US"/>
        </w:rPr>
        <w:t>. Th</w:t>
      </w:r>
      <w:r w:rsidR="0032475A" w:rsidRPr="00C2084D">
        <w:rPr>
          <w:rFonts w:ascii="Arial" w:hAnsi="Arial" w:cs="Arial"/>
          <w:lang w:bidi="en-US"/>
        </w:rPr>
        <w:t xml:space="preserve">is sectoral team of external stakeholders </w:t>
      </w:r>
      <w:r w:rsidR="00B0653B" w:rsidRPr="00C2084D">
        <w:rPr>
          <w:rFonts w:ascii="Arial" w:hAnsi="Arial" w:cs="Arial"/>
          <w:lang w:bidi="en-US"/>
        </w:rPr>
        <w:t>was also requested to finalize the development of the national film policy</w:t>
      </w:r>
      <w:r w:rsidR="0032475A" w:rsidRPr="00C2084D">
        <w:rPr>
          <w:rFonts w:ascii="Arial" w:hAnsi="Arial" w:cs="Arial"/>
          <w:lang w:bidi="en-US"/>
        </w:rPr>
        <w:t xml:space="preserve">, </w:t>
      </w:r>
      <w:r w:rsidR="00B0653B" w:rsidRPr="00C2084D">
        <w:rPr>
          <w:rFonts w:ascii="Arial" w:hAnsi="Arial" w:cs="Arial"/>
          <w:lang w:bidi="en-US"/>
        </w:rPr>
        <w:t xml:space="preserve">a process that was </w:t>
      </w:r>
      <w:r w:rsidR="0032475A" w:rsidRPr="00C2084D">
        <w:rPr>
          <w:rFonts w:ascii="Arial" w:hAnsi="Arial" w:cs="Arial"/>
          <w:lang w:bidi="en-US"/>
        </w:rPr>
        <w:t>initiated over ten years ago,</w:t>
      </w:r>
      <w:r w:rsidR="00B0653B" w:rsidRPr="00C2084D">
        <w:rPr>
          <w:rFonts w:ascii="Arial" w:hAnsi="Arial" w:cs="Arial"/>
          <w:lang w:bidi="en-US"/>
        </w:rPr>
        <w:t xml:space="preserve"> and had since stalled</w:t>
      </w:r>
      <w:r w:rsidR="0032475A" w:rsidRPr="00C2084D">
        <w:rPr>
          <w:rFonts w:ascii="Arial" w:hAnsi="Arial" w:cs="Arial"/>
          <w:lang w:bidi="en-US"/>
        </w:rPr>
        <w:t>.</w:t>
      </w:r>
      <w:r w:rsidR="00B0653B" w:rsidRPr="00C2084D">
        <w:rPr>
          <w:rFonts w:ascii="Arial" w:hAnsi="Arial" w:cs="Arial"/>
          <w:lang w:bidi="en-US"/>
        </w:rPr>
        <w:t xml:space="preserve"> The </w:t>
      </w:r>
      <w:r w:rsidR="0032475A" w:rsidRPr="00C2084D">
        <w:rPr>
          <w:rFonts w:ascii="Arial" w:hAnsi="Arial" w:cs="Arial"/>
          <w:lang w:bidi="en-US"/>
        </w:rPr>
        <w:t xml:space="preserve">sectoral team </w:t>
      </w:r>
      <w:r w:rsidR="00B0653B" w:rsidRPr="00C2084D">
        <w:rPr>
          <w:rFonts w:ascii="Arial" w:hAnsi="Arial" w:cs="Arial"/>
          <w:lang w:bidi="en-US"/>
        </w:rPr>
        <w:t xml:space="preserve">submitted its report and the finalized </w:t>
      </w:r>
      <w:r w:rsidR="0032475A" w:rsidRPr="00C2084D">
        <w:rPr>
          <w:rFonts w:ascii="Arial" w:hAnsi="Arial" w:cs="Arial"/>
          <w:lang w:bidi="en-US"/>
        </w:rPr>
        <w:t xml:space="preserve">Draft </w:t>
      </w:r>
      <w:r w:rsidR="00B0653B" w:rsidRPr="00C2084D">
        <w:rPr>
          <w:rFonts w:ascii="Arial" w:hAnsi="Arial" w:cs="Arial"/>
          <w:lang w:bidi="en-US"/>
        </w:rPr>
        <w:t xml:space="preserve">Film Policy (2017) to the Ministry on the 9th of June 2017, </w:t>
      </w:r>
      <w:r w:rsidR="0032475A" w:rsidRPr="00C2084D">
        <w:rPr>
          <w:rFonts w:ascii="Arial" w:hAnsi="Arial" w:cs="Arial"/>
          <w:lang w:bidi="en-US"/>
        </w:rPr>
        <w:t xml:space="preserve">however, </w:t>
      </w:r>
      <w:r w:rsidR="00B0653B" w:rsidRPr="00C2084D">
        <w:rPr>
          <w:rFonts w:ascii="Arial" w:hAnsi="Arial" w:cs="Arial"/>
          <w:lang w:bidi="en-US"/>
        </w:rPr>
        <w:t xml:space="preserve">its recommendations </w:t>
      </w:r>
      <w:r w:rsidR="0032475A" w:rsidRPr="00C2084D">
        <w:rPr>
          <w:rFonts w:ascii="Arial" w:hAnsi="Arial" w:cs="Arial"/>
          <w:lang w:bidi="en-US"/>
        </w:rPr>
        <w:t xml:space="preserve">remain under </w:t>
      </w:r>
      <w:r w:rsidR="00B0653B" w:rsidRPr="00C2084D">
        <w:rPr>
          <w:rFonts w:ascii="Arial" w:hAnsi="Arial" w:cs="Arial"/>
          <w:lang w:bidi="en-US"/>
        </w:rPr>
        <w:t>consideration.</w:t>
      </w:r>
      <w:r w:rsidR="00B0653B" w:rsidRPr="00C2084D">
        <w:rPr>
          <w:rFonts w:ascii="Arial" w:eastAsia="DejaVu Sans" w:hAnsi="Arial" w:cs="Arial"/>
          <w:color w:val="auto"/>
          <w:lang w:val="en-US" w:bidi="en-US"/>
        </w:rPr>
        <w:t xml:space="preserve"> </w:t>
      </w:r>
      <w:r w:rsidR="00C554AA" w:rsidRPr="00C2084D">
        <w:rPr>
          <w:rFonts w:ascii="Arial" w:eastAsia="DejaVu Sans" w:hAnsi="Arial" w:cs="Arial"/>
          <w:color w:val="auto"/>
          <w:lang w:val="en-US" w:bidi="en-US"/>
        </w:rPr>
        <w:t xml:space="preserve">On </w:t>
      </w:r>
      <w:r w:rsidR="00B0653B" w:rsidRPr="00C2084D">
        <w:rPr>
          <w:rFonts w:ascii="Arial" w:hAnsi="Arial" w:cs="Arial"/>
          <w:lang w:val="en-US" w:bidi="en-US"/>
        </w:rPr>
        <w:t xml:space="preserve">February 4th 2019, the Cabinet Secretary for ICT Mr. Joe </w:t>
      </w:r>
      <w:proofErr w:type="spellStart"/>
      <w:r w:rsidR="00B0653B" w:rsidRPr="00C2084D">
        <w:rPr>
          <w:rFonts w:ascii="Arial" w:hAnsi="Arial" w:cs="Arial"/>
          <w:lang w:val="en-US" w:bidi="en-US"/>
        </w:rPr>
        <w:t>Mucheru</w:t>
      </w:r>
      <w:proofErr w:type="spellEnd"/>
      <w:r w:rsidR="00B0653B" w:rsidRPr="00C2084D">
        <w:rPr>
          <w:rFonts w:ascii="Arial" w:hAnsi="Arial" w:cs="Arial"/>
          <w:lang w:val="en-US" w:bidi="en-US"/>
        </w:rPr>
        <w:t xml:space="preserve"> </w:t>
      </w:r>
      <w:r w:rsidR="00E44C9A" w:rsidRPr="00C2084D">
        <w:rPr>
          <w:rFonts w:ascii="Arial" w:hAnsi="Arial" w:cs="Arial"/>
          <w:lang w:val="en-US" w:bidi="en-US"/>
        </w:rPr>
        <w:t>claimed that the</w:t>
      </w:r>
      <w:r w:rsidR="00B0653B" w:rsidRPr="00C2084D">
        <w:rPr>
          <w:rFonts w:ascii="Arial" w:hAnsi="Arial" w:cs="Arial"/>
          <w:lang w:val="en-US" w:bidi="en-US"/>
        </w:rPr>
        <w:t xml:space="preserve"> government had embarked on a process to review and pass</w:t>
      </w:r>
      <w:r w:rsidR="00774E58" w:rsidRPr="00C2084D">
        <w:rPr>
          <w:rFonts w:ascii="Arial" w:hAnsi="Arial" w:cs="Arial"/>
          <w:lang w:val="en-US" w:bidi="en-US"/>
        </w:rPr>
        <w:t xml:space="preserve"> the relevant legislation and p</w:t>
      </w:r>
      <w:r w:rsidR="00E44C9A" w:rsidRPr="00C2084D">
        <w:rPr>
          <w:rFonts w:ascii="Arial" w:hAnsi="Arial" w:cs="Arial"/>
          <w:lang w:val="en-US" w:bidi="en-US"/>
        </w:rPr>
        <w:t>olicy in the forthcoming months</w:t>
      </w:r>
      <w:r w:rsidR="00716857" w:rsidRPr="00C2084D">
        <w:rPr>
          <w:rFonts w:ascii="Arial" w:hAnsi="Arial" w:cs="Arial"/>
          <w:lang w:val="en-US" w:bidi="en-US"/>
        </w:rPr>
        <w:t>.</w:t>
      </w:r>
      <w:r w:rsidR="00716857" w:rsidRPr="00C2084D">
        <w:rPr>
          <w:rStyle w:val="FootnoteReference"/>
          <w:rFonts w:ascii="Arial" w:hAnsi="Arial" w:cs="Arial"/>
          <w:lang w:val="en-US" w:bidi="en-US"/>
        </w:rPr>
        <w:footnoteReference w:id="32"/>
      </w:r>
    </w:p>
    <w:p w14:paraId="42B51314" w14:textId="77777777" w:rsidR="00211FBA" w:rsidRPr="00C2084D" w:rsidRDefault="00211FBA" w:rsidP="00C2084D">
      <w:pPr>
        <w:spacing w:after="0"/>
        <w:ind w:left="57" w:right="57"/>
        <w:jc w:val="both"/>
        <w:rPr>
          <w:rFonts w:ascii="Arial" w:hAnsi="Arial" w:cs="Arial"/>
        </w:rPr>
      </w:pPr>
    </w:p>
    <w:p w14:paraId="5A856D5E" w14:textId="401CCBD1" w:rsidR="009D3A41" w:rsidRPr="00C2084D" w:rsidRDefault="00D25446" w:rsidP="00515FC3">
      <w:pPr>
        <w:pStyle w:val="ListParagraph"/>
        <w:numPr>
          <w:ilvl w:val="0"/>
          <w:numId w:val="43"/>
        </w:numPr>
        <w:spacing w:after="0"/>
        <w:ind w:right="57"/>
        <w:jc w:val="both"/>
        <w:rPr>
          <w:rFonts w:ascii="Arial" w:hAnsi="Arial" w:cs="Arial"/>
        </w:rPr>
      </w:pPr>
      <w:r w:rsidRPr="00C2084D">
        <w:rPr>
          <w:rFonts w:ascii="Arial" w:hAnsi="Arial" w:cs="Arial"/>
        </w:rPr>
        <w:t xml:space="preserve">Since the previous </w:t>
      </w:r>
      <w:r w:rsidR="001B5E0C" w:rsidRPr="00C2084D">
        <w:rPr>
          <w:rFonts w:ascii="Arial" w:hAnsi="Arial" w:cs="Arial"/>
        </w:rPr>
        <w:t xml:space="preserve">review, the KFCB has, in particular, targeted depictions of sexual and gender minorities, based on discriminatory arguments of “protecting public morals”. These decisions not only violate Kenya’s international human rights obligations on freedom of expression and non-discrimination, but also Kenya’s constitutional guarantees for these rights in Articles 33, 10(2)(b), and 27.   </w:t>
      </w:r>
    </w:p>
    <w:p w14:paraId="210B58C9" w14:textId="77777777" w:rsidR="00211FBA" w:rsidRPr="00C2084D" w:rsidRDefault="00211FBA" w:rsidP="00C2084D">
      <w:pPr>
        <w:spacing w:after="0"/>
        <w:ind w:left="57" w:right="57"/>
        <w:jc w:val="both"/>
        <w:rPr>
          <w:rFonts w:ascii="Arial" w:hAnsi="Arial" w:cs="Arial"/>
        </w:rPr>
      </w:pPr>
    </w:p>
    <w:p w14:paraId="7E494AEC" w14:textId="026B445C" w:rsidR="009D3A41"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On 15 June 2017, the KFCB requested a network to immediately discontinue the broadcast of children’s television progr</w:t>
      </w:r>
      <w:r w:rsidR="009D3A41" w:rsidRPr="00C2084D">
        <w:rPr>
          <w:rFonts w:ascii="Arial" w:hAnsi="Arial" w:cs="Arial"/>
        </w:rPr>
        <w:t>ammes that allegedly contained “</w:t>
      </w:r>
      <w:r w:rsidRPr="00C2084D">
        <w:rPr>
          <w:rFonts w:ascii="Arial" w:hAnsi="Arial" w:cs="Arial"/>
        </w:rPr>
        <w:t>glorified” homosexuality, following the receipt of public complaints. The programmes included cartoons such as Hey Arnold, and Loud House, shown on Nickelodeon.</w:t>
      </w:r>
      <w:r w:rsidRPr="00C2084D">
        <w:rPr>
          <w:rStyle w:val="FootnoteAnchor"/>
          <w:rFonts w:ascii="Arial" w:hAnsi="Arial" w:cs="Arial"/>
        </w:rPr>
        <w:footnoteReference w:id="33"/>
      </w:r>
      <w:r w:rsidRPr="00C2084D">
        <w:rPr>
          <w:rFonts w:ascii="Arial" w:hAnsi="Arial" w:cs="Arial"/>
        </w:rPr>
        <w:t xml:space="preserve"> In a statement, the chairperson of the KFCB claimed the programmes “target vulnerable children with subtle messages that are deliberately designed to corrupt their moral judgment regarding the institution of the family,” and that the age ratings were inconsistent with their content classification guidelines and national laws, citing Section 181 of the Penal Code prohibiting the “distribution and exhibition of indecent content with the potential to corrupt morals”. </w:t>
      </w:r>
    </w:p>
    <w:p w14:paraId="7F88B7B4" w14:textId="77777777" w:rsidR="00211FBA" w:rsidRPr="00C2084D" w:rsidRDefault="00211FBA" w:rsidP="00C2084D">
      <w:pPr>
        <w:spacing w:after="0"/>
        <w:ind w:left="57" w:right="57"/>
        <w:jc w:val="both"/>
        <w:rPr>
          <w:rFonts w:ascii="Arial" w:hAnsi="Arial" w:cs="Arial"/>
        </w:rPr>
      </w:pPr>
    </w:p>
    <w:p w14:paraId="0CE02B24" w14:textId="787726AF"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In April 2018, KFCB banned the distribution and screening of the film </w:t>
      </w:r>
      <w:proofErr w:type="spellStart"/>
      <w:r w:rsidRPr="00C2084D">
        <w:rPr>
          <w:rFonts w:ascii="Arial" w:hAnsi="Arial" w:cs="Arial"/>
          <w:i/>
        </w:rPr>
        <w:t>Rafiki</w:t>
      </w:r>
      <w:proofErr w:type="spellEnd"/>
      <w:r w:rsidRPr="00C2084D">
        <w:rPr>
          <w:rFonts w:ascii="Arial" w:hAnsi="Arial" w:cs="Arial"/>
          <w:i/>
        </w:rPr>
        <w:t xml:space="preserve"> </w:t>
      </w:r>
      <w:r w:rsidRPr="00C2084D">
        <w:rPr>
          <w:rFonts w:ascii="Arial" w:hAnsi="Arial" w:cs="Arial"/>
        </w:rPr>
        <w:t xml:space="preserve">for containing depictions of homosexual acts that are illegal under Kenyan law, and, according to the KFCB </w:t>
      </w:r>
      <w:r w:rsidRPr="00C2084D">
        <w:rPr>
          <w:rFonts w:ascii="Arial" w:hAnsi="Arial" w:cs="Arial"/>
        </w:rPr>
        <w:lastRenderedPageBreak/>
        <w:t>chairperson, sought to “promote lesbianism”, against the culture and moral values of Kenyan society.</w:t>
      </w:r>
      <w:r w:rsidRPr="00C2084D">
        <w:rPr>
          <w:rStyle w:val="FootnoteAnchor"/>
          <w:rFonts w:ascii="Arial" w:hAnsi="Arial" w:cs="Arial"/>
        </w:rPr>
        <w:footnoteReference w:id="34"/>
      </w:r>
      <w:r w:rsidRPr="00C2084D">
        <w:rPr>
          <w:rFonts w:ascii="Arial" w:hAnsi="Arial" w:cs="Arial"/>
        </w:rPr>
        <w:t xml:space="preserve">  The film-maker </w:t>
      </w:r>
      <w:proofErr w:type="spellStart"/>
      <w:r w:rsidRPr="00C2084D">
        <w:rPr>
          <w:rFonts w:ascii="Arial" w:hAnsi="Arial" w:cs="Arial"/>
        </w:rPr>
        <w:t>Wanuri</w:t>
      </w:r>
      <w:proofErr w:type="spellEnd"/>
      <w:r w:rsidRPr="00C2084D">
        <w:rPr>
          <w:rFonts w:ascii="Arial" w:hAnsi="Arial" w:cs="Arial"/>
        </w:rPr>
        <w:t xml:space="preserve"> </w:t>
      </w:r>
      <w:proofErr w:type="spellStart"/>
      <w:r w:rsidRPr="00C2084D">
        <w:rPr>
          <w:rFonts w:ascii="Arial" w:hAnsi="Arial" w:cs="Arial"/>
        </w:rPr>
        <w:t>Kahiu</w:t>
      </w:r>
      <w:proofErr w:type="spellEnd"/>
      <w:r w:rsidRPr="00C2084D">
        <w:rPr>
          <w:rFonts w:ascii="Arial" w:hAnsi="Arial" w:cs="Arial"/>
        </w:rPr>
        <w:t>, together with the Creative Economy Working Group, challenged the constitutionality of the ban itself, as well as the legislation and guidelines on which the decision was made. ARTICLE 19 has intervened as an interested party.</w:t>
      </w:r>
      <w:r w:rsidRPr="00C2084D">
        <w:rPr>
          <w:rStyle w:val="FootnoteAnchor"/>
          <w:rFonts w:ascii="Arial" w:hAnsi="Arial" w:cs="Arial"/>
        </w:rPr>
        <w:footnoteReference w:id="35"/>
      </w:r>
      <w:r w:rsidRPr="00C2084D">
        <w:rPr>
          <w:rFonts w:ascii="Arial" w:hAnsi="Arial" w:cs="Arial"/>
        </w:rPr>
        <w:t xml:space="preserve"> On 21 September 2018, the ban was temporarily lifted (until 30 September 2018) through a conservatory order to enable the film to be entered into the Oscars.</w:t>
      </w:r>
      <w:r w:rsidRPr="00C2084D">
        <w:rPr>
          <w:rStyle w:val="FootnoteAnchor"/>
          <w:rFonts w:ascii="Arial" w:hAnsi="Arial" w:cs="Arial"/>
        </w:rPr>
        <w:footnoteReference w:id="36"/>
      </w:r>
      <w:r w:rsidRPr="00C2084D">
        <w:rPr>
          <w:rFonts w:ascii="Arial" w:hAnsi="Arial" w:cs="Arial"/>
        </w:rPr>
        <w:t xml:space="preserve"> The matter is still in court for determination on merits at the hearing stage. </w:t>
      </w:r>
    </w:p>
    <w:p w14:paraId="0EE3BCBA" w14:textId="1962665B" w:rsidR="000552CD" w:rsidRPr="00C2084D" w:rsidRDefault="000552CD" w:rsidP="003122F7">
      <w:pPr>
        <w:spacing w:after="0"/>
        <w:ind w:right="57"/>
        <w:jc w:val="both"/>
        <w:rPr>
          <w:rFonts w:ascii="Arial" w:hAnsi="Arial" w:cs="Arial"/>
          <w:b/>
        </w:rPr>
      </w:pPr>
    </w:p>
    <w:p w14:paraId="51CBEB55" w14:textId="77CEEE4F" w:rsidR="000552CD" w:rsidRPr="00C2084D" w:rsidRDefault="001B5E0C" w:rsidP="00C2084D">
      <w:pPr>
        <w:pStyle w:val="ListParagraph"/>
        <w:spacing w:after="0"/>
        <w:ind w:left="57" w:right="57"/>
        <w:jc w:val="both"/>
        <w:rPr>
          <w:rFonts w:ascii="Arial" w:hAnsi="Arial" w:cs="Arial"/>
          <w:b/>
        </w:rPr>
      </w:pPr>
      <w:r w:rsidRPr="00C2084D">
        <w:rPr>
          <w:rFonts w:ascii="Arial" w:hAnsi="Arial" w:cs="Arial"/>
          <w:b/>
        </w:rPr>
        <w:t xml:space="preserve">Safety of </w:t>
      </w:r>
      <w:r w:rsidR="00D25446" w:rsidRPr="00C2084D">
        <w:rPr>
          <w:rFonts w:ascii="Arial" w:hAnsi="Arial" w:cs="Arial"/>
          <w:b/>
        </w:rPr>
        <w:t>Journalists, Human Rights Defenders</w:t>
      </w:r>
      <w:r w:rsidRPr="00C2084D">
        <w:rPr>
          <w:rFonts w:ascii="Arial" w:hAnsi="Arial" w:cs="Arial"/>
          <w:b/>
        </w:rPr>
        <w:t xml:space="preserve">, and </w:t>
      </w:r>
      <w:r w:rsidR="00D25446" w:rsidRPr="00C2084D">
        <w:rPr>
          <w:rFonts w:ascii="Arial" w:hAnsi="Arial" w:cs="Arial"/>
          <w:b/>
        </w:rPr>
        <w:t>Other Communicators</w:t>
      </w:r>
    </w:p>
    <w:p w14:paraId="0EBAF7FB" w14:textId="77777777" w:rsidR="00211FBA" w:rsidRPr="00C2084D" w:rsidRDefault="00211FBA" w:rsidP="00C2084D">
      <w:pPr>
        <w:spacing w:after="0"/>
        <w:ind w:left="57" w:right="57"/>
        <w:jc w:val="both"/>
        <w:rPr>
          <w:rFonts w:ascii="Arial" w:hAnsi="Arial" w:cs="Arial"/>
          <w:b/>
        </w:rPr>
      </w:pPr>
    </w:p>
    <w:p w14:paraId="17100BD3" w14:textId="6FB19C5B"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Kenya has failed to put in place measures to ensure the safety of journalists and media, as well as others facing serious risks for exercising their right to freedom of expression and informing the public. Public commentary on issues around corruption, elections, matters of national security, terrorism, political parties, and land ownership, is particularly dangerous. </w:t>
      </w:r>
    </w:p>
    <w:p w14:paraId="5DA25F5D" w14:textId="77777777" w:rsidR="000552CD" w:rsidRPr="00C2084D" w:rsidRDefault="000552CD" w:rsidP="00C2084D">
      <w:pPr>
        <w:pStyle w:val="ListParagraph"/>
        <w:spacing w:after="0"/>
        <w:ind w:left="57" w:right="57"/>
        <w:jc w:val="both"/>
        <w:rPr>
          <w:rFonts w:ascii="Arial" w:hAnsi="Arial" w:cs="Arial"/>
        </w:rPr>
      </w:pPr>
    </w:p>
    <w:p w14:paraId="39315817" w14:textId="4FD0D944" w:rsidR="000552CD" w:rsidRPr="00C2084D" w:rsidRDefault="00D25446" w:rsidP="00515FC3">
      <w:pPr>
        <w:pStyle w:val="ListParagraph"/>
        <w:numPr>
          <w:ilvl w:val="0"/>
          <w:numId w:val="43"/>
        </w:numPr>
        <w:spacing w:after="0"/>
        <w:ind w:right="57"/>
        <w:jc w:val="both"/>
        <w:rPr>
          <w:rFonts w:ascii="Arial" w:hAnsi="Arial" w:cs="Arial"/>
        </w:rPr>
      </w:pPr>
      <w:r w:rsidRPr="00C2084D">
        <w:rPr>
          <w:rFonts w:ascii="Arial" w:hAnsi="Arial" w:cs="Arial"/>
        </w:rPr>
        <w:t>Between</w:t>
      </w:r>
      <w:r w:rsidR="001B5E0C" w:rsidRPr="00C2084D">
        <w:rPr>
          <w:rFonts w:ascii="Arial" w:hAnsi="Arial" w:cs="Arial"/>
        </w:rPr>
        <w:t xml:space="preserve"> 1 January 2015 and 31 April 2019, ARTICLE 19 documented 285 incidents of attacks against journalists and media workers, including harassment, arbitrary arrests and physical attacks. State actors were believed to be responsible for or connected to a significant proportion of these attacks, including police, politicians, and other government officials. Acts of violence targeting journalists was particularly pronounced in the run-up to the 2017 elections.</w:t>
      </w:r>
      <w:r w:rsidR="001B5E0C" w:rsidRPr="00C2084D">
        <w:rPr>
          <w:rStyle w:val="FootnoteAnchor"/>
          <w:rFonts w:ascii="Arial" w:hAnsi="Arial" w:cs="Arial"/>
        </w:rPr>
        <w:footnoteReference w:id="37"/>
      </w:r>
      <w:r w:rsidR="001B5E0C" w:rsidRPr="00C2084D">
        <w:rPr>
          <w:rFonts w:ascii="Arial" w:hAnsi="Arial" w:cs="Arial"/>
        </w:rPr>
        <w:t xml:space="preserve"> </w:t>
      </w:r>
    </w:p>
    <w:p w14:paraId="350D3403" w14:textId="77777777" w:rsidR="000552CD" w:rsidRPr="00C2084D" w:rsidRDefault="000552CD" w:rsidP="00C2084D">
      <w:pPr>
        <w:spacing w:after="0"/>
        <w:ind w:left="57" w:right="57"/>
        <w:jc w:val="both"/>
        <w:rPr>
          <w:rFonts w:ascii="Arial" w:hAnsi="Arial" w:cs="Arial"/>
        </w:rPr>
      </w:pPr>
    </w:p>
    <w:p w14:paraId="4374FB38" w14:textId="58FA68BD" w:rsidR="00647037" w:rsidRPr="00C2084D" w:rsidRDefault="00AD4BAE" w:rsidP="00515FC3">
      <w:pPr>
        <w:pStyle w:val="ListParagraph"/>
        <w:numPr>
          <w:ilvl w:val="0"/>
          <w:numId w:val="43"/>
        </w:numPr>
        <w:spacing w:after="0"/>
        <w:ind w:right="57"/>
        <w:jc w:val="both"/>
        <w:rPr>
          <w:rFonts w:ascii="Arial" w:hAnsi="Arial" w:cs="Arial"/>
        </w:rPr>
      </w:pPr>
      <w:r>
        <w:rPr>
          <w:rFonts w:ascii="Arial" w:hAnsi="Arial" w:cs="Arial"/>
        </w:rPr>
        <w:t>T</w:t>
      </w:r>
      <w:r w:rsidR="001B5E0C" w:rsidRPr="00C2084D">
        <w:rPr>
          <w:rFonts w:ascii="Arial" w:hAnsi="Arial" w:cs="Arial"/>
        </w:rPr>
        <w:t>he following cases are particularly emb</w:t>
      </w:r>
      <w:r w:rsidR="00647037" w:rsidRPr="00C2084D">
        <w:rPr>
          <w:rFonts w:ascii="Arial" w:hAnsi="Arial" w:cs="Arial"/>
        </w:rPr>
        <w:t>lematic of these broader trends.</w:t>
      </w:r>
    </w:p>
    <w:p w14:paraId="55663794" w14:textId="77777777" w:rsidR="00647037" w:rsidRPr="00C2084D" w:rsidRDefault="00647037" w:rsidP="00C2084D">
      <w:pPr>
        <w:pStyle w:val="ListParagraph"/>
        <w:spacing w:after="0"/>
        <w:ind w:left="57" w:right="57"/>
        <w:jc w:val="both"/>
        <w:rPr>
          <w:rFonts w:ascii="Arial" w:hAnsi="Arial" w:cs="Arial"/>
        </w:rPr>
      </w:pPr>
    </w:p>
    <w:p w14:paraId="187CA9C0" w14:textId="49004DFA" w:rsidR="000552CD" w:rsidRDefault="001B5E0C" w:rsidP="00C2084D">
      <w:pPr>
        <w:pStyle w:val="ListParagraph"/>
        <w:numPr>
          <w:ilvl w:val="0"/>
          <w:numId w:val="33"/>
        </w:numPr>
        <w:spacing w:after="0"/>
        <w:ind w:right="57"/>
        <w:jc w:val="both"/>
        <w:rPr>
          <w:rFonts w:ascii="Arial" w:hAnsi="Arial" w:cs="Arial"/>
        </w:rPr>
      </w:pPr>
      <w:r w:rsidRPr="00C2084D">
        <w:rPr>
          <w:rFonts w:ascii="Arial" w:hAnsi="Arial" w:cs="Arial"/>
        </w:rPr>
        <w:t xml:space="preserve">On 12 August 2017, Duncan </w:t>
      </w:r>
      <w:proofErr w:type="spellStart"/>
      <w:r w:rsidRPr="00C2084D">
        <w:rPr>
          <w:rFonts w:ascii="Arial" w:hAnsi="Arial" w:cs="Arial"/>
        </w:rPr>
        <w:t>Khaema</w:t>
      </w:r>
      <w:proofErr w:type="spellEnd"/>
      <w:r w:rsidRPr="00C2084D">
        <w:rPr>
          <w:rFonts w:ascii="Arial" w:hAnsi="Arial" w:cs="Arial"/>
        </w:rPr>
        <w:t xml:space="preserve">, a political reporter with Kenya Television Network (KTN), alongside cameraman David </w:t>
      </w:r>
      <w:proofErr w:type="spellStart"/>
      <w:r w:rsidRPr="00C2084D">
        <w:rPr>
          <w:rFonts w:ascii="Arial" w:hAnsi="Arial" w:cs="Arial"/>
        </w:rPr>
        <w:t>Otieno</w:t>
      </w:r>
      <w:proofErr w:type="spellEnd"/>
      <w:r w:rsidRPr="00C2084D">
        <w:rPr>
          <w:rFonts w:ascii="Arial" w:hAnsi="Arial" w:cs="Arial"/>
        </w:rPr>
        <w:t>, were arrested and charged with possessing a helmet and body armour without a proper license under the Prevention of Terrorism Act</w:t>
      </w:r>
      <w:r w:rsidR="00C554AA" w:rsidRPr="00C2084D">
        <w:rPr>
          <w:rFonts w:ascii="Arial" w:hAnsi="Arial" w:cs="Arial"/>
        </w:rPr>
        <w:t xml:space="preserve">. </w:t>
      </w:r>
      <w:r w:rsidRPr="00C2084D">
        <w:rPr>
          <w:rFonts w:ascii="Arial" w:hAnsi="Arial" w:cs="Arial"/>
        </w:rPr>
        <w:t xml:space="preserve">They were covering violent post-election protests in Nairobi’s </w:t>
      </w:r>
      <w:proofErr w:type="spellStart"/>
      <w:r w:rsidRPr="00C2084D">
        <w:rPr>
          <w:rFonts w:ascii="Arial" w:hAnsi="Arial" w:cs="Arial"/>
        </w:rPr>
        <w:t>Kibera</w:t>
      </w:r>
      <w:proofErr w:type="spellEnd"/>
      <w:r w:rsidRPr="00C2084D">
        <w:rPr>
          <w:rFonts w:ascii="Arial" w:hAnsi="Arial" w:cs="Arial"/>
        </w:rPr>
        <w:t xml:space="preserve"> slums. Although the two had produced the certificate of importation, end user certificate, and clearance certificates from the government’s chief firearm licensing officer, the police insisted that they should have their individual license as well. The police assaulted the two men prior to their</w:t>
      </w:r>
      <w:r w:rsidR="00647037" w:rsidRPr="00C2084D">
        <w:rPr>
          <w:rFonts w:ascii="Arial" w:hAnsi="Arial" w:cs="Arial"/>
        </w:rPr>
        <w:t xml:space="preserve"> arrest. Both were released on </w:t>
      </w:r>
      <w:r w:rsidRPr="00C2084D">
        <w:rPr>
          <w:rFonts w:ascii="Arial" w:hAnsi="Arial" w:cs="Arial"/>
        </w:rPr>
        <w:t>police bond</w:t>
      </w:r>
      <w:r w:rsidR="00667249" w:rsidRPr="00C2084D">
        <w:rPr>
          <w:rFonts w:ascii="Arial" w:hAnsi="Arial" w:cs="Arial"/>
        </w:rPr>
        <w:t xml:space="preserve"> but the charges against them have not been dropped</w:t>
      </w:r>
      <w:r w:rsidRPr="00C2084D">
        <w:rPr>
          <w:rFonts w:ascii="Arial" w:hAnsi="Arial" w:cs="Arial"/>
        </w:rPr>
        <w:t xml:space="preserve">. </w:t>
      </w:r>
      <w:proofErr w:type="spellStart"/>
      <w:r w:rsidR="00C22E81" w:rsidRPr="00C2084D">
        <w:rPr>
          <w:rFonts w:ascii="Arial" w:hAnsi="Arial" w:cs="Arial"/>
        </w:rPr>
        <w:t>Khaema</w:t>
      </w:r>
      <w:proofErr w:type="spellEnd"/>
      <w:r w:rsidR="00C22E81" w:rsidRPr="00C2084D">
        <w:rPr>
          <w:rFonts w:ascii="Arial" w:hAnsi="Arial" w:cs="Arial"/>
        </w:rPr>
        <w:t xml:space="preserve"> and </w:t>
      </w:r>
      <w:proofErr w:type="spellStart"/>
      <w:r w:rsidR="00C22E81" w:rsidRPr="00C2084D">
        <w:rPr>
          <w:rFonts w:ascii="Arial" w:hAnsi="Arial" w:cs="Arial"/>
        </w:rPr>
        <w:t>Otieno</w:t>
      </w:r>
      <w:proofErr w:type="spellEnd"/>
      <w:r w:rsidRPr="00C2084D">
        <w:rPr>
          <w:rFonts w:ascii="Arial" w:hAnsi="Arial" w:cs="Arial"/>
        </w:rPr>
        <w:t xml:space="preserve"> had earlier been confronted by a General Service Unit officer who demanded to know who had authorised journalists to cover their operation.</w:t>
      </w:r>
    </w:p>
    <w:p w14:paraId="2BBC40BF" w14:textId="77777777" w:rsidR="00AD4BAE" w:rsidRPr="00C2084D" w:rsidRDefault="00AD4BAE" w:rsidP="00AD4BAE">
      <w:pPr>
        <w:pStyle w:val="ListParagraph"/>
        <w:spacing w:after="0"/>
        <w:ind w:left="777" w:right="57"/>
        <w:jc w:val="both"/>
        <w:rPr>
          <w:rFonts w:ascii="Arial" w:hAnsi="Arial" w:cs="Arial"/>
        </w:rPr>
      </w:pPr>
    </w:p>
    <w:p w14:paraId="62AFA688" w14:textId="64F1B8DF" w:rsidR="00647037" w:rsidRDefault="001B5E0C" w:rsidP="00C2084D">
      <w:pPr>
        <w:pStyle w:val="ListParagraph"/>
        <w:numPr>
          <w:ilvl w:val="0"/>
          <w:numId w:val="33"/>
        </w:numPr>
        <w:spacing w:after="0"/>
        <w:ind w:right="57"/>
        <w:jc w:val="both"/>
        <w:rPr>
          <w:rFonts w:ascii="Arial" w:hAnsi="Arial" w:cs="Arial"/>
        </w:rPr>
      </w:pPr>
      <w:r w:rsidRPr="00C2084D">
        <w:rPr>
          <w:rFonts w:ascii="Arial" w:hAnsi="Arial" w:cs="Arial"/>
        </w:rPr>
        <w:t xml:space="preserve">On 13 August 2017, Citizen TV reporter </w:t>
      </w:r>
      <w:proofErr w:type="spellStart"/>
      <w:r w:rsidRPr="00C2084D">
        <w:rPr>
          <w:rFonts w:ascii="Arial" w:hAnsi="Arial" w:cs="Arial"/>
        </w:rPr>
        <w:t>Wilkister</w:t>
      </w:r>
      <w:proofErr w:type="spellEnd"/>
      <w:r w:rsidRPr="00C2084D">
        <w:rPr>
          <w:rFonts w:ascii="Arial" w:hAnsi="Arial" w:cs="Arial"/>
        </w:rPr>
        <w:t xml:space="preserve"> </w:t>
      </w:r>
      <w:proofErr w:type="spellStart"/>
      <w:r w:rsidRPr="00C2084D">
        <w:rPr>
          <w:rFonts w:ascii="Arial" w:hAnsi="Arial" w:cs="Arial"/>
        </w:rPr>
        <w:t>Nyabwa</w:t>
      </w:r>
      <w:proofErr w:type="spellEnd"/>
      <w:r w:rsidRPr="00C2084D">
        <w:rPr>
          <w:rFonts w:ascii="Arial" w:hAnsi="Arial" w:cs="Arial"/>
        </w:rPr>
        <w:t xml:space="preserve"> and cameraman Justus </w:t>
      </w:r>
      <w:proofErr w:type="spellStart"/>
      <w:r w:rsidRPr="00C2084D">
        <w:rPr>
          <w:rFonts w:ascii="Arial" w:hAnsi="Arial" w:cs="Arial"/>
        </w:rPr>
        <w:t>Netia</w:t>
      </w:r>
      <w:proofErr w:type="spellEnd"/>
      <w:r w:rsidRPr="00C2084D">
        <w:rPr>
          <w:rFonts w:ascii="Arial" w:hAnsi="Arial" w:cs="Arial"/>
        </w:rPr>
        <w:t xml:space="preserve"> were arrested by police in Kisumu immediately after they had finished doing the 9pm news link. Their arrest was linked to a story that had aired on Citizen, in which they reported on police raids on houses in </w:t>
      </w:r>
      <w:proofErr w:type="spellStart"/>
      <w:r w:rsidRPr="00C2084D">
        <w:rPr>
          <w:rFonts w:ascii="Arial" w:hAnsi="Arial" w:cs="Arial"/>
        </w:rPr>
        <w:t>Manyatta</w:t>
      </w:r>
      <w:proofErr w:type="spellEnd"/>
      <w:r w:rsidRPr="00C2084D">
        <w:rPr>
          <w:rFonts w:ascii="Arial" w:hAnsi="Arial" w:cs="Arial"/>
        </w:rPr>
        <w:t xml:space="preserve">, </w:t>
      </w:r>
      <w:proofErr w:type="spellStart"/>
      <w:r w:rsidRPr="00C2084D">
        <w:rPr>
          <w:rFonts w:ascii="Arial" w:hAnsi="Arial" w:cs="Arial"/>
        </w:rPr>
        <w:t>Obunga</w:t>
      </w:r>
      <w:proofErr w:type="spellEnd"/>
      <w:r w:rsidRPr="00C2084D">
        <w:rPr>
          <w:rFonts w:ascii="Arial" w:hAnsi="Arial" w:cs="Arial"/>
        </w:rPr>
        <w:t xml:space="preserve">, </w:t>
      </w:r>
      <w:proofErr w:type="spellStart"/>
      <w:r w:rsidRPr="00C2084D">
        <w:rPr>
          <w:rFonts w:ascii="Arial" w:hAnsi="Arial" w:cs="Arial"/>
        </w:rPr>
        <w:t>Kondele</w:t>
      </w:r>
      <w:proofErr w:type="spellEnd"/>
      <w:r w:rsidRPr="00C2084D">
        <w:rPr>
          <w:rFonts w:ascii="Arial" w:hAnsi="Arial" w:cs="Arial"/>
        </w:rPr>
        <w:t xml:space="preserve"> and </w:t>
      </w:r>
      <w:proofErr w:type="spellStart"/>
      <w:r w:rsidRPr="00C2084D">
        <w:rPr>
          <w:rFonts w:ascii="Arial" w:hAnsi="Arial" w:cs="Arial"/>
        </w:rPr>
        <w:t>Nyalenda</w:t>
      </w:r>
      <w:proofErr w:type="spellEnd"/>
      <w:r w:rsidRPr="00C2084D">
        <w:rPr>
          <w:rFonts w:ascii="Arial" w:hAnsi="Arial" w:cs="Arial"/>
        </w:rPr>
        <w:t xml:space="preserve">, during which they allegedly </w:t>
      </w:r>
      <w:r w:rsidRPr="00C2084D">
        <w:rPr>
          <w:rFonts w:ascii="Arial" w:hAnsi="Arial" w:cs="Arial"/>
        </w:rPr>
        <w:lastRenderedPageBreak/>
        <w:t xml:space="preserve">assaulted residents. </w:t>
      </w:r>
      <w:proofErr w:type="spellStart"/>
      <w:r w:rsidR="00C22E81" w:rsidRPr="00C2084D">
        <w:rPr>
          <w:rFonts w:ascii="Arial" w:hAnsi="Arial" w:cs="Arial"/>
        </w:rPr>
        <w:t>Nyabwa</w:t>
      </w:r>
      <w:proofErr w:type="spellEnd"/>
      <w:r w:rsidR="00C22E81" w:rsidRPr="00C2084D">
        <w:rPr>
          <w:rFonts w:ascii="Arial" w:hAnsi="Arial" w:cs="Arial"/>
        </w:rPr>
        <w:t xml:space="preserve"> and </w:t>
      </w:r>
      <w:proofErr w:type="spellStart"/>
      <w:r w:rsidR="00C22E81" w:rsidRPr="00C2084D">
        <w:rPr>
          <w:rFonts w:ascii="Arial" w:hAnsi="Arial" w:cs="Arial"/>
        </w:rPr>
        <w:t>Netia</w:t>
      </w:r>
      <w:proofErr w:type="spellEnd"/>
      <w:r w:rsidRPr="00C2084D">
        <w:rPr>
          <w:rFonts w:ascii="Arial" w:hAnsi="Arial" w:cs="Arial"/>
        </w:rPr>
        <w:t xml:space="preserve"> were later released after interrogation and recording their details with police.</w:t>
      </w:r>
    </w:p>
    <w:p w14:paraId="284E337B" w14:textId="683EA12E" w:rsidR="00EB336D" w:rsidRPr="00EB336D" w:rsidRDefault="00EB336D" w:rsidP="00EB336D">
      <w:pPr>
        <w:spacing w:after="0"/>
        <w:ind w:right="57"/>
        <w:jc w:val="both"/>
        <w:rPr>
          <w:rFonts w:ascii="Arial" w:hAnsi="Arial" w:cs="Arial"/>
        </w:rPr>
      </w:pPr>
    </w:p>
    <w:p w14:paraId="7E2361D0" w14:textId="09D322D1" w:rsidR="000552CD" w:rsidRDefault="001B5E0C" w:rsidP="00C2084D">
      <w:pPr>
        <w:pStyle w:val="ListParagraph"/>
        <w:numPr>
          <w:ilvl w:val="0"/>
          <w:numId w:val="33"/>
        </w:numPr>
        <w:spacing w:after="0"/>
        <w:ind w:right="57"/>
        <w:jc w:val="both"/>
        <w:rPr>
          <w:rFonts w:ascii="Arial" w:hAnsi="Arial" w:cs="Arial"/>
        </w:rPr>
      </w:pPr>
      <w:r w:rsidRPr="00C2084D">
        <w:rPr>
          <w:rFonts w:ascii="Arial" w:hAnsi="Arial" w:cs="Arial"/>
        </w:rPr>
        <w:t xml:space="preserve">On 9 October 2017, also in Kisumu, five journalists were harassed, beaten and injured by the police while covering anti-IEBC protests. More than 20 officers from the GSU assaulted Rashid Ronald of KTN and Faith </w:t>
      </w:r>
      <w:proofErr w:type="spellStart"/>
      <w:r w:rsidRPr="00C2084D">
        <w:rPr>
          <w:rFonts w:ascii="Arial" w:hAnsi="Arial" w:cs="Arial"/>
        </w:rPr>
        <w:t>Matete</w:t>
      </w:r>
      <w:proofErr w:type="spellEnd"/>
      <w:r w:rsidRPr="00C2084D">
        <w:rPr>
          <w:rFonts w:ascii="Arial" w:hAnsi="Arial" w:cs="Arial"/>
        </w:rPr>
        <w:t xml:space="preserve"> of the Star, injuring Ronald leg. According to the journalists, the officers responsible sa</w:t>
      </w:r>
      <w:r w:rsidR="00EB336D">
        <w:rPr>
          <w:rFonts w:ascii="Arial" w:hAnsi="Arial" w:cs="Arial"/>
        </w:rPr>
        <w:t>id both journalists and proteste</w:t>
      </w:r>
      <w:r w:rsidRPr="00C2084D">
        <w:rPr>
          <w:rFonts w:ascii="Arial" w:hAnsi="Arial" w:cs="Arial"/>
        </w:rPr>
        <w:t xml:space="preserve">rs are </w:t>
      </w:r>
      <w:r w:rsidR="00EB336D">
        <w:rPr>
          <w:rFonts w:ascii="Arial" w:hAnsi="Arial" w:cs="Arial"/>
        </w:rPr>
        <w:t>“</w:t>
      </w:r>
      <w:r w:rsidRPr="00C2084D">
        <w:rPr>
          <w:rFonts w:ascii="Arial" w:hAnsi="Arial" w:cs="Arial"/>
        </w:rPr>
        <w:t>one and the same</w:t>
      </w:r>
      <w:r w:rsidR="00EB336D">
        <w:rPr>
          <w:rFonts w:ascii="Arial" w:hAnsi="Arial" w:cs="Arial"/>
        </w:rPr>
        <w:t>”</w:t>
      </w:r>
      <w:r w:rsidRPr="00C2084D">
        <w:rPr>
          <w:rFonts w:ascii="Arial" w:hAnsi="Arial" w:cs="Arial"/>
        </w:rPr>
        <w:t xml:space="preserve"> while on the streets. The officers </w:t>
      </w:r>
      <w:r w:rsidR="00C22E81" w:rsidRPr="00C2084D">
        <w:rPr>
          <w:rFonts w:ascii="Arial" w:hAnsi="Arial" w:cs="Arial"/>
        </w:rPr>
        <w:t xml:space="preserve">subsequently threw </w:t>
      </w:r>
      <w:r w:rsidRPr="00C2084D">
        <w:rPr>
          <w:rFonts w:ascii="Arial" w:hAnsi="Arial" w:cs="Arial"/>
        </w:rPr>
        <w:t xml:space="preserve">tear gas canisters at NTV’s </w:t>
      </w:r>
      <w:proofErr w:type="spellStart"/>
      <w:r w:rsidRPr="00C2084D">
        <w:rPr>
          <w:rFonts w:ascii="Arial" w:hAnsi="Arial" w:cs="Arial"/>
        </w:rPr>
        <w:t>Ouko</w:t>
      </w:r>
      <w:proofErr w:type="spellEnd"/>
      <w:r w:rsidRPr="00C2084D">
        <w:rPr>
          <w:rFonts w:ascii="Arial" w:hAnsi="Arial" w:cs="Arial"/>
        </w:rPr>
        <w:t xml:space="preserve"> </w:t>
      </w:r>
      <w:proofErr w:type="spellStart"/>
      <w:r w:rsidRPr="00C2084D">
        <w:rPr>
          <w:rFonts w:ascii="Arial" w:hAnsi="Arial" w:cs="Arial"/>
        </w:rPr>
        <w:t>Okusa</w:t>
      </w:r>
      <w:proofErr w:type="spellEnd"/>
      <w:r w:rsidRPr="00C2084D">
        <w:rPr>
          <w:rFonts w:ascii="Arial" w:hAnsi="Arial" w:cs="Arial"/>
        </w:rPr>
        <w:t>, his camera</w:t>
      </w:r>
      <w:r w:rsidR="00EB336D">
        <w:rPr>
          <w:rFonts w:ascii="Arial" w:hAnsi="Arial" w:cs="Arial"/>
        </w:rPr>
        <w:t>-</w:t>
      </w:r>
      <w:r w:rsidRPr="00C2084D">
        <w:rPr>
          <w:rFonts w:ascii="Arial" w:hAnsi="Arial" w:cs="Arial"/>
        </w:rPr>
        <w:t xml:space="preserve">person Doreen </w:t>
      </w:r>
      <w:proofErr w:type="spellStart"/>
      <w:r w:rsidRPr="00C2084D">
        <w:rPr>
          <w:rFonts w:ascii="Arial" w:hAnsi="Arial" w:cs="Arial"/>
        </w:rPr>
        <w:t>Magak</w:t>
      </w:r>
      <w:proofErr w:type="spellEnd"/>
      <w:r w:rsidRPr="00C2084D">
        <w:rPr>
          <w:rFonts w:ascii="Arial" w:hAnsi="Arial" w:cs="Arial"/>
        </w:rPr>
        <w:t xml:space="preserve"> and Daily Nation reporter Rushdie </w:t>
      </w:r>
      <w:proofErr w:type="spellStart"/>
      <w:r w:rsidRPr="00C2084D">
        <w:rPr>
          <w:rFonts w:ascii="Arial" w:hAnsi="Arial" w:cs="Arial"/>
        </w:rPr>
        <w:t>Oudia</w:t>
      </w:r>
      <w:proofErr w:type="spellEnd"/>
      <w:r w:rsidRPr="00C2084D">
        <w:rPr>
          <w:rFonts w:ascii="Arial" w:hAnsi="Arial" w:cs="Arial"/>
        </w:rPr>
        <w:t>. The officers claimed the journalists had exposed their operation alleging brutality against protesters.</w:t>
      </w:r>
      <w:r w:rsidRPr="00C2084D">
        <w:rPr>
          <w:rStyle w:val="FootnoteAnchor"/>
          <w:rFonts w:ascii="Arial" w:hAnsi="Arial" w:cs="Arial"/>
        </w:rPr>
        <w:footnoteReference w:id="38"/>
      </w:r>
      <w:r w:rsidRPr="00C2084D">
        <w:rPr>
          <w:rFonts w:ascii="Arial" w:hAnsi="Arial" w:cs="Arial"/>
        </w:rPr>
        <w:t xml:space="preserve"> </w:t>
      </w:r>
    </w:p>
    <w:p w14:paraId="5BEEF9F7" w14:textId="34437F36" w:rsidR="003122F7" w:rsidRPr="00C2084D" w:rsidRDefault="003122F7" w:rsidP="003122F7">
      <w:pPr>
        <w:spacing w:after="0"/>
        <w:ind w:right="57"/>
        <w:jc w:val="both"/>
        <w:rPr>
          <w:rFonts w:ascii="Arial" w:hAnsi="Arial" w:cs="Arial"/>
          <w:color w:val="auto"/>
        </w:rPr>
      </w:pPr>
    </w:p>
    <w:p w14:paraId="79F84E4C" w14:textId="6946EAD8" w:rsidR="003122F7" w:rsidRPr="00C2084D" w:rsidRDefault="003122F7" w:rsidP="003122F7">
      <w:pPr>
        <w:pStyle w:val="ListParagraph"/>
        <w:numPr>
          <w:ilvl w:val="0"/>
          <w:numId w:val="43"/>
        </w:numPr>
        <w:spacing w:after="0"/>
        <w:ind w:right="57"/>
        <w:jc w:val="both"/>
        <w:rPr>
          <w:rFonts w:ascii="Arial" w:hAnsi="Arial" w:cs="Arial"/>
          <w:color w:val="auto"/>
        </w:rPr>
      </w:pPr>
      <w:r>
        <w:rPr>
          <w:rFonts w:ascii="Arial" w:hAnsi="Arial" w:cs="Arial"/>
          <w:color w:val="auto"/>
        </w:rPr>
        <w:t xml:space="preserve">We are also particularly concerned with harassment of journalists and bloggers online. </w:t>
      </w:r>
      <w:r w:rsidRPr="00C2084D">
        <w:rPr>
          <w:rFonts w:ascii="Arial" w:hAnsi="Arial" w:cs="Arial"/>
          <w:color w:val="auto"/>
        </w:rPr>
        <w:t xml:space="preserve">Sixty journalists </w:t>
      </w:r>
      <w:r>
        <w:rPr>
          <w:rFonts w:ascii="Arial" w:hAnsi="Arial" w:cs="Arial"/>
          <w:color w:val="auto"/>
        </w:rPr>
        <w:t xml:space="preserve">and bloggers </w:t>
      </w:r>
      <w:r w:rsidRPr="00C2084D">
        <w:rPr>
          <w:rFonts w:ascii="Arial" w:hAnsi="Arial" w:cs="Arial"/>
          <w:color w:val="auto"/>
        </w:rPr>
        <w:t>were arrested, fired and/or detained in 2016 in relation to their online expression, according to research by BAKE.</w:t>
      </w:r>
      <w:r w:rsidRPr="00C2084D">
        <w:rPr>
          <w:rStyle w:val="FootnoteAnchor"/>
          <w:rFonts w:ascii="Arial" w:hAnsi="Arial" w:cs="Arial"/>
          <w:color w:val="auto"/>
        </w:rPr>
        <w:footnoteReference w:id="39"/>
      </w:r>
    </w:p>
    <w:p w14:paraId="2E6C5B81" w14:textId="52E52289" w:rsidR="000552CD" w:rsidRPr="00C2084D" w:rsidRDefault="000552CD" w:rsidP="00EB336D">
      <w:pPr>
        <w:spacing w:after="0"/>
        <w:ind w:right="57"/>
        <w:jc w:val="both"/>
        <w:rPr>
          <w:rFonts w:ascii="Arial" w:hAnsi="Arial" w:cs="Arial"/>
        </w:rPr>
      </w:pPr>
    </w:p>
    <w:p w14:paraId="0DFF3B4F" w14:textId="5394B558" w:rsidR="000552CD" w:rsidRPr="00C2084D" w:rsidRDefault="001B5E0C" w:rsidP="00515FC3">
      <w:pPr>
        <w:pStyle w:val="ListParagraph"/>
        <w:numPr>
          <w:ilvl w:val="0"/>
          <w:numId w:val="43"/>
        </w:numPr>
        <w:spacing w:after="0"/>
        <w:ind w:right="57"/>
        <w:jc w:val="both"/>
        <w:rPr>
          <w:rFonts w:ascii="Arial" w:hAnsi="Arial" w:cs="Arial"/>
        </w:rPr>
      </w:pPr>
      <w:r w:rsidRPr="00C2084D">
        <w:rPr>
          <w:rFonts w:ascii="Arial" w:hAnsi="Arial" w:cs="Arial"/>
        </w:rPr>
        <w:t xml:space="preserve">There is a recurring pattern of law enforcement authorities failing to investigate or take protective action in response to criminal complaints from journalists, human rights defenders, and other communicators. In the past five years, no state actor has been held accountable for threatening, intimidating, or physically attacking a journalist or blogger in Kenya. </w:t>
      </w:r>
    </w:p>
    <w:p w14:paraId="663009A0" w14:textId="77777777" w:rsidR="000552CD" w:rsidRPr="00C2084D" w:rsidRDefault="000552CD" w:rsidP="00C2084D">
      <w:pPr>
        <w:spacing w:after="0"/>
        <w:ind w:left="57" w:right="57"/>
        <w:jc w:val="both"/>
        <w:rPr>
          <w:rFonts w:ascii="Arial" w:hAnsi="Arial" w:cs="Arial"/>
        </w:rPr>
      </w:pPr>
    </w:p>
    <w:p w14:paraId="0C09BD73" w14:textId="2B43225A" w:rsidR="003122F7" w:rsidRDefault="00C22E81" w:rsidP="003122F7">
      <w:pPr>
        <w:pStyle w:val="ListParagraph"/>
        <w:numPr>
          <w:ilvl w:val="0"/>
          <w:numId w:val="43"/>
        </w:numPr>
        <w:spacing w:after="0"/>
        <w:ind w:right="57"/>
        <w:jc w:val="both"/>
        <w:rPr>
          <w:rStyle w:val="FootnoteAnchor"/>
          <w:rFonts w:ascii="Arial" w:hAnsi="Arial" w:cs="Arial"/>
          <w:vertAlign w:val="baseline"/>
        </w:rPr>
      </w:pPr>
      <w:r w:rsidRPr="00C2084D">
        <w:rPr>
          <w:rFonts w:ascii="Arial" w:hAnsi="Arial" w:cs="Arial"/>
        </w:rPr>
        <w:t xml:space="preserve">Against this backdrop of threats to the safety of journalists, and the absence of accountability, we consider it essential for a national mechanism on the safety of journalists to be established in the country. </w:t>
      </w:r>
      <w:r w:rsidRPr="00C2084D">
        <w:rPr>
          <w:rStyle w:val="FootnoteAnchor"/>
          <w:rFonts w:ascii="Arial" w:hAnsi="Arial" w:cs="Arial"/>
          <w:vertAlign w:val="baseline"/>
        </w:rPr>
        <w:t>S</w:t>
      </w:r>
      <w:r w:rsidR="001B5E0C" w:rsidRPr="00C2084D">
        <w:rPr>
          <w:rStyle w:val="FootnoteAnchor"/>
          <w:rFonts w:ascii="Arial" w:hAnsi="Arial" w:cs="Arial"/>
          <w:vertAlign w:val="baseline"/>
        </w:rPr>
        <w:t>uch a mechanism is of critical importance, and should be prioritised to ensure a safe and enabling environment for journalists and media workers to carry out their work, and to combat imp</w:t>
      </w:r>
      <w:r w:rsidR="008423E6" w:rsidRPr="00C2084D">
        <w:rPr>
          <w:rStyle w:val="FootnoteAnchor"/>
          <w:rFonts w:ascii="Arial" w:hAnsi="Arial" w:cs="Arial"/>
          <w:vertAlign w:val="baseline"/>
        </w:rPr>
        <w:t>unity for attacks against them.</w:t>
      </w:r>
      <w:r w:rsidR="001B5E0C" w:rsidRPr="00C2084D">
        <w:rPr>
          <w:rStyle w:val="FootnoteAnchor"/>
          <w:rFonts w:ascii="Arial" w:hAnsi="Arial" w:cs="Arial"/>
        </w:rPr>
        <w:footnoteReference w:id="40"/>
      </w:r>
    </w:p>
    <w:p w14:paraId="17F2FBEB" w14:textId="77777777" w:rsidR="00EB336D" w:rsidRPr="00EB336D" w:rsidRDefault="00EB336D" w:rsidP="00EB336D">
      <w:pPr>
        <w:pStyle w:val="ListParagraph"/>
        <w:rPr>
          <w:rStyle w:val="FootnoteAnchor"/>
          <w:rFonts w:ascii="Arial" w:hAnsi="Arial" w:cs="Arial"/>
          <w:vertAlign w:val="baseline"/>
        </w:rPr>
      </w:pPr>
    </w:p>
    <w:p w14:paraId="18D2D56B" w14:textId="77777777" w:rsidR="00EB336D" w:rsidRDefault="00EB336D" w:rsidP="00EB336D">
      <w:pPr>
        <w:pStyle w:val="ListParagraph"/>
        <w:numPr>
          <w:ilvl w:val="0"/>
          <w:numId w:val="43"/>
        </w:numPr>
        <w:spacing w:after="0"/>
        <w:ind w:right="57"/>
        <w:jc w:val="both"/>
        <w:rPr>
          <w:rFonts w:ascii="Arial" w:hAnsi="Arial" w:cs="Arial"/>
          <w:color w:val="auto"/>
        </w:rPr>
      </w:pPr>
      <w:r>
        <w:rPr>
          <w:rFonts w:ascii="Arial" w:hAnsi="Arial" w:cs="Arial"/>
          <w:color w:val="auto"/>
        </w:rPr>
        <w:t xml:space="preserve">Individuals have been increasingly harassed for their online expression. </w:t>
      </w:r>
    </w:p>
    <w:p w14:paraId="6B522A88" w14:textId="77777777" w:rsidR="00EB336D" w:rsidRDefault="00EB336D" w:rsidP="00EB336D">
      <w:pPr>
        <w:pStyle w:val="ListParagraph"/>
        <w:spacing w:after="0"/>
        <w:ind w:left="417" w:right="57"/>
        <w:jc w:val="both"/>
        <w:rPr>
          <w:rFonts w:ascii="Arial" w:hAnsi="Arial" w:cs="Arial"/>
          <w:color w:val="auto"/>
        </w:rPr>
      </w:pPr>
    </w:p>
    <w:p w14:paraId="4A369A3E" w14:textId="77777777" w:rsidR="00EB336D" w:rsidRPr="00C2084D" w:rsidRDefault="00EB336D" w:rsidP="00EB336D">
      <w:pPr>
        <w:pStyle w:val="ListParagraph"/>
        <w:numPr>
          <w:ilvl w:val="0"/>
          <w:numId w:val="43"/>
        </w:numPr>
        <w:spacing w:after="0"/>
        <w:ind w:right="57"/>
        <w:jc w:val="both"/>
        <w:rPr>
          <w:rFonts w:ascii="Arial" w:hAnsi="Arial" w:cs="Arial"/>
          <w:color w:val="auto"/>
        </w:rPr>
      </w:pPr>
      <w:r w:rsidRPr="00C2084D">
        <w:rPr>
          <w:rFonts w:ascii="Arial" w:hAnsi="Arial" w:cs="Arial"/>
          <w:color w:val="auto"/>
        </w:rPr>
        <w:t>Popular blogger and social media influencer Robert Alai has been repeatedly arrested, detained and released for his social media activity:</w:t>
      </w:r>
    </w:p>
    <w:p w14:paraId="2BC819A9" w14:textId="77777777" w:rsidR="00EB336D" w:rsidRPr="00C2084D" w:rsidRDefault="00EB336D" w:rsidP="00EB336D">
      <w:pPr>
        <w:spacing w:after="0"/>
        <w:ind w:left="57" w:right="57"/>
        <w:jc w:val="both"/>
        <w:rPr>
          <w:rFonts w:ascii="Arial" w:hAnsi="Arial" w:cs="Arial"/>
          <w:color w:val="auto"/>
        </w:rPr>
      </w:pPr>
    </w:p>
    <w:p w14:paraId="368D39C4" w14:textId="77777777" w:rsidR="00EB336D" w:rsidRPr="00C2084D" w:rsidRDefault="00EB336D" w:rsidP="00EB336D">
      <w:pPr>
        <w:pStyle w:val="ListParagraph"/>
        <w:numPr>
          <w:ilvl w:val="0"/>
          <w:numId w:val="30"/>
        </w:numPr>
        <w:spacing w:after="0"/>
        <w:ind w:right="57"/>
        <w:jc w:val="both"/>
        <w:rPr>
          <w:rFonts w:ascii="Arial" w:hAnsi="Arial" w:cs="Arial"/>
          <w:color w:val="auto"/>
        </w:rPr>
      </w:pPr>
      <w:r w:rsidRPr="00C2084D">
        <w:rPr>
          <w:rFonts w:ascii="Arial" w:hAnsi="Arial" w:cs="Arial"/>
          <w:color w:val="auto"/>
        </w:rPr>
        <w:t>In 2015: Alai was arrested under Section 29 of KICA for criticising the Ethics and Anti-Corruption Commission via Facebook. The court proceedings were dropped following this being declared unconstitutional.</w:t>
      </w:r>
      <w:r w:rsidRPr="00C2084D">
        <w:rPr>
          <w:rStyle w:val="FootnoteAnchor"/>
          <w:rFonts w:ascii="Arial" w:hAnsi="Arial" w:cs="Arial"/>
          <w:color w:val="auto"/>
        </w:rPr>
        <w:footnoteReference w:id="41"/>
      </w:r>
    </w:p>
    <w:p w14:paraId="62EDF815" w14:textId="77777777" w:rsidR="00EB336D" w:rsidRPr="00C2084D" w:rsidRDefault="00EB336D" w:rsidP="00EB336D">
      <w:pPr>
        <w:pStyle w:val="ListParagraph"/>
        <w:numPr>
          <w:ilvl w:val="0"/>
          <w:numId w:val="30"/>
        </w:numPr>
        <w:spacing w:after="0"/>
        <w:ind w:right="57"/>
        <w:jc w:val="both"/>
        <w:rPr>
          <w:rFonts w:ascii="Arial" w:hAnsi="Arial" w:cs="Arial"/>
          <w:color w:val="auto"/>
        </w:rPr>
      </w:pPr>
      <w:r w:rsidRPr="00C2084D">
        <w:rPr>
          <w:rFonts w:ascii="Arial" w:hAnsi="Arial" w:cs="Arial"/>
          <w:color w:val="auto"/>
        </w:rPr>
        <w:t xml:space="preserve">In 2017: Alai was arrested in connection with information he published about the health of a family member of President Kenyatta. Content posted on his Facebook page in relation to the story was removed without explanation. He was later released without charge. </w:t>
      </w:r>
    </w:p>
    <w:p w14:paraId="5E531C56" w14:textId="77777777" w:rsidR="00EB336D" w:rsidRPr="00C2084D" w:rsidRDefault="00EB336D" w:rsidP="00EB336D">
      <w:pPr>
        <w:pStyle w:val="ListParagraph"/>
        <w:numPr>
          <w:ilvl w:val="0"/>
          <w:numId w:val="30"/>
        </w:numPr>
        <w:spacing w:after="0"/>
        <w:ind w:right="57"/>
        <w:jc w:val="both"/>
        <w:rPr>
          <w:rFonts w:ascii="Arial" w:hAnsi="Arial" w:cs="Arial"/>
          <w:color w:val="auto"/>
        </w:rPr>
      </w:pPr>
      <w:r w:rsidRPr="00C2084D">
        <w:rPr>
          <w:rFonts w:ascii="Arial" w:hAnsi="Arial" w:cs="Arial"/>
          <w:color w:val="auto"/>
        </w:rPr>
        <w:lastRenderedPageBreak/>
        <w:t xml:space="preserve">In 2019: Alai was arrested under Section 27 of the PTA for publishing an image of deceased police officers on Twitter. He has since been formally charged under Sections 19, 27, and 29 of the PTA. The matter is currently ongoing in court. </w:t>
      </w:r>
    </w:p>
    <w:p w14:paraId="3572FFDC" w14:textId="77777777" w:rsidR="00EB336D" w:rsidRPr="00C2084D" w:rsidRDefault="00EB336D" w:rsidP="00EB336D">
      <w:pPr>
        <w:spacing w:after="0"/>
        <w:ind w:left="57" w:right="57"/>
        <w:jc w:val="both"/>
        <w:rPr>
          <w:rFonts w:ascii="Arial" w:hAnsi="Arial" w:cs="Arial"/>
          <w:color w:val="auto"/>
        </w:rPr>
      </w:pPr>
    </w:p>
    <w:p w14:paraId="4989A6CB" w14:textId="77F81326" w:rsidR="00EB336D" w:rsidRPr="00EB336D" w:rsidRDefault="00EB336D" w:rsidP="00EB336D">
      <w:pPr>
        <w:pStyle w:val="ListParagraph"/>
        <w:numPr>
          <w:ilvl w:val="0"/>
          <w:numId w:val="43"/>
        </w:numPr>
        <w:spacing w:after="0"/>
        <w:ind w:right="57"/>
        <w:jc w:val="both"/>
        <w:rPr>
          <w:rStyle w:val="FootnoteAnchor"/>
          <w:rFonts w:ascii="Arial" w:hAnsi="Arial" w:cs="Arial"/>
          <w:color w:val="auto"/>
          <w:vertAlign w:val="baseline"/>
        </w:rPr>
      </w:pPr>
      <w:r w:rsidRPr="00C2084D">
        <w:rPr>
          <w:rFonts w:ascii="Arial" w:hAnsi="Arial" w:cs="Arial"/>
          <w:color w:val="auto"/>
        </w:rPr>
        <w:t>Administrators of WhatsApp Groups and Facebook pages have also been arrested, detained, or pursued through the courts, for content posted into those groups or pages.</w:t>
      </w:r>
      <w:r w:rsidRPr="00C2084D">
        <w:rPr>
          <w:rStyle w:val="FootnoteAnchor"/>
          <w:rFonts w:ascii="Arial" w:hAnsi="Arial" w:cs="Arial"/>
          <w:color w:val="auto"/>
        </w:rPr>
        <w:footnoteReference w:id="42"/>
      </w:r>
      <w:r w:rsidRPr="00C2084D">
        <w:rPr>
          <w:rStyle w:val="FootnoteAnchor"/>
          <w:rFonts w:ascii="Arial" w:hAnsi="Arial" w:cs="Arial"/>
          <w:color w:val="auto"/>
        </w:rPr>
        <w:t xml:space="preserve"> </w:t>
      </w:r>
    </w:p>
    <w:p w14:paraId="17B0345D" w14:textId="070E3ABD" w:rsidR="003122F7" w:rsidRPr="003122F7" w:rsidRDefault="003122F7" w:rsidP="003122F7">
      <w:pPr>
        <w:spacing w:after="0"/>
        <w:ind w:right="57"/>
        <w:jc w:val="both"/>
        <w:rPr>
          <w:rStyle w:val="FootnoteAnchor"/>
          <w:rFonts w:ascii="Arial" w:hAnsi="Arial" w:cs="Arial"/>
          <w:vertAlign w:val="baseline"/>
        </w:rPr>
      </w:pPr>
    </w:p>
    <w:p w14:paraId="25B6D274" w14:textId="77777777" w:rsidR="003122F7" w:rsidRPr="00C2084D" w:rsidRDefault="003122F7" w:rsidP="003122F7">
      <w:pPr>
        <w:spacing w:after="0"/>
        <w:ind w:left="57" w:right="57"/>
        <w:jc w:val="both"/>
        <w:rPr>
          <w:rFonts w:ascii="Arial" w:hAnsi="Arial" w:cs="Arial"/>
          <w:b/>
        </w:rPr>
      </w:pPr>
      <w:r w:rsidRPr="00C2084D">
        <w:rPr>
          <w:rFonts w:ascii="Arial" w:hAnsi="Arial" w:cs="Arial"/>
          <w:b/>
        </w:rPr>
        <w:t>Access to Information</w:t>
      </w:r>
    </w:p>
    <w:p w14:paraId="71B48215" w14:textId="77777777" w:rsidR="003122F7" w:rsidRPr="00C2084D" w:rsidRDefault="003122F7" w:rsidP="003122F7">
      <w:pPr>
        <w:spacing w:after="0"/>
        <w:ind w:left="57" w:right="57"/>
        <w:contextualSpacing/>
        <w:jc w:val="both"/>
        <w:rPr>
          <w:rFonts w:ascii="Arial" w:hAnsi="Arial" w:cs="Arial"/>
          <w:b/>
        </w:rPr>
      </w:pPr>
    </w:p>
    <w:p w14:paraId="34EF4695" w14:textId="77777777" w:rsidR="003122F7" w:rsidRPr="00C2084D" w:rsidRDefault="003122F7" w:rsidP="003122F7">
      <w:pPr>
        <w:pStyle w:val="ListParagraph"/>
        <w:numPr>
          <w:ilvl w:val="0"/>
          <w:numId w:val="43"/>
        </w:numPr>
        <w:spacing w:after="0"/>
        <w:ind w:right="57"/>
        <w:jc w:val="both"/>
        <w:rPr>
          <w:rFonts w:ascii="Arial" w:hAnsi="Arial" w:cs="Arial"/>
        </w:rPr>
      </w:pPr>
      <w:r w:rsidRPr="00C2084D">
        <w:rPr>
          <w:rFonts w:ascii="Arial" w:hAnsi="Arial" w:cs="Arial"/>
        </w:rPr>
        <w:t>In September 2016, the Access to Information Act was enacted.</w:t>
      </w:r>
      <w:r w:rsidRPr="00C2084D">
        <w:rPr>
          <w:rStyle w:val="FootnoteAnchor"/>
          <w:rFonts w:ascii="Arial" w:hAnsi="Arial" w:cs="Arial"/>
        </w:rPr>
        <w:footnoteReference w:id="43"/>
      </w:r>
    </w:p>
    <w:p w14:paraId="5A738BC8" w14:textId="77777777" w:rsidR="003122F7" w:rsidRPr="00C2084D" w:rsidRDefault="003122F7" w:rsidP="003122F7">
      <w:pPr>
        <w:spacing w:after="0"/>
        <w:ind w:left="57" w:right="57"/>
        <w:contextualSpacing/>
        <w:jc w:val="both"/>
        <w:rPr>
          <w:rFonts w:ascii="Arial" w:hAnsi="Arial" w:cs="Arial"/>
        </w:rPr>
      </w:pPr>
    </w:p>
    <w:p w14:paraId="1DC666B4" w14:textId="77777777" w:rsidR="003122F7" w:rsidRPr="00C2084D" w:rsidRDefault="003122F7" w:rsidP="003122F7">
      <w:pPr>
        <w:pStyle w:val="ListParagraph"/>
        <w:numPr>
          <w:ilvl w:val="0"/>
          <w:numId w:val="43"/>
        </w:numPr>
        <w:spacing w:after="0"/>
        <w:ind w:right="57"/>
        <w:jc w:val="both"/>
        <w:rPr>
          <w:rFonts w:ascii="Arial" w:hAnsi="Arial" w:cs="Arial"/>
        </w:rPr>
      </w:pPr>
      <w:r w:rsidRPr="00C2084D">
        <w:rPr>
          <w:rFonts w:ascii="Arial" w:hAnsi="Arial" w:cs="Arial"/>
        </w:rPr>
        <w:t>While this development is positive, the full realisation of the right of access to information depends upon the issuance of regulations, required of the Cabinet Secretary under Section 25 of the Act.</w:t>
      </w:r>
      <w:r w:rsidRPr="00C2084D">
        <w:rPr>
          <w:rStyle w:val="FootnoteAnchor"/>
          <w:rFonts w:ascii="Arial" w:hAnsi="Arial" w:cs="Arial"/>
        </w:rPr>
        <w:footnoteReference w:id="44"/>
      </w:r>
      <w:r w:rsidRPr="00C2084D">
        <w:rPr>
          <w:rFonts w:ascii="Arial" w:hAnsi="Arial" w:cs="Arial"/>
        </w:rPr>
        <w:t xml:space="preserve"> Without these regulations in place, there is a lack of clarity in relation to the means by which information can and should be requested, the format in which the responsible authorities should provide information, as well as remedies in the event of non-compliance with the Access to Information Act, among other things. Implementation of the Act has, as a result, been hampered.</w:t>
      </w:r>
    </w:p>
    <w:p w14:paraId="5F5EC235" w14:textId="77777777" w:rsidR="003122F7" w:rsidRPr="00C2084D" w:rsidRDefault="003122F7" w:rsidP="003122F7">
      <w:pPr>
        <w:spacing w:after="0"/>
        <w:ind w:left="57" w:right="57"/>
        <w:contextualSpacing/>
        <w:jc w:val="both"/>
        <w:rPr>
          <w:rFonts w:ascii="Arial" w:hAnsi="Arial" w:cs="Arial"/>
        </w:rPr>
      </w:pPr>
    </w:p>
    <w:p w14:paraId="514D5BA5" w14:textId="77777777" w:rsidR="003122F7" w:rsidRPr="00C2084D" w:rsidRDefault="003122F7" w:rsidP="003122F7">
      <w:pPr>
        <w:pStyle w:val="ListParagraph"/>
        <w:numPr>
          <w:ilvl w:val="0"/>
          <w:numId w:val="43"/>
        </w:numPr>
        <w:spacing w:after="0"/>
        <w:ind w:right="57"/>
        <w:jc w:val="both"/>
        <w:rPr>
          <w:rFonts w:ascii="Arial" w:hAnsi="Arial" w:cs="Arial"/>
        </w:rPr>
      </w:pPr>
      <w:r w:rsidRPr="00C2084D">
        <w:rPr>
          <w:rFonts w:ascii="Arial" w:hAnsi="Arial" w:cs="Arial"/>
        </w:rPr>
        <w:t>The Commission on Administrative Justice (CAJ) conducted a survey on the Status of Proactive Disclosure of Information by Public Bodies, and found that 48% of public entities are not proactively disclosing information as requested by Section 5 of the Act, and most State agencies have not digitized their records as required by Section 17(3)(c) of the Act.</w:t>
      </w:r>
      <w:r w:rsidRPr="00C2084D">
        <w:rPr>
          <w:rStyle w:val="FootnoteReference"/>
          <w:rFonts w:ascii="Arial" w:hAnsi="Arial" w:cs="Arial"/>
        </w:rPr>
        <w:footnoteReference w:id="45"/>
      </w:r>
      <w:r w:rsidRPr="00C2084D">
        <w:rPr>
          <w:rFonts w:ascii="Arial" w:hAnsi="Arial" w:cs="Arial"/>
        </w:rPr>
        <w:t xml:space="preserve">  Although the Act provides for the issuance of forms to make access to information requests in Section 8(4), there is a need for standardization across departments. </w:t>
      </w:r>
    </w:p>
    <w:p w14:paraId="1FC1B477" w14:textId="77777777" w:rsidR="003122F7" w:rsidRPr="00C2084D" w:rsidRDefault="003122F7" w:rsidP="003122F7">
      <w:pPr>
        <w:spacing w:after="0"/>
        <w:ind w:left="57" w:right="57"/>
        <w:contextualSpacing/>
        <w:jc w:val="both"/>
        <w:rPr>
          <w:rFonts w:ascii="Arial" w:hAnsi="Arial" w:cs="Arial"/>
        </w:rPr>
      </w:pPr>
    </w:p>
    <w:p w14:paraId="653505CE" w14:textId="77777777" w:rsidR="003122F7" w:rsidRPr="00C2084D" w:rsidRDefault="003122F7" w:rsidP="003122F7">
      <w:pPr>
        <w:pStyle w:val="ListParagraph"/>
        <w:numPr>
          <w:ilvl w:val="0"/>
          <w:numId w:val="43"/>
        </w:numPr>
        <w:spacing w:after="0"/>
        <w:ind w:right="57"/>
        <w:jc w:val="both"/>
        <w:rPr>
          <w:rFonts w:ascii="Arial" w:hAnsi="Arial" w:cs="Arial"/>
        </w:rPr>
      </w:pPr>
      <w:r w:rsidRPr="00C2084D">
        <w:rPr>
          <w:rFonts w:ascii="Arial" w:hAnsi="Arial" w:cs="Arial"/>
        </w:rPr>
        <w:t xml:space="preserve">Civil society and media attempts to make use of the Access to Information Act reveal the challenges of implementation: </w:t>
      </w:r>
    </w:p>
    <w:p w14:paraId="3E2CA21A" w14:textId="77777777" w:rsidR="003122F7" w:rsidRPr="00C2084D" w:rsidRDefault="003122F7" w:rsidP="003122F7">
      <w:pPr>
        <w:spacing w:after="0"/>
        <w:ind w:left="57" w:right="57"/>
        <w:contextualSpacing/>
        <w:jc w:val="both"/>
        <w:rPr>
          <w:rFonts w:ascii="Arial" w:hAnsi="Arial" w:cs="Arial"/>
        </w:rPr>
      </w:pPr>
    </w:p>
    <w:p w14:paraId="5153995C" w14:textId="77777777" w:rsidR="003122F7" w:rsidRPr="00C2084D" w:rsidRDefault="003122F7" w:rsidP="003122F7">
      <w:pPr>
        <w:pStyle w:val="ListParagraph"/>
        <w:numPr>
          <w:ilvl w:val="0"/>
          <w:numId w:val="36"/>
        </w:numPr>
        <w:spacing w:after="0"/>
        <w:ind w:right="57"/>
        <w:jc w:val="both"/>
        <w:rPr>
          <w:rFonts w:ascii="Arial" w:hAnsi="Arial" w:cs="Arial"/>
        </w:rPr>
      </w:pPr>
      <w:r w:rsidRPr="00C2084D">
        <w:rPr>
          <w:rFonts w:ascii="Arial" w:hAnsi="Arial" w:cs="Arial"/>
        </w:rPr>
        <w:t>The contract between the governments of Kenya and China for the development of the Standard Gauge Railway line between Mombasa and Nairobi, for example, has not been disclosed, notwithstanding numerous requests.</w:t>
      </w:r>
      <w:r w:rsidRPr="00C2084D">
        <w:rPr>
          <w:rStyle w:val="FootnoteAnchor"/>
          <w:rFonts w:ascii="Arial" w:hAnsi="Arial" w:cs="Arial"/>
        </w:rPr>
        <w:footnoteReference w:id="46"/>
      </w:r>
      <w:r w:rsidRPr="00C2084D">
        <w:rPr>
          <w:rFonts w:ascii="Arial" w:hAnsi="Arial" w:cs="Arial"/>
        </w:rPr>
        <w:t xml:space="preserve"> </w:t>
      </w:r>
    </w:p>
    <w:p w14:paraId="26158C3A" w14:textId="1CF22419" w:rsidR="003122F7" w:rsidRPr="003122F7" w:rsidRDefault="003122F7" w:rsidP="003122F7">
      <w:pPr>
        <w:pStyle w:val="ListParagraph"/>
        <w:numPr>
          <w:ilvl w:val="0"/>
          <w:numId w:val="36"/>
        </w:numPr>
        <w:spacing w:after="0"/>
        <w:ind w:right="57"/>
        <w:jc w:val="both"/>
        <w:rPr>
          <w:rStyle w:val="FootnoteAnchor"/>
          <w:rFonts w:ascii="Arial" w:hAnsi="Arial" w:cs="Arial"/>
          <w:vertAlign w:val="baseline"/>
        </w:rPr>
      </w:pPr>
      <w:r w:rsidRPr="00C2084D">
        <w:rPr>
          <w:rFonts w:ascii="Arial" w:hAnsi="Arial" w:cs="Arial"/>
        </w:rPr>
        <w:t xml:space="preserve">The </w:t>
      </w:r>
      <w:proofErr w:type="spellStart"/>
      <w:r w:rsidRPr="00C2084D">
        <w:rPr>
          <w:rFonts w:ascii="Arial" w:hAnsi="Arial" w:cs="Arial"/>
        </w:rPr>
        <w:t>Katiba</w:t>
      </w:r>
      <w:proofErr w:type="spellEnd"/>
      <w:r w:rsidRPr="00C2084D">
        <w:rPr>
          <w:rFonts w:ascii="Arial" w:hAnsi="Arial" w:cs="Arial"/>
        </w:rPr>
        <w:t xml:space="preserve"> Institute filed a constitutional petition against the government in 2017 for failure to provide information </w:t>
      </w:r>
      <w:r w:rsidRPr="00C2084D">
        <w:rPr>
          <w:rFonts w:ascii="Arial" w:hAnsi="Arial" w:cs="Arial"/>
          <w:color w:val="auto"/>
        </w:rPr>
        <w:t>pursuant to a request which sought to examine government advertising expenditure as a possible violation of el</w:t>
      </w:r>
      <w:r w:rsidR="00EB336D">
        <w:rPr>
          <w:rFonts w:ascii="Arial" w:hAnsi="Arial" w:cs="Arial"/>
          <w:color w:val="auto"/>
        </w:rPr>
        <w:t>ectoral law. In a landmark judg</w:t>
      </w:r>
      <w:r w:rsidRPr="00C2084D">
        <w:rPr>
          <w:rFonts w:ascii="Arial" w:hAnsi="Arial" w:cs="Arial"/>
          <w:color w:val="auto"/>
        </w:rPr>
        <w:t>ment, the High Court initially found that the </w:t>
      </w:r>
      <w:r w:rsidRPr="00C2084D">
        <w:rPr>
          <w:rStyle w:val="ListLabel174"/>
          <w:rFonts w:ascii="Arial" w:hAnsi="Arial" w:cs="Arial"/>
          <w:color w:val="auto"/>
          <w:sz w:val="22"/>
          <w:szCs w:val="22"/>
          <w:u w:val="none"/>
        </w:rPr>
        <w:t>President’s Delivery Unit</w:t>
      </w:r>
      <w:r w:rsidRPr="00C2084D">
        <w:rPr>
          <w:rFonts w:ascii="Arial" w:hAnsi="Arial" w:cs="Arial"/>
          <w:color w:val="auto"/>
        </w:rPr>
        <w:t xml:space="preserve"> (PDU) and state officers working in the Office </w:t>
      </w:r>
      <w:r w:rsidRPr="00C2084D">
        <w:rPr>
          <w:rFonts w:ascii="Arial" w:hAnsi="Arial" w:cs="Arial"/>
          <w:color w:val="auto"/>
        </w:rPr>
        <w:lastRenderedPageBreak/>
        <w:t>of the President were under both a constitutional and legal obligation to allow any citizen to access information in the State’s possession since it was held on behalf of the public.</w:t>
      </w:r>
      <w:r w:rsidRPr="00C2084D">
        <w:rPr>
          <w:rStyle w:val="FootnoteAnchor"/>
          <w:rFonts w:ascii="Arial" w:hAnsi="Arial" w:cs="Arial"/>
          <w:color w:val="auto"/>
        </w:rPr>
        <w:footnoteReference w:id="47"/>
      </w:r>
      <w:r w:rsidRPr="00C2084D">
        <w:rPr>
          <w:rFonts w:ascii="Arial" w:eastAsia="DejaVu Sans" w:hAnsi="Arial" w:cs="Arial"/>
          <w:color w:val="auto"/>
          <w:lang w:val="en-US" w:bidi="en-US"/>
        </w:rPr>
        <w:t xml:space="preserve"> </w:t>
      </w:r>
      <w:r w:rsidRPr="00C2084D">
        <w:rPr>
          <w:rFonts w:ascii="Arial" w:hAnsi="Arial" w:cs="Arial"/>
          <w:color w:val="auto"/>
          <w:lang w:bidi="en-US"/>
        </w:rPr>
        <w:t xml:space="preserve">On appeal, the court reversed </w:t>
      </w:r>
      <w:r w:rsidRPr="00C2084D">
        <w:rPr>
          <w:rFonts w:ascii="Arial" w:hAnsi="Arial" w:cs="Arial"/>
          <w:lang w:bidi="en-US"/>
        </w:rPr>
        <w:t>its earlier decision, effectively exempting the PDU from fulfilling its obligations under the Access to information Act.</w:t>
      </w:r>
      <w:r w:rsidRPr="00C2084D">
        <w:rPr>
          <w:rStyle w:val="FootnoteReference"/>
          <w:rFonts w:ascii="Arial" w:hAnsi="Arial" w:cs="Arial"/>
        </w:rPr>
        <w:footnoteReference w:id="48"/>
      </w:r>
    </w:p>
    <w:p w14:paraId="0934C399" w14:textId="77777777" w:rsidR="003122F7" w:rsidRDefault="003122F7" w:rsidP="003122F7">
      <w:pPr>
        <w:spacing w:after="0"/>
        <w:ind w:right="57"/>
        <w:jc w:val="both"/>
        <w:rPr>
          <w:rFonts w:ascii="Arial" w:hAnsi="Arial" w:cs="Arial"/>
        </w:rPr>
      </w:pPr>
    </w:p>
    <w:p w14:paraId="0FF52BA3" w14:textId="593F4C08" w:rsidR="000552CD" w:rsidRPr="003122F7" w:rsidRDefault="003122F7" w:rsidP="003122F7">
      <w:pPr>
        <w:spacing w:after="0"/>
        <w:ind w:right="57"/>
        <w:jc w:val="both"/>
        <w:rPr>
          <w:rFonts w:ascii="Arial" w:hAnsi="Arial" w:cs="Arial"/>
          <w:b/>
          <w:u w:val="single"/>
        </w:rPr>
      </w:pPr>
      <w:r>
        <w:rPr>
          <w:rFonts w:ascii="Arial" w:hAnsi="Arial" w:cs="Arial"/>
          <w:b/>
          <w:u w:val="single"/>
        </w:rPr>
        <w:t xml:space="preserve">Article 21: </w:t>
      </w:r>
      <w:r w:rsidRPr="003122F7">
        <w:rPr>
          <w:rFonts w:ascii="Arial" w:hAnsi="Arial" w:cs="Arial"/>
          <w:b/>
          <w:u w:val="single"/>
        </w:rPr>
        <w:t xml:space="preserve">Right to Freedom of </w:t>
      </w:r>
      <w:r>
        <w:rPr>
          <w:rFonts w:ascii="Arial" w:hAnsi="Arial" w:cs="Arial"/>
          <w:b/>
          <w:u w:val="single"/>
        </w:rPr>
        <w:t>Peaceful Assembly</w:t>
      </w:r>
    </w:p>
    <w:p w14:paraId="2AB29E38" w14:textId="77777777" w:rsidR="00D25446" w:rsidRPr="00C2084D" w:rsidRDefault="00D25446" w:rsidP="00C2084D">
      <w:pPr>
        <w:spacing w:after="0"/>
        <w:ind w:left="57" w:right="57"/>
        <w:jc w:val="both"/>
        <w:rPr>
          <w:rFonts w:ascii="Arial" w:eastAsiaTheme="minorHAnsi" w:hAnsi="Arial" w:cs="Arial"/>
          <w:b/>
        </w:rPr>
      </w:pPr>
    </w:p>
    <w:p w14:paraId="490BE174" w14:textId="5E821A2C" w:rsidR="00211FBA" w:rsidRPr="00C2084D" w:rsidRDefault="00D25446" w:rsidP="00515FC3">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The</w:t>
      </w:r>
      <w:r w:rsidR="001B5E0C" w:rsidRPr="00C2084D">
        <w:rPr>
          <w:rFonts w:ascii="Arial" w:eastAsiaTheme="minorHAnsi" w:hAnsi="Arial" w:cs="Arial"/>
        </w:rPr>
        <w:t xml:space="preserve"> right to freedom of peaceful assembly is not </w:t>
      </w:r>
      <w:r w:rsidR="00774E58" w:rsidRPr="00C2084D">
        <w:rPr>
          <w:rFonts w:ascii="Arial" w:eastAsiaTheme="minorHAnsi" w:hAnsi="Arial" w:cs="Arial"/>
        </w:rPr>
        <w:t xml:space="preserve">effectively </w:t>
      </w:r>
      <w:r w:rsidR="00EB336D">
        <w:rPr>
          <w:rFonts w:ascii="Arial" w:eastAsiaTheme="minorHAnsi" w:hAnsi="Arial" w:cs="Arial"/>
        </w:rPr>
        <w:t>guaranteed</w:t>
      </w:r>
      <w:r w:rsidR="001B5E0C" w:rsidRPr="00C2084D">
        <w:rPr>
          <w:rFonts w:ascii="Arial" w:eastAsiaTheme="minorHAnsi" w:hAnsi="Arial" w:cs="Arial"/>
        </w:rPr>
        <w:t xml:space="preserve"> in Kenyan law, and the right is routinely violated by law enforcement authorities responding to protests. </w:t>
      </w:r>
    </w:p>
    <w:p w14:paraId="2F0B7014" w14:textId="77777777" w:rsidR="00211FBA" w:rsidRPr="00C2084D" w:rsidRDefault="00211FBA" w:rsidP="00C2084D">
      <w:pPr>
        <w:spacing w:after="0"/>
        <w:ind w:left="57" w:right="57"/>
        <w:jc w:val="both"/>
        <w:rPr>
          <w:rFonts w:ascii="Arial" w:eastAsiaTheme="minorHAnsi" w:hAnsi="Arial" w:cs="Arial"/>
        </w:rPr>
      </w:pPr>
    </w:p>
    <w:p w14:paraId="20F32B1B" w14:textId="7D3B70F9" w:rsidR="005E12A5" w:rsidRPr="00C2084D" w:rsidRDefault="00774E58" w:rsidP="00515FC3">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 xml:space="preserve">Research by ARTICLE 19 has identified the following key trends in relation to the restrictions on the right to protest in Kenya: </w:t>
      </w:r>
      <w:r w:rsidR="00DF3D47" w:rsidRPr="00C2084D">
        <w:rPr>
          <w:rFonts w:ascii="Arial" w:eastAsiaTheme="minorHAnsi" w:hAnsi="Arial" w:cs="Arial"/>
        </w:rPr>
        <w:t>excessive use of force by police in the course of protests, unlawful killings,</w:t>
      </w:r>
      <w:r w:rsidR="00E269F8" w:rsidRPr="00C2084D">
        <w:rPr>
          <w:rFonts w:ascii="Arial" w:eastAsiaTheme="minorHAnsi" w:hAnsi="Arial" w:cs="Arial"/>
        </w:rPr>
        <w:t xml:space="preserve"> the</w:t>
      </w:r>
      <w:r w:rsidR="00DF3D47" w:rsidRPr="00C2084D">
        <w:rPr>
          <w:rFonts w:ascii="Arial" w:eastAsiaTheme="minorHAnsi" w:hAnsi="Arial" w:cs="Arial"/>
        </w:rPr>
        <w:t xml:space="preserve"> failure to </w:t>
      </w:r>
      <w:r w:rsidR="00E269F8" w:rsidRPr="00C2084D">
        <w:rPr>
          <w:rFonts w:ascii="Arial" w:eastAsiaTheme="minorHAnsi" w:hAnsi="Arial" w:cs="Arial"/>
        </w:rPr>
        <w:t>use de-escalation</w:t>
      </w:r>
      <w:r w:rsidR="00DF3D47" w:rsidRPr="00C2084D">
        <w:rPr>
          <w:rFonts w:ascii="Arial" w:eastAsiaTheme="minorHAnsi" w:hAnsi="Arial" w:cs="Arial"/>
        </w:rPr>
        <w:t xml:space="preserve"> tactics, </w:t>
      </w:r>
      <w:r w:rsidR="00E269F8" w:rsidRPr="00C2084D">
        <w:rPr>
          <w:rFonts w:ascii="Arial" w:eastAsiaTheme="minorHAnsi" w:hAnsi="Arial" w:cs="Arial"/>
        </w:rPr>
        <w:t xml:space="preserve">arbitrary </w:t>
      </w:r>
      <w:r w:rsidR="00DF3D47" w:rsidRPr="00C2084D">
        <w:rPr>
          <w:rFonts w:ascii="Arial" w:eastAsiaTheme="minorHAnsi" w:hAnsi="Arial" w:cs="Arial"/>
        </w:rPr>
        <w:t xml:space="preserve">arrests, and lack of </w:t>
      </w:r>
      <w:r w:rsidR="00E269F8" w:rsidRPr="00C2084D">
        <w:rPr>
          <w:rFonts w:ascii="Arial" w:eastAsiaTheme="minorHAnsi" w:hAnsi="Arial" w:cs="Arial"/>
        </w:rPr>
        <w:t>accountability for such violations</w:t>
      </w:r>
      <w:r w:rsidR="00647037" w:rsidRPr="00C2084D">
        <w:rPr>
          <w:rFonts w:ascii="Arial" w:eastAsiaTheme="minorHAnsi" w:hAnsi="Arial" w:cs="Arial"/>
        </w:rPr>
        <w:t xml:space="preserve">. ARTICLE 19 </w:t>
      </w:r>
      <w:r w:rsidR="00DF3D47" w:rsidRPr="00C2084D">
        <w:rPr>
          <w:rFonts w:ascii="Arial" w:eastAsiaTheme="minorHAnsi" w:hAnsi="Arial" w:cs="Arial"/>
        </w:rPr>
        <w:t>monitor</w:t>
      </w:r>
      <w:r w:rsidR="00E269F8" w:rsidRPr="00C2084D">
        <w:rPr>
          <w:rFonts w:ascii="Arial" w:eastAsiaTheme="minorHAnsi" w:hAnsi="Arial" w:cs="Arial"/>
        </w:rPr>
        <w:t>ed</w:t>
      </w:r>
      <w:r w:rsidR="00647037" w:rsidRPr="00C2084D">
        <w:rPr>
          <w:rFonts w:ascii="Arial" w:eastAsiaTheme="minorHAnsi" w:hAnsi="Arial" w:cs="Arial"/>
        </w:rPr>
        <w:t xml:space="preserve"> </w:t>
      </w:r>
      <w:r w:rsidR="00DF3D47" w:rsidRPr="00C2084D">
        <w:rPr>
          <w:rFonts w:ascii="Arial" w:eastAsiaTheme="minorHAnsi" w:hAnsi="Arial" w:cs="Arial"/>
        </w:rPr>
        <w:t xml:space="preserve">152 protests between January 2018 and July 2019, </w:t>
      </w:r>
      <w:r w:rsidR="00E269F8" w:rsidRPr="00C2084D">
        <w:rPr>
          <w:rFonts w:ascii="Arial" w:eastAsiaTheme="minorHAnsi" w:hAnsi="Arial" w:cs="Arial"/>
        </w:rPr>
        <w:t xml:space="preserve">in which </w:t>
      </w:r>
      <w:r w:rsidR="00DF3D47" w:rsidRPr="00C2084D">
        <w:rPr>
          <w:rFonts w:ascii="Arial" w:eastAsiaTheme="minorHAnsi" w:hAnsi="Arial" w:cs="Arial"/>
        </w:rPr>
        <w:t xml:space="preserve">at least 21 protesters and/or bystanders </w:t>
      </w:r>
      <w:r w:rsidR="00E269F8" w:rsidRPr="00C2084D">
        <w:rPr>
          <w:rFonts w:ascii="Arial" w:eastAsiaTheme="minorHAnsi" w:hAnsi="Arial" w:cs="Arial"/>
        </w:rPr>
        <w:t xml:space="preserve">were </w:t>
      </w:r>
      <w:r w:rsidR="00DF3D47" w:rsidRPr="00C2084D">
        <w:rPr>
          <w:rFonts w:ascii="Arial" w:eastAsiaTheme="minorHAnsi" w:hAnsi="Arial" w:cs="Arial"/>
        </w:rPr>
        <w:t>injured and</w:t>
      </w:r>
      <w:r w:rsidR="005E12A5" w:rsidRPr="00C2084D">
        <w:rPr>
          <w:rFonts w:ascii="Arial" w:eastAsiaTheme="minorHAnsi" w:hAnsi="Arial" w:cs="Arial"/>
        </w:rPr>
        <w:t xml:space="preserve"> 7 protesters</w:t>
      </w:r>
      <w:r w:rsidR="00E269F8" w:rsidRPr="00C2084D">
        <w:rPr>
          <w:rFonts w:ascii="Arial" w:eastAsiaTheme="minorHAnsi" w:hAnsi="Arial" w:cs="Arial"/>
        </w:rPr>
        <w:t xml:space="preserve"> were</w:t>
      </w:r>
      <w:r w:rsidR="005E12A5" w:rsidRPr="00C2084D">
        <w:rPr>
          <w:rFonts w:ascii="Arial" w:eastAsiaTheme="minorHAnsi" w:hAnsi="Arial" w:cs="Arial"/>
        </w:rPr>
        <w:t xml:space="preserve"> killed.</w:t>
      </w:r>
      <w:r w:rsidR="005E12A5" w:rsidRPr="00C2084D">
        <w:rPr>
          <w:rStyle w:val="FootnoteReference"/>
          <w:rFonts w:ascii="Arial" w:eastAsiaTheme="minorHAnsi" w:hAnsi="Arial" w:cs="Arial"/>
        </w:rPr>
        <w:footnoteReference w:id="49"/>
      </w:r>
    </w:p>
    <w:p w14:paraId="16A4C65B" w14:textId="52EC267D" w:rsidR="000552CD" w:rsidRPr="00C2084D" w:rsidRDefault="000552CD" w:rsidP="00C2084D">
      <w:pPr>
        <w:pStyle w:val="ListParagraph"/>
        <w:spacing w:after="0"/>
        <w:ind w:left="57" w:right="57"/>
        <w:jc w:val="both"/>
        <w:rPr>
          <w:rFonts w:ascii="Arial" w:eastAsiaTheme="minorHAnsi" w:hAnsi="Arial" w:cs="Arial"/>
          <w:i/>
          <w:u w:val="single"/>
        </w:rPr>
      </w:pPr>
    </w:p>
    <w:p w14:paraId="4A5A5578" w14:textId="182EDB50" w:rsidR="000552CD" w:rsidRPr="003122F7" w:rsidRDefault="003122F7" w:rsidP="00C2084D">
      <w:pPr>
        <w:spacing w:after="0"/>
        <w:ind w:left="57" w:right="57"/>
        <w:jc w:val="both"/>
        <w:rPr>
          <w:rFonts w:ascii="Arial" w:eastAsiaTheme="minorHAnsi" w:hAnsi="Arial" w:cs="Arial"/>
          <w:b/>
        </w:rPr>
      </w:pPr>
      <w:r w:rsidRPr="003122F7">
        <w:rPr>
          <w:rFonts w:ascii="Arial" w:eastAsiaTheme="minorHAnsi" w:hAnsi="Arial" w:cs="Arial"/>
          <w:b/>
        </w:rPr>
        <w:t>Legal Framework for Peaceful Assembly</w:t>
      </w:r>
    </w:p>
    <w:p w14:paraId="50F6BF65" w14:textId="77777777" w:rsidR="00D25446" w:rsidRPr="00C2084D" w:rsidRDefault="00D25446" w:rsidP="00C2084D">
      <w:pPr>
        <w:spacing w:after="0"/>
        <w:ind w:left="57" w:right="57"/>
        <w:jc w:val="both"/>
        <w:rPr>
          <w:rFonts w:ascii="Arial" w:eastAsiaTheme="minorHAnsi" w:hAnsi="Arial" w:cs="Arial"/>
          <w:u w:val="single"/>
        </w:rPr>
      </w:pPr>
    </w:p>
    <w:p w14:paraId="068DB038" w14:textId="689528C6" w:rsidR="000552CD" w:rsidRPr="00C2084D" w:rsidRDefault="001B5E0C" w:rsidP="00515FC3">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While the right to freedom of peaceful assembly is protected in Article 37 of the 2010 Constitution, public authorities still undermine this constitutional guarantee by applying the colonial-era Public Order Act of 1950, which is out of step with the Constitution and Kenya’s obligations under international human rights law.</w:t>
      </w:r>
      <w:r w:rsidR="00647037" w:rsidRPr="00C2084D">
        <w:rPr>
          <w:rStyle w:val="FootnoteAnchor"/>
          <w:rFonts w:ascii="Arial" w:eastAsiaTheme="minorHAnsi" w:hAnsi="Arial" w:cs="Arial"/>
        </w:rPr>
        <w:footnoteReference w:id="50"/>
      </w:r>
      <w:r w:rsidRPr="00C2084D">
        <w:rPr>
          <w:rFonts w:ascii="Arial" w:eastAsiaTheme="minorHAnsi" w:hAnsi="Arial" w:cs="Arial"/>
        </w:rPr>
        <w:t xml:space="preserve">  </w:t>
      </w:r>
    </w:p>
    <w:p w14:paraId="04ADFCBC" w14:textId="77777777" w:rsidR="000552CD" w:rsidRPr="00C2084D" w:rsidRDefault="000552CD" w:rsidP="00C2084D">
      <w:pPr>
        <w:spacing w:after="0"/>
        <w:ind w:left="57" w:right="57"/>
        <w:jc w:val="both"/>
        <w:rPr>
          <w:rFonts w:ascii="Arial" w:eastAsiaTheme="minorHAnsi" w:hAnsi="Arial" w:cs="Arial"/>
        </w:rPr>
      </w:pPr>
    </w:p>
    <w:p w14:paraId="21C5681A" w14:textId="6ED45665" w:rsidR="000552CD" w:rsidRPr="00C2084D" w:rsidRDefault="001B5E0C" w:rsidP="00515FC3">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 xml:space="preserve">Section 5(1) and (2) of the Public Order Act require mandatory notification of assemblies to the local police station, without the availability of appeal where </w:t>
      </w:r>
      <w:r w:rsidR="00E269F8" w:rsidRPr="00C2084D">
        <w:rPr>
          <w:rFonts w:ascii="Arial" w:eastAsiaTheme="minorHAnsi" w:hAnsi="Arial" w:cs="Arial"/>
        </w:rPr>
        <w:t>an assembly is denied permission</w:t>
      </w:r>
      <w:r w:rsidRPr="00C2084D">
        <w:rPr>
          <w:rFonts w:ascii="Arial" w:eastAsiaTheme="minorHAnsi" w:hAnsi="Arial" w:cs="Arial"/>
        </w:rPr>
        <w:t>.</w:t>
      </w:r>
      <w:r w:rsidRPr="00C2084D">
        <w:rPr>
          <w:rFonts w:ascii="Arial" w:hAnsi="Arial" w:cs="Arial"/>
        </w:rPr>
        <w:t xml:space="preserve"> </w:t>
      </w:r>
      <w:r w:rsidR="00E269F8" w:rsidRPr="00C2084D">
        <w:rPr>
          <w:rFonts w:ascii="Arial" w:hAnsi="Arial" w:cs="Arial"/>
        </w:rPr>
        <w:t xml:space="preserve">In practice, the notification regime functions as a form of authorisation. Whilst </w:t>
      </w:r>
      <w:r w:rsidR="00E269F8" w:rsidRPr="00C2084D">
        <w:rPr>
          <w:rFonts w:ascii="Arial" w:eastAsiaTheme="minorHAnsi" w:hAnsi="Arial" w:cs="Arial"/>
        </w:rPr>
        <w:t>a</w:t>
      </w:r>
      <w:r w:rsidRPr="00C2084D">
        <w:rPr>
          <w:rFonts w:ascii="Arial" w:eastAsiaTheme="minorHAnsi" w:hAnsi="Arial" w:cs="Arial"/>
        </w:rPr>
        <w:t xml:space="preserve"> regulating officer</w:t>
      </w:r>
      <w:r w:rsidR="00E269F8" w:rsidRPr="00C2084D">
        <w:rPr>
          <w:rFonts w:ascii="Arial" w:eastAsiaTheme="minorHAnsi" w:hAnsi="Arial" w:cs="Arial"/>
        </w:rPr>
        <w:t xml:space="preserve"> is legally only able to</w:t>
      </w:r>
      <w:r w:rsidR="008423E6" w:rsidRPr="00C2084D">
        <w:rPr>
          <w:rFonts w:ascii="Arial" w:eastAsiaTheme="minorHAnsi" w:hAnsi="Arial" w:cs="Arial"/>
        </w:rPr>
        <w:t xml:space="preserve"> </w:t>
      </w:r>
      <w:r w:rsidR="00E269F8" w:rsidRPr="00C2084D">
        <w:rPr>
          <w:rFonts w:ascii="Arial" w:eastAsiaTheme="minorHAnsi" w:hAnsi="Arial" w:cs="Arial"/>
        </w:rPr>
        <w:t>refuse permission to an</w:t>
      </w:r>
      <w:r w:rsidR="008423E6" w:rsidRPr="00C2084D">
        <w:rPr>
          <w:rFonts w:ascii="Arial" w:eastAsiaTheme="minorHAnsi" w:hAnsi="Arial" w:cs="Arial"/>
        </w:rPr>
        <w:t xml:space="preserve"> assembly</w:t>
      </w:r>
      <w:r w:rsidRPr="00C2084D">
        <w:rPr>
          <w:rFonts w:ascii="Arial" w:eastAsiaTheme="minorHAnsi" w:hAnsi="Arial" w:cs="Arial"/>
        </w:rPr>
        <w:t xml:space="preserve"> if notice of another assembly at the same venue, time and date has already been received</w:t>
      </w:r>
      <w:r w:rsidR="00647037" w:rsidRPr="00C2084D">
        <w:rPr>
          <w:rFonts w:ascii="Arial" w:eastAsiaTheme="minorHAnsi" w:hAnsi="Arial" w:cs="Arial"/>
        </w:rPr>
        <w:t xml:space="preserve"> (under Section 5 (4) of the Act)</w:t>
      </w:r>
      <w:r w:rsidR="00E269F8" w:rsidRPr="00C2084D">
        <w:rPr>
          <w:rFonts w:ascii="Arial" w:eastAsiaTheme="minorHAnsi" w:hAnsi="Arial" w:cs="Arial"/>
        </w:rPr>
        <w:t>, in practice refusals are much more common and not justified under these narrow grounds</w:t>
      </w:r>
      <w:r w:rsidRPr="00C2084D">
        <w:rPr>
          <w:rFonts w:ascii="Arial" w:eastAsiaTheme="minorHAnsi" w:hAnsi="Arial" w:cs="Arial"/>
        </w:rPr>
        <w:t>.</w:t>
      </w:r>
      <w:r w:rsidRPr="00C2084D">
        <w:rPr>
          <w:rStyle w:val="FootnoteAnchor"/>
          <w:rFonts w:ascii="Arial" w:eastAsiaTheme="minorHAnsi" w:hAnsi="Arial" w:cs="Arial"/>
        </w:rPr>
        <w:footnoteReference w:id="51"/>
      </w:r>
      <w:r w:rsidRPr="00C2084D">
        <w:rPr>
          <w:rFonts w:ascii="Arial" w:eastAsiaTheme="minorHAnsi" w:hAnsi="Arial" w:cs="Arial"/>
        </w:rPr>
        <w:t xml:space="preserve"> Participation in an unlawful assembly can be punished with up to one year of imprisonment (Section 5(11))</w:t>
      </w:r>
      <w:r w:rsidR="00E269F8" w:rsidRPr="00C2084D">
        <w:rPr>
          <w:rFonts w:ascii="Arial" w:eastAsiaTheme="minorHAnsi" w:hAnsi="Arial" w:cs="Arial"/>
        </w:rPr>
        <w:t xml:space="preserve"> of the Public Order Act</w:t>
      </w:r>
      <w:r w:rsidRPr="00C2084D">
        <w:rPr>
          <w:rFonts w:ascii="Arial" w:eastAsiaTheme="minorHAnsi" w:hAnsi="Arial" w:cs="Arial"/>
        </w:rPr>
        <w:t>.</w:t>
      </w:r>
    </w:p>
    <w:p w14:paraId="35D1AC88" w14:textId="77777777" w:rsidR="000552CD" w:rsidRPr="00C2084D" w:rsidRDefault="000552CD" w:rsidP="00C2084D">
      <w:pPr>
        <w:spacing w:after="0"/>
        <w:ind w:left="57" w:right="57"/>
        <w:contextualSpacing/>
        <w:jc w:val="both"/>
        <w:rPr>
          <w:rFonts w:ascii="Arial" w:eastAsiaTheme="minorHAnsi" w:hAnsi="Arial" w:cs="Arial"/>
        </w:rPr>
      </w:pPr>
    </w:p>
    <w:p w14:paraId="474754E5" w14:textId="77586CAE" w:rsidR="000552CD" w:rsidRPr="00C2084D" w:rsidRDefault="00D25446" w:rsidP="00515FC3">
      <w:pPr>
        <w:pStyle w:val="ListParagraph"/>
        <w:numPr>
          <w:ilvl w:val="0"/>
          <w:numId w:val="43"/>
        </w:numPr>
        <w:spacing w:after="0"/>
        <w:ind w:right="57"/>
        <w:jc w:val="both"/>
        <w:rPr>
          <w:rFonts w:ascii="Arial" w:hAnsi="Arial" w:cs="Arial"/>
        </w:rPr>
      </w:pPr>
      <w:r w:rsidRPr="00C2084D">
        <w:rPr>
          <w:rFonts w:ascii="Arial" w:eastAsiaTheme="minorHAnsi" w:hAnsi="Arial" w:cs="Arial"/>
        </w:rPr>
        <w:t>Since the previous</w:t>
      </w:r>
      <w:r w:rsidR="001B5E0C" w:rsidRPr="00C2084D">
        <w:rPr>
          <w:rFonts w:ascii="Arial" w:eastAsiaTheme="minorHAnsi" w:hAnsi="Arial" w:cs="Arial"/>
        </w:rPr>
        <w:t xml:space="preserve"> review, state officials have routinely denied or prohibited peaceful assemblies. In the run up to the </w:t>
      </w:r>
      <w:r w:rsidR="00A7582F" w:rsidRPr="00C2084D">
        <w:rPr>
          <w:rFonts w:ascii="Arial" w:eastAsiaTheme="minorHAnsi" w:hAnsi="Arial" w:cs="Arial"/>
        </w:rPr>
        <w:t xml:space="preserve">repeat of the August </w:t>
      </w:r>
      <w:r w:rsidR="001B5E0C" w:rsidRPr="00C2084D">
        <w:rPr>
          <w:rFonts w:ascii="Arial" w:eastAsiaTheme="minorHAnsi" w:hAnsi="Arial" w:cs="Arial"/>
        </w:rPr>
        <w:t>2017 general elections, the Interior Cabinet Secretary banned protests in Kisumu, Mombasa, and Nairobi towns due to take place on 12 October 12 2017, claiming that they would disturb business operations in the three cities. He stated that the ban</w:t>
      </w:r>
      <w:r w:rsidR="001B5E0C" w:rsidRPr="00C2084D">
        <w:rPr>
          <w:rFonts w:ascii="Arial" w:hAnsi="Arial" w:cs="Arial"/>
          <w:color w:val="000000"/>
        </w:rPr>
        <w:t xml:space="preserve"> </w:t>
      </w:r>
      <w:r w:rsidR="001B5E0C" w:rsidRPr="00C2084D">
        <w:rPr>
          <w:rFonts w:ascii="Arial" w:eastAsiaTheme="minorHAnsi" w:hAnsi="Arial" w:cs="Arial"/>
        </w:rPr>
        <w:t xml:space="preserve">was in response to a “clear, present and imminent danger of a breach of peace and public order”, and that the Inspector General of Police had been notified accordingly. We note that </w:t>
      </w:r>
      <w:r w:rsidR="001B5E0C" w:rsidRPr="00C2084D">
        <w:rPr>
          <w:rFonts w:ascii="Arial" w:eastAsiaTheme="minorHAnsi" w:hAnsi="Arial" w:cs="Arial"/>
        </w:rPr>
        <w:lastRenderedPageBreak/>
        <w:t>States have a positive obligation, in accordance with international standards, to facilitate peaceful assemblies, including when they may cause temporar</w:t>
      </w:r>
      <w:r w:rsidR="008423E6" w:rsidRPr="00C2084D">
        <w:rPr>
          <w:rFonts w:ascii="Arial" w:eastAsiaTheme="minorHAnsi" w:hAnsi="Arial" w:cs="Arial"/>
        </w:rPr>
        <w:t>y disruption and inconvenience, and that the H</w:t>
      </w:r>
      <w:r w:rsidR="002878DE" w:rsidRPr="00C2084D">
        <w:rPr>
          <w:rFonts w:ascii="Arial" w:eastAsiaTheme="minorHAnsi" w:hAnsi="Arial" w:cs="Arial"/>
        </w:rPr>
        <w:t>uman Rights Council has recognis</w:t>
      </w:r>
      <w:r w:rsidR="008423E6" w:rsidRPr="00C2084D">
        <w:rPr>
          <w:rFonts w:ascii="Arial" w:eastAsiaTheme="minorHAnsi" w:hAnsi="Arial" w:cs="Arial"/>
        </w:rPr>
        <w:t xml:space="preserve">ed that this is particularly important in the context of elections. </w:t>
      </w:r>
    </w:p>
    <w:p w14:paraId="44812148" w14:textId="77777777" w:rsidR="008423E6" w:rsidRPr="00C2084D" w:rsidRDefault="008423E6" w:rsidP="00C2084D">
      <w:pPr>
        <w:pStyle w:val="ListParagraph"/>
        <w:spacing w:after="0"/>
        <w:ind w:left="57" w:right="57"/>
        <w:jc w:val="both"/>
        <w:rPr>
          <w:rFonts w:ascii="Arial" w:hAnsi="Arial" w:cs="Arial"/>
        </w:rPr>
      </w:pPr>
    </w:p>
    <w:p w14:paraId="05204C7D" w14:textId="77777777" w:rsidR="00211FBA" w:rsidRPr="00C2084D" w:rsidRDefault="001B5E0C" w:rsidP="00515FC3">
      <w:pPr>
        <w:pStyle w:val="ListParagraph"/>
        <w:numPr>
          <w:ilvl w:val="0"/>
          <w:numId w:val="43"/>
        </w:numPr>
        <w:spacing w:after="0"/>
        <w:ind w:right="57"/>
        <w:jc w:val="both"/>
        <w:rPr>
          <w:rFonts w:ascii="Arial" w:hAnsi="Arial" w:cs="Arial"/>
        </w:rPr>
      </w:pPr>
      <w:r w:rsidRPr="00C2084D">
        <w:rPr>
          <w:rFonts w:ascii="Arial" w:eastAsiaTheme="minorHAnsi" w:hAnsi="Arial" w:cs="Arial"/>
        </w:rPr>
        <w:t xml:space="preserve">On 6 March 2019, activist Boniface </w:t>
      </w:r>
      <w:proofErr w:type="spellStart"/>
      <w:r w:rsidRPr="00C2084D">
        <w:rPr>
          <w:rFonts w:ascii="Arial" w:eastAsiaTheme="minorHAnsi" w:hAnsi="Arial" w:cs="Arial"/>
        </w:rPr>
        <w:t>Mwangi</w:t>
      </w:r>
      <w:proofErr w:type="spellEnd"/>
      <w:r w:rsidRPr="00C2084D">
        <w:rPr>
          <w:rFonts w:ascii="Arial" w:eastAsiaTheme="minorHAnsi" w:hAnsi="Arial" w:cs="Arial"/>
        </w:rPr>
        <w:t xml:space="preserve"> was arrested and charged with organising a revolution against the government of Kenya, in relation to his organisation of anti-corruption protests on 30 April 2019. Another anti-corruption protester, Beatrice </w:t>
      </w:r>
      <w:proofErr w:type="spellStart"/>
      <w:r w:rsidRPr="00C2084D">
        <w:rPr>
          <w:rFonts w:ascii="Arial" w:eastAsiaTheme="minorHAnsi" w:hAnsi="Arial" w:cs="Arial"/>
        </w:rPr>
        <w:t>Waithera</w:t>
      </w:r>
      <w:proofErr w:type="spellEnd"/>
      <w:r w:rsidRPr="00C2084D">
        <w:rPr>
          <w:rFonts w:ascii="Arial" w:eastAsiaTheme="minorHAnsi" w:hAnsi="Arial" w:cs="Arial"/>
        </w:rPr>
        <w:t xml:space="preserve">, was also arrested on charges of </w:t>
      </w:r>
      <w:r w:rsidR="004A2228" w:rsidRPr="00C2084D">
        <w:rPr>
          <w:rFonts w:ascii="Arial" w:eastAsiaTheme="minorHAnsi" w:hAnsi="Arial" w:cs="Arial"/>
        </w:rPr>
        <w:t>participating</w:t>
      </w:r>
      <w:r w:rsidRPr="00C2084D">
        <w:rPr>
          <w:rFonts w:ascii="Arial" w:eastAsiaTheme="minorHAnsi" w:hAnsi="Arial" w:cs="Arial"/>
        </w:rPr>
        <w:t xml:space="preserve"> in an illegal assembly</w:t>
      </w:r>
      <w:r w:rsidR="004A2228" w:rsidRPr="00C2084D">
        <w:rPr>
          <w:rFonts w:ascii="Arial" w:eastAsiaTheme="minorHAnsi" w:hAnsi="Arial" w:cs="Arial"/>
        </w:rPr>
        <w:t>,</w:t>
      </w:r>
      <w:r w:rsidRPr="00C2084D">
        <w:rPr>
          <w:rFonts w:ascii="Arial" w:eastAsiaTheme="minorHAnsi" w:hAnsi="Arial" w:cs="Arial"/>
        </w:rPr>
        <w:t xml:space="preserve"> under </w:t>
      </w:r>
      <w:r w:rsidR="004A2228" w:rsidRPr="00C2084D">
        <w:rPr>
          <w:rFonts w:ascii="Arial" w:eastAsiaTheme="minorHAnsi" w:hAnsi="Arial" w:cs="Arial"/>
        </w:rPr>
        <w:t>S</w:t>
      </w:r>
      <w:r w:rsidRPr="00C2084D">
        <w:rPr>
          <w:rFonts w:ascii="Arial" w:eastAsiaTheme="minorHAnsi" w:hAnsi="Arial" w:cs="Arial"/>
        </w:rPr>
        <w:t>ection 78 of the Penal Code’.</w:t>
      </w:r>
      <w:r w:rsidRPr="00C2084D">
        <w:rPr>
          <w:rStyle w:val="FootnoteAnchor"/>
          <w:rFonts w:ascii="Arial" w:eastAsiaTheme="minorHAnsi" w:hAnsi="Arial" w:cs="Arial"/>
        </w:rPr>
        <w:footnoteReference w:id="52"/>
      </w:r>
      <w:r w:rsidRPr="00C2084D">
        <w:rPr>
          <w:rFonts w:ascii="Arial" w:eastAsiaTheme="minorHAnsi" w:hAnsi="Arial" w:cs="Arial"/>
        </w:rPr>
        <w:t xml:space="preserve">  After public outcry and the payment of bail by human rights organisations, both were released, although the cases against them remain open. </w:t>
      </w:r>
    </w:p>
    <w:p w14:paraId="0D9A3D0C" w14:textId="77777777" w:rsidR="00211FBA" w:rsidRPr="00C2084D" w:rsidRDefault="00211FBA" w:rsidP="00C2084D">
      <w:pPr>
        <w:pStyle w:val="ListParagraph"/>
        <w:jc w:val="both"/>
        <w:rPr>
          <w:rFonts w:ascii="Arial" w:eastAsiaTheme="minorHAnsi" w:hAnsi="Arial" w:cs="Arial"/>
        </w:rPr>
      </w:pPr>
    </w:p>
    <w:p w14:paraId="49080B85" w14:textId="12DF887E" w:rsidR="004A2228" w:rsidRPr="00C2084D" w:rsidRDefault="004A2228" w:rsidP="00515FC3">
      <w:pPr>
        <w:pStyle w:val="ListParagraph"/>
        <w:numPr>
          <w:ilvl w:val="0"/>
          <w:numId w:val="43"/>
        </w:numPr>
        <w:spacing w:after="0"/>
        <w:ind w:right="57"/>
        <w:jc w:val="both"/>
        <w:rPr>
          <w:rFonts w:ascii="Arial" w:hAnsi="Arial" w:cs="Arial"/>
        </w:rPr>
      </w:pPr>
      <w:r w:rsidRPr="00C2084D">
        <w:rPr>
          <w:rFonts w:ascii="Arial" w:eastAsiaTheme="minorHAnsi" w:hAnsi="Arial" w:cs="Arial"/>
        </w:rPr>
        <w:t>In March 2019, the government published a draft Public Order Act Amendment Bill 2019, which has since been through its first reading.</w:t>
      </w:r>
      <w:r w:rsidRPr="00C2084D">
        <w:rPr>
          <w:rStyle w:val="FootnoteAnchor"/>
          <w:rFonts w:ascii="Arial" w:eastAsiaTheme="minorHAnsi" w:hAnsi="Arial" w:cs="Arial"/>
        </w:rPr>
        <w:footnoteReference w:id="53"/>
      </w:r>
      <w:r w:rsidRPr="00C2084D">
        <w:rPr>
          <w:rFonts w:ascii="Arial" w:eastAsiaTheme="minorHAnsi" w:hAnsi="Arial" w:cs="Arial"/>
        </w:rPr>
        <w:t xml:space="preserve"> The Bill raises concerns for the right to freedom of peaceful assembly. In particular,</w:t>
      </w:r>
      <w:r w:rsidR="00090035">
        <w:rPr>
          <w:rFonts w:ascii="Arial" w:eastAsiaTheme="minorHAnsi" w:hAnsi="Arial" w:cs="Arial"/>
        </w:rPr>
        <w:t xml:space="preserve"> as currently drafted</w:t>
      </w:r>
      <w:r w:rsidRPr="00C2084D">
        <w:rPr>
          <w:rFonts w:ascii="Arial" w:eastAsiaTheme="minorHAnsi" w:hAnsi="Arial" w:cs="Arial"/>
        </w:rPr>
        <w:t xml:space="preserve"> subsections 11(a) and 11 (b) seek to impose criminal and civil liability on anyone who, while participating in an assembly, </w:t>
      </w:r>
      <w:r w:rsidRPr="00C2084D">
        <w:rPr>
          <w:rFonts w:ascii="Arial" w:eastAsiaTheme="minorHAnsi" w:hAnsi="Arial" w:cs="Arial"/>
          <w:iCs/>
        </w:rPr>
        <w:t>causes grievous harm, damage to property or loss of earnings, punishable</w:t>
      </w:r>
      <w:r w:rsidR="002878DE" w:rsidRPr="00C2084D">
        <w:rPr>
          <w:rFonts w:ascii="Arial" w:eastAsiaTheme="minorHAnsi" w:hAnsi="Arial" w:cs="Arial"/>
          <w:iCs/>
        </w:rPr>
        <w:t xml:space="preserve"> by</w:t>
      </w:r>
      <w:r w:rsidR="00E65077" w:rsidRPr="00C2084D">
        <w:rPr>
          <w:rFonts w:ascii="Arial" w:eastAsiaTheme="minorHAnsi" w:hAnsi="Arial" w:cs="Arial"/>
          <w:iCs/>
        </w:rPr>
        <w:t xml:space="preserve"> imprisonment of up to six</w:t>
      </w:r>
      <w:r w:rsidRPr="00C2084D">
        <w:rPr>
          <w:rFonts w:ascii="Arial" w:eastAsiaTheme="minorHAnsi" w:hAnsi="Arial" w:cs="Arial"/>
          <w:iCs/>
        </w:rPr>
        <w:t xml:space="preserve"> years and/or a fine of KS 100,000. We consider </w:t>
      </w:r>
      <w:r w:rsidR="00090035">
        <w:rPr>
          <w:rFonts w:ascii="Arial" w:eastAsiaTheme="minorHAnsi" w:hAnsi="Arial" w:cs="Arial"/>
          <w:iCs/>
        </w:rPr>
        <w:t xml:space="preserve">that </w:t>
      </w:r>
      <w:r w:rsidRPr="00C2084D">
        <w:rPr>
          <w:rFonts w:ascii="Arial" w:eastAsiaTheme="minorHAnsi" w:hAnsi="Arial" w:cs="Arial"/>
          <w:iCs/>
        </w:rPr>
        <w:t>if adopted</w:t>
      </w:r>
      <w:r w:rsidR="00090035">
        <w:rPr>
          <w:rFonts w:ascii="Arial" w:eastAsiaTheme="minorHAnsi" w:hAnsi="Arial" w:cs="Arial"/>
          <w:iCs/>
        </w:rPr>
        <w:t>, the law is likely to</w:t>
      </w:r>
      <w:r w:rsidRPr="00C2084D">
        <w:rPr>
          <w:rFonts w:ascii="Arial" w:eastAsiaTheme="minorHAnsi" w:hAnsi="Arial" w:cs="Arial"/>
          <w:iCs/>
        </w:rPr>
        <w:t xml:space="preserve"> have a chilling effect on the exercise of the right to peaceful assembly.</w:t>
      </w:r>
    </w:p>
    <w:p w14:paraId="21A79792" w14:textId="77777777" w:rsidR="004A2228" w:rsidRPr="003122F7" w:rsidRDefault="004A2228" w:rsidP="00C2084D">
      <w:pPr>
        <w:spacing w:after="0"/>
        <w:ind w:left="57" w:right="57"/>
        <w:contextualSpacing/>
        <w:jc w:val="both"/>
        <w:rPr>
          <w:rFonts w:ascii="Arial" w:eastAsiaTheme="minorHAnsi" w:hAnsi="Arial" w:cs="Arial"/>
          <w:b/>
          <w:u w:val="single"/>
        </w:rPr>
      </w:pPr>
    </w:p>
    <w:p w14:paraId="06309FDC" w14:textId="07EC6A61" w:rsidR="000552CD" w:rsidRPr="003122F7" w:rsidRDefault="001B5E0C" w:rsidP="00C2084D">
      <w:pPr>
        <w:spacing w:after="0"/>
        <w:ind w:left="57" w:right="57"/>
        <w:contextualSpacing/>
        <w:jc w:val="both"/>
        <w:rPr>
          <w:rFonts w:ascii="Arial" w:eastAsiaTheme="minorHAnsi" w:hAnsi="Arial" w:cs="Arial"/>
          <w:b/>
        </w:rPr>
      </w:pPr>
      <w:r w:rsidRPr="003122F7">
        <w:rPr>
          <w:rFonts w:ascii="Arial" w:eastAsiaTheme="minorHAnsi" w:hAnsi="Arial" w:cs="Arial"/>
          <w:b/>
        </w:rPr>
        <w:t>Use of Force</w:t>
      </w:r>
    </w:p>
    <w:p w14:paraId="13B9D0B3" w14:textId="77777777" w:rsidR="00D25446" w:rsidRPr="00C2084D" w:rsidRDefault="00D25446" w:rsidP="00C2084D">
      <w:pPr>
        <w:spacing w:after="0"/>
        <w:ind w:left="57" w:right="57"/>
        <w:contextualSpacing/>
        <w:jc w:val="both"/>
        <w:rPr>
          <w:rFonts w:ascii="Arial" w:eastAsiaTheme="minorHAnsi" w:hAnsi="Arial" w:cs="Arial"/>
          <w:i/>
          <w:u w:val="single"/>
        </w:rPr>
      </w:pPr>
    </w:p>
    <w:p w14:paraId="259BABC2" w14:textId="760D5820" w:rsidR="004A0A6D" w:rsidRPr="003122F7" w:rsidRDefault="004A0A6D" w:rsidP="00515FC3">
      <w:pPr>
        <w:pStyle w:val="ListParagraph"/>
        <w:numPr>
          <w:ilvl w:val="0"/>
          <w:numId w:val="43"/>
        </w:numPr>
        <w:spacing w:after="0"/>
        <w:ind w:right="57"/>
        <w:jc w:val="both"/>
        <w:rPr>
          <w:rFonts w:ascii="Arial" w:eastAsiaTheme="minorHAnsi" w:hAnsi="Arial" w:cs="Arial"/>
          <w:iCs/>
        </w:rPr>
      </w:pPr>
      <w:r w:rsidRPr="003122F7">
        <w:rPr>
          <w:rFonts w:ascii="Arial" w:eastAsiaTheme="minorHAnsi" w:hAnsi="Arial" w:cs="Arial"/>
          <w:iCs/>
        </w:rPr>
        <w:t>In 2012, the Human Rights Committee recommended Kenya to ‘initiate training programmes for State security officers and law enforcement officials which emphasize alternatives to the use of force, including the peaceful settlement of disputes, the understanding of crowd behaviour, and the method of persuasion, negotiation and mediation with a view to limiting the use of force’.</w:t>
      </w:r>
      <w:r w:rsidRPr="003122F7">
        <w:rPr>
          <w:rStyle w:val="FootnoteReference"/>
          <w:rFonts w:ascii="Arial" w:eastAsiaTheme="minorHAnsi" w:hAnsi="Arial" w:cs="Arial"/>
          <w:iCs/>
        </w:rPr>
        <w:footnoteReference w:id="54"/>
      </w:r>
      <w:r w:rsidRPr="003122F7">
        <w:rPr>
          <w:rFonts w:ascii="Arial" w:eastAsiaTheme="minorHAnsi" w:hAnsi="Arial" w:cs="Arial"/>
          <w:iCs/>
        </w:rPr>
        <w:t xml:space="preserve"> Despite this recommendation, </w:t>
      </w:r>
      <w:r w:rsidR="008E6399" w:rsidRPr="003122F7">
        <w:rPr>
          <w:rFonts w:ascii="Arial" w:eastAsiaTheme="minorHAnsi" w:hAnsi="Arial" w:cs="Arial"/>
          <w:iCs/>
        </w:rPr>
        <w:t xml:space="preserve">law enforcement continue to exercise the disproportionate and unlawful use of force in the context of managing peaceful assemblies. </w:t>
      </w:r>
    </w:p>
    <w:p w14:paraId="16B0D402" w14:textId="77777777" w:rsidR="004A0A6D" w:rsidRDefault="004A0A6D" w:rsidP="004A0A6D">
      <w:pPr>
        <w:pStyle w:val="ListParagraph"/>
        <w:spacing w:after="0"/>
        <w:ind w:left="417" w:right="57"/>
        <w:jc w:val="both"/>
        <w:rPr>
          <w:rFonts w:ascii="Arial" w:eastAsiaTheme="minorHAnsi" w:hAnsi="Arial" w:cs="Arial"/>
          <w:iCs/>
        </w:rPr>
      </w:pPr>
    </w:p>
    <w:p w14:paraId="12716110" w14:textId="1AE02FEF" w:rsidR="000552CD" w:rsidRPr="00C2084D" w:rsidRDefault="001B5E0C" w:rsidP="00515FC3">
      <w:pPr>
        <w:pStyle w:val="ListParagraph"/>
        <w:numPr>
          <w:ilvl w:val="0"/>
          <w:numId w:val="43"/>
        </w:numPr>
        <w:spacing w:after="0"/>
        <w:ind w:right="57"/>
        <w:jc w:val="both"/>
        <w:rPr>
          <w:rFonts w:ascii="Arial" w:eastAsiaTheme="minorHAnsi" w:hAnsi="Arial" w:cs="Arial"/>
          <w:iCs/>
        </w:rPr>
      </w:pPr>
      <w:r w:rsidRPr="00C2084D">
        <w:rPr>
          <w:rFonts w:ascii="Arial" w:eastAsiaTheme="minorHAnsi" w:hAnsi="Arial" w:cs="Arial"/>
          <w:iCs/>
        </w:rPr>
        <w:t xml:space="preserve">Schedule 6 of the National Police Service Act 2011 sets out guidance on police use of force. This guidance does not comply with international human rights law, allowing for the use of lethal weapons in a range of circumstances where there is no immediate risk to life. The police often justify the excessive use of force in the context of peaceful protests by reference to this legal authority. </w:t>
      </w:r>
    </w:p>
    <w:p w14:paraId="22A567C0" w14:textId="77777777" w:rsidR="000552CD" w:rsidRPr="00C2084D" w:rsidRDefault="000552CD" w:rsidP="00C2084D">
      <w:pPr>
        <w:spacing w:after="0"/>
        <w:ind w:left="57" w:right="57"/>
        <w:contextualSpacing/>
        <w:jc w:val="both"/>
        <w:rPr>
          <w:rFonts w:ascii="Arial" w:eastAsiaTheme="minorHAnsi" w:hAnsi="Arial" w:cs="Arial"/>
        </w:rPr>
      </w:pPr>
    </w:p>
    <w:p w14:paraId="23FEAAC8" w14:textId="46BC1518" w:rsidR="00211FBA" w:rsidRPr="003122F7" w:rsidRDefault="001B5E0C" w:rsidP="003122F7">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The Kenya National Commission on Human Rights</w:t>
      </w:r>
      <w:r w:rsidRPr="00C2084D">
        <w:rPr>
          <w:rFonts w:ascii="Arial" w:hAnsi="Arial" w:cs="Arial"/>
          <w:color w:val="666666"/>
          <w:spacing w:val="5"/>
          <w:shd w:val="clear" w:color="auto" w:fill="FFFFFF"/>
        </w:rPr>
        <w:t xml:space="preserve"> </w:t>
      </w:r>
      <w:r w:rsidRPr="00C2084D">
        <w:rPr>
          <w:rFonts w:ascii="Arial" w:eastAsiaTheme="minorHAnsi" w:hAnsi="Arial" w:cs="Arial"/>
        </w:rPr>
        <w:t>recorded 37 deaths in the aftermath of the contested 2017 general elections, between 9- 15 August 2017</w:t>
      </w:r>
      <w:r w:rsidR="008E6399">
        <w:rPr>
          <w:rFonts w:ascii="Arial" w:eastAsiaTheme="minorHAnsi" w:hAnsi="Arial" w:cs="Arial"/>
        </w:rPr>
        <w:t>, as the police deployed excessive force against peaceful assemblies</w:t>
      </w:r>
      <w:r w:rsidRPr="00C2084D">
        <w:rPr>
          <w:rFonts w:ascii="Arial" w:eastAsiaTheme="minorHAnsi" w:hAnsi="Arial" w:cs="Arial"/>
        </w:rPr>
        <w:t>. Seven of the documented victims were minors, including a 6</w:t>
      </w:r>
      <w:r w:rsidR="004A2228" w:rsidRPr="00C2084D">
        <w:rPr>
          <w:rFonts w:ascii="Arial" w:eastAsiaTheme="minorHAnsi" w:hAnsi="Arial" w:cs="Arial"/>
        </w:rPr>
        <w:t>-</w:t>
      </w:r>
      <w:r w:rsidRPr="00C2084D">
        <w:rPr>
          <w:rFonts w:ascii="Arial" w:eastAsiaTheme="minorHAnsi" w:hAnsi="Arial" w:cs="Arial"/>
        </w:rPr>
        <w:t>month old baby</w:t>
      </w:r>
      <w:r w:rsidR="00E65077" w:rsidRPr="00C2084D">
        <w:rPr>
          <w:rFonts w:ascii="Arial" w:eastAsiaTheme="minorHAnsi" w:hAnsi="Arial" w:cs="Arial"/>
        </w:rPr>
        <w:t xml:space="preserve">, Samantha </w:t>
      </w:r>
      <w:proofErr w:type="spellStart"/>
      <w:r w:rsidR="00E65077" w:rsidRPr="00C2084D">
        <w:rPr>
          <w:rFonts w:ascii="Arial" w:eastAsiaTheme="minorHAnsi" w:hAnsi="Arial" w:cs="Arial"/>
        </w:rPr>
        <w:t>Pendo</w:t>
      </w:r>
      <w:proofErr w:type="spellEnd"/>
      <w:r w:rsidR="00E65077" w:rsidRPr="00C2084D">
        <w:rPr>
          <w:rFonts w:ascii="Arial" w:eastAsiaTheme="minorHAnsi" w:hAnsi="Arial" w:cs="Arial"/>
        </w:rPr>
        <w:t>,</w:t>
      </w:r>
      <w:r w:rsidRPr="00C2084D">
        <w:rPr>
          <w:rFonts w:ascii="Arial" w:eastAsiaTheme="minorHAnsi" w:hAnsi="Arial" w:cs="Arial"/>
        </w:rPr>
        <w:t xml:space="preserve"> who died after being caught in an operation by anti-rio</w:t>
      </w:r>
      <w:r w:rsidR="00E65077" w:rsidRPr="00C2084D">
        <w:rPr>
          <w:rFonts w:ascii="Arial" w:eastAsiaTheme="minorHAnsi" w:hAnsi="Arial" w:cs="Arial"/>
        </w:rPr>
        <w:t xml:space="preserve">t </w:t>
      </w:r>
      <w:r w:rsidR="00E65077" w:rsidRPr="00C2084D">
        <w:rPr>
          <w:rFonts w:ascii="Arial" w:eastAsiaTheme="minorHAnsi" w:hAnsi="Arial" w:cs="Arial"/>
        </w:rPr>
        <w:lastRenderedPageBreak/>
        <w:t>police at protests in Kisumu.</w:t>
      </w:r>
      <w:r w:rsidRPr="00C2084D">
        <w:rPr>
          <w:rStyle w:val="FootnoteAnchor"/>
          <w:rFonts w:ascii="Arial" w:eastAsiaTheme="minorHAnsi" w:hAnsi="Arial" w:cs="Arial"/>
        </w:rPr>
        <w:footnoteReference w:id="55"/>
      </w:r>
      <w:r w:rsidRPr="00C2084D">
        <w:rPr>
          <w:rFonts w:ascii="Arial" w:eastAsiaTheme="minorHAnsi" w:hAnsi="Arial" w:cs="Arial"/>
        </w:rPr>
        <w:t xml:space="preserve"> An inquest into </w:t>
      </w:r>
      <w:proofErr w:type="spellStart"/>
      <w:r w:rsidRPr="00C2084D">
        <w:rPr>
          <w:rFonts w:ascii="Arial" w:eastAsiaTheme="minorHAnsi" w:hAnsi="Arial" w:cs="Arial"/>
        </w:rPr>
        <w:t>Pendo’s</w:t>
      </w:r>
      <w:proofErr w:type="spellEnd"/>
      <w:r w:rsidRPr="00C2084D">
        <w:rPr>
          <w:rFonts w:ascii="Arial" w:eastAsiaTheme="minorHAnsi" w:hAnsi="Arial" w:cs="Arial"/>
        </w:rPr>
        <w:t xml:space="preserve"> death</w:t>
      </w:r>
      <w:r w:rsidR="004A2228" w:rsidRPr="00C2084D">
        <w:rPr>
          <w:rFonts w:ascii="Arial" w:eastAsiaTheme="minorHAnsi" w:hAnsi="Arial" w:cs="Arial"/>
        </w:rPr>
        <w:t xml:space="preserve"> was carried out,</w:t>
      </w:r>
      <w:r w:rsidRPr="00C2084D">
        <w:rPr>
          <w:rFonts w:ascii="Arial" w:hAnsi="Arial" w:cs="Arial"/>
        </w:rPr>
        <w:t xml:space="preserve"> </w:t>
      </w:r>
      <w:r w:rsidR="004A2228" w:rsidRPr="00C2084D">
        <w:rPr>
          <w:rFonts w:ascii="Arial" w:hAnsi="Arial" w:cs="Arial"/>
        </w:rPr>
        <w:t>with</w:t>
      </w:r>
      <w:r w:rsidRPr="00C2084D">
        <w:rPr>
          <w:rFonts w:ascii="Arial" w:eastAsiaTheme="minorHAnsi" w:hAnsi="Arial" w:cs="Arial"/>
        </w:rPr>
        <w:t xml:space="preserve"> the Chief Magistrate Court in Kisumu f</w:t>
      </w:r>
      <w:r w:rsidR="004A2228" w:rsidRPr="00C2084D">
        <w:rPr>
          <w:rFonts w:ascii="Arial" w:eastAsiaTheme="minorHAnsi" w:hAnsi="Arial" w:cs="Arial"/>
        </w:rPr>
        <w:t>inding</w:t>
      </w:r>
      <w:r w:rsidRPr="00C2084D">
        <w:rPr>
          <w:rFonts w:ascii="Arial" w:eastAsiaTheme="minorHAnsi" w:hAnsi="Arial" w:cs="Arial"/>
        </w:rPr>
        <w:t xml:space="preserve"> the police responsible for her death.</w:t>
      </w:r>
      <w:r w:rsidRPr="00C2084D">
        <w:rPr>
          <w:rStyle w:val="FootnoteAnchor"/>
          <w:rFonts w:ascii="Arial" w:eastAsiaTheme="minorHAnsi" w:hAnsi="Arial" w:cs="Arial"/>
        </w:rPr>
        <w:footnoteReference w:id="56"/>
      </w:r>
      <w:r w:rsidRPr="00C2084D">
        <w:rPr>
          <w:rFonts w:ascii="Arial" w:eastAsiaTheme="minorHAnsi" w:hAnsi="Arial" w:cs="Arial"/>
        </w:rPr>
        <w:t xml:space="preserve"> </w:t>
      </w:r>
      <w:r w:rsidR="00D25446" w:rsidRPr="00C2084D">
        <w:rPr>
          <w:rFonts w:ascii="Arial" w:eastAsiaTheme="minorHAnsi" w:hAnsi="Arial" w:cs="Arial"/>
        </w:rPr>
        <w:t>The case is ongoing at the High Court</w:t>
      </w:r>
      <w:r w:rsidR="008E6399">
        <w:rPr>
          <w:rFonts w:ascii="Arial" w:eastAsiaTheme="minorHAnsi" w:hAnsi="Arial" w:cs="Arial"/>
        </w:rPr>
        <w:t xml:space="preserve">, however the </w:t>
      </w:r>
      <w:r w:rsidR="004A2228" w:rsidRPr="00C2084D">
        <w:rPr>
          <w:rFonts w:ascii="Arial" w:eastAsiaTheme="minorHAnsi" w:hAnsi="Arial" w:cs="Arial"/>
        </w:rPr>
        <w:t>other cases remain in impunity.</w:t>
      </w:r>
    </w:p>
    <w:p w14:paraId="5B1B9FDB" w14:textId="77777777" w:rsidR="000552CD" w:rsidRPr="00C2084D" w:rsidRDefault="000552CD" w:rsidP="00C2084D">
      <w:pPr>
        <w:spacing w:after="0"/>
        <w:ind w:left="57" w:right="57"/>
        <w:jc w:val="both"/>
        <w:rPr>
          <w:rFonts w:ascii="Arial" w:hAnsi="Arial" w:cs="Arial"/>
        </w:rPr>
      </w:pPr>
    </w:p>
    <w:p w14:paraId="5FA03C8C" w14:textId="148A0881" w:rsidR="003122F7" w:rsidRPr="003122F7" w:rsidRDefault="003122F7" w:rsidP="003122F7">
      <w:pPr>
        <w:spacing w:after="0"/>
        <w:ind w:right="57"/>
        <w:jc w:val="both"/>
        <w:rPr>
          <w:rFonts w:ascii="Arial" w:hAnsi="Arial" w:cs="Arial"/>
          <w:b/>
          <w:u w:val="single"/>
        </w:rPr>
      </w:pPr>
      <w:r>
        <w:rPr>
          <w:rFonts w:ascii="Arial" w:hAnsi="Arial" w:cs="Arial"/>
          <w:b/>
          <w:u w:val="single"/>
        </w:rPr>
        <w:t xml:space="preserve">Article 22: </w:t>
      </w:r>
      <w:r w:rsidRPr="003122F7">
        <w:rPr>
          <w:rFonts w:ascii="Arial" w:hAnsi="Arial" w:cs="Arial"/>
          <w:b/>
          <w:u w:val="single"/>
        </w:rPr>
        <w:t xml:space="preserve">Right to Freedom of </w:t>
      </w:r>
      <w:r>
        <w:rPr>
          <w:rFonts w:ascii="Arial" w:hAnsi="Arial" w:cs="Arial"/>
          <w:b/>
          <w:u w:val="single"/>
        </w:rPr>
        <w:t>Association</w:t>
      </w:r>
    </w:p>
    <w:p w14:paraId="3D217439" w14:textId="77777777" w:rsidR="00211FBA" w:rsidRPr="00C2084D" w:rsidRDefault="00211FBA" w:rsidP="00C2084D">
      <w:pPr>
        <w:pStyle w:val="FootnoteText"/>
        <w:spacing w:after="0"/>
        <w:ind w:left="57" w:right="57"/>
        <w:jc w:val="both"/>
        <w:rPr>
          <w:rFonts w:ascii="Arial" w:eastAsiaTheme="minorHAnsi" w:hAnsi="Arial" w:cs="Arial"/>
          <w:b/>
          <w:sz w:val="22"/>
          <w:szCs w:val="22"/>
        </w:rPr>
      </w:pPr>
    </w:p>
    <w:p w14:paraId="72806CF7" w14:textId="6A993510" w:rsidR="000552CD" w:rsidRPr="00C2084D" w:rsidRDefault="00D25446" w:rsidP="00515FC3">
      <w:pPr>
        <w:pStyle w:val="FootnoteText"/>
        <w:numPr>
          <w:ilvl w:val="0"/>
          <w:numId w:val="43"/>
        </w:numPr>
        <w:spacing w:after="0"/>
        <w:ind w:right="57"/>
        <w:jc w:val="both"/>
        <w:rPr>
          <w:rFonts w:ascii="Arial" w:eastAsiaTheme="minorHAnsi" w:hAnsi="Arial" w:cs="Arial"/>
          <w:sz w:val="22"/>
          <w:szCs w:val="22"/>
        </w:rPr>
      </w:pPr>
      <w:r w:rsidRPr="00C2084D">
        <w:rPr>
          <w:rFonts w:ascii="Arial" w:hAnsi="Arial" w:cs="Arial"/>
          <w:sz w:val="22"/>
          <w:szCs w:val="22"/>
        </w:rPr>
        <w:t xml:space="preserve">The Kenyan government has yet to </w:t>
      </w:r>
      <w:r w:rsidR="008E6399">
        <w:rPr>
          <w:rFonts w:ascii="Arial" w:hAnsi="Arial" w:cs="Arial"/>
          <w:sz w:val="22"/>
          <w:szCs w:val="22"/>
        </w:rPr>
        <w:t xml:space="preserve">effectively </w:t>
      </w:r>
      <w:r w:rsidRPr="00C2084D">
        <w:rPr>
          <w:rFonts w:ascii="Arial" w:eastAsiaTheme="minorHAnsi" w:hAnsi="Arial" w:cs="Arial"/>
          <w:sz w:val="22"/>
          <w:szCs w:val="22"/>
        </w:rPr>
        <w:t xml:space="preserve">guarantee the right to freedom of association </w:t>
      </w:r>
      <w:r w:rsidR="008E6399">
        <w:rPr>
          <w:rFonts w:ascii="Arial" w:eastAsiaTheme="minorHAnsi" w:hAnsi="Arial" w:cs="Arial"/>
          <w:sz w:val="22"/>
          <w:szCs w:val="22"/>
        </w:rPr>
        <w:t>or</w:t>
      </w:r>
      <w:r w:rsidRPr="00C2084D">
        <w:rPr>
          <w:rFonts w:ascii="Arial" w:eastAsiaTheme="minorHAnsi" w:hAnsi="Arial" w:cs="Arial"/>
          <w:sz w:val="22"/>
          <w:szCs w:val="22"/>
        </w:rPr>
        <w:t xml:space="preserve"> create and maintain a safe and enabling environment for civil society</w:t>
      </w:r>
      <w:r w:rsidR="00211FBA" w:rsidRPr="00C2084D">
        <w:rPr>
          <w:rFonts w:ascii="Arial" w:eastAsiaTheme="minorHAnsi" w:hAnsi="Arial" w:cs="Arial"/>
          <w:sz w:val="22"/>
          <w:szCs w:val="22"/>
        </w:rPr>
        <w:t>.</w:t>
      </w:r>
    </w:p>
    <w:p w14:paraId="7C4B00FD" w14:textId="77777777" w:rsidR="00211FBA" w:rsidRPr="00C2084D" w:rsidRDefault="00211FBA" w:rsidP="00C2084D">
      <w:pPr>
        <w:pStyle w:val="FootnoteText"/>
        <w:spacing w:after="0"/>
        <w:ind w:left="57" w:right="57"/>
        <w:jc w:val="both"/>
        <w:rPr>
          <w:rFonts w:ascii="Arial" w:hAnsi="Arial" w:cs="Arial"/>
          <w:sz w:val="22"/>
          <w:szCs w:val="22"/>
        </w:rPr>
      </w:pPr>
    </w:p>
    <w:p w14:paraId="43E14780" w14:textId="23A683CD" w:rsidR="000552CD" w:rsidRPr="00C2084D" w:rsidRDefault="001B5E0C" w:rsidP="00515FC3">
      <w:pPr>
        <w:pStyle w:val="ListParagraph"/>
        <w:numPr>
          <w:ilvl w:val="0"/>
          <w:numId w:val="43"/>
        </w:numPr>
        <w:spacing w:after="0"/>
        <w:ind w:right="57"/>
        <w:jc w:val="both"/>
        <w:rPr>
          <w:rFonts w:ascii="Arial" w:eastAsiaTheme="minorHAnsi" w:hAnsi="Arial" w:cs="Arial"/>
        </w:rPr>
      </w:pPr>
      <w:r w:rsidRPr="00C2084D">
        <w:rPr>
          <w:rFonts w:ascii="Arial" w:eastAsiaTheme="minorHAnsi" w:hAnsi="Arial" w:cs="Arial"/>
        </w:rPr>
        <w:t>The government has yet to implement the Public Benefits Organisation Act 2013 (PBO Act).</w:t>
      </w:r>
      <w:r w:rsidRPr="00C2084D">
        <w:rPr>
          <w:rStyle w:val="FootnoteAnchor"/>
          <w:rFonts w:ascii="Arial" w:eastAsiaTheme="minorHAnsi" w:hAnsi="Arial" w:cs="Arial"/>
        </w:rPr>
        <w:footnoteReference w:id="57"/>
      </w:r>
      <w:r w:rsidRPr="00C2084D">
        <w:rPr>
          <w:rFonts w:ascii="Arial" w:eastAsiaTheme="minorHAnsi" w:hAnsi="Arial" w:cs="Arial"/>
        </w:rPr>
        <w:t xml:space="preserve">  The PBO Act, passed by Parliament in 2012 and assented to law in January 2013, was </w:t>
      </w:r>
      <w:r w:rsidR="004A2228" w:rsidRPr="00C2084D">
        <w:rPr>
          <w:rFonts w:ascii="Arial" w:eastAsiaTheme="minorHAnsi" w:hAnsi="Arial" w:cs="Arial"/>
        </w:rPr>
        <w:t xml:space="preserve">largely </w:t>
      </w:r>
      <w:r w:rsidRPr="00C2084D">
        <w:rPr>
          <w:rFonts w:ascii="Arial" w:eastAsiaTheme="minorHAnsi" w:hAnsi="Arial" w:cs="Arial"/>
        </w:rPr>
        <w:t xml:space="preserve">welcomed as it promised to create a more enabling environment for civil society. In sections 6 to 13, it provides unambiguous criteria for registration and licensing of public benefits organizations, improved accountability, and promotes self-regulation, as well as including tax incentives for organizations carrying out activities for public benefit. </w:t>
      </w:r>
    </w:p>
    <w:p w14:paraId="3480D86F" w14:textId="77777777" w:rsidR="000552CD" w:rsidRPr="00C2084D" w:rsidRDefault="000552CD" w:rsidP="00C2084D">
      <w:pPr>
        <w:pStyle w:val="ListParagraph"/>
        <w:spacing w:after="0"/>
        <w:ind w:left="57" w:right="57"/>
        <w:jc w:val="both"/>
        <w:rPr>
          <w:rFonts w:ascii="Arial" w:eastAsiaTheme="minorHAnsi" w:hAnsi="Arial" w:cs="Arial"/>
        </w:rPr>
      </w:pPr>
    </w:p>
    <w:p w14:paraId="4DFBF97C" w14:textId="63F18446" w:rsidR="000552CD" w:rsidRPr="00C2084D" w:rsidRDefault="004A2228" w:rsidP="00515FC3">
      <w:pPr>
        <w:pStyle w:val="ListParagraph"/>
        <w:numPr>
          <w:ilvl w:val="0"/>
          <w:numId w:val="43"/>
        </w:numPr>
        <w:spacing w:after="0"/>
        <w:ind w:right="57"/>
        <w:jc w:val="both"/>
        <w:rPr>
          <w:rFonts w:ascii="Arial" w:hAnsi="Arial" w:cs="Arial"/>
        </w:rPr>
      </w:pPr>
      <w:r w:rsidRPr="00C2084D">
        <w:rPr>
          <w:rFonts w:ascii="Arial" w:eastAsiaTheme="minorHAnsi" w:hAnsi="Arial" w:cs="Arial"/>
        </w:rPr>
        <w:t xml:space="preserve">Instead of implementing the PBO Act, and following the change in government in 2013, the authorities sought to </w:t>
      </w:r>
      <w:r w:rsidR="001B5E0C" w:rsidRPr="00C2084D">
        <w:rPr>
          <w:rFonts w:ascii="Arial" w:eastAsiaTheme="minorHAnsi" w:hAnsi="Arial" w:cs="Arial"/>
        </w:rPr>
        <w:t xml:space="preserve">introduce a Statute Law (Miscellaneous Amendments) Bill to amend the PBO Act. The proposed amendments </w:t>
      </w:r>
      <w:r w:rsidRPr="00C2084D">
        <w:rPr>
          <w:rFonts w:ascii="Arial" w:eastAsiaTheme="minorHAnsi" w:hAnsi="Arial" w:cs="Arial"/>
        </w:rPr>
        <w:t xml:space="preserve">contained in the Statute Law (Miscellaneous Amendments) Bill, would in effect undermine the protective approach of the PBO Act towards safeguarding freedom of association. The amendments would </w:t>
      </w:r>
      <w:r w:rsidR="001B5E0C" w:rsidRPr="00C2084D">
        <w:rPr>
          <w:rFonts w:ascii="Arial" w:eastAsiaTheme="minorHAnsi" w:hAnsi="Arial" w:cs="Arial"/>
        </w:rPr>
        <w:t>severely limit NGOs’ ability to operate, in particular by targeting their access to resources</w:t>
      </w:r>
      <w:r w:rsidRPr="00C2084D">
        <w:rPr>
          <w:rFonts w:ascii="Arial" w:eastAsiaTheme="minorHAnsi" w:hAnsi="Arial" w:cs="Arial"/>
        </w:rPr>
        <w:t>: they would</w:t>
      </w:r>
      <w:r w:rsidR="002878DE" w:rsidRPr="00C2084D">
        <w:rPr>
          <w:rFonts w:ascii="Arial" w:eastAsiaTheme="minorHAnsi" w:hAnsi="Arial" w:cs="Arial"/>
        </w:rPr>
        <w:t xml:space="preserve"> </w:t>
      </w:r>
      <w:r w:rsidR="001B5E0C" w:rsidRPr="00C2084D">
        <w:rPr>
          <w:rFonts w:ascii="Arial" w:eastAsiaTheme="minorHAnsi" w:hAnsi="Arial" w:cs="Arial"/>
        </w:rPr>
        <w:t xml:space="preserve">cap the funding Public Benefit Organisations could receive (i.e. foreign funding) at 15%, subjecting any funds above that cap to a higher tax bracket of 30%.  </w:t>
      </w:r>
      <w:r w:rsidRPr="00C2084D">
        <w:rPr>
          <w:rFonts w:ascii="Arial" w:eastAsiaTheme="minorHAnsi" w:hAnsi="Arial" w:cs="Arial"/>
        </w:rPr>
        <w:t>The a</w:t>
      </w:r>
      <w:r w:rsidR="002878DE" w:rsidRPr="00C2084D">
        <w:rPr>
          <w:rFonts w:ascii="Arial" w:eastAsiaTheme="minorHAnsi" w:hAnsi="Arial" w:cs="Arial"/>
        </w:rPr>
        <w:t>mendments were further aimed at</w:t>
      </w:r>
      <w:r w:rsidR="001B5E0C" w:rsidRPr="00C2084D">
        <w:rPr>
          <w:rFonts w:ascii="Arial" w:hAnsi="Arial" w:cs="Arial"/>
        </w:rPr>
        <w:t xml:space="preserve"> </w:t>
      </w:r>
      <w:r w:rsidRPr="00C2084D">
        <w:rPr>
          <w:rFonts w:ascii="Arial" w:hAnsi="Arial" w:cs="Arial"/>
        </w:rPr>
        <w:t xml:space="preserve">giving the </w:t>
      </w:r>
      <w:r w:rsidR="001B5E0C" w:rsidRPr="00C2084D">
        <w:rPr>
          <w:rFonts w:ascii="Arial" w:hAnsi="Arial" w:cs="Arial"/>
        </w:rPr>
        <w:t>government control over key appointments in public benefits organisations’ regulatory bodies; and</w:t>
      </w:r>
      <w:r w:rsidRPr="00C2084D">
        <w:rPr>
          <w:rFonts w:ascii="Arial" w:hAnsi="Arial" w:cs="Arial"/>
        </w:rPr>
        <w:t xml:space="preserve"> would</w:t>
      </w:r>
      <w:r w:rsidR="001B5E0C" w:rsidRPr="00C2084D">
        <w:rPr>
          <w:rFonts w:ascii="Arial" w:hAnsi="Arial" w:cs="Arial"/>
        </w:rPr>
        <w:t xml:space="preserve"> require </w:t>
      </w:r>
      <w:r w:rsidRPr="00C2084D">
        <w:rPr>
          <w:rFonts w:ascii="Arial" w:hAnsi="Arial" w:cs="Arial"/>
        </w:rPr>
        <w:t xml:space="preserve">the </w:t>
      </w:r>
      <w:r w:rsidR="001B5E0C" w:rsidRPr="00C2084D">
        <w:rPr>
          <w:rFonts w:ascii="Arial" w:hAnsi="Arial" w:cs="Arial"/>
        </w:rPr>
        <w:t>immediate de-registration of public benefit organisations for non-compliance with the PBO Act, without opportunity to show cause for non-compliance, and with the right to appeal only granted after de-registration.</w:t>
      </w:r>
      <w:r w:rsidR="001B5E0C" w:rsidRPr="00C2084D">
        <w:rPr>
          <w:rFonts w:ascii="Arial" w:eastAsiaTheme="minorHAnsi" w:hAnsi="Arial" w:cs="Arial"/>
        </w:rPr>
        <w:t xml:space="preserve"> </w:t>
      </w:r>
    </w:p>
    <w:p w14:paraId="7F95B5A0" w14:textId="77777777" w:rsidR="00996448" w:rsidRPr="00C2084D" w:rsidRDefault="00996448" w:rsidP="00C2084D">
      <w:pPr>
        <w:pStyle w:val="ListParagraph"/>
        <w:spacing w:after="0"/>
        <w:ind w:left="57" w:right="57"/>
        <w:jc w:val="both"/>
        <w:rPr>
          <w:rFonts w:ascii="Arial" w:hAnsi="Arial" w:cs="Arial"/>
        </w:rPr>
      </w:pPr>
    </w:p>
    <w:p w14:paraId="10BB742F" w14:textId="4BC5C5B9" w:rsidR="00C9277D" w:rsidRPr="00C2084D" w:rsidRDefault="00CC0A3F" w:rsidP="00515FC3">
      <w:pPr>
        <w:pStyle w:val="ListParagraph"/>
        <w:numPr>
          <w:ilvl w:val="0"/>
          <w:numId w:val="43"/>
        </w:numPr>
        <w:spacing w:after="0"/>
        <w:ind w:right="57"/>
        <w:jc w:val="both"/>
        <w:rPr>
          <w:rFonts w:ascii="Arial" w:hAnsi="Arial" w:cs="Arial"/>
        </w:rPr>
      </w:pPr>
      <w:r w:rsidRPr="00C2084D">
        <w:rPr>
          <w:rFonts w:ascii="Arial" w:eastAsiaTheme="minorHAnsi" w:hAnsi="Arial" w:cs="Arial"/>
        </w:rPr>
        <w:t xml:space="preserve">Two separate court challenges in 2016 and 2017 aimed at ensuring the implementation of the PBO Act without amendments, through the necessary commencement act, have </w:t>
      </w:r>
      <w:r w:rsidR="002878DE" w:rsidRPr="00C2084D">
        <w:rPr>
          <w:rFonts w:ascii="Arial" w:eastAsiaTheme="minorHAnsi" w:hAnsi="Arial" w:cs="Arial"/>
        </w:rPr>
        <w:t xml:space="preserve">succeeded in front of the High Court. </w:t>
      </w:r>
      <w:r w:rsidRPr="00C2084D">
        <w:rPr>
          <w:rFonts w:ascii="Arial" w:eastAsiaTheme="minorHAnsi" w:hAnsi="Arial" w:cs="Arial"/>
        </w:rPr>
        <w:t>The</w:t>
      </w:r>
      <w:r w:rsidR="001B5E0C" w:rsidRPr="00C2084D">
        <w:rPr>
          <w:rFonts w:ascii="Arial" w:eastAsiaTheme="minorHAnsi" w:hAnsi="Arial" w:cs="Arial"/>
        </w:rPr>
        <w:t xml:space="preserve"> government has continued to stall</w:t>
      </w:r>
      <w:r w:rsidRPr="00C2084D">
        <w:rPr>
          <w:rFonts w:ascii="Arial" w:eastAsiaTheme="minorHAnsi" w:hAnsi="Arial" w:cs="Arial"/>
        </w:rPr>
        <w:t>, however, and has failed to implement the decisions of the High Court, requiring the Commencement Act to be adopted without delay</w:t>
      </w:r>
      <w:r w:rsidR="001B5E0C" w:rsidRPr="00C2084D">
        <w:rPr>
          <w:rFonts w:ascii="Arial" w:eastAsiaTheme="minorHAnsi" w:hAnsi="Arial" w:cs="Arial"/>
        </w:rPr>
        <w:t>.</w:t>
      </w:r>
      <w:r w:rsidR="001B5E0C" w:rsidRPr="00C2084D">
        <w:rPr>
          <w:rStyle w:val="FootnoteAnchor"/>
          <w:rFonts w:ascii="Arial" w:eastAsiaTheme="minorHAnsi" w:hAnsi="Arial" w:cs="Arial"/>
        </w:rPr>
        <w:footnoteReference w:id="58"/>
      </w:r>
      <w:r w:rsidR="001B5E0C" w:rsidRPr="00C2084D">
        <w:rPr>
          <w:rFonts w:ascii="Arial" w:eastAsiaTheme="minorHAnsi" w:hAnsi="Arial" w:cs="Arial"/>
        </w:rPr>
        <w:t xml:space="preserve"> </w:t>
      </w:r>
      <w:bookmarkStart w:id="5" w:name="move24029773"/>
      <w:bookmarkEnd w:id="5"/>
      <w:r w:rsidR="00AA05B8" w:rsidRPr="00C2084D">
        <w:rPr>
          <w:rFonts w:ascii="Arial" w:eastAsiaTheme="minorHAnsi" w:hAnsi="Arial" w:cs="Arial"/>
        </w:rPr>
        <w:t xml:space="preserve"> </w:t>
      </w:r>
      <w:r w:rsidR="001B5E0C" w:rsidRPr="00C2084D">
        <w:rPr>
          <w:rFonts w:ascii="Arial" w:eastAsiaTheme="minorHAnsi" w:hAnsi="Arial" w:cs="Arial"/>
        </w:rPr>
        <w:t>In this context, we remain sceptical that the government intends to implement  the PBO Act, despite recent promises to do so, most recently at the launch of Kenya’s 3</w:t>
      </w:r>
      <w:r w:rsidR="001B5E0C" w:rsidRPr="00C2084D">
        <w:rPr>
          <w:rFonts w:ascii="Arial" w:eastAsiaTheme="minorHAnsi" w:hAnsi="Arial" w:cs="Arial"/>
          <w:vertAlign w:val="superscript"/>
        </w:rPr>
        <w:t>rd</w:t>
      </w:r>
      <w:r w:rsidR="001B5E0C" w:rsidRPr="00C2084D">
        <w:rPr>
          <w:rFonts w:ascii="Arial" w:eastAsiaTheme="minorHAnsi" w:hAnsi="Arial" w:cs="Arial"/>
        </w:rPr>
        <w:t xml:space="preserve"> National Action Plan (NAP) under the Open Government Partnership (OGP).</w:t>
      </w:r>
      <w:bookmarkStart w:id="6" w:name="move240297731"/>
      <w:bookmarkEnd w:id="6"/>
      <w:r w:rsidR="001B5E0C" w:rsidRPr="00C2084D">
        <w:rPr>
          <w:rStyle w:val="FootnoteAnchor"/>
          <w:rFonts w:ascii="Arial" w:eastAsiaTheme="minorHAnsi" w:hAnsi="Arial" w:cs="Arial"/>
        </w:rPr>
        <w:footnoteReference w:id="59"/>
      </w:r>
    </w:p>
    <w:p w14:paraId="6E8BFFB6" w14:textId="77777777" w:rsidR="00C9277D" w:rsidRPr="00C2084D" w:rsidRDefault="00C9277D" w:rsidP="00C2084D">
      <w:pPr>
        <w:pStyle w:val="ListParagraph"/>
        <w:spacing w:after="0"/>
        <w:ind w:left="57" w:right="57"/>
        <w:jc w:val="both"/>
        <w:rPr>
          <w:rFonts w:ascii="Arial" w:eastAsiaTheme="minorHAnsi" w:hAnsi="Arial" w:cs="Arial"/>
        </w:rPr>
      </w:pPr>
    </w:p>
    <w:p w14:paraId="3E51A257" w14:textId="7DE7D62E" w:rsidR="00211FBA" w:rsidRPr="003122F7" w:rsidRDefault="00CC0A3F" w:rsidP="003122F7">
      <w:pPr>
        <w:pStyle w:val="ListParagraph"/>
        <w:numPr>
          <w:ilvl w:val="0"/>
          <w:numId w:val="43"/>
        </w:numPr>
        <w:spacing w:after="0"/>
        <w:ind w:right="57"/>
        <w:jc w:val="both"/>
        <w:rPr>
          <w:rFonts w:ascii="Arial" w:hAnsi="Arial" w:cs="Arial"/>
        </w:rPr>
      </w:pPr>
      <w:r w:rsidRPr="00C2084D">
        <w:rPr>
          <w:rFonts w:ascii="Arial" w:eastAsiaTheme="minorHAnsi" w:hAnsi="Arial" w:cs="Arial"/>
        </w:rPr>
        <w:t>Indeed, i</w:t>
      </w:r>
      <w:r w:rsidR="001B5E0C" w:rsidRPr="00C2084D">
        <w:rPr>
          <w:rFonts w:ascii="Arial" w:eastAsiaTheme="minorHAnsi" w:hAnsi="Arial" w:cs="Arial"/>
        </w:rPr>
        <w:t>n October 2018, the Attorney General introduced a</w:t>
      </w:r>
      <w:r w:rsidRPr="00C2084D">
        <w:rPr>
          <w:rFonts w:ascii="Arial" w:eastAsiaTheme="minorHAnsi" w:hAnsi="Arial" w:cs="Arial"/>
        </w:rPr>
        <w:t xml:space="preserve">n entirely new </w:t>
      </w:r>
      <w:r w:rsidR="001B5E0C" w:rsidRPr="00C2084D">
        <w:rPr>
          <w:rFonts w:ascii="Arial" w:eastAsiaTheme="minorHAnsi" w:hAnsi="Arial" w:cs="Arial"/>
        </w:rPr>
        <w:t xml:space="preserve">draft Associations Bill </w:t>
      </w:r>
      <w:r w:rsidR="008E6399">
        <w:rPr>
          <w:rFonts w:ascii="Arial" w:eastAsiaTheme="minorHAnsi" w:hAnsi="Arial" w:cs="Arial"/>
        </w:rPr>
        <w:t xml:space="preserve">for consideration, </w:t>
      </w:r>
      <w:r w:rsidR="001B5E0C" w:rsidRPr="00C2084D">
        <w:rPr>
          <w:rFonts w:ascii="Arial" w:eastAsiaTheme="minorHAnsi" w:hAnsi="Arial" w:cs="Arial"/>
        </w:rPr>
        <w:t>as an alternative to the PBO Act of 2013.</w:t>
      </w:r>
      <w:r w:rsidR="008E6399" w:rsidRPr="00C2084D">
        <w:rPr>
          <w:rStyle w:val="FootnoteAnchor"/>
          <w:rFonts w:ascii="Arial" w:eastAsiaTheme="minorHAnsi" w:hAnsi="Arial" w:cs="Arial"/>
        </w:rPr>
        <w:footnoteReference w:id="60"/>
      </w:r>
      <w:r w:rsidR="001B5E0C" w:rsidRPr="00C2084D">
        <w:rPr>
          <w:rFonts w:ascii="Arial" w:eastAsiaTheme="minorHAnsi" w:hAnsi="Arial" w:cs="Arial"/>
        </w:rPr>
        <w:t xml:space="preserve"> However, its provisions are more restrictive than the PBO </w:t>
      </w:r>
      <w:r w:rsidRPr="00C2084D">
        <w:rPr>
          <w:rFonts w:ascii="Arial" w:eastAsiaTheme="minorHAnsi" w:hAnsi="Arial" w:cs="Arial"/>
        </w:rPr>
        <w:t xml:space="preserve">Act </w:t>
      </w:r>
      <w:r w:rsidR="001B5E0C" w:rsidRPr="00C2084D">
        <w:rPr>
          <w:rFonts w:ascii="Arial" w:eastAsiaTheme="minorHAnsi" w:hAnsi="Arial" w:cs="Arial"/>
        </w:rPr>
        <w:t>and do not comply with international human rights standards. Section 2 provides for the mandatory registration for all associations, and Section 11 includes impermissibly broad criteria for declaring associations unlawful, also allowing the Registrar of Associations excessive powers to de-register associations. Severe criminal penalties are foreseen in the bill, including fines of up to KSH 100,000 or 1 year of imprisonment for operating a meeting of unregistered organisation or attending a meeting of an unregistered organisation, with fines of up to KSH 300,000 or 3 years’ imprisonment for managing or helping to manage an unlawful association. If passed into law, the Bill would significantly undermine freedom of association, and the work of civil society organisations</w:t>
      </w:r>
      <w:r w:rsidR="002878DE" w:rsidRPr="00C2084D">
        <w:rPr>
          <w:rFonts w:ascii="Arial" w:eastAsiaTheme="minorHAnsi" w:hAnsi="Arial" w:cs="Arial"/>
        </w:rPr>
        <w:t>, further shrinking civic space</w:t>
      </w:r>
      <w:r w:rsidR="001B5E0C" w:rsidRPr="00C2084D">
        <w:rPr>
          <w:rFonts w:ascii="Arial" w:eastAsiaTheme="minorHAnsi" w:hAnsi="Arial" w:cs="Arial"/>
        </w:rPr>
        <w:t>.</w:t>
      </w:r>
    </w:p>
    <w:p w14:paraId="2ECB9AE5" w14:textId="38333888" w:rsidR="000552CD" w:rsidRPr="00C2084D" w:rsidRDefault="000552CD" w:rsidP="003122F7">
      <w:pPr>
        <w:spacing w:after="0"/>
        <w:ind w:right="57"/>
        <w:jc w:val="both"/>
        <w:rPr>
          <w:rFonts w:ascii="Arial" w:hAnsi="Arial" w:cs="Arial"/>
          <w:b/>
          <w:color w:val="auto"/>
        </w:rPr>
      </w:pPr>
    </w:p>
    <w:p w14:paraId="54020833" w14:textId="3E81FF07" w:rsidR="000552CD" w:rsidRPr="00C2084D" w:rsidRDefault="003122F7" w:rsidP="00C2084D">
      <w:pPr>
        <w:spacing w:after="0"/>
        <w:ind w:left="57" w:right="57"/>
        <w:jc w:val="both"/>
        <w:rPr>
          <w:rFonts w:ascii="Arial" w:hAnsi="Arial" w:cs="Arial"/>
          <w:b/>
          <w:color w:val="auto"/>
        </w:rPr>
      </w:pPr>
      <w:r>
        <w:rPr>
          <w:rFonts w:ascii="Arial" w:hAnsi="Arial" w:cs="Arial"/>
          <w:b/>
          <w:color w:val="auto"/>
        </w:rPr>
        <w:t>Article 17: Right to Privacy</w:t>
      </w:r>
    </w:p>
    <w:p w14:paraId="09FEAD33" w14:textId="77777777" w:rsidR="00211FBA" w:rsidRPr="00C2084D" w:rsidRDefault="00211FBA" w:rsidP="00C2084D">
      <w:pPr>
        <w:spacing w:after="0"/>
        <w:ind w:left="57" w:right="57"/>
        <w:jc w:val="both"/>
        <w:rPr>
          <w:rFonts w:ascii="Arial" w:hAnsi="Arial" w:cs="Arial"/>
          <w:b/>
          <w:color w:val="auto"/>
        </w:rPr>
      </w:pPr>
    </w:p>
    <w:p w14:paraId="0B4448EB" w14:textId="678FB3A6" w:rsidR="00261456" w:rsidRPr="00C2084D" w:rsidRDefault="00261456"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 xml:space="preserve">The right to privacy is protected under Article 31 of the Constitution of Kenya, 2010. We note that the right to privacy and data protection is protected by a number of sectoral laws, including the Access to Information Act (2016), the Kenya Information and Communications (Consumer Protection) Regulations (2010), and the Elections (Technology) Regulations, 2017, amongst others. </w:t>
      </w:r>
    </w:p>
    <w:p w14:paraId="377929CE" w14:textId="77777777" w:rsidR="00211FBA" w:rsidRPr="00C2084D" w:rsidRDefault="00211FBA" w:rsidP="00C2084D">
      <w:pPr>
        <w:spacing w:after="0"/>
        <w:ind w:left="57" w:right="57"/>
        <w:jc w:val="both"/>
        <w:rPr>
          <w:rFonts w:ascii="Arial" w:hAnsi="Arial" w:cs="Arial"/>
          <w:color w:val="auto"/>
        </w:rPr>
      </w:pPr>
    </w:p>
    <w:p w14:paraId="3C2F2DB4" w14:textId="1F5CCF85" w:rsidR="003A3667" w:rsidRPr="00C2084D" w:rsidRDefault="003A3667" w:rsidP="00515FC3">
      <w:pPr>
        <w:pStyle w:val="ListParagraph"/>
        <w:numPr>
          <w:ilvl w:val="0"/>
          <w:numId w:val="43"/>
        </w:numPr>
        <w:spacing w:after="0"/>
        <w:ind w:right="57"/>
        <w:jc w:val="both"/>
        <w:rPr>
          <w:rFonts w:ascii="Arial" w:hAnsi="Arial" w:cs="Arial"/>
          <w:color w:val="auto"/>
        </w:rPr>
      </w:pPr>
      <w:r w:rsidRPr="00C2084D">
        <w:rPr>
          <w:rFonts w:ascii="Arial" w:hAnsi="Arial" w:cs="Arial"/>
          <w:color w:val="auto"/>
        </w:rPr>
        <w:t>To give further effect to the</w:t>
      </w:r>
      <w:r w:rsidR="00261456" w:rsidRPr="00C2084D">
        <w:rPr>
          <w:rFonts w:ascii="Arial" w:hAnsi="Arial" w:cs="Arial"/>
          <w:color w:val="auto"/>
        </w:rPr>
        <w:t xml:space="preserve"> right</w:t>
      </w:r>
      <w:r w:rsidRPr="00C2084D">
        <w:rPr>
          <w:rFonts w:ascii="Arial" w:hAnsi="Arial" w:cs="Arial"/>
          <w:color w:val="auto"/>
        </w:rPr>
        <w:t xml:space="preserve"> to privacy</w:t>
      </w:r>
      <w:r w:rsidR="00261456" w:rsidRPr="00C2084D">
        <w:rPr>
          <w:rFonts w:ascii="Arial" w:hAnsi="Arial" w:cs="Arial"/>
          <w:color w:val="auto"/>
        </w:rPr>
        <w:t>, th</w:t>
      </w:r>
      <w:r w:rsidRPr="00C2084D">
        <w:rPr>
          <w:rFonts w:ascii="Arial" w:hAnsi="Arial" w:cs="Arial"/>
          <w:color w:val="auto"/>
        </w:rPr>
        <w:t xml:space="preserve">e Data Protection Act 2019 </w:t>
      </w:r>
      <w:r w:rsidR="00261456" w:rsidRPr="00C2084D">
        <w:rPr>
          <w:rFonts w:ascii="Arial" w:hAnsi="Arial" w:cs="Arial"/>
          <w:color w:val="auto"/>
        </w:rPr>
        <w:t>was assented on 8 November 2019</w:t>
      </w:r>
      <w:r w:rsidRPr="00C2084D">
        <w:rPr>
          <w:rFonts w:ascii="Arial" w:hAnsi="Arial" w:cs="Arial"/>
          <w:color w:val="auto"/>
        </w:rPr>
        <w:t>. The Act provide</w:t>
      </w:r>
      <w:r w:rsidR="0018218C" w:rsidRPr="00C2084D">
        <w:rPr>
          <w:rFonts w:ascii="Arial" w:hAnsi="Arial" w:cs="Arial"/>
          <w:color w:val="auto"/>
        </w:rPr>
        <w:t>s</w:t>
      </w:r>
      <w:r w:rsidR="00261456" w:rsidRPr="00C2084D">
        <w:rPr>
          <w:rFonts w:ascii="Arial" w:hAnsi="Arial" w:cs="Arial"/>
          <w:color w:val="auto"/>
        </w:rPr>
        <w:t xml:space="preserve"> for a minimal transition period and </w:t>
      </w:r>
      <w:r w:rsidR="0018218C" w:rsidRPr="00C2084D">
        <w:rPr>
          <w:rFonts w:ascii="Arial" w:hAnsi="Arial" w:cs="Arial"/>
          <w:color w:val="auto"/>
        </w:rPr>
        <w:t xml:space="preserve">was </w:t>
      </w:r>
      <w:r w:rsidR="00261456" w:rsidRPr="00C2084D">
        <w:rPr>
          <w:rFonts w:ascii="Arial" w:hAnsi="Arial" w:cs="Arial"/>
          <w:color w:val="auto"/>
        </w:rPr>
        <w:t>commence</w:t>
      </w:r>
      <w:r w:rsidR="0018218C" w:rsidRPr="00C2084D">
        <w:rPr>
          <w:rFonts w:ascii="Arial" w:hAnsi="Arial" w:cs="Arial"/>
          <w:color w:val="auto"/>
        </w:rPr>
        <w:t>d</w:t>
      </w:r>
      <w:r w:rsidR="00261456" w:rsidRPr="00C2084D">
        <w:rPr>
          <w:rFonts w:ascii="Arial" w:hAnsi="Arial" w:cs="Arial"/>
          <w:color w:val="auto"/>
        </w:rPr>
        <w:t xml:space="preserve"> on the 25</w:t>
      </w:r>
      <w:r w:rsidR="00261456" w:rsidRPr="00C2084D">
        <w:rPr>
          <w:rFonts w:ascii="Arial" w:hAnsi="Arial" w:cs="Arial"/>
          <w:color w:val="auto"/>
          <w:vertAlign w:val="superscript"/>
        </w:rPr>
        <w:t>th</w:t>
      </w:r>
      <w:r w:rsidR="00261456" w:rsidRPr="00C2084D">
        <w:rPr>
          <w:rFonts w:ascii="Arial" w:hAnsi="Arial" w:cs="Arial"/>
          <w:color w:val="auto"/>
        </w:rPr>
        <w:t xml:space="preserve"> of November 2019</w:t>
      </w:r>
      <w:r w:rsidR="008E6399">
        <w:rPr>
          <w:rFonts w:ascii="Arial" w:hAnsi="Arial" w:cs="Arial"/>
          <w:color w:val="auto"/>
        </w:rPr>
        <w:t>,</w:t>
      </w:r>
      <w:r w:rsidR="0018218C" w:rsidRPr="00C2084D">
        <w:rPr>
          <w:rFonts w:ascii="Arial" w:hAnsi="Arial" w:cs="Arial"/>
          <w:color w:val="auto"/>
        </w:rPr>
        <w:t xml:space="preserve"> though </w:t>
      </w:r>
      <w:r w:rsidR="001A7C6A" w:rsidRPr="00C2084D">
        <w:rPr>
          <w:rFonts w:ascii="Arial" w:hAnsi="Arial" w:cs="Arial"/>
          <w:color w:val="auto"/>
        </w:rPr>
        <w:t xml:space="preserve">a constitutional challenge </w:t>
      </w:r>
      <w:r w:rsidR="0018218C" w:rsidRPr="00C2084D">
        <w:rPr>
          <w:rFonts w:ascii="Arial" w:hAnsi="Arial" w:cs="Arial"/>
          <w:color w:val="auto"/>
        </w:rPr>
        <w:t xml:space="preserve">to it </w:t>
      </w:r>
      <w:r w:rsidR="001A7C6A" w:rsidRPr="00C2084D">
        <w:rPr>
          <w:rFonts w:ascii="Arial" w:hAnsi="Arial" w:cs="Arial"/>
          <w:color w:val="auto"/>
        </w:rPr>
        <w:t>filed on 14 November</w:t>
      </w:r>
      <w:r w:rsidR="008E6399">
        <w:rPr>
          <w:rFonts w:ascii="Arial" w:hAnsi="Arial" w:cs="Arial"/>
          <w:color w:val="auto"/>
        </w:rPr>
        <w:t xml:space="preserve"> 2019</w:t>
      </w:r>
      <w:r w:rsidR="001A7C6A" w:rsidRPr="00C2084D">
        <w:rPr>
          <w:rFonts w:ascii="Arial" w:hAnsi="Arial" w:cs="Arial"/>
          <w:color w:val="auto"/>
        </w:rPr>
        <w:t xml:space="preserve"> </w:t>
      </w:r>
      <w:r w:rsidR="0018218C" w:rsidRPr="00C2084D">
        <w:rPr>
          <w:rFonts w:ascii="Arial" w:hAnsi="Arial" w:cs="Arial"/>
          <w:color w:val="auto"/>
        </w:rPr>
        <w:t xml:space="preserve">is still in court. </w:t>
      </w:r>
      <w:r w:rsidR="001A7C6A" w:rsidRPr="00C2084D">
        <w:rPr>
          <w:rFonts w:ascii="Arial" w:hAnsi="Arial" w:cs="Arial"/>
          <w:color w:val="auto"/>
        </w:rPr>
        <w:t xml:space="preserve"> </w:t>
      </w:r>
    </w:p>
    <w:p w14:paraId="051242C7"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Fonts w:ascii="Arial" w:eastAsia="Calibri" w:hAnsi="Arial" w:cs="Arial"/>
          <w:sz w:val="22"/>
          <w:szCs w:val="22"/>
          <w:lang w:eastAsia="en-US"/>
        </w:rPr>
      </w:pPr>
    </w:p>
    <w:p w14:paraId="0C86C716" w14:textId="57957AD0" w:rsidR="000C580C" w:rsidRPr="00C2084D" w:rsidRDefault="003A3667" w:rsidP="00515FC3">
      <w:pPr>
        <w:pStyle w:val="qowt-stl-normal"/>
        <w:numPr>
          <w:ilvl w:val="0"/>
          <w:numId w:val="43"/>
        </w:numPr>
        <w:shd w:val="clear" w:color="auto" w:fill="FFFFFF"/>
        <w:spacing w:before="0" w:beforeAutospacing="0" w:after="0" w:afterAutospacing="0" w:line="276" w:lineRule="auto"/>
        <w:ind w:right="57"/>
        <w:jc w:val="both"/>
        <w:rPr>
          <w:rStyle w:val="qowt-font3-arial"/>
          <w:rFonts w:ascii="Arial" w:hAnsi="Arial" w:cs="Arial"/>
          <w:color w:val="0A0A0A"/>
          <w:sz w:val="22"/>
          <w:szCs w:val="22"/>
        </w:rPr>
      </w:pPr>
      <w:r w:rsidRPr="00C2084D">
        <w:rPr>
          <w:rFonts w:ascii="Arial" w:hAnsi="Arial" w:cs="Arial"/>
          <w:sz w:val="22"/>
          <w:szCs w:val="22"/>
        </w:rPr>
        <w:t>The adoption of a comprehensive data protection framework in Kenya represents a significant step</w:t>
      </w:r>
      <w:r w:rsidR="00EE54A3" w:rsidRPr="00C2084D">
        <w:rPr>
          <w:rFonts w:ascii="Arial" w:hAnsi="Arial" w:cs="Arial"/>
          <w:sz w:val="22"/>
          <w:szCs w:val="22"/>
        </w:rPr>
        <w:t xml:space="preserve"> forward towards safeguarding the right to privacy in Kenya, providing for the first time coherent guidance on the collection, storage, processing, dissemination and transfer of personal data in Kenya as well as legal recourse following the misuse of the same</w:t>
      </w:r>
      <w:r w:rsidR="000C580C" w:rsidRPr="00C2084D">
        <w:rPr>
          <w:rFonts w:ascii="Arial" w:hAnsi="Arial" w:cs="Arial"/>
          <w:sz w:val="22"/>
          <w:szCs w:val="22"/>
        </w:rPr>
        <w:t xml:space="preserve"> </w:t>
      </w:r>
      <w:r w:rsidR="000C580C" w:rsidRPr="00C2084D">
        <w:rPr>
          <w:rStyle w:val="qowt-font3-arial"/>
          <w:rFonts w:ascii="Arial" w:hAnsi="Arial" w:cs="Arial"/>
          <w:color w:val="0A0A0A"/>
          <w:sz w:val="22"/>
          <w:szCs w:val="22"/>
        </w:rPr>
        <w:t>by individuals, and state and non-state entities.</w:t>
      </w:r>
      <w:r w:rsidR="00EE54A3" w:rsidRPr="00C2084D">
        <w:rPr>
          <w:rStyle w:val="FootnoteReference"/>
          <w:rFonts w:ascii="Arial" w:hAnsi="Arial" w:cs="Arial"/>
          <w:sz w:val="22"/>
          <w:szCs w:val="22"/>
        </w:rPr>
        <w:footnoteReference w:id="61"/>
      </w:r>
    </w:p>
    <w:p w14:paraId="138C0496"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Fonts w:ascii="Arial" w:hAnsi="Arial" w:cs="Arial"/>
          <w:color w:val="0A0A0A"/>
          <w:sz w:val="22"/>
          <w:szCs w:val="22"/>
        </w:rPr>
      </w:pPr>
    </w:p>
    <w:p w14:paraId="46FD3654" w14:textId="0640AD0F" w:rsidR="001A7C6A" w:rsidRPr="00C2084D" w:rsidRDefault="000C580C" w:rsidP="00515FC3">
      <w:pPr>
        <w:pStyle w:val="qowt-stl-normal"/>
        <w:numPr>
          <w:ilvl w:val="0"/>
          <w:numId w:val="43"/>
        </w:numPr>
        <w:shd w:val="clear" w:color="auto" w:fill="FFFFFF"/>
        <w:spacing w:before="0" w:beforeAutospacing="0" w:after="0" w:afterAutospacing="0" w:line="276" w:lineRule="auto"/>
        <w:ind w:right="57"/>
        <w:jc w:val="both"/>
        <w:rPr>
          <w:rStyle w:val="qowt-font3-arial"/>
          <w:rFonts w:ascii="Arial" w:hAnsi="Arial" w:cs="Arial"/>
          <w:color w:val="0A0A0A"/>
          <w:sz w:val="22"/>
          <w:szCs w:val="22"/>
        </w:rPr>
      </w:pPr>
      <w:r w:rsidRPr="00C2084D">
        <w:rPr>
          <w:rStyle w:val="qowt-font3-arial"/>
          <w:rFonts w:ascii="Arial" w:hAnsi="Arial" w:cs="Arial"/>
          <w:color w:val="0A0A0A"/>
          <w:sz w:val="22"/>
          <w:szCs w:val="22"/>
        </w:rPr>
        <w:t>We welcome the</w:t>
      </w:r>
      <w:r w:rsidR="001A7C6A" w:rsidRPr="00C2084D">
        <w:rPr>
          <w:rStyle w:val="qowt-font3-arial"/>
          <w:rFonts w:ascii="Arial" w:hAnsi="Arial" w:cs="Arial"/>
          <w:color w:val="0A0A0A"/>
          <w:sz w:val="22"/>
          <w:szCs w:val="22"/>
        </w:rPr>
        <w:t xml:space="preserve"> minimum rights-protecting principles and rights, including consent, adequacy and relevance, data portability and data rectification</w:t>
      </w:r>
      <w:r w:rsidRPr="00C2084D">
        <w:rPr>
          <w:rStyle w:val="qowt-font3-arial"/>
          <w:rFonts w:ascii="Arial" w:hAnsi="Arial" w:cs="Arial"/>
          <w:color w:val="0A0A0A"/>
          <w:sz w:val="22"/>
          <w:szCs w:val="22"/>
        </w:rPr>
        <w:t>, contained in the DPA 2019</w:t>
      </w:r>
      <w:r w:rsidR="001A7C6A" w:rsidRPr="00C2084D">
        <w:rPr>
          <w:rStyle w:val="qowt-font3-arial"/>
          <w:rFonts w:ascii="Arial" w:hAnsi="Arial" w:cs="Arial"/>
          <w:color w:val="0A0A0A"/>
          <w:sz w:val="22"/>
          <w:szCs w:val="22"/>
        </w:rPr>
        <w:t xml:space="preserve">. These four (4) core principles and </w:t>
      </w:r>
      <w:r w:rsidR="00115B12" w:rsidRPr="00C2084D">
        <w:rPr>
          <w:rStyle w:val="qowt-font3-arial"/>
          <w:rFonts w:ascii="Arial" w:hAnsi="Arial" w:cs="Arial"/>
          <w:color w:val="0A0A0A"/>
          <w:sz w:val="22"/>
          <w:szCs w:val="22"/>
        </w:rPr>
        <w:t>rights are particularly crucial.</w:t>
      </w:r>
    </w:p>
    <w:p w14:paraId="4EC80427"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Fonts w:ascii="Arial" w:hAnsi="Arial" w:cs="Arial"/>
          <w:color w:val="0A0A0A"/>
          <w:sz w:val="22"/>
          <w:szCs w:val="22"/>
        </w:rPr>
      </w:pPr>
    </w:p>
    <w:p w14:paraId="5D99B020" w14:textId="71C6C2A5" w:rsidR="00211FBA" w:rsidRPr="00C2084D" w:rsidRDefault="001A7C6A" w:rsidP="00515FC3">
      <w:pPr>
        <w:pStyle w:val="qowt-stl-normal"/>
        <w:numPr>
          <w:ilvl w:val="0"/>
          <w:numId w:val="43"/>
        </w:numPr>
        <w:shd w:val="clear" w:color="auto" w:fill="FFFFFF"/>
        <w:spacing w:before="0" w:beforeAutospacing="0" w:after="0" w:afterAutospacing="0" w:line="276" w:lineRule="auto"/>
        <w:ind w:right="57"/>
        <w:jc w:val="both"/>
        <w:rPr>
          <w:rStyle w:val="qowt-font3-arial"/>
          <w:rFonts w:ascii="Arial" w:hAnsi="Arial" w:cs="Arial"/>
          <w:color w:val="0A0A0A"/>
          <w:sz w:val="22"/>
          <w:szCs w:val="22"/>
        </w:rPr>
      </w:pPr>
      <w:r w:rsidRPr="00C2084D">
        <w:rPr>
          <w:rStyle w:val="qowt-font3-arial"/>
          <w:rFonts w:ascii="Arial" w:hAnsi="Arial" w:cs="Arial"/>
          <w:color w:val="0A0A0A"/>
          <w:sz w:val="22"/>
          <w:szCs w:val="22"/>
        </w:rPr>
        <w:t>However, </w:t>
      </w:r>
      <w:r w:rsidR="000C580C" w:rsidRPr="00C2084D">
        <w:rPr>
          <w:rStyle w:val="qowt-font3-arial"/>
          <w:rFonts w:ascii="Arial" w:hAnsi="Arial" w:cs="Arial"/>
          <w:color w:val="0A0A0A"/>
          <w:sz w:val="22"/>
          <w:szCs w:val="22"/>
        </w:rPr>
        <w:t>we note that the DPA 2019 does not fully align with international standards and require further reform to ensure its effective implementation.</w:t>
      </w:r>
      <w:r w:rsidR="00732CCF" w:rsidRPr="00C2084D">
        <w:rPr>
          <w:rStyle w:val="FootnoteReference"/>
          <w:rFonts w:ascii="Arial" w:hAnsi="Arial" w:cs="Arial"/>
          <w:color w:val="0A0A0A"/>
          <w:sz w:val="22"/>
          <w:szCs w:val="22"/>
        </w:rPr>
        <w:footnoteReference w:id="62"/>
      </w:r>
      <w:r w:rsidR="000C580C" w:rsidRPr="00C2084D">
        <w:rPr>
          <w:rStyle w:val="qowt-font3-arial"/>
          <w:rFonts w:ascii="Arial" w:hAnsi="Arial" w:cs="Arial"/>
          <w:color w:val="0A0A0A"/>
          <w:sz w:val="22"/>
          <w:szCs w:val="22"/>
        </w:rPr>
        <w:t xml:space="preserve"> In</w:t>
      </w:r>
      <w:r w:rsidR="00115B12" w:rsidRPr="00C2084D">
        <w:rPr>
          <w:rStyle w:val="qowt-font3-arial"/>
          <w:rFonts w:ascii="Arial" w:hAnsi="Arial" w:cs="Arial"/>
          <w:color w:val="0A0A0A"/>
          <w:sz w:val="22"/>
          <w:szCs w:val="22"/>
        </w:rPr>
        <w:t xml:space="preserve"> particular, we note the </w:t>
      </w:r>
      <w:r w:rsidR="00211FBA" w:rsidRPr="00C2084D">
        <w:rPr>
          <w:rStyle w:val="qowt-font3-arial"/>
          <w:rFonts w:ascii="Arial" w:hAnsi="Arial" w:cs="Arial"/>
          <w:color w:val="0A0A0A"/>
          <w:sz w:val="22"/>
          <w:szCs w:val="22"/>
        </w:rPr>
        <w:t>following key areas of concern.</w:t>
      </w:r>
    </w:p>
    <w:p w14:paraId="29939B5F"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Style w:val="qowt-font3-arial"/>
          <w:rFonts w:ascii="Arial" w:hAnsi="Arial" w:cs="Arial"/>
          <w:color w:val="0A0A0A"/>
          <w:sz w:val="22"/>
          <w:szCs w:val="22"/>
        </w:rPr>
      </w:pPr>
    </w:p>
    <w:p w14:paraId="740E3C93" w14:textId="1EF6E5E8" w:rsidR="00115B12" w:rsidRPr="00C2084D" w:rsidRDefault="000C580C" w:rsidP="00515FC3">
      <w:pPr>
        <w:pStyle w:val="qowt-stl-normal"/>
        <w:numPr>
          <w:ilvl w:val="0"/>
          <w:numId w:val="43"/>
        </w:numPr>
        <w:shd w:val="clear" w:color="auto" w:fill="FFFFFF"/>
        <w:spacing w:before="0" w:beforeAutospacing="0" w:after="0" w:afterAutospacing="0" w:line="276" w:lineRule="auto"/>
        <w:ind w:right="57"/>
        <w:jc w:val="both"/>
        <w:rPr>
          <w:rStyle w:val="qowt-font3-arial"/>
          <w:rFonts w:ascii="Arial" w:hAnsi="Arial" w:cs="Arial"/>
          <w:color w:val="0A0A0A"/>
          <w:sz w:val="22"/>
          <w:szCs w:val="22"/>
        </w:rPr>
      </w:pPr>
      <w:r w:rsidRPr="00C2084D">
        <w:rPr>
          <w:rStyle w:val="qowt-font3-arial"/>
          <w:rFonts w:ascii="Arial" w:hAnsi="Arial" w:cs="Arial"/>
          <w:color w:val="0A0A0A"/>
          <w:sz w:val="22"/>
          <w:szCs w:val="22"/>
        </w:rPr>
        <w:t>T</w:t>
      </w:r>
      <w:r w:rsidR="001A7C6A" w:rsidRPr="00C2084D">
        <w:rPr>
          <w:rStyle w:val="qowt-font3-arial"/>
          <w:rFonts w:ascii="Arial" w:hAnsi="Arial" w:cs="Arial"/>
          <w:color w:val="0A0A0A"/>
          <w:sz w:val="22"/>
          <w:szCs w:val="22"/>
        </w:rPr>
        <w:t>he definition of personal data under the D</w:t>
      </w:r>
      <w:r w:rsidR="00732CCF" w:rsidRPr="00C2084D">
        <w:rPr>
          <w:rStyle w:val="qowt-font3-arial"/>
          <w:rFonts w:ascii="Arial" w:hAnsi="Arial" w:cs="Arial"/>
          <w:color w:val="0A0A0A"/>
          <w:sz w:val="22"/>
          <w:szCs w:val="22"/>
        </w:rPr>
        <w:t xml:space="preserve">PA 2019 </w:t>
      </w:r>
      <w:r w:rsidR="001A7C6A" w:rsidRPr="00C2084D">
        <w:rPr>
          <w:rStyle w:val="qowt-font3-arial"/>
          <w:rFonts w:ascii="Arial" w:hAnsi="Arial" w:cs="Arial"/>
          <w:color w:val="0A0A0A"/>
          <w:sz w:val="22"/>
          <w:szCs w:val="22"/>
        </w:rPr>
        <w:t xml:space="preserve">is not </w:t>
      </w:r>
      <w:r w:rsidRPr="00C2084D">
        <w:rPr>
          <w:rStyle w:val="qowt-font3-arial"/>
          <w:rFonts w:ascii="Arial" w:hAnsi="Arial" w:cs="Arial"/>
          <w:color w:val="0A0A0A"/>
          <w:sz w:val="22"/>
          <w:szCs w:val="22"/>
        </w:rPr>
        <w:t xml:space="preserve">in line </w:t>
      </w:r>
      <w:r w:rsidR="001A7C6A" w:rsidRPr="00C2084D">
        <w:rPr>
          <w:rStyle w:val="qowt-font3-arial"/>
          <w:rFonts w:ascii="Arial" w:hAnsi="Arial" w:cs="Arial"/>
          <w:color w:val="0A0A0A"/>
          <w:sz w:val="22"/>
          <w:szCs w:val="22"/>
        </w:rPr>
        <w:t>with the definition under the Access to Information Act, 2016.</w:t>
      </w:r>
      <w:r w:rsidRPr="00C2084D">
        <w:rPr>
          <w:rFonts w:ascii="Arial" w:hAnsi="Arial" w:cs="Arial"/>
          <w:color w:val="0A0A0A"/>
          <w:sz w:val="22"/>
          <w:szCs w:val="22"/>
        </w:rPr>
        <w:t xml:space="preserve"> </w:t>
      </w:r>
      <w:r w:rsidR="00732CCF" w:rsidRPr="00C2084D">
        <w:rPr>
          <w:rStyle w:val="qowt-font3-arial"/>
          <w:rFonts w:ascii="Arial" w:hAnsi="Arial" w:cs="Arial"/>
          <w:color w:val="0A0A0A"/>
          <w:sz w:val="22"/>
          <w:szCs w:val="22"/>
        </w:rPr>
        <w:t>The DPA</w:t>
      </w:r>
      <w:r w:rsidR="001A7C6A" w:rsidRPr="00C2084D">
        <w:rPr>
          <w:rStyle w:val="qowt-font3-arial"/>
          <w:rFonts w:ascii="Arial" w:hAnsi="Arial" w:cs="Arial"/>
          <w:color w:val="0A0A0A"/>
          <w:sz w:val="22"/>
          <w:szCs w:val="22"/>
        </w:rPr>
        <w:t xml:space="preserve"> </w:t>
      </w:r>
      <w:r w:rsidR="00732CCF" w:rsidRPr="00C2084D">
        <w:rPr>
          <w:rStyle w:val="qowt-font3-arial"/>
          <w:rFonts w:ascii="Arial" w:hAnsi="Arial" w:cs="Arial"/>
          <w:color w:val="0A0A0A"/>
          <w:sz w:val="22"/>
          <w:szCs w:val="22"/>
        </w:rPr>
        <w:t xml:space="preserve">2019 </w:t>
      </w:r>
      <w:r w:rsidR="001A7C6A" w:rsidRPr="00C2084D">
        <w:rPr>
          <w:rStyle w:val="qowt-font3-arial"/>
          <w:rFonts w:ascii="Arial" w:hAnsi="Arial" w:cs="Arial"/>
          <w:color w:val="0A0A0A"/>
          <w:sz w:val="22"/>
          <w:szCs w:val="22"/>
        </w:rPr>
        <w:t xml:space="preserve">includes some of the information mentioned in </w:t>
      </w:r>
      <w:r w:rsidR="001A7C6A" w:rsidRPr="00C2084D">
        <w:rPr>
          <w:rStyle w:val="qowt-font3-arial"/>
          <w:rFonts w:ascii="Arial" w:hAnsi="Arial" w:cs="Arial"/>
          <w:color w:val="0A0A0A"/>
          <w:sz w:val="22"/>
          <w:szCs w:val="22"/>
        </w:rPr>
        <w:lastRenderedPageBreak/>
        <w:t>the Ac</w:t>
      </w:r>
      <w:r w:rsidRPr="00C2084D">
        <w:rPr>
          <w:rStyle w:val="qowt-font3-arial"/>
          <w:rFonts w:ascii="Arial" w:hAnsi="Arial" w:cs="Arial"/>
          <w:color w:val="0A0A0A"/>
          <w:sz w:val="22"/>
          <w:szCs w:val="22"/>
        </w:rPr>
        <w:t>cess to Information Act in its</w:t>
      </w:r>
      <w:r w:rsidR="001A7C6A" w:rsidRPr="00C2084D">
        <w:rPr>
          <w:rStyle w:val="qowt-font3-arial"/>
          <w:rFonts w:ascii="Arial" w:hAnsi="Arial" w:cs="Arial"/>
          <w:color w:val="0A0A0A"/>
          <w:sz w:val="22"/>
          <w:szCs w:val="22"/>
        </w:rPr>
        <w:t xml:space="preserve"> definition of “sensitive personal data.” We believe </w:t>
      </w:r>
      <w:r w:rsidR="00732CCF" w:rsidRPr="00C2084D">
        <w:rPr>
          <w:rStyle w:val="qowt-font3-arial"/>
          <w:rFonts w:ascii="Arial" w:hAnsi="Arial" w:cs="Arial"/>
          <w:color w:val="0A0A0A"/>
          <w:sz w:val="22"/>
          <w:szCs w:val="22"/>
        </w:rPr>
        <w:t xml:space="preserve">the definition of sensitive personal data contained in the DPA 2019 </w:t>
      </w:r>
      <w:r w:rsidR="00A57A0C" w:rsidRPr="00C2084D">
        <w:rPr>
          <w:rStyle w:val="qowt-font3-arial"/>
          <w:rFonts w:ascii="Arial" w:hAnsi="Arial" w:cs="Arial"/>
          <w:color w:val="0A0A0A"/>
          <w:sz w:val="22"/>
          <w:szCs w:val="22"/>
        </w:rPr>
        <w:t xml:space="preserve">should be </w:t>
      </w:r>
      <w:r w:rsidR="00732CCF" w:rsidRPr="00C2084D">
        <w:rPr>
          <w:rStyle w:val="qowt-font3-arial"/>
          <w:rFonts w:ascii="Arial" w:hAnsi="Arial" w:cs="Arial"/>
          <w:color w:val="0A0A0A"/>
          <w:sz w:val="22"/>
          <w:szCs w:val="22"/>
        </w:rPr>
        <w:t>brought in line with the Access to Information Act, to ensure the bodies charged with implementing their respective data protection mandates (the Office of the Data Protection Commissioner (ODPC) and the CAJ).</w:t>
      </w:r>
    </w:p>
    <w:p w14:paraId="60EBB15E"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Style w:val="qowt-font3-arial"/>
          <w:rFonts w:ascii="Arial" w:hAnsi="Arial" w:cs="Arial"/>
          <w:color w:val="0A0A0A"/>
          <w:sz w:val="22"/>
          <w:szCs w:val="22"/>
        </w:rPr>
      </w:pPr>
    </w:p>
    <w:p w14:paraId="526F472E" w14:textId="7CDC6BB6" w:rsidR="00115B12" w:rsidRPr="00C2084D" w:rsidRDefault="00732CCF" w:rsidP="00515FC3">
      <w:pPr>
        <w:pStyle w:val="qowt-stl-normal"/>
        <w:numPr>
          <w:ilvl w:val="0"/>
          <w:numId w:val="43"/>
        </w:numPr>
        <w:shd w:val="clear" w:color="auto" w:fill="FFFFFF"/>
        <w:spacing w:before="0" w:beforeAutospacing="0" w:after="0" w:afterAutospacing="0" w:line="276" w:lineRule="auto"/>
        <w:ind w:right="57"/>
        <w:jc w:val="both"/>
        <w:rPr>
          <w:rStyle w:val="qowt-font3-arial"/>
          <w:rFonts w:ascii="Arial" w:hAnsi="Arial" w:cs="Arial"/>
          <w:color w:val="0A0A0A"/>
          <w:sz w:val="22"/>
          <w:szCs w:val="22"/>
        </w:rPr>
      </w:pPr>
      <w:r w:rsidRPr="00C2084D">
        <w:rPr>
          <w:rStyle w:val="qowt-font3-arial"/>
          <w:rFonts w:ascii="Arial" w:hAnsi="Arial" w:cs="Arial"/>
          <w:color w:val="0A0A0A"/>
          <w:sz w:val="22"/>
          <w:szCs w:val="22"/>
        </w:rPr>
        <w:t>T</w:t>
      </w:r>
      <w:r w:rsidR="001A7C6A" w:rsidRPr="00C2084D">
        <w:rPr>
          <w:rStyle w:val="qowt-font3-arial"/>
          <w:rFonts w:ascii="Arial" w:hAnsi="Arial" w:cs="Arial"/>
          <w:color w:val="0A0A0A"/>
          <w:sz w:val="22"/>
          <w:szCs w:val="22"/>
        </w:rPr>
        <w:t>he Data Protection Act (2019) fails to provide clarity regarding t</w:t>
      </w:r>
      <w:r w:rsidRPr="00C2084D">
        <w:rPr>
          <w:rStyle w:val="qowt-font3-arial"/>
          <w:rFonts w:ascii="Arial" w:hAnsi="Arial" w:cs="Arial"/>
          <w:color w:val="0A0A0A"/>
          <w:sz w:val="22"/>
          <w:szCs w:val="22"/>
        </w:rPr>
        <w:t>he constitution of the ODPC. We note that t</w:t>
      </w:r>
      <w:r w:rsidR="001A7C6A" w:rsidRPr="00C2084D">
        <w:rPr>
          <w:rStyle w:val="qowt-font3-arial"/>
          <w:rFonts w:ascii="Arial" w:hAnsi="Arial" w:cs="Arial"/>
          <w:color w:val="0A0A0A"/>
          <w:sz w:val="22"/>
          <w:szCs w:val="22"/>
        </w:rPr>
        <w:t>he ODPC should operate as an independent constitutional commission, under Article 59 (4) of the Constitution of Kenya, 2010, and not as a State agency, in order to be free from undue political, administrative or commercial pressure, and to fulfil its specified purpose(s).</w:t>
      </w:r>
      <w:r w:rsidRPr="00C2084D">
        <w:rPr>
          <w:rFonts w:ascii="Arial" w:hAnsi="Arial" w:cs="Arial"/>
          <w:color w:val="0A0A0A"/>
          <w:sz w:val="22"/>
          <w:szCs w:val="22"/>
        </w:rPr>
        <w:t xml:space="preserve"> </w:t>
      </w:r>
    </w:p>
    <w:p w14:paraId="15D60354" w14:textId="77777777" w:rsidR="00211FBA" w:rsidRPr="00C2084D" w:rsidRDefault="00211FBA" w:rsidP="00C2084D">
      <w:pPr>
        <w:pStyle w:val="qowt-stl-normal"/>
        <w:shd w:val="clear" w:color="auto" w:fill="FFFFFF"/>
        <w:spacing w:before="0" w:beforeAutospacing="0" w:after="0" w:afterAutospacing="0" w:line="276" w:lineRule="auto"/>
        <w:ind w:left="57" w:right="57"/>
        <w:jc w:val="both"/>
        <w:rPr>
          <w:rStyle w:val="qowt-font3-arial"/>
          <w:rFonts w:ascii="Arial" w:hAnsi="Arial" w:cs="Arial"/>
          <w:color w:val="0A0A0A"/>
          <w:sz w:val="22"/>
          <w:szCs w:val="22"/>
        </w:rPr>
      </w:pPr>
    </w:p>
    <w:p w14:paraId="2235CD15" w14:textId="40FE1272" w:rsidR="001A7C6A" w:rsidRPr="00C2084D" w:rsidRDefault="00732CCF" w:rsidP="00515FC3">
      <w:pPr>
        <w:pStyle w:val="qowt-stl-normal"/>
        <w:numPr>
          <w:ilvl w:val="0"/>
          <w:numId w:val="43"/>
        </w:numPr>
        <w:shd w:val="clear" w:color="auto" w:fill="FFFFFF"/>
        <w:spacing w:before="0" w:beforeAutospacing="0" w:after="0" w:afterAutospacing="0" w:line="276" w:lineRule="auto"/>
        <w:ind w:right="57"/>
        <w:jc w:val="both"/>
        <w:rPr>
          <w:rFonts w:ascii="Arial" w:hAnsi="Arial" w:cs="Arial"/>
          <w:color w:val="0A0A0A"/>
          <w:sz w:val="22"/>
          <w:szCs w:val="22"/>
        </w:rPr>
      </w:pPr>
      <w:r w:rsidRPr="00C2084D">
        <w:rPr>
          <w:rStyle w:val="qowt-font3-arial"/>
          <w:rFonts w:ascii="Arial" w:hAnsi="Arial" w:cs="Arial"/>
          <w:color w:val="0A0A0A"/>
          <w:sz w:val="22"/>
          <w:szCs w:val="22"/>
        </w:rPr>
        <w:t>T</w:t>
      </w:r>
      <w:r w:rsidR="001A7C6A" w:rsidRPr="00C2084D">
        <w:rPr>
          <w:rStyle w:val="qowt-font3-arial"/>
          <w:rFonts w:ascii="Arial" w:hAnsi="Arial" w:cs="Arial"/>
          <w:color w:val="0A0A0A"/>
          <w:sz w:val="22"/>
          <w:szCs w:val="22"/>
        </w:rPr>
        <w:t xml:space="preserve">he </w:t>
      </w:r>
      <w:r w:rsidRPr="00C2084D">
        <w:rPr>
          <w:rStyle w:val="qowt-font3-arial"/>
          <w:rFonts w:ascii="Arial" w:hAnsi="Arial" w:cs="Arial"/>
          <w:color w:val="0A0A0A"/>
          <w:sz w:val="22"/>
          <w:szCs w:val="22"/>
        </w:rPr>
        <w:t>DPA 2019</w:t>
      </w:r>
      <w:r w:rsidR="001A7C6A" w:rsidRPr="00C2084D">
        <w:rPr>
          <w:rStyle w:val="qowt-font3-arial"/>
          <w:rFonts w:ascii="Arial" w:hAnsi="Arial" w:cs="Arial"/>
          <w:color w:val="0A0A0A"/>
          <w:sz w:val="22"/>
          <w:szCs w:val="22"/>
        </w:rPr>
        <w:t xml:space="preserve"> fails to adequately balance the right of privacy with the rights to freedom of expression and access to information. Article 52 of the Data Protection Act provides a</w:t>
      </w:r>
      <w:r w:rsidR="009C7437" w:rsidRPr="00C2084D">
        <w:rPr>
          <w:rStyle w:val="qowt-font3-arial"/>
          <w:rFonts w:ascii="Arial" w:hAnsi="Arial" w:cs="Arial"/>
          <w:color w:val="0A0A0A"/>
          <w:sz w:val="22"/>
          <w:szCs w:val="22"/>
        </w:rPr>
        <w:t>n overly</w:t>
      </w:r>
      <w:r w:rsidR="001A7C6A" w:rsidRPr="00C2084D">
        <w:rPr>
          <w:rStyle w:val="qowt-font3-arial"/>
          <w:rFonts w:ascii="Arial" w:hAnsi="Arial" w:cs="Arial"/>
          <w:color w:val="0A0A0A"/>
          <w:sz w:val="22"/>
          <w:szCs w:val="22"/>
        </w:rPr>
        <w:t xml:space="preserve"> narrow definition of journalistic exemption. Journalists and the media are not exempt from registration requirements, and may be obliged to inform the Office of the Data Protection Commissioner about the type of personal data being processed, as well as the purpose and the category of data subjects.</w:t>
      </w:r>
      <w:r w:rsidR="00115B12" w:rsidRPr="00C2084D">
        <w:rPr>
          <w:rStyle w:val="qowt-font3-arial"/>
          <w:rFonts w:ascii="Arial" w:hAnsi="Arial" w:cs="Arial"/>
          <w:color w:val="0A0A0A"/>
          <w:sz w:val="22"/>
          <w:szCs w:val="22"/>
        </w:rPr>
        <w:t xml:space="preserve"> </w:t>
      </w:r>
      <w:r w:rsidR="001A7C6A" w:rsidRPr="00C2084D">
        <w:rPr>
          <w:rStyle w:val="qowt-font3-arial"/>
          <w:rFonts w:ascii="Arial" w:hAnsi="Arial" w:cs="Arial"/>
          <w:color w:val="0A0A0A"/>
          <w:sz w:val="22"/>
          <w:szCs w:val="22"/>
        </w:rPr>
        <w:t>This provision threaten</w:t>
      </w:r>
      <w:r w:rsidR="00115B12" w:rsidRPr="00C2084D">
        <w:rPr>
          <w:rStyle w:val="qowt-font3-arial"/>
          <w:rFonts w:ascii="Arial" w:hAnsi="Arial" w:cs="Arial"/>
          <w:color w:val="0A0A0A"/>
          <w:sz w:val="22"/>
          <w:szCs w:val="22"/>
        </w:rPr>
        <w:t>s</w:t>
      </w:r>
      <w:r w:rsidR="001A7C6A" w:rsidRPr="00C2084D">
        <w:rPr>
          <w:rStyle w:val="qowt-font3-arial"/>
          <w:rFonts w:ascii="Arial" w:hAnsi="Arial" w:cs="Arial"/>
          <w:color w:val="0A0A0A"/>
          <w:sz w:val="22"/>
          <w:szCs w:val="22"/>
        </w:rPr>
        <w:t xml:space="preserve"> the anonymity of journalistic sources, especially when whistle-blowing has helped to inform criminal and/or corruption investigations. Journalists may find themselves facing criminal investigations where it is determined that the disclosure of personal data in an article, especially</w:t>
      </w:r>
      <w:r w:rsidR="009C7437" w:rsidRPr="00C2084D">
        <w:rPr>
          <w:rStyle w:val="qowt-font3-arial"/>
          <w:rFonts w:ascii="Arial" w:hAnsi="Arial" w:cs="Arial"/>
          <w:color w:val="0A0A0A"/>
          <w:sz w:val="22"/>
          <w:szCs w:val="22"/>
        </w:rPr>
        <w:t xml:space="preserve"> data related to</w:t>
      </w:r>
      <w:r w:rsidR="001A7C6A" w:rsidRPr="00C2084D">
        <w:rPr>
          <w:rStyle w:val="qowt-font3-arial"/>
          <w:rFonts w:ascii="Arial" w:hAnsi="Arial" w:cs="Arial"/>
          <w:color w:val="0A0A0A"/>
          <w:sz w:val="22"/>
          <w:szCs w:val="22"/>
        </w:rPr>
        <w:t xml:space="preserve"> public figures, does not meet the public interest test. </w:t>
      </w:r>
      <w:r w:rsidR="00115B12" w:rsidRPr="00C2084D">
        <w:rPr>
          <w:rStyle w:val="qowt-font3-arial"/>
          <w:rFonts w:ascii="Arial" w:hAnsi="Arial" w:cs="Arial"/>
          <w:color w:val="0A0A0A"/>
          <w:sz w:val="22"/>
          <w:szCs w:val="22"/>
        </w:rPr>
        <w:t>P</w:t>
      </w:r>
      <w:r w:rsidR="001A7C6A" w:rsidRPr="00C2084D">
        <w:rPr>
          <w:rStyle w:val="qowt-font3-arial"/>
          <w:rFonts w:ascii="Arial" w:hAnsi="Arial" w:cs="Arial"/>
          <w:color w:val="0A0A0A"/>
          <w:sz w:val="22"/>
          <w:szCs w:val="22"/>
        </w:rPr>
        <w:t>enalties under the Data Protection Act include a fine not exceeding five (5) million shillings and/or imprisonment for up to two (2) years.</w:t>
      </w:r>
    </w:p>
    <w:p w14:paraId="133324EF" w14:textId="5DFAB174" w:rsidR="00732CCF" w:rsidRPr="00C2084D" w:rsidRDefault="00732CCF" w:rsidP="00515FC3">
      <w:pPr>
        <w:pStyle w:val="ColorfulList-Accent11"/>
        <w:spacing w:line="276" w:lineRule="auto"/>
        <w:ind w:left="777" w:right="57"/>
        <w:jc w:val="both"/>
        <w:rPr>
          <w:rFonts w:ascii="Arial" w:hAnsi="Arial" w:cs="Arial"/>
          <w:sz w:val="22"/>
          <w:szCs w:val="22"/>
        </w:rPr>
      </w:pPr>
    </w:p>
    <w:sectPr w:rsidR="00732CCF" w:rsidRPr="00C2084D" w:rsidSect="00C118F1">
      <w:headerReference w:type="default" r:id="rId9"/>
      <w:footerReference w:type="default" r:id="rId10"/>
      <w:headerReference w:type="first" r:id="rId11"/>
      <w:pgSz w:w="11906" w:h="16838"/>
      <w:pgMar w:top="1440" w:right="1080" w:bottom="1440" w:left="1080"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81C4" w14:textId="77777777" w:rsidR="004E0040" w:rsidRDefault="004E0040">
      <w:pPr>
        <w:spacing w:after="0" w:line="240" w:lineRule="auto"/>
      </w:pPr>
      <w:r>
        <w:separator/>
      </w:r>
    </w:p>
  </w:endnote>
  <w:endnote w:type="continuationSeparator" w:id="0">
    <w:p w14:paraId="2C02E5A2" w14:textId="77777777" w:rsidR="004E0040" w:rsidRDefault="004E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auto"/>
    <w:pitch w:val="variable"/>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TradeGothicLTStdRegular">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Gras">
    <w:panose1 w:val="00000000000000000000"/>
    <w:charset w:val="00"/>
    <w:family w:val="auto"/>
    <w:notTrueType/>
    <w:pitch w:val="default"/>
    <w:sig w:usb0="00000003" w:usb1="00000000" w:usb2="00000000" w:usb3="00000000" w:csb0="00000001"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264964"/>
      <w:docPartObj>
        <w:docPartGallery w:val="Page Numbers (Bottom of Page)"/>
        <w:docPartUnique/>
      </w:docPartObj>
    </w:sdtPr>
    <w:sdtEndPr/>
    <w:sdtContent>
      <w:p w14:paraId="77D3D8B0" w14:textId="2F0B676C" w:rsidR="00090035" w:rsidRDefault="00090035">
        <w:pPr>
          <w:pStyle w:val="Footer"/>
          <w:jc w:val="right"/>
        </w:pPr>
        <w:r w:rsidRPr="00C2084D">
          <w:rPr>
            <w:rFonts w:ascii="Arial" w:hAnsi="Arial" w:cs="Arial"/>
            <w:sz w:val="18"/>
          </w:rPr>
          <w:fldChar w:fldCharType="begin"/>
        </w:r>
        <w:r w:rsidRPr="00C2084D">
          <w:rPr>
            <w:rFonts w:ascii="Arial" w:hAnsi="Arial" w:cs="Arial"/>
            <w:sz w:val="18"/>
          </w:rPr>
          <w:instrText>PAGE</w:instrText>
        </w:r>
        <w:r w:rsidRPr="00C2084D">
          <w:rPr>
            <w:rFonts w:ascii="Arial" w:hAnsi="Arial" w:cs="Arial"/>
            <w:sz w:val="18"/>
          </w:rPr>
          <w:fldChar w:fldCharType="separate"/>
        </w:r>
        <w:r w:rsidR="00D30692">
          <w:rPr>
            <w:rFonts w:ascii="Arial" w:hAnsi="Arial" w:cs="Arial"/>
            <w:noProof/>
            <w:sz w:val="18"/>
          </w:rPr>
          <w:t>17</w:t>
        </w:r>
        <w:r w:rsidRPr="00C2084D">
          <w:rPr>
            <w:rFonts w:ascii="Arial" w:hAnsi="Arial" w:cs="Arial"/>
            <w:sz w:val="18"/>
          </w:rPr>
          <w:fldChar w:fldCharType="end"/>
        </w:r>
      </w:p>
    </w:sdtContent>
  </w:sdt>
  <w:p w14:paraId="152CDB24" w14:textId="77777777" w:rsidR="00090035" w:rsidRDefault="00090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F134" w14:textId="77777777" w:rsidR="004E0040" w:rsidRDefault="004E0040"/>
  </w:footnote>
  <w:footnote w:type="continuationSeparator" w:id="0">
    <w:p w14:paraId="58BA00B3" w14:textId="77777777" w:rsidR="004E0040" w:rsidRDefault="004E0040">
      <w:r>
        <w:continuationSeparator/>
      </w:r>
    </w:p>
  </w:footnote>
  <w:footnote w:id="1">
    <w:p w14:paraId="2FD613EE" w14:textId="670D8EFE" w:rsidR="004619DB" w:rsidRPr="004619DB" w:rsidRDefault="004619DB" w:rsidP="004619DB">
      <w:pPr>
        <w:pStyle w:val="FootnoteText"/>
        <w:spacing w:after="0"/>
        <w:rPr>
          <w:rFonts w:ascii="Arial" w:hAnsi="Arial" w:cs="Arial"/>
          <w:sz w:val="18"/>
          <w:szCs w:val="18"/>
        </w:rPr>
      </w:pPr>
      <w:r w:rsidRPr="004619DB">
        <w:rPr>
          <w:rStyle w:val="FootnoteReference"/>
          <w:rFonts w:ascii="Arial" w:hAnsi="Arial" w:cs="Arial"/>
          <w:sz w:val="18"/>
          <w:szCs w:val="18"/>
        </w:rPr>
        <w:footnoteRef/>
      </w:r>
      <w:r w:rsidRPr="004619DB">
        <w:rPr>
          <w:rFonts w:ascii="Arial" w:hAnsi="Arial" w:cs="Arial"/>
          <w:sz w:val="18"/>
          <w:szCs w:val="18"/>
        </w:rPr>
        <w:t xml:space="preserve"> ARTICLE 19, ‘Global Expression Report 2018/19’, 2 December 2019. Available at: </w:t>
      </w:r>
      <w:hyperlink r:id="rId1" w:history="1">
        <w:r w:rsidRPr="004619DB">
          <w:rPr>
            <w:rStyle w:val="Hyperlink"/>
            <w:rFonts w:ascii="Arial" w:hAnsi="Arial" w:cs="Arial"/>
            <w:sz w:val="18"/>
            <w:szCs w:val="18"/>
          </w:rPr>
          <w:t>https://www.article19.org/xpa-2019/</w:t>
        </w:r>
      </w:hyperlink>
      <w:r w:rsidRPr="004619DB">
        <w:rPr>
          <w:rFonts w:ascii="Arial" w:hAnsi="Arial" w:cs="Arial"/>
          <w:sz w:val="18"/>
          <w:szCs w:val="18"/>
        </w:rPr>
        <w:t xml:space="preserve">. </w:t>
      </w:r>
    </w:p>
  </w:footnote>
  <w:footnote w:id="2">
    <w:p w14:paraId="5AD9DE74" w14:textId="1ADDB154" w:rsidR="00090035" w:rsidRPr="004619DB" w:rsidRDefault="00090035" w:rsidP="004619DB">
      <w:pPr>
        <w:pStyle w:val="FootnoteText"/>
        <w:spacing w:after="0" w:line="240" w:lineRule="auto"/>
        <w:jc w:val="both"/>
        <w:rPr>
          <w:rFonts w:ascii="Arial" w:hAnsi="Arial" w:cs="Arial"/>
          <w:sz w:val="18"/>
          <w:szCs w:val="18"/>
        </w:rPr>
      </w:pPr>
      <w:r w:rsidRPr="004619DB">
        <w:rPr>
          <w:rStyle w:val="FootnoteCharacters"/>
          <w:rFonts w:ascii="Arial" w:hAnsi="Arial" w:cs="Arial"/>
          <w:sz w:val="18"/>
          <w:szCs w:val="18"/>
        </w:rPr>
        <w:footnoteRef/>
      </w:r>
      <w:r w:rsidRPr="004619DB">
        <w:rPr>
          <w:rFonts w:ascii="Arial" w:hAnsi="Arial" w:cs="Arial"/>
          <w:sz w:val="18"/>
          <w:szCs w:val="18"/>
        </w:rPr>
        <w:t xml:space="preserve"> </w:t>
      </w:r>
      <w:r w:rsidRPr="004619DB">
        <w:rPr>
          <w:rFonts w:ascii="Arial" w:hAnsi="Arial" w:cs="Arial"/>
          <w:sz w:val="18"/>
          <w:szCs w:val="18"/>
          <w:lang w:val="en-US"/>
        </w:rPr>
        <w:t xml:space="preserve">The Constitution of Kenya, 6 May 2010. Available at: </w:t>
      </w:r>
      <w:hyperlink r:id="rId2" w:history="1">
        <w:r w:rsidRPr="004619DB">
          <w:rPr>
            <w:rStyle w:val="Hyperlink"/>
            <w:rFonts w:ascii="Arial" w:hAnsi="Arial" w:cs="Arial"/>
            <w:sz w:val="18"/>
            <w:szCs w:val="18"/>
          </w:rPr>
          <w:t>http://www.kenyalaw.org/lex//actview.xql?actid=Const2010</w:t>
        </w:r>
      </w:hyperlink>
      <w:r w:rsidRPr="004619DB">
        <w:rPr>
          <w:rStyle w:val="InternetLink"/>
          <w:rFonts w:ascii="Arial" w:hAnsi="Arial" w:cs="Arial"/>
          <w:sz w:val="18"/>
          <w:szCs w:val="18"/>
        </w:rPr>
        <w:t xml:space="preserve">. </w:t>
      </w:r>
    </w:p>
  </w:footnote>
  <w:footnote w:id="3">
    <w:p w14:paraId="413E8A5C" w14:textId="15073E4B" w:rsidR="00090035" w:rsidRPr="00E64FBB" w:rsidRDefault="00090035" w:rsidP="004619DB">
      <w:pPr>
        <w:pStyle w:val="FootnoteText"/>
        <w:spacing w:after="0" w:line="240" w:lineRule="auto"/>
        <w:jc w:val="both"/>
        <w:rPr>
          <w:rFonts w:ascii="Arial" w:hAnsi="Arial" w:cs="Arial"/>
          <w:b/>
          <w:bCs/>
          <w:sz w:val="18"/>
          <w:szCs w:val="18"/>
        </w:rPr>
      </w:pPr>
      <w:r w:rsidRPr="004619DB">
        <w:rPr>
          <w:rStyle w:val="FootnoteCharacters"/>
          <w:rFonts w:ascii="Arial" w:hAnsi="Arial" w:cs="Arial"/>
          <w:sz w:val="18"/>
          <w:szCs w:val="18"/>
        </w:rPr>
        <w:footnoteRef/>
      </w:r>
      <w:r w:rsidRPr="004619DB">
        <w:rPr>
          <w:rStyle w:val="FootnoteCharacters"/>
          <w:rFonts w:ascii="Arial" w:hAnsi="Arial" w:cs="Arial"/>
          <w:sz w:val="18"/>
          <w:szCs w:val="18"/>
        </w:rPr>
        <w:t xml:space="preserve"> </w:t>
      </w:r>
      <w:r w:rsidRPr="004619DB">
        <w:rPr>
          <w:rFonts w:ascii="Arial" w:hAnsi="Arial" w:cs="Arial"/>
          <w:bCs/>
          <w:sz w:val="18"/>
          <w:szCs w:val="18"/>
        </w:rPr>
        <w:t>Petition 174 of 2016,</w:t>
      </w:r>
      <w:r w:rsidRPr="004619DB">
        <w:rPr>
          <w:rFonts w:ascii="Arial" w:hAnsi="Arial" w:cs="Arial"/>
          <w:sz w:val="18"/>
          <w:szCs w:val="18"/>
        </w:rPr>
        <w:t xml:space="preserve"> </w:t>
      </w:r>
      <w:r w:rsidRPr="004619DB">
        <w:rPr>
          <w:rFonts w:ascii="Arial" w:hAnsi="Arial" w:cs="Arial"/>
          <w:bCs/>
          <w:sz w:val="18"/>
          <w:szCs w:val="18"/>
        </w:rPr>
        <w:t xml:space="preserve">Robert Alai vs. The Hon Attorney General &amp; Another (2017) </w:t>
      </w:r>
      <w:proofErr w:type="spellStart"/>
      <w:r w:rsidRPr="004619DB">
        <w:rPr>
          <w:rFonts w:ascii="Arial" w:hAnsi="Arial" w:cs="Arial"/>
          <w:bCs/>
          <w:sz w:val="18"/>
          <w:szCs w:val="18"/>
        </w:rPr>
        <w:t>eKLR</w:t>
      </w:r>
      <w:proofErr w:type="spellEnd"/>
      <w:r w:rsidRPr="004619DB">
        <w:rPr>
          <w:rFonts w:ascii="Arial" w:hAnsi="Arial" w:cs="Arial"/>
          <w:bCs/>
          <w:sz w:val="18"/>
          <w:szCs w:val="18"/>
        </w:rPr>
        <w:t>. Available at:</w:t>
      </w:r>
      <w:r w:rsidRPr="004619DB">
        <w:rPr>
          <w:rFonts w:ascii="Arial" w:hAnsi="Arial" w:cs="Arial"/>
          <w:sz w:val="18"/>
          <w:szCs w:val="18"/>
        </w:rPr>
        <w:t xml:space="preserve">  </w:t>
      </w:r>
      <w:hyperlink r:id="rId3">
        <w:r w:rsidRPr="004619DB">
          <w:rPr>
            <w:rStyle w:val="InternetLink"/>
            <w:rFonts w:ascii="Arial" w:hAnsi="Arial" w:cs="Arial"/>
            <w:sz w:val="18"/>
            <w:szCs w:val="18"/>
          </w:rPr>
          <w:t>http://kenyalaw.org/caselaw/cases/view/135467/</w:t>
        </w:r>
      </w:hyperlink>
      <w:r w:rsidRPr="004619DB">
        <w:rPr>
          <w:rFonts w:ascii="Arial" w:hAnsi="Arial" w:cs="Arial"/>
          <w:sz w:val="18"/>
          <w:szCs w:val="18"/>
        </w:rPr>
        <w:t>.</w:t>
      </w:r>
      <w:r w:rsidRPr="00E64FBB">
        <w:rPr>
          <w:rFonts w:ascii="Arial" w:hAnsi="Arial" w:cs="Arial"/>
          <w:sz w:val="18"/>
          <w:szCs w:val="18"/>
        </w:rPr>
        <w:t xml:space="preserve"> </w:t>
      </w:r>
    </w:p>
  </w:footnote>
  <w:footnote w:id="4">
    <w:p w14:paraId="364D13BD" w14:textId="710D97CD" w:rsidR="00090035" w:rsidRPr="00E64FBB" w:rsidRDefault="00090035" w:rsidP="00E64FBB">
      <w:pPr>
        <w:pStyle w:val="FootnoteText"/>
        <w:spacing w:after="0" w:line="240" w:lineRule="auto"/>
        <w:jc w:val="both"/>
        <w:rPr>
          <w:rFonts w:ascii="Arial" w:hAnsi="Arial" w:cs="Arial"/>
          <w:sz w:val="18"/>
          <w:szCs w:val="18"/>
          <w:lang w:val="en-US"/>
        </w:rPr>
      </w:pPr>
      <w:r w:rsidRPr="00E64FBB">
        <w:rPr>
          <w:rStyle w:val="FootnoteReference"/>
          <w:rFonts w:ascii="Arial" w:hAnsi="Arial" w:cs="Arial"/>
          <w:sz w:val="18"/>
          <w:szCs w:val="18"/>
        </w:rPr>
        <w:footnoteRef/>
      </w:r>
      <w:r w:rsidRPr="00E64FBB">
        <w:rPr>
          <w:rFonts w:ascii="Arial" w:hAnsi="Arial" w:cs="Arial"/>
          <w:sz w:val="18"/>
          <w:szCs w:val="18"/>
        </w:rPr>
        <w:t xml:space="preserve"> ARTICLE 19, ‘Kenya: Win for freedom of expression as penal provision declared unconstitutional’, Article 19, 26 April 2017. Available at: </w:t>
      </w:r>
      <w:hyperlink r:id="rId4" w:history="1">
        <w:r w:rsidRPr="00E64FBB">
          <w:rPr>
            <w:rStyle w:val="Hyperlink"/>
            <w:rFonts w:ascii="Arial" w:hAnsi="Arial" w:cs="Arial"/>
            <w:sz w:val="18"/>
            <w:szCs w:val="18"/>
          </w:rPr>
          <w:t>https://www.article19.org/resources.php/resource/38727/en/kenya:-win-for-freedom-of-expression-as-penal-provision-declared-unconstitutional</w:t>
        </w:r>
      </w:hyperlink>
      <w:r w:rsidRPr="00E64FBB">
        <w:rPr>
          <w:rFonts w:ascii="Arial" w:hAnsi="Arial" w:cs="Arial"/>
          <w:sz w:val="18"/>
          <w:szCs w:val="18"/>
        </w:rPr>
        <w:t xml:space="preserve">. </w:t>
      </w:r>
    </w:p>
  </w:footnote>
  <w:footnote w:id="5">
    <w:p w14:paraId="0F526E18" w14:textId="7C7F768F"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w:t>
      </w:r>
      <w:r w:rsidRPr="00E64FBB">
        <w:rPr>
          <w:rFonts w:ascii="Arial" w:hAnsi="Arial" w:cs="Arial"/>
          <w:bCs/>
          <w:color w:val="auto"/>
          <w:sz w:val="18"/>
          <w:szCs w:val="18"/>
        </w:rPr>
        <w:t>Petition 397 of 2016, J</w:t>
      </w:r>
      <w:r w:rsidRPr="00E64FBB">
        <w:rPr>
          <w:rFonts w:ascii="Arial" w:hAnsi="Arial" w:cs="Arial"/>
          <w:sz w:val="18"/>
          <w:szCs w:val="18"/>
        </w:rPr>
        <w:t xml:space="preserve">acqueline </w:t>
      </w:r>
      <w:proofErr w:type="spellStart"/>
      <w:r w:rsidRPr="00E64FBB">
        <w:rPr>
          <w:rFonts w:ascii="Arial" w:hAnsi="Arial" w:cs="Arial"/>
          <w:sz w:val="18"/>
          <w:szCs w:val="18"/>
        </w:rPr>
        <w:t>Okuta</w:t>
      </w:r>
      <w:proofErr w:type="spellEnd"/>
      <w:r w:rsidRPr="00E64FBB">
        <w:rPr>
          <w:rFonts w:ascii="Arial" w:hAnsi="Arial" w:cs="Arial"/>
          <w:sz w:val="18"/>
          <w:szCs w:val="18"/>
        </w:rPr>
        <w:t xml:space="preserve"> &amp; Anor vs. AG &amp; Others (2017),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5" w:history="1">
        <w:r w:rsidRPr="00E64FBB">
          <w:rPr>
            <w:rStyle w:val="Hyperlink"/>
            <w:rFonts w:ascii="Arial" w:hAnsi="Arial" w:cs="Arial"/>
            <w:sz w:val="18"/>
            <w:szCs w:val="18"/>
          </w:rPr>
          <w:t>http://kenyalaw.org/caselaw/cases/view/130781/?platform=hootsuite</w:t>
        </w:r>
      </w:hyperlink>
      <w:r w:rsidRPr="00E64FBB">
        <w:rPr>
          <w:rFonts w:ascii="Arial" w:hAnsi="Arial" w:cs="Arial"/>
          <w:sz w:val="18"/>
          <w:szCs w:val="18"/>
        </w:rPr>
        <w:t xml:space="preserve">. </w:t>
      </w:r>
    </w:p>
  </w:footnote>
  <w:footnote w:id="6">
    <w:p w14:paraId="5F8B9B11" w14:textId="2B4F42B2"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UN Human Rights Committee, ‘General Comment 34 on Article 19’ (CCPR/C/GC/34), 12 September 2011, p. 32. Available at: </w:t>
      </w:r>
      <w:hyperlink r:id="rId6" w:history="1">
        <w:r w:rsidRPr="00E64FBB">
          <w:rPr>
            <w:rStyle w:val="Hyperlink"/>
            <w:rFonts w:ascii="Arial" w:hAnsi="Arial" w:cs="Arial"/>
            <w:sz w:val="18"/>
            <w:szCs w:val="18"/>
          </w:rPr>
          <w:t>https://digitallibrary.un.org/record/715606?ln=en</w:t>
        </w:r>
      </w:hyperlink>
      <w:r w:rsidRPr="00E64FBB">
        <w:rPr>
          <w:rFonts w:ascii="Arial" w:hAnsi="Arial" w:cs="Arial"/>
          <w:sz w:val="18"/>
          <w:szCs w:val="18"/>
        </w:rPr>
        <w:t xml:space="preserve">. </w:t>
      </w:r>
    </w:p>
  </w:footnote>
  <w:footnote w:id="7">
    <w:p w14:paraId="4C2490EA" w14:textId="77777777" w:rsidR="00090035" w:rsidRPr="00E64FBB" w:rsidRDefault="00090035" w:rsidP="00090035">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The Computer Misuse and Cybercrimes Act, 2018. Available at: </w:t>
      </w:r>
      <w:hyperlink r:id="rId7" w:history="1">
        <w:r w:rsidRPr="00E64FBB">
          <w:rPr>
            <w:rStyle w:val="Hyperlink"/>
            <w:rFonts w:ascii="Arial" w:hAnsi="Arial" w:cs="Arial"/>
            <w:sz w:val="18"/>
            <w:szCs w:val="18"/>
          </w:rPr>
          <w:t>https://www.theelephant.info/documents/computer-misuse-and-cybercrimes-act-2018/</w:t>
        </w:r>
      </w:hyperlink>
      <w:r w:rsidRPr="00E64FBB">
        <w:rPr>
          <w:rFonts w:ascii="Arial" w:hAnsi="Arial" w:cs="Arial"/>
          <w:sz w:val="18"/>
          <w:szCs w:val="18"/>
        </w:rPr>
        <w:t>.</w:t>
      </w:r>
    </w:p>
  </w:footnote>
  <w:footnote w:id="8">
    <w:p w14:paraId="31D831EE" w14:textId="77777777" w:rsidR="00090035" w:rsidRPr="00E64FBB" w:rsidRDefault="00090035" w:rsidP="00090035">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Style w:val="StrongEmphasis"/>
          <w:rFonts w:ascii="Arial" w:hAnsi="Arial" w:cs="Arial"/>
          <w:b w:val="0"/>
          <w:iCs/>
          <w:sz w:val="18"/>
          <w:szCs w:val="18"/>
        </w:rPr>
        <w:t>Petition 2016 of 2018, The Bloggers Association of Kenya (BAKE) vs. Attorney General &amp; 5 Others</w:t>
      </w:r>
      <w:r w:rsidRPr="00E64FBB">
        <w:rPr>
          <w:rStyle w:val="StrongEmphasis"/>
          <w:rFonts w:ascii="Arial" w:hAnsi="Arial" w:cs="Arial"/>
          <w:b w:val="0"/>
          <w:sz w:val="18"/>
          <w:szCs w:val="18"/>
        </w:rPr>
        <w:t xml:space="preserve"> (2018), </w:t>
      </w:r>
      <w:proofErr w:type="spellStart"/>
      <w:r w:rsidRPr="00E64FBB">
        <w:rPr>
          <w:rStyle w:val="StrongEmphasis"/>
          <w:rFonts w:ascii="Arial" w:hAnsi="Arial" w:cs="Arial"/>
          <w:b w:val="0"/>
          <w:sz w:val="18"/>
          <w:szCs w:val="18"/>
        </w:rPr>
        <w:t>eKLR</w:t>
      </w:r>
      <w:proofErr w:type="spellEnd"/>
      <w:r w:rsidRPr="00E64FBB">
        <w:rPr>
          <w:rStyle w:val="StrongEmphasis"/>
          <w:rFonts w:ascii="Arial" w:hAnsi="Arial" w:cs="Arial"/>
          <w:b w:val="0"/>
          <w:sz w:val="18"/>
          <w:szCs w:val="18"/>
        </w:rPr>
        <w:t xml:space="preserve">. Available at: </w:t>
      </w:r>
      <w:hyperlink r:id="rId8" w:history="1">
        <w:r w:rsidRPr="00E64FBB">
          <w:rPr>
            <w:rStyle w:val="Hyperlink"/>
            <w:rFonts w:ascii="Arial" w:hAnsi="Arial" w:cs="Arial"/>
            <w:sz w:val="18"/>
            <w:szCs w:val="18"/>
          </w:rPr>
          <w:t>http://kenyalaw.org/caselaw/cases/view/159286</w:t>
        </w:r>
      </w:hyperlink>
      <w:r w:rsidRPr="00E64FBB">
        <w:rPr>
          <w:rStyle w:val="StrongEmphasis"/>
          <w:rFonts w:ascii="Arial" w:hAnsi="Arial" w:cs="Arial"/>
          <w:b w:val="0"/>
          <w:sz w:val="18"/>
          <w:szCs w:val="18"/>
        </w:rPr>
        <w:t>.</w:t>
      </w:r>
    </w:p>
  </w:footnote>
  <w:footnote w:id="9">
    <w:p w14:paraId="4E0057E5" w14:textId="77777777" w:rsidR="00090035" w:rsidRPr="00E64FBB" w:rsidRDefault="00090035" w:rsidP="00090035">
      <w:pPr>
        <w:pStyle w:val="FootnoteText"/>
        <w:spacing w:after="0"/>
        <w:jc w:val="both"/>
        <w:rPr>
          <w:rFonts w:ascii="Arial" w:hAnsi="Arial" w:cs="Arial"/>
          <w:sz w:val="18"/>
          <w:szCs w:val="18"/>
        </w:rPr>
      </w:pPr>
      <w:r w:rsidRPr="00E64FBB">
        <w:rPr>
          <w:rStyle w:val="FootnoteAnchor"/>
          <w:rFonts w:ascii="Arial" w:hAnsi="Arial" w:cs="Arial"/>
          <w:color w:val="auto"/>
          <w:sz w:val="18"/>
          <w:szCs w:val="18"/>
        </w:rPr>
        <w:footnoteRef/>
      </w:r>
      <w:r w:rsidRPr="00E64FBB">
        <w:rPr>
          <w:rFonts w:ascii="Arial" w:hAnsi="Arial" w:cs="Arial"/>
          <w:color w:val="auto"/>
          <w:sz w:val="18"/>
          <w:szCs w:val="18"/>
        </w:rPr>
        <w:t xml:space="preserve"> </w:t>
      </w:r>
      <w:r w:rsidRPr="00E64FBB">
        <w:rPr>
          <w:rFonts w:ascii="Arial" w:hAnsi="Arial" w:cs="Arial"/>
          <w:sz w:val="18"/>
          <w:szCs w:val="18"/>
        </w:rPr>
        <w:t xml:space="preserve">The court order suspended the following sections of the Computer Misuse and Cybercrimes Act, 2018: ss. 5, 16, 17, 22, 23, 24, 27 - 29, 31 - 41, and 48 – 53. See: Business Daily, ‘Court suspends Computer Misuse and Cybercrimes Act’, 30 May 2018. Available at: </w:t>
      </w:r>
      <w:hyperlink r:id="rId9" w:history="1">
        <w:r w:rsidRPr="00E64FBB">
          <w:rPr>
            <w:rStyle w:val="Hyperlink"/>
            <w:rFonts w:ascii="Arial" w:hAnsi="Arial" w:cs="Arial"/>
            <w:sz w:val="18"/>
            <w:szCs w:val="18"/>
          </w:rPr>
          <w:t>https://businesstoday.co.ke/court-suspends-computer-misuse-cybercrimes-act/</w:t>
        </w:r>
      </w:hyperlink>
      <w:r w:rsidRPr="00E64FBB">
        <w:rPr>
          <w:rFonts w:ascii="Arial" w:hAnsi="Arial" w:cs="Arial"/>
          <w:sz w:val="18"/>
          <w:szCs w:val="18"/>
        </w:rPr>
        <w:t xml:space="preserve">. </w:t>
      </w:r>
    </w:p>
  </w:footnote>
  <w:footnote w:id="10">
    <w:p w14:paraId="7E38BD43" w14:textId="77777777" w:rsidR="00090035" w:rsidRPr="00E64FBB" w:rsidRDefault="00090035" w:rsidP="00090035">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The Court asserted, in response to the application to review, set aside, vary or suspend the </w:t>
      </w:r>
      <w:r w:rsidRPr="00E64FBB">
        <w:rPr>
          <w:rStyle w:val="StrongEmphasis"/>
          <w:rFonts w:ascii="Arial" w:hAnsi="Arial" w:cs="Arial"/>
          <w:b w:val="0"/>
          <w:sz w:val="18"/>
          <w:szCs w:val="18"/>
        </w:rPr>
        <w:t xml:space="preserve">ex parte orders made on 29 May 2018, that the court which issued the conservatory orders bore in mind the delicate balance which needs to be struck between the need to ‘protect the petitioner’s rights that were alleged to be under threat of violation by the coming into force of the impugned Act and the public interest that citizens be governed by an Act that passes the constitutional muster.’ See: Op. Cit. </w:t>
      </w:r>
      <w:r w:rsidRPr="00E64FBB">
        <w:rPr>
          <w:rFonts w:ascii="Arial" w:hAnsi="Arial" w:cs="Arial"/>
          <w:iCs/>
          <w:sz w:val="18"/>
          <w:szCs w:val="18"/>
        </w:rPr>
        <w:t>BAKE vs. Attorney General &amp; 5 Others, p. 28.</w:t>
      </w:r>
    </w:p>
  </w:footnote>
  <w:footnote w:id="11">
    <w:p w14:paraId="61C1A1B5" w14:textId="77777777" w:rsidR="00090035" w:rsidRPr="00E64FBB" w:rsidRDefault="00090035" w:rsidP="00090035">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Petitions 628 and 630 of 2014, Coalition for Reform and Democracy (CORD) &amp; Another vs. Republic of Kenya &amp; Another (2015),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10" w:history="1">
        <w:r w:rsidRPr="00E64FBB">
          <w:rPr>
            <w:rStyle w:val="Hyperlink"/>
            <w:rFonts w:ascii="Arial" w:hAnsi="Arial" w:cs="Arial"/>
            <w:sz w:val="18"/>
            <w:szCs w:val="18"/>
          </w:rPr>
          <w:t>http://kenyalaw.org/caselaw/cases/view/104799/</w:t>
        </w:r>
      </w:hyperlink>
      <w:r w:rsidRPr="00E64FBB">
        <w:rPr>
          <w:rFonts w:ascii="Arial" w:hAnsi="Arial" w:cs="Arial"/>
          <w:sz w:val="18"/>
          <w:szCs w:val="18"/>
        </w:rPr>
        <w:t xml:space="preserve">. </w:t>
      </w:r>
    </w:p>
  </w:footnote>
  <w:footnote w:id="12">
    <w:p w14:paraId="2DA7DF76" w14:textId="24A7756F" w:rsidR="00090035" w:rsidRPr="00E64FBB" w:rsidRDefault="00090035" w:rsidP="00E64FBB">
      <w:pPr>
        <w:autoSpaceDE w:val="0"/>
        <w:autoSpaceDN w:val="0"/>
        <w:adjustRightInd w:val="0"/>
        <w:spacing w:after="0" w:line="240" w:lineRule="auto"/>
        <w:jc w:val="both"/>
        <w:rPr>
          <w:rFonts w:ascii="Arial" w:hAnsi="Arial" w:cs="Arial"/>
          <w:color w:val="auto"/>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UN Human Rights Committee, ‘</w:t>
      </w:r>
      <w:r w:rsidRPr="00E64FBB">
        <w:rPr>
          <w:rFonts w:ascii="Arial" w:hAnsi="Arial" w:cs="Arial"/>
          <w:color w:val="auto"/>
          <w:sz w:val="18"/>
          <w:szCs w:val="18"/>
        </w:rPr>
        <w:t xml:space="preserve">Concluding Observations Adopted by the Human Right Committee at its 105th Session, 9-27 July 2012 – Kenya (CCPR/C/KEN/CO/3)’, 31 August 2012. Available at: </w:t>
      </w:r>
      <w:hyperlink r:id="rId11" w:history="1">
        <w:r w:rsidRPr="00E64FBB">
          <w:rPr>
            <w:rStyle w:val="Hyperlink"/>
            <w:rFonts w:ascii="Arial" w:hAnsi="Arial" w:cs="Arial"/>
            <w:sz w:val="18"/>
            <w:szCs w:val="18"/>
          </w:rPr>
          <w:t>https://tbinternet.ohchr.org/_layouts/15/treatybodyexternal/Download.aspx?symbolno=CCPR/C/KEN/CO/3&amp;Lang=En</w:t>
        </w:r>
      </w:hyperlink>
      <w:r w:rsidRPr="00E64FBB">
        <w:rPr>
          <w:rFonts w:ascii="Arial" w:hAnsi="Arial" w:cs="Arial"/>
          <w:color w:val="auto"/>
          <w:sz w:val="18"/>
          <w:szCs w:val="18"/>
        </w:rPr>
        <w:t xml:space="preserve">. </w:t>
      </w:r>
    </w:p>
  </w:footnote>
  <w:footnote w:id="13">
    <w:p w14:paraId="07E75F8C" w14:textId="4E417400"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The Prevention of Terrorism Act, 12 October 2012. Available at: </w:t>
      </w:r>
      <w:hyperlink r:id="rId12" w:history="1">
        <w:r w:rsidRPr="00E64FBB">
          <w:rPr>
            <w:rStyle w:val="Hyperlink"/>
            <w:rFonts w:ascii="Arial" w:hAnsi="Arial" w:cs="Arial"/>
            <w:sz w:val="18"/>
            <w:szCs w:val="18"/>
          </w:rPr>
          <w:t>http://www.kenyalaw.org:8181/exist/kenyalex/actview.xql?actid=No.%2030%20of%202012</w:t>
        </w:r>
      </w:hyperlink>
      <w:r w:rsidRPr="00E64FBB">
        <w:rPr>
          <w:rFonts w:ascii="Arial" w:hAnsi="Arial" w:cs="Arial"/>
          <w:sz w:val="18"/>
          <w:szCs w:val="18"/>
        </w:rPr>
        <w:t xml:space="preserve">. </w:t>
      </w:r>
    </w:p>
  </w:footnote>
  <w:footnote w:id="14">
    <w:p w14:paraId="79E7DA89" w14:textId="70EA848E" w:rsidR="00090035" w:rsidRPr="00E64FBB" w:rsidRDefault="00090035" w:rsidP="00E64FBB">
      <w:pPr>
        <w:pStyle w:val="Default"/>
        <w:jc w:val="both"/>
        <w:rPr>
          <w:rFonts w:ascii="Arial" w:hAnsi="Arial" w:cs="Arial"/>
          <w:color w:val="auto"/>
          <w:sz w:val="18"/>
          <w:szCs w:val="18"/>
        </w:rPr>
      </w:pPr>
      <w:r w:rsidRPr="00E64FBB">
        <w:rPr>
          <w:rStyle w:val="FootnoteReference"/>
          <w:rFonts w:ascii="Arial" w:hAnsi="Arial" w:cs="Arial"/>
          <w:color w:val="auto"/>
          <w:sz w:val="18"/>
          <w:szCs w:val="18"/>
        </w:rPr>
        <w:footnoteRef/>
      </w:r>
      <w:r w:rsidRPr="00E64FBB">
        <w:rPr>
          <w:rFonts w:ascii="Arial" w:hAnsi="Arial" w:cs="Arial"/>
          <w:color w:val="auto"/>
          <w:sz w:val="18"/>
          <w:szCs w:val="18"/>
        </w:rPr>
        <w:t xml:space="preserve"> UN General Assembly, ‘</w:t>
      </w:r>
      <w:r w:rsidRPr="00E64FBB">
        <w:rPr>
          <w:rFonts w:ascii="Arial" w:hAnsi="Arial" w:cs="Arial"/>
          <w:bCs/>
          <w:color w:val="auto"/>
          <w:sz w:val="18"/>
          <w:szCs w:val="18"/>
        </w:rPr>
        <w:t xml:space="preserve">Report of the Special Rapporteur on the promotion and protection of human rights and fundamental freedoms while countering terrorism: Impact of measures to address terrorism and violent extremism on civic space and the rights of civil society actors and human rights defenders (A/HRC/40/52), 1 March 2019, p. 19. Available at: </w:t>
      </w:r>
      <w:hyperlink r:id="rId13" w:history="1">
        <w:r w:rsidRPr="00E64FBB">
          <w:rPr>
            <w:rStyle w:val="Hyperlink"/>
            <w:rFonts w:ascii="Arial" w:hAnsi="Arial" w:cs="Arial"/>
            <w:bCs/>
            <w:sz w:val="18"/>
            <w:szCs w:val="18"/>
          </w:rPr>
          <w:t>https://undocs.org/en/A/HRC/40/52</w:t>
        </w:r>
      </w:hyperlink>
      <w:r w:rsidRPr="00E64FBB">
        <w:rPr>
          <w:rFonts w:ascii="Arial" w:hAnsi="Arial" w:cs="Arial"/>
          <w:bCs/>
          <w:color w:val="auto"/>
          <w:sz w:val="18"/>
          <w:szCs w:val="18"/>
        </w:rPr>
        <w:t xml:space="preserve">. </w:t>
      </w:r>
    </w:p>
  </w:footnote>
  <w:footnote w:id="15">
    <w:p w14:paraId="4EB7C24A" w14:textId="47A21E94"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w:t>
      </w:r>
      <w:r w:rsidRPr="00E64FBB">
        <w:rPr>
          <w:rFonts w:ascii="Arial" w:eastAsia="Times New Roman" w:hAnsi="Arial" w:cs="Arial"/>
          <w:sz w:val="18"/>
          <w:szCs w:val="18"/>
          <w:lang w:eastAsia="en-GB"/>
        </w:rPr>
        <w:t>International Federation for Human Rights, ‘</w:t>
      </w:r>
      <w:r w:rsidRPr="00E64FBB">
        <w:rPr>
          <w:rFonts w:ascii="Arial" w:eastAsia="Times New Roman" w:hAnsi="Arial" w:cs="Arial"/>
          <w:iCs/>
          <w:sz w:val="18"/>
          <w:szCs w:val="18"/>
          <w:lang w:eastAsia="en-GB"/>
        </w:rPr>
        <w:t>Kenya: Human rights organisations are not terrorist organizations’</w:t>
      </w:r>
      <w:r w:rsidRPr="00E64FBB">
        <w:rPr>
          <w:rFonts w:ascii="Arial" w:eastAsia="Times New Roman" w:hAnsi="Arial" w:cs="Arial"/>
          <w:sz w:val="18"/>
          <w:szCs w:val="18"/>
          <w:lang w:eastAsia="en-GB"/>
        </w:rPr>
        <w:t xml:space="preserve">, 14 April 2015. Available at: </w:t>
      </w:r>
      <w:hyperlink r:id="rId14" w:history="1">
        <w:r w:rsidRPr="00E64FBB">
          <w:rPr>
            <w:rStyle w:val="Hyperlink"/>
            <w:rFonts w:ascii="Arial" w:eastAsia="Times New Roman" w:hAnsi="Arial" w:cs="Arial"/>
            <w:sz w:val="18"/>
            <w:szCs w:val="18"/>
            <w:lang w:eastAsia="en-GB"/>
          </w:rPr>
          <w:t>https://www.refworld.org/docid/555da76934.html</w:t>
        </w:r>
      </w:hyperlink>
      <w:r w:rsidRPr="00E64FBB">
        <w:rPr>
          <w:rFonts w:ascii="Arial" w:eastAsia="Times New Roman" w:hAnsi="Arial" w:cs="Arial"/>
          <w:sz w:val="18"/>
          <w:szCs w:val="18"/>
          <w:lang w:eastAsia="en-GB"/>
        </w:rPr>
        <w:t xml:space="preserve">. </w:t>
      </w:r>
    </w:p>
  </w:footnote>
  <w:footnote w:id="16">
    <w:p w14:paraId="2FAD3655" w14:textId="0A14691D" w:rsidR="00090035" w:rsidRPr="00E64FBB" w:rsidRDefault="00090035" w:rsidP="00E64FBB">
      <w:pPr>
        <w:pStyle w:val="FootnoteText"/>
        <w:spacing w:after="0" w:line="240" w:lineRule="auto"/>
        <w:jc w:val="both"/>
        <w:rPr>
          <w:rFonts w:ascii="Arial" w:hAnsi="Arial" w:cs="Arial"/>
          <w:bCs/>
          <w:sz w:val="18"/>
          <w:szCs w:val="18"/>
        </w:rPr>
      </w:pPr>
      <w:r w:rsidRPr="00E64FBB">
        <w:rPr>
          <w:rStyle w:val="FootnoteReference"/>
          <w:rFonts w:ascii="Arial" w:hAnsi="Arial" w:cs="Arial"/>
          <w:sz w:val="18"/>
          <w:szCs w:val="18"/>
        </w:rPr>
        <w:footnoteRef/>
      </w:r>
      <w:r w:rsidRPr="00E64FBB">
        <w:rPr>
          <w:rFonts w:ascii="Arial" w:hAnsi="Arial" w:cs="Arial"/>
          <w:bCs/>
          <w:sz w:val="18"/>
          <w:szCs w:val="18"/>
        </w:rPr>
        <w:t xml:space="preserve"> ARTICLE 19, ‘Kenya: Blogger Alai to face terror-related charges’, 21 June 2019. Available at</w:t>
      </w:r>
      <w:r w:rsidRPr="00E64FBB">
        <w:rPr>
          <w:rFonts w:ascii="Arial" w:hAnsi="Arial" w:cs="Arial"/>
          <w:sz w:val="18"/>
          <w:szCs w:val="18"/>
        </w:rPr>
        <w:t xml:space="preserve">: </w:t>
      </w:r>
      <w:hyperlink r:id="rId15" w:history="1">
        <w:r w:rsidRPr="00E64FBB">
          <w:rPr>
            <w:rStyle w:val="Hyperlink"/>
            <w:rFonts w:ascii="Arial" w:hAnsi="Arial" w:cs="Arial"/>
            <w:sz w:val="18"/>
            <w:szCs w:val="18"/>
          </w:rPr>
          <w:t>https://www.article19.org/resources/kenya-blogger-alai-to-face-terror-related-charges/</w:t>
        </w:r>
      </w:hyperlink>
      <w:r w:rsidRPr="00E64FBB">
        <w:rPr>
          <w:rFonts w:ascii="Arial" w:hAnsi="Arial" w:cs="Arial"/>
          <w:sz w:val="18"/>
          <w:szCs w:val="18"/>
        </w:rPr>
        <w:t xml:space="preserve">. </w:t>
      </w:r>
    </w:p>
  </w:footnote>
  <w:footnote w:id="17">
    <w:p w14:paraId="048F0B69" w14:textId="29E23233"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The Security Laws (Amendment) Act, 22 December 2014. Available at: </w:t>
      </w:r>
      <w:hyperlink r:id="rId16" w:history="1">
        <w:r w:rsidRPr="00E64FBB">
          <w:rPr>
            <w:rStyle w:val="Hyperlink"/>
            <w:rFonts w:ascii="Arial" w:hAnsi="Arial" w:cs="Arial"/>
            <w:sz w:val="18"/>
            <w:szCs w:val="18"/>
          </w:rPr>
          <w:t>http://kenyalaw.org/kl/index.php?id=4405</w:t>
        </w:r>
      </w:hyperlink>
      <w:r w:rsidRPr="00E64FBB">
        <w:rPr>
          <w:rFonts w:ascii="Arial" w:hAnsi="Arial" w:cs="Arial"/>
          <w:sz w:val="18"/>
          <w:szCs w:val="18"/>
        </w:rPr>
        <w:t xml:space="preserve">. </w:t>
      </w:r>
    </w:p>
  </w:footnote>
  <w:footnote w:id="18">
    <w:p w14:paraId="7EB57D74" w14:textId="7C2DBB41"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Petition 628, 630 of 2014 &amp; 12 of 2015, Coalition for Reform and Democracy (CORD) &amp; 2 Others vs. Republic of Kenya &amp; 10 Others (2015)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17" w:history="1">
        <w:r w:rsidRPr="00E64FBB">
          <w:rPr>
            <w:rStyle w:val="Hyperlink"/>
            <w:rFonts w:ascii="Arial" w:hAnsi="Arial" w:cs="Arial"/>
            <w:sz w:val="18"/>
            <w:szCs w:val="18"/>
          </w:rPr>
          <w:t>http://kenyalaw.org/caselaw/cases/view/106083/</w:t>
        </w:r>
      </w:hyperlink>
      <w:r w:rsidRPr="00E64FBB">
        <w:rPr>
          <w:rFonts w:ascii="Arial" w:hAnsi="Arial" w:cs="Arial"/>
          <w:sz w:val="18"/>
          <w:szCs w:val="18"/>
        </w:rPr>
        <w:t xml:space="preserve">. </w:t>
      </w:r>
    </w:p>
  </w:footnote>
  <w:footnote w:id="19">
    <w:p w14:paraId="65F966A5" w14:textId="7C237A3F"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Op. Cit., The Security Laws (Amendment) Act, Sections 16, 20, 26. </w:t>
      </w:r>
    </w:p>
  </w:footnote>
  <w:footnote w:id="20">
    <w:p w14:paraId="3C37A4DB" w14:textId="131F1569"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HRD Coalition, ‘Perception Survey on Communication Surveillance and Privacy of Human Rights Defenders in Kenya’, 1 December 2018. Available at: </w:t>
      </w:r>
      <w:hyperlink r:id="rId18" w:history="1">
        <w:r w:rsidRPr="00E64FBB">
          <w:rPr>
            <w:rStyle w:val="Hyperlink"/>
            <w:rFonts w:ascii="Arial" w:hAnsi="Arial" w:cs="Arial"/>
            <w:sz w:val="18"/>
            <w:szCs w:val="18"/>
          </w:rPr>
          <w:t>https://hrdcoalition.org/perception-survey-on-communication-surveillance-and-privacy-of-human-rights-defenders-in-kenya/</w:t>
        </w:r>
      </w:hyperlink>
      <w:r w:rsidRPr="00E64FBB">
        <w:rPr>
          <w:rFonts w:ascii="Arial" w:hAnsi="Arial" w:cs="Arial"/>
          <w:sz w:val="18"/>
          <w:szCs w:val="18"/>
        </w:rPr>
        <w:t xml:space="preserve">. </w:t>
      </w:r>
    </w:p>
  </w:footnote>
  <w:footnote w:id="21">
    <w:p w14:paraId="3DBC2A91" w14:textId="5489F97F"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The Kenya Information and Communications (Amendment) Act, 18 December 2013. Available at: </w:t>
      </w:r>
      <w:hyperlink r:id="rId19" w:history="1">
        <w:r w:rsidRPr="00E64FBB">
          <w:rPr>
            <w:rStyle w:val="Hyperlink"/>
            <w:rFonts w:ascii="Arial" w:hAnsi="Arial" w:cs="Arial"/>
            <w:sz w:val="18"/>
            <w:szCs w:val="18"/>
          </w:rPr>
          <w:t>https://www.mediacouncil.or.ke/en/mck/index.php/publications/media-laws/viewdownload/9-media-laws/30-the-kenya-information-and-communications-amendment-act-2013</w:t>
        </w:r>
      </w:hyperlink>
      <w:r w:rsidRPr="00E64FBB">
        <w:rPr>
          <w:rFonts w:ascii="Arial" w:hAnsi="Arial" w:cs="Arial"/>
          <w:sz w:val="18"/>
          <w:szCs w:val="18"/>
        </w:rPr>
        <w:t xml:space="preserve">. </w:t>
      </w:r>
    </w:p>
  </w:footnote>
  <w:footnote w:id="22">
    <w:p w14:paraId="0E9BC1EE" w14:textId="1FDCDEF2" w:rsidR="00090035" w:rsidRPr="00E64FBB" w:rsidRDefault="00090035" w:rsidP="00E64FBB">
      <w:pPr>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lang w:val="en-US"/>
        </w:rPr>
        <w:t xml:space="preserve"> Petition 31 of 2014, </w:t>
      </w:r>
      <w:r w:rsidRPr="00E64FBB">
        <w:rPr>
          <w:rFonts w:ascii="Arial" w:eastAsia="DejaVu Sans" w:hAnsi="Arial" w:cs="Arial"/>
          <w:color w:val="auto"/>
          <w:sz w:val="18"/>
          <w:szCs w:val="18"/>
          <w:lang w:val="en-US" w:bidi="en-US"/>
        </w:rPr>
        <w:t xml:space="preserve">Nation Media Group Limited &amp; 6 others vs. Attorney General &amp; 9 Others (2016) </w:t>
      </w:r>
      <w:proofErr w:type="spellStart"/>
      <w:r w:rsidRPr="00E64FBB">
        <w:rPr>
          <w:rFonts w:ascii="Arial" w:eastAsia="DejaVu Sans" w:hAnsi="Arial" w:cs="Arial"/>
          <w:color w:val="auto"/>
          <w:sz w:val="18"/>
          <w:szCs w:val="18"/>
          <w:lang w:val="en-US" w:bidi="en-US"/>
        </w:rPr>
        <w:t>eKLR</w:t>
      </w:r>
      <w:proofErr w:type="spellEnd"/>
      <w:r w:rsidRPr="00E64FBB">
        <w:rPr>
          <w:rFonts w:ascii="Arial" w:eastAsia="DejaVu Sans" w:hAnsi="Arial" w:cs="Arial"/>
          <w:color w:val="auto"/>
          <w:sz w:val="18"/>
          <w:szCs w:val="18"/>
          <w:lang w:val="en-US" w:bidi="en-US"/>
        </w:rPr>
        <w:t xml:space="preserve">. Available at: </w:t>
      </w:r>
      <w:hyperlink r:id="rId20" w:history="1">
        <w:r w:rsidRPr="00E64FBB">
          <w:rPr>
            <w:rStyle w:val="Hyperlink"/>
            <w:rFonts w:ascii="Arial" w:eastAsia="DejaVu Sans" w:hAnsi="Arial" w:cs="Arial"/>
            <w:sz w:val="18"/>
            <w:szCs w:val="18"/>
            <w:lang w:val="en-US" w:bidi="en-US"/>
          </w:rPr>
          <w:t>http://kenyalaw.org/caselaw/cases/view/122358/</w:t>
        </w:r>
      </w:hyperlink>
      <w:r w:rsidRPr="00E64FBB">
        <w:rPr>
          <w:rFonts w:ascii="Arial" w:eastAsia="DejaVu Sans" w:hAnsi="Arial" w:cs="Arial"/>
          <w:color w:val="auto"/>
          <w:sz w:val="18"/>
          <w:szCs w:val="18"/>
          <w:lang w:val="en-US" w:bidi="en-US"/>
        </w:rPr>
        <w:t xml:space="preserve">. </w:t>
      </w:r>
    </w:p>
  </w:footnote>
  <w:footnote w:id="23">
    <w:p w14:paraId="68CE1155" w14:textId="0CAE063E"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Petition 149 of 2015, Geoffrey </w:t>
      </w:r>
      <w:proofErr w:type="spellStart"/>
      <w:r w:rsidRPr="00E64FBB">
        <w:rPr>
          <w:rFonts w:ascii="Arial" w:hAnsi="Arial" w:cs="Arial"/>
          <w:sz w:val="18"/>
          <w:szCs w:val="18"/>
        </w:rPr>
        <w:t>Andare</w:t>
      </w:r>
      <w:proofErr w:type="spellEnd"/>
      <w:r w:rsidRPr="00E64FBB">
        <w:rPr>
          <w:rFonts w:ascii="Arial" w:hAnsi="Arial" w:cs="Arial"/>
          <w:sz w:val="18"/>
          <w:szCs w:val="18"/>
        </w:rPr>
        <w:t xml:space="preserve"> vs. Attorney General &amp; 2 Others (2016),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21">
        <w:r w:rsidRPr="00E64FBB">
          <w:rPr>
            <w:rStyle w:val="InternetLink"/>
            <w:rFonts w:ascii="Arial" w:hAnsi="Arial" w:cs="Arial"/>
            <w:sz w:val="18"/>
            <w:szCs w:val="18"/>
          </w:rPr>
          <w:t>https://www.article19.org/data/files/medialibrary/38343/Judgment-Petition-No.-149-of-2015-2-1.pdf</w:t>
        </w:r>
      </w:hyperlink>
      <w:r w:rsidRPr="00E64FBB">
        <w:rPr>
          <w:rFonts w:ascii="Arial" w:hAnsi="Arial" w:cs="Arial"/>
          <w:sz w:val="18"/>
          <w:szCs w:val="18"/>
        </w:rPr>
        <w:t xml:space="preserve">. </w:t>
      </w:r>
    </w:p>
  </w:footnote>
  <w:footnote w:id="24">
    <w:p w14:paraId="447BE1B0" w14:textId="00034214"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ARTICLE 19, ‘Kenya: Win for freedom of expression as repressive law declared unconstitutional’, 19 April 2016. Available at: </w:t>
      </w:r>
      <w:hyperlink r:id="rId22" w:history="1">
        <w:r w:rsidRPr="00E64FBB">
          <w:rPr>
            <w:rStyle w:val="Hyperlink"/>
            <w:rFonts w:ascii="Arial" w:hAnsi="Arial" w:cs="Arial"/>
            <w:sz w:val="18"/>
            <w:szCs w:val="18"/>
          </w:rPr>
          <w:t>https://www.article19.org/resources.php/resource/38343/en/kenya:-win-for-freedom-of-expression-as-repressive-law-declared-unconstitutional</w:t>
        </w:r>
      </w:hyperlink>
      <w:r w:rsidRPr="00E64FBB">
        <w:rPr>
          <w:rFonts w:ascii="Arial" w:hAnsi="Arial" w:cs="Arial"/>
          <w:sz w:val="18"/>
          <w:szCs w:val="18"/>
        </w:rPr>
        <w:t xml:space="preserve">. </w:t>
      </w:r>
    </w:p>
  </w:footnote>
  <w:footnote w:id="25">
    <w:p w14:paraId="435D183A" w14:textId="0693DD6F"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Petition 214 of 2018, </w:t>
      </w:r>
      <w:r w:rsidRPr="00E64FBB">
        <w:rPr>
          <w:rFonts w:ascii="Arial" w:hAnsi="Arial" w:cs="Arial"/>
          <w:iCs/>
          <w:sz w:val="18"/>
          <w:szCs w:val="18"/>
        </w:rPr>
        <w:t xml:space="preserve">Cyprian </w:t>
      </w:r>
      <w:proofErr w:type="spellStart"/>
      <w:r w:rsidRPr="00E64FBB">
        <w:rPr>
          <w:rFonts w:ascii="Arial" w:hAnsi="Arial" w:cs="Arial"/>
          <w:iCs/>
          <w:sz w:val="18"/>
          <w:szCs w:val="18"/>
        </w:rPr>
        <w:t>Andama</w:t>
      </w:r>
      <w:proofErr w:type="spellEnd"/>
      <w:r w:rsidRPr="00E64FBB">
        <w:rPr>
          <w:rFonts w:ascii="Arial" w:hAnsi="Arial" w:cs="Arial"/>
          <w:iCs/>
          <w:sz w:val="18"/>
          <w:szCs w:val="18"/>
        </w:rPr>
        <w:t xml:space="preserve"> v Director of Public Prosecution &amp; Another; ARTICLE 19 East Africa (Interested Party) (</w:t>
      </w:r>
      <w:r w:rsidRPr="00E64FBB">
        <w:rPr>
          <w:rFonts w:ascii="Arial" w:hAnsi="Arial" w:cs="Arial"/>
          <w:sz w:val="18"/>
          <w:szCs w:val="18"/>
        </w:rPr>
        <w:t xml:space="preserve">2019)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23" w:history="1">
        <w:r w:rsidRPr="00E64FBB">
          <w:rPr>
            <w:rStyle w:val="Hyperlink"/>
            <w:rFonts w:ascii="Arial" w:hAnsi="Arial" w:cs="Arial"/>
            <w:sz w:val="18"/>
            <w:szCs w:val="18"/>
          </w:rPr>
          <w:t>http://kenyalaw.org/caselaw/cases/view/179722/</w:t>
        </w:r>
      </w:hyperlink>
      <w:r w:rsidRPr="00E64FBB">
        <w:rPr>
          <w:rFonts w:ascii="Arial" w:hAnsi="Arial" w:cs="Arial"/>
          <w:sz w:val="18"/>
          <w:szCs w:val="18"/>
        </w:rPr>
        <w:t xml:space="preserve">. </w:t>
      </w:r>
    </w:p>
  </w:footnote>
  <w:footnote w:id="26">
    <w:p w14:paraId="5115387D" w14:textId="4AAB2692" w:rsidR="00090035" w:rsidRPr="00E64FBB" w:rsidRDefault="00090035" w:rsidP="00E64FBB">
      <w:pPr>
        <w:pStyle w:val="FootnoteText"/>
        <w:spacing w:after="0" w:line="240" w:lineRule="auto"/>
        <w:jc w:val="both"/>
        <w:rPr>
          <w:rFonts w:ascii="Arial" w:hAnsi="Arial" w:cs="Arial"/>
          <w:sz w:val="18"/>
          <w:szCs w:val="18"/>
          <w:lang w:val="en-US"/>
        </w:rPr>
      </w:pPr>
      <w:r w:rsidRPr="00E64FBB">
        <w:rPr>
          <w:rStyle w:val="FootnoteReference"/>
          <w:rFonts w:ascii="Arial" w:hAnsi="Arial" w:cs="Arial"/>
          <w:sz w:val="18"/>
          <w:szCs w:val="18"/>
        </w:rPr>
        <w:footnoteRef/>
      </w:r>
      <w:r w:rsidRPr="00E64FBB">
        <w:rPr>
          <w:rFonts w:ascii="Arial" w:hAnsi="Arial" w:cs="Arial"/>
          <w:sz w:val="18"/>
          <w:szCs w:val="18"/>
        </w:rPr>
        <w:t xml:space="preserve"> Daily Nation, ‘</w:t>
      </w:r>
      <w:r w:rsidRPr="00E64FBB">
        <w:rPr>
          <w:rFonts w:ascii="Arial" w:hAnsi="Arial" w:cs="Arial"/>
          <w:sz w:val="18"/>
          <w:szCs w:val="18"/>
          <w:lang w:val="en-US"/>
        </w:rPr>
        <w:t xml:space="preserve">Editor's guild accuses President Kenyatta of gagging media over coverage’, 20 January 2018. Available at: </w:t>
      </w:r>
      <w:hyperlink r:id="rId24" w:history="1">
        <w:r w:rsidRPr="00E64FBB">
          <w:rPr>
            <w:rStyle w:val="Hyperlink"/>
            <w:rFonts w:ascii="Arial" w:hAnsi="Arial" w:cs="Arial"/>
            <w:sz w:val="18"/>
            <w:szCs w:val="18"/>
            <w:lang w:val="en-US"/>
          </w:rPr>
          <w:t>https://www.nation.co.ke/news/Editors-Guild-condemns-threats-media/1056-4283676-ax4enuz/</w:t>
        </w:r>
      </w:hyperlink>
      <w:r w:rsidRPr="00E64FBB">
        <w:rPr>
          <w:rFonts w:ascii="Arial" w:hAnsi="Arial" w:cs="Arial"/>
          <w:sz w:val="18"/>
          <w:szCs w:val="18"/>
          <w:lang w:val="en-US"/>
        </w:rPr>
        <w:t xml:space="preserve">. </w:t>
      </w:r>
    </w:p>
  </w:footnote>
  <w:footnote w:id="27">
    <w:p w14:paraId="3624FD6F" w14:textId="2FF94F93" w:rsidR="00090035" w:rsidRPr="00E64FBB" w:rsidRDefault="00090035" w:rsidP="00E64FBB">
      <w:pPr>
        <w:pStyle w:val="FootnoteText"/>
        <w:spacing w:after="0" w:line="240" w:lineRule="auto"/>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Petition 38 of 2018, </w:t>
      </w:r>
      <w:proofErr w:type="spellStart"/>
      <w:r w:rsidRPr="00E64FBB">
        <w:rPr>
          <w:rFonts w:ascii="Arial" w:hAnsi="Arial" w:cs="Arial"/>
          <w:sz w:val="18"/>
          <w:szCs w:val="18"/>
        </w:rPr>
        <w:t>Okiya</w:t>
      </w:r>
      <w:proofErr w:type="spellEnd"/>
      <w:r w:rsidRPr="00E64FBB">
        <w:rPr>
          <w:rFonts w:ascii="Arial" w:hAnsi="Arial" w:cs="Arial"/>
          <w:sz w:val="18"/>
          <w:szCs w:val="18"/>
        </w:rPr>
        <w:t xml:space="preserve"> </w:t>
      </w:r>
      <w:proofErr w:type="spellStart"/>
      <w:r w:rsidRPr="00E64FBB">
        <w:rPr>
          <w:rFonts w:ascii="Arial" w:hAnsi="Arial" w:cs="Arial"/>
          <w:sz w:val="18"/>
          <w:szCs w:val="18"/>
        </w:rPr>
        <w:t>Omtatah</w:t>
      </w:r>
      <w:proofErr w:type="spellEnd"/>
      <w:r w:rsidRPr="00E64FBB">
        <w:rPr>
          <w:rFonts w:ascii="Arial" w:hAnsi="Arial" w:cs="Arial"/>
          <w:sz w:val="18"/>
          <w:szCs w:val="18"/>
        </w:rPr>
        <w:t xml:space="preserve"> </w:t>
      </w:r>
      <w:proofErr w:type="spellStart"/>
      <w:r w:rsidRPr="00E64FBB">
        <w:rPr>
          <w:rFonts w:ascii="Arial" w:hAnsi="Arial" w:cs="Arial"/>
          <w:sz w:val="18"/>
          <w:szCs w:val="18"/>
        </w:rPr>
        <w:t>Okoiti</w:t>
      </w:r>
      <w:proofErr w:type="spellEnd"/>
      <w:r w:rsidRPr="00E64FBB">
        <w:rPr>
          <w:rFonts w:ascii="Arial" w:hAnsi="Arial" w:cs="Arial"/>
          <w:sz w:val="18"/>
          <w:szCs w:val="18"/>
        </w:rPr>
        <w:t xml:space="preserve"> vs. Communication Authority of Kenya (2018)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25" w:history="1">
        <w:r w:rsidRPr="00E64FBB">
          <w:rPr>
            <w:rStyle w:val="Hyperlink"/>
            <w:rFonts w:ascii="Arial" w:hAnsi="Arial" w:cs="Arial"/>
            <w:sz w:val="18"/>
            <w:szCs w:val="18"/>
          </w:rPr>
          <w:t>https://www.theelephant.info/wp-content/uploads/2018/02/High-Court-Orders-on-Media-Shutdown.pdf</w:t>
        </w:r>
      </w:hyperlink>
      <w:r w:rsidRPr="00E64FBB">
        <w:rPr>
          <w:rFonts w:ascii="Arial" w:hAnsi="Arial" w:cs="Arial"/>
          <w:sz w:val="18"/>
          <w:szCs w:val="18"/>
        </w:rPr>
        <w:t xml:space="preserve">. </w:t>
      </w:r>
    </w:p>
  </w:footnote>
  <w:footnote w:id="28">
    <w:p w14:paraId="7B43B4EF" w14:textId="0CCEA93F"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Daily Nation, ‘Mr President, get your act together this year, 1 January 2016: Available at: </w:t>
      </w:r>
      <w:hyperlink r:id="rId26" w:history="1">
        <w:r w:rsidRPr="00E64FBB">
          <w:rPr>
            <w:rStyle w:val="Hyperlink"/>
            <w:rFonts w:ascii="Arial" w:hAnsi="Arial" w:cs="Arial"/>
            <w:sz w:val="18"/>
            <w:szCs w:val="18"/>
          </w:rPr>
          <w:t>https://www.nation.co.ke/oped/Editorial/Mr-President-get-your-act-together-this-year/-/440804/3018414/-/pwgeuq/-/index.html</w:t>
        </w:r>
      </w:hyperlink>
      <w:r w:rsidRPr="00E64FBB">
        <w:rPr>
          <w:rFonts w:ascii="Arial" w:hAnsi="Arial" w:cs="Arial"/>
          <w:sz w:val="18"/>
          <w:szCs w:val="18"/>
        </w:rPr>
        <w:t xml:space="preserve">. </w:t>
      </w:r>
    </w:p>
  </w:footnote>
  <w:footnote w:id="29">
    <w:p w14:paraId="7A78369B" w14:textId="1EA02D4D"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Film and Plays Stage Act Cap 222 of the Laws of Kenya (1962). Available at: </w:t>
      </w:r>
      <w:hyperlink r:id="rId27" w:history="1">
        <w:r w:rsidRPr="00E64FBB">
          <w:rPr>
            <w:rStyle w:val="Hyperlink"/>
            <w:rFonts w:ascii="Arial" w:hAnsi="Arial" w:cs="Arial"/>
            <w:sz w:val="18"/>
            <w:szCs w:val="18"/>
          </w:rPr>
          <w:t>https://kfcb.co.ke/about/governing-laws/</w:t>
        </w:r>
      </w:hyperlink>
      <w:r w:rsidRPr="00E64FBB">
        <w:rPr>
          <w:rFonts w:ascii="Arial" w:hAnsi="Arial" w:cs="Arial"/>
          <w:sz w:val="18"/>
          <w:szCs w:val="18"/>
        </w:rPr>
        <w:t xml:space="preserve">.  KFCB, ‘Kenya Film Classification Board Classification Guidelines, 2012. Available at: </w:t>
      </w:r>
      <w:hyperlink r:id="rId28" w:history="1">
        <w:r w:rsidRPr="00E64FBB">
          <w:rPr>
            <w:rStyle w:val="Hyperlink"/>
            <w:rFonts w:ascii="Arial" w:hAnsi="Arial" w:cs="Arial"/>
            <w:sz w:val="18"/>
            <w:szCs w:val="18"/>
          </w:rPr>
          <w:t>http://kfcb.co.ke/wp-content/uploads/2016/08/Film_Classification_Guidelines.pdf</w:t>
        </w:r>
      </w:hyperlink>
      <w:r w:rsidRPr="00E64FBB">
        <w:rPr>
          <w:rFonts w:ascii="Arial" w:hAnsi="Arial" w:cs="Arial"/>
          <w:sz w:val="18"/>
          <w:szCs w:val="18"/>
        </w:rPr>
        <w:t xml:space="preserve">. </w:t>
      </w:r>
    </w:p>
  </w:footnote>
  <w:footnote w:id="30">
    <w:p w14:paraId="70D3C7CD" w14:textId="1707E16D"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Films, Stage Plays and Publications Act (2016). Available at: </w:t>
      </w:r>
      <w:hyperlink r:id="rId29" w:history="1">
        <w:r w:rsidRPr="00E64FBB">
          <w:rPr>
            <w:rStyle w:val="Hyperlink"/>
            <w:rFonts w:ascii="Arial" w:hAnsi="Arial" w:cs="Arial"/>
            <w:sz w:val="18"/>
            <w:szCs w:val="18"/>
          </w:rPr>
          <w:t>http://jadili.ictpolicy.org/docs/kfcb2016</w:t>
        </w:r>
      </w:hyperlink>
      <w:r w:rsidRPr="00E64FBB">
        <w:rPr>
          <w:rFonts w:ascii="Arial" w:hAnsi="Arial" w:cs="Arial"/>
          <w:sz w:val="18"/>
          <w:szCs w:val="18"/>
        </w:rPr>
        <w:t xml:space="preserve">. </w:t>
      </w:r>
    </w:p>
  </w:footnote>
  <w:footnote w:id="31">
    <w:p w14:paraId="07A4E81B" w14:textId="417DC767"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BAKE, ‘The proposed Films, Stage Plays and Publications Bill 2016 is an attack on freedom of expression’, 10 October 2016. Available at: </w:t>
      </w:r>
      <w:hyperlink r:id="rId30" w:history="1">
        <w:r w:rsidRPr="00E64FBB">
          <w:rPr>
            <w:rStyle w:val="Hyperlink"/>
            <w:rFonts w:ascii="Arial" w:hAnsi="Arial" w:cs="Arial"/>
            <w:sz w:val="18"/>
            <w:szCs w:val="18"/>
          </w:rPr>
          <w:t>https://www.blog.bake.co.ke/2016/10/10/most-dangerous-attacks-on-our-freedom-of-expression/</w:t>
        </w:r>
      </w:hyperlink>
      <w:r w:rsidRPr="00E64FBB">
        <w:rPr>
          <w:rFonts w:ascii="Arial" w:hAnsi="Arial" w:cs="Arial"/>
          <w:sz w:val="18"/>
          <w:szCs w:val="18"/>
        </w:rPr>
        <w:t xml:space="preserve">. </w:t>
      </w:r>
    </w:p>
  </w:footnote>
  <w:footnote w:id="32">
    <w:p w14:paraId="43F8D0D0" w14:textId="3DC99971" w:rsidR="00090035" w:rsidRPr="00E64FBB" w:rsidRDefault="00090035" w:rsidP="00E64FBB">
      <w:pPr>
        <w:pStyle w:val="FootnoteText"/>
        <w:spacing w:after="0"/>
        <w:jc w:val="both"/>
        <w:rPr>
          <w:rFonts w:ascii="Arial" w:hAnsi="Arial" w:cs="Arial"/>
          <w:sz w:val="18"/>
          <w:szCs w:val="18"/>
          <w:lang w:bidi="en-US"/>
        </w:rPr>
      </w:pPr>
      <w:r w:rsidRPr="00E64FBB">
        <w:rPr>
          <w:rStyle w:val="FootnoteReference"/>
          <w:rFonts w:ascii="Arial" w:hAnsi="Arial" w:cs="Arial"/>
          <w:sz w:val="18"/>
          <w:szCs w:val="18"/>
        </w:rPr>
        <w:footnoteRef/>
      </w:r>
      <w:r w:rsidRPr="00E64FBB">
        <w:rPr>
          <w:rFonts w:ascii="Arial" w:hAnsi="Arial" w:cs="Arial"/>
          <w:sz w:val="18"/>
          <w:szCs w:val="18"/>
        </w:rPr>
        <w:t xml:space="preserve"> </w:t>
      </w:r>
      <w:r w:rsidRPr="00E64FBB">
        <w:rPr>
          <w:rFonts w:ascii="Arial" w:hAnsi="Arial" w:cs="Arial"/>
          <w:sz w:val="18"/>
          <w:szCs w:val="18"/>
          <w:lang w:bidi="en-US"/>
        </w:rPr>
        <w:t xml:space="preserve">Ministry of Information, Communications and Technology, Talking Notes for Mr. Joe </w:t>
      </w:r>
      <w:proofErr w:type="spellStart"/>
      <w:r w:rsidRPr="00E64FBB">
        <w:rPr>
          <w:rFonts w:ascii="Arial" w:hAnsi="Arial" w:cs="Arial"/>
          <w:sz w:val="18"/>
          <w:szCs w:val="18"/>
          <w:lang w:bidi="en-US"/>
        </w:rPr>
        <w:t>Mucheru</w:t>
      </w:r>
      <w:proofErr w:type="spellEnd"/>
      <w:r w:rsidRPr="00E64FBB">
        <w:rPr>
          <w:rFonts w:ascii="Arial" w:hAnsi="Arial" w:cs="Arial"/>
          <w:sz w:val="18"/>
          <w:szCs w:val="18"/>
          <w:lang w:bidi="en-US"/>
        </w:rPr>
        <w:t xml:space="preserve">, Cabinet Secretary for the Ministry of ICT During the Launch of the Film Screenplay/Script Writing Competition, 4 February 2019. Available at: </w:t>
      </w:r>
      <w:hyperlink r:id="rId31" w:history="1">
        <w:r w:rsidRPr="00E64FBB">
          <w:rPr>
            <w:rStyle w:val="Hyperlink"/>
            <w:rFonts w:ascii="Arial" w:hAnsi="Arial" w:cs="Arial"/>
            <w:sz w:val="18"/>
            <w:szCs w:val="18"/>
            <w:lang w:bidi="en-US"/>
          </w:rPr>
          <w:t>http://www.ict.go.ke/wp-content/uploads/2019/02/remarks-by-mr-joe-mucheru-during-the-launch-of-the-film-award.pdf</w:t>
        </w:r>
      </w:hyperlink>
      <w:r w:rsidRPr="00E64FBB">
        <w:rPr>
          <w:rFonts w:ascii="Arial" w:hAnsi="Arial" w:cs="Arial"/>
          <w:sz w:val="18"/>
          <w:szCs w:val="18"/>
          <w:lang w:bidi="en-US"/>
        </w:rPr>
        <w:t xml:space="preserve">. </w:t>
      </w:r>
    </w:p>
  </w:footnote>
  <w:footnote w:id="33">
    <w:p w14:paraId="3B6F9541" w14:textId="3E398033"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KFCB, ‘Statement on Children Television Programmes Promoting Homosexuality in Kenya’, 15 June 2017. Available at: </w:t>
      </w:r>
      <w:hyperlink r:id="rId32">
        <w:r w:rsidRPr="00E64FBB">
          <w:rPr>
            <w:rStyle w:val="InternetLink"/>
            <w:rFonts w:ascii="Arial" w:hAnsi="Arial" w:cs="Arial"/>
            <w:sz w:val="18"/>
            <w:szCs w:val="18"/>
          </w:rPr>
          <w:t>https://kfcb.co.ke/wp-content/uploads/2017/06/statement-on-children-television-programmes-promoting-homosexuality-in-kenya-issued-on-15th-june-2017.pdf</w:t>
        </w:r>
      </w:hyperlink>
      <w:r w:rsidRPr="00E64FBB">
        <w:rPr>
          <w:rFonts w:ascii="Arial" w:hAnsi="Arial" w:cs="Arial"/>
          <w:sz w:val="18"/>
          <w:szCs w:val="18"/>
        </w:rPr>
        <w:t xml:space="preserve"> </w:t>
      </w:r>
    </w:p>
  </w:footnote>
  <w:footnote w:id="34">
    <w:p w14:paraId="42BDA259" w14:textId="55AA0F18"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KFCB, Statement on the Banning of the Film “</w:t>
      </w:r>
      <w:proofErr w:type="spellStart"/>
      <w:r w:rsidRPr="00E64FBB">
        <w:rPr>
          <w:rFonts w:ascii="Arial" w:hAnsi="Arial" w:cs="Arial"/>
          <w:sz w:val="18"/>
          <w:szCs w:val="18"/>
        </w:rPr>
        <w:t>Rafiki</w:t>
      </w:r>
      <w:proofErr w:type="spellEnd"/>
      <w:r w:rsidRPr="00E64FBB">
        <w:rPr>
          <w:rFonts w:ascii="Arial" w:hAnsi="Arial" w:cs="Arial"/>
          <w:sz w:val="18"/>
          <w:szCs w:val="18"/>
        </w:rPr>
        <w:t>”’, 27 April 2018. Available at: </w:t>
      </w:r>
      <w:hyperlink r:id="rId33" w:history="1">
        <w:r w:rsidRPr="00E64FBB">
          <w:rPr>
            <w:rStyle w:val="Hyperlink"/>
            <w:rFonts w:ascii="Arial" w:hAnsi="Arial" w:cs="Arial"/>
            <w:sz w:val="18"/>
            <w:szCs w:val="18"/>
          </w:rPr>
          <w:t>https://kfcb.co.ke/kfcb-press-release-on-ban-of-rafiki-film/</w:t>
        </w:r>
      </w:hyperlink>
      <w:r w:rsidRPr="00E64FBB">
        <w:rPr>
          <w:rFonts w:ascii="Arial" w:hAnsi="Arial" w:cs="Arial"/>
          <w:sz w:val="18"/>
          <w:szCs w:val="18"/>
        </w:rPr>
        <w:t xml:space="preserve">. </w:t>
      </w:r>
    </w:p>
  </w:footnote>
  <w:footnote w:id="35">
    <w:p w14:paraId="000A11F8" w14:textId="6D567D87"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Petition 313 of 2018, </w:t>
      </w:r>
      <w:proofErr w:type="spellStart"/>
      <w:r w:rsidRPr="00E64FBB">
        <w:rPr>
          <w:rFonts w:ascii="Arial" w:hAnsi="Arial" w:cs="Arial"/>
          <w:sz w:val="18"/>
          <w:szCs w:val="18"/>
        </w:rPr>
        <w:t>Wanuri</w:t>
      </w:r>
      <w:proofErr w:type="spellEnd"/>
      <w:r w:rsidRPr="00E64FBB">
        <w:rPr>
          <w:rFonts w:ascii="Arial" w:hAnsi="Arial" w:cs="Arial"/>
          <w:sz w:val="18"/>
          <w:szCs w:val="18"/>
        </w:rPr>
        <w:t xml:space="preserve"> </w:t>
      </w:r>
      <w:proofErr w:type="spellStart"/>
      <w:r w:rsidRPr="00E64FBB">
        <w:rPr>
          <w:rFonts w:ascii="Arial" w:hAnsi="Arial" w:cs="Arial"/>
          <w:sz w:val="18"/>
          <w:szCs w:val="18"/>
        </w:rPr>
        <w:t>Kahiu</w:t>
      </w:r>
      <w:proofErr w:type="spellEnd"/>
      <w:r w:rsidRPr="00E64FBB">
        <w:rPr>
          <w:rFonts w:ascii="Arial" w:hAnsi="Arial" w:cs="Arial"/>
          <w:sz w:val="18"/>
          <w:szCs w:val="18"/>
        </w:rPr>
        <w:t xml:space="preserve"> &amp; Another vs. CEO, Kenya Film Classification Board - Ezekiel </w:t>
      </w:r>
      <w:proofErr w:type="spellStart"/>
      <w:r w:rsidRPr="00E64FBB">
        <w:rPr>
          <w:rFonts w:ascii="Arial" w:hAnsi="Arial" w:cs="Arial"/>
          <w:sz w:val="18"/>
          <w:szCs w:val="18"/>
        </w:rPr>
        <w:t>Mutua</w:t>
      </w:r>
      <w:proofErr w:type="spellEnd"/>
      <w:r w:rsidRPr="00E64FBB">
        <w:rPr>
          <w:rFonts w:ascii="Arial" w:hAnsi="Arial" w:cs="Arial"/>
          <w:sz w:val="18"/>
          <w:szCs w:val="18"/>
        </w:rPr>
        <w:t xml:space="preserve"> &amp; 4 Others (2018)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34" w:history="1">
        <w:r w:rsidRPr="00E64FBB">
          <w:rPr>
            <w:rStyle w:val="Hyperlink"/>
            <w:rFonts w:ascii="Arial" w:hAnsi="Arial" w:cs="Arial"/>
            <w:sz w:val="18"/>
            <w:szCs w:val="18"/>
          </w:rPr>
          <w:t>http://kenyalaw.org/caselaw/cases/view/158712/</w:t>
        </w:r>
      </w:hyperlink>
      <w:r w:rsidRPr="00E64FBB">
        <w:rPr>
          <w:rFonts w:ascii="Arial" w:hAnsi="Arial" w:cs="Arial"/>
          <w:sz w:val="18"/>
          <w:szCs w:val="18"/>
        </w:rPr>
        <w:t xml:space="preserve">. </w:t>
      </w:r>
    </w:p>
  </w:footnote>
  <w:footnote w:id="36">
    <w:p w14:paraId="06A80A0E" w14:textId="4E599176"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ARTICLE 19, ‘Kenya: Court rules to temporarily remove ban on </w:t>
      </w:r>
      <w:proofErr w:type="spellStart"/>
      <w:r w:rsidRPr="00E64FBB">
        <w:rPr>
          <w:rFonts w:ascii="Arial" w:hAnsi="Arial" w:cs="Arial"/>
          <w:sz w:val="18"/>
          <w:szCs w:val="18"/>
        </w:rPr>
        <w:t>Rafiki</w:t>
      </w:r>
      <w:proofErr w:type="spellEnd"/>
      <w:r w:rsidRPr="00E64FBB">
        <w:rPr>
          <w:rFonts w:ascii="Arial" w:hAnsi="Arial" w:cs="Arial"/>
          <w:sz w:val="18"/>
          <w:szCs w:val="18"/>
        </w:rPr>
        <w:t xml:space="preserve"> film’, 27 September 2018. Available at: </w:t>
      </w:r>
      <w:hyperlink r:id="rId35">
        <w:r w:rsidRPr="00E64FBB">
          <w:rPr>
            <w:rStyle w:val="InternetLink"/>
            <w:rFonts w:ascii="Arial" w:hAnsi="Arial" w:cs="Arial"/>
            <w:sz w:val="18"/>
            <w:szCs w:val="18"/>
          </w:rPr>
          <w:t>https://www.article19.org/resources/kenya-court-rules-to-temporarily-remove-ban-on-rafiki-film/</w:t>
        </w:r>
      </w:hyperlink>
      <w:r w:rsidRPr="00E64FBB">
        <w:rPr>
          <w:rFonts w:ascii="Arial" w:hAnsi="Arial" w:cs="Arial"/>
          <w:sz w:val="18"/>
          <w:szCs w:val="18"/>
        </w:rPr>
        <w:t xml:space="preserve">. </w:t>
      </w:r>
    </w:p>
  </w:footnote>
  <w:footnote w:id="37">
    <w:p w14:paraId="6180F775" w14:textId="3455B529"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ARTICLE 19, ‘“Not Worth the Risk”: Threats to Free Expression Ahead of Kenya’s 2017 Elections’, 30 May 2017. Available at: </w:t>
      </w:r>
      <w:hyperlink r:id="rId36">
        <w:r w:rsidRPr="00E64FBB">
          <w:rPr>
            <w:rStyle w:val="InternetLink"/>
            <w:rFonts w:ascii="Arial" w:hAnsi="Arial" w:cs="Arial"/>
            <w:sz w:val="18"/>
            <w:szCs w:val="18"/>
          </w:rPr>
          <w:t>https://www.article19.org/resources/not-worth-the-risk-threats-to-free-expression-ahead-of-kenyas-2017-elections/</w:t>
        </w:r>
      </w:hyperlink>
      <w:r w:rsidRPr="00E64FBB">
        <w:rPr>
          <w:rFonts w:ascii="Arial" w:hAnsi="Arial" w:cs="Arial"/>
          <w:sz w:val="18"/>
          <w:szCs w:val="18"/>
        </w:rPr>
        <w:t xml:space="preserve">. </w:t>
      </w:r>
    </w:p>
  </w:footnote>
  <w:footnote w:id="38">
    <w:p w14:paraId="2BA22630" w14:textId="182C876A"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ARTICLE 19, ‘Kenya: Violations of Media Freedom May 2017’, April 2018. Available at: </w:t>
      </w:r>
      <w:hyperlink r:id="rId37">
        <w:r w:rsidRPr="00E64FBB">
          <w:rPr>
            <w:rStyle w:val="InternetLink"/>
            <w:rFonts w:ascii="Arial" w:hAnsi="Arial" w:cs="Arial"/>
            <w:sz w:val="18"/>
            <w:szCs w:val="18"/>
          </w:rPr>
          <w:t>https://www.article19.org/wp-content/uploads/2018/05/Kenya-Report-1.pdf</w:t>
        </w:r>
      </w:hyperlink>
      <w:r w:rsidRPr="00E64FBB">
        <w:rPr>
          <w:rStyle w:val="InternetLink"/>
          <w:rFonts w:ascii="Arial" w:hAnsi="Arial" w:cs="Arial"/>
          <w:sz w:val="18"/>
          <w:szCs w:val="18"/>
        </w:rPr>
        <w:t xml:space="preserve">. </w:t>
      </w:r>
    </w:p>
  </w:footnote>
  <w:footnote w:id="39">
    <w:p w14:paraId="5C7BD32A" w14:textId="77777777" w:rsidR="003122F7" w:rsidRPr="00E64FBB" w:rsidRDefault="003122F7" w:rsidP="003122F7">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BAKE, ‘State of the Internet in Kenya’, November 2016. Available at: </w:t>
      </w:r>
      <w:hyperlink r:id="rId38" w:history="1">
        <w:r w:rsidRPr="00E64FBB">
          <w:rPr>
            <w:rStyle w:val="Hyperlink"/>
            <w:rFonts w:ascii="Arial" w:hAnsi="Arial" w:cs="Arial"/>
            <w:sz w:val="18"/>
            <w:szCs w:val="18"/>
          </w:rPr>
          <w:t>https://ifree.co.ke/wp-content/uploads/2016/11/State-of-Internet-Report-Kenya-2016.pdf</w:t>
        </w:r>
      </w:hyperlink>
      <w:r w:rsidRPr="00E64FBB">
        <w:rPr>
          <w:rFonts w:ascii="Arial" w:hAnsi="Arial" w:cs="Arial"/>
          <w:sz w:val="18"/>
          <w:szCs w:val="18"/>
        </w:rPr>
        <w:t xml:space="preserve">. </w:t>
      </w:r>
    </w:p>
  </w:footnote>
  <w:footnote w:id="40">
    <w:p w14:paraId="1E9FF116" w14:textId="348DF495"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AFEX, ‘Stakeholders Call for a Coordination Mechanism on Safety of Journalists in Africa’, 30 November 2018. Available at: </w:t>
      </w:r>
      <w:hyperlink r:id="rId39">
        <w:r w:rsidRPr="00E64FBB">
          <w:rPr>
            <w:rStyle w:val="InternetLink"/>
            <w:rFonts w:ascii="Arial" w:hAnsi="Arial" w:cs="Arial"/>
            <w:sz w:val="18"/>
            <w:szCs w:val="18"/>
          </w:rPr>
          <w:t>http://www.africafex.org/attacks/stakeholders-call-for-a-coordination-mechanism-on-safety-of-journalists-in-africa</w:t>
        </w:r>
      </w:hyperlink>
      <w:r w:rsidRPr="00E64FBB">
        <w:rPr>
          <w:rFonts w:ascii="Arial" w:hAnsi="Arial" w:cs="Arial"/>
          <w:sz w:val="18"/>
          <w:szCs w:val="18"/>
        </w:rPr>
        <w:t xml:space="preserve">. </w:t>
      </w:r>
    </w:p>
  </w:footnote>
  <w:footnote w:id="41">
    <w:p w14:paraId="666ACE1F" w14:textId="77777777" w:rsidR="00EB336D" w:rsidRPr="00E64FBB" w:rsidRDefault="00EB336D" w:rsidP="00EB336D">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Nairobi News, ‘Court drops case against blogger Robert Alai over offensive post’, 2 June 2016. Available at: </w:t>
      </w:r>
      <w:hyperlink r:id="rId40" w:history="1">
        <w:r w:rsidRPr="00E64FBB">
          <w:rPr>
            <w:rStyle w:val="Hyperlink"/>
            <w:rFonts w:ascii="Arial" w:hAnsi="Arial" w:cs="Arial"/>
            <w:sz w:val="18"/>
            <w:szCs w:val="18"/>
          </w:rPr>
          <w:t>http://nairobinews.nation.co.ke/news/court-drops-case-blogger-robert-alai/</w:t>
        </w:r>
      </w:hyperlink>
      <w:r w:rsidRPr="00E64FBB">
        <w:rPr>
          <w:rFonts w:ascii="Arial" w:hAnsi="Arial" w:cs="Arial"/>
          <w:sz w:val="18"/>
          <w:szCs w:val="18"/>
        </w:rPr>
        <w:t xml:space="preserve">. </w:t>
      </w:r>
    </w:p>
  </w:footnote>
  <w:footnote w:id="42">
    <w:p w14:paraId="2A726EA7" w14:textId="77777777" w:rsidR="00EB336D" w:rsidRPr="00E64FBB" w:rsidRDefault="00EB336D" w:rsidP="00EB336D">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Some of the people arrested (both Kenyan and non-Kenyan citizens) included </w:t>
      </w:r>
      <w:proofErr w:type="spellStart"/>
      <w:r w:rsidRPr="00E64FBB">
        <w:rPr>
          <w:rFonts w:ascii="Arial" w:hAnsi="Arial" w:cs="Arial"/>
          <w:sz w:val="18"/>
          <w:szCs w:val="18"/>
        </w:rPr>
        <w:t>Japeth</w:t>
      </w:r>
      <w:proofErr w:type="spellEnd"/>
      <w:r w:rsidRPr="00E64FBB">
        <w:rPr>
          <w:rFonts w:ascii="Arial" w:hAnsi="Arial" w:cs="Arial"/>
          <w:sz w:val="18"/>
          <w:szCs w:val="18"/>
        </w:rPr>
        <w:t xml:space="preserve"> </w:t>
      </w:r>
      <w:proofErr w:type="spellStart"/>
      <w:r w:rsidRPr="00E64FBB">
        <w:rPr>
          <w:rFonts w:ascii="Arial" w:hAnsi="Arial" w:cs="Arial"/>
          <w:sz w:val="18"/>
          <w:szCs w:val="18"/>
        </w:rPr>
        <w:t>Mulewa</w:t>
      </w:r>
      <w:proofErr w:type="spellEnd"/>
      <w:r w:rsidRPr="00E64FBB">
        <w:rPr>
          <w:rFonts w:ascii="Arial" w:hAnsi="Arial" w:cs="Arial"/>
          <w:sz w:val="18"/>
          <w:szCs w:val="18"/>
        </w:rPr>
        <w:t xml:space="preserve">, Oliver </w:t>
      </w:r>
      <w:proofErr w:type="spellStart"/>
      <w:r w:rsidRPr="00E64FBB">
        <w:rPr>
          <w:rFonts w:ascii="Arial" w:hAnsi="Arial" w:cs="Arial"/>
          <w:sz w:val="18"/>
          <w:szCs w:val="18"/>
        </w:rPr>
        <w:t>Nyabwazi</w:t>
      </w:r>
      <w:proofErr w:type="spellEnd"/>
      <w:r w:rsidRPr="00E64FBB">
        <w:rPr>
          <w:rFonts w:ascii="Arial" w:hAnsi="Arial" w:cs="Arial"/>
          <w:sz w:val="18"/>
          <w:szCs w:val="18"/>
        </w:rPr>
        <w:t xml:space="preserve"> </w:t>
      </w:r>
      <w:proofErr w:type="spellStart"/>
      <w:r w:rsidRPr="00E64FBB">
        <w:rPr>
          <w:rFonts w:ascii="Arial" w:hAnsi="Arial" w:cs="Arial"/>
          <w:sz w:val="18"/>
          <w:szCs w:val="18"/>
        </w:rPr>
        <w:t>Moraira</w:t>
      </w:r>
      <w:proofErr w:type="spellEnd"/>
      <w:r w:rsidRPr="00E64FBB">
        <w:rPr>
          <w:rFonts w:ascii="Arial" w:hAnsi="Arial" w:cs="Arial"/>
          <w:sz w:val="18"/>
          <w:szCs w:val="18"/>
        </w:rPr>
        <w:t xml:space="preserve">, Paul </w:t>
      </w:r>
      <w:proofErr w:type="spellStart"/>
      <w:r w:rsidRPr="00E64FBB">
        <w:rPr>
          <w:rFonts w:ascii="Arial" w:hAnsi="Arial" w:cs="Arial"/>
          <w:sz w:val="18"/>
          <w:szCs w:val="18"/>
        </w:rPr>
        <w:t>Odhiambo</w:t>
      </w:r>
      <w:proofErr w:type="spellEnd"/>
      <w:r w:rsidRPr="00E64FBB">
        <w:rPr>
          <w:rFonts w:ascii="Arial" w:hAnsi="Arial" w:cs="Arial"/>
          <w:sz w:val="18"/>
          <w:szCs w:val="18"/>
        </w:rPr>
        <w:t xml:space="preserve">, </w:t>
      </w:r>
      <w:proofErr w:type="spellStart"/>
      <w:r w:rsidRPr="00E64FBB">
        <w:rPr>
          <w:rFonts w:ascii="Arial" w:hAnsi="Arial" w:cs="Arial"/>
          <w:sz w:val="18"/>
          <w:szCs w:val="18"/>
        </w:rPr>
        <w:t>Longton</w:t>
      </w:r>
      <w:proofErr w:type="spellEnd"/>
      <w:r w:rsidRPr="00E64FBB">
        <w:rPr>
          <w:rFonts w:ascii="Arial" w:hAnsi="Arial" w:cs="Arial"/>
          <w:sz w:val="18"/>
          <w:szCs w:val="18"/>
        </w:rPr>
        <w:t xml:space="preserve"> Jamil, Robert Alai,</w:t>
      </w:r>
      <w:r w:rsidRPr="00E64FBB">
        <w:rPr>
          <w:rFonts w:ascii="Arial" w:hAnsi="Arial" w:cs="Arial"/>
          <w:b/>
          <w:bCs/>
          <w:sz w:val="18"/>
          <w:szCs w:val="18"/>
        </w:rPr>
        <w:t xml:space="preserve"> </w:t>
      </w:r>
      <w:r w:rsidRPr="00E64FBB">
        <w:rPr>
          <w:rFonts w:ascii="Arial" w:hAnsi="Arial" w:cs="Arial"/>
          <w:sz w:val="18"/>
          <w:szCs w:val="18"/>
        </w:rPr>
        <w:t xml:space="preserve">Jackson </w:t>
      </w:r>
      <w:proofErr w:type="spellStart"/>
      <w:r w:rsidRPr="00E64FBB">
        <w:rPr>
          <w:rFonts w:ascii="Arial" w:hAnsi="Arial" w:cs="Arial"/>
          <w:sz w:val="18"/>
          <w:szCs w:val="18"/>
        </w:rPr>
        <w:t>Njeru</w:t>
      </w:r>
      <w:proofErr w:type="spellEnd"/>
      <w:r w:rsidRPr="00E64FBB">
        <w:rPr>
          <w:rFonts w:ascii="Arial" w:hAnsi="Arial" w:cs="Arial"/>
          <w:sz w:val="18"/>
          <w:szCs w:val="18"/>
        </w:rPr>
        <w:t xml:space="preserve"> and James </w:t>
      </w:r>
      <w:proofErr w:type="spellStart"/>
      <w:r w:rsidRPr="00E64FBB">
        <w:rPr>
          <w:rFonts w:ascii="Arial" w:hAnsi="Arial" w:cs="Arial"/>
          <w:sz w:val="18"/>
          <w:szCs w:val="18"/>
        </w:rPr>
        <w:t>Gatdet</w:t>
      </w:r>
      <w:proofErr w:type="spellEnd"/>
      <w:r w:rsidRPr="00E64FBB">
        <w:rPr>
          <w:rFonts w:ascii="Arial" w:hAnsi="Arial" w:cs="Arial"/>
          <w:sz w:val="18"/>
          <w:szCs w:val="18"/>
        </w:rPr>
        <w:t xml:space="preserve"> </w:t>
      </w:r>
      <w:proofErr w:type="spellStart"/>
      <w:r w:rsidRPr="00E64FBB">
        <w:rPr>
          <w:rFonts w:ascii="Arial" w:hAnsi="Arial" w:cs="Arial"/>
          <w:sz w:val="18"/>
          <w:szCs w:val="18"/>
        </w:rPr>
        <w:t>Dak</w:t>
      </w:r>
      <w:proofErr w:type="spellEnd"/>
      <w:r w:rsidRPr="00E64FBB">
        <w:rPr>
          <w:rFonts w:ascii="Arial" w:hAnsi="Arial" w:cs="Arial"/>
          <w:sz w:val="18"/>
          <w:szCs w:val="18"/>
        </w:rPr>
        <w:t>.</w:t>
      </w:r>
    </w:p>
  </w:footnote>
  <w:footnote w:id="43">
    <w:p w14:paraId="21603615" w14:textId="77777777" w:rsidR="003122F7" w:rsidRPr="00E64FBB" w:rsidRDefault="003122F7" w:rsidP="003122F7">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w:t>
      </w:r>
      <w:r w:rsidRPr="00E64FBB">
        <w:rPr>
          <w:rFonts w:ascii="Arial" w:hAnsi="Arial" w:cs="Arial"/>
          <w:sz w:val="18"/>
          <w:szCs w:val="18"/>
          <w:lang w:val="en-US"/>
        </w:rPr>
        <w:t xml:space="preserve">The Access to Information Act (2016). Available at: </w:t>
      </w:r>
      <w:hyperlink r:id="rId41">
        <w:r w:rsidRPr="00E64FBB">
          <w:rPr>
            <w:rStyle w:val="InternetLink"/>
            <w:rFonts w:ascii="Arial" w:hAnsi="Arial" w:cs="Arial"/>
            <w:sz w:val="18"/>
            <w:szCs w:val="18"/>
          </w:rPr>
          <w:t>https://www.cuk.ac.ke/wp-content/uploads/2018/04/Access-to-Information-ActNo31.pdf</w:t>
        </w:r>
      </w:hyperlink>
      <w:r w:rsidRPr="00E64FBB">
        <w:rPr>
          <w:rStyle w:val="InternetLink"/>
          <w:rFonts w:ascii="Arial" w:hAnsi="Arial" w:cs="Arial"/>
          <w:sz w:val="18"/>
          <w:szCs w:val="18"/>
        </w:rPr>
        <w:t xml:space="preserve">. </w:t>
      </w:r>
    </w:p>
  </w:footnote>
  <w:footnote w:id="44">
    <w:p w14:paraId="0307923C" w14:textId="77777777" w:rsidR="003122F7" w:rsidRPr="00E64FBB" w:rsidRDefault="003122F7" w:rsidP="003122F7">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ARTICLE 19: ‘Kenya: New dawn for transparency as Access to Information law is passed’, 1 September 2016. Available at: </w:t>
      </w:r>
      <w:hyperlink r:id="rId42">
        <w:r w:rsidRPr="00E64FBB">
          <w:rPr>
            <w:rStyle w:val="InternetLink"/>
            <w:rFonts w:ascii="Arial" w:hAnsi="Arial" w:cs="Arial"/>
            <w:sz w:val="18"/>
            <w:szCs w:val="18"/>
          </w:rPr>
          <w:t>https://www.article19.org/resources/kenya-new-dawn-for-transparency-as-access-to-information-law-is-passed/</w:t>
        </w:r>
      </w:hyperlink>
      <w:r w:rsidRPr="00E64FBB">
        <w:rPr>
          <w:rStyle w:val="InternetLink"/>
          <w:rFonts w:ascii="Arial" w:hAnsi="Arial" w:cs="Arial"/>
          <w:sz w:val="18"/>
          <w:szCs w:val="18"/>
        </w:rPr>
        <w:t xml:space="preserve">. </w:t>
      </w:r>
    </w:p>
  </w:footnote>
  <w:footnote w:id="45">
    <w:p w14:paraId="5481A9AA" w14:textId="77777777" w:rsidR="003122F7" w:rsidRPr="00E64FBB" w:rsidRDefault="003122F7" w:rsidP="003122F7">
      <w:pPr>
        <w:pStyle w:val="FootnoteText"/>
        <w:spacing w:after="0"/>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Office of the Ombudsmen, Survey on the Status of Proactive Disclosure of Information by Public Bodies, 1 February 2019. Available at: </w:t>
      </w:r>
      <w:hyperlink r:id="rId43" w:history="1">
        <w:r w:rsidRPr="00E64FBB">
          <w:rPr>
            <w:rStyle w:val="Hyperlink"/>
            <w:rFonts w:ascii="Arial" w:hAnsi="Arial" w:cs="Arial"/>
            <w:sz w:val="18"/>
            <w:szCs w:val="18"/>
          </w:rPr>
          <w:t>http://www.ombudsman.go.ke/index.php/resource-center/all-reports/category/9-special-reports?download=238:survey-on-the-status-of-proactive-disclosure-of-information-by-public-bodies</w:t>
        </w:r>
      </w:hyperlink>
      <w:r w:rsidRPr="00E64FBB">
        <w:rPr>
          <w:rFonts w:ascii="Arial" w:hAnsi="Arial" w:cs="Arial"/>
          <w:sz w:val="18"/>
          <w:szCs w:val="18"/>
        </w:rPr>
        <w:t xml:space="preserve">. </w:t>
      </w:r>
    </w:p>
  </w:footnote>
  <w:footnote w:id="46">
    <w:p w14:paraId="0D56BC80" w14:textId="77777777" w:rsidR="003122F7" w:rsidRPr="00E64FBB" w:rsidRDefault="003122F7" w:rsidP="003122F7">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Pulse Live, ‘Uhuru tells NTV's Mark </w:t>
      </w:r>
      <w:proofErr w:type="spellStart"/>
      <w:r w:rsidRPr="00E64FBB">
        <w:rPr>
          <w:rFonts w:ascii="Arial" w:hAnsi="Arial" w:cs="Arial"/>
          <w:sz w:val="18"/>
          <w:szCs w:val="18"/>
        </w:rPr>
        <w:t>Masai</w:t>
      </w:r>
      <w:proofErr w:type="spellEnd"/>
      <w:r w:rsidRPr="00E64FBB">
        <w:rPr>
          <w:rFonts w:ascii="Arial" w:hAnsi="Arial" w:cs="Arial"/>
          <w:sz w:val="18"/>
          <w:szCs w:val="18"/>
        </w:rPr>
        <w:t xml:space="preserve"> to forget about SGR contract’, 30 April 2019. Available at: </w:t>
      </w:r>
      <w:hyperlink r:id="rId44">
        <w:r w:rsidRPr="00E64FBB">
          <w:rPr>
            <w:rStyle w:val="InternetLink"/>
            <w:rFonts w:ascii="Arial" w:hAnsi="Arial" w:cs="Arial"/>
            <w:sz w:val="18"/>
            <w:szCs w:val="18"/>
          </w:rPr>
          <w:t>https://www.pulselive.co.ke/news/president-uhuru-kenyatta-will-not-give-ntvs-news-anchor-mark-masai-a-copy-of-the-sgr/tnwtxsg</w:t>
        </w:r>
      </w:hyperlink>
      <w:r w:rsidRPr="00E64FBB">
        <w:rPr>
          <w:rFonts w:ascii="Arial" w:hAnsi="Arial" w:cs="Arial"/>
          <w:sz w:val="18"/>
          <w:szCs w:val="18"/>
        </w:rPr>
        <w:t xml:space="preserve">. </w:t>
      </w:r>
    </w:p>
  </w:footnote>
  <w:footnote w:id="47">
    <w:p w14:paraId="538A2788" w14:textId="77777777" w:rsidR="003122F7" w:rsidRPr="00E64FBB" w:rsidRDefault="003122F7" w:rsidP="003122F7">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Petition 468 of 2018, </w:t>
      </w:r>
      <w:proofErr w:type="spellStart"/>
      <w:r w:rsidRPr="00E64FBB">
        <w:rPr>
          <w:rFonts w:ascii="Arial" w:hAnsi="Arial" w:cs="Arial"/>
          <w:sz w:val="18"/>
          <w:szCs w:val="18"/>
        </w:rPr>
        <w:t>Katiba</w:t>
      </w:r>
      <w:proofErr w:type="spellEnd"/>
      <w:r w:rsidRPr="00E64FBB">
        <w:rPr>
          <w:rFonts w:ascii="Arial" w:hAnsi="Arial" w:cs="Arial"/>
          <w:sz w:val="18"/>
          <w:szCs w:val="18"/>
        </w:rPr>
        <w:t xml:space="preserve"> Institute vs. Presidents Delivery Unit &amp; 3 Others (2017) </w:t>
      </w:r>
      <w:proofErr w:type="spellStart"/>
      <w:r w:rsidRPr="00E64FBB">
        <w:rPr>
          <w:rFonts w:ascii="Arial" w:hAnsi="Arial" w:cs="Arial"/>
          <w:sz w:val="18"/>
          <w:szCs w:val="18"/>
        </w:rPr>
        <w:t>eKLR</w:t>
      </w:r>
      <w:proofErr w:type="spellEnd"/>
      <w:r w:rsidRPr="00E64FBB">
        <w:rPr>
          <w:rFonts w:ascii="Arial" w:hAnsi="Arial" w:cs="Arial"/>
          <w:sz w:val="18"/>
          <w:szCs w:val="18"/>
        </w:rPr>
        <w:t xml:space="preserve">. Available at: </w:t>
      </w:r>
      <w:hyperlink r:id="rId45" w:history="1">
        <w:r w:rsidRPr="00E64FBB">
          <w:rPr>
            <w:rStyle w:val="Hyperlink"/>
            <w:rFonts w:ascii="Arial" w:hAnsi="Arial" w:cs="Arial"/>
            <w:sz w:val="18"/>
            <w:szCs w:val="18"/>
          </w:rPr>
          <w:t>http://kenyalaw.org/caselaw/cases/view/144012/</w:t>
        </w:r>
      </w:hyperlink>
      <w:r w:rsidRPr="00E64FBB">
        <w:rPr>
          <w:rFonts w:ascii="Arial" w:hAnsi="Arial" w:cs="Arial"/>
          <w:sz w:val="18"/>
          <w:szCs w:val="18"/>
        </w:rPr>
        <w:t xml:space="preserve">. </w:t>
      </w:r>
    </w:p>
  </w:footnote>
  <w:footnote w:id="48">
    <w:p w14:paraId="761B6C9C" w14:textId="77777777" w:rsidR="003122F7" w:rsidRPr="00E64FBB" w:rsidRDefault="003122F7" w:rsidP="003122F7">
      <w:pPr>
        <w:pStyle w:val="FootnoteText"/>
        <w:spacing w:after="0"/>
        <w:jc w:val="both"/>
        <w:rPr>
          <w:rFonts w:ascii="Arial" w:hAnsi="Arial" w:cs="Arial"/>
          <w:b/>
          <w:bCs/>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w:t>
      </w:r>
      <w:r w:rsidRPr="00E64FBB">
        <w:rPr>
          <w:rFonts w:ascii="Arial" w:hAnsi="Arial" w:cs="Arial"/>
          <w:sz w:val="18"/>
          <w:szCs w:val="18"/>
          <w:lang w:val="en-US"/>
        </w:rPr>
        <w:t>Standard Media, ‘</w:t>
      </w:r>
      <w:r w:rsidRPr="00E64FBB">
        <w:rPr>
          <w:rFonts w:ascii="Arial" w:hAnsi="Arial" w:cs="Arial"/>
          <w:bCs/>
          <w:sz w:val="18"/>
          <w:szCs w:val="18"/>
        </w:rPr>
        <w:t xml:space="preserve">Court suspends orders directing Presidential Delivery Unit to disclose information’, 28 May 2019. Available at: </w:t>
      </w:r>
      <w:hyperlink r:id="rId46" w:history="1">
        <w:r w:rsidRPr="00E64FBB">
          <w:rPr>
            <w:rStyle w:val="Hyperlink"/>
            <w:rFonts w:ascii="Arial" w:hAnsi="Arial" w:cs="Arial"/>
            <w:bCs/>
            <w:sz w:val="18"/>
            <w:szCs w:val="18"/>
          </w:rPr>
          <w:t>https://www.standardmedia.co.ke/article/2001327482/court-suspends-orders-directing-presidential-delivery-unit-to-disclose-information</w:t>
        </w:r>
      </w:hyperlink>
      <w:r>
        <w:rPr>
          <w:rFonts w:ascii="Arial" w:hAnsi="Arial" w:cs="Arial"/>
          <w:bCs/>
          <w:sz w:val="18"/>
          <w:szCs w:val="18"/>
        </w:rPr>
        <w:t>.</w:t>
      </w:r>
    </w:p>
  </w:footnote>
  <w:footnote w:id="49">
    <w:p w14:paraId="494AD2A1" w14:textId="4C80F76A" w:rsidR="00090035" w:rsidRPr="00E64FBB" w:rsidRDefault="00090035" w:rsidP="00E64FBB">
      <w:pPr>
        <w:pStyle w:val="FootnoteText"/>
        <w:spacing w:after="0"/>
        <w:jc w:val="both"/>
        <w:rPr>
          <w:rFonts w:ascii="Arial" w:hAnsi="Arial" w:cs="Arial"/>
          <w:b/>
          <w:bCs/>
          <w:sz w:val="18"/>
          <w:szCs w:val="18"/>
          <w:lang w:val="en-US"/>
        </w:rPr>
      </w:pPr>
      <w:r w:rsidRPr="00E64FBB">
        <w:rPr>
          <w:rStyle w:val="FootnoteReference"/>
          <w:rFonts w:ascii="Arial" w:hAnsi="Arial" w:cs="Arial"/>
          <w:sz w:val="18"/>
          <w:szCs w:val="18"/>
        </w:rPr>
        <w:footnoteRef/>
      </w:r>
      <w:r w:rsidRPr="00E64FBB">
        <w:rPr>
          <w:rFonts w:ascii="Arial" w:hAnsi="Arial" w:cs="Arial"/>
          <w:sz w:val="18"/>
          <w:szCs w:val="18"/>
        </w:rPr>
        <w:t xml:space="preserve">  ARTICLE 19, ‘</w:t>
      </w:r>
      <w:r w:rsidRPr="00E64FBB">
        <w:rPr>
          <w:rFonts w:ascii="Arial" w:hAnsi="Arial" w:cs="Arial"/>
          <w:bCs/>
          <w:sz w:val="18"/>
          <w:szCs w:val="18"/>
          <w:lang w:val="en-US"/>
        </w:rPr>
        <w:t xml:space="preserve">Kenya: Report on the challenges to free protest 2018-2019’, November 2019. Available at: </w:t>
      </w:r>
      <w:hyperlink r:id="rId47" w:history="1">
        <w:r w:rsidRPr="00E64FBB">
          <w:rPr>
            <w:rStyle w:val="Hyperlink"/>
            <w:rFonts w:ascii="Arial" w:hAnsi="Arial" w:cs="Arial"/>
            <w:bCs/>
            <w:sz w:val="18"/>
            <w:szCs w:val="18"/>
            <w:lang w:val="en-US"/>
          </w:rPr>
          <w:t>https://www.article19.org/resources/kenya-report-on-the-challenges-to-free-protest-2018-2019/</w:t>
        </w:r>
      </w:hyperlink>
      <w:r w:rsidRPr="00E64FBB">
        <w:rPr>
          <w:rStyle w:val="Hyperlink"/>
          <w:rFonts w:ascii="Arial" w:hAnsi="Arial" w:cs="Arial"/>
          <w:bCs/>
          <w:sz w:val="18"/>
          <w:szCs w:val="18"/>
          <w:lang w:val="en-US"/>
        </w:rPr>
        <w:t xml:space="preserve">. </w:t>
      </w:r>
      <w:r w:rsidRPr="00E64FBB">
        <w:rPr>
          <w:rFonts w:ascii="Arial" w:hAnsi="Arial" w:cs="Arial"/>
          <w:b/>
          <w:bCs/>
          <w:sz w:val="18"/>
          <w:szCs w:val="18"/>
          <w:lang w:val="en-US"/>
        </w:rPr>
        <w:t xml:space="preserve"> </w:t>
      </w:r>
    </w:p>
  </w:footnote>
  <w:footnote w:id="50">
    <w:p w14:paraId="2FD5DB4E" w14:textId="6633AF99"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The Public Order Act (1950). Available at: </w:t>
      </w:r>
      <w:hyperlink r:id="rId48">
        <w:r w:rsidRPr="00E64FBB">
          <w:rPr>
            <w:rStyle w:val="InternetLink"/>
            <w:rFonts w:ascii="Arial" w:hAnsi="Arial" w:cs="Arial"/>
            <w:sz w:val="18"/>
            <w:szCs w:val="18"/>
          </w:rPr>
          <w:t>https://www.nis.go.ke/downloads/Public%20Order%20Act,%20Cap%2056.pdf</w:t>
        </w:r>
      </w:hyperlink>
      <w:r w:rsidRPr="00E64FBB">
        <w:rPr>
          <w:rStyle w:val="InternetLink"/>
          <w:rFonts w:ascii="Arial" w:hAnsi="Arial" w:cs="Arial"/>
          <w:sz w:val="18"/>
          <w:szCs w:val="18"/>
        </w:rPr>
        <w:t xml:space="preserve">. </w:t>
      </w:r>
    </w:p>
  </w:footnote>
  <w:footnote w:id="51">
    <w:p w14:paraId="528472A0" w14:textId="71CB8006"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Fonts w:ascii="Arial" w:hAnsi="Arial" w:cs="Arial"/>
          <w:sz w:val="18"/>
          <w:szCs w:val="18"/>
        </w:rPr>
        <w:t xml:space="preserve"> Op. Cit. Public Order Act, 9 Section 5 (4). </w:t>
      </w:r>
    </w:p>
  </w:footnote>
  <w:footnote w:id="52">
    <w:p w14:paraId="101192A3" w14:textId="5A286777"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Business Today, ‘Activist Boniface </w:t>
      </w:r>
      <w:proofErr w:type="spellStart"/>
      <w:r w:rsidRPr="00E64FBB">
        <w:rPr>
          <w:rFonts w:ascii="Arial" w:hAnsi="Arial" w:cs="Arial"/>
          <w:sz w:val="18"/>
          <w:szCs w:val="18"/>
        </w:rPr>
        <w:t>Mwangi</w:t>
      </w:r>
      <w:proofErr w:type="spellEnd"/>
      <w:r w:rsidRPr="00E64FBB">
        <w:rPr>
          <w:rFonts w:ascii="Arial" w:hAnsi="Arial" w:cs="Arial"/>
          <w:sz w:val="18"/>
          <w:szCs w:val="18"/>
        </w:rPr>
        <w:t xml:space="preserve"> arrested for “plotting revolution”’, 6 May 2019. Available at: </w:t>
      </w:r>
      <w:hyperlink r:id="rId49">
        <w:r w:rsidRPr="00E64FBB">
          <w:rPr>
            <w:rStyle w:val="InternetLink"/>
            <w:rFonts w:ascii="Arial" w:hAnsi="Arial" w:cs="Arial"/>
            <w:sz w:val="18"/>
            <w:szCs w:val="18"/>
          </w:rPr>
          <w:t>https://businesstoday.co.ke/activist-boniface-mwangi-arrested/</w:t>
        </w:r>
      </w:hyperlink>
      <w:r w:rsidRPr="00E64FBB">
        <w:rPr>
          <w:rFonts w:ascii="Arial" w:hAnsi="Arial" w:cs="Arial"/>
          <w:sz w:val="18"/>
          <w:szCs w:val="18"/>
        </w:rPr>
        <w:t xml:space="preserve">. </w:t>
      </w:r>
    </w:p>
  </w:footnote>
  <w:footnote w:id="53">
    <w:p w14:paraId="4A43655B" w14:textId="503890B9"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Public Order Act Amendment Bill (2019). Available at: </w:t>
      </w:r>
      <w:hyperlink r:id="rId50">
        <w:r w:rsidRPr="00E64FBB">
          <w:rPr>
            <w:rStyle w:val="InternetLink"/>
            <w:rFonts w:ascii="Arial" w:hAnsi="Arial" w:cs="Arial"/>
            <w:sz w:val="18"/>
            <w:szCs w:val="18"/>
          </w:rPr>
          <w:t>http://kenyalaw.org/kl/fileadmin/pdfdownloads/bills/2019/PublicOrder_Amendment_Bill_2019.pdf</w:t>
        </w:r>
      </w:hyperlink>
      <w:r w:rsidRPr="00E64FBB">
        <w:rPr>
          <w:rStyle w:val="InternetLink"/>
          <w:rFonts w:ascii="Arial" w:hAnsi="Arial" w:cs="Arial"/>
          <w:sz w:val="18"/>
          <w:szCs w:val="18"/>
        </w:rPr>
        <w:t xml:space="preserve">. </w:t>
      </w:r>
    </w:p>
  </w:footnote>
  <w:footnote w:id="54">
    <w:p w14:paraId="315FF9FC" w14:textId="2D32BA13" w:rsidR="00090035" w:rsidRPr="004A0A6D" w:rsidRDefault="00090035" w:rsidP="004A0A6D">
      <w:pPr>
        <w:pStyle w:val="FootnoteText"/>
        <w:spacing w:after="0"/>
        <w:rPr>
          <w:rFonts w:ascii="Arial" w:hAnsi="Arial" w:cs="Arial"/>
        </w:rPr>
      </w:pPr>
      <w:r w:rsidRPr="004A0A6D">
        <w:rPr>
          <w:rStyle w:val="FootnoteReference"/>
          <w:rFonts w:ascii="Arial" w:hAnsi="Arial" w:cs="Arial"/>
          <w:sz w:val="18"/>
        </w:rPr>
        <w:footnoteRef/>
      </w:r>
      <w:r w:rsidRPr="004A0A6D">
        <w:rPr>
          <w:rFonts w:ascii="Arial" w:hAnsi="Arial" w:cs="Arial"/>
          <w:sz w:val="18"/>
        </w:rPr>
        <w:t xml:space="preserve"> Op. Cit. UN Human Rights Committee, ‘Concluding Observations’.</w:t>
      </w:r>
    </w:p>
  </w:footnote>
  <w:footnote w:id="55">
    <w:p w14:paraId="0D3332DC" w14:textId="4C36F02A"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KNCHR, ‘Mirage at Dusk - First Presidential Elections: A Human Rights Account of The 2017 General Election’, 9 October 2017. Available at: </w:t>
      </w:r>
      <w:hyperlink r:id="rId51">
        <w:r w:rsidRPr="00E64FBB">
          <w:rPr>
            <w:rStyle w:val="InternetLink"/>
            <w:rFonts w:ascii="Arial" w:hAnsi="Arial" w:cs="Arial"/>
            <w:sz w:val="18"/>
            <w:szCs w:val="18"/>
          </w:rPr>
          <w:t>https://www.knchr.org/articles/artmid/2432/articleid/1030/mirage-at-dusk-first-presidential-elections-a-human-rights-account-of-the-2017-general-election</w:t>
        </w:r>
      </w:hyperlink>
      <w:r w:rsidRPr="00E64FBB">
        <w:rPr>
          <w:rStyle w:val="InternetLink"/>
          <w:rFonts w:ascii="Arial" w:hAnsi="Arial" w:cs="Arial"/>
          <w:sz w:val="18"/>
          <w:szCs w:val="18"/>
        </w:rPr>
        <w:t xml:space="preserve">. </w:t>
      </w:r>
    </w:p>
  </w:footnote>
  <w:footnote w:id="56">
    <w:p w14:paraId="0032EBE1" w14:textId="72B418D6" w:rsidR="00090035" w:rsidRPr="00E64FBB" w:rsidRDefault="00090035" w:rsidP="00E64FBB">
      <w:pPr>
        <w:pStyle w:val="FootnoteText"/>
        <w:spacing w:after="0"/>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ARTICLE 19, ‘Kenya: Inquest finds police culpable for death of baby in 2017 post-election protests’, 18 February 2019. Available at: </w:t>
      </w:r>
      <w:hyperlink r:id="rId52">
        <w:r w:rsidRPr="00E64FBB">
          <w:rPr>
            <w:rStyle w:val="InternetLink"/>
            <w:rFonts w:ascii="Arial" w:hAnsi="Arial" w:cs="Arial"/>
            <w:sz w:val="18"/>
            <w:szCs w:val="18"/>
          </w:rPr>
          <w:t>https://www.article19.org/resources/kenya-inquest-finds-police-culpable-for-death-of-baby-in-2017-post-election-protests/</w:t>
        </w:r>
      </w:hyperlink>
      <w:r w:rsidRPr="00E64FBB">
        <w:rPr>
          <w:rStyle w:val="InternetLink"/>
          <w:rFonts w:ascii="Arial" w:hAnsi="Arial" w:cs="Arial"/>
          <w:sz w:val="18"/>
          <w:szCs w:val="18"/>
        </w:rPr>
        <w:t xml:space="preserve">. </w:t>
      </w:r>
    </w:p>
  </w:footnote>
  <w:footnote w:id="57">
    <w:p w14:paraId="7414DAD6" w14:textId="2C85ED7A" w:rsidR="00090035" w:rsidRPr="00E64FBB" w:rsidRDefault="00090035" w:rsidP="00E64FBB">
      <w:pPr>
        <w:pStyle w:val="FootnoteText"/>
        <w:spacing w:after="0" w:line="240" w:lineRule="auto"/>
        <w:jc w:val="both"/>
        <w:rPr>
          <w:rFonts w:ascii="Arial" w:hAnsi="Arial" w:cs="Arial"/>
          <w:sz w:val="18"/>
          <w:szCs w:val="18"/>
        </w:rPr>
      </w:pPr>
      <w:r w:rsidRPr="00E64FBB">
        <w:rPr>
          <w:rStyle w:val="FootnoteCharacters"/>
          <w:rFonts w:ascii="Arial" w:hAnsi="Arial" w:cs="Arial"/>
          <w:sz w:val="18"/>
          <w:szCs w:val="18"/>
        </w:rPr>
        <w:footnoteRef/>
      </w:r>
      <w:r w:rsidRPr="00E64FBB">
        <w:rPr>
          <w:rStyle w:val="FootnoteCharacters"/>
          <w:rFonts w:ascii="Arial" w:hAnsi="Arial" w:cs="Arial"/>
          <w:sz w:val="18"/>
          <w:szCs w:val="18"/>
        </w:rPr>
        <w:t xml:space="preserve"> </w:t>
      </w:r>
      <w:r w:rsidRPr="00E64FBB">
        <w:rPr>
          <w:rFonts w:ascii="Arial" w:hAnsi="Arial" w:cs="Arial"/>
          <w:sz w:val="18"/>
          <w:szCs w:val="18"/>
        </w:rPr>
        <w:t xml:space="preserve">Public Benefits Organizations Act (2013). Available at: </w:t>
      </w:r>
      <w:hyperlink r:id="rId53">
        <w:r w:rsidRPr="00E64FBB">
          <w:rPr>
            <w:rStyle w:val="InternetLink"/>
            <w:rFonts w:ascii="Arial" w:hAnsi="Arial" w:cs="Arial"/>
            <w:sz w:val="18"/>
            <w:szCs w:val="18"/>
          </w:rPr>
          <w:t>http://kenyalaw.org/kl/fileadmin/pdfdownloads/acts/publicbenefitsorganisationno18of2013.pdf</w:t>
        </w:r>
      </w:hyperlink>
      <w:r w:rsidRPr="00E64FBB">
        <w:rPr>
          <w:rStyle w:val="InternetLink"/>
          <w:rFonts w:ascii="Arial" w:hAnsi="Arial" w:cs="Arial"/>
          <w:sz w:val="18"/>
          <w:szCs w:val="18"/>
        </w:rPr>
        <w:t>.</w:t>
      </w:r>
    </w:p>
  </w:footnote>
  <w:footnote w:id="58">
    <w:p w14:paraId="7CCD6E07" w14:textId="27ABD72F" w:rsidR="00090035" w:rsidRPr="00E64FBB" w:rsidRDefault="00090035" w:rsidP="00E64FBB">
      <w:pPr>
        <w:pStyle w:val="Heading2"/>
        <w:spacing w:before="0" w:line="240" w:lineRule="auto"/>
        <w:jc w:val="both"/>
        <w:rPr>
          <w:rFonts w:ascii="Arial" w:hAnsi="Arial" w:cs="Arial"/>
          <w:color w:val="auto"/>
          <w:sz w:val="18"/>
          <w:szCs w:val="18"/>
        </w:rPr>
      </w:pPr>
      <w:r w:rsidRPr="00E64FBB">
        <w:rPr>
          <w:rStyle w:val="FootnoteCharacters"/>
          <w:rFonts w:ascii="Arial" w:hAnsi="Arial" w:cs="Arial"/>
          <w:color w:val="auto"/>
          <w:sz w:val="18"/>
          <w:szCs w:val="18"/>
        </w:rPr>
        <w:footnoteRef/>
      </w:r>
      <w:r w:rsidRPr="00E64FBB">
        <w:rPr>
          <w:rStyle w:val="FootnoteCharacters"/>
          <w:rFonts w:ascii="Arial" w:hAnsi="Arial" w:cs="Arial"/>
          <w:color w:val="auto"/>
          <w:sz w:val="18"/>
          <w:szCs w:val="18"/>
        </w:rPr>
        <w:t xml:space="preserve"> </w:t>
      </w:r>
      <w:r w:rsidRPr="00E64FBB">
        <w:rPr>
          <w:rStyle w:val="hlite"/>
          <w:rFonts w:ascii="Arial" w:eastAsia="Times New Roman" w:hAnsi="Arial" w:cs="Arial"/>
          <w:color w:val="auto"/>
          <w:sz w:val="18"/>
          <w:szCs w:val="18"/>
        </w:rPr>
        <w:t>ICJ, ‘Kenya:</w:t>
      </w:r>
      <w:r w:rsidRPr="00E64FBB">
        <w:rPr>
          <w:rStyle w:val="apple-converted-space"/>
          <w:rFonts w:ascii="Arial" w:eastAsia="Times New Roman" w:hAnsi="Arial" w:cs="Arial"/>
          <w:color w:val="auto"/>
          <w:sz w:val="18"/>
          <w:szCs w:val="18"/>
        </w:rPr>
        <w:t> </w:t>
      </w:r>
      <w:r w:rsidRPr="00E64FBB">
        <w:rPr>
          <w:rFonts w:ascii="Arial" w:eastAsia="Times New Roman" w:hAnsi="Arial" w:cs="Arial"/>
          <w:color w:val="auto"/>
          <w:sz w:val="18"/>
          <w:szCs w:val="18"/>
        </w:rPr>
        <w:t xml:space="preserve">Last warning from the court to implement the PBO Act 2013 within 30 days’, 18 May 2017. Available at: </w:t>
      </w:r>
      <w:hyperlink r:id="rId54" w:history="1">
        <w:r w:rsidRPr="00E64FBB">
          <w:rPr>
            <w:rStyle w:val="Hyperlink"/>
            <w:rFonts w:ascii="Arial" w:eastAsia="Times New Roman" w:hAnsi="Arial" w:cs="Arial"/>
            <w:sz w:val="18"/>
            <w:szCs w:val="18"/>
          </w:rPr>
          <w:t>https://icj-kenya.org/news/latest-news/102-kenya-last-warning-from-the-court-to-implement-the-pbo-act-2013-within-30-days</w:t>
        </w:r>
      </w:hyperlink>
      <w:r w:rsidRPr="00E64FBB">
        <w:rPr>
          <w:rFonts w:ascii="Arial" w:eastAsia="Times New Roman" w:hAnsi="Arial" w:cs="Arial"/>
          <w:color w:val="auto"/>
          <w:sz w:val="18"/>
          <w:szCs w:val="18"/>
        </w:rPr>
        <w:t xml:space="preserve">. </w:t>
      </w:r>
    </w:p>
  </w:footnote>
  <w:footnote w:id="59">
    <w:p w14:paraId="19CC517E" w14:textId="3AF43592" w:rsidR="00090035" w:rsidRPr="00E64FBB" w:rsidRDefault="00090035" w:rsidP="00E64FBB">
      <w:pPr>
        <w:pStyle w:val="Heading1"/>
        <w:spacing w:before="0"/>
        <w:jc w:val="both"/>
        <w:rPr>
          <w:rFonts w:ascii="Arial" w:eastAsia="Times New Roman" w:hAnsi="Arial" w:cs="Arial"/>
          <w:color w:val="auto"/>
          <w:sz w:val="18"/>
          <w:szCs w:val="18"/>
          <w:lang w:val="en-GB"/>
        </w:rPr>
      </w:pPr>
      <w:r w:rsidRPr="00E64FBB">
        <w:rPr>
          <w:rStyle w:val="FootnoteCharacters"/>
          <w:rFonts w:ascii="Arial" w:hAnsi="Arial" w:cs="Arial"/>
          <w:color w:val="auto"/>
          <w:sz w:val="18"/>
          <w:szCs w:val="18"/>
        </w:rPr>
        <w:footnoteRef/>
      </w:r>
      <w:r w:rsidRPr="00E64FBB">
        <w:rPr>
          <w:rStyle w:val="FootnoteCharacters"/>
          <w:rFonts w:ascii="Arial" w:hAnsi="Arial" w:cs="Arial"/>
          <w:color w:val="auto"/>
          <w:sz w:val="18"/>
          <w:szCs w:val="18"/>
        </w:rPr>
        <w:t xml:space="preserve"> </w:t>
      </w:r>
      <w:r w:rsidRPr="00E64FBB">
        <w:rPr>
          <w:rFonts w:ascii="Arial" w:eastAsia="Times New Roman" w:hAnsi="Arial" w:cs="Arial"/>
          <w:color w:val="auto"/>
          <w:sz w:val="18"/>
          <w:szCs w:val="18"/>
          <w:lang w:val="en-GB"/>
        </w:rPr>
        <w:t>Capital News, ‘</w:t>
      </w:r>
      <w:proofErr w:type="spellStart"/>
      <w:r w:rsidRPr="00E64FBB">
        <w:rPr>
          <w:rFonts w:ascii="Arial" w:eastAsia="Times New Roman" w:hAnsi="Arial" w:cs="Arial"/>
          <w:color w:val="auto"/>
          <w:sz w:val="18"/>
          <w:szCs w:val="18"/>
          <w:lang w:val="en-GB"/>
        </w:rPr>
        <w:t>Ruto</w:t>
      </w:r>
      <w:proofErr w:type="spellEnd"/>
      <w:r w:rsidRPr="00E64FBB">
        <w:rPr>
          <w:rFonts w:ascii="Arial" w:eastAsia="Times New Roman" w:hAnsi="Arial" w:cs="Arial"/>
          <w:color w:val="auto"/>
          <w:sz w:val="18"/>
          <w:szCs w:val="18"/>
          <w:lang w:val="en-GB"/>
        </w:rPr>
        <w:t xml:space="preserve"> directs public entities to comply with order to list all suppliers’, 28 January 2019. Available at: </w:t>
      </w:r>
      <w:hyperlink r:id="rId55" w:history="1">
        <w:r w:rsidRPr="00E64FBB">
          <w:rPr>
            <w:rStyle w:val="Hyperlink"/>
            <w:rFonts w:ascii="Arial" w:eastAsia="Times New Roman" w:hAnsi="Arial" w:cs="Arial"/>
            <w:sz w:val="18"/>
            <w:szCs w:val="18"/>
            <w:lang w:val="en-GB"/>
          </w:rPr>
          <w:t>https://www.capitalfm.co.ke/news/2019/01/ruto-directs-public-entities-to-comply-with-order-to-list-all-suppliers/</w:t>
        </w:r>
      </w:hyperlink>
      <w:r w:rsidRPr="00E64FBB">
        <w:rPr>
          <w:rFonts w:ascii="Arial" w:eastAsia="Times New Roman" w:hAnsi="Arial" w:cs="Arial"/>
          <w:color w:val="auto"/>
          <w:sz w:val="18"/>
          <w:szCs w:val="18"/>
          <w:lang w:val="en-GB"/>
        </w:rPr>
        <w:t xml:space="preserve">. </w:t>
      </w:r>
    </w:p>
  </w:footnote>
  <w:footnote w:id="60">
    <w:p w14:paraId="7FA3789D" w14:textId="77777777" w:rsidR="008E6399" w:rsidRPr="00E64FBB" w:rsidRDefault="008E6399" w:rsidP="008E6399">
      <w:pPr>
        <w:pStyle w:val="FootnoteText"/>
        <w:spacing w:after="0"/>
        <w:jc w:val="both"/>
        <w:rPr>
          <w:rFonts w:ascii="Arial" w:hAnsi="Arial" w:cs="Arial"/>
          <w:sz w:val="18"/>
          <w:szCs w:val="18"/>
        </w:rPr>
      </w:pPr>
      <w:r w:rsidRPr="00E64FBB">
        <w:rPr>
          <w:rStyle w:val="FootnoteCharacters"/>
          <w:rFonts w:ascii="Arial" w:hAnsi="Arial" w:cs="Arial"/>
          <w:color w:val="auto"/>
          <w:sz w:val="18"/>
          <w:szCs w:val="18"/>
        </w:rPr>
        <w:footnoteRef/>
      </w:r>
      <w:r w:rsidRPr="00E64FBB">
        <w:rPr>
          <w:rFonts w:ascii="Arial" w:hAnsi="Arial" w:cs="Arial"/>
          <w:color w:val="auto"/>
          <w:sz w:val="18"/>
          <w:szCs w:val="18"/>
        </w:rPr>
        <w:t xml:space="preserve"> Associations Bill (2018). Available at: </w:t>
      </w:r>
      <w:hyperlink r:id="rId56" w:history="1">
        <w:r w:rsidRPr="00E64FBB">
          <w:rPr>
            <w:rStyle w:val="Hyperlink"/>
            <w:rFonts w:ascii="Arial" w:hAnsi="Arial" w:cs="Arial"/>
            <w:sz w:val="18"/>
            <w:szCs w:val="18"/>
          </w:rPr>
          <w:t>https://www.statelaw.go.ke/wp-content/uploads/2018/09/Associations-bill-2018.pdf</w:t>
        </w:r>
      </w:hyperlink>
      <w:r w:rsidRPr="00E64FBB">
        <w:rPr>
          <w:rFonts w:ascii="Arial" w:hAnsi="Arial" w:cs="Arial"/>
          <w:color w:val="auto"/>
          <w:sz w:val="18"/>
          <w:szCs w:val="18"/>
        </w:rPr>
        <w:t xml:space="preserve">. </w:t>
      </w:r>
    </w:p>
  </w:footnote>
  <w:footnote w:id="61">
    <w:p w14:paraId="72F21121" w14:textId="3C10F815" w:rsidR="00090035" w:rsidRPr="00E64FBB" w:rsidRDefault="00090035" w:rsidP="00E64FBB">
      <w:pPr>
        <w:pStyle w:val="FootnoteText"/>
        <w:spacing w:after="0"/>
        <w:jc w:val="both"/>
        <w:rPr>
          <w:rFonts w:ascii="Arial" w:hAnsi="Arial" w:cs="Arial"/>
          <w:sz w:val="18"/>
          <w:szCs w:val="18"/>
        </w:rPr>
      </w:pPr>
      <w:r w:rsidRPr="00E64FBB">
        <w:rPr>
          <w:rStyle w:val="FootnoteReference"/>
          <w:rFonts w:ascii="Arial" w:hAnsi="Arial" w:cs="Arial"/>
          <w:sz w:val="18"/>
          <w:szCs w:val="18"/>
        </w:rPr>
        <w:footnoteRef/>
      </w:r>
      <w:r w:rsidRPr="00E64FBB">
        <w:rPr>
          <w:rFonts w:ascii="Arial" w:hAnsi="Arial" w:cs="Arial"/>
          <w:sz w:val="18"/>
          <w:szCs w:val="18"/>
        </w:rPr>
        <w:t xml:space="preserve"> ARTICLE 19, ‘Kenya: Protect the data protection framework’, 25 November 2019. Available at: </w:t>
      </w:r>
      <w:hyperlink r:id="rId57" w:history="1">
        <w:r w:rsidRPr="00E64FBB">
          <w:rPr>
            <w:rStyle w:val="Hyperlink"/>
            <w:rFonts w:ascii="Arial" w:hAnsi="Arial" w:cs="Arial"/>
            <w:sz w:val="18"/>
            <w:szCs w:val="18"/>
          </w:rPr>
          <w:t>https://www.article19.org/resources/kenya-protect-the-data-protection-framework/</w:t>
        </w:r>
      </w:hyperlink>
      <w:r w:rsidRPr="00E64FBB">
        <w:rPr>
          <w:rStyle w:val="Hyperlink"/>
          <w:rFonts w:ascii="Arial" w:hAnsi="Arial" w:cs="Arial"/>
          <w:sz w:val="18"/>
          <w:szCs w:val="18"/>
        </w:rPr>
        <w:t>.</w:t>
      </w:r>
    </w:p>
  </w:footnote>
  <w:footnote w:id="62">
    <w:p w14:paraId="2F5D4B29" w14:textId="38EA5B07" w:rsidR="00090035" w:rsidRDefault="00090035" w:rsidP="00E64FBB">
      <w:pPr>
        <w:pStyle w:val="FootnoteText"/>
        <w:spacing w:after="0"/>
        <w:jc w:val="both"/>
      </w:pPr>
      <w:r w:rsidRPr="00E64FBB">
        <w:rPr>
          <w:rStyle w:val="FootnoteReference"/>
          <w:rFonts w:ascii="Arial" w:hAnsi="Arial" w:cs="Arial"/>
          <w:sz w:val="18"/>
          <w:szCs w:val="18"/>
        </w:rPr>
        <w:footnoteRef/>
      </w:r>
      <w:r w:rsidRPr="00E64FBB">
        <w:rPr>
          <w:rFonts w:ascii="Arial" w:hAnsi="Arial" w:cs="Arial"/>
          <w:sz w:val="18"/>
          <w:szCs w:val="18"/>
        </w:rPr>
        <w:t xml:space="preserve"> ARTICLE 19, ‘Legal Analysis: Draft Data Protection Bill’, July 2019. Available at: </w:t>
      </w:r>
      <w:hyperlink r:id="rId58" w:history="1">
        <w:r w:rsidRPr="00E64FBB">
          <w:rPr>
            <w:rStyle w:val="Hyperlink"/>
            <w:rFonts w:ascii="Arial" w:hAnsi="Arial" w:cs="Arial"/>
            <w:sz w:val="18"/>
            <w:szCs w:val="18"/>
          </w:rPr>
          <w:t>https://www.article19.org/wp-content/uploads/2019/11/Kenya-Data-Protection-Bill-2019-final-2.pdf</w:t>
        </w:r>
      </w:hyperlink>
      <w:r w:rsidRPr="00E64FBB">
        <w:rPr>
          <w:rFonts w:ascii="Arial" w:hAnsi="Arial" w:cs="Arial"/>
          <w:sz w:val="18"/>
          <w:szCs w:val="18"/>
        </w:rPr>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42D9" w14:textId="77777777" w:rsidR="00090035" w:rsidRDefault="0009003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40A3" w14:textId="2602BC80" w:rsidR="00090035" w:rsidRDefault="0009003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B59"/>
    <w:multiLevelType w:val="hybridMultilevel"/>
    <w:tmpl w:val="309E81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663FF4"/>
    <w:multiLevelType w:val="hybridMultilevel"/>
    <w:tmpl w:val="5DCCD75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3E40404"/>
    <w:multiLevelType w:val="hybridMultilevel"/>
    <w:tmpl w:val="A66C0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C4AC3"/>
    <w:multiLevelType w:val="multilevel"/>
    <w:tmpl w:val="AC76BD50"/>
    <w:lvl w:ilvl="0">
      <w:start w:val="1"/>
      <w:numFmt w:val="bullet"/>
      <w:lvlText w:val=""/>
      <w:lvlJc w:val="left"/>
      <w:pPr>
        <w:ind w:left="436" w:hanging="360"/>
      </w:pPr>
      <w:rPr>
        <w:rFonts w:ascii="Symbol" w:hAnsi="Symbol" w:cs="Symbol" w:hint="default"/>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 w15:restartNumberingAfterBreak="0">
    <w:nsid w:val="0CDB71D4"/>
    <w:multiLevelType w:val="hybridMultilevel"/>
    <w:tmpl w:val="23F0276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05413A7"/>
    <w:multiLevelType w:val="hybridMultilevel"/>
    <w:tmpl w:val="22FA3F2A"/>
    <w:lvl w:ilvl="0" w:tplc="8ABA75CA">
      <w:start w:val="1"/>
      <w:numFmt w:val="decimal"/>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37E02D5"/>
    <w:multiLevelType w:val="multilevel"/>
    <w:tmpl w:val="992CCBCE"/>
    <w:lvl w:ilvl="0">
      <w:start w:val="1"/>
      <w:numFmt w:val="lowerLetter"/>
      <w:lvlText w:val="%1."/>
      <w:lvlJc w:val="left"/>
      <w:pPr>
        <w:ind w:left="436" w:hanging="360"/>
      </w:p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7" w15:restartNumberingAfterBreak="0">
    <w:nsid w:val="1538288A"/>
    <w:multiLevelType w:val="multilevel"/>
    <w:tmpl w:val="023611D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2601E2"/>
    <w:multiLevelType w:val="multilevel"/>
    <w:tmpl w:val="D70A379A"/>
    <w:lvl w:ilvl="0">
      <w:start w:val="1"/>
      <w:numFmt w:val="decimal"/>
      <w:lvlText w:val="%1."/>
      <w:lvlJc w:val="left"/>
      <w:pPr>
        <w:ind w:left="76" w:hanging="360"/>
      </w:pPr>
      <w:rPr>
        <w:rFonts w:ascii="Helvetica" w:hAnsi="Helvetica"/>
        <w:b w:val="0"/>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9" w15:restartNumberingAfterBreak="0">
    <w:nsid w:val="1C09300F"/>
    <w:multiLevelType w:val="multilevel"/>
    <w:tmpl w:val="F2F8B0E6"/>
    <w:lvl w:ilvl="0">
      <w:start w:val="1"/>
      <w:numFmt w:val="bullet"/>
      <w:lvlText w:val=""/>
      <w:lvlJc w:val="left"/>
      <w:pPr>
        <w:ind w:left="436" w:hanging="360"/>
      </w:pPr>
      <w:rPr>
        <w:rFonts w:ascii="Symbol" w:hAnsi="Symbol" w:cs="Symbol" w:hint="default"/>
        <w:b/>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1CC27780"/>
    <w:multiLevelType w:val="hybridMultilevel"/>
    <w:tmpl w:val="97F2B206"/>
    <w:lvl w:ilvl="0" w:tplc="4B84934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80218"/>
    <w:multiLevelType w:val="hybridMultilevel"/>
    <w:tmpl w:val="54F6D836"/>
    <w:lvl w:ilvl="0" w:tplc="E0F22CC8">
      <w:start w:val="1"/>
      <w:numFmt w:val="lowerLetter"/>
      <w:lvlText w:val="%1)"/>
      <w:lvlJc w:val="left"/>
      <w:pPr>
        <w:ind w:left="436" w:hanging="360"/>
      </w:pPr>
      <w:rPr>
        <w:rFonts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2C516525"/>
    <w:multiLevelType w:val="multilevel"/>
    <w:tmpl w:val="FE687406"/>
    <w:lvl w:ilvl="0">
      <w:start w:val="1"/>
      <w:numFmt w:val="decimal"/>
      <w:lvlText w:val="%1."/>
      <w:lvlJc w:val="left"/>
      <w:pPr>
        <w:ind w:left="76" w:hanging="360"/>
      </w:pPr>
      <w:rPr>
        <w:rFonts w:ascii="Helvetica" w:hAnsi="Helvetica"/>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3" w15:restartNumberingAfterBreak="0">
    <w:nsid w:val="30072638"/>
    <w:multiLevelType w:val="hybridMultilevel"/>
    <w:tmpl w:val="EAE271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01E2819"/>
    <w:multiLevelType w:val="multilevel"/>
    <w:tmpl w:val="27703EE4"/>
    <w:lvl w:ilvl="0">
      <w:start w:val="1"/>
      <w:numFmt w:val="decimal"/>
      <w:lvlText w:val="%1."/>
      <w:lvlJc w:val="left"/>
      <w:pPr>
        <w:ind w:left="76" w:hanging="360"/>
      </w:pPr>
      <w:rPr>
        <w:rFonts w:ascii="Helvetica" w:hAnsi="Helvetica"/>
        <w:i w:val="0"/>
        <w:sz w:val="20"/>
      </w:rPr>
    </w:lvl>
    <w:lvl w:ilvl="1">
      <w:start w:val="1"/>
      <w:numFmt w:val="lowerLetter"/>
      <w:lvlText w:val="%2."/>
      <w:lvlJc w:val="left"/>
      <w:pPr>
        <w:ind w:left="796" w:hanging="360"/>
      </w:pPr>
    </w:lvl>
    <w:lvl w:ilvl="2">
      <w:start w:val="1"/>
      <w:numFmt w:val="decimal"/>
      <w:lvlText w:val="%3."/>
      <w:lvlJc w:val="right"/>
      <w:pPr>
        <w:ind w:left="1516" w:hanging="180"/>
      </w:pPr>
    </w:lvl>
    <w:lvl w:ilvl="3">
      <w:start w:val="1"/>
      <w:numFmt w:val="lowerLetter"/>
      <w:lvlText w:val="%4)"/>
      <w:lvlJc w:val="left"/>
      <w:pPr>
        <w:ind w:left="2236" w:hanging="360"/>
      </w:pPr>
    </w:lvl>
    <w:lvl w:ilvl="4">
      <w:start w:val="1"/>
      <w:numFmt w:val="lowerRoman"/>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5" w15:restartNumberingAfterBreak="0">
    <w:nsid w:val="33B439A2"/>
    <w:multiLevelType w:val="hybridMultilevel"/>
    <w:tmpl w:val="D7C89368"/>
    <w:lvl w:ilvl="0" w:tplc="A992E5EA">
      <w:start w:val="1"/>
      <w:numFmt w:val="upp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3DB2325"/>
    <w:multiLevelType w:val="hybridMultilevel"/>
    <w:tmpl w:val="64E292E0"/>
    <w:lvl w:ilvl="0" w:tplc="2F2C2D50">
      <w:start w:val="1"/>
      <w:numFmt w:val="decimal"/>
      <w:lvlText w:val="%1."/>
      <w:lvlJc w:val="left"/>
      <w:pPr>
        <w:ind w:left="76" w:hanging="360"/>
      </w:pPr>
      <w:rPr>
        <w:rFonts w:hint="default"/>
        <w:b w:val="0"/>
        <w:i w:val="0"/>
      </w:rPr>
    </w:lvl>
    <w:lvl w:ilvl="1" w:tplc="08090001">
      <w:start w:val="1"/>
      <w:numFmt w:val="bullet"/>
      <w:lvlText w:val=""/>
      <w:lvlJc w:val="left"/>
      <w:pPr>
        <w:ind w:left="796" w:hanging="360"/>
      </w:pPr>
      <w:rPr>
        <w:rFonts w:ascii="Symbol" w:hAnsi="Symbo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363E18AD"/>
    <w:multiLevelType w:val="hybridMultilevel"/>
    <w:tmpl w:val="C274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64747"/>
    <w:multiLevelType w:val="hybridMultilevel"/>
    <w:tmpl w:val="B6D6E944"/>
    <w:lvl w:ilvl="0" w:tplc="5184A89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38C47FD8"/>
    <w:multiLevelType w:val="multilevel"/>
    <w:tmpl w:val="A334B548"/>
    <w:lvl w:ilvl="0">
      <w:start w:val="1"/>
      <w:numFmt w:val="decimal"/>
      <w:lvlText w:val="%1."/>
      <w:lvlJc w:val="left"/>
      <w:pPr>
        <w:ind w:left="76" w:hanging="360"/>
      </w:pPr>
      <w:rPr>
        <w:rFonts w:ascii="Helvetica" w:hAnsi="Helvetica"/>
        <w:i w:val="0"/>
        <w:sz w:val="20"/>
      </w:rPr>
    </w:lvl>
    <w:lvl w:ilvl="1">
      <w:start w:val="1"/>
      <w:numFmt w:val="bullet"/>
      <w:lvlText w:val=""/>
      <w:lvlJc w:val="left"/>
      <w:pPr>
        <w:ind w:left="796" w:hanging="360"/>
      </w:pPr>
      <w:rPr>
        <w:rFonts w:ascii="Symbol" w:hAnsi="Symbo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0" w15:restartNumberingAfterBreak="0">
    <w:nsid w:val="3F33510B"/>
    <w:multiLevelType w:val="multilevel"/>
    <w:tmpl w:val="D2A0CF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089033E"/>
    <w:multiLevelType w:val="hybridMultilevel"/>
    <w:tmpl w:val="40B0FB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473C7CC8"/>
    <w:multiLevelType w:val="hybridMultilevel"/>
    <w:tmpl w:val="504E34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48DD0AAD"/>
    <w:multiLevelType w:val="multilevel"/>
    <w:tmpl w:val="A0A43A4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4CDC474F"/>
    <w:multiLevelType w:val="hybridMultilevel"/>
    <w:tmpl w:val="CD4A1E5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D2849F2"/>
    <w:multiLevelType w:val="hybridMultilevel"/>
    <w:tmpl w:val="059EB9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4E9E4CF6"/>
    <w:multiLevelType w:val="hybridMultilevel"/>
    <w:tmpl w:val="76F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17BAC"/>
    <w:multiLevelType w:val="multilevel"/>
    <w:tmpl w:val="AD3C757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8" w15:restartNumberingAfterBreak="0">
    <w:nsid w:val="559F7F3E"/>
    <w:multiLevelType w:val="hybridMultilevel"/>
    <w:tmpl w:val="A0E865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55B95F9E"/>
    <w:multiLevelType w:val="multilevel"/>
    <w:tmpl w:val="375E743A"/>
    <w:lvl w:ilvl="0">
      <w:start w:val="1"/>
      <w:numFmt w:val="decimal"/>
      <w:lvlText w:val="%1."/>
      <w:lvlJc w:val="left"/>
      <w:pPr>
        <w:ind w:left="76" w:hanging="360"/>
      </w:pPr>
      <w:rPr>
        <w:rFonts w:ascii="Helvetica" w:hAnsi="Helvetica"/>
        <w:b w:val="0"/>
        <w:i w:val="0"/>
        <w:sz w:val="20"/>
      </w:rPr>
    </w:lvl>
    <w:lvl w:ilvl="1">
      <w:start w:val="1"/>
      <w:numFmt w:val="bullet"/>
      <w:lvlText w:val=""/>
      <w:lvlJc w:val="left"/>
      <w:pPr>
        <w:ind w:left="796" w:hanging="360"/>
      </w:pPr>
      <w:rPr>
        <w:rFonts w:ascii="Symbol" w:hAnsi="Symbo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0" w15:restartNumberingAfterBreak="0">
    <w:nsid w:val="5663643B"/>
    <w:multiLevelType w:val="multilevel"/>
    <w:tmpl w:val="D2C8D3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B3C57B6"/>
    <w:multiLevelType w:val="hybridMultilevel"/>
    <w:tmpl w:val="5C86F90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5B521818"/>
    <w:multiLevelType w:val="multilevel"/>
    <w:tmpl w:val="2708A632"/>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2FC33FE"/>
    <w:multiLevelType w:val="multilevel"/>
    <w:tmpl w:val="8CC84A24"/>
    <w:lvl w:ilvl="0">
      <w:start w:val="1"/>
      <w:numFmt w:val="bullet"/>
      <w:lvlText w:val=""/>
      <w:lvlJc w:val="left"/>
      <w:pPr>
        <w:ind w:left="796" w:hanging="360"/>
      </w:pPr>
      <w:rPr>
        <w:rFonts w:ascii="Symbol" w:hAnsi="Symbol" w:cs="Symbol" w:hint="default"/>
        <w:sz w:val="20"/>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34" w15:restartNumberingAfterBreak="0">
    <w:nsid w:val="68FE3765"/>
    <w:multiLevelType w:val="hybridMultilevel"/>
    <w:tmpl w:val="94C24F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6ACF5196"/>
    <w:multiLevelType w:val="hybridMultilevel"/>
    <w:tmpl w:val="4DA878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6CD45DEF"/>
    <w:multiLevelType w:val="hybridMultilevel"/>
    <w:tmpl w:val="ED9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25693"/>
    <w:multiLevelType w:val="hybridMultilevel"/>
    <w:tmpl w:val="22B872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6F322494"/>
    <w:multiLevelType w:val="hybridMultilevel"/>
    <w:tmpl w:val="183E83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4E132EA"/>
    <w:multiLevelType w:val="hybridMultilevel"/>
    <w:tmpl w:val="FBA0F34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0" w15:restartNumberingAfterBreak="0">
    <w:nsid w:val="765D2351"/>
    <w:multiLevelType w:val="multilevel"/>
    <w:tmpl w:val="328A34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87E43B0"/>
    <w:multiLevelType w:val="hybridMultilevel"/>
    <w:tmpl w:val="DEBAFEB4"/>
    <w:lvl w:ilvl="0" w:tplc="4B84934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55091"/>
    <w:multiLevelType w:val="hybridMultilevel"/>
    <w:tmpl w:val="31CA96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7BC6290E"/>
    <w:multiLevelType w:val="hybridMultilevel"/>
    <w:tmpl w:val="8368A7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3"/>
  </w:num>
  <w:num w:numId="2">
    <w:abstractNumId w:val="32"/>
  </w:num>
  <w:num w:numId="3">
    <w:abstractNumId w:val="9"/>
  </w:num>
  <w:num w:numId="4">
    <w:abstractNumId w:val="40"/>
  </w:num>
  <w:num w:numId="5">
    <w:abstractNumId w:val="27"/>
  </w:num>
  <w:num w:numId="6">
    <w:abstractNumId w:val="6"/>
  </w:num>
  <w:num w:numId="7">
    <w:abstractNumId w:val="3"/>
  </w:num>
  <w:num w:numId="8">
    <w:abstractNumId w:val="7"/>
  </w:num>
  <w:num w:numId="9">
    <w:abstractNumId w:val="29"/>
  </w:num>
  <w:num w:numId="10">
    <w:abstractNumId w:val="12"/>
  </w:num>
  <w:num w:numId="11">
    <w:abstractNumId w:val="23"/>
  </w:num>
  <w:num w:numId="12">
    <w:abstractNumId w:val="20"/>
  </w:num>
  <w:num w:numId="13">
    <w:abstractNumId w:val="30"/>
  </w:num>
  <w:num w:numId="14">
    <w:abstractNumId w:val="8"/>
  </w:num>
  <w:num w:numId="15">
    <w:abstractNumId w:val="14"/>
  </w:num>
  <w:num w:numId="16">
    <w:abstractNumId w:val="16"/>
  </w:num>
  <w:num w:numId="17">
    <w:abstractNumId w:val="11"/>
  </w:num>
  <w:num w:numId="18">
    <w:abstractNumId w:val="19"/>
  </w:num>
  <w:num w:numId="19">
    <w:abstractNumId w:val="15"/>
  </w:num>
  <w:num w:numId="20">
    <w:abstractNumId w:val="17"/>
  </w:num>
  <w:num w:numId="21">
    <w:abstractNumId w:val="34"/>
  </w:num>
  <w:num w:numId="22">
    <w:abstractNumId w:val="39"/>
  </w:num>
  <w:num w:numId="23">
    <w:abstractNumId w:val="38"/>
  </w:num>
  <w:num w:numId="24">
    <w:abstractNumId w:val="5"/>
  </w:num>
  <w:num w:numId="25">
    <w:abstractNumId w:val="13"/>
  </w:num>
  <w:num w:numId="26">
    <w:abstractNumId w:val="42"/>
  </w:num>
  <w:num w:numId="27">
    <w:abstractNumId w:val="1"/>
  </w:num>
  <w:num w:numId="28">
    <w:abstractNumId w:val="0"/>
  </w:num>
  <w:num w:numId="29">
    <w:abstractNumId w:val="25"/>
  </w:num>
  <w:num w:numId="30">
    <w:abstractNumId w:val="21"/>
  </w:num>
  <w:num w:numId="31">
    <w:abstractNumId w:val="43"/>
  </w:num>
  <w:num w:numId="32">
    <w:abstractNumId w:val="4"/>
  </w:num>
  <w:num w:numId="33">
    <w:abstractNumId w:val="28"/>
  </w:num>
  <w:num w:numId="34">
    <w:abstractNumId w:val="35"/>
  </w:num>
  <w:num w:numId="35">
    <w:abstractNumId w:val="31"/>
  </w:num>
  <w:num w:numId="36">
    <w:abstractNumId w:val="37"/>
  </w:num>
  <w:num w:numId="37">
    <w:abstractNumId w:val="22"/>
  </w:num>
  <w:num w:numId="38">
    <w:abstractNumId w:val="41"/>
  </w:num>
  <w:num w:numId="39">
    <w:abstractNumId w:val="10"/>
  </w:num>
  <w:num w:numId="40">
    <w:abstractNumId w:val="26"/>
  </w:num>
  <w:num w:numId="41">
    <w:abstractNumId w:val="36"/>
  </w:num>
  <w:num w:numId="42">
    <w:abstractNumId w:val="2"/>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D"/>
    <w:rsid w:val="00000E5A"/>
    <w:rsid w:val="00003E3B"/>
    <w:rsid w:val="00032175"/>
    <w:rsid w:val="000417AF"/>
    <w:rsid w:val="0004237E"/>
    <w:rsid w:val="000552CD"/>
    <w:rsid w:val="000721CD"/>
    <w:rsid w:val="00090035"/>
    <w:rsid w:val="000A574F"/>
    <w:rsid w:val="000C580C"/>
    <w:rsid w:val="000C6BFF"/>
    <w:rsid w:val="000C7964"/>
    <w:rsid w:val="000E32C0"/>
    <w:rsid w:val="00104834"/>
    <w:rsid w:val="00106543"/>
    <w:rsid w:val="00115B12"/>
    <w:rsid w:val="0018218C"/>
    <w:rsid w:val="001A7C6A"/>
    <w:rsid w:val="001B5E0C"/>
    <w:rsid w:val="001B7E3E"/>
    <w:rsid w:val="001D7D80"/>
    <w:rsid w:val="001F019C"/>
    <w:rsid w:val="00202697"/>
    <w:rsid w:val="00211FBA"/>
    <w:rsid w:val="00227390"/>
    <w:rsid w:val="00232215"/>
    <w:rsid w:val="002406C4"/>
    <w:rsid w:val="00261456"/>
    <w:rsid w:val="002878DE"/>
    <w:rsid w:val="002D01DA"/>
    <w:rsid w:val="002D3744"/>
    <w:rsid w:val="002F25B2"/>
    <w:rsid w:val="002F47D0"/>
    <w:rsid w:val="002F5F25"/>
    <w:rsid w:val="00312153"/>
    <w:rsid w:val="003122F7"/>
    <w:rsid w:val="003208AA"/>
    <w:rsid w:val="00322F2E"/>
    <w:rsid w:val="0032475A"/>
    <w:rsid w:val="0032548B"/>
    <w:rsid w:val="0034420F"/>
    <w:rsid w:val="00364D21"/>
    <w:rsid w:val="003763CB"/>
    <w:rsid w:val="003A3667"/>
    <w:rsid w:val="003E541B"/>
    <w:rsid w:val="003E7061"/>
    <w:rsid w:val="004031FF"/>
    <w:rsid w:val="004309EE"/>
    <w:rsid w:val="00460008"/>
    <w:rsid w:val="004619DB"/>
    <w:rsid w:val="00462398"/>
    <w:rsid w:val="00465F16"/>
    <w:rsid w:val="00476CDB"/>
    <w:rsid w:val="004A0A6D"/>
    <w:rsid w:val="004A2228"/>
    <w:rsid w:val="004C3EA6"/>
    <w:rsid w:val="004C6AB8"/>
    <w:rsid w:val="004E0040"/>
    <w:rsid w:val="0051019E"/>
    <w:rsid w:val="00515FC3"/>
    <w:rsid w:val="00525027"/>
    <w:rsid w:val="005776ED"/>
    <w:rsid w:val="005953C9"/>
    <w:rsid w:val="005A614F"/>
    <w:rsid w:val="005C7F19"/>
    <w:rsid w:val="005D22B7"/>
    <w:rsid w:val="005E12A5"/>
    <w:rsid w:val="005E5289"/>
    <w:rsid w:val="005F6216"/>
    <w:rsid w:val="005F6B23"/>
    <w:rsid w:val="006249BE"/>
    <w:rsid w:val="00647037"/>
    <w:rsid w:val="00667249"/>
    <w:rsid w:val="00680C53"/>
    <w:rsid w:val="00695FEB"/>
    <w:rsid w:val="00715F63"/>
    <w:rsid w:val="00716857"/>
    <w:rsid w:val="00727E8E"/>
    <w:rsid w:val="00732CCF"/>
    <w:rsid w:val="00751496"/>
    <w:rsid w:val="007567C0"/>
    <w:rsid w:val="00774E58"/>
    <w:rsid w:val="00782D21"/>
    <w:rsid w:val="007B6C4C"/>
    <w:rsid w:val="007D5A52"/>
    <w:rsid w:val="007E5984"/>
    <w:rsid w:val="008030D1"/>
    <w:rsid w:val="0081095F"/>
    <w:rsid w:val="0083126A"/>
    <w:rsid w:val="008423E6"/>
    <w:rsid w:val="008442D6"/>
    <w:rsid w:val="008634DA"/>
    <w:rsid w:val="00877218"/>
    <w:rsid w:val="0088644C"/>
    <w:rsid w:val="008912E7"/>
    <w:rsid w:val="008A2AE6"/>
    <w:rsid w:val="008C5DC6"/>
    <w:rsid w:val="008D1EF8"/>
    <w:rsid w:val="008E35E9"/>
    <w:rsid w:val="008E6399"/>
    <w:rsid w:val="0091536B"/>
    <w:rsid w:val="0092582C"/>
    <w:rsid w:val="0094127B"/>
    <w:rsid w:val="0097235B"/>
    <w:rsid w:val="00984044"/>
    <w:rsid w:val="00996448"/>
    <w:rsid w:val="009B0242"/>
    <w:rsid w:val="009C7437"/>
    <w:rsid w:val="009D3016"/>
    <w:rsid w:val="009D3A41"/>
    <w:rsid w:val="009E1073"/>
    <w:rsid w:val="00A0278B"/>
    <w:rsid w:val="00A02B93"/>
    <w:rsid w:val="00A53671"/>
    <w:rsid w:val="00A57A0C"/>
    <w:rsid w:val="00A66DB6"/>
    <w:rsid w:val="00A7582F"/>
    <w:rsid w:val="00A97733"/>
    <w:rsid w:val="00AA05B8"/>
    <w:rsid w:val="00AD4BAE"/>
    <w:rsid w:val="00AE06CD"/>
    <w:rsid w:val="00AE09F1"/>
    <w:rsid w:val="00AF09A2"/>
    <w:rsid w:val="00B03E96"/>
    <w:rsid w:val="00B0653B"/>
    <w:rsid w:val="00B43667"/>
    <w:rsid w:val="00B52F43"/>
    <w:rsid w:val="00B627D8"/>
    <w:rsid w:val="00B76BCB"/>
    <w:rsid w:val="00BA1722"/>
    <w:rsid w:val="00BA2B73"/>
    <w:rsid w:val="00BB08B4"/>
    <w:rsid w:val="00BB6E5F"/>
    <w:rsid w:val="00BC2571"/>
    <w:rsid w:val="00BC2E9E"/>
    <w:rsid w:val="00BD4B86"/>
    <w:rsid w:val="00BD7643"/>
    <w:rsid w:val="00BE7937"/>
    <w:rsid w:val="00C118F1"/>
    <w:rsid w:val="00C2084D"/>
    <w:rsid w:val="00C22E81"/>
    <w:rsid w:val="00C34D64"/>
    <w:rsid w:val="00C554AA"/>
    <w:rsid w:val="00C84CB5"/>
    <w:rsid w:val="00C91094"/>
    <w:rsid w:val="00C91719"/>
    <w:rsid w:val="00C9277D"/>
    <w:rsid w:val="00C97F0C"/>
    <w:rsid w:val="00CA712D"/>
    <w:rsid w:val="00CB6E60"/>
    <w:rsid w:val="00CC0A3F"/>
    <w:rsid w:val="00CF0F84"/>
    <w:rsid w:val="00D25446"/>
    <w:rsid w:val="00D30692"/>
    <w:rsid w:val="00D34647"/>
    <w:rsid w:val="00D865DC"/>
    <w:rsid w:val="00DD18BB"/>
    <w:rsid w:val="00DF3D47"/>
    <w:rsid w:val="00E03D73"/>
    <w:rsid w:val="00E12111"/>
    <w:rsid w:val="00E25DE0"/>
    <w:rsid w:val="00E269F8"/>
    <w:rsid w:val="00E32C34"/>
    <w:rsid w:val="00E35489"/>
    <w:rsid w:val="00E36642"/>
    <w:rsid w:val="00E44C9A"/>
    <w:rsid w:val="00E57E4F"/>
    <w:rsid w:val="00E64FBB"/>
    <w:rsid w:val="00E65077"/>
    <w:rsid w:val="00E938F9"/>
    <w:rsid w:val="00EA2376"/>
    <w:rsid w:val="00EB336D"/>
    <w:rsid w:val="00EE54A3"/>
    <w:rsid w:val="00F22D61"/>
    <w:rsid w:val="00F32158"/>
    <w:rsid w:val="00F40176"/>
    <w:rsid w:val="00F51E96"/>
    <w:rsid w:val="00F634A0"/>
    <w:rsid w:val="00F63A03"/>
    <w:rsid w:val="00F63F58"/>
    <w:rsid w:val="00F84C43"/>
    <w:rsid w:val="00FD5DB9"/>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8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B1"/>
    <w:pPr>
      <w:spacing w:after="200" w:line="276" w:lineRule="auto"/>
    </w:pPr>
    <w:rPr>
      <w:color w:val="00000A"/>
      <w:sz w:val="22"/>
      <w:szCs w:val="22"/>
      <w:lang w:val="en-GB"/>
    </w:rPr>
  </w:style>
  <w:style w:type="paragraph" w:styleId="Heading1">
    <w:name w:val="heading 1"/>
    <w:basedOn w:val="Normal"/>
    <w:next w:val="Normal"/>
    <w:link w:val="Heading1Char"/>
    <w:uiPriority w:val="9"/>
    <w:qFormat/>
    <w:rsid w:val="00A75A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A75A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73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E21AE"/>
  </w:style>
  <w:style w:type="character" w:customStyle="1" w:styleId="FooterChar">
    <w:name w:val="Footer Char"/>
    <w:basedOn w:val="DefaultParagraphFont"/>
    <w:link w:val="Footer"/>
    <w:uiPriority w:val="99"/>
    <w:qFormat/>
    <w:rsid w:val="00CE21AE"/>
  </w:style>
  <w:style w:type="character" w:customStyle="1" w:styleId="BalloonTextChar">
    <w:name w:val="Balloon Text Char"/>
    <w:link w:val="BalloonText"/>
    <w:uiPriority w:val="99"/>
    <w:semiHidden/>
    <w:qFormat/>
    <w:rsid w:val="00CE21AE"/>
    <w:rPr>
      <w:rFonts w:ascii="Tahoma" w:hAnsi="Tahoma" w:cs="Tahoma"/>
      <w:sz w:val="16"/>
      <w:szCs w:val="16"/>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link w:val="FootnoteText"/>
    <w:qFormat/>
    <w:rsid w:val="009F778E"/>
    <w:rPr>
      <w:lang w:val="fr-CH"/>
    </w:rPr>
  </w:style>
  <w:style w:type="character" w:customStyle="1" w:styleId="FootnoteCharacters">
    <w:name w:val="Footnote Characters"/>
    <w:basedOn w:val="DefaultParagraphFont"/>
    <w:link w:val="BVIfnr"/>
    <w:unhideWhenUsed/>
    <w:qFormat/>
    <w:rsid w:val="002F5E95"/>
    <w:rPr>
      <w:vertAlign w:val="superscript"/>
    </w:rPr>
  </w:style>
  <w:style w:type="character" w:customStyle="1" w:styleId="FootnoteAnchor">
    <w:name w:val="Footnote Anchor"/>
    <w:rPr>
      <w:vertAlign w:val="superscript"/>
    </w:rPr>
  </w:style>
  <w:style w:type="character" w:styleId="Strong">
    <w:name w:val="Strong"/>
    <w:uiPriority w:val="22"/>
    <w:qFormat/>
    <w:rsid w:val="009F778E"/>
    <w:rPr>
      <w:b/>
      <w:bCs/>
    </w:rPr>
  </w:style>
  <w:style w:type="character" w:customStyle="1" w:styleId="InternetLink">
    <w:name w:val="Internet Link"/>
    <w:basedOn w:val="DefaultParagraphFont"/>
    <w:uiPriority w:val="99"/>
    <w:unhideWhenUsed/>
    <w:rsid w:val="00B11883"/>
    <w:rPr>
      <w:color w:val="0563C1" w:themeColor="hyperlink"/>
      <w:u w:val="single"/>
    </w:rPr>
  </w:style>
  <w:style w:type="character" w:customStyle="1" w:styleId="UnresolvedMention">
    <w:name w:val="Unresolved Mention"/>
    <w:uiPriority w:val="99"/>
    <w:semiHidden/>
    <w:unhideWhenUsed/>
    <w:qFormat/>
    <w:rsid w:val="00D566F6"/>
    <w:rPr>
      <w:color w:val="605E5C"/>
      <w:shd w:val="clear" w:color="auto" w:fill="E1DFDD"/>
    </w:rPr>
  </w:style>
  <w:style w:type="character" w:customStyle="1" w:styleId="Heading2Char">
    <w:name w:val="Heading 2 Char"/>
    <w:basedOn w:val="DefaultParagraphFont"/>
    <w:link w:val="Heading2"/>
    <w:uiPriority w:val="9"/>
    <w:qFormat/>
    <w:rsid w:val="00A75A16"/>
    <w:rPr>
      <w:rFonts w:asciiTheme="majorHAnsi" w:eastAsiaTheme="majorEastAsia" w:hAnsiTheme="majorHAnsi" w:cstheme="majorBidi"/>
      <w:color w:val="2E74B5" w:themeColor="accent1" w:themeShade="BF"/>
      <w:sz w:val="26"/>
      <w:szCs w:val="26"/>
      <w:lang w:val="fr-CH"/>
    </w:rPr>
  </w:style>
  <w:style w:type="character" w:customStyle="1" w:styleId="Heading1Char">
    <w:name w:val="Heading 1 Char"/>
    <w:basedOn w:val="DefaultParagraphFont"/>
    <w:link w:val="Heading1"/>
    <w:uiPriority w:val="9"/>
    <w:qFormat/>
    <w:rsid w:val="00A75A16"/>
    <w:rPr>
      <w:rFonts w:asciiTheme="majorHAnsi" w:eastAsiaTheme="majorEastAsia" w:hAnsiTheme="majorHAnsi" w:cstheme="majorBidi"/>
      <w:color w:val="2E74B5" w:themeColor="accent1" w:themeShade="BF"/>
      <w:sz w:val="32"/>
      <w:szCs w:val="32"/>
    </w:rPr>
  </w:style>
  <w:style w:type="character" w:customStyle="1" w:styleId="hlite">
    <w:name w:val="hlite"/>
    <w:basedOn w:val="DefaultParagraphFont"/>
    <w:qFormat/>
    <w:rsid w:val="00A75A16"/>
  </w:style>
  <w:style w:type="character" w:customStyle="1" w:styleId="apple-converted-space">
    <w:name w:val="apple-converted-space"/>
    <w:basedOn w:val="DefaultParagraphFont"/>
    <w:qFormat/>
    <w:rsid w:val="00A75A16"/>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rFonts w:ascii="Helvetica" w:hAnsi="Helvetica"/>
      <w:b w:val="0"/>
      <w:i w:val="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8">
    <w:name w:val="ListLabel 28"/>
    <w:qFormat/>
    <w:rPr>
      <w:rFonts w:ascii="Helvetica" w:hAnsi="Helvetica"/>
      <w:b w:val="0"/>
      <w:i w:val="0"/>
      <w:sz w:val="24"/>
    </w:rPr>
  </w:style>
  <w:style w:type="character" w:customStyle="1" w:styleId="ListLabel29">
    <w:name w:val="ListLabel 29"/>
    <w:qFormat/>
    <w:rPr>
      <w:rFonts w:ascii="Helvetica" w:hAnsi="Helvetica" w:cs="Symbol"/>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Helvetica" w:hAnsi="Helvetica" w:cs="Symbol"/>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Helvetica" w:hAnsi="Helvetica" w:cs="Symbol"/>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Helvetica" w:hAnsi="Helvetica" w:cs="Symbol"/>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Helvetica" w:hAnsi="Helvetica" w:cs="Symbol"/>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styleId="CommentReference">
    <w:name w:val="annotation reference"/>
    <w:basedOn w:val="DefaultParagraphFont"/>
    <w:uiPriority w:val="99"/>
    <w:semiHidden/>
    <w:unhideWhenUsed/>
    <w:qFormat/>
    <w:rsid w:val="00B63491"/>
    <w:rPr>
      <w:sz w:val="16"/>
      <w:szCs w:val="16"/>
    </w:rPr>
  </w:style>
  <w:style w:type="character" w:customStyle="1" w:styleId="CommentTextChar">
    <w:name w:val="Comment Text Char"/>
    <w:basedOn w:val="DefaultParagraphFont"/>
    <w:link w:val="CommentText"/>
    <w:uiPriority w:val="99"/>
    <w:qFormat/>
    <w:rsid w:val="00B63491"/>
    <w:rPr>
      <w:lang w:val="fr-CH"/>
    </w:rPr>
  </w:style>
  <w:style w:type="character" w:customStyle="1" w:styleId="CommentSubjectChar">
    <w:name w:val="Comment Subject Char"/>
    <w:basedOn w:val="CommentTextChar"/>
    <w:link w:val="CommentSubject"/>
    <w:uiPriority w:val="99"/>
    <w:semiHidden/>
    <w:qFormat/>
    <w:rsid w:val="00B63491"/>
    <w:rPr>
      <w:b/>
      <w:bCs/>
      <w:lang w:val="fr-CH"/>
    </w:rPr>
  </w:style>
  <w:style w:type="character" w:styleId="FollowedHyperlink">
    <w:name w:val="FollowedHyperlink"/>
    <w:basedOn w:val="DefaultParagraphFont"/>
    <w:uiPriority w:val="99"/>
    <w:semiHidden/>
    <w:unhideWhenUsed/>
    <w:qFormat/>
    <w:rsid w:val="00E238CC"/>
    <w:rPr>
      <w:color w:val="954F72" w:themeColor="followedHyperlink"/>
      <w:u w:val="single"/>
    </w:rPr>
  </w:style>
  <w:style w:type="character" w:styleId="Emphasis">
    <w:name w:val="Emphasis"/>
    <w:basedOn w:val="DefaultParagraphFont"/>
    <w:uiPriority w:val="20"/>
    <w:qFormat/>
    <w:rsid w:val="00C85458"/>
    <w:rPr>
      <w:i/>
      <w:iCs/>
    </w:rPr>
  </w:style>
  <w:style w:type="character" w:customStyle="1" w:styleId="Heading3Char">
    <w:name w:val="Heading 3 Char"/>
    <w:basedOn w:val="DefaultParagraphFont"/>
    <w:link w:val="Heading3"/>
    <w:uiPriority w:val="9"/>
    <w:semiHidden/>
    <w:qFormat/>
    <w:rsid w:val="00017337"/>
    <w:rPr>
      <w:rFonts w:asciiTheme="majorHAnsi" w:eastAsiaTheme="majorEastAsia" w:hAnsiTheme="majorHAnsi" w:cstheme="majorBidi"/>
      <w:b/>
      <w:bCs/>
      <w:color w:val="5B9BD5" w:themeColor="accent1"/>
      <w:sz w:val="22"/>
      <w:szCs w:val="22"/>
      <w:lang w:val="en-GB"/>
    </w:rPr>
  </w:style>
  <w:style w:type="character" w:customStyle="1" w:styleId="StrongEmphasis">
    <w:name w:val="Strong Emphasis"/>
    <w:qFormat/>
    <w:rsid w:val="00E80369"/>
    <w:rPr>
      <w:b/>
      <w:bCs/>
    </w:rPr>
  </w:style>
  <w:style w:type="character" w:customStyle="1" w:styleId="ListLabel74">
    <w:name w:val="ListLabel 74"/>
    <w:qFormat/>
    <w:rPr>
      <w:b w:val="0"/>
      <w:i w:val="0"/>
      <w:sz w:val="24"/>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val="0"/>
      <w:i w:val="0"/>
      <w:sz w:val="24"/>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OpenSymbol"/>
      <w:sz w:val="20"/>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b w:val="0"/>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Helvetica" w:hAnsi="Helvetica"/>
      <w:i w:val="0"/>
      <w:sz w:val="20"/>
    </w:rPr>
  </w:style>
  <w:style w:type="character" w:customStyle="1" w:styleId="ListLabel165">
    <w:name w:val="ListLabel 165"/>
    <w:qFormat/>
    <w:rPr>
      <w:rFonts w:ascii="Helvetica" w:hAnsi="Helvetica"/>
      <w:i w:val="0"/>
      <w:sz w:val="20"/>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i w:val="0"/>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style>
  <w:style w:type="character" w:customStyle="1" w:styleId="ListLabel174">
    <w:name w:val="ListLabel 174"/>
    <w:qFormat/>
    <w:rPr>
      <w:rFonts w:ascii="Helvetica" w:hAnsi="Helvetica" w:cs="Helvetica"/>
      <w:color w:val="0563C1" w:themeColor="hyperlink"/>
      <w:sz w:val="20"/>
      <w:szCs w:val="20"/>
      <w:u w:val="single"/>
    </w:rPr>
  </w:style>
  <w:style w:type="character" w:customStyle="1" w:styleId="ListLabel175">
    <w:name w:val="ListLabel 175"/>
    <w:qFormat/>
    <w:rPr>
      <w:rFonts w:ascii="Helvetica" w:hAnsi="Helvetica"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Helvetica" w:hAnsi="Helvetica"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Helvetica" w:hAnsi="Helvetica" w:cs="Symbol"/>
      <w:b/>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Helvetica" w:hAnsi="Helvetica" w:cs="Symbol"/>
      <w:sz w:val="20"/>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Helvetica" w:hAnsi="Helvetica" w:cs="Symbol"/>
      <w:sz w:val="20"/>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Helvetica" w:hAnsi="Helvetica"/>
      <w:i w:val="0"/>
      <w:sz w:val="20"/>
    </w:rPr>
  </w:style>
  <w:style w:type="character" w:customStyle="1" w:styleId="ListLabel247">
    <w:name w:val="ListLabel 247"/>
    <w:qFormat/>
    <w:rPr>
      <w:rFonts w:ascii="Helvetica" w:hAnsi="Helvetica"/>
      <w:i w:val="0"/>
      <w:sz w:val="20"/>
    </w:rPr>
  </w:style>
  <w:style w:type="character" w:customStyle="1" w:styleId="ListLabel248">
    <w:name w:val="ListLabel 248"/>
    <w:qFormat/>
    <w:rPr>
      <w:rFonts w:ascii="Helvetica" w:hAnsi="Helvetica" w:cs="Symbol"/>
      <w:sz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radeGothicLTStdRegular" w:hAnsi="TradeGothicLTStdRegular"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Helvetica" w:hAnsi="Helvetica" w:cs="Helvetica"/>
      <w:color w:val="0563C1" w:themeColor="hyperlink"/>
      <w:sz w:val="20"/>
      <w:szCs w:val="20"/>
      <w:u w:val="single"/>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CE21AE"/>
    <w:pPr>
      <w:tabs>
        <w:tab w:val="center" w:pos="4536"/>
        <w:tab w:val="right" w:pos="9072"/>
      </w:tabs>
      <w:spacing w:after="0" w:line="240" w:lineRule="auto"/>
    </w:pPr>
  </w:style>
  <w:style w:type="paragraph" w:styleId="Footer">
    <w:name w:val="footer"/>
    <w:basedOn w:val="Normal"/>
    <w:link w:val="FooterChar"/>
    <w:uiPriority w:val="99"/>
    <w:unhideWhenUsed/>
    <w:rsid w:val="00CE21AE"/>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CE21AE"/>
    <w:pPr>
      <w:spacing w:after="0" w:line="240" w:lineRule="auto"/>
    </w:pPr>
    <w:rPr>
      <w:rFonts w:ascii="Tahoma" w:hAnsi="Tahoma"/>
      <w:sz w:val="16"/>
      <w:szCs w:val="16"/>
      <w:lang w:val="x-none" w:eastAsia="x-none"/>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poznppMV,FA Fu,5_G"/>
    <w:basedOn w:val="Normal"/>
    <w:link w:val="FootnoteTextChar"/>
    <w:unhideWhenUsed/>
    <w:qFormat/>
    <w:rsid w:val="009F778E"/>
    <w:rPr>
      <w:sz w:val="20"/>
      <w:szCs w:val="20"/>
    </w:rPr>
  </w:style>
  <w:style w:type="paragraph" w:customStyle="1" w:styleId="MediumGrid21">
    <w:name w:val="Medium Grid 21"/>
    <w:uiPriority w:val="1"/>
    <w:qFormat/>
    <w:rsid w:val="009F778E"/>
    <w:rPr>
      <w:color w:val="00000A"/>
      <w:sz w:val="22"/>
      <w:szCs w:val="22"/>
    </w:rPr>
  </w:style>
  <w:style w:type="paragraph" w:customStyle="1" w:styleId="ColorfulList-Accent11">
    <w:name w:val="Colorful List - Accent 11"/>
    <w:basedOn w:val="Normal"/>
    <w:uiPriority w:val="34"/>
    <w:qFormat/>
    <w:rsid w:val="007A268D"/>
    <w:pPr>
      <w:spacing w:after="0" w:line="240" w:lineRule="auto"/>
      <w:ind w:left="720"/>
      <w:contextualSpacing/>
    </w:pPr>
    <w:rPr>
      <w:sz w:val="24"/>
      <w:szCs w:val="24"/>
      <w:lang w:val="en-US"/>
    </w:rPr>
  </w:style>
  <w:style w:type="paragraph" w:styleId="ListParagraph">
    <w:name w:val="List Paragraph"/>
    <w:basedOn w:val="Normal"/>
    <w:uiPriority w:val="34"/>
    <w:qFormat/>
    <w:rsid w:val="00FD2E19"/>
    <w:pPr>
      <w:ind w:left="720"/>
      <w:contextualSpacing/>
    </w:pPr>
  </w:style>
  <w:style w:type="paragraph" w:styleId="CommentText">
    <w:name w:val="annotation text"/>
    <w:basedOn w:val="Normal"/>
    <w:link w:val="CommentTextChar"/>
    <w:uiPriority w:val="99"/>
    <w:unhideWhenUsed/>
    <w:qFormat/>
    <w:rsid w:val="00B6349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63491"/>
    <w:rPr>
      <w:b/>
      <w:bCs/>
    </w:rPr>
  </w:style>
  <w:style w:type="paragraph" w:styleId="Revision">
    <w:name w:val="Revision"/>
    <w:uiPriority w:val="99"/>
    <w:semiHidden/>
    <w:qFormat/>
    <w:rsid w:val="008D1D81"/>
    <w:rPr>
      <w:color w:val="00000A"/>
      <w:sz w:val="22"/>
      <w:szCs w:val="22"/>
      <w:lang w:val="en-GB"/>
    </w:rPr>
  </w:style>
  <w:style w:type="paragraph" w:styleId="NormalWeb">
    <w:name w:val="Normal (Web)"/>
    <w:basedOn w:val="Normal"/>
    <w:uiPriority w:val="99"/>
    <w:semiHidden/>
    <w:unhideWhenUsed/>
    <w:qFormat/>
    <w:rsid w:val="00C85458"/>
    <w:pPr>
      <w:spacing w:beforeAutospacing="1" w:afterAutospacing="1" w:line="240" w:lineRule="auto"/>
    </w:pPr>
    <w:rPr>
      <w:rFonts w:ascii="Times New Roman" w:eastAsia="Times New Roman" w:hAnsi="Times New Roman"/>
      <w:sz w:val="24"/>
      <w:szCs w:val="24"/>
      <w:lang w:eastAsia="en-GB"/>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Characters"/>
    <w:qFormat/>
    <w:rsid w:val="00EF071F"/>
    <w:pPr>
      <w:spacing w:after="160" w:line="240" w:lineRule="exact"/>
      <w:jc w:val="both"/>
    </w:pPr>
    <w:rPr>
      <w:sz w:val="20"/>
      <w:szCs w:val="20"/>
      <w:vertAlign w:val="superscript"/>
      <w:lang w:val="en-US"/>
    </w:rPr>
  </w:style>
  <w:style w:type="paragraph" w:customStyle="1" w:styleId="Default">
    <w:name w:val="Default"/>
    <w:qFormat/>
    <w:rsid w:val="00EF071F"/>
    <w:rPr>
      <w:rFonts w:ascii="Times New Roman" w:hAnsi="Times New Roman"/>
      <w:color w:val="000000"/>
      <w:sz w:val="24"/>
      <w:szCs w:val="24"/>
      <w:lang w:val="en-GB"/>
    </w:rPr>
  </w:style>
  <w:style w:type="table" w:styleId="TableGrid">
    <w:name w:val="Table Grid"/>
    <w:basedOn w:val="TableNormal"/>
    <w:uiPriority w:val="59"/>
    <w:rsid w:val="00CE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4_G,Appel note de bas de page,Footnotes refss,Fago Fu?notenzeichen,Fago Fußnotenzeichen,Footnote number,Fago Fuﬂnotenzeichen,Ref,de nota al pie,ftref1,ftref2,ftref11,Texto de nota al pie,referencia nota al pie,BVI fnr,Footnot"/>
    <w:basedOn w:val="DefaultParagraphFont"/>
    <w:unhideWhenUsed/>
    <w:qFormat/>
    <w:rsid w:val="00716857"/>
    <w:rPr>
      <w:vertAlign w:val="superscript"/>
    </w:rPr>
  </w:style>
  <w:style w:type="character" w:styleId="Hyperlink">
    <w:name w:val="Hyperlink"/>
    <w:basedOn w:val="DefaultParagraphFont"/>
    <w:uiPriority w:val="99"/>
    <w:unhideWhenUsed/>
    <w:rsid w:val="005F6B23"/>
    <w:rPr>
      <w:color w:val="0563C1" w:themeColor="hyperlink"/>
      <w:u w:val="single"/>
    </w:rPr>
  </w:style>
  <w:style w:type="paragraph" w:styleId="Title">
    <w:name w:val="Title"/>
    <w:basedOn w:val="Heading"/>
    <w:link w:val="TitleChar"/>
    <w:qFormat/>
    <w:rsid w:val="00261456"/>
    <w:pPr>
      <w:jc w:val="center"/>
    </w:pPr>
    <w:rPr>
      <w:b/>
      <w:bCs/>
      <w:sz w:val="56"/>
      <w:szCs w:val="56"/>
    </w:rPr>
  </w:style>
  <w:style w:type="character" w:customStyle="1" w:styleId="TitleChar">
    <w:name w:val="Title Char"/>
    <w:basedOn w:val="DefaultParagraphFont"/>
    <w:link w:val="Title"/>
    <w:rsid w:val="00261456"/>
    <w:rPr>
      <w:rFonts w:ascii="Liberation Sans" w:eastAsia="WenQuanYi Micro Hei" w:hAnsi="Liberation Sans" w:cs="Lohit Devanagari"/>
      <w:b/>
      <w:bCs/>
      <w:color w:val="00000A"/>
      <w:sz w:val="56"/>
      <w:szCs w:val="56"/>
      <w:lang w:val="en-GB"/>
    </w:rPr>
  </w:style>
  <w:style w:type="paragraph" w:customStyle="1" w:styleId="qowt-stl-normal">
    <w:name w:val="qowt-stl-normal"/>
    <w:basedOn w:val="Normal"/>
    <w:rsid w:val="001A7C6A"/>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qowt-font3-arial">
    <w:name w:val="qowt-font3-arial"/>
    <w:basedOn w:val="DefaultParagraphFont"/>
    <w:rsid w:val="001A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043">
      <w:bodyDiv w:val="1"/>
      <w:marLeft w:val="0"/>
      <w:marRight w:val="0"/>
      <w:marTop w:val="0"/>
      <w:marBottom w:val="0"/>
      <w:divBdr>
        <w:top w:val="none" w:sz="0" w:space="0" w:color="auto"/>
        <w:left w:val="none" w:sz="0" w:space="0" w:color="auto"/>
        <w:bottom w:val="none" w:sz="0" w:space="0" w:color="auto"/>
        <w:right w:val="none" w:sz="0" w:space="0" w:color="auto"/>
      </w:divBdr>
    </w:div>
    <w:div w:id="151215181">
      <w:bodyDiv w:val="1"/>
      <w:marLeft w:val="0"/>
      <w:marRight w:val="0"/>
      <w:marTop w:val="0"/>
      <w:marBottom w:val="0"/>
      <w:divBdr>
        <w:top w:val="none" w:sz="0" w:space="0" w:color="auto"/>
        <w:left w:val="none" w:sz="0" w:space="0" w:color="auto"/>
        <w:bottom w:val="none" w:sz="0" w:space="0" w:color="auto"/>
        <w:right w:val="none" w:sz="0" w:space="0" w:color="auto"/>
      </w:divBdr>
      <w:divsChild>
        <w:div w:id="252862187">
          <w:marLeft w:val="0"/>
          <w:marRight w:val="0"/>
          <w:marTop w:val="0"/>
          <w:marBottom w:val="0"/>
          <w:divBdr>
            <w:top w:val="none" w:sz="0" w:space="0" w:color="auto"/>
            <w:left w:val="none" w:sz="0" w:space="0" w:color="auto"/>
            <w:bottom w:val="none" w:sz="0" w:space="0" w:color="auto"/>
            <w:right w:val="none" w:sz="0" w:space="0" w:color="auto"/>
          </w:divBdr>
        </w:div>
      </w:divsChild>
    </w:div>
    <w:div w:id="221526212">
      <w:bodyDiv w:val="1"/>
      <w:marLeft w:val="0"/>
      <w:marRight w:val="0"/>
      <w:marTop w:val="0"/>
      <w:marBottom w:val="0"/>
      <w:divBdr>
        <w:top w:val="none" w:sz="0" w:space="0" w:color="auto"/>
        <w:left w:val="none" w:sz="0" w:space="0" w:color="auto"/>
        <w:bottom w:val="none" w:sz="0" w:space="0" w:color="auto"/>
        <w:right w:val="none" w:sz="0" w:space="0" w:color="auto"/>
      </w:divBdr>
      <w:divsChild>
        <w:div w:id="1736271352">
          <w:marLeft w:val="0"/>
          <w:marRight w:val="0"/>
          <w:marTop w:val="0"/>
          <w:marBottom w:val="0"/>
          <w:divBdr>
            <w:top w:val="none" w:sz="0" w:space="0" w:color="auto"/>
            <w:left w:val="none" w:sz="0" w:space="0" w:color="auto"/>
            <w:bottom w:val="none" w:sz="0" w:space="0" w:color="auto"/>
            <w:right w:val="none" w:sz="0" w:space="0" w:color="auto"/>
          </w:divBdr>
        </w:div>
      </w:divsChild>
    </w:div>
    <w:div w:id="361905224">
      <w:bodyDiv w:val="1"/>
      <w:marLeft w:val="0"/>
      <w:marRight w:val="0"/>
      <w:marTop w:val="0"/>
      <w:marBottom w:val="0"/>
      <w:divBdr>
        <w:top w:val="none" w:sz="0" w:space="0" w:color="auto"/>
        <w:left w:val="none" w:sz="0" w:space="0" w:color="auto"/>
        <w:bottom w:val="none" w:sz="0" w:space="0" w:color="auto"/>
        <w:right w:val="none" w:sz="0" w:space="0" w:color="auto"/>
      </w:divBdr>
    </w:div>
    <w:div w:id="484591085">
      <w:bodyDiv w:val="1"/>
      <w:marLeft w:val="0"/>
      <w:marRight w:val="0"/>
      <w:marTop w:val="0"/>
      <w:marBottom w:val="0"/>
      <w:divBdr>
        <w:top w:val="none" w:sz="0" w:space="0" w:color="auto"/>
        <w:left w:val="none" w:sz="0" w:space="0" w:color="auto"/>
        <w:bottom w:val="none" w:sz="0" w:space="0" w:color="auto"/>
        <w:right w:val="none" w:sz="0" w:space="0" w:color="auto"/>
      </w:divBdr>
      <w:divsChild>
        <w:div w:id="1023435931">
          <w:marLeft w:val="0"/>
          <w:marRight w:val="0"/>
          <w:marTop w:val="0"/>
          <w:marBottom w:val="0"/>
          <w:divBdr>
            <w:top w:val="none" w:sz="0" w:space="0" w:color="auto"/>
            <w:left w:val="none" w:sz="0" w:space="0" w:color="auto"/>
            <w:bottom w:val="none" w:sz="0" w:space="0" w:color="auto"/>
            <w:right w:val="none" w:sz="0" w:space="0" w:color="auto"/>
          </w:divBdr>
          <w:divsChild>
            <w:div w:id="1671641924">
              <w:marLeft w:val="0"/>
              <w:marRight w:val="0"/>
              <w:marTop w:val="0"/>
              <w:marBottom w:val="0"/>
              <w:divBdr>
                <w:top w:val="none" w:sz="0" w:space="0" w:color="auto"/>
                <w:left w:val="none" w:sz="0" w:space="0" w:color="auto"/>
                <w:bottom w:val="none" w:sz="0" w:space="0" w:color="auto"/>
                <w:right w:val="none" w:sz="0" w:space="0" w:color="auto"/>
              </w:divBdr>
            </w:div>
          </w:divsChild>
        </w:div>
        <w:div w:id="107828756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8294">
      <w:bodyDiv w:val="1"/>
      <w:marLeft w:val="0"/>
      <w:marRight w:val="0"/>
      <w:marTop w:val="0"/>
      <w:marBottom w:val="0"/>
      <w:divBdr>
        <w:top w:val="none" w:sz="0" w:space="0" w:color="auto"/>
        <w:left w:val="none" w:sz="0" w:space="0" w:color="auto"/>
        <w:bottom w:val="none" w:sz="0" w:space="0" w:color="auto"/>
        <w:right w:val="none" w:sz="0" w:space="0" w:color="auto"/>
      </w:divBdr>
      <w:divsChild>
        <w:div w:id="1965498815">
          <w:marLeft w:val="0"/>
          <w:marRight w:val="0"/>
          <w:marTop w:val="0"/>
          <w:marBottom w:val="0"/>
          <w:divBdr>
            <w:top w:val="none" w:sz="0" w:space="0" w:color="auto"/>
            <w:left w:val="none" w:sz="0" w:space="0" w:color="auto"/>
            <w:bottom w:val="none" w:sz="0" w:space="0" w:color="auto"/>
            <w:right w:val="none" w:sz="0" w:space="0" w:color="auto"/>
          </w:divBdr>
        </w:div>
      </w:divsChild>
    </w:div>
    <w:div w:id="608436997">
      <w:bodyDiv w:val="1"/>
      <w:marLeft w:val="0"/>
      <w:marRight w:val="0"/>
      <w:marTop w:val="0"/>
      <w:marBottom w:val="0"/>
      <w:divBdr>
        <w:top w:val="none" w:sz="0" w:space="0" w:color="auto"/>
        <w:left w:val="none" w:sz="0" w:space="0" w:color="auto"/>
        <w:bottom w:val="none" w:sz="0" w:space="0" w:color="auto"/>
        <w:right w:val="none" w:sz="0" w:space="0" w:color="auto"/>
      </w:divBdr>
    </w:div>
    <w:div w:id="624459522">
      <w:bodyDiv w:val="1"/>
      <w:marLeft w:val="0"/>
      <w:marRight w:val="0"/>
      <w:marTop w:val="0"/>
      <w:marBottom w:val="0"/>
      <w:divBdr>
        <w:top w:val="none" w:sz="0" w:space="0" w:color="auto"/>
        <w:left w:val="none" w:sz="0" w:space="0" w:color="auto"/>
        <w:bottom w:val="none" w:sz="0" w:space="0" w:color="auto"/>
        <w:right w:val="none" w:sz="0" w:space="0" w:color="auto"/>
      </w:divBdr>
    </w:div>
    <w:div w:id="722564591">
      <w:bodyDiv w:val="1"/>
      <w:marLeft w:val="0"/>
      <w:marRight w:val="0"/>
      <w:marTop w:val="0"/>
      <w:marBottom w:val="0"/>
      <w:divBdr>
        <w:top w:val="none" w:sz="0" w:space="0" w:color="auto"/>
        <w:left w:val="none" w:sz="0" w:space="0" w:color="auto"/>
        <w:bottom w:val="none" w:sz="0" w:space="0" w:color="auto"/>
        <w:right w:val="none" w:sz="0" w:space="0" w:color="auto"/>
      </w:divBdr>
    </w:div>
    <w:div w:id="795834059">
      <w:bodyDiv w:val="1"/>
      <w:marLeft w:val="0"/>
      <w:marRight w:val="0"/>
      <w:marTop w:val="0"/>
      <w:marBottom w:val="0"/>
      <w:divBdr>
        <w:top w:val="none" w:sz="0" w:space="0" w:color="auto"/>
        <w:left w:val="none" w:sz="0" w:space="0" w:color="auto"/>
        <w:bottom w:val="none" w:sz="0" w:space="0" w:color="auto"/>
        <w:right w:val="none" w:sz="0" w:space="0" w:color="auto"/>
      </w:divBdr>
    </w:div>
    <w:div w:id="943222256">
      <w:bodyDiv w:val="1"/>
      <w:marLeft w:val="0"/>
      <w:marRight w:val="0"/>
      <w:marTop w:val="0"/>
      <w:marBottom w:val="0"/>
      <w:divBdr>
        <w:top w:val="none" w:sz="0" w:space="0" w:color="auto"/>
        <w:left w:val="none" w:sz="0" w:space="0" w:color="auto"/>
        <w:bottom w:val="none" w:sz="0" w:space="0" w:color="auto"/>
        <w:right w:val="none" w:sz="0" w:space="0" w:color="auto"/>
      </w:divBdr>
    </w:div>
    <w:div w:id="951277601">
      <w:bodyDiv w:val="1"/>
      <w:marLeft w:val="0"/>
      <w:marRight w:val="0"/>
      <w:marTop w:val="0"/>
      <w:marBottom w:val="0"/>
      <w:divBdr>
        <w:top w:val="none" w:sz="0" w:space="0" w:color="auto"/>
        <w:left w:val="none" w:sz="0" w:space="0" w:color="auto"/>
        <w:bottom w:val="none" w:sz="0" w:space="0" w:color="auto"/>
        <w:right w:val="none" w:sz="0" w:space="0" w:color="auto"/>
      </w:divBdr>
    </w:div>
    <w:div w:id="1005864952">
      <w:bodyDiv w:val="1"/>
      <w:marLeft w:val="0"/>
      <w:marRight w:val="0"/>
      <w:marTop w:val="0"/>
      <w:marBottom w:val="0"/>
      <w:divBdr>
        <w:top w:val="none" w:sz="0" w:space="0" w:color="auto"/>
        <w:left w:val="none" w:sz="0" w:space="0" w:color="auto"/>
        <w:bottom w:val="none" w:sz="0" w:space="0" w:color="auto"/>
        <w:right w:val="none" w:sz="0" w:space="0" w:color="auto"/>
      </w:divBdr>
    </w:div>
    <w:div w:id="1079520337">
      <w:bodyDiv w:val="1"/>
      <w:marLeft w:val="0"/>
      <w:marRight w:val="0"/>
      <w:marTop w:val="0"/>
      <w:marBottom w:val="0"/>
      <w:divBdr>
        <w:top w:val="none" w:sz="0" w:space="0" w:color="auto"/>
        <w:left w:val="none" w:sz="0" w:space="0" w:color="auto"/>
        <w:bottom w:val="none" w:sz="0" w:space="0" w:color="auto"/>
        <w:right w:val="none" w:sz="0" w:space="0" w:color="auto"/>
      </w:divBdr>
    </w:div>
    <w:div w:id="1120076298">
      <w:bodyDiv w:val="1"/>
      <w:marLeft w:val="0"/>
      <w:marRight w:val="0"/>
      <w:marTop w:val="0"/>
      <w:marBottom w:val="0"/>
      <w:divBdr>
        <w:top w:val="none" w:sz="0" w:space="0" w:color="auto"/>
        <w:left w:val="none" w:sz="0" w:space="0" w:color="auto"/>
        <w:bottom w:val="none" w:sz="0" w:space="0" w:color="auto"/>
        <w:right w:val="none" w:sz="0" w:space="0" w:color="auto"/>
      </w:divBdr>
    </w:div>
    <w:div w:id="1134251137">
      <w:bodyDiv w:val="1"/>
      <w:marLeft w:val="0"/>
      <w:marRight w:val="0"/>
      <w:marTop w:val="0"/>
      <w:marBottom w:val="0"/>
      <w:divBdr>
        <w:top w:val="none" w:sz="0" w:space="0" w:color="auto"/>
        <w:left w:val="none" w:sz="0" w:space="0" w:color="auto"/>
        <w:bottom w:val="none" w:sz="0" w:space="0" w:color="auto"/>
        <w:right w:val="none" w:sz="0" w:space="0" w:color="auto"/>
      </w:divBdr>
    </w:div>
    <w:div w:id="1175919964">
      <w:bodyDiv w:val="1"/>
      <w:marLeft w:val="0"/>
      <w:marRight w:val="0"/>
      <w:marTop w:val="0"/>
      <w:marBottom w:val="0"/>
      <w:divBdr>
        <w:top w:val="none" w:sz="0" w:space="0" w:color="auto"/>
        <w:left w:val="none" w:sz="0" w:space="0" w:color="auto"/>
        <w:bottom w:val="none" w:sz="0" w:space="0" w:color="auto"/>
        <w:right w:val="none" w:sz="0" w:space="0" w:color="auto"/>
      </w:divBdr>
    </w:div>
    <w:div w:id="1248807285">
      <w:bodyDiv w:val="1"/>
      <w:marLeft w:val="0"/>
      <w:marRight w:val="0"/>
      <w:marTop w:val="0"/>
      <w:marBottom w:val="0"/>
      <w:divBdr>
        <w:top w:val="none" w:sz="0" w:space="0" w:color="auto"/>
        <w:left w:val="none" w:sz="0" w:space="0" w:color="auto"/>
        <w:bottom w:val="none" w:sz="0" w:space="0" w:color="auto"/>
        <w:right w:val="none" w:sz="0" w:space="0" w:color="auto"/>
      </w:divBdr>
    </w:div>
    <w:div w:id="1403212420">
      <w:bodyDiv w:val="1"/>
      <w:marLeft w:val="0"/>
      <w:marRight w:val="0"/>
      <w:marTop w:val="0"/>
      <w:marBottom w:val="0"/>
      <w:divBdr>
        <w:top w:val="none" w:sz="0" w:space="0" w:color="auto"/>
        <w:left w:val="none" w:sz="0" w:space="0" w:color="auto"/>
        <w:bottom w:val="none" w:sz="0" w:space="0" w:color="auto"/>
        <w:right w:val="none" w:sz="0" w:space="0" w:color="auto"/>
      </w:divBdr>
    </w:div>
    <w:div w:id="1505392756">
      <w:bodyDiv w:val="1"/>
      <w:marLeft w:val="0"/>
      <w:marRight w:val="0"/>
      <w:marTop w:val="0"/>
      <w:marBottom w:val="0"/>
      <w:divBdr>
        <w:top w:val="none" w:sz="0" w:space="0" w:color="auto"/>
        <w:left w:val="none" w:sz="0" w:space="0" w:color="auto"/>
        <w:bottom w:val="none" w:sz="0" w:space="0" w:color="auto"/>
        <w:right w:val="none" w:sz="0" w:space="0" w:color="auto"/>
      </w:divBdr>
    </w:div>
    <w:div w:id="1601990414">
      <w:bodyDiv w:val="1"/>
      <w:marLeft w:val="0"/>
      <w:marRight w:val="0"/>
      <w:marTop w:val="0"/>
      <w:marBottom w:val="0"/>
      <w:divBdr>
        <w:top w:val="none" w:sz="0" w:space="0" w:color="auto"/>
        <w:left w:val="none" w:sz="0" w:space="0" w:color="auto"/>
        <w:bottom w:val="none" w:sz="0" w:space="0" w:color="auto"/>
        <w:right w:val="none" w:sz="0" w:space="0" w:color="auto"/>
      </w:divBdr>
    </w:div>
    <w:div w:id="1627586886">
      <w:bodyDiv w:val="1"/>
      <w:marLeft w:val="0"/>
      <w:marRight w:val="0"/>
      <w:marTop w:val="0"/>
      <w:marBottom w:val="0"/>
      <w:divBdr>
        <w:top w:val="none" w:sz="0" w:space="0" w:color="auto"/>
        <w:left w:val="none" w:sz="0" w:space="0" w:color="auto"/>
        <w:bottom w:val="none" w:sz="0" w:space="0" w:color="auto"/>
        <w:right w:val="none" w:sz="0" w:space="0" w:color="auto"/>
      </w:divBdr>
    </w:div>
    <w:div w:id="1742171402">
      <w:bodyDiv w:val="1"/>
      <w:marLeft w:val="0"/>
      <w:marRight w:val="0"/>
      <w:marTop w:val="0"/>
      <w:marBottom w:val="0"/>
      <w:divBdr>
        <w:top w:val="none" w:sz="0" w:space="0" w:color="auto"/>
        <w:left w:val="none" w:sz="0" w:space="0" w:color="auto"/>
        <w:bottom w:val="none" w:sz="0" w:space="0" w:color="auto"/>
        <w:right w:val="none" w:sz="0" w:space="0" w:color="auto"/>
      </w:divBdr>
    </w:div>
    <w:div w:id="2003506663">
      <w:bodyDiv w:val="1"/>
      <w:marLeft w:val="0"/>
      <w:marRight w:val="0"/>
      <w:marTop w:val="0"/>
      <w:marBottom w:val="0"/>
      <w:divBdr>
        <w:top w:val="none" w:sz="0" w:space="0" w:color="auto"/>
        <w:left w:val="none" w:sz="0" w:space="0" w:color="auto"/>
        <w:bottom w:val="none" w:sz="0" w:space="0" w:color="auto"/>
        <w:right w:val="none" w:sz="0" w:space="0" w:color="auto"/>
      </w:divBdr>
    </w:div>
    <w:div w:id="2017684565">
      <w:bodyDiv w:val="1"/>
      <w:marLeft w:val="0"/>
      <w:marRight w:val="0"/>
      <w:marTop w:val="0"/>
      <w:marBottom w:val="0"/>
      <w:divBdr>
        <w:top w:val="none" w:sz="0" w:space="0" w:color="auto"/>
        <w:left w:val="none" w:sz="0" w:space="0" w:color="auto"/>
        <w:bottom w:val="none" w:sz="0" w:space="0" w:color="auto"/>
        <w:right w:val="none" w:sz="0" w:space="0" w:color="auto"/>
      </w:divBdr>
    </w:div>
    <w:div w:id="2090688774">
      <w:bodyDiv w:val="1"/>
      <w:marLeft w:val="0"/>
      <w:marRight w:val="0"/>
      <w:marTop w:val="0"/>
      <w:marBottom w:val="0"/>
      <w:divBdr>
        <w:top w:val="none" w:sz="0" w:space="0" w:color="auto"/>
        <w:left w:val="none" w:sz="0" w:space="0" w:color="auto"/>
        <w:bottom w:val="none" w:sz="0" w:space="0" w:color="auto"/>
        <w:right w:val="none" w:sz="0" w:space="0" w:color="auto"/>
      </w:divBdr>
    </w:div>
    <w:div w:id="2092851795">
      <w:bodyDiv w:val="1"/>
      <w:marLeft w:val="0"/>
      <w:marRight w:val="0"/>
      <w:marTop w:val="0"/>
      <w:marBottom w:val="0"/>
      <w:divBdr>
        <w:top w:val="none" w:sz="0" w:space="0" w:color="auto"/>
        <w:left w:val="none" w:sz="0" w:space="0" w:color="auto"/>
        <w:bottom w:val="none" w:sz="0" w:space="0" w:color="auto"/>
        <w:right w:val="none" w:sz="0" w:space="0" w:color="auto"/>
      </w:divBdr>
    </w:div>
    <w:div w:id="211762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en/A/HRC/40/52" TargetMode="External"/><Relationship Id="rId18" Type="http://schemas.openxmlformats.org/officeDocument/2006/relationships/hyperlink" Target="https://hrdcoalition.org/perception-survey-on-communication-surveillance-and-privacy-of-human-rights-defenders-in-kenya/" TargetMode="External"/><Relationship Id="rId26" Type="http://schemas.openxmlformats.org/officeDocument/2006/relationships/hyperlink" Target="https://www.nation.co.ke/oped/Editorial/Mr-President-get-your-act-together-this-year/-/440804/3018414/-/pwgeuq/-/index.html" TargetMode="External"/><Relationship Id="rId39" Type="http://schemas.openxmlformats.org/officeDocument/2006/relationships/hyperlink" Target="http://www.africafex.org/attacks/stakeholders-call-for-a-coordination-mechanism-on-safety-of-journalists-in-africa" TargetMode="External"/><Relationship Id="rId21" Type="http://schemas.openxmlformats.org/officeDocument/2006/relationships/hyperlink" Target="https://www.article19.org/data/files/medialibrary/38343/Judgment-Petition-No.-149-of-2015-2-1.pdf" TargetMode="External"/><Relationship Id="rId34" Type="http://schemas.openxmlformats.org/officeDocument/2006/relationships/hyperlink" Target="http://kenyalaw.org/caselaw/cases/view/158712/" TargetMode="External"/><Relationship Id="rId42" Type="http://schemas.openxmlformats.org/officeDocument/2006/relationships/hyperlink" Target="https://www.article19.org/resources/kenya-new-dawn-for-transparency-as-access-to-information-law-is-passed/" TargetMode="External"/><Relationship Id="rId47" Type="http://schemas.openxmlformats.org/officeDocument/2006/relationships/hyperlink" Target="https://www.article19.org/resources/kenya-report-on-the-challenges-to-free-protest-2018-2019/" TargetMode="External"/><Relationship Id="rId50" Type="http://schemas.openxmlformats.org/officeDocument/2006/relationships/hyperlink" Target="http://kenyalaw.org/kl/fileadmin/pdfdownloads/bills/2019/PublicOrder_Amendment_Bill_2019.pdf" TargetMode="External"/><Relationship Id="rId55" Type="http://schemas.openxmlformats.org/officeDocument/2006/relationships/hyperlink" Target="https://www.capitalfm.co.ke/news/2019/01/ruto-directs-public-entities-to-comply-with-order-to-list-all-suppliers/" TargetMode="External"/><Relationship Id="rId7" Type="http://schemas.openxmlformats.org/officeDocument/2006/relationships/hyperlink" Target="https://www.theelephant.info/documents/computer-misuse-and-cybercrimes-act-2018/" TargetMode="External"/><Relationship Id="rId12" Type="http://schemas.openxmlformats.org/officeDocument/2006/relationships/hyperlink" Target="http://www.kenyalaw.org:8181/exist/kenyalex/actview.xql?actid=No.%2030%20of%202012" TargetMode="External"/><Relationship Id="rId17" Type="http://schemas.openxmlformats.org/officeDocument/2006/relationships/hyperlink" Target="http://kenyalaw.org/caselaw/cases/view/106083/" TargetMode="External"/><Relationship Id="rId25" Type="http://schemas.openxmlformats.org/officeDocument/2006/relationships/hyperlink" Target="https://www.theelephant.info/wp-content/uploads/2018/02/High-Court-Orders-on-Media-Shutdown.pdf" TargetMode="External"/><Relationship Id="rId33" Type="http://schemas.openxmlformats.org/officeDocument/2006/relationships/hyperlink" Target="https://kfcb.co.ke/kfcb-press-release-on-ban-of-rafiki-film/" TargetMode="External"/><Relationship Id="rId38" Type="http://schemas.openxmlformats.org/officeDocument/2006/relationships/hyperlink" Target="https://ifree.co.ke/wp-content/uploads/2016/11/State-of-Internet-Report-Kenya-2016.pdf" TargetMode="External"/><Relationship Id="rId46" Type="http://schemas.openxmlformats.org/officeDocument/2006/relationships/hyperlink" Target="https://www.standardmedia.co.ke/article/2001327482/court-suspends-orders-directing-presidential-delivery-unit-to-disclose-information" TargetMode="External"/><Relationship Id="rId2" Type="http://schemas.openxmlformats.org/officeDocument/2006/relationships/hyperlink" Target="http://www.kenyalaw.org/lex//actview.xql?actid=Const2010" TargetMode="External"/><Relationship Id="rId16" Type="http://schemas.openxmlformats.org/officeDocument/2006/relationships/hyperlink" Target="http://kenyalaw.org/kl/index.php?id=4405" TargetMode="External"/><Relationship Id="rId20" Type="http://schemas.openxmlformats.org/officeDocument/2006/relationships/hyperlink" Target="http://kenyalaw.org/caselaw/cases/view/122358/" TargetMode="External"/><Relationship Id="rId29" Type="http://schemas.openxmlformats.org/officeDocument/2006/relationships/hyperlink" Target="http://jadili.ictpolicy.org/docs/kfcb2016" TargetMode="External"/><Relationship Id="rId41" Type="http://schemas.openxmlformats.org/officeDocument/2006/relationships/hyperlink" Target="https://www.cuk.ac.ke/wp-content/uploads/2018/04/Access-to-Information-ActNo31.pdf" TargetMode="External"/><Relationship Id="rId54" Type="http://schemas.openxmlformats.org/officeDocument/2006/relationships/hyperlink" Target="https://icj-kenya.org/news/latest-news/102-kenya-last-warning-from-the-court-to-implement-the-pbo-act-2013-within-30-days" TargetMode="External"/><Relationship Id="rId1" Type="http://schemas.openxmlformats.org/officeDocument/2006/relationships/hyperlink" Target="https://www.article19.org/xpa-2019/" TargetMode="External"/><Relationship Id="rId6" Type="http://schemas.openxmlformats.org/officeDocument/2006/relationships/hyperlink" Target="https://digitallibrary.un.org/record/715606?ln=en" TargetMode="External"/><Relationship Id="rId11" Type="http://schemas.openxmlformats.org/officeDocument/2006/relationships/hyperlink" Target="https://tbinternet.ohchr.org/_layouts/15/treatybodyexternal/Download.aspx?symbolno=CCPR/C/KEN/CO/3&amp;Lang=En" TargetMode="External"/><Relationship Id="rId24" Type="http://schemas.openxmlformats.org/officeDocument/2006/relationships/hyperlink" Target="https://www.nation.co.ke/news/Editors-Guild-condemns-threats-media/1056-4283676-ax4enuz/" TargetMode="External"/><Relationship Id="rId32" Type="http://schemas.openxmlformats.org/officeDocument/2006/relationships/hyperlink" Target="https://kfcb.co.ke/wp-content/uploads/2017/06/STATEMENT-ON-CHILDREN-TELEVISION-PROGRAMMES-PROMOTING-HOMOSEXUALITY-IN-KENYA-ISSUED-ON-15TH-JUNE-2017.pdf" TargetMode="External"/><Relationship Id="rId37" Type="http://schemas.openxmlformats.org/officeDocument/2006/relationships/hyperlink" Target="https://www.article19.org/wp-content/uploads/2018/05/Kenya-Report-1.pdf" TargetMode="External"/><Relationship Id="rId40" Type="http://schemas.openxmlformats.org/officeDocument/2006/relationships/hyperlink" Target="http://nairobinews.nation.co.ke/news/court-drops-case-blogger-robert-alai/" TargetMode="External"/><Relationship Id="rId45" Type="http://schemas.openxmlformats.org/officeDocument/2006/relationships/hyperlink" Target="http://kenyalaw.org/caselaw/cases/view/144012/" TargetMode="External"/><Relationship Id="rId53" Type="http://schemas.openxmlformats.org/officeDocument/2006/relationships/hyperlink" Target="http://kenyalaw.org/kl/fileadmin/pdfdownloads/Acts/PublicBenefitsOrganisationNo18of2013.PDF" TargetMode="External"/><Relationship Id="rId58" Type="http://schemas.openxmlformats.org/officeDocument/2006/relationships/hyperlink" Target="https://www.article19.org/wp-content/uploads/2019/11/Kenya-Data-Protection-Bill-2019-final-2.pdf" TargetMode="External"/><Relationship Id="rId5" Type="http://schemas.openxmlformats.org/officeDocument/2006/relationships/hyperlink" Target="http://kenyalaw.org/caselaw/cases/view/130781/?platform=hootsuite" TargetMode="External"/><Relationship Id="rId15" Type="http://schemas.openxmlformats.org/officeDocument/2006/relationships/hyperlink" Target="https://www.article19.org/resources/kenya-blogger-alai-to-face-terror-related-charges/" TargetMode="External"/><Relationship Id="rId23" Type="http://schemas.openxmlformats.org/officeDocument/2006/relationships/hyperlink" Target="http://kenyalaw.org/caselaw/cases/view/179722/" TargetMode="External"/><Relationship Id="rId28" Type="http://schemas.openxmlformats.org/officeDocument/2006/relationships/hyperlink" Target="http://kfcb.co.ke/wp-content/uploads/2016/08/Film_Classification_Guidelines.pdf" TargetMode="External"/><Relationship Id="rId36" Type="http://schemas.openxmlformats.org/officeDocument/2006/relationships/hyperlink" Target="https://www.article19.org/resources/not-worth-the-risk-threats-to-free-expression-ahead-of-kenyas-2017-elections/" TargetMode="External"/><Relationship Id="rId49" Type="http://schemas.openxmlformats.org/officeDocument/2006/relationships/hyperlink" Target="https://businesstoday.co.ke/activist-boniface-mwangi-arrested/" TargetMode="External"/><Relationship Id="rId57" Type="http://schemas.openxmlformats.org/officeDocument/2006/relationships/hyperlink" Target="https://www.article19.org/resources/kenya-protect-the-data-protection-framework/" TargetMode="External"/><Relationship Id="rId10" Type="http://schemas.openxmlformats.org/officeDocument/2006/relationships/hyperlink" Target="http://kenyalaw.org/caselaw/cases/view/104799/" TargetMode="External"/><Relationship Id="rId19" Type="http://schemas.openxmlformats.org/officeDocument/2006/relationships/hyperlink" Target="https://www.mediacouncil.or.ke/en/mck/index.php/publications/media-laws/viewdownload/9-media-laws/30-the-kenya-information-and-communications-amendment-act-2013" TargetMode="External"/><Relationship Id="rId31" Type="http://schemas.openxmlformats.org/officeDocument/2006/relationships/hyperlink" Target="http://www.ict.go.ke/wp-content/uploads/2019/02/Remarks-by-Mr-Joe-Mucheru-during-the-launch-of-the-Film-award.pdf" TargetMode="External"/><Relationship Id="rId44" Type="http://schemas.openxmlformats.org/officeDocument/2006/relationships/hyperlink" Target="https://www.pulselive.co.ke/news/president-uhuru-kenyatta-will-not-give-ntvs-news-anchor-mark-masai-a-copy-of-the-sgr/tnwtxsg" TargetMode="External"/><Relationship Id="rId52" Type="http://schemas.openxmlformats.org/officeDocument/2006/relationships/hyperlink" Target="https://www.article19.org/resources/kenya-inquest-finds-police-culpable-for-death-of-baby-in-2017-post-election-protests/" TargetMode="External"/><Relationship Id="rId4" Type="http://schemas.openxmlformats.org/officeDocument/2006/relationships/hyperlink" Target="https://www.article19.org/resources.php/resource/38727/en/kenya:-win-for-freedom-of-expression-as-penal-provision-declared-unconstitutional" TargetMode="External"/><Relationship Id="rId9" Type="http://schemas.openxmlformats.org/officeDocument/2006/relationships/hyperlink" Target="https://businesstoday.co.ke/court-suspends-computer-misuse-cybercrimes-act/" TargetMode="External"/><Relationship Id="rId14" Type="http://schemas.openxmlformats.org/officeDocument/2006/relationships/hyperlink" Target="https://www.refworld.org/docid/555da76934.html" TargetMode="External"/><Relationship Id="rId22" Type="http://schemas.openxmlformats.org/officeDocument/2006/relationships/hyperlink" Target="https://www.article19.org/resources.php/resource/38343/en/kenya:-win-for-freedom-of-expression-as-repressive-law-declared-unconstitutional" TargetMode="External"/><Relationship Id="rId27" Type="http://schemas.openxmlformats.org/officeDocument/2006/relationships/hyperlink" Target="https://kfcb.co.ke/about/governing-laws/" TargetMode="External"/><Relationship Id="rId30" Type="http://schemas.openxmlformats.org/officeDocument/2006/relationships/hyperlink" Target="https://www.blog.bake.co.ke/2016/10/10/most-dangerous-attacks-on-our-freedom-of-expression/" TargetMode="External"/><Relationship Id="rId35" Type="http://schemas.openxmlformats.org/officeDocument/2006/relationships/hyperlink" Target="https://www.article19.org/resources/kenya-court-rules-to-temporarily-remove-ban-on-rafiki-film/" TargetMode="External"/><Relationship Id="rId43" Type="http://schemas.openxmlformats.org/officeDocument/2006/relationships/hyperlink" Target="http://www.ombudsman.go.ke/index.php/resource-center/all-reports/category/9-special-reports?download=238:survey-on-the-status-of-proactive-disclosure-of-information-by-public-bodies" TargetMode="External"/><Relationship Id="rId48" Type="http://schemas.openxmlformats.org/officeDocument/2006/relationships/hyperlink" Target="https://www.nis.go.ke/downloads/Public%20Order%20Act,%20Cap%2056.pdf" TargetMode="External"/><Relationship Id="rId56" Type="http://schemas.openxmlformats.org/officeDocument/2006/relationships/hyperlink" Target="https://www.statelaw.go.ke/wp-content/uploads/2018/09/Associations-bill-2018.pdf" TargetMode="External"/><Relationship Id="rId8" Type="http://schemas.openxmlformats.org/officeDocument/2006/relationships/hyperlink" Target="http://kenyalaw.org/caselaw/cases/view/159286" TargetMode="External"/><Relationship Id="rId51" Type="http://schemas.openxmlformats.org/officeDocument/2006/relationships/hyperlink" Target="https://www.knchr.org/Articles/ArtMID/2432/ArticleID/1030/Mirage-at-Dusk-First-Presidential-Elections-A-Human-Rights-Account-of-The-2017-General-Election" TargetMode="External"/><Relationship Id="rId3" Type="http://schemas.openxmlformats.org/officeDocument/2006/relationships/hyperlink" Target="http://kenyalaw.org/caselaw/cases/view/135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07BC0-442F-47ED-A100-C0A726F96815}">
  <ds:schemaRefs>
    <ds:schemaRef ds:uri="http://schemas.openxmlformats.org/officeDocument/2006/bibliography"/>
  </ds:schemaRefs>
</ds:datastoreItem>
</file>

<file path=customXml/itemProps2.xml><?xml version="1.0" encoding="utf-8"?>
<ds:datastoreItem xmlns:ds="http://schemas.openxmlformats.org/officeDocument/2006/customXml" ds:itemID="{854D7E6A-D784-454C-A1E8-C21C8B02948B}"/>
</file>

<file path=customXml/itemProps3.xml><?xml version="1.0" encoding="utf-8"?>
<ds:datastoreItem xmlns:ds="http://schemas.openxmlformats.org/officeDocument/2006/customXml" ds:itemID="{907F15A2-863E-4762-8840-4CCA4F269798}"/>
</file>

<file path=customXml/itemProps4.xml><?xml version="1.0" encoding="utf-8"?>
<ds:datastoreItem xmlns:ds="http://schemas.openxmlformats.org/officeDocument/2006/customXml" ds:itemID="{4CB9855A-84B9-4F77-8DB3-878B312DC311}"/>
</file>

<file path=docProps/app.xml><?xml version="1.0" encoding="utf-8"?>
<Properties xmlns="http://schemas.openxmlformats.org/officeDocument/2006/extended-properties" xmlns:vt="http://schemas.openxmlformats.org/officeDocument/2006/docPropsVTypes">
  <Template>Normal</Template>
  <TotalTime>4</TotalTime>
  <Pages>17</Pages>
  <Words>6724</Words>
  <Characters>38328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Wesonga</dc:creator>
  <cp:lastModifiedBy>A19 user</cp:lastModifiedBy>
  <cp:revision>3</cp:revision>
  <cp:lastPrinted>2019-06-07T11:18:00Z</cp:lastPrinted>
  <dcterms:created xsi:type="dcterms:W3CDTF">2020-01-09T16:19:00Z</dcterms:created>
  <dcterms:modified xsi:type="dcterms:W3CDTF">2020-01-09T16:22:00Z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0x010100D94DC6E63E0E4C40BB58A92BBDBC479C</vt:lpwstr>
  </property>
</Properties>
</file>