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C85A" w14:textId="77777777" w:rsidR="00C05D9B" w:rsidRPr="004B1E4E" w:rsidRDefault="00C05D9B" w:rsidP="00626C39">
      <w:pPr>
        <w:rPr>
          <w:color w:val="auto"/>
          <w:sz w:val="24"/>
          <w:szCs w:val="24"/>
        </w:rPr>
      </w:pPr>
    </w:p>
    <w:p w14:paraId="65FE03C7" w14:textId="77777777" w:rsidR="005403E3" w:rsidRPr="004B1E4E" w:rsidRDefault="005403E3" w:rsidP="00626C39">
      <w:pPr>
        <w:rPr>
          <w:color w:val="auto"/>
          <w:sz w:val="24"/>
          <w:szCs w:val="24"/>
        </w:rPr>
      </w:pPr>
    </w:p>
    <w:p w14:paraId="5CE3D663" w14:textId="77777777" w:rsidR="005403E3" w:rsidRPr="004B1E4E" w:rsidRDefault="005403E3" w:rsidP="00626C39">
      <w:pPr>
        <w:rPr>
          <w:color w:val="auto"/>
          <w:sz w:val="24"/>
          <w:szCs w:val="24"/>
        </w:rPr>
      </w:pPr>
    </w:p>
    <w:p w14:paraId="2BA47FCA" w14:textId="65A0F64F" w:rsidR="00266AA3" w:rsidRDefault="00E20366" w:rsidP="004B1E4E">
      <w:pPr>
        <w:jc w:val="center"/>
        <w:rPr>
          <w:b/>
          <w:sz w:val="24"/>
          <w:szCs w:val="24"/>
        </w:rPr>
      </w:pPr>
      <w:r>
        <w:rPr>
          <w:b/>
          <w:sz w:val="24"/>
          <w:szCs w:val="24"/>
        </w:rPr>
        <w:t>Ethiopia</w:t>
      </w:r>
      <w:r w:rsidR="004B1E4E" w:rsidRPr="004B1E4E">
        <w:rPr>
          <w:b/>
          <w:sz w:val="24"/>
          <w:szCs w:val="24"/>
        </w:rPr>
        <w:t xml:space="preserve">’s Compliance with </w:t>
      </w:r>
      <w:r w:rsidR="00236B84" w:rsidRPr="418A2397">
        <w:rPr>
          <w:b/>
          <w:bCs/>
          <w:sz w:val="24"/>
          <w:szCs w:val="24"/>
        </w:rPr>
        <w:t>The International Covenant on Civil and Political Rights</w:t>
      </w:r>
    </w:p>
    <w:p w14:paraId="60C72A78" w14:textId="1D5AD811" w:rsidR="004B1E4E" w:rsidRPr="004B1E4E" w:rsidRDefault="00266AA3" w:rsidP="004B1E4E">
      <w:pPr>
        <w:jc w:val="center"/>
        <w:rPr>
          <w:b/>
          <w:sz w:val="24"/>
          <w:szCs w:val="24"/>
        </w:rPr>
      </w:pPr>
      <w:r>
        <w:rPr>
          <w:b/>
          <w:sz w:val="24"/>
          <w:szCs w:val="24"/>
        </w:rPr>
        <w:t xml:space="preserve">Suggested List of Issues Relating to </w:t>
      </w:r>
      <w:r w:rsidR="00236B84">
        <w:rPr>
          <w:b/>
          <w:sz w:val="24"/>
          <w:szCs w:val="24"/>
        </w:rPr>
        <w:t>the Death Penalty</w:t>
      </w:r>
    </w:p>
    <w:p w14:paraId="53B51F60" w14:textId="77777777" w:rsidR="004B1E4E" w:rsidRPr="004B1E4E" w:rsidRDefault="004B1E4E" w:rsidP="004B1E4E">
      <w:pPr>
        <w:jc w:val="center"/>
        <w:rPr>
          <w:sz w:val="24"/>
          <w:szCs w:val="24"/>
        </w:rPr>
      </w:pPr>
    </w:p>
    <w:p w14:paraId="66818149"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1149BE71" w14:textId="5C43156C" w:rsid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66B105FA" w14:textId="77777777" w:rsidR="00236B84" w:rsidRDefault="00236B84" w:rsidP="00236B84">
      <w:pPr>
        <w:jc w:val="center"/>
        <w:rPr>
          <w:sz w:val="24"/>
          <w:szCs w:val="24"/>
        </w:rPr>
      </w:pPr>
      <w:r w:rsidRPr="418A2397">
        <w:rPr>
          <w:sz w:val="24"/>
          <w:szCs w:val="24"/>
        </w:rPr>
        <w:t>and</w:t>
      </w:r>
    </w:p>
    <w:p w14:paraId="551B9E43" w14:textId="185321D0" w:rsidR="004B1E4E" w:rsidRPr="004B1E4E" w:rsidRDefault="00236B84" w:rsidP="00CB59F4">
      <w:pPr>
        <w:spacing w:after="240"/>
        <w:jc w:val="center"/>
        <w:rPr>
          <w:sz w:val="24"/>
          <w:szCs w:val="24"/>
        </w:rPr>
      </w:pPr>
      <w:r w:rsidRPr="418A2397">
        <w:rPr>
          <w:b/>
          <w:bCs/>
          <w:sz w:val="24"/>
          <w:szCs w:val="24"/>
        </w:rPr>
        <w:t>The World Coalition Against the Death Penalty</w:t>
      </w:r>
    </w:p>
    <w:p w14:paraId="1F93466F" w14:textId="568CF980" w:rsidR="004B1E4E" w:rsidRPr="000C380B" w:rsidRDefault="000201D3" w:rsidP="004B1E4E">
      <w:pPr>
        <w:jc w:val="center"/>
        <w:rPr>
          <w:b/>
          <w:sz w:val="24"/>
          <w:szCs w:val="24"/>
        </w:rPr>
      </w:pPr>
      <w:r>
        <w:rPr>
          <w:b/>
          <w:sz w:val="24"/>
          <w:szCs w:val="24"/>
        </w:rPr>
        <w:t>130th</w:t>
      </w:r>
      <w:r w:rsidR="004B1E4E" w:rsidRPr="000C380B">
        <w:rPr>
          <w:b/>
          <w:sz w:val="24"/>
          <w:szCs w:val="24"/>
        </w:rPr>
        <w:t xml:space="preserve"> Session of the </w:t>
      </w:r>
      <w:r>
        <w:rPr>
          <w:b/>
          <w:sz w:val="24"/>
          <w:szCs w:val="24"/>
        </w:rPr>
        <w:t>Human Rights Committee</w:t>
      </w:r>
    </w:p>
    <w:p w14:paraId="7001DED9" w14:textId="40B7CC60" w:rsidR="004B1E4E" w:rsidRPr="000C380B" w:rsidRDefault="000201D3" w:rsidP="004B1E4E">
      <w:pPr>
        <w:jc w:val="center"/>
        <w:rPr>
          <w:b/>
          <w:sz w:val="24"/>
          <w:szCs w:val="24"/>
        </w:rPr>
      </w:pPr>
      <w:r>
        <w:rPr>
          <w:b/>
          <w:sz w:val="24"/>
          <w:szCs w:val="24"/>
        </w:rPr>
        <w:t>12 October</w:t>
      </w:r>
      <w:r w:rsidR="004B1E4E" w:rsidRPr="000C380B">
        <w:rPr>
          <w:b/>
          <w:sz w:val="24"/>
          <w:szCs w:val="24"/>
        </w:rPr>
        <w:t>–</w:t>
      </w:r>
      <w:r>
        <w:rPr>
          <w:b/>
          <w:sz w:val="24"/>
          <w:szCs w:val="24"/>
        </w:rPr>
        <w:t>6 November 2020</w:t>
      </w:r>
    </w:p>
    <w:p w14:paraId="12CF1276" w14:textId="77777777" w:rsidR="001565F9" w:rsidRPr="004B1E4E" w:rsidRDefault="001565F9" w:rsidP="005132BB">
      <w:pPr>
        <w:rPr>
          <w:sz w:val="24"/>
          <w:szCs w:val="24"/>
          <w:lang w:val="es-ES"/>
        </w:rPr>
      </w:pPr>
    </w:p>
    <w:p w14:paraId="2D03F470" w14:textId="6D5468D2" w:rsidR="005132BB" w:rsidRPr="000C380B" w:rsidRDefault="000C380B" w:rsidP="000C380B">
      <w:pPr>
        <w:jc w:val="center"/>
        <w:rPr>
          <w:b/>
          <w:color w:val="auto"/>
          <w:sz w:val="24"/>
          <w:szCs w:val="24"/>
        </w:rPr>
      </w:pPr>
      <w:r w:rsidRPr="000C380B">
        <w:rPr>
          <w:b/>
          <w:color w:val="auto"/>
          <w:sz w:val="24"/>
          <w:szCs w:val="24"/>
        </w:rPr>
        <w:t xml:space="preserve">Submitted </w:t>
      </w:r>
      <w:r w:rsidR="00236B84" w:rsidRPr="418A2397">
        <w:rPr>
          <w:b/>
          <w:bCs/>
          <w:color w:val="auto"/>
          <w:sz w:val="24"/>
          <w:szCs w:val="24"/>
        </w:rPr>
        <w:t>17 August 2020</w:t>
      </w:r>
    </w:p>
    <w:p w14:paraId="0BC52FAD" w14:textId="77777777" w:rsidR="000C380B" w:rsidRPr="004B1E4E" w:rsidRDefault="000C380B" w:rsidP="00596B08">
      <w:pPr>
        <w:jc w:val="both"/>
        <w:rPr>
          <w:color w:val="auto"/>
          <w:sz w:val="24"/>
          <w:szCs w:val="24"/>
        </w:rPr>
      </w:pPr>
    </w:p>
    <w:p w14:paraId="0E25A8E2" w14:textId="0E48672D" w:rsidR="008214B4" w:rsidRPr="00AE35EF" w:rsidRDefault="004B1E4E" w:rsidP="00AA281D">
      <w:pPr>
        <w:jc w:val="both"/>
        <w:rPr>
          <w:sz w:val="24"/>
          <w:szCs w:val="24"/>
        </w:rPr>
      </w:pPr>
      <w:r w:rsidRPr="004B1E4E">
        <w:rPr>
          <w:b/>
          <w:sz w:val="24"/>
          <w:szCs w:val="24"/>
        </w:rPr>
        <w:t xml:space="preserve">The Advocates for Human Rights </w:t>
      </w:r>
      <w:r w:rsidRPr="004B1E4E">
        <w:rPr>
          <w:sz w:val="24"/>
          <w:szCs w:val="24"/>
        </w:rPr>
        <w:t>(The Advocates) is a volunteer-based non</w:t>
      </w:r>
      <w:r w:rsidR="00266AA3">
        <w:rPr>
          <w:sz w:val="24"/>
          <w:szCs w:val="24"/>
        </w:rPr>
        <w:t>-</w:t>
      </w:r>
      <w:r w:rsidRPr="004B1E4E">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4B1E4E">
        <w:rPr>
          <w:sz w:val="24"/>
          <w:szCs w:val="24"/>
          <w:lang w:val="es-ES"/>
        </w:rPr>
        <w:t>including</w:t>
      </w:r>
      <w:r w:rsidRPr="004B1E4E">
        <w:rPr>
          <w:sz w:val="24"/>
          <w:szCs w:val="24"/>
        </w:rPr>
        <w:t xml:space="preserve"> monitoring and fact finding, direct legal representation, education and training, and publications.</w:t>
      </w:r>
      <w:r w:rsidR="00236B84">
        <w:rPr>
          <w:sz w:val="24"/>
          <w:szCs w:val="24"/>
        </w:rPr>
        <w:t xml:space="preserve"> </w:t>
      </w:r>
      <w:r w:rsidR="008214B4" w:rsidRPr="20EBB8F7">
        <w:rPr>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55CC9FCC" w14:textId="5CC5E329" w:rsidR="00AA281D" w:rsidRDefault="00AA281D" w:rsidP="00596B08">
      <w:pPr>
        <w:jc w:val="both"/>
        <w:rPr>
          <w:b/>
          <w:bCs/>
          <w:sz w:val="24"/>
          <w:szCs w:val="24"/>
        </w:rPr>
      </w:pPr>
    </w:p>
    <w:p w14:paraId="119C693F" w14:textId="05E60737" w:rsidR="00236B84" w:rsidRDefault="00236B84" w:rsidP="00236B84">
      <w:pPr>
        <w:jc w:val="both"/>
        <w:rPr>
          <w:sz w:val="24"/>
          <w:szCs w:val="24"/>
        </w:rPr>
      </w:pPr>
      <w:r w:rsidRPr="418A2397">
        <w:rPr>
          <w:b/>
          <w:bCs/>
          <w:sz w:val="24"/>
          <w:szCs w:val="24"/>
        </w:rPr>
        <w:t>The World Coalition Against the Death Penalty</w:t>
      </w:r>
      <w:r w:rsidRPr="418A2397">
        <w:rPr>
          <w:sz w:val="24"/>
          <w:szCs w:val="24"/>
        </w:rPr>
        <w:t>, an alliance of more than 1</w:t>
      </w:r>
      <w:r w:rsidR="001A7F0A">
        <w:rPr>
          <w:sz w:val="24"/>
          <w:szCs w:val="24"/>
        </w:rPr>
        <w:t>6</w:t>
      </w:r>
      <w:r w:rsidRPr="418A2397">
        <w:rPr>
          <w:sz w:val="24"/>
          <w:szCs w:val="24"/>
        </w:rPr>
        <w:t>0 NGOs, bar associations, local authorities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2EA88253" w14:textId="77777777" w:rsidR="00236B84" w:rsidRPr="00CC65F5" w:rsidRDefault="00236B84" w:rsidP="00596B08">
      <w:pPr>
        <w:jc w:val="both"/>
        <w:rPr>
          <w:b/>
          <w:bCs/>
          <w:sz w:val="24"/>
          <w:szCs w:val="24"/>
        </w:rPr>
      </w:pPr>
    </w:p>
    <w:p w14:paraId="261B29B5" w14:textId="77777777" w:rsidR="004B1E4E" w:rsidRPr="00CC65F5" w:rsidRDefault="004B1E4E" w:rsidP="00626C39">
      <w:pPr>
        <w:rPr>
          <w:b/>
          <w:bCs/>
          <w:color w:val="auto"/>
          <w:sz w:val="24"/>
          <w:szCs w:val="24"/>
        </w:rPr>
      </w:pPr>
    </w:p>
    <w:p w14:paraId="7B1BBB00" w14:textId="77777777" w:rsidR="004B1E4E" w:rsidRPr="004B1E4E" w:rsidRDefault="004B1E4E" w:rsidP="004B1E4E">
      <w:pPr>
        <w:jc w:val="center"/>
        <w:rPr>
          <w:b/>
          <w:caps/>
          <w:color w:val="auto"/>
          <w:sz w:val="24"/>
          <w:szCs w:val="24"/>
        </w:rPr>
      </w:pPr>
      <w:r>
        <w:rPr>
          <w:color w:val="auto"/>
          <w:sz w:val="24"/>
          <w:szCs w:val="24"/>
        </w:rPr>
        <w:br w:type="page"/>
      </w:r>
      <w:r w:rsidRPr="004B1E4E">
        <w:rPr>
          <w:b/>
          <w:caps/>
          <w:color w:val="auto"/>
          <w:sz w:val="24"/>
          <w:szCs w:val="24"/>
        </w:rPr>
        <w:t>Executive Summary</w:t>
      </w:r>
    </w:p>
    <w:p w14:paraId="71E1DC51" w14:textId="77777777" w:rsidR="004B1E4E" w:rsidRDefault="004B1E4E" w:rsidP="00626C39">
      <w:pPr>
        <w:rPr>
          <w:color w:val="auto"/>
          <w:sz w:val="24"/>
          <w:szCs w:val="24"/>
        </w:rPr>
      </w:pPr>
    </w:p>
    <w:p w14:paraId="4E0AF798" w14:textId="34655770" w:rsidR="00622519" w:rsidRDefault="000201D3" w:rsidP="00622519">
      <w:pPr>
        <w:numPr>
          <w:ilvl w:val="0"/>
          <w:numId w:val="8"/>
        </w:numPr>
        <w:spacing w:after="120"/>
        <w:jc w:val="both"/>
        <w:rPr>
          <w:color w:val="auto"/>
          <w:sz w:val="24"/>
          <w:szCs w:val="24"/>
        </w:rPr>
      </w:pPr>
      <w:r>
        <w:rPr>
          <w:color w:val="auto"/>
          <w:sz w:val="24"/>
          <w:szCs w:val="24"/>
        </w:rPr>
        <w:t xml:space="preserve">This submission addresses Ethiopia’s compliance with its human rights obligations with regard to its use of the death penalty. </w:t>
      </w:r>
      <w:r w:rsidR="00622519">
        <w:rPr>
          <w:color w:val="auto"/>
          <w:sz w:val="24"/>
          <w:szCs w:val="24"/>
        </w:rPr>
        <w:t>Ethiopia retains the death penalty and has not ratified the Second Optional Protocol to the International</w:t>
      </w:r>
      <w:r w:rsidR="00622519" w:rsidRPr="00622519">
        <w:rPr>
          <w:color w:val="auto"/>
          <w:sz w:val="24"/>
          <w:szCs w:val="24"/>
        </w:rPr>
        <w:t xml:space="preserve"> </w:t>
      </w:r>
      <w:r w:rsidR="00622519">
        <w:rPr>
          <w:color w:val="auto"/>
          <w:sz w:val="24"/>
          <w:szCs w:val="24"/>
        </w:rPr>
        <w:t>Covenant on Civil and Political Rights (ICCPR).</w:t>
      </w:r>
    </w:p>
    <w:p w14:paraId="7BEECC68" w14:textId="6A8F9540" w:rsidR="00622519" w:rsidRDefault="00622519" w:rsidP="00974E48">
      <w:pPr>
        <w:numPr>
          <w:ilvl w:val="0"/>
          <w:numId w:val="8"/>
        </w:numPr>
        <w:spacing w:after="120"/>
        <w:jc w:val="both"/>
        <w:rPr>
          <w:color w:val="auto"/>
          <w:sz w:val="24"/>
          <w:szCs w:val="24"/>
        </w:rPr>
      </w:pPr>
      <w:r>
        <w:rPr>
          <w:color w:val="auto"/>
          <w:sz w:val="24"/>
          <w:szCs w:val="24"/>
        </w:rPr>
        <w:t xml:space="preserve">Ethiopia has failed to uphold its obligations under the ICCPR and has not acted to limit the application of the death penalty to offences that can be deemed </w:t>
      </w:r>
      <w:r w:rsidR="00B16B00">
        <w:rPr>
          <w:color w:val="auto"/>
          <w:sz w:val="24"/>
          <w:szCs w:val="24"/>
        </w:rPr>
        <w:t>the “</w:t>
      </w:r>
      <w:r>
        <w:rPr>
          <w:color w:val="auto"/>
          <w:sz w:val="24"/>
          <w:szCs w:val="24"/>
        </w:rPr>
        <w:t>most serious</w:t>
      </w:r>
      <w:r w:rsidR="00B16B00">
        <w:rPr>
          <w:color w:val="auto"/>
          <w:sz w:val="24"/>
          <w:szCs w:val="24"/>
        </w:rPr>
        <w:t>”</w:t>
      </w:r>
      <w:r>
        <w:rPr>
          <w:color w:val="auto"/>
          <w:sz w:val="24"/>
          <w:szCs w:val="24"/>
        </w:rPr>
        <w:t xml:space="preserve"> crimes.</w:t>
      </w:r>
      <w:r w:rsidR="00C35B63" w:rsidRPr="00C35B63">
        <w:rPr>
          <w:color w:val="auto"/>
          <w:sz w:val="24"/>
          <w:szCs w:val="24"/>
        </w:rPr>
        <w:t xml:space="preserve"> </w:t>
      </w:r>
      <w:r w:rsidR="00C35B63">
        <w:rPr>
          <w:color w:val="auto"/>
          <w:sz w:val="24"/>
          <w:szCs w:val="24"/>
        </w:rPr>
        <w:t>The last known execution in Ethiopia was in 2007.</w:t>
      </w:r>
      <w:r w:rsidR="00C35B63">
        <w:rPr>
          <w:rStyle w:val="FootnoteReference"/>
          <w:color w:val="auto"/>
          <w:sz w:val="24"/>
          <w:szCs w:val="24"/>
        </w:rPr>
        <w:footnoteReference w:id="2"/>
      </w:r>
      <w:r w:rsidR="00C35B63">
        <w:rPr>
          <w:color w:val="auto"/>
          <w:sz w:val="24"/>
          <w:szCs w:val="24"/>
        </w:rPr>
        <w:t xml:space="preserve"> Ethiopia continues to oppose the </w:t>
      </w:r>
      <w:r w:rsidR="00B16B00">
        <w:rPr>
          <w:color w:val="auto"/>
          <w:sz w:val="24"/>
          <w:szCs w:val="24"/>
        </w:rPr>
        <w:t xml:space="preserve">UN General Assembly’s </w:t>
      </w:r>
      <w:r w:rsidR="00C35B63">
        <w:rPr>
          <w:color w:val="auto"/>
          <w:sz w:val="24"/>
          <w:szCs w:val="24"/>
        </w:rPr>
        <w:t>resolution on a moratorium on the use of the death penalty.</w:t>
      </w:r>
      <w:r w:rsidR="00C35B63">
        <w:rPr>
          <w:rStyle w:val="FootnoteReference"/>
          <w:color w:val="auto"/>
          <w:sz w:val="24"/>
          <w:szCs w:val="24"/>
        </w:rPr>
        <w:footnoteReference w:id="3"/>
      </w:r>
    </w:p>
    <w:p w14:paraId="6C0354CF" w14:textId="33C435E9" w:rsidR="00622519" w:rsidRDefault="00622519" w:rsidP="00974E48">
      <w:pPr>
        <w:numPr>
          <w:ilvl w:val="0"/>
          <w:numId w:val="8"/>
        </w:numPr>
        <w:spacing w:after="120"/>
        <w:jc w:val="both"/>
        <w:rPr>
          <w:color w:val="auto"/>
          <w:sz w:val="24"/>
          <w:szCs w:val="24"/>
        </w:rPr>
      </w:pPr>
      <w:r>
        <w:rPr>
          <w:color w:val="auto"/>
          <w:sz w:val="24"/>
          <w:szCs w:val="24"/>
        </w:rPr>
        <w:t xml:space="preserve">The Government of Ethiopia retains </w:t>
      </w:r>
      <w:r w:rsidR="00E656F6">
        <w:rPr>
          <w:color w:val="auto"/>
          <w:sz w:val="24"/>
          <w:szCs w:val="24"/>
        </w:rPr>
        <w:t>the death penalty</w:t>
      </w:r>
      <w:r>
        <w:rPr>
          <w:color w:val="auto"/>
          <w:sz w:val="24"/>
          <w:szCs w:val="24"/>
        </w:rPr>
        <w:t xml:space="preserve"> for non-violent crimes,</w:t>
      </w:r>
      <w:r w:rsidR="00C35B63">
        <w:rPr>
          <w:color w:val="auto"/>
          <w:sz w:val="24"/>
          <w:szCs w:val="24"/>
        </w:rPr>
        <w:t xml:space="preserve"> including</w:t>
      </w:r>
      <w:r w:rsidR="00390F4F">
        <w:rPr>
          <w:color w:val="auto"/>
          <w:sz w:val="24"/>
          <w:szCs w:val="24"/>
        </w:rPr>
        <w:t>,</w:t>
      </w:r>
      <w:r w:rsidR="00C35B63">
        <w:rPr>
          <w:color w:val="auto"/>
          <w:sz w:val="24"/>
          <w:szCs w:val="24"/>
        </w:rPr>
        <w:t xml:space="preserve"> </w:t>
      </w:r>
      <w:r w:rsidR="00C35B63">
        <w:rPr>
          <w:i/>
          <w:iCs/>
          <w:color w:val="auto"/>
          <w:sz w:val="24"/>
          <w:szCs w:val="24"/>
        </w:rPr>
        <w:t>inter alia</w:t>
      </w:r>
      <w:r w:rsidR="00390F4F">
        <w:rPr>
          <w:color w:val="auto"/>
          <w:sz w:val="24"/>
          <w:szCs w:val="24"/>
        </w:rPr>
        <w:t>,</w:t>
      </w:r>
      <w:r w:rsidR="00C35B63">
        <w:rPr>
          <w:color w:val="auto"/>
          <w:sz w:val="24"/>
          <w:szCs w:val="24"/>
        </w:rPr>
        <w:t xml:space="preserve"> terrorism </w:t>
      </w:r>
      <w:r w:rsidR="00B73FD2">
        <w:rPr>
          <w:color w:val="auto"/>
          <w:sz w:val="24"/>
          <w:szCs w:val="24"/>
        </w:rPr>
        <w:t>“causing serious</w:t>
      </w:r>
      <w:r w:rsidR="00004521">
        <w:rPr>
          <w:color w:val="auto"/>
          <w:sz w:val="24"/>
          <w:szCs w:val="24"/>
        </w:rPr>
        <w:t xml:space="preserve"> to </w:t>
      </w:r>
      <w:r w:rsidR="00B73FD2">
        <w:rPr>
          <w:color w:val="auto"/>
          <w:sz w:val="24"/>
          <w:szCs w:val="24"/>
        </w:rPr>
        <w:t>historical or cultural heritages</w:t>
      </w:r>
      <w:r w:rsidR="00004521">
        <w:rPr>
          <w:color w:val="auto"/>
          <w:sz w:val="24"/>
          <w:szCs w:val="24"/>
        </w:rPr>
        <w:t>”</w:t>
      </w:r>
      <w:r w:rsidR="00C35B63">
        <w:rPr>
          <w:color w:val="auto"/>
          <w:sz w:val="24"/>
          <w:szCs w:val="24"/>
        </w:rPr>
        <w:t xml:space="preserve"> and acting as an accessory to an offense that causes severe bodily injury</w:t>
      </w:r>
      <w:r w:rsidR="00390F4F">
        <w:rPr>
          <w:color w:val="auto"/>
          <w:sz w:val="24"/>
          <w:szCs w:val="24"/>
        </w:rPr>
        <w:t>.</w:t>
      </w:r>
      <w:r w:rsidR="00C35B63">
        <w:rPr>
          <w:rStyle w:val="FootnoteReference"/>
          <w:color w:val="auto"/>
          <w:sz w:val="24"/>
          <w:szCs w:val="24"/>
        </w:rPr>
        <w:footnoteReference w:id="4"/>
      </w:r>
      <w:r>
        <w:rPr>
          <w:color w:val="auto"/>
          <w:sz w:val="24"/>
          <w:szCs w:val="24"/>
        </w:rPr>
        <w:t xml:space="preserve"> </w:t>
      </w:r>
    </w:p>
    <w:p w14:paraId="5BA95C02" w14:textId="58A69823" w:rsidR="00C35B63" w:rsidRDefault="00490D6A" w:rsidP="00EC4C5F">
      <w:pPr>
        <w:numPr>
          <w:ilvl w:val="0"/>
          <w:numId w:val="8"/>
        </w:numPr>
        <w:spacing w:after="240"/>
        <w:jc w:val="both"/>
        <w:rPr>
          <w:color w:val="auto"/>
          <w:sz w:val="24"/>
          <w:szCs w:val="24"/>
        </w:rPr>
      </w:pPr>
      <w:r>
        <w:rPr>
          <w:color w:val="auto"/>
          <w:sz w:val="24"/>
          <w:szCs w:val="24"/>
        </w:rPr>
        <w:t xml:space="preserve">Since 2019, Ethiopia has made no official statement suggesting it intends to formally abolish the death penalty or ratify the Second Optional Protocol. In the meantime, civil society organizations continue to report torture, unfair trials, and a general lack of due process protections, particularly in terrorism-related cases. </w:t>
      </w:r>
    </w:p>
    <w:p w14:paraId="7C516432" w14:textId="5284F027" w:rsidR="008F2F99" w:rsidRDefault="0D020844" w:rsidP="00EC4C5F">
      <w:pPr>
        <w:spacing w:after="240"/>
        <w:jc w:val="center"/>
        <w:rPr>
          <w:b/>
          <w:bCs/>
          <w:color w:val="auto"/>
          <w:sz w:val="24"/>
          <w:szCs w:val="24"/>
        </w:rPr>
      </w:pPr>
      <w:r w:rsidRPr="29A683AB">
        <w:rPr>
          <w:b/>
          <w:bCs/>
          <w:color w:val="auto"/>
          <w:sz w:val="24"/>
          <w:szCs w:val="24"/>
        </w:rPr>
        <w:t xml:space="preserve">Ethiopia </w:t>
      </w:r>
      <w:r w:rsidR="008F2F99" w:rsidRPr="29A683AB">
        <w:rPr>
          <w:b/>
          <w:bCs/>
          <w:color w:val="auto"/>
          <w:sz w:val="24"/>
          <w:szCs w:val="24"/>
        </w:rPr>
        <w:t xml:space="preserve">fails to uphold its obligations under the </w:t>
      </w:r>
      <w:r w:rsidR="53D88EDB" w:rsidRPr="29A683AB">
        <w:rPr>
          <w:b/>
          <w:bCs/>
          <w:color w:val="auto"/>
          <w:sz w:val="24"/>
          <w:szCs w:val="24"/>
        </w:rPr>
        <w:t>International Covenant on Civil and Political Rights</w:t>
      </w:r>
    </w:p>
    <w:p w14:paraId="320FAB59" w14:textId="209E97CF" w:rsidR="00C121E9" w:rsidRPr="00C121E9" w:rsidRDefault="00D33D38" w:rsidP="00E656F6">
      <w:pPr>
        <w:keepNext/>
        <w:numPr>
          <w:ilvl w:val="0"/>
          <w:numId w:val="9"/>
        </w:numPr>
        <w:spacing w:before="240" w:after="120"/>
        <w:ind w:left="720" w:hanging="360"/>
        <w:jc w:val="both"/>
        <w:rPr>
          <w:b/>
          <w:bCs/>
          <w:color w:val="auto"/>
          <w:sz w:val="24"/>
          <w:szCs w:val="24"/>
        </w:rPr>
      </w:pPr>
      <w:r>
        <w:rPr>
          <w:b/>
          <w:bCs/>
          <w:color w:val="auto"/>
          <w:sz w:val="24"/>
          <w:szCs w:val="24"/>
        </w:rPr>
        <w:t>Ethiopia</w:t>
      </w:r>
      <w:r w:rsidR="00C121E9">
        <w:rPr>
          <w:b/>
          <w:bCs/>
          <w:color w:val="auto"/>
          <w:sz w:val="24"/>
          <w:szCs w:val="24"/>
        </w:rPr>
        <w:t xml:space="preserve"> has not yet ratified the Second Optional Protocol to the International Covenant on Civil and Political </w:t>
      </w:r>
      <w:r w:rsidR="00C121E9" w:rsidRPr="418A2397">
        <w:rPr>
          <w:b/>
          <w:bCs/>
          <w:color w:val="auto"/>
          <w:sz w:val="24"/>
          <w:szCs w:val="24"/>
        </w:rPr>
        <w:t>Rights aimed at the abolition of the death penalty and maintains the death penalty as a legal form of punishment.</w:t>
      </w:r>
    </w:p>
    <w:p w14:paraId="4D1BD1D6" w14:textId="220164AB" w:rsidR="00490D6A" w:rsidRPr="00566B06" w:rsidRDefault="00C121E9" w:rsidP="00974E48">
      <w:pPr>
        <w:numPr>
          <w:ilvl w:val="0"/>
          <w:numId w:val="8"/>
        </w:numPr>
        <w:spacing w:after="120"/>
        <w:jc w:val="both"/>
        <w:rPr>
          <w:color w:val="auto"/>
          <w:sz w:val="24"/>
          <w:szCs w:val="24"/>
          <w:lang w:val="en-GB"/>
        </w:rPr>
      </w:pPr>
      <w:r>
        <w:rPr>
          <w:color w:val="auto"/>
          <w:sz w:val="24"/>
          <w:szCs w:val="24"/>
        </w:rPr>
        <w:t xml:space="preserve">In its 2011 Concluding Observations, the Human Rights Committee expressed concern that Ethiopia </w:t>
      </w:r>
      <w:r w:rsidR="00272DB2">
        <w:rPr>
          <w:color w:val="auto"/>
          <w:sz w:val="24"/>
          <w:szCs w:val="24"/>
        </w:rPr>
        <w:t>authorizes</w:t>
      </w:r>
      <w:r>
        <w:rPr>
          <w:color w:val="auto"/>
          <w:sz w:val="24"/>
          <w:szCs w:val="24"/>
        </w:rPr>
        <w:t xml:space="preserve"> the death penalty for “crimes which appear to have a political dimension, as well as following in-absentia trials without adequate legal safeguards.”</w:t>
      </w:r>
      <w:r>
        <w:rPr>
          <w:rStyle w:val="FootnoteReference"/>
          <w:color w:val="auto"/>
          <w:sz w:val="24"/>
          <w:szCs w:val="24"/>
        </w:rPr>
        <w:footnoteReference w:id="5"/>
      </w:r>
      <w:r>
        <w:rPr>
          <w:color w:val="auto"/>
          <w:sz w:val="24"/>
          <w:szCs w:val="24"/>
        </w:rPr>
        <w:t xml:space="preserve"> The Committee </w:t>
      </w:r>
      <w:r w:rsidR="00272DB2">
        <w:rPr>
          <w:color w:val="auto"/>
          <w:sz w:val="24"/>
          <w:szCs w:val="24"/>
        </w:rPr>
        <w:t>recommended</w:t>
      </w:r>
      <w:r>
        <w:rPr>
          <w:color w:val="auto"/>
          <w:sz w:val="24"/>
          <w:szCs w:val="24"/>
        </w:rPr>
        <w:t xml:space="preserve"> that Ethiopia consider abolishing the death penalty and ensure that the death penalty, if it is imposed, </w:t>
      </w:r>
      <w:r w:rsidR="0078092B">
        <w:rPr>
          <w:color w:val="auto"/>
          <w:sz w:val="24"/>
          <w:szCs w:val="24"/>
        </w:rPr>
        <w:t xml:space="preserve">applies </w:t>
      </w:r>
      <w:r>
        <w:rPr>
          <w:color w:val="auto"/>
          <w:sz w:val="24"/>
          <w:szCs w:val="24"/>
        </w:rPr>
        <w:t xml:space="preserve">only </w:t>
      </w:r>
      <w:r w:rsidR="0078092B">
        <w:rPr>
          <w:color w:val="auto"/>
          <w:sz w:val="24"/>
          <w:szCs w:val="24"/>
        </w:rPr>
        <w:t xml:space="preserve">to </w:t>
      </w:r>
      <w:r>
        <w:rPr>
          <w:color w:val="auto"/>
          <w:sz w:val="24"/>
          <w:szCs w:val="24"/>
        </w:rPr>
        <w:t>the most serious crimes and in compliance with article 14 of the Covenant.</w:t>
      </w:r>
      <w:r w:rsidR="00B916B7" w:rsidRPr="00B916B7">
        <w:rPr>
          <w:rStyle w:val="FootnoteReference"/>
          <w:color w:val="auto"/>
          <w:sz w:val="24"/>
          <w:szCs w:val="24"/>
        </w:rPr>
        <w:t xml:space="preserve"> </w:t>
      </w:r>
      <w:r w:rsidR="00B916B7">
        <w:rPr>
          <w:rStyle w:val="FootnoteReference"/>
          <w:color w:val="auto"/>
          <w:sz w:val="24"/>
          <w:szCs w:val="24"/>
        </w:rPr>
        <w:footnoteReference w:id="6"/>
      </w:r>
      <w:r>
        <w:rPr>
          <w:color w:val="auto"/>
          <w:sz w:val="24"/>
          <w:szCs w:val="24"/>
        </w:rPr>
        <w:t xml:space="preserve"> </w:t>
      </w:r>
      <w:r w:rsidR="00B916B7">
        <w:rPr>
          <w:color w:val="auto"/>
          <w:sz w:val="24"/>
          <w:szCs w:val="24"/>
        </w:rPr>
        <w:t>In addition, the Committee expressed concern about report</w:t>
      </w:r>
      <w:r w:rsidR="0078092B">
        <w:rPr>
          <w:color w:val="auto"/>
          <w:sz w:val="24"/>
          <w:szCs w:val="24"/>
        </w:rPr>
        <w:t>ed</w:t>
      </w:r>
      <w:r w:rsidR="00B916B7">
        <w:rPr>
          <w:color w:val="auto"/>
          <w:sz w:val="24"/>
          <w:szCs w:val="24"/>
        </w:rPr>
        <w:t xml:space="preserve"> human rights violations in the Somali Regional State of Ethiopia and advised the Government of Ethiopia to take legislative action to ensure that its anti-terrorism legislation “</w:t>
      </w:r>
      <w:r w:rsidR="00B916B7" w:rsidRPr="00B916B7">
        <w:rPr>
          <w:color w:val="auto"/>
          <w:sz w:val="24"/>
          <w:szCs w:val="24"/>
          <w:lang w:val="en-GB"/>
        </w:rPr>
        <w:t>defines the nature of those acts with sufficient precision to enable individuals to regulate their conduct accordingly</w:t>
      </w:r>
      <w:r w:rsidR="00B916B7">
        <w:rPr>
          <w:color w:val="auto"/>
          <w:sz w:val="24"/>
          <w:szCs w:val="24"/>
          <w:lang w:val="en-GB"/>
        </w:rPr>
        <w:t>.”</w:t>
      </w:r>
      <w:r w:rsidR="00B916B7">
        <w:rPr>
          <w:rStyle w:val="FootnoteReference"/>
          <w:color w:val="auto"/>
          <w:sz w:val="24"/>
          <w:szCs w:val="24"/>
        </w:rPr>
        <w:footnoteReference w:id="7"/>
      </w:r>
    </w:p>
    <w:p w14:paraId="758FD80F" w14:textId="71FBB2F4" w:rsidR="009F528B" w:rsidRPr="00943DAE" w:rsidRDefault="009F528B" w:rsidP="00974E48">
      <w:pPr>
        <w:numPr>
          <w:ilvl w:val="0"/>
          <w:numId w:val="8"/>
        </w:numPr>
        <w:spacing w:after="120"/>
        <w:jc w:val="both"/>
        <w:rPr>
          <w:color w:val="auto"/>
          <w:sz w:val="24"/>
          <w:szCs w:val="24"/>
        </w:rPr>
      </w:pPr>
      <w:r>
        <w:rPr>
          <w:color w:val="auto"/>
          <w:sz w:val="24"/>
          <w:szCs w:val="24"/>
          <w:lang w:val="en-GB"/>
        </w:rPr>
        <w:t xml:space="preserve">In its </w:t>
      </w:r>
      <w:r w:rsidR="00560210">
        <w:rPr>
          <w:color w:val="auto"/>
          <w:sz w:val="24"/>
          <w:szCs w:val="24"/>
          <w:lang w:val="en-GB"/>
        </w:rPr>
        <w:t>Second Periodic</w:t>
      </w:r>
      <w:r w:rsidR="00336848">
        <w:rPr>
          <w:color w:val="auto"/>
          <w:sz w:val="24"/>
          <w:szCs w:val="24"/>
          <w:lang w:val="en-GB"/>
        </w:rPr>
        <w:t xml:space="preserve"> State Party</w:t>
      </w:r>
      <w:r w:rsidR="00560210">
        <w:rPr>
          <w:color w:val="auto"/>
          <w:sz w:val="24"/>
          <w:szCs w:val="24"/>
          <w:lang w:val="en-GB"/>
        </w:rPr>
        <w:t xml:space="preserve"> Report</w:t>
      </w:r>
      <w:r w:rsidR="00336848">
        <w:rPr>
          <w:color w:val="auto"/>
          <w:sz w:val="24"/>
          <w:szCs w:val="24"/>
          <w:lang w:val="en-GB"/>
        </w:rPr>
        <w:t xml:space="preserve">, </w:t>
      </w:r>
      <w:r w:rsidR="00A46A7C">
        <w:rPr>
          <w:color w:val="auto"/>
          <w:sz w:val="24"/>
          <w:szCs w:val="24"/>
          <w:lang w:val="en-GB"/>
        </w:rPr>
        <w:t xml:space="preserve">Ethiopia </w:t>
      </w:r>
      <w:r w:rsidR="00550D37">
        <w:rPr>
          <w:color w:val="auto"/>
          <w:sz w:val="24"/>
          <w:szCs w:val="24"/>
          <w:lang w:val="en-GB"/>
        </w:rPr>
        <w:t>notes</w:t>
      </w:r>
      <w:r w:rsidR="00A46A7C">
        <w:rPr>
          <w:color w:val="auto"/>
          <w:sz w:val="24"/>
          <w:szCs w:val="24"/>
          <w:lang w:val="en-GB"/>
        </w:rPr>
        <w:t xml:space="preserve"> that </w:t>
      </w:r>
      <w:r w:rsidR="0002136B">
        <w:rPr>
          <w:color w:val="auto"/>
          <w:sz w:val="24"/>
          <w:szCs w:val="24"/>
          <w:lang w:val="en-GB"/>
        </w:rPr>
        <w:t>it</w:t>
      </w:r>
      <w:r w:rsidR="00836E32">
        <w:rPr>
          <w:color w:val="auto"/>
          <w:sz w:val="24"/>
          <w:szCs w:val="24"/>
          <w:lang w:val="en-GB"/>
        </w:rPr>
        <w:t xml:space="preserve"> has </w:t>
      </w:r>
      <w:r w:rsidR="0002136B">
        <w:rPr>
          <w:color w:val="auto"/>
          <w:sz w:val="24"/>
          <w:szCs w:val="24"/>
          <w:lang w:val="en-GB"/>
        </w:rPr>
        <w:t>not conducted any</w:t>
      </w:r>
      <w:r w:rsidR="00836E32">
        <w:rPr>
          <w:color w:val="auto"/>
          <w:sz w:val="24"/>
          <w:szCs w:val="24"/>
          <w:lang w:val="en-GB"/>
        </w:rPr>
        <w:t xml:space="preserve"> executions during the reporting period, despite the sentencing of</w:t>
      </w:r>
      <w:r w:rsidR="00A46A7C">
        <w:rPr>
          <w:color w:val="auto"/>
          <w:sz w:val="24"/>
          <w:szCs w:val="24"/>
          <w:lang w:val="en-GB"/>
        </w:rPr>
        <w:t xml:space="preserve"> 211 </w:t>
      </w:r>
      <w:r w:rsidR="00836E32">
        <w:rPr>
          <w:color w:val="auto"/>
          <w:sz w:val="24"/>
          <w:szCs w:val="24"/>
          <w:lang w:val="en-GB"/>
        </w:rPr>
        <w:t>individuals</w:t>
      </w:r>
      <w:r w:rsidR="00A46A7C">
        <w:rPr>
          <w:color w:val="auto"/>
          <w:sz w:val="24"/>
          <w:szCs w:val="24"/>
          <w:lang w:val="en-GB"/>
        </w:rPr>
        <w:t xml:space="preserve"> to death by the courts </w:t>
      </w:r>
      <w:r w:rsidR="00AF10E7">
        <w:rPr>
          <w:color w:val="auto"/>
          <w:sz w:val="24"/>
          <w:szCs w:val="24"/>
          <w:lang w:val="en-GB"/>
        </w:rPr>
        <w:t xml:space="preserve">in the period </w:t>
      </w:r>
      <w:r w:rsidR="0002136B">
        <w:rPr>
          <w:color w:val="auto"/>
          <w:sz w:val="24"/>
          <w:szCs w:val="24"/>
          <w:lang w:val="en-GB"/>
        </w:rPr>
        <w:t xml:space="preserve">between </w:t>
      </w:r>
      <w:r w:rsidR="00AF10E7">
        <w:rPr>
          <w:color w:val="auto"/>
          <w:sz w:val="24"/>
          <w:szCs w:val="24"/>
          <w:lang w:val="en-GB"/>
        </w:rPr>
        <w:t xml:space="preserve">2009/2010 </w:t>
      </w:r>
      <w:r w:rsidR="0002136B">
        <w:rPr>
          <w:color w:val="auto"/>
          <w:sz w:val="24"/>
          <w:szCs w:val="24"/>
          <w:lang w:val="en-GB"/>
        </w:rPr>
        <w:t>and</w:t>
      </w:r>
      <w:r w:rsidR="00AF10E7">
        <w:rPr>
          <w:color w:val="auto"/>
          <w:sz w:val="24"/>
          <w:szCs w:val="24"/>
          <w:lang w:val="en-GB"/>
        </w:rPr>
        <w:t xml:space="preserve"> 2017/18</w:t>
      </w:r>
      <w:r w:rsidR="00836E32">
        <w:rPr>
          <w:color w:val="auto"/>
          <w:sz w:val="24"/>
          <w:szCs w:val="24"/>
          <w:lang w:val="en-GB"/>
        </w:rPr>
        <w:t>.</w:t>
      </w:r>
      <w:r w:rsidR="00836E32">
        <w:rPr>
          <w:rStyle w:val="FootnoteReference"/>
          <w:color w:val="auto"/>
          <w:sz w:val="24"/>
          <w:szCs w:val="24"/>
          <w:lang w:val="en-GB"/>
        </w:rPr>
        <w:footnoteReference w:id="8"/>
      </w:r>
      <w:r w:rsidR="00A66954">
        <w:rPr>
          <w:color w:val="auto"/>
          <w:sz w:val="24"/>
          <w:szCs w:val="24"/>
          <w:lang w:val="en-GB"/>
        </w:rPr>
        <w:t xml:space="preserve"> </w:t>
      </w:r>
      <w:r w:rsidR="00550D37">
        <w:rPr>
          <w:color w:val="auto"/>
          <w:sz w:val="24"/>
          <w:szCs w:val="24"/>
          <w:lang w:val="en-GB"/>
        </w:rPr>
        <w:t xml:space="preserve">Ethiopia also asserts that </w:t>
      </w:r>
      <w:r w:rsidR="0002136B">
        <w:rPr>
          <w:color w:val="auto"/>
          <w:sz w:val="24"/>
          <w:szCs w:val="24"/>
          <w:lang w:val="en-GB"/>
        </w:rPr>
        <w:t xml:space="preserve">it appropriately limits </w:t>
      </w:r>
      <w:r w:rsidR="00361919">
        <w:rPr>
          <w:color w:val="auto"/>
          <w:sz w:val="24"/>
          <w:szCs w:val="24"/>
          <w:lang w:val="en-GB"/>
        </w:rPr>
        <w:t>its use of the death penalty.</w:t>
      </w:r>
      <w:r w:rsidR="00361919">
        <w:rPr>
          <w:rStyle w:val="FootnoteReference"/>
          <w:color w:val="auto"/>
          <w:sz w:val="24"/>
          <w:szCs w:val="24"/>
          <w:lang w:val="en-GB"/>
        </w:rPr>
        <w:footnoteReference w:id="9"/>
      </w:r>
    </w:p>
    <w:p w14:paraId="7DF3366C" w14:textId="25C78A90" w:rsidR="00943DAE" w:rsidRPr="00943DAE" w:rsidRDefault="00943DAE" w:rsidP="00943DAE">
      <w:pPr>
        <w:numPr>
          <w:ilvl w:val="0"/>
          <w:numId w:val="8"/>
        </w:numPr>
        <w:spacing w:after="120"/>
        <w:jc w:val="both"/>
        <w:rPr>
          <w:color w:val="000000" w:themeColor="text1"/>
          <w:sz w:val="24"/>
          <w:szCs w:val="24"/>
        </w:rPr>
      </w:pPr>
      <w:r>
        <w:rPr>
          <w:color w:val="000000" w:themeColor="text1"/>
          <w:sz w:val="24"/>
          <w:szCs w:val="24"/>
        </w:rPr>
        <w:t>In its 2019 Universal Periodic Review, Ethiopia received 15 recommendations to ratify the Second Optional Protocol or adopt a de jure moratorium on the death penalty.</w:t>
      </w:r>
      <w:r>
        <w:rPr>
          <w:rStyle w:val="FootnoteReference"/>
          <w:color w:val="000000" w:themeColor="text1"/>
          <w:sz w:val="24"/>
          <w:szCs w:val="24"/>
        </w:rPr>
        <w:footnoteReference w:id="10"/>
      </w:r>
      <w:r>
        <w:rPr>
          <w:color w:val="000000" w:themeColor="text1"/>
          <w:sz w:val="24"/>
          <w:szCs w:val="24"/>
        </w:rPr>
        <w:t xml:space="preserve"> The State Party noted all such recommendations.</w:t>
      </w:r>
      <w:r w:rsidR="00AA2B84">
        <w:rPr>
          <w:rStyle w:val="FootnoteReference"/>
          <w:color w:val="000000" w:themeColor="text1"/>
          <w:sz w:val="24"/>
          <w:szCs w:val="24"/>
        </w:rPr>
        <w:footnoteReference w:id="11"/>
      </w:r>
    </w:p>
    <w:p w14:paraId="2E0F4B44" w14:textId="6783B44F" w:rsidR="00490D6A" w:rsidRDefault="00B916B7" w:rsidP="006173C3">
      <w:pPr>
        <w:numPr>
          <w:ilvl w:val="0"/>
          <w:numId w:val="8"/>
        </w:numPr>
        <w:spacing w:after="120"/>
        <w:jc w:val="both"/>
        <w:rPr>
          <w:color w:val="000000" w:themeColor="text1"/>
          <w:sz w:val="24"/>
          <w:szCs w:val="24"/>
        </w:rPr>
      </w:pPr>
      <w:r>
        <w:rPr>
          <w:color w:val="000000" w:themeColor="text1"/>
          <w:sz w:val="24"/>
          <w:szCs w:val="24"/>
        </w:rPr>
        <w:t xml:space="preserve">Ethiopia </w:t>
      </w:r>
      <w:r w:rsidR="0026048A">
        <w:rPr>
          <w:color w:val="000000" w:themeColor="text1"/>
          <w:sz w:val="24"/>
          <w:szCs w:val="24"/>
        </w:rPr>
        <w:t>seems to have</w:t>
      </w:r>
      <w:r w:rsidR="00CA1E8A">
        <w:rPr>
          <w:color w:val="000000" w:themeColor="text1"/>
          <w:sz w:val="24"/>
          <w:szCs w:val="24"/>
        </w:rPr>
        <w:t xml:space="preserve"> </w:t>
      </w:r>
      <w:r w:rsidR="00550D37">
        <w:rPr>
          <w:color w:val="000000" w:themeColor="text1"/>
          <w:sz w:val="24"/>
          <w:szCs w:val="24"/>
        </w:rPr>
        <w:t>observed</w:t>
      </w:r>
      <w:r>
        <w:rPr>
          <w:color w:val="000000" w:themeColor="text1"/>
          <w:sz w:val="24"/>
          <w:szCs w:val="24"/>
        </w:rPr>
        <w:t xml:space="preserve"> a de facto moratorium on </w:t>
      </w:r>
      <w:r w:rsidR="0026048A">
        <w:rPr>
          <w:color w:val="000000" w:themeColor="text1"/>
          <w:sz w:val="24"/>
          <w:szCs w:val="24"/>
        </w:rPr>
        <w:t>executions</w:t>
      </w:r>
      <w:r>
        <w:rPr>
          <w:color w:val="000000" w:themeColor="text1"/>
          <w:sz w:val="24"/>
          <w:szCs w:val="24"/>
        </w:rPr>
        <w:t xml:space="preserve"> since 2007, </w:t>
      </w:r>
      <w:r w:rsidR="009944DC">
        <w:rPr>
          <w:color w:val="000000" w:themeColor="text1"/>
          <w:sz w:val="24"/>
          <w:szCs w:val="24"/>
        </w:rPr>
        <w:t>the year of the last reported execution</w:t>
      </w:r>
      <w:r>
        <w:rPr>
          <w:color w:val="000000" w:themeColor="text1"/>
          <w:sz w:val="24"/>
          <w:szCs w:val="24"/>
        </w:rPr>
        <w:t>.</w:t>
      </w:r>
      <w:r w:rsidR="006173C3">
        <w:rPr>
          <w:rStyle w:val="FootnoteReference"/>
          <w:color w:val="000000" w:themeColor="text1"/>
          <w:sz w:val="24"/>
          <w:szCs w:val="24"/>
        </w:rPr>
        <w:footnoteReference w:id="12"/>
      </w:r>
      <w:r>
        <w:rPr>
          <w:color w:val="000000" w:themeColor="text1"/>
          <w:sz w:val="24"/>
          <w:szCs w:val="24"/>
        </w:rPr>
        <w:t xml:space="preserve"> </w:t>
      </w:r>
      <w:r w:rsidR="006173C3">
        <w:rPr>
          <w:color w:val="000000" w:themeColor="text1"/>
          <w:sz w:val="24"/>
          <w:szCs w:val="24"/>
        </w:rPr>
        <w:t xml:space="preserve">The Penal Code leaves the method of execution </w:t>
      </w:r>
      <w:r w:rsidR="009944DC">
        <w:rPr>
          <w:color w:val="000000" w:themeColor="text1"/>
          <w:sz w:val="24"/>
          <w:szCs w:val="24"/>
        </w:rPr>
        <w:t xml:space="preserve">to </w:t>
      </w:r>
      <w:r w:rsidR="006173C3">
        <w:rPr>
          <w:color w:val="000000" w:themeColor="text1"/>
          <w:sz w:val="24"/>
          <w:szCs w:val="24"/>
        </w:rPr>
        <w:t xml:space="preserve">the discretion of the </w:t>
      </w:r>
      <w:r w:rsidR="0098586E">
        <w:rPr>
          <w:color w:val="000000" w:themeColor="text1"/>
          <w:sz w:val="24"/>
          <w:szCs w:val="24"/>
        </w:rPr>
        <w:t xml:space="preserve">applicable </w:t>
      </w:r>
      <w:r w:rsidR="006173C3">
        <w:rPr>
          <w:color w:val="000000" w:themeColor="text1"/>
          <w:sz w:val="24"/>
          <w:szCs w:val="24"/>
        </w:rPr>
        <w:t>Federal or Regional prison administration.</w:t>
      </w:r>
      <w:r w:rsidR="006173C3">
        <w:rPr>
          <w:rStyle w:val="FootnoteReference"/>
          <w:color w:val="000000" w:themeColor="text1"/>
          <w:sz w:val="24"/>
          <w:szCs w:val="24"/>
        </w:rPr>
        <w:footnoteReference w:id="13"/>
      </w:r>
      <w:r w:rsidR="00C33C45">
        <w:rPr>
          <w:color w:val="000000" w:themeColor="text1"/>
          <w:sz w:val="24"/>
          <w:szCs w:val="24"/>
        </w:rPr>
        <w:t xml:space="preserve"> </w:t>
      </w:r>
      <w:r w:rsidR="00BB33E8">
        <w:rPr>
          <w:color w:val="000000" w:themeColor="text1"/>
          <w:sz w:val="24"/>
          <w:szCs w:val="24"/>
        </w:rPr>
        <w:t>Based on</w:t>
      </w:r>
      <w:r w:rsidR="00C33C45">
        <w:rPr>
          <w:color w:val="000000" w:themeColor="text1"/>
          <w:sz w:val="24"/>
          <w:szCs w:val="24"/>
        </w:rPr>
        <w:t xml:space="preserve"> </w:t>
      </w:r>
      <w:r w:rsidR="00CC733C">
        <w:rPr>
          <w:color w:val="000000" w:themeColor="text1"/>
          <w:sz w:val="24"/>
          <w:szCs w:val="24"/>
        </w:rPr>
        <w:t>Amnesty International</w:t>
      </w:r>
      <w:r w:rsidR="00BB33E8">
        <w:rPr>
          <w:color w:val="000000" w:themeColor="text1"/>
          <w:sz w:val="24"/>
          <w:szCs w:val="24"/>
        </w:rPr>
        <w:t>’s</w:t>
      </w:r>
      <w:r w:rsidR="0002136B">
        <w:rPr>
          <w:color w:val="000000" w:themeColor="text1"/>
          <w:sz w:val="24"/>
          <w:szCs w:val="24"/>
        </w:rPr>
        <w:t xml:space="preserve"> reports</w:t>
      </w:r>
      <w:r w:rsidR="00C33C45">
        <w:rPr>
          <w:color w:val="000000" w:themeColor="text1"/>
          <w:sz w:val="24"/>
          <w:szCs w:val="24"/>
        </w:rPr>
        <w:t xml:space="preserve">, there were likely 10 people </w:t>
      </w:r>
      <w:r w:rsidR="0002136B">
        <w:rPr>
          <w:color w:val="000000" w:themeColor="text1"/>
          <w:sz w:val="24"/>
          <w:szCs w:val="24"/>
        </w:rPr>
        <w:t xml:space="preserve">under sentence of </w:t>
      </w:r>
      <w:r w:rsidR="00C33C45">
        <w:rPr>
          <w:color w:val="000000" w:themeColor="text1"/>
          <w:sz w:val="24"/>
          <w:szCs w:val="24"/>
        </w:rPr>
        <w:t>death as of 2019.</w:t>
      </w:r>
      <w:r w:rsidR="00C33C45">
        <w:rPr>
          <w:rStyle w:val="FootnoteReference"/>
          <w:color w:val="000000" w:themeColor="text1"/>
          <w:sz w:val="24"/>
          <w:szCs w:val="24"/>
        </w:rPr>
        <w:footnoteReference w:id="14"/>
      </w:r>
    </w:p>
    <w:p w14:paraId="62C91895" w14:textId="43ED626C" w:rsidR="003A27ED" w:rsidRPr="003359D5" w:rsidRDefault="003A27ED" w:rsidP="003359D5">
      <w:pPr>
        <w:numPr>
          <w:ilvl w:val="0"/>
          <w:numId w:val="8"/>
        </w:numPr>
        <w:spacing w:after="120"/>
        <w:jc w:val="both"/>
        <w:rPr>
          <w:color w:val="000000" w:themeColor="text1"/>
          <w:sz w:val="24"/>
          <w:szCs w:val="24"/>
        </w:rPr>
      </w:pPr>
      <w:r w:rsidRPr="00602475">
        <w:rPr>
          <w:color w:val="000000" w:themeColor="text1"/>
          <w:sz w:val="24"/>
          <w:szCs w:val="24"/>
        </w:rPr>
        <w:t xml:space="preserve">Ethiopia maintains the death penalty as an eligible punishment for </w:t>
      </w:r>
      <w:r w:rsidR="002234B9" w:rsidRPr="00602475">
        <w:rPr>
          <w:color w:val="000000" w:themeColor="text1"/>
          <w:sz w:val="24"/>
          <w:szCs w:val="24"/>
        </w:rPr>
        <w:t xml:space="preserve">many </w:t>
      </w:r>
      <w:r w:rsidRPr="00602475">
        <w:rPr>
          <w:color w:val="000000" w:themeColor="text1"/>
          <w:sz w:val="24"/>
          <w:szCs w:val="24"/>
        </w:rPr>
        <w:t>crimes, including offenses</w:t>
      </w:r>
      <w:r w:rsidR="00E81E80" w:rsidRPr="00602475">
        <w:rPr>
          <w:color w:val="000000" w:themeColor="text1"/>
          <w:sz w:val="24"/>
          <w:szCs w:val="24"/>
        </w:rPr>
        <w:t xml:space="preserve"> that do not </w:t>
      </w:r>
      <w:r w:rsidRPr="00602475">
        <w:rPr>
          <w:color w:val="000000" w:themeColor="text1"/>
          <w:sz w:val="24"/>
          <w:szCs w:val="24"/>
        </w:rPr>
        <w:t>constitute “most serious crimes.”</w:t>
      </w:r>
      <w:r w:rsidR="00C33C45" w:rsidRPr="00602475">
        <w:rPr>
          <w:color w:val="000000" w:themeColor="text1"/>
          <w:sz w:val="24"/>
          <w:szCs w:val="24"/>
        </w:rPr>
        <w:t xml:space="preserve"> </w:t>
      </w:r>
      <w:r w:rsidR="005B545D">
        <w:rPr>
          <w:color w:val="000000" w:themeColor="text1"/>
          <w:sz w:val="24"/>
          <w:szCs w:val="24"/>
        </w:rPr>
        <w:t xml:space="preserve">In March 2020, </w:t>
      </w:r>
      <w:r w:rsidR="000140BA">
        <w:rPr>
          <w:color w:val="000000" w:themeColor="text1"/>
          <w:sz w:val="24"/>
          <w:szCs w:val="24"/>
        </w:rPr>
        <w:t xml:space="preserve">Ethiopia </w:t>
      </w:r>
      <w:r w:rsidR="00E546AF">
        <w:rPr>
          <w:color w:val="000000" w:themeColor="text1"/>
          <w:sz w:val="24"/>
          <w:szCs w:val="24"/>
        </w:rPr>
        <w:t xml:space="preserve">adopted </w:t>
      </w:r>
      <w:r w:rsidR="00286564">
        <w:rPr>
          <w:color w:val="000000" w:themeColor="text1"/>
          <w:sz w:val="24"/>
          <w:szCs w:val="24"/>
        </w:rPr>
        <w:t xml:space="preserve">the </w:t>
      </w:r>
      <w:r w:rsidR="00286564" w:rsidRPr="00286564">
        <w:rPr>
          <w:color w:val="000000" w:themeColor="text1"/>
          <w:sz w:val="24"/>
          <w:szCs w:val="24"/>
        </w:rPr>
        <w:t>Prevention and Suppression of Terrorism Crimes Proclamation</w:t>
      </w:r>
      <w:r w:rsidR="00286564">
        <w:rPr>
          <w:color w:val="000000" w:themeColor="text1"/>
          <w:sz w:val="24"/>
          <w:szCs w:val="24"/>
        </w:rPr>
        <w:t xml:space="preserve"> No. 1176/2020</w:t>
      </w:r>
      <w:r w:rsidR="003359D5">
        <w:rPr>
          <w:color w:val="000000" w:themeColor="text1"/>
          <w:sz w:val="24"/>
          <w:szCs w:val="24"/>
        </w:rPr>
        <w:t xml:space="preserve"> to replace the </w:t>
      </w:r>
      <w:r w:rsidR="005B545D" w:rsidRPr="003359D5">
        <w:rPr>
          <w:color w:val="000000" w:themeColor="text1"/>
          <w:sz w:val="24"/>
          <w:szCs w:val="24"/>
        </w:rPr>
        <w:t>controversial</w:t>
      </w:r>
      <w:r w:rsidR="00E546AF" w:rsidRPr="003359D5">
        <w:rPr>
          <w:color w:val="000000" w:themeColor="text1"/>
          <w:sz w:val="24"/>
          <w:szCs w:val="24"/>
        </w:rPr>
        <w:t xml:space="preserve"> </w:t>
      </w:r>
      <w:r w:rsidRPr="003359D5">
        <w:rPr>
          <w:color w:val="000000" w:themeColor="text1"/>
          <w:sz w:val="24"/>
          <w:szCs w:val="24"/>
        </w:rPr>
        <w:t>Anti-Terrorism Proclamation</w:t>
      </w:r>
      <w:r w:rsidR="00C33C45" w:rsidRPr="003359D5">
        <w:rPr>
          <w:color w:val="000000" w:themeColor="text1"/>
          <w:sz w:val="24"/>
          <w:szCs w:val="24"/>
        </w:rPr>
        <w:t xml:space="preserve">, </w:t>
      </w:r>
      <w:r w:rsidR="005B545D" w:rsidRPr="003359D5">
        <w:rPr>
          <w:color w:val="000000" w:themeColor="text1"/>
          <w:sz w:val="24"/>
          <w:szCs w:val="24"/>
        </w:rPr>
        <w:t>which</w:t>
      </w:r>
      <w:r w:rsidRPr="003359D5">
        <w:rPr>
          <w:color w:val="000000" w:themeColor="text1"/>
          <w:sz w:val="24"/>
          <w:szCs w:val="24"/>
        </w:rPr>
        <w:t xml:space="preserve"> criminalize</w:t>
      </w:r>
      <w:r w:rsidR="005B545D" w:rsidRPr="003359D5">
        <w:rPr>
          <w:color w:val="000000" w:themeColor="text1"/>
          <w:sz w:val="24"/>
          <w:szCs w:val="24"/>
        </w:rPr>
        <w:t>d</w:t>
      </w:r>
      <w:r w:rsidRPr="003359D5">
        <w:rPr>
          <w:color w:val="000000" w:themeColor="text1"/>
          <w:sz w:val="24"/>
          <w:szCs w:val="24"/>
        </w:rPr>
        <w:t xml:space="preserve"> and </w:t>
      </w:r>
      <w:r w:rsidR="00B73FD2" w:rsidRPr="003359D5">
        <w:rPr>
          <w:color w:val="000000" w:themeColor="text1"/>
          <w:sz w:val="24"/>
          <w:szCs w:val="24"/>
        </w:rPr>
        <w:t>made</w:t>
      </w:r>
      <w:r w:rsidRPr="003359D5">
        <w:rPr>
          <w:color w:val="000000" w:themeColor="text1"/>
          <w:sz w:val="24"/>
          <w:szCs w:val="24"/>
        </w:rPr>
        <w:t xml:space="preserve"> punishable </w:t>
      </w:r>
      <w:r w:rsidR="00C33C45" w:rsidRPr="003359D5">
        <w:rPr>
          <w:color w:val="000000" w:themeColor="text1"/>
          <w:sz w:val="24"/>
          <w:szCs w:val="24"/>
        </w:rPr>
        <w:t>by</w:t>
      </w:r>
      <w:r w:rsidRPr="003359D5">
        <w:rPr>
          <w:color w:val="000000" w:themeColor="text1"/>
          <w:sz w:val="24"/>
          <w:szCs w:val="24"/>
        </w:rPr>
        <w:t xml:space="preserve"> death</w:t>
      </w:r>
      <w:r w:rsidR="00B73FD2" w:rsidRPr="003359D5">
        <w:rPr>
          <w:color w:val="000000" w:themeColor="text1"/>
          <w:sz w:val="24"/>
          <w:szCs w:val="24"/>
        </w:rPr>
        <w:t xml:space="preserve"> </w:t>
      </w:r>
      <w:r w:rsidR="00B73FD2" w:rsidRPr="003359D5">
        <w:rPr>
          <w:i/>
          <w:iCs/>
          <w:color w:val="000000" w:themeColor="text1"/>
          <w:sz w:val="24"/>
          <w:szCs w:val="24"/>
        </w:rPr>
        <w:t xml:space="preserve">inter alia </w:t>
      </w:r>
      <w:r w:rsidR="00C33C45" w:rsidRPr="003359D5">
        <w:rPr>
          <w:color w:val="000000" w:themeColor="text1"/>
          <w:sz w:val="24"/>
          <w:szCs w:val="24"/>
        </w:rPr>
        <w:t>“caus[ing] serious damage to property</w:t>
      </w:r>
      <w:r w:rsidR="00E81E80" w:rsidRPr="003359D5">
        <w:rPr>
          <w:color w:val="000000" w:themeColor="text1"/>
          <w:sz w:val="24"/>
          <w:szCs w:val="24"/>
        </w:rPr>
        <w:t>,</w:t>
      </w:r>
      <w:r w:rsidR="00C33C45" w:rsidRPr="003359D5">
        <w:rPr>
          <w:color w:val="000000" w:themeColor="text1"/>
          <w:sz w:val="24"/>
          <w:szCs w:val="24"/>
        </w:rPr>
        <w:t>” caus[ing] damage to natural resource, environment, historical, or cultural heritages</w:t>
      </w:r>
      <w:r w:rsidR="00B91982" w:rsidRPr="003359D5">
        <w:rPr>
          <w:color w:val="000000" w:themeColor="text1"/>
          <w:sz w:val="24"/>
          <w:szCs w:val="24"/>
        </w:rPr>
        <w:t>,</w:t>
      </w:r>
      <w:r w:rsidR="00C33C45" w:rsidRPr="003359D5">
        <w:rPr>
          <w:color w:val="000000" w:themeColor="text1"/>
          <w:sz w:val="24"/>
          <w:szCs w:val="24"/>
        </w:rPr>
        <w:t xml:space="preserve">” </w:t>
      </w:r>
      <w:r w:rsidR="003460E9" w:rsidRPr="003359D5">
        <w:rPr>
          <w:color w:val="000000" w:themeColor="text1"/>
          <w:sz w:val="24"/>
          <w:szCs w:val="24"/>
        </w:rPr>
        <w:t xml:space="preserve">or </w:t>
      </w:r>
      <w:r w:rsidR="00C33C45" w:rsidRPr="003359D5">
        <w:rPr>
          <w:color w:val="000000" w:themeColor="text1"/>
          <w:sz w:val="24"/>
          <w:szCs w:val="24"/>
        </w:rPr>
        <w:t>“endanger[ing], seiz[ing] or put[ting] under control, caus[ing] serious interference or disruption of any public service</w:t>
      </w:r>
      <w:r w:rsidR="00B91982" w:rsidRPr="003359D5">
        <w:rPr>
          <w:color w:val="000000" w:themeColor="text1"/>
          <w:sz w:val="24"/>
          <w:szCs w:val="24"/>
        </w:rPr>
        <w:t>.</w:t>
      </w:r>
      <w:r w:rsidR="00C33C45" w:rsidRPr="003359D5">
        <w:rPr>
          <w:color w:val="000000" w:themeColor="text1"/>
          <w:sz w:val="24"/>
          <w:szCs w:val="24"/>
        </w:rPr>
        <w:t>”</w:t>
      </w:r>
      <w:r w:rsidR="00C33C45" w:rsidRPr="00602475">
        <w:rPr>
          <w:rStyle w:val="FootnoteReference"/>
          <w:color w:val="000000" w:themeColor="text1"/>
          <w:sz w:val="24"/>
          <w:szCs w:val="24"/>
        </w:rPr>
        <w:footnoteReference w:id="15"/>
      </w:r>
      <w:r w:rsidR="00C33C45" w:rsidRPr="003359D5">
        <w:rPr>
          <w:color w:val="000000" w:themeColor="text1"/>
          <w:sz w:val="24"/>
          <w:szCs w:val="24"/>
        </w:rPr>
        <w:t xml:space="preserve"> </w:t>
      </w:r>
      <w:r w:rsidR="00286564" w:rsidRPr="003359D5">
        <w:rPr>
          <w:color w:val="000000" w:themeColor="text1"/>
          <w:sz w:val="24"/>
          <w:szCs w:val="24"/>
        </w:rPr>
        <w:t xml:space="preserve">The </w:t>
      </w:r>
      <w:r w:rsidR="003359D5">
        <w:rPr>
          <w:color w:val="000000" w:themeColor="text1"/>
          <w:sz w:val="24"/>
          <w:szCs w:val="24"/>
        </w:rPr>
        <w:t xml:space="preserve">Prevention </w:t>
      </w:r>
      <w:r w:rsidR="00E8366A">
        <w:rPr>
          <w:color w:val="000000" w:themeColor="text1"/>
          <w:sz w:val="24"/>
          <w:szCs w:val="24"/>
        </w:rPr>
        <w:t xml:space="preserve">and Suppression of Terrorism Crimes Proclamation </w:t>
      </w:r>
      <w:r w:rsidR="00DC2806">
        <w:rPr>
          <w:color w:val="000000" w:themeColor="text1"/>
          <w:sz w:val="24"/>
          <w:szCs w:val="24"/>
        </w:rPr>
        <w:t>criminalizes and makes punishable by death similar categories</w:t>
      </w:r>
      <w:r w:rsidR="005E5B2C">
        <w:rPr>
          <w:color w:val="000000" w:themeColor="text1"/>
          <w:sz w:val="24"/>
          <w:szCs w:val="24"/>
        </w:rPr>
        <w:t xml:space="preserve"> of non-violent crime</w:t>
      </w:r>
      <w:r w:rsidR="00DC2806">
        <w:rPr>
          <w:color w:val="000000" w:themeColor="text1"/>
          <w:sz w:val="24"/>
          <w:szCs w:val="24"/>
        </w:rPr>
        <w:t xml:space="preserve">, however, including </w:t>
      </w:r>
      <w:r w:rsidR="009D4931">
        <w:rPr>
          <w:color w:val="000000" w:themeColor="text1"/>
          <w:sz w:val="24"/>
          <w:szCs w:val="24"/>
        </w:rPr>
        <w:t>“caus[ing] damage to property, natural resource or environment” and “causing serious damage to historical or cultural heritages or infrastructure or property or natural resource environment.”</w:t>
      </w:r>
      <w:r w:rsidR="009D4931">
        <w:rPr>
          <w:rStyle w:val="FootnoteReference"/>
          <w:color w:val="000000" w:themeColor="text1"/>
          <w:sz w:val="24"/>
          <w:szCs w:val="24"/>
        </w:rPr>
        <w:footnoteReference w:id="16"/>
      </w:r>
    </w:p>
    <w:p w14:paraId="2FFFD340" w14:textId="43DBE7EF" w:rsidR="00C33C45" w:rsidRDefault="00C33C45" w:rsidP="00C33C45">
      <w:pPr>
        <w:numPr>
          <w:ilvl w:val="0"/>
          <w:numId w:val="8"/>
        </w:numPr>
        <w:spacing w:after="120"/>
        <w:jc w:val="both"/>
        <w:rPr>
          <w:color w:val="000000" w:themeColor="text1"/>
          <w:sz w:val="24"/>
          <w:szCs w:val="24"/>
        </w:rPr>
      </w:pPr>
      <w:r>
        <w:rPr>
          <w:color w:val="000000" w:themeColor="text1"/>
          <w:sz w:val="24"/>
          <w:szCs w:val="24"/>
        </w:rPr>
        <w:t xml:space="preserve">The adoption of the Prevention and Suppression of Trafficking in Persons and Smuggling of Migrants Proclamation in 2015 makes participation, even </w:t>
      </w:r>
      <w:r w:rsidR="00432D39">
        <w:rPr>
          <w:color w:val="000000" w:themeColor="text1"/>
          <w:sz w:val="24"/>
          <w:szCs w:val="24"/>
        </w:rPr>
        <w:t>“as being a member, a leader or coordinator of an organized criminal group or where the crime is committed in large scale,”</w:t>
      </w:r>
      <w:r>
        <w:rPr>
          <w:color w:val="000000" w:themeColor="text1"/>
          <w:sz w:val="24"/>
          <w:szCs w:val="24"/>
        </w:rPr>
        <w:t xml:space="preserve"> in any offense stipulated under Articles 3 and 5 of the proclamation that results in “sever</w:t>
      </w:r>
      <w:r w:rsidR="00E2173D">
        <w:rPr>
          <w:color w:val="000000" w:themeColor="text1"/>
          <w:sz w:val="24"/>
          <w:szCs w:val="24"/>
        </w:rPr>
        <w:t>e</w:t>
      </w:r>
      <w:r>
        <w:rPr>
          <w:color w:val="000000" w:themeColor="text1"/>
          <w:sz w:val="24"/>
          <w:szCs w:val="24"/>
        </w:rPr>
        <w:t xml:space="preserve"> bodily injury or death to the victim”</w:t>
      </w:r>
      <w:r w:rsidR="00432D39">
        <w:rPr>
          <w:color w:val="000000" w:themeColor="text1"/>
          <w:sz w:val="24"/>
          <w:szCs w:val="24"/>
        </w:rPr>
        <w:t xml:space="preserve"> punishable by death.</w:t>
      </w:r>
      <w:r w:rsidR="00432D39">
        <w:rPr>
          <w:rStyle w:val="FootnoteReference"/>
          <w:color w:val="000000" w:themeColor="text1"/>
          <w:sz w:val="24"/>
          <w:szCs w:val="24"/>
        </w:rPr>
        <w:footnoteReference w:id="17"/>
      </w:r>
    </w:p>
    <w:p w14:paraId="4CC548CC" w14:textId="57E674DA" w:rsidR="004B1E4E" w:rsidRDefault="00327346" w:rsidP="29A683AB">
      <w:pPr>
        <w:keepNext/>
        <w:numPr>
          <w:ilvl w:val="0"/>
          <w:numId w:val="9"/>
        </w:numPr>
        <w:spacing w:before="240" w:after="120"/>
        <w:ind w:left="720" w:hanging="360"/>
        <w:rPr>
          <w:b/>
          <w:bCs/>
          <w:color w:val="auto"/>
          <w:sz w:val="24"/>
          <w:szCs w:val="24"/>
        </w:rPr>
      </w:pPr>
      <w:r>
        <w:rPr>
          <w:b/>
          <w:bCs/>
          <w:color w:val="auto"/>
          <w:sz w:val="24"/>
          <w:szCs w:val="24"/>
        </w:rPr>
        <w:t>The State subjects people suspected of crimes and convicted of crimes to torture and other cruel, inhuman, or degrading treatment</w:t>
      </w:r>
      <w:r w:rsidR="00432D39">
        <w:rPr>
          <w:b/>
          <w:bCs/>
          <w:color w:val="auto"/>
          <w:sz w:val="24"/>
          <w:szCs w:val="24"/>
        </w:rPr>
        <w:t xml:space="preserve">. </w:t>
      </w:r>
    </w:p>
    <w:p w14:paraId="2B9444D4" w14:textId="1E35CF44" w:rsidR="007B26B3" w:rsidRDefault="007B26B3" w:rsidP="009E4A6E">
      <w:pPr>
        <w:numPr>
          <w:ilvl w:val="0"/>
          <w:numId w:val="8"/>
        </w:numPr>
        <w:spacing w:after="120"/>
        <w:jc w:val="both"/>
        <w:rPr>
          <w:color w:val="000000" w:themeColor="text1"/>
          <w:sz w:val="24"/>
          <w:szCs w:val="24"/>
        </w:rPr>
      </w:pPr>
      <w:r>
        <w:rPr>
          <w:color w:val="000000" w:themeColor="text1"/>
          <w:sz w:val="24"/>
          <w:szCs w:val="24"/>
        </w:rPr>
        <w:t xml:space="preserve">In its 2011 Concluding Observations, </w:t>
      </w:r>
      <w:r w:rsidR="006834EF">
        <w:rPr>
          <w:color w:val="000000" w:themeColor="text1"/>
          <w:sz w:val="24"/>
          <w:szCs w:val="24"/>
        </w:rPr>
        <w:t>the Human Rights Committee</w:t>
      </w:r>
      <w:r w:rsidR="00142F2B">
        <w:rPr>
          <w:color w:val="000000" w:themeColor="text1"/>
          <w:sz w:val="24"/>
          <w:szCs w:val="24"/>
        </w:rPr>
        <w:t xml:space="preserve"> expressed concern </w:t>
      </w:r>
      <w:r w:rsidR="0053348A">
        <w:rPr>
          <w:color w:val="000000" w:themeColor="text1"/>
          <w:sz w:val="24"/>
          <w:szCs w:val="24"/>
        </w:rPr>
        <w:t xml:space="preserve">about the reports of </w:t>
      </w:r>
      <w:r w:rsidR="0013418D">
        <w:rPr>
          <w:color w:val="000000" w:themeColor="text1"/>
          <w:sz w:val="24"/>
          <w:szCs w:val="24"/>
        </w:rPr>
        <w:t xml:space="preserve">torture </w:t>
      </w:r>
      <w:r w:rsidR="00FC5598">
        <w:rPr>
          <w:color w:val="000000" w:themeColor="text1"/>
          <w:sz w:val="24"/>
          <w:szCs w:val="24"/>
        </w:rPr>
        <w:t xml:space="preserve">of </w:t>
      </w:r>
      <w:r w:rsidR="0013418D">
        <w:rPr>
          <w:color w:val="000000" w:themeColor="text1"/>
          <w:sz w:val="24"/>
          <w:szCs w:val="24"/>
        </w:rPr>
        <w:t xml:space="preserve">individuals </w:t>
      </w:r>
      <w:r w:rsidR="00FC5598">
        <w:rPr>
          <w:color w:val="000000" w:themeColor="text1"/>
          <w:sz w:val="24"/>
          <w:szCs w:val="24"/>
        </w:rPr>
        <w:t xml:space="preserve">detained </w:t>
      </w:r>
      <w:r w:rsidR="00BF4A94">
        <w:rPr>
          <w:color w:val="000000" w:themeColor="text1"/>
          <w:sz w:val="24"/>
          <w:szCs w:val="24"/>
        </w:rPr>
        <w:t>in the Somali and Or</w:t>
      </w:r>
      <w:r w:rsidR="00B65CFC">
        <w:rPr>
          <w:color w:val="000000" w:themeColor="text1"/>
          <w:sz w:val="24"/>
          <w:szCs w:val="24"/>
        </w:rPr>
        <w:t>omia Regional States</w:t>
      </w:r>
      <w:r w:rsidR="00C36D55">
        <w:rPr>
          <w:color w:val="000000" w:themeColor="text1"/>
          <w:sz w:val="24"/>
          <w:szCs w:val="24"/>
        </w:rPr>
        <w:t>.</w:t>
      </w:r>
      <w:r w:rsidR="00424C10">
        <w:rPr>
          <w:rStyle w:val="FootnoteReference"/>
          <w:color w:val="000000" w:themeColor="text1"/>
          <w:sz w:val="24"/>
          <w:szCs w:val="24"/>
        </w:rPr>
        <w:footnoteReference w:id="18"/>
      </w:r>
      <w:r w:rsidR="00D70DC1">
        <w:rPr>
          <w:color w:val="000000" w:themeColor="text1"/>
          <w:sz w:val="24"/>
          <w:szCs w:val="24"/>
        </w:rPr>
        <w:t xml:space="preserve"> </w:t>
      </w:r>
      <w:r w:rsidR="00B65CFC">
        <w:rPr>
          <w:color w:val="000000" w:themeColor="text1"/>
          <w:sz w:val="24"/>
          <w:szCs w:val="24"/>
        </w:rPr>
        <w:t xml:space="preserve">The Committee also recommended that the State </w:t>
      </w:r>
      <w:r w:rsidR="00FC5598">
        <w:rPr>
          <w:color w:val="000000" w:themeColor="text1"/>
          <w:sz w:val="24"/>
          <w:szCs w:val="24"/>
        </w:rPr>
        <w:t>P</w:t>
      </w:r>
      <w:r w:rsidR="00B65CFC">
        <w:rPr>
          <w:color w:val="000000" w:themeColor="text1"/>
          <w:sz w:val="24"/>
          <w:szCs w:val="24"/>
        </w:rPr>
        <w:t>arty guarantee the investigation and subsequent prosecution of all allegations of torture</w:t>
      </w:r>
      <w:r w:rsidR="000A72BA">
        <w:rPr>
          <w:color w:val="000000" w:themeColor="text1"/>
          <w:sz w:val="24"/>
          <w:szCs w:val="24"/>
        </w:rPr>
        <w:t>.</w:t>
      </w:r>
      <w:r w:rsidR="000A72BA">
        <w:rPr>
          <w:rStyle w:val="FootnoteReference"/>
          <w:color w:val="000000" w:themeColor="text1"/>
          <w:sz w:val="24"/>
          <w:szCs w:val="24"/>
        </w:rPr>
        <w:footnoteReference w:id="19"/>
      </w:r>
      <w:r w:rsidR="000A72BA">
        <w:rPr>
          <w:color w:val="000000" w:themeColor="text1"/>
          <w:sz w:val="24"/>
          <w:szCs w:val="24"/>
        </w:rPr>
        <w:t xml:space="preserve"> The Committee followed this recommendation with a request that the Government of Ethiopia provide disaggregated data on all allegations of torture.</w:t>
      </w:r>
      <w:r w:rsidR="000A72BA">
        <w:rPr>
          <w:rStyle w:val="FootnoteReference"/>
          <w:color w:val="000000" w:themeColor="text1"/>
          <w:sz w:val="24"/>
          <w:szCs w:val="24"/>
        </w:rPr>
        <w:footnoteReference w:id="20"/>
      </w:r>
    </w:p>
    <w:p w14:paraId="550FB1A3" w14:textId="7C4EF3AE" w:rsidR="009E4A6E" w:rsidRPr="009E4A6E" w:rsidRDefault="007A6E12" w:rsidP="009E4A6E">
      <w:pPr>
        <w:numPr>
          <w:ilvl w:val="0"/>
          <w:numId w:val="8"/>
        </w:numPr>
        <w:spacing w:after="120"/>
        <w:jc w:val="both"/>
        <w:rPr>
          <w:color w:val="000000" w:themeColor="text1"/>
          <w:sz w:val="24"/>
          <w:szCs w:val="24"/>
        </w:rPr>
      </w:pPr>
      <w:r>
        <w:rPr>
          <w:color w:val="000000" w:themeColor="text1"/>
          <w:sz w:val="24"/>
          <w:szCs w:val="24"/>
        </w:rPr>
        <w:t>In its State Party Report, the Government of Ethiopia stated that “[t]</w:t>
      </w:r>
      <w:r w:rsidRPr="007A6E12">
        <w:rPr>
          <w:color w:val="000000" w:themeColor="text1"/>
          <w:sz w:val="24"/>
          <w:szCs w:val="24"/>
        </w:rPr>
        <w:t>he prevention of acts of torture, cruel, or degrading treatment and ensuring</w:t>
      </w:r>
      <w:r>
        <w:rPr>
          <w:color w:val="000000" w:themeColor="text1"/>
          <w:sz w:val="24"/>
          <w:szCs w:val="24"/>
        </w:rPr>
        <w:t xml:space="preserve"> </w:t>
      </w:r>
      <w:r w:rsidRPr="007A6E12">
        <w:rPr>
          <w:color w:val="000000" w:themeColor="text1"/>
          <w:sz w:val="24"/>
          <w:szCs w:val="24"/>
        </w:rPr>
        <w:t>accountability constitute the core of the on-going political reforms.</w:t>
      </w:r>
      <w:r>
        <w:rPr>
          <w:color w:val="000000" w:themeColor="text1"/>
          <w:sz w:val="24"/>
          <w:szCs w:val="24"/>
        </w:rPr>
        <w:t>”</w:t>
      </w:r>
      <w:r>
        <w:rPr>
          <w:rStyle w:val="FootnoteReference"/>
          <w:color w:val="000000" w:themeColor="text1"/>
          <w:sz w:val="24"/>
          <w:szCs w:val="24"/>
        </w:rPr>
        <w:footnoteReference w:id="21"/>
      </w:r>
      <w:r>
        <w:rPr>
          <w:color w:val="000000" w:themeColor="text1"/>
          <w:sz w:val="24"/>
          <w:szCs w:val="24"/>
        </w:rPr>
        <w:t xml:space="preserve"> Ethiopia further </w:t>
      </w:r>
      <w:r w:rsidR="00AD75B9">
        <w:rPr>
          <w:color w:val="000000" w:themeColor="text1"/>
          <w:sz w:val="24"/>
          <w:szCs w:val="24"/>
        </w:rPr>
        <w:t>stated</w:t>
      </w:r>
      <w:r>
        <w:rPr>
          <w:color w:val="000000" w:themeColor="text1"/>
          <w:sz w:val="24"/>
          <w:szCs w:val="24"/>
        </w:rPr>
        <w:t xml:space="preserve"> that it had acknowledged </w:t>
      </w:r>
      <w:r w:rsidR="00C36038">
        <w:rPr>
          <w:color w:val="000000" w:themeColor="text1"/>
          <w:sz w:val="24"/>
          <w:szCs w:val="24"/>
        </w:rPr>
        <w:t>that</w:t>
      </w:r>
      <w:r>
        <w:rPr>
          <w:color w:val="000000" w:themeColor="text1"/>
          <w:sz w:val="24"/>
          <w:szCs w:val="24"/>
        </w:rPr>
        <w:t xml:space="preserve"> security and law enforcement agencies </w:t>
      </w:r>
      <w:r w:rsidR="00C36038">
        <w:rPr>
          <w:color w:val="000000" w:themeColor="text1"/>
          <w:sz w:val="24"/>
          <w:szCs w:val="24"/>
        </w:rPr>
        <w:t xml:space="preserve">had systematically violated </w:t>
      </w:r>
      <w:r>
        <w:rPr>
          <w:color w:val="000000" w:themeColor="text1"/>
          <w:sz w:val="24"/>
          <w:szCs w:val="24"/>
        </w:rPr>
        <w:t>the right</w:t>
      </w:r>
      <w:r w:rsidR="00A82404">
        <w:rPr>
          <w:color w:val="000000" w:themeColor="text1"/>
          <w:sz w:val="24"/>
          <w:szCs w:val="24"/>
        </w:rPr>
        <w:t xml:space="preserve"> to be free from torture</w:t>
      </w:r>
      <w:r w:rsidR="00C36038">
        <w:rPr>
          <w:color w:val="000000" w:themeColor="text1"/>
          <w:sz w:val="24"/>
          <w:szCs w:val="24"/>
        </w:rPr>
        <w:t xml:space="preserve"> and other cruel, inhuman, or degrading treatment</w:t>
      </w:r>
      <w:r>
        <w:rPr>
          <w:color w:val="000000" w:themeColor="text1"/>
          <w:sz w:val="24"/>
          <w:szCs w:val="24"/>
        </w:rPr>
        <w:t xml:space="preserve"> and </w:t>
      </w:r>
      <w:r w:rsidR="00D3493D">
        <w:rPr>
          <w:color w:val="000000" w:themeColor="text1"/>
          <w:sz w:val="24"/>
          <w:szCs w:val="24"/>
        </w:rPr>
        <w:t>that it</w:t>
      </w:r>
      <w:r>
        <w:rPr>
          <w:color w:val="000000" w:themeColor="text1"/>
          <w:sz w:val="24"/>
          <w:szCs w:val="24"/>
        </w:rPr>
        <w:t xml:space="preserve"> was taking concrete steps, through the empowerment of existing human rights institutions, to better address </w:t>
      </w:r>
      <w:r w:rsidR="00E656F6">
        <w:rPr>
          <w:color w:val="000000" w:themeColor="text1"/>
          <w:sz w:val="24"/>
          <w:szCs w:val="24"/>
        </w:rPr>
        <w:t>complaints and expose acts of torture.</w:t>
      </w:r>
      <w:r w:rsidR="00E656F6">
        <w:rPr>
          <w:rStyle w:val="FootnoteReference"/>
          <w:color w:val="000000" w:themeColor="text1"/>
          <w:sz w:val="24"/>
          <w:szCs w:val="24"/>
        </w:rPr>
        <w:footnoteReference w:id="22"/>
      </w:r>
      <w:r>
        <w:rPr>
          <w:color w:val="000000" w:themeColor="text1"/>
          <w:sz w:val="24"/>
          <w:szCs w:val="24"/>
        </w:rPr>
        <w:t xml:space="preserve"> </w:t>
      </w:r>
    </w:p>
    <w:p w14:paraId="6BA1F260" w14:textId="7BE74548" w:rsidR="000112BC" w:rsidRPr="000112BC" w:rsidRDefault="00387769" w:rsidP="000112BC">
      <w:pPr>
        <w:numPr>
          <w:ilvl w:val="0"/>
          <w:numId w:val="8"/>
        </w:numPr>
        <w:spacing w:after="120"/>
        <w:jc w:val="both"/>
        <w:rPr>
          <w:color w:val="000000" w:themeColor="text1"/>
          <w:sz w:val="24"/>
          <w:szCs w:val="24"/>
        </w:rPr>
      </w:pPr>
      <w:r>
        <w:rPr>
          <w:color w:val="000000" w:themeColor="text1"/>
          <w:sz w:val="24"/>
          <w:szCs w:val="24"/>
        </w:rPr>
        <w:t>During</w:t>
      </w:r>
      <w:r w:rsidR="000112BC">
        <w:rPr>
          <w:color w:val="000000" w:themeColor="text1"/>
          <w:sz w:val="24"/>
          <w:szCs w:val="24"/>
        </w:rPr>
        <w:t xml:space="preserve"> its 2019 Universal Periodic Review, Ethiopia</w:t>
      </w:r>
      <w:r w:rsidR="009E3218">
        <w:rPr>
          <w:color w:val="000000" w:themeColor="text1"/>
          <w:sz w:val="24"/>
          <w:szCs w:val="24"/>
        </w:rPr>
        <w:t xml:space="preserve"> received and</w:t>
      </w:r>
      <w:r w:rsidR="000112BC">
        <w:rPr>
          <w:color w:val="000000" w:themeColor="text1"/>
          <w:sz w:val="24"/>
          <w:szCs w:val="24"/>
        </w:rPr>
        <w:t xml:space="preserve"> accepted</w:t>
      </w:r>
      <w:r w:rsidR="009E3218">
        <w:rPr>
          <w:color w:val="000000" w:themeColor="text1"/>
          <w:sz w:val="24"/>
          <w:szCs w:val="24"/>
        </w:rPr>
        <w:t xml:space="preserve"> </w:t>
      </w:r>
      <w:r w:rsidR="003D760C">
        <w:rPr>
          <w:color w:val="000000" w:themeColor="text1"/>
          <w:sz w:val="24"/>
          <w:szCs w:val="24"/>
        </w:rPr>
        <w:t xml:space="preserve">6 </w:t>
      </w:r>
      <w:r w:rsidR="000112BC">
        <w:rPr>
          <w:color w:val="000000" w:themeColor="text1"/>
          <w:sz w:val="24"/>
          <w:szCs w:val="24"/>
        </w:rPr>
        <w:t xml:space="preserve">recommendations to consider incorporating a definition of torture that covers all the elements contained in Article 1 of the Convention against Torture, </w:t>
      </w:r>
      <w:r w:rsidR="00653E91">
        <w:rPr>
          <w:color w:val="000000" w:themeColor="text1"/>
          <w:sz w:val="24"/>
          <w:szCs w:val="24"/>
        </w:rPr>
        <w:t xml:space="preserve">to </w:t>
      </w:r>
      <w:r w:rsidR="000112BC">
        <w:rPr>
          <w:color w:val="000000" w:themeColor="text1"/>
          <w:sz w:val="24"/>
          <w:szCs w:val="24"/>
        </w:rPr>
        <w:t xml:space="preserve">prioritize the prevention of acts of torture and cruel or degrading treatment, and </w:t>
      </w:r>
      <w:r w:rsidR="00653E91">
        <w:rPr>
          <w:color w:val="000000" w:themeColor="text1"/>
          <w:sz w:val="24"/>
          <w:szCs w:val="24"/>
        </w:rPr>
        <w:t xml:space="preserve">to </w:t>
      </w:r>
      <w:r w:rsidR="000112BC">
        <w:rPr>
          <w:color w:val="000000" w:themeColor="text1"/>
          <w:sz w:val="24"/>
          <w:szCs w:val="24"/>
        </w:rPr>
        <w:t>hold state perpetrators, specifically senior officials and the armed forces, accountable.</w:t>
      </w:r>
      <w:r w:rsidR="000112BC">
        <w:rPr>
          <w:rStyle w:val="FootnoteReference"/>
          <w:color w:val="000000" w:themeColor="text1"/>
          <w:sz w:val="24"/>
          <w:szCs w:val="24"/>
        </w:rPr>
        <w:footnoteReference w:id="23"/>
      </w:r>
      <w:r w:rsidR="000112BC">
        <w:rPr>
          <w:color w:val="000000" w:themeColor="text1"/>
          <w:sz w:val="24"/>
          <w:szCs w:val="24"/>
        </w:rPr>
        <w:t xml:space="preserve"> </w:t>
      </w:r>
    </w:p>
    <w:p w14:paraId="7E6B2A75" w14:textId="4D185E72" w:rsidR="007A6E12" w:rsidRDefault="2B4ACAEE" w:rsidP="007A6E12">
      <w:pPr>
        <w:numPr>
          <w:ilvl w:val="0"/>
          <w:numId w:val="8"/>
        </w:numPr>
        <w:spacing w:after="120"/>
        <w:jc w:val="both"/>
        <w:rPr>
          <w:color w:val="000000" w:themeColor="text1"/>
          <w:sz w:val="24"/>
          <w:szCs w:val="24"/>
        </w:rPr>
      </w:pPr>
      <w:r w:rsidRPr="69C8428E">
        <w:rPr>
          <w:color w:val="000000" w:themeColor="text1"/>
          <w:sz w:val="24"/>
          <w:szCs w:val="24"/>
        </w:rPr>
        <w:t>Re</w:t>
      </w:r>
      <w:r w:rsidR="007A6E12" w:rsidRPr="69C8428E">
        <w:rPr>
          <w:color w:val="000000" w:themeColor="text1"/>
          <w:sz w:val="24"/>
          <w:szCs w:val="24"/>
        </w:rPr>
        <w:t>ports of the use of torture during interrogation and extended pre-trial detention remain widespread,</w:t>
      </w:r>
      <w:r w:rsidR="4399C12C" w:rsidRPr="69C8428E">
        <w:rPr>
          <w:color w:val="000000" w:themeColor="text1"/>
          <w:sz w:val="24"/>
          <w:szCs w:val="24"/>
        </w:rPr>
        <w:t xml:space="preserve"> however,</w:t>
      </w:r>
      <w:r w:rsidR="007A6E12" w:rsidRPr="69C8428E">
        <w:rPr>
          <w:color w:val="000000" w:themeColor="text1"/>
          <w:sz w:val="24"/>
          <w:szCs w:val="24"/>
        </w:rPr>
        <w:t xml:space="preserve"> especially for persons accused of terrorism-related offenses</w:t>
      </w:r>
      <w:r w:rsidR="007A6E12">
        <w:rPr>
          <w:color w:val="000000" w:themeColor="text1"/>
          <w:sz w:val="24"/>
          <w:szCs w:val="24"/>
        </w:rPr>
        <w:t>.</w:t>
      </w:r>
      <w:r w:rsidR="007A6E12" w:rsidRPr="69C8428E">
        <w:rPr>
          <w:color w:val="000000" w:themeColor="text1"/>
          <w:sz w:val="24"/>
          <w:szCs w:val="24"/>
        </w:rPr>
        <w:t xml:space="preserve"> </w:t>
      </w:r>
      <w:r w:rsidR="00E656F6" w:rsidRPr="69C8428E">
        <w:rPr>
          <w:color w:val="000000" w:themeColor="text1"/>
          <w:sz w:val="24"/>
          <w:szCs w:val="24"/>
        </w:rPr>
        <w:t xml:space="preserve">Multiple civil society organizations, including </w:t>
      </w:r>
      <w:r w:rsidR="00327346" w:rsidRPr="69C8428E">
        <w:rPr>
          <w:color w:val="000000" w:themeColor="text1"/>
          <w:sz w:val="24"/>
          <w:szCs w:val="24"/>
        </w:rPr>
        <w:t xml:space="preserve">Human Rights Watch and </w:t>
      </w:r>
      <w:r w:rsidR="00E656F6" w:rsidRPr="69C8428E">
        <w:rPr>
          <w:color w:val="000000" w:themeColor="text1"/>
          <w:sz w:val="24"/>
          <w:szCs w:val="24"/>
        </w:rPr>
        <w:t xml:space="preserve">Amnesty International, have reported on the use of arbitrary arrest, detention, torture, and other ill-treatment, as well as the </w:t>
      </w:r>
      <w:r w:rsidR="00772431">
        <w:rPr>
          <w:color w:val="000000" w:themeColor="text1"/>
          <w:sz w:val="24"/>
          <w:szCs w:val="24"/>
        </w:rPr>
        <w:t>absence</w:t>
      </w:r>
      <w:r w:rsidR="00E656F6" w:rsidRPr="69C8428E">
        <w:rPr>
          <w:color w:val="000000" w:themeColor="text1"/>
          <w:sz w:val="24"/>
          <w:szCs w:val="24"/>
        </w:rPr>
        <w:t xml:space="preserve"> of </w:t>
      </w:r>
      <w:r w:rsidR="00772431">
        <w:rPr>
          <w:color w:val="000000" w:themeColor="text1"/>
          <w:sz w:val="24"/>
          <w:szCs w:val="24"/>
        </w:rPr>
        <w:t xml:space="preserve">effective </w:t>
      </w:r>
      <w:r w:rsidR="00E656F6" w:rsidRPr="69C8428E">
        <w:rPr>
          <w:color w:val="000000" w:themeColor="text1"/>
          <w:sz w:val="24"/>
          <w:szCs w:val="24"/>
        </w:rPr>
        <w:t>accountability</w:t>
      </w:r>
      <w:r w:rsidR="00772431">
        <w:rPr>
          <w:color w:val="000000" w:themeColor="text1"/>
          <w:sz w:val="24"/>
          <w:szCs w:val="24"/>
        </w:rPr>
        <w:t xml:space="preserve"> mechanisms</w:t>
      </w:r>
      <w:r w:rsidR="00E656F6" w:rsidRPr="69C8428E">
        <w:rPr>
          <w:color w:val="000000" w:themeColor="text1"/>
          <w:sz w:val="24"/>
          <w:szCs w:val="24"/>
        </w:rPr>
        <w:t>.</w:t>
      </w:r>
    </w:p>
    <w:p w14:paraId="5F129093" w14:textId="33EC226D" w:rsidR="00E656F6" w:rsidRDefault="00E656F6" w:rsidP="007A6E12">
      <w:pPr>
        <w:numPr>
          <w:ilvl w:val="0"/>
          <w:numId w:val="8"/>
        </w:numPr>
        <w:spacing w:after="120"/>
        <w:jc w:val="both"/>
        <w:rPr>
          <w:color w:val="000000" w:themeColor="text1"/>
          <w:sz w:val="24"/>
          <w:szCs w:val="24"/>
        </w:rPr>
      </w:pPr>
      <w:r>
        <w:rPr>
          <w:color w:val="000000" w:themeColor="text1"/>
          <w:sz w:val="24"/>
          <w:szCs w:val="24"/>
        </w:rPr>
        <w:t>Human Rights Watch note</w:t>
      </w:r>
      <w:r w:rsidR="00772431">
        <w:rPr>
          <w:color w:val="000000" w:themeColor="text1"/>
          <w:sz w:val="24"/>
          <w:szCs w:val="24"/>
        </w:rPr>
        <w:t>s</w:t>
      </w:r>
      <w:r>
        <w:rPr>
          <w:color w:val="000000" w:themeColor="text1"/>
          <w:sz w:val="24"/>
          <w:szCs w:val="24"/>
        </w:rPr>
        <w:t xml:space="preserve"> that </w:t>
      </w:r>
      <w:r w:rsidR="00772431">
        <w:rPr>
          <w:color w:val="000000" w:themeColor="text1"/>
          <w:sz w:val="24"/>
          <w:szCs w:val="24"/>
        </w:rPr>
        <w:t xml:space="preserve">in November 2018, </w:t>
      </w:r>
      <w:r>
        <w:rPr>
          <w:color w:val="000000" w:themeColor="text1"/>
          <w:sz w:val="24"/>
          <w:szCs w:val="24"/>
        </w:rPr>
        <w:t xml:space="preserve">Ethiopia arrested some high-level officials. At the same time, it reported that there was a lack of public transparency </w:t>
      </w:r>
      <w:r w:rsidR="00795F27">
        <w:rPr>
          <w:color w:val="000000" w:themeColor="text1"/>
          <w:sz w:val="24"/>
          <w:szCs w:val="24"/>
        </w:rPr>
        <w:t>regarding</w:t>
      </w:r>
      <w:r>
        <w:rPr>
          <w:color w:val="000000" w:themeColor="text1"/>
          <w:sz w:val="24"/>
          <w:szCs w:val="24"/>
        </w:rPr>
        <w:t xml:space="preserve"> the trials of the operators of the Somali region’s notorious Jail Ogaden, where “torture, rape, and death were common” occurrences.</w:t>
      </w:r>
      <w:r>
        <w:rPr>
          <w:rStyle w:val="FootnoteReference"/>
          <w:color w:val="000000" w:themeColor="text1"/>
          <w:sz w:val="24"/>
          <w:szCs w:val="24"/>
        </w:rPr>
        <w:footnoteReference w:id="24"/>
      </w:r>
    </w:p>
    <w:p w14:paraId="1B4D9C09" w14:textId="606660AF" w:rsidR="00327346" w:rsidRDefault="00327346" w:rsidP="00327346">
      <w:pPr>
        <w:numPr>
          <w:ilvl w:val="0"/>
          <w:numId w:val="8"/>
        </w:numPr>
        <w:spacing w:after="120"/>
        <w:jc w:val="both"/>
        <w:rPr>
          <w:color w:val="000000" w:themeColor="text1"/>
          <w:sz w:val="24"/>
          <w:szCs w:val="24"/>
        </w:rPr>
      </w:pPr>
      <w:r>
        <w:rPr>
          <w:color w:val="000000" w:themeColor="text1"/>
          <w:sz w:val="24"/>
          <w:szCs w:val="24"/>
        </w:rPr>
        <w:t>According to Amnesty International, Tigray Regional State security forces targeted</w:t>
      </w:r>
      <w:r w:rsidR="00F46E2D">
        <w:rPr>
          <w:color w:val="000000" w:themeColor="text1"/>
          <w:sz w:val="24"/>
          <w:szCs w:val="24"/>
        </w:rPr>
        <w:t xml:space="preserve"> with torture</w:t>
      </w:r>
      <w:r w:rsidR="005163C3">
        <w:rPr>
          <w:color w:val="000000" w:themeColor="text1"/>
          <w:sz w:val="24"/>
          <w:szCs w:val="24"/>
        </w:rPr>
        <w:t xml:space="preserve"> and other ill-treatment</w:t>
      </w:r>
      <w:r>
        <w:rPr>
          <w:color w:val="000000" w:themeColor="text1"/>
          <w:sz w:val="24"/>
          <w:szCs w:val="24"/>
        </w:rPr>
        <w:t xml:space="preserve">, on the basis of their Amhara identity, for speaking Amharic, or listening to Amharic music, supporters of the Wolkait Amhara Identity Committee after the Committee petitioned </w:t>
      </w:r>
      <w:r w:rsidR="00153827">
        <w:rPr>
          <w:color w:val="000000" w:themeColor="text1"/>
          <w:sz w:val="24"/>
          <w:szCs w:val="24"/>
        </w:rPr>
        <w:t>for the Wolkait</w:t>
      </w:r>
      <w:r w:rsidR="00846603">
        <w:rPr>
          <w:color w:val="000000" w:themeColor="text1"/>
          <w:sz w:val="24"/>
          <w:szCs w:val="24"/>
        </w:rPr>
        <w:t xml:space="preserve"> district </w:t>
      </w:r>
      <w:r>
        <w:rPr>
          <w:color w:val="000000" w:themeColor="text1"/>
          <w:sz w:val="24"/>
          <w:szCs w:val="24"/>
        </w:rPr>
        <w:t>to join the Amhara Regional State.</w:t>
      </w:r>
      <w:r>
        <w:rPr>
          <w:rStyle w:val="FootnoteReference"/>
          <w:color w:val="000000" w:themeColor="text1"/>
          <w:sz w:val="24"/>
          <w:szCs w:val="24"/>
        </w:rPr>
        <w:footnoteReference w:id="25"/>
      </w:r>
      <w:r>
        <w:rPr>
          <w:color w:val="000000" w:themeColor="text1"/>
          <w:sz w:val="24"/>
          <w:szCs w:val="24"/>
        </w:rPr>
        <w:t xml:space="preserve"> </w:t>
      </w:r>
    </w:p>
    <w:p w14:paraId="70E1ECA0" w14:textId="0A2767A3" w:rsidR="00E8163E" w:rsidRPr="00E8163E" w:rsidRDefault="00E1106B" w:rsidP="00E8163E">
      <w:pPr>
        <w:numPr>
          <w:ilvl w:val="0"/>
          <w:numId w:val="8"/>
        </w:numPr>
        <w:spacing w:after="120"/>
        <w:jc w:val="both"/>
        <w:rPr>
          <w:color w:val="000000" w:themeColor="text1"/>
          <w:sz w:val="24"/>
          <w:szCs w:val="24"/>
        </w:rPr>
      </w:pPr>
      <w:r>
        <w:rPr>
          <w:color w:val="000000" w:themeColor="text1"/>
          <w:sz w:val="24"/>
          <w:szCs w:val="24"/>
        </w:rPr>
        <w:t xml:space="preserve">The Association for Human Rights in Ethiopia </w:t>
      </w:r>
      <w:r w:rsidR="002A2296">
        <w:rPr>
          <w:color w:val="000000" w:themeColor="text1"/>
          <w:sz w:val="24"/>
          <w:szCs w:val="24"/>
        </w:rPr>
        <w:t xml:space="preserve">has </w:t>
      </w:r>
      <w:r>
        <w:rPr>
          <w:color w:val="000000" w:themeColor="text1"/>
          <w:sz w:val="24"/>
          <w:szCs w:val="24"/>
        </w:rPr>
        <w:t xml:space="preserve">documented </w:t>
      </w:r>
      <w:r w:rsidR="002A2296">
        <w:rPr>
          <w:color w:val="000000" w:themeColor="text1"/>
          <w:sz w:val="24"/>
          <w:szCs w:val="24"/>
        </w:rPr>
        <w:t>several cases</w:t>
      </w:r>
      <w:r>
        <w:rPr>
          <w:color w:val="000000" w:themeColor="text1"/>
          <w:sz w:val="24"/>
          <w:szCs w:val="24"/>
        </w:rPr>
        <w:t xml:space="preserve"> of </w:t>
      </w:r>
      <w:r w:rsidR="002A2296">
        <w:rPr>
          <w:color w:val="000000" w:themeColor="text1"/>
          <w:sz w:val="24"/>
          <w:szCs w:val="24"/>
        </w:rPr>
        <w:t>people being subjected to</w:t>
      </w:r>
      <w:r>
        <w:rPr>
          <w:color w:val="000000" w:themeColor="text1"/>
          <w:sz w:val="24"/>
          <w:szCs w:val="24"/>
        </w:rPr>
        <w:t xml:space="preserve"> torture during interrogation to extract confessions. One individual charged for alleged involvement with the Oromo Liberation Front </w:t>
      </w:r>
      <w:r w:rsidR="00E8163E">
        <w:rPr>
          <w:color w:val="000000" w:themeColor="text1"/>
          <w:sz w:val="24"/>
          <w:szCs w:val="24"/>
        </w:rPr>
        <w:t>recounted that he was advised, after being “beaten, tortured, and […] made to do a heavy physical exercise for 43 days</w:t>
      </w:r>
      <w:r w:rsidR="07A75E0B">
        <w:rPr>
          <w:color w:val="000000" w:themeColor="text1"/>
          <w:sz w:val="24"/>
          <w:szCs w:val="24"/>
        </w:rPr>
        <w:t>,</w:t>
      </w:r>
      <w:r w:rsidR="00E8163E">
        <w:rPr>
          <w:color w:val="000000" w:themeColor="text1"/>
          <w:sz w:val="24"/>
          <w:szCs w:val="24"/>
        </w:rPr>
        <w:t>” to simply “admit everything before they kill me and […] later deny and tell the court it was a forced confession when my file is officially open.”</w:t>
      </w:r>
      <w:r w:rsidR="00E8163E">
        <w:rPr>
          <w:rStyle w:val="FootnoteReference"/>
          <w:color w:val="000000" w:themeColor="text1"/>
          <w:sz w:val="24"/>
          <w:szCs w:val="24"/>
        </w:rPr>
        <w:footnoteReference w:id="26"/>
      </w:r>
      <w:r w:rsidR="00E8163E">
        <w:rPr>
          <w:color w:val="000000" w:themeColor="text1"/>
          <w:sz w:val="24"/>
          <w:szCs w:val="24"/>
        </w:rPr>
        <w:t xml:space="preserve"> Other methods of torture deployed to extract confessions included pulling out finger and toe nails while individuals were conscious, the tying of water bottles to </w:t>
      </w:r>
      <w:r w:rsidR="00CA4D48">
        <w:rPr>
          <w:color w:val="000000" w:themeColor="text1"/>
          <w:sz w:val="24"/>
          <w:szCs w:val="24"/>
        </w:rPr>
        <w:t>the genitals</w:t>
      </w:r>
      <w:r w:rsidR="00E8163E">
        <w:rPr>
          <w:color w:val="000000" w:themeColor="text1"/>
          <w:sz w:val="24"/>
          <w:szCs w:val="24"/>
        </w:rPr>
        <w:t>, and electrocution.</w:t>
      </w:r>
      <w:r w:rsidR="00E8163E">
        <w:rPr>
          <w:rStyle w:val="FootnoteReference"/>
          <w:color w:val="000000" w:themeColor="text1"/>
          <w:sz w:val="24"/>
          <w:szCs w:val="24"/>
        </w:rPr>
        <w:footnoteReference w:id="27"/>
      </w:r>
      <w:r w:rsidR="00E8163E">
        <w:rPr>
          <w:color w:val="000000" w:themeColor="text1"/>
          <w:sz w:val="24"/>
          <w:szCs w:val="24"/>
        </w:rPr>
        <w:t xml:space="preserve"> </w:t>
      </w:r>
    </w:p>
    <w:p w14:paraId="6E8B03B7" w14:textId="4B827446" w:rsidR="00327346" w:rsidRPr="00327346" w:rsidRDefault="00327346" w:rsidP="00327346">
      <w:pPr>
        <w:keepNext/>
        <w:numPr>
          <w:ilvl w:val="0"/>
          <w:numId w:val="9"/>
        </w:numPr>
        <w:spacing w:before="240" w:after="120"/>
        <w:ind w:left="720" w:hanging="360"/>
        <w:rPr>
          <w:b/>
          <w:bCs/>
          <w:color w:val="auto"/>
          <w:sz w:val="24"/>
          <w:szCs w:val="24"/>
        </w:rPr>
      </w:pPr>
      <w:r>
        <w:rPr>
          <w:b/>
          <w:bCs/>
          <w:color w:val="auto"/>
          <w:sz w:val="24"/>
          <w:szCs w:val="24"/>
        </w:rPr>
        <w:t xml:space="preserve"> </w:t>
      </w:r>
      <w:r w:rsidRPr="00327346">
        <w:rPr>
          <w:b/>
          <w:bCs/>
          <w:color w:val="auto"/>
          <w:sz w:val="24"/>
          <w:szCs w:val="24"/>
        </w:rPr>
        <w:t xml:space="preserve">Violations of </w:t>
      </w:r>
      <w:r w:rsidR="00566B06">
        <w:rPr>
          <w:b/>
          <w:bCs/>
          <w:color w:val="auto"/>
          <w:sz w:val="24"/>
          <w:szCs w:val="24"/>
        </w:rPr>
        <w:t xml:space="preserve">the </w:t>
      </w:r>
      <w:r w:rsidRPr="00327346">
        <w:rPr>
          <w:b/>
          <w:bCs/>
          <w:color w:val="auto"/>
          <w:sz w:val="24"/>
          <w:szCs w:val="24"/>
        </w:rPr>
        <w:t>rights to due process and a fair trial threaten the right to life.</w:t>
      </w:r>
    </w:p>
    <w:p w14:paraId="3D830750" w14:textId="5A78992E" w:rsidR="00B004EF" w:rsidRDefault="00B004EF" w:rsidP="29A683AB">
      <w:pPr>
        <w:numPr>
          <w:ilvl w:val="0"/>
          <w:numId w:val="8"/>
        </w:numPr>
        <w:spacing w:after="120"/>
        <w:jc w:val="both"/>
        <w:rPr>
          <w:color w:val="000000" w:themeColor="text1"/>
          <w:sz w:val="24"/>
          <w:szCs w:val="24"/>
        </w:rPr>
      </w:pPr>
      <w:r>
        <w:rPr>
          <w:color w:val="000000" w:themeColor="text1"/>
          <w:sz w:val="24"/>
          <w:szCs w:val="24"/>
        </w:rPr>
        <w:t>In its Concluding Observations, the Human Rights Committee expressed concern that none of the national courts in Ethiopia</w:t>
      </w:r>
      <w:r w:rsidR="00FE5ACA">
        <w:rPr>
          <w:color w:val="000000" w:themeColor="text1"/>
          <w:sz w:val="24"/>
          <w:szCs w:val="24"/>
        </w:rPr>
        <w:t xml:space="preserve"> have invoked provisions of the ICCPR</w:t>
      </w:r>
      <w:r>
        <w:rPr>
          <w:color w:val="000000" w:themeColor="text1"/>
          <w:sz w:val="24"/>
          <w:szCs w:val="24"/>
        </w:rPr>
        <w:t>, and that the ICCPR has been neither translated into local languages nor published in full in the Federal Negazit Gazette.</w:t>
      </w:r>
      <w:r>
        <w:rPr>
          <w:rStyle w:val="FootnoteReference"/>
          <w:color w:val="000000" w:themeColor="text1"/>
          <w:sz w:val="24"/>
          <w:szCs w:val="24"/>
        </w:rPr>
        <w:footnoteReference w:id="28"/>
      </w:r>
      <w:r w:rsidR="004F557B">
        <w:rPr>
          <w:color w:val="000000" w:themeColor="text1"/>
          <w:sz w:val="24"/>
          <w:szCs w:val="24"/>
        </w:rPr>
        <w:t xml:space="preserve"> The Committee also expressed concern about reports that </w:t>
      </w:r>
      <w:r w:rsidR="00E36EBB">
        <w:rPr>
          <w:color w:val="000000" w:themeColor="text1"/>
          <w:sz w:val="24"/>
          <w:szCs w:val="24"/>
        </w:rPr>
        <w:t xml:space="preserve">restrictions imposed upon non-governmental organizations by the </w:t>
      </w:r>
      <w:r w:rsidR="00FB4DCD" w:rsidRPr="00FB4DCD">
        <w:rPr>
          <w:color w:val="000000" w:themeColor="text1"/>
          <w:sz w:val="24"/>
          <w:szCs w:val="24"/>
          <w:lang w:val="en-GB"/>
        </w:rPr>
        <w:t>Proclamation to Provide for the Registration and Regulation of Charities and Societies No 621/2009</w:t>
      </w:r>
      <w:r w:rsidR="00FB4DCD">
        <w:rPr>
          <w:color w:val="000000" w:themeColor="text1"/>
          <w:sz w:val="24"/>
          <w:szCs w:val="24"/>
          <w:lang w:val="en-GB"/>
        </w:rPr>
        <w:t xml:space="preserve"> impedes the </w:t>
      </w:r>
      <w:r w:rsidR="004F557B">
        <w:rPr>
          <w:color w:val="000000" w:themeColor="text1"/>
          <w:sz w:val="24"/>
          <w:szCs w:val="24"/>
        </w:rPr>
        <w:t>provision of free legal aid</w:t>
      </w:r>
      <w:r w:rsidR="00DE5D0E">
        <w:rPr>
          <w:color w:val="000000" w:themeColor="text1"/>
          <w:sz w:val="24"/>
          <w:szCs w:val="24"/>
        </w:rPr>
        <w:t xml:space="preserve">, especially in light of the </w:t>
      </w:r>
      <w:r w:rsidR="00FD6093">
        <w:rPr>
          <w:color w:val="000000" w:themeColor="text1"/>
          <w:sz w:val="24"/>
          <w:szCs w:val="24"/>
        </w:rPr>
        <w:t>lack of capacity of the Public Defender</w:t>
      </w:r>
      <w:r w:rsidR="00EC11DF">
        <w:rPr>
          <w:color w:val="000000" w:themeColor="text1"/>
          <w:sz w:val="24"/>
          <w:szCs w:val="24"/>
        </w:rPr>
        <w:t xml:space="preserve"> Office.</w:t>
      </w:r>
      <w:r w:rsidR="00FB4DCD">
        <w:rPr>
          <w:rStyle w:val="FootnoteReference"/>
          <w:color w:val="000000" w:themeColor="text1"/>
          <w:sz w:val="24"/>
          <w:szCs w:val="24"/>
        </w:rPr>
        <w:footnoteReference w:id="29"/>
      </w:r>
      <w:r w:rsidR="00E46AFA">
        <w:rPr>
          <w:color w:val="000000" w:themeColor="text1"/>
          <w:sz w:val="24"/>
          <w:szCs w:val="24"/>
        </w:rPr>
        <w:t xml:space="preserve"> The Committee suggested that the State party ensure that all tribunals and courts in Ethiopia operate in </w:t>
      </w:r>
      <w:r w:rsidR="009C6804">
        <w:rPr>
          <w:color w:val="000000" w:themeColor="text1"/>
          <w:sz w:val="24"/>
          <w:szCs w:val="24"/>
        </w:rPr>
        <w:t>accordance with the principles of article 14 of the ICCPR and paragraph 24 of the Committee’s general comment No. 32 (2007).</w:t>
      </w:r>
      <w:r w:rsidR="009C6804">
        <w:rPr>
          <w:rStyle w:val="FootnoteReference"/>
          <w:color w:val="000000" w:themeColor="text1"/>
          <w:sz w:val="24"/>
          <w:szCs w:val="24"/>
        </w:rPr>
        <w:footnoteReference w:id="30"/>
      </w:r>
    </w:p>
    <w:p w14:paraId="3C4C3247" w14:textId="3CD4EC4C" w:rsidR="00C33C45" w:rsidRDefault="00E81838" w:rsidP="29A683AB">
      <w:pPr>
        <w:numPr>
          <w:ilvl w:val="0"/>
          <w:numId w:val="8"/>
        </w:numPr>
        <w:spacing w:after="120"/>
        <w:jc w:val="both"/>
        <w:rPr>
          <w:color w:val="000000" w:themeColor="text1"/>
          <w:sz w:val="24"/>
          <w:szCs w:val="24"/>
        </w:rPr>
      </w:pPr>
      <w:r>
        <w:rPr>
          <w:color w:val="000000" w:themeColor="text1"/>
          <w:sz w:val="24"/>
          <w:szCs w:val="24"/>
        </w:rPr>
        <w:t>In its State Party Report, Ethiopia stated its commitment to an independent judiciary and that “[a] number of laws have been enacted at the federal and regional levels to further ensure the independence of the judiciary.</w:t>
      </w:r>
      <w:r w:rsidR="00566B06">
        <w:rPr>
          <w:color w:val="000000" w:themeColor="text1"/>
          <w:sz w:val="24"/>
          <w:szCs w:val="24"/>
        </w:rPr>
        <w:t>”</w:t>
      </w:r>
      <w:r w:rsidRPr="00E81838">
        <w:rPr>
          <w:rStyle w:val="FootnoteReference"/>
          <w:color w:val="000000" w:themeColor="text1"/>
          <w:sz w:val="24"/>
          <w:szCs w:val="24"/>
        </w:rPr>
        <w:t xml:space="preserve"> </w:t>
      </w:r>
      <w:r>
        <w:rPr>
          <w:rStyle w:val="FootnoteReference"/>
          <w:color w:val="000000" w:themeColor="text1"/>
          <w:sz w:val="24"/>
          <w:szCs w:val="24"/>
        </w:rPr>
        <w:footnoteReference w:id="31"/>
      </w:r>
      <w:r>
        <w:rPr>
          <w:color w:val="000000" w:themeColor="text1"/>
          <w:sz w:val="24"/>
          <w:szCs w:val="24"/>
        </w:rPr>
        <w:t xml:space="preserve"> In addition, the Government affirmed its commitment to the principle of the presumption of innocence and that all suspects are brought to a court of law within 48 hours of arrest.</w:t>
      </w:r>
      <w:r>
        <w:rPr>
          <w:rStyle w:val="FootnoteReference"/>
          <w:color w:val="000000" w:themeColor="text1"/>
          <w:sz w:val="24"/>
          <w:szCs w:val="24"/>
        </w:rPr>
        <w:footnoteReference w:id="32"/>
      </w:r>
      <w:r>
        <w:rPr>
          <w:color w:val="000000" w:themeColor="text1"/>
          <w:sz w:val="24"/>
          <w:szCs w:val="24"/>
        </w:rPr>
        <w:t xml:space="preserve"> </w:t>
      </w:r>
    </w:p>
    <w:p w14:paraId="079B63A0" w14:textId="2F1CBC19" w:rsidR="000E3E32" w:rsidRPr="009E3218" w:rsidRDefault="00387769" w:rsidP="000E3E32">
      <w:pPr>
        <w:numPr>
          <w:ilvl w:val="0"/>
          <w:numId w:val="8"/>
        </w:numPr>
        <w:spacing w:after="120"/>
        <w:jc w:val="both"/>
        <w:rPr>
          <w:color w:val="000000" w:themeColor="text1"/>
          <w:sz w:val="24"/>
          <w:szCs w:val="24"/>
        </w:rPr>
      </w:pPr>
      <w:r>
        <w:rPr>
          <w:color w:val="000000" w:themeColor="text1"/>
          <w:sz w:val="24"/>
          <w:szCs w:val="24"/>
        </w:rPr>
        <w:t xml:space="preserve">During its 2019 Universal Periodic Review, </w:t>
      </w:r>
      <w:r w:rsidR="00004EC0">
        <w:rPr>
          <w:color w:val="000000" w:themeColor="text1"/>
          <w:sz w:val="24"/>
          <w:szCs w:val="24"/>
        </w:rPr>
        <w:t>participants in the interactive dialogue</w:t>
      </w:r>
      <w:r w:rsidR="00997DA0">
        <w:rPr>
          <w:color w:val="000000" w:themeColor="text1"/>
          <w:sz w:val="24"/>
          <w:szCs w:val="24"/>
        </w:rPr>
        <w:t xml:space="preserve"> acknowledged this change in the organizational set-up and legal framework of key democratic institutions, security agencies, and the judiciary.</w:t>
      </w:r>
      <w:r w:rsidR="006D7260">
        <w:rPr>
          <w:rStyle w:val="FootnoteReference"/>
          <w:color w:val="000000" w:themeColor="text1"/>
          <w:sz w:val="24"/>
          <w:szCs w:val="24"/>
        </w:rPr>
        <w:footnoteReference w:id="33"/>
      </w:r>
      <w:r w:rsidR="00997DA0">
        <w:rPr>
          <w:color w:val="000000" w:themeColor="text1"/>
          <w:sz w:val="24"/>
          <w:szCs w:val="24"/>
        </w:rPr>
        <w:t xml:space="preserve"> </w:t>
      </w:r>
      <w:r w:rsidR="00943DAE">
        <w:rPr>
          <w:color w:val="000000" w:themeColor="text1"/>
          <w:sz w:val="24"/>
          <w:szCs w:val="24"/>
        </w:rPr>
        <w:t>Ethiopia received and accepted 6 recommendations to strengthen and ensure the independence of the judiciary.</w:t>
      </w:r>
      <w:r w:rsidR="00943DAE">
        <w:rPr>
          <w:rStyle w:val="FootnoteReference"/>
          <w:color w:val="000000" w:themeColor="text1"/>
          <w:sz w:val="24"/>
          <w:szCs w:val="24"/>
        </w:rPr>
        <w:footnoteReference w:id="34"/>
      </w:r>
    </w:p>
    <w:p w14:paraId="1B7C5367" w14:textId="7F6A690C" w:rsidR="008F52BD" w:rsidRPr="008F52BD" w:rsidRDefault="00CD1709" w:rsidP="008F52BD">
      <w:pPr>
        <w:numPr>
          <w:ilvl w:val="0"/>
          <w:numId w:val="8"/>
        </w:numPr>
        <w:spacing w:after="120"/>
        <w:jc w:val="both"/>
        <w:rPr>
          <w:color w:val="000000" w:themeColor="text1"/>
          <w:sz w:val="24"/>
          <w:szCs w:val="24"/>
        </w:rPr>
      </w:pPr>
      <w:r>
        <w:rPr>
          <w:color w:val="000000" w:themeColor="text1"/>
          <w:sz w:val="24"/>
          <w:szCs w:val="24"/>
        </w:rPr>
        <w:t>Nonetheless,</w:t>
      </w:r>
      <w:r w:rsidR="00E81838">
        <w:rPr>
          <w:color w:val="000000" w:themeColor="text1"/>
          <w:sz w:val="24"/>
          <w:szCs w:val="24"/>
        </w:rPr>
        <w:t xml:space="preserve"> reports of due process violations </w:t>
      </w:r>
      <w:r w:rsidR="003D3771">
        <w:rPr>
          <w:color w:val="000000" w:themeColor="text1"/>
          <w:sz w:val="24"/>
          <w:szCs w:val="24"/>
        </w:rPr>
        <w:t>persist</w:t>
      </w:r>
      <w:r w:rsidR="00E81838">
        <w:rPr>
          <w:color w:val="000000" w:themeColor="text1"/>
          <w:sz w:val="24"/>
          <w:szCs w:val="24"/>
        </w:rPr>
        <w:t xml:space="preserve">. Amnesty International </w:t>
      </w:r>
      <w:r w:rsidR="008B68D1">
        <w:rPr>
          <w:color w:val="000000" w:themeColor="text1"/>
          <w:sz w:val="24"/>
          <w:szCs w:val="24"/>
        </w:rPr>
        <w:t xml:space="preserve">has shown that, in the region of Oromia alone, </w:t>
      </w:r>
      <w:r w:rsidR="00294873">
        <w:rPr>
          <w:color w:val="000000" w:themeColor="text1"/>
          <w:sz w:val="24"/>
          <w:szCs w:val="24"/>
        </w:rPr>
        <w:t>authorities detained approximately</w:t>
      </w:r>
      <w:r w:rsidR="008B68D1">
        <w:rPr>
          <w:color w:val="000000" w:themeColor="text1"/>
          <w:sz w:val="24"/>
          <w:szCs w:val="24"/>
        </w:rPr>
        <w:t xml:space="preserve"> 10,000 people through mass arrests</w:t>
      </w:r>
      <w:r w:rsidR="00294873">
        <w:rPr>
          <w:color w:val="000000" w:themeColor="text1"/>
          <w:sz w:val="24"/>
          <w:szCs w:val="24"/>
        </w:rPr>
        <w:t xml:space="preserve"> </w:t>
      </w:r>
      <w:r w:rsidR="00065FB7">
        <w:rPr>
          <w:color w:val="000000" w:themeColor="text1"/>
          <w:sz w:val="24"/>
          <w:szCs w:val="24"/>
        </w:rPr>
        <w:t>between January and September 2019</w:t>
      </w:r>
      <w:r w:rsidR="008B68D1">
        <w:rPr>
          <w:color w:val="000000" w:themeColor="text1"/>
          <w:sz w:val="24"/>
          <w:szCs w:val="24"/>
        </w:rPr>
        <w:t>.</w:t>
      </w:r>
      <w:r w:rsidR="008B68D1">
        <w:rPr>
          <w:rStyle w:val="FootnoteReference"/>
          <w:color w:val="000000" w:themeColor="text1"/>
          <w:sz w:val="24"/>
          <w:szCs w:val="24"/>
        </w:rPr>
        <w:footnoteReference w:id="35"/>
      </w:r>
      <w:r w:rsidR="008B68D1">
        <w:rPr>
          <w:color w:val="000000" w:themeColor="text1"/>
          <w:sz w:val="24"/>
          <w:szCs w:val="24"/>
        </w:rPr>
        <w:t xml:space="preserve"> Individuals were also subject to re-arrest, </w:t>
      </w:r>
      <w:r w:rsidR="00693D85">
        <w:rPr>
          <w:color w:val="000000" w:themeColor="text1"/>
          <w:sz w:val="24"/>
          <w:szCs w:val="24"/>
        </w:rPr>
        <w:t>and</w:t>
      </w:r>
      <w:r w:rsidR="008B68D1">
        <w:rPr>
          <w:color w:val="000000" w:themeColor="text1"/>
          <w:sz w:val="24"/>
          <w:szCs w:val="24"/>
        </w:rPr>
        <w:t xml:space="preserve"> courts often failed to provide them with a legal remedy.</w:t>
      </w:r>
      <w:r w:rsidR="008B68D1">
        <w:rPr>
          <w:rStyle w:val="FootnoteReference"/>
          <w:color w:val="000000" w:themeColor="text1"/>
          <w:sz w:val="24"/>
          <w:szCs w:val="24"/>
        </w:rPr>
        <w:footnoteReference w:id="36"/>
      </w:r>
      <w:r w:rsidR="008B68D1">
        <w:rPr>
          <w:color w:val="000000" w:themeColor="text1"/>
          <w:sz w:val="24"/>
          <w:szCs w:val="24"/>
        </w:rPr>
        <w:t xml:space="preserve"> </w:t>
      </w:r>
      <w:r w:rsidR="00917F09">
        <w:rPr>
          <w:color w:val="000000" w:themeColor="text1"/>
          <w:sz w:val="24"/>
          <w:szCs w:val="24"/>
        </w:rPr>
        <w:t>I</w:t>
      </w:r>
      <w:r w:rsidR="008B68D1">
        <w:rPr>
          <w:color w:val="000000" w:themeColor="text1"/>
          <w:sz w:val="24"/>
          <w:szCs w:val="24"/>
        </w:rPr>
        <w:t xml:space="preserve">ndividuals </w:t>
      </w:r>
      <w:r w:rsidR="00917F09">
        <w:rPr>
          <w:color w:val="000000" w:themeColor="text1"/>
          <w:sz w:val="24"/>
          <w:szCs w:val="24"/>
        </w:rPr>
        <w:t>also</w:t>
      </w:r>
      <w:r w:rsidR="008B68D1">
        <w:rPr>
          <w:color w:val="000000" w:themeColor="text1"/>
          <w:sz w:val="24"/>
          <w:szCs w:val="24"/>
        </w:rPr>
        <w:t xml:space="preserve"> </w:t>
      </w:r>
      <w:r w:rsidR="00917F09">
        <w:rPr>
          <w:color w:val="000000" w:themeColor="text1"/>
          <w:sz w:val="24"/>
          <w:szCs w:val="24"/>
        </w:rPr>
        <w:t>faced</w:t>
      </w:r>
      <w:r w:rsidR="008B68D1">
        <w:rPr>
          <w:color w:val="000000" w:themeColor="text1"/>
          <w:sz w:val="24"/>
          <w:szCs w:val="24"/>
        </w:rPr>
        <w:t xml:space="preserve"> retaliation </w:t>
      </w:r>
      <w:r w:rsidR="00A33BB2">
        <w:rPr>
          <w:color w:val="000000" w:themeColor="text1"/>
          <w:sz w:val="24"/>
          <w:szCs w:val="24"/>
        </w:rPr>
        <w:t>and beating</w:t>
      </w:r>
      <w:r w:rsidR="00523DA1">
        <w:rPr>
          <w:color w:val="000000" w:themeColor="text1"/>
          <w:sz w:val="24"/>
          <w:szCs w:val="24"/>
        </w:rPr>
        <w:t>s</w:t>
      </w:r>
      <w:r w:rsidR="00A33BB2">
        <w:rPr>
          <w:color w:val="000000" w:themeColor="text1"/>
          <w:sz w:val="24"/>
          <w:szCs w:val="24"/>
        </w:rPr>
        <w:t xml:space="preserve"> </w:t>
      </w:r>
      <w:r w:rsidR="00523DA1">
        <w:rPr>
          <w:color w:val="000000" w:themeColor="text1"/>
          <w:sz w:val="24"/>
          <w:szCs w:val="24"/>
        </w:rPr>
        <w:t xml:space="preserve">in </w:t>
      </w:r>
      <w:r w:rsidR="00A33BB2">
        <w:rPr>
          <w:color w:val="000000" w:themeColor="text1"/>
          <w:sz w:val="24"/>
          <w:szCs w:val="24"/>
        </w:rPr>
        <w:t>det</w:t>
      </w:r>
      <w:r>
        <w:rPr>
          <w:color w:val="000000" w:themeColor="text1"/>
          <w:sz w:val="24"/>
          <w:szCs w:val="24"/>
        </w:rPr>
        <w:t>ention</w:t>
      </w:r>
      <w:r w:rsidR="00A33BB2">
        <w:rPr>
          <w:color w:val="000000" w:themeColor="text1"/>
          <w:sz w:val="24"/>
          <w:szCs w:val="24"/>
        </w:rPr>
        <w:t xml:space="preserve"> </w:t>
      </w:r>
      <w:r w:rsidR="000331C3">
        <w:rPr>
          <w:color w:val="000000" w:themeColor="text1"/>
          <w:sz w:val="24"/>
          <w:szCs w:val="24"/>
        </w:rPr>
        <w:t>when</w:t>
      </w:r>
      <w:r w:rsidR="008B68D1">
        <w:rPr>
          <w:color w:val="000000" w:themeColor="text1"/>
          <w:sz w:val="24"/>
          <w:szCs w:val="24"/>
        </w:rPr>
        <w:t xml:space="preserve"> authorities discovered </w:t>
      </w:r>
      <w:r w:rsidR="000331C3">
        <w:rPr>
          <w:color w:val="000000" w:themeColor="text1"/>
          <w:sz w:val="24"/>
          <w:szCs w:val="24"/>
        </w:rPr>
        <w:t xml:space="preserve">that </w:t>
      </w:r>
      <w:r w:rsidR="00807938">
        <w:rPr>
          <w:color w:val="000000" w:themeColor="text1"/>
          <w:sz w:val="24"/>
          <w:szCs w:val="24"/>
        </w:rPr>
        <w:t>the individuals’</w:t>
      </w:r>
      <w:r w:rsidR="000331C3">
        <w:rPr>
          <w:color w:val="000000" w:themeColor="text1"/>
          <w:sz w:val="24"/>
          <w:szCs w:val="24"/>
        </w:rPr>
        <w:t xml:space="preserve"> families had </w:t>
      </w:r>
      <w:r w:rsidR="00A33BB2">
        <w:rPr>
          <w:color w:val="000000" w:themeColor="text1"/>
          <w:sz w:val="24"/>
          <w:szCs w:val="24"/>
        </w:rPr>
        <w:t>petitioned the</w:t>
      </w:r>
      <w:r w:rsidR="000331C3">
        <w:rPr>
          <w:color w:val="000000" w:themeColor="text1"/>
          <w:sz w:val="24"/>
          <w:szCs w:val="24"/>
        </w:rPr>
        <w:t xml:space="preserve"> </w:t>
      </w:r>
      <w:r w:rsidR="008B68D1">
        <w:rPr>
          <w:color w:val="000000" w:themeColor="text1"/>
          <w:sz w:val="24"/>
          <w:szCs w:val="24"/>
        </w:rPr>
        <w:t>court for</w:t>
      </w:r>
      <w:r w:rsidR="00807938">
        <w:rPr>
          <w:color w:val="000000" w:themeColor="text1"/>
          <w:sz w:val="24"/>
          <w:szCs w:val="24"/>
        </w:rPr>
        <w:t xml:space="preserve"> </w:t>
      </w:r>
      <w:r w:rsidR="00523DA1">
        <w:rPr>
          <w:color w:val="000000" w:themeColor="text1"/>
          <w:sz w:val="24"/>
          <w:szCs w:val="24"/>
        </w:rPr>
        <w:t>their</w:t>
      </w:r>
      <w:r w:rsidR="008B68D1">
        <w:rPr>
          <w:color w:val="000000" w:themeColor="text1"/>
          <w:sz w:val="24"/>
          <w:szCs w:val="24"/>
        </w:rPr>
        <w:t xml:space="preserve"> release.</w:t>
      </w:r>
      <w:r w:rsidR="008B68D1">
        <w:rPr>
          <w:rStyle w:val="FootnoteReference"/>
          <w:color w:val="000000" w:themeColor="text1"/>
          <w:sz w:val="24"/>
          <w:szCs w:val="24"/>
        </w:rPr>
        <w:footnoteReference w:id="37"/>
      </w:r>
    </w:p>
    <w:p w14:paraId="0868A5F9" w14:textId="13BD5F2A" w:rsidR="005163C3" w:rsidRDefault="005163C3" w:rsidP="005163C3">
      <w:pPr>
        <w:numPr>
          <w:ilvl w:val="0"/>
          <w:numId w:val="8"/>
        </w:numPr>
        <w:spacing w:after="120"/>
        <w:jc w:val="both"/>
        <w:rPr>
          <w:color w:val="000000" w:themeColor="text1"/>
          <w:sz w:val="24"/>
          <w:szCs w:val="24"/>
        </w:rPr>
      </w:pPr>
      <w:r>
        <w:rPr>
          <w:color w:val="000000" w:themeColor="text1"/>
          <w:sz w:val="24"/>
          <w:szCs w:val="24"/>
        </w:rPr>
        <w:t>Amnesty International also noted that hundreds of political opposition members have faced unfair trials in terrorism-related prosecutions. For example, the police arrested the prominent Oromo Liberation Front member Colonel Gemechu Ayana and detained him for eight months.</w:t>
      </w:r>
      <w:r>
        <w:rPr>
          <w:rStyle w:val="FootnoteReference"/>
          <w:color w:val="000000" w:themeColor="text1"/>
          <w:sz w:val="24"/>
          <w:szCs w:val="24"/>
        </w:rPr>
        <w:footnoteReference w:id="38"/>
      </w:r>
    </w:p>
    <w:p w14:paraId="16B4C1AA" w14:textId="4ECAF282" w:rsidR="00085935" w:rsidRPr="00111994" w:rsidRDefault="00111994" w:rsidP="00E114C5">
      <w:pPr>
        <w:keepNext/>
        <w:numPr>
          <w:ilvl w:val="0"/>
          <w:numId w:val="9"/>
        </w:numPr>
        <w:spacing w:before="240" w:after="120"/>
        <w:ind w:left="720" w:hanging="360"/>
        <w:rPr>
          <w:b/>
          <w:color w:val="auto"/>
          <w:sz w:val="24"/>
          <w:szCs w:val="24"/>
        </w:rPr>
      </w:pPr>
      <w:r w:rsidRPr="00111994">
        <w:rPr>
          <w:b/>
          <w:color w:val="auto"/>
          <w:sz w:val="24"/>
          <w:szCs w:val="24"/>
        </w:rPr>
        <w:t xml:space="preserve">Suggested </w:t>
      </w:r>
      <w:r w:rsidR="00EA0EEB">
        <w:rPr>
          <w:b/>
          <w:color w:val="auto"/>
          <w:sz w:val="24"/>
          <w:szCs w:val="24"/>
        </w:rPr>
        <w:t>questions</w:t>
      </w:r>
      <w:r w:rsidR="00255789">
        <w:rPr>
          <w:b/>
          <w:color w:val="auto"/>
          <w:sz w:val="24"/>
          <w:szCs w:val="24"/>
        </w:rPr>
        <w:t xml:space="preserve"> for</w:t>
      </w:r>
      <w:r w:rsidR="000A66B8">
        <w:rPr>
          <w:b/>
          <w:color w:val="auto"/>
          <w:sz w:val="24"/>
          <w:szCs w:val="24"/>
        </w:rPr>
        <w:t xml:space="preserve"> the Government of </w:t>
      </w:r>
      <w:r w:rsidR="00E75C89">
        <w:rPr>
          <w:b/>
          <w:color w:val="auto"/>
          <w:sz w:val="24"/>
          <w:szCs w:val="24"/>
        </w:rPr>
        <w:t>Ethiopia:</w:t>
      </w:r>
    </w:p>
    <w:p w14:paraId="0F684A2C" w14:textId="49D7BFB9" w:rsidR="00E75C89" w:rsidRDefault="00E75C89" w:rsidP="00E75C89">
      <w:pPr>
        <w:numPr>
          <w:ilvl w:val="0"/>
          <w:numId w:val="11"/>
        </w:numPr>
        <w:spacing w:after="120"/>
        <w:jc w:val="both"/>
        <w:rPr>
          <w:color w:val="auto"/>
          <w:sz w:val="24"/>
          <w:szCs w:val="24"/>
        </w:rPr>
      </w:pPr>
      <w:r w:rsidRPr="00E75C89">
        <w:rPr>
          <w:color w:val="auto"/>
          <w:sz w:val="24"/>
          <w:szCs w:val="24"/>
        </w:rPr>
        <w:t>What steps have Ethiopian authorities taken to reduce the number of crimes eligible for the death penalty and to limit the availability of the death penalty to the “most serious” crimes in accordance with the International Covenant on Civil and Political Rights</w:t>
      </w:r>
      <w:r>
        <w:rPr>
          <w:color w:val="auto"/>
          <w:sz w:val="24"/>
          <w:szCs w:val="24"/>
        </w:rPr>
        <w:t>?</w:t>
      </w:r>
    </w:p>
    <w:p w14:paraId="56A21FFB" w14:textId="5F487233" w:rsidR="00E5351F" w:rsidRPr="00E5351F" w:rsidRDefault="001D4F6A" w:rsidP="00E5351F">
      <w:pPr>
        <w:numPr>
          <w:ilvl w:val="0"/>
          <w:numId w:val="11"/>
        </w:numPr>
        <w:spacing w:after="120"/>
        <w:jc w:val="both"/>
        <w:rPr>
          <w:color w:val="auto"/>
          <w:sz w:val="24"/>
          <w:szCs w:val="24"/>
        </w:rPr>
      </w:pPr>
      <w:r>
        <w:rPr>
          <w:color w:val="auto"/>
          <w:sz w:val="24"/>
          <w:szCs w:val="24"/>
        </w:rPr>
        <w:t>U</w:t>
      </w:r>
      <w:r w:rsidR="00E5351F">
        <w:rPr>
          <w:color w:val="auto"/>
          <w:sz w:val="24"/>
          <w:szCs w:val="24"/>
        </w:rPr>
        <w:t>nder the new Prevention and Suppression of Terrorism Crimes Proclamation No. 1176/2020</w:t>
      </w:r>
      <w:r>
        <w:rPr>
          <w:color w:val="auto"/>
          <w:sz w:val="24"/>
          <w:szCs w:val="24"/>
        </w:rPr>
        <w:t>, what offenses are eligible for the death penalty and in what circumstances</w:t>
      </w:r>
      <w:r w:rsidR="00E5351F">
        <w:rPr>
          <w:color w:val="auto"/>
          <w:sz w:val="24"/>
          <w:szCs w:val="24"/>
        </w:rPr>
        <w:t>?</w:t>
      </w:r>
    </w:p>
    <w:p w14:paraId="2EF22CB6" w14:textId="45EBED0B" w:rsidR="00E75C89" w:rsidRDefault="00E75C89" w:rsidP="00E75C89">
      <w:pPr>
        <w:numPr>
          <w:ilvl w:val="0"/>
          <w:numId w:val="11"/>
        </w:numPr>
        <w:spacing w:after="120"/>
        <w:jc w:val="both"/>
        <w:rPr>
          <w:color w:val="auto"/>
          <w:sz w:val="24"/>
          <w:szCs w:val="24"/>
        </w:rPr>
      </w:pPr>
      <w:r w:rsidRPr="00E75C89">
        <w:rPr>
          <w:color w:val="auto"/>
          <w:sz w:val="24"/>
          <w:szCs w:val="24"/>
        </w:rPr>
        <w:t xml:space="preserve">How many people are currently </w:t>
      </w:r>
      <w:r w:rsidR="001746B7">
        <w:rPr>
          <w:color w:val="auto"/>
          <w:sz w:val="24"/>
          <w:szCs w:val="24"/>
        </w:rPr>
        <w:t>under sentence of</w:t>
      </w:r>
      <w:r w:rsidRPr="00E75C89">
        <w:rPr>
          <w:color w:val="auto"/>
          <w:sz w:val="24"/>
          <w:szCs w:val="24"/>
        </w:rPr>
        <w:t xml:space="preserve"> death? What are the crimes for which they were convicted? How long have they been imprisoned on death row?</w:t>
      </w:r>
    </w:p>
    <w:p w14:paraId="3FE2B2B5" w14:textId="17AD9EFF" w:rsidR="00E8163E" w:rsidRPr="00E75C89" w:rsidRDefault="00E8163E" w:rsidP="00E8163E">
      <w:pPr>
        <w:numPr>
          <w:ilvl w:val="0"/>
          <w:numId w:val="11"/>
        </w:numPr>
        <w:spacing w:after="120"/>
        <w:jc w:val="both"/>
        <w:rPr>
          <w:color w:val="auto"/>
          <w:sz w:val="24"/>
          <w:szCs w:val="24"/>
        </w:rPr>
      </w:pPr>
      <w:r w:rsidRPr="00E75C89">
        <w:rPr>
          <w:color w:val="auto"/>
          <w:sz w:val="24"/>
          <w:szCs w:val="24"/>
        </w:rPr>
        <w:t>Please provide disaggregated data broken down by age</w:t>
      </w:r>
      <w:r w:rsidR="0032106E">
        <w:rPr>
          <w:color w:val="auto"/>
          <w:sz w:val="24"/>
          <w:szCs w:val="24"/>
        </w:rPr>
        <w:t xml:space="preserve"> (including current age and age </w:t>
      </w:r>
      <w:r w:rsidR="001A55B1">
        <w:rPr>
          <w:color w:val="auto"/>
          <w:sz w:val="24"/>
          <w:szCs w:val="24"/>
        </w:rPr>
        <w:t>at</w:t>
      </w:r>
      <w:r w:rsidR="0032106E">
        <w:rPr>
          <w:color w:val="auto"/>
          <w:sz w:val="24"/>
          <w:szCs w:val="24"/>
        </w:rPr>
        <w:t xml:space="preserve"> the </w:t>
      </w:r>
      <w:r w:rsidR="001A55B1">
        <w:rPr>
          <w:color w:val="auto"/>
          <w:sz w:val="24"/>
          <w:szCs w:val="24"/>
        </w:rPr>
        <w:t xml:space="preserve">time </w:t>
      </w:r>
      <w:r w:rsidR="0032106E">
        <w:rPr>
          <w:color w:val="auto"/>
          <w:sz w:val="24"/>
          <w:szCs w:val="24"/>
        </w:rPr>
        <w:t xml:space="preserve">of the </w:t>
      </w:r>
      <w:r w:rsidR="001A55B1">
        <w:rPr>
          <w:color w:val="auto"/>
          <w:sz w:val="24"/>
          <w:szCs w:val="24"/>
        </w:rPr>
        <w:t>offense)</w:t>
      </w:r>
      <w:r w:rsidRPr="00E75C89">
        <w:rPr>
          <w:color w:val="auto"/>
          <w:sz w:val="24"/>
          <w:szCs w:val="24"/>
        </w:rPr>
        <w:t xml:space="preserve">, </w:t>
      </w:r>
      <w:r w:rsidR="00935EC2">
        <w:rPr>
          <w:color w:val="auto"/>
          <w:sz w:val="24"/>
          <w:szCs w:val="24"/>
        </w:rPr>
        <w:t xml:space="preserve">race and </w:t>
      </w:r>
      <w:r w:rsidRPr="00E75C89">
        <w:rPr>
          <w:color w:val="auto"/>
          <w:sz w:val="24"/>
          <w:szCs w:val="24"/>
        </w:rPr>
        <w:t xml:space="preserve">ethnicity, nationality, and sex relating to all persons sentenced to death or executed during the reporting period, including: the crimes of conviction; location and date of arrest; </w:t>
      </w:r>
      <w:r w:rsidR="004A4A73">
        <w:rPr>
          <w:color w:val="auto"/>
          <w:sz w:val="24"/>
          <w:szCs w:val="24"/>
        </w:rPr>
        <w:t>duration of pre-trial detention; date legal counsel was provided or obtained;</w:t>
      </w:r>
      <w:r w:rsidRPr="00E75C89">
        <w:rPr>
          <w:color w:val="auto"/>
          <w:sz w:val="24"/>
          <w:szCs w:val="24"/>
        </w:rPr>
        <w:t xml:space="preserve"> location, date, and duration of trial; date of sentencing; location of post-trial detention; and location and date of execution, if applicable. </w:t>
      </w:r>
    </w:p>
    <w:p w14:paraId="58D279B7" w14:textId="77777777" w:rsidR="00E8163E" w:rsidRDefault="00E8163E" w:rsidP="00E8163E">
      <w:pPr>
        <w:numPr>
          <w:ilvl w:val="0"/>
          <w:numId w:val="11"/>
        </w:numPr>
        <w:spacing w:after="120"/>
        <w:jc w:val="both"/>
        <w:rPr>
          <w:color w:val="auto"/>
          <w:sz w:val="24"/>
          <w:szCs w:val="24"/>
        </w:rPr>
      </w:pPr>
      <w:r w:rsidRPr="00E75C89">
        <w:rPr>
          <w:color w:val="auto"/>
          <w:sz w:val="24"/>
          <w:szCs w:val="24"/>
        </w:rPr>
        <w:t xml:space="preserve">What procedures are in place to promote public transparency with respect to criminal proceedings in which a person may be sentenced to death and with respect to death sentences and executions? </w:t>
      </w:r>
    </w:p>
    <w:p w14:paraId="1BAA1AD6" w14:textId="5BB329BB" w:rsidR="00E75C89" w:rsidRDefault="00E75C89" w:rsidP="00E75C89">
      <w:pPr>
        <w:numPr>
          <w:ilvl w:val="0"/>
          <w:numId w:val="11"/>
        </w:numPr>
        <w:spacing w:after="120"/>
        <w:jc w:val="both"/>
        <w:rPr>
          <w:color w:val="auto"/>
          <w:sz w:val="24"/>
          <w:szCs w:val="24"/>
        </w:rPr>
      </w:pPr>
      <w:r w:rsidRPr="00E75C89">
        <w:rPr>
          <w:color w:val="auto"/>
          <w:sz w:val="24"/>
          <w:szCs w:val="24"/>
        </w:rPr>
        <w:t>What procedures exist when a defendant in a criminal proceeding alleges having been tortured or otherwise ill-treated? What measures are taken to hold persons who commit acts of torture accountable and to compensate victims of torture?</w:t>
      </w:r>
    </w:p>
    <w:p w14:paraId="3F19192C" w14:textId="3D326887" w:rsidR="00E8163E" w:rsidRDefault="00E8163E" w:rsidP="00E8163E">
      <w:pPr>
        <w:numPr>
          <w:ilvl w:val="0"/>
          <w:numId w:val="11"/>
        </w:numPr>
        <w:spacing w:after="120"/>
        <w:jc w:val="both"/>
        <w:rPr>
          <w:color w:val="auto"/>
          <w:sz w:val="24"/>
          <w:szCs w:val="24"/>
        </w:rPr>
      </w:pPr>
      <w:r w:rsidRPr="00E8163E">
        <w:rPr>
          <w:color w:val="auto"/>
          <w:sz w:val="24"/>
          <w:szCs w:val="24"/>
        </w:rPr>
        <w:t xml:space="preserve">Please describe the extent to which the State provides systematic training to law enforcement, prosecutors, investigators, prison officials, and judicial officers regarding human rights as a standard component of </w:t>
      </w:r>
      <w:r w:rsidR="00F0618A">
        <w:rPr>
          <w:color w:val="auto"/>
          <w:sz w:val="24"/>
          <w:szCs w:val="24"/>
        </w:rPr>
        <w:t xml:space="preserve">training </w:t>
      </w:r>
      <w:r w:rsidRPr="00E8163E">
        <w:rPr>
          <w:color w:val="auto"/>
          <w:sz w:val="24"/>
          <w:szCs w:val="24"/>
        </w:rPr>
        <w:t>curricula, covering the topics of the prohibition of torture, interrogation techniques</w:t>
      </w:r>
      <w:r w:rsidR="00785A48">
        <w:rPr>
          <w:color w:val="auto"/>
          <w:sz w:val="24"/>
          <w:szCs w:val="24"/>
        </w:rPr>
        <w:t xml:space="preserve"> that comply with international human rights standards</w:t>
      </w:r>
      <w:r w:rsidRPr="00E8163E">
        <w:rPr>
          <w:color w:val="auto"/>
          <w:sz w:val="24"/>
          <w:szCs w:val="24"/>
        </w:rPr>
        <w:t>, conditions of detention</w:t>
      </w:r>
      <w:r w:rsidR="00785A48">
        <w:rPr>
          <w:color w:val="auto"/>
          <w:sz w:val="24"/>
          <w:szCs w:val="24"/>
        </w:rPr>
        <w:t>,</w:t>
      </w:r>
      <w:r w:rsidRPr="00E8163E">
        <w:rPr>
          <w:color w:val="auto"/>
          <w:sz w:val="24"/>
          <w:szCs w:val="24"/>
        </w:rPr>
        <w:t xml:space="preserve"> and the treatment of </w:t>
      </w:r>
      <w:r w:rsidR="00785A48">
        <w:rPr>
          <w:color w:val="auto"/>
          <w:sz w:val="24"/>
          <w:szCs w:val="24"/>
        </w:rPr>
        <w:t>people in detention</w:t>
      </w:r>
      <w:r w:rsidRPr="00E8163E">
        <w:rPr>
          <w:color w:val="auto"/>
          <w:sz w:val="24"/>
          <w:szCs w:val="24"/>
        </w:rPr>
        <w:t>.</w:t>
      </w:r>
    </w:p>
    <w:p w14:paraId="1EFBD745" w14:textId="5F5AA50A" w:rsidR="00E8163E" w:rsidRPr="00E8163E" w:rsidRDefault="0004002A" w:rsidP="00E8163E">
      <w:pPr>
        <w:numPr>
          <w:ilvl w:val="0"/>
          <w:numId w:val="11"/>
        </w:numPr>
        <w:spacing w:after="120"/>
        <w:jc w:val="both"/>
        <w:rPr>
          <w:color w:val="auto"/>
          <w:sz w:val="24"/>
          <w:szCs w:val="24"/>
        </w:rPr>
      </w:pPr>
      <w:r>
        <w:rPr>
          <w:color w:val="auto"/>
          <w:sz w:val="24"/>
          <w:szCs w:val="24"/>
        </w:rPr>
        <w:t>What steps has</w:t>
      </w:r>
      <w:r w:rsidR="00E8163E" w:rsidRPr="00E8163E">
        <w:rPr>
          <w:color w:val="auto"/>
          <w:sz w:val="24"/>
          <w:szCs w:val="24"/>
        </w:rPr>
        <w:t xml:space="preserve"> the State </w:t>
      </w:r>
      <w:r>
        <w:rPr>
          <w:color w:val="auto"/>
          <w:sz w:val="24"/>
          <w:szCs w:val="24"/>
        </w:rPr>
        <w:t xml:space="preserve">taken to </w:t>
      </w:r>
      <w:r w:rsidR="00E8163E" w:rsidRPr="00E8163E">
        <w:rPr>
          <w:color w:val="auto"/>
          <w:sz w:val="24"/>
          <w:szCs w:val="24"/>
        </w:rPr>
        <w:t>ensure that no coerced or forced confession is accepted as evidence in court, except against a person accused of torture or other ill-treatment as evidence that the “confession” or other statement was made?</w:t>
      </w:r>
    </w:p>
    <w:p w14:paraId="73B731FF" w14:textId="77777777" w:rsidR="00052461" w:rsidRDefault="00E75C89" w:rsidP="00052461">
      <w:pPr>
        <w:numPr>
          <w:ilvl w:val="0"/>
          <w:numId w:val="11"/>
        </w:numPr>
        <w:spacing w:after="120"/>
        <w:jc w:val="both"/>
        <w:rPr>
          <w:color w:val="auto"/>
          <w:sz w:val="24"/>
          <w:szCs w:val="24"/>
        </w:rPr>
      </w:pPr>
      <w:r w:rsidRPr="00E75C89">
        <w:rPr>
          <w:color w:val="auto"/>
          <w:sz w:val="24"/>
          <w:szCs w:val="24"/>
        </w:rPr>
        <w:t>What concrete measures is the government taking to ensure respect for the rights of defendants to a fair trial and adequate legal representation</w:t>
      </w:r>
      <w:r w:rsidR="00E8163E">
        <w:rPr>
          <w:color w:val="auto"/>
          <w:sz w:val="24"/>
          <w:szCs w:val="24"/>
        </w:rPr>
        <w:t xml:space="preserve">, particularly in terrorism-related cases and </w:t>
      </w:r>
      <w:r w:rsidR="001E4E2C">
        <w:rPr>
          <w:color w:val="auto"/>
          <w:sz w:val="24"/>
          <w:szCs w:val="24"/>
        </w:rPr>
        <w:t>in other cases in which the defendant is at risk of being sentenced to death</w:t>
      </w:r>
      <w:r w:rsidR="00052461">
        <w:rPr>
          <w:color w:val="auto"/>
          <w:sz w:val="24"/>
          <w:szCs w:val="24"/>
        </w:rPr>
        <w:t>?</w:t>
      </w:r>
    </w:p>
    <w:p w14:paraId="2B45023A" w14:textId="22B03042" w:rsidR="00B87996" w:rsidRDefault="005E5E1F" w:rsidP="00052461">
      <w:pPr>
        <w:numPr>
          <w:ilvl w:val="0"/>
          <w:numId w:val="11"/>
        </w:numPr>
        <w:spacing w:after="120"/>
        <w:jc w:val="both"/>
        <w:rPr>
          <w:color w:val="auto"/>
          <w:sz w:val="24"/>
          <w:szCs w:val="24"/>
        </w:rPr>
      </w:pPr>
      <w:r>
        <w:rPr>
          <w:color w:val="auto"/>
          <w:sz w:val="24"/>
          <w:szCs w:val="24"/>
        </w:rPr>
        <w:t>What steps has the State taken to expand the provision of legal aid, particularly for people at risk of being sentenced to death, and to reduce barriers to the provision of legal aid</w:t>
      </w:r>
      <w:r w:rsidR="00F11A9F">
        <w:rPr>
          <w:color w:val="auto"/>
          <w:sz w:val="24"/>
          <w:szCs w:val="24"/>
        </w:rPr>
        <w:t xml:space="preserve"> under the </w:t>
      </w:r>
      <w:r w:rsidR="00F01B7A">
        <w:rPr>
          <w:color w:val="auto"/>
          <w:sz w:val="24"/>
          <w:szCs w:val="24"/>
        </w:rPr>
        <w:t>new Civil Society Organizations Agency Proclamation No. 1113/2019?</w:t>
      </w:r>
    </w:p>
    <w:p w14:paraId="7999C7FD" w14:textId="5AD67240" w:rsidR="00052461" w:rsidRPr="00052461" w:rsidRDefault="00052461" w:rsidP="00052461">
      <w:pPr>
        <w:numPr>
          <w:ilvl w:val="0"/>
          <w:numId w:val="11"/>
        </w:numPr>
        <w:spacing w:after="120"/>
        <w:jc w:val="both"/>
        <w:rPr>
          <w:color w:val="auto"/>
          <w:sz w:val="24"/>
          <w:szCs w:val="24"/>
        </w:rPr>
      </w:pPr>
      <w:r w:rsidRPr="00052461">
        <w:rPr>
          <w:color w:val="auto"/>
          <w:sz w:val="24"/>
          <w:szCs w:val="24"/>
        </w:rPr>
        <w:t>How does the State ensure and protect the full independence and impartiality of the judiciary and guarantee that it is free to operate without pressure and interference from the executive?</w:t>
      </w:r>
    </w:p>
    <w:sectPr w:rsidR="00052461" w:rsidRPr="00052461" w:rsidSect="004B1E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B6A6" w14:textId="77777777" w:rsidR="007E2566" w:rsidRDefault="007E2566">
      <w:r>
        <w:separator/>
      </w:r>
    </w:p>
  </w:endnote>
  <w:endnote w:type="continuationSeparator" w:id="0">
    <w:p w14:paraId="46F593D2" w14:textId="77777777" w:rsidR="007E2566" w:rsidRDefault="007E2566">
      <w:r>
        <w:continuationSeparator/>
      </w:r>
    </w:p>
  </w:endnote>
  <w:endnote w:type="continuationNotice" w:id="1">
    <w:p w14:paraId="3F307E5A" w14:textId="77777777" w:rsidR="007E2566" w:rsidRDefault="007E2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DDB5" w14:textId="77777777" w:rsidR="00CC2638" w:rsidRDefault="00CC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58AA" w14:textId="77777777" w:rsidR="00E1106B" w:rsidRDefault="00E1106B">
    <w:pPr>
      <w:pStyle w:val="Footer"/>
      <w:jc w:val="center"/>
    </w:pPr>
    <w:r>
      <w:fldChar w:fldCharType="begin"/>
    </w:r>
    <w:r>
      <w:instrText xml:space="preserve"> PAGE   \* MERGEFORMAT </w:instrText>
    </w:r>
    <w:r>
      <w:fldChar w:fldCharType="separate"/>
    </w:r>
    <w:r>
      <w:rPr>
        <w:noProof/>
      </w:rPr>
      <w:t>2</w:t>
    </w:r>
    <w:r>
      <w:rPr>
        <w:noProof/>
      </w:rPr>
      <w:fldChar w:fldCharType="end"/>
    </w:r>
  </w:p>
  <w:p w14:paraId="564D39EA" w14:textId="77777777" w:rsidR="00E1106B" w:rsidRPr="00C26130" w:rsidRDefault="00E1106B" w:rsidP="00C26130">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EA66" w14:textId="00508656" w:rsidR="00E1106B" w:rsidRPr="000F3447" w:rsidRDefault="00E1106B"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0" behindDoc="0" locked="0" layoutInCell="1" allowOverlap="1" wp14:anchorId="1143C779" wp14:editId="37F9AC37">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0A3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w:pict>
        </mc:Fallback>
      </mc:AlternateContent>
    </w:r>
  </w:p>
  <w:p w14:paraId="716E099E" w14:textId="77777777" w:rsidR="00E1106B" w:rsidRPr="000F3447" w:rsidRDefault="00E1106B" w:rsidP="000F3447">
    <w:pPr>
      <w:widowControl w:val="0"/>
      <w:jc w:val="center"/>
      <w:rPr>
        <w:i/>
        <w:iCs/>
        <w:color w:val="542344"/>
        <w:lang w:val="en"/>
      </w:rPr>
    </w:pPr>
    <w:r w:rsidRPr="000F3447">
      <w:rPr>
        <w:color w:val="333333"/>
        <w:lang w:val="en"/>
      </w:rPr>
      <w:t>330 Second Avenue South • Suite 800 • Minneapolis, MN 55401 • USA</w:t>
    </w:r>
  </w:p>
  <w:p w14:paraId="2573E5F1" w14:textId="7C6A7649" w:rsidR="00E1106B" w:rsidRPr="000F3447" w:rsidRDefault="00E1106B" w:rsidP="000F3447">
    <w:pPr>
      <w:widowControl w:val="0"/>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F865" w14:textId="77777777" w:rsidR="007E2566" w:rsidRDefault="007E2566">
      <w:r>
        <w:separator/>
      </w:r>
    </w:p>
  </w:footnote>
  <w:footnote w:type="continuationSeparator" w:id="0">
    <w:p w14:paraId="47100A46" w14:textId="77777777" w:rsidR="007E2566" w:rsidRDefault="007E2566">
      <w:r>
        <w:continuationSeparator/>
      </w:r>
    </w:p>
  </w:footnote>
  <w:footnote w:type="continuationNotice" w:id="1">
    <w:p w14:paraId="047DE656" w14:textId="77777777" w:rsidR="007E2566" w:rsidRDefault="007E2566"/>
  </w:footnote>
  <w:footnote w:id="2">
    <w:p w14:paraId="5218CBAD" w14:textId="05494F15" w:rsidR="00E1106B" w:rsidRPr="009B4F93" w:rsidRDefault="00E1106B"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Reuters, </w:t>
      </w:r>
      <w:r w:rsidRPr="009B4F93">
        <w:rPr>
          <w:i/>
          <w:color w:val="000000" w:themeColor="text1"/>
        </w:rPr>
        <w:t>Ethiopia carries out rare execution</w:t>
      </w:r>
      <w:r w:rsidRPr="009B4F93">
        <w:rPr>
          <w:color w:val="000000" w:themeColor="text1"/>
        </w:rPr>
        <w:t>, Aug. 6, 2007, https://www.reuters.com/article/idUSL06550887.</w:t>
      </w:r>
    </w:p>
  </w:footnote>
  <w:footnote w:id="3">
    <w:p w14:paraId="369F6650" w14:textId="579B2FEA" w:rsidR="00E1106B" w:rsidRPr="009B4F93" w:rsidRDefault="00E1106B"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UN General Assembly Resolution 73/175, U.N. Doc. A/73/PV.55 (Dec. 17, 2018), also available online at https://undocs.org/en/A/73/PV.55</w:t>
      </w:r>
      <w:r w:rsidRPr="009B4F93">
        <w:rPr>
          <w:color w:val="000000" w:themeColor="text1"/>
          <w:kern w:val="0"/>
        </w:rPr>
        <w:t xml:space="preserve">. </w:t>
      </w:r>
    </w:p>
  </w:footnote>
  <w:footnote w:id="4">
    <w:p w14:paraId="7D80B81D" w14:textId="701152F4" w:rsidR="00E1106B" w:rsidRPr="009B4F93" w:rsidRDefault="00E1106B"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w:t>
      </w:r>
      <w:r w:rsidR="0019360F" w:rsidRPr="009B4F93">
        <w:rPr>
          <w:color w:val="000000" w:themeColor="text1"/>
          <w:kern w:val="0"/>
        </w:rPr>
        <w:t xml:space="preserve">Prevention and Suppression of Terrorism Crimes Proclamation No. 1176/2020, </w:t>
      </w:r>
      <w:r w:rsidR="002C326C" w:rsidRPr="009B4F93">
        <w:rPr>
          <w:color w:val="000000" w:themeColor="text1"/>
          <w:kern w:val="0"/>
        </w:rPr>
        <w:t xml:space="preserve">Part 2, </w:t>
      </w:r>
      <w:r w:rsidR="002C326C" w:rsidRPr="009B4F93">
        <w:rPr>
          <w:color w:val="000000" w:themeColor="text1"/>
        </w:rPr>
        <w:t>Section 3, ¶ 2</w:t>
      </w:r>
      <w:r w:rsidR="00E6771B" w:rsidRPr="009B4F93">
        <w:rPr>
          <w:color w:val="000000" w:themeColor="text1"/>
          <w:kern w:val="0"/>
        </w:rPr>
        <w:t xml:space="preserve"> (Ethiopia).; </w:t>
      </w:r>
      <w:r w:rsidRPr="009B4F93">
        <w:rPr>
          <w:color w:val="000000" w:themeColor="text1"/>
          <w:kern w:val="0"/>
        </w:rPr>
        <w:t xml:space="preserve">Prevention and Suppression of Trafficking in Persons and Smuggling of Migrants Proclamation No. 909/2015, Part Two, </w:t>
      </w:r>
      <w:r w:rsidRPr="009B4F93">
        <w:rPr>
          <w:color w:val="000000" w:themeColor="text1"/>
        </w:rPr>
        <w:t>¶</w:t>
      </w:r>
      <w:r w:rsidR="006F79F4" w:rsidRPr="009B4F93">
        <w:rPr>
          <w:color w:val="000000" w:themeColor="text1"/>
        </w:rPr>
        <w:t xml:space="preserve"> </w:t>
      </w:r>
      <w:r w:rsidRPr="009B4F93">
        <w:rPr>
          <w:color w:val="000000" w:themeColor="text1"/>
          <w:kern w:val="0"/>
        </w:rPr>
        <w:t>6 (Ethiopia).</w:t>
      </w:r>
    </w:p>
  </w:footnote>
  <w:footnote w:id="5">
    <w:p w14:paraId="3C1903B8" w14:textId="035A61EE"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w:t>
      </w:r>
      <w:r w:rsidR="006F79F4" w:rsidRPr="009B4F93">
        <w:rPr>
          <w:color w:val="000000" w:themeColor="text1"/>
        </w:rPr>
        <w:t xml:space="preserve"> </w:t>
      </w:r>
      <w:r w:rsidRPr="009B4F93">
        <w:rPr>
          <w:color w:val="000000" w:themeColor="text1"/>
        </w:rPr>
        <w:t xml:space="preserve">19. </w:t>
      </w:r>
    </w:p>
  </w:footnote>
  <w:footnote w:id="6">
    <w:p w14:paraId="44871BCB" w14:textId="0B17F1C8"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w:t>
      </w:r>
      <w:r w:rsidR="006F79F4" w:rsidRPr="009B4F93">
        <w:rPr>
          <w:color w:val="000000" w:themeColor="text1"/>
        </w:rPr>
        <w:t xml:space="preserve"> </w:t>
      </w:r>
      <w:r w:rsidRPr="009B4F93">
        <w:rPr>
          <w:color w:val="000000" w:themeColor="text1"/>
        </w:rPr>
        <w:t xml:space="preserve">20. </w:t>
      </w:r>
    </w:p>
  </w:footnote>
  <w:footnote w:id="7">
    <w:p w14:paraId="511417C0" w14:textId="30A349FE"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w:t>
      </w:r>
      <w:r w:rsidR="006F79F4" w:rsidRPr="009B4F93">
        <w:rPr>
          <w:color w:val="000000" w:themeColor="text1"/>
        </w:rPr>
        <w:t xml:space="preserve"> </w:t>
      </w:r>
      <w:r w:rsidRPr="009B4F93">
        <w:rPr>
          <w:color w:val="000000" w:themeColor="text1"/>
        </w:rPr>
        <w:t xml:space="preserve">16. </w:t>
      </w:r>
    </w:p>
  </w:footnote>
  <w:footnote w:id="8">
    <w:p w14:paraId="1F051F2E" w14:textId="0B8772A2" w:rsidR="00836E32" w:rsidRPr="009B4F93" w:rsidRDefault="00836E32"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0072241D" w:rsidRPr="009B4F93">
        <w:rPr>
          <w:i/>
          <w:color w:val="000000" w:themeColor="text1"/>
        </w:rPr>
        <w:t>Second periodic report submitted by Ethiopia under article 40 of the Covenant, due in 2014</w:t>
      </w:r>
      <w:r w:rsidR="0072241D" w:rsidRPr="009B4F93">
        <w:rPr>
          <w:color w:val="000000" w:themeColor="text1"/>
        </w:rPr>
        <w:t>, U.N. Doc. CCPR/C/ETH/2</w:t>
      </w:r>
      <w:r w:rsidR="006F79F4" w:rsidRPr="009B4F93">
        <w:rPr>
          <w:color w:val="000000" w:themeColor="text1"/>
        </w:rPr>
        <w:t>, ¶</w:t>
      </w:r>
      <w:r w:rsidR="009E3218" w:rsidRPr="009B4F93">
        <w:rPr>
          <w:color w:val="000000" w:themeColor="text1"/>
        </w:rPr>
        <w:t xml:space="preserve"> </w:t>
      </w:r>
      <w:r w:rsidR="00A66954" w:rsidRPr="009B4F93">
        <w:rPr>
          <w:color w:val="000000" w:themeColor="text1"/>
        </w:rPr>
        <w:t xml:space="preserve">51. </w:t>
      </w:r>
    </w:p>
  </w:footnote>
  <w:footnote w:id="9">
    <w:p w14:paraId="327A2F3E" w14:textId="751D991A" w:rsidR="00361919" w:rsidRPr="009B4F93" w:rsidRDefault="00361919"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Second periodic report submitted by Ethiopia under article 40 of the Covenant, due in 2014</w:t>
      </w:r>
      <w:r w:rsidRPr="009B4F93">
        <w:rPr>
          <w:color w:val="000000" w:themeColor="text1"/>
        </w:rPr>
        <w:t>, U.N. Doc. CCPR/C/ETH/2, ¶</w:t>
      </w:r>
      <w:r w:rsidR="009E3218" w:rsidRPr="009B4F93">
        <w:rPr>
          <w:color w:val="000000" w:themeColor="text1"/>
        </w:rPr>
        <w:t xml:space="preserve"> </w:t>
      </w:r>
      <w:r w:rsidRPr="009B4F93">
        <w:rPr>
          <w:color w:val="000000" w:themeColor="text1"/>
        </w:rPr>
        <w:t>52.</w:t>
      </w:r>
    </w:p>
  </w:footnote>
  <w:footnote w:id="10">
    <w:p w14:paraId="059F34B6" w14:textId="77777777" w:rsidR="00943DAE" w:rsidRPr="009B4F93" w:rsidRDefault="00943DAE"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 xml:space="preserve">Report of the Working Group on the Universal Periodic Review: Ethiopia </w:t>
      </w:r>
      <w:r w:rsidRPr="009B4F93">
        <w:rPr>
          <w:color w:val="000000" w:themeColor="text1"/>
        </w:rPr>
        <w:t>(July 5, 2019), U.N. Doc. A/HRC/42/14, ¶¶ 163.18 Ratify the Optional Protocol to the International Covenant on Civil and Political Rights and the Second Optional Protocol to the International Covenant on Civil and Political Rights, aiming at the abolition of the death penalty (Spain); 163.20 Ratify international human rights instruments such as the Optional Protocols to the International Covenant on Civil and Political Rights (Estonia); 163.21 Consider acceding to the Optional Protocol to the International Covenant on Civil and Political Rights and the Second Optional Protocol to the International Covenant on Civil and Political Rights aiming at the abolition of the death penalty, and the Optional Protocol to the Convention on the Elimination of All Forms of Discrimination against Women (Ukraine); 163.22 Ratify the Second Optional Protocol to the International Covenant on Civil and Political Rights, aiming at the abolition of the death penalty (Montenegro); 163.23 Ratify the Second Optional Protocol to the International Covenant on Civil and Political Rights, aiming at the abolition of the death penalty (Croatia); 163.24 Ratify the Second Optional Protocol to the International Covenant on Civil and Political Rights, aiming at the abolition of the death penalty (Cyprus); 163.25 Ratify the Second Optional Protocol to the International Covenant on Civil and Political Rights (Czechia); 163.145 Abolish the death penalty (Iceland); 163.146 Consider adopting a de jure moratorium on executions with a view to formally abolishing the death penalty (Italy); 163.147 Abolish definitively the death penalty and ratify the Second Optional Protocol to the International Covenant on Civil and Political Rights, aiming at the abolition of the death penalty (Luxembourg); 163.148 Abolish the death penalty and ratify the Second Optional Protocol to the International Covenant on Civil and Political Rights (Portugal); 163.149 Consider imposing a de facto moratorium on the use of the death penalty with a view to its total abolition (Rwanda); 163.150 Formally abolish the death penalty by removing capital punishment from the Penal Code (Sweden); 163.151 Establish a formal moratorium on the death penalty as a step towards its complete abolition (Australia); 163.152 Abolish the death penalty (Costa Rica).</w:t>
      </w:r>
    </w:p>
  </w:footnote>
  <w:footnote w:id="11">
    <w:p w14:paraId="731B83C9" w14:textId="2A546586" w:rsidR="00AA2B84" w:rsidRPr="009B4F93" w:rsidRDefault="00AA2B84"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Addendum to the Report of the Working Group on the Universal Periodic Review: Ethiopia</w:t>
      </w:r>
      <w:r w:rsidRPr="009B4F93">
        <w:rPr>
          <w:color w:val="000000" w:themeColor="text1"/>
        </w:rPr>
        <w:t xml:space="preserve"> (July 5, 2019)</w:t>
      </w:r>
      <w:r w:rsidR="009E3218" w:rsidRPr="009B4F93">
        <w:rPr>
          <w:color w:val="000000" w:themeColor="text1"/>
        </w:rPr>
        <w:t>, U.N. Doc. A/HRC/42/14/Add.1, ¶ 3.</w:t>
      </w:r>
    </w:p>
  </w:footnote>
  <w:footnote w:id="12">
    <w:p w14:paraId="518C0D55" w14:textId="27DE1BF9" w:rsidR="00E1106B" w:rsidRPr="009B4F93" w:rsidRDefault="00E1106B"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Reuters, </w:t>
      </w:r>
      <w:r w:rsidRPr="009B4F93">
        <w:rPr>
          <w:i/>
          <w:color w:val="000000" w:themeColor="text1"/>
        </w:rPr>
        <w:t>Ethiopia carries out rare execution</w:t>
      </w:r>
      <w:r w:rsidRPr="009B4F93">
        <w:rPr>
          <w:color w:val="000000" w:themeColor="text1"/>
        </w:rPr>
        <w:t>, Aug. 6, 2007, https://www.reuters.com/article/idUSL06550887.</w:t>
      </w:r>
    </w:p>
  </w:footnote>
  <w:footnote w:id="13">
    <w:p w14:paraId="31658243" w14:textId="5986B852"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The Criminal Code of the Federal Democratic Republic of Ethiopia, art. 117(3), Proclamation No. 414/2004 (Ethiopia). </w:t>
      </w:r>
    </w:p>
  </w:footnote>
  <w:footnote w:id="14">
    <w:p w14:paraId="550C3D0A" w14:textId="77777777" w:rsidR="00EB710B" w:rsidRPr="00EB710B" w:rsidRDefault="00E1106B" w:rsidP="009B4F93">
      <w:pPr>
        <w:jc w:val="both"/>
        <w:rPr>
          <w:color w:val="auto"/>
        </w:rPr>
      </w:pPr>
      <w:r w:rsidRPr="00EB710B">
        <w:rPr>
          <w:rStyle w:val="FootnoteReference"/>
          <w:color w:val="auto"/>
        </w:rPr>
        <w:footnoteRef/>
      </w:r>
      <w:r w:rsidRPr="00EB710B">
        <w:rPr>
          <w:color w:val="auto"/>
        </w:rPr>
        <w:t xml:space="preserve"> </w:t>
      </w:r>
      <w:r w:rsidR="00314DF9" w:rsidRPr="00EB710B">
        <w:rPr>
          <w:color w:val="auto"/>
        </w:rPr>
        <w:t xml:space="preserve">Amnesty International, </w:t>
      </w:r>
      <w:r w:rsidR="0068618D" w:rsidRPr="00EB710B">
        <w:rPr>
          <w:i/>
          <w:color w:val="auto"/>
        </w:rPr>
        <w:t>Death Sentences and Executions 2017</w:t>
      </w:r>
      <w:r w:rsidR="0068618D" w:rsidRPr="00EB710B">
        <w:rPr>
          <w:color w:val="auto"/>
        </w:rPr>
        <w:t>,</w:t>
      </w:r>
      <w:r w:rsidR="00A35024" w:rsidRPr="00EB710B">
        <w:rPr>
          <w:color w:val="auto"/>
        </w:rPr>
        <w:t xml:space="preserve"> ACT 50/7955/2018, </w:t>
      </w:r>
      <w:r w:rsidR="009C17B5" w:rsidRPr="00EB710B">
        <w:rPr>
          <w:color w:val="auto"/>
        </w:rPr>
        <w:t>2018</w:t>
      </w:r>
      <w:r w:rsidR="00A35024" w:rsidRPr="00EB710B">
        <w:rPr>
          <w:color w:val="auto"/>
        </w:rPr>
        <w:t xml:space="preserve">, also available online at </w:t>
      </w:r>
    </w:p>
    <w:p w14:paraId="41B02714" w14:textId="77777777" w:rsidR="00EB710B" w:rsidRPr="00EB710B" w:rsidRDefault="00CC2638" w:rsidP="009B4F93">
      <w:pPr>
        <w:jc w:val="both"/>
        <w:rPr>
          <w:color w:val="auto"/>
        </w:rPr>
      </w:pPr>
      <w:hyperlink r:id="rId1" w:history="1">
        <w:r w:rsidR="00A35024" w:rsidRPr="00EB710B">
          <w:rPr>
            <w:rStyle w:val="Hyperlink"/>
            <w:color w:val="auto"/>
            <w:u w:val="none"/>
          </w:rPr>
          <w:t>https://www.amnesty.org/download/Documents/ACT5079552018ENGLISH.PDF</w:t>
        </w:r>
      </w:hyperlink>
      <w:r w:rsidR="00A35024" w:rsidRPr="00EB710B">
        <w:rPr>
          <w:color w:val="auto"/>
          <w:kern w:val="0"/>
        </w:rPr>
        <w:t>.</w:t>
      </w:r>
      <w:r w:rsidR="00144283" w:rsidRPr="00EB710B">
        <w:rPr>
          <w:color w:val="auto"/>
          <w:kern w:val="0"/>
        </w:rPr>
        <w:t xml:space="preserve">; </w:t>
      </w:r>
      <w:r w:rsidR="00144283" w:rsidRPr="00EB710B">
        <w:rPr>
          <w:color w:val="auto"/>
        </w:rPr>
        <w:t xml:space="preserve">Amnesty International, </w:t>
      </w:r>
      <w:r w:rsidR="00144283" w:rsidRPr="00EB710B">
        <w:rPr>
          <w:i/>
          <w:color w:val="auto"/>
        </w:rPr>
        <w:t>Death Sentences and Executions 201</w:t>
      </w:r>
      <w:r w:rsidR="00A713A9" w:rsidRPr="00EB710B">
        <w:rPr>
          <w:i/>
          <w:color w:val="auto"/>
        </w:rPr>
        <w:t>8</w:t>
      </w:r>
      <w:r w:rsidR="00144283" w:rsidRPr="00EB710B">
        <w:rPr>
          <w:color w:val="auto"/>
        </w:rPr>
        <w:t xml:space="preserve">, </w:t>
      </w:r>
      <w:r w:rsidR="00A713A9" w:rsidRPr="00EB710B">
        <w:rPr>
          <w:color w:val="auto"/>
        </w:rPr>
        <w:t>ACT 50/9870/2019, 2019</w:t>
      </w:r>
      <w:r w:rsidR="00F47941" w:rsidRPr="00EB710B">
        <w:rPr>
          <w:color w:val="auto"/>
        </w:rPr>
        <w:t>,</w:t>
      </w:r>
      <w:r w:rsidR="00A713A9" w:rsidRPr="00EB710B">
        <w:rPr>
          <w:color w:val="auto"/>
        </w:rPr>
        <w:t xml:space="preserve"> also available online at </w:t>
      </w:r>
    </w:p>
    <w:p w14:paraId="0C35968C" w14:textId="77777777" w:rsidR="00EB710B" w:rsidRPr="00EB710B" w:rsidRDefault="00CC2638" w:rsidP="009B4F93">
      <w:pPr>
        <w:jc w:val="both"/>
        <w:rPr>
          <w:color w:val="auto"/>
        </w:rPr>
      </w:pPr>
      <w:hyperlink r:id="rId2" w:history="1">
        <w:r w:rsidR="00A713A9" w:rsidRPr="00EB710B">
          <w:rPr>
            <w:rStyle w:val="Hyperlink"/>
            <w:color w:val="auto"/>
            <w:u w:val="none"/>
          </w:rPr>
          <w:t>https://www.amnesty.org/download/Documents/ACT5098702019ENGLISH.PDF</w:t>
        </w:r>
      </w:hyperlink>
      <w:r w:rsidR="00A713A9" w:rsidRPr="00EB710B">
        <w:rPr>
          <w:color w:val="auto"/>
          <w:kern w:val="0"/>
        </w:rPr>
        <w:t xml:space="preserve">.; </w:t>
      </w:r>
      <w:r w:rsidR="00F47941" w:rsidRPr="00EB710B">
        <w:rPr>
          <w:color w:val="auto"/>
        </w:rPr>
        <w:t xml:space="preserve">Amnesty International, </w:t>
      </w:r>
      <w:r w:rsidR="00F47941" w:rsidRPr="00EB710B">
        <w:rPr>
          <w:i/>
          <w:color w:val="auto"/>
        </w:rPr>
        <w:t>Death Sentences and Executions 2019</w:t>
      </w:r>
      <w:r w:rsidR="00F47941" w:rsidRPr="00EB710B">
        <w:rPr>
          <w:color w:val="auto"/>
        </w:rPr>
        <w:t xml:space="preserve">, ACT 50/1846/2020, 2020, also available online at </w:t>
      </w:r>
    </w:p>
    <w:p w14:paraId="24BFE972" w14:textId="7A8D2275" w:rsidR="00E1106B" w:rsidRPr="009B4F93" w:rsidRDefault="00CC2638" w:rsidP="009B4F93">
      <w:pPr>
        <w:jc w:val="both"/>
        <w:rPr>
          <w:color w:val="000000" w:themeColor="text1"/>
          <w:kern w:val="0"/>
        </w:rPr>
      </w:pPr>
      <w:hyperlink r:id="rId3" w:history="1">
        <w:r w:rsidR="00F47941" w:rsidRPr="00EB710B">
          <w:rPr>
            <w:rStyle w:val="Hyperlink"/>
            <w:color w:val="auto"/>
            <w:u w:val="none"/>
          </w:rPr>
          <w:t>https://www.amnesty.org/download/Documents/ACT5018472020ENGLISH.PDF</w:t>
        </w:r>
      </w:hyperlink>
      <w:r w:rsidR="00F47941" w:rsidRPr="00EB710B">
        <w:rPr>
          <w:color w:val="auto"/>
        </w:rPr>
        <w:t>.</w:t>
      </w:r>
      <w:r w:rsidR="00E1106B" w:rsidRPr="00EB710B">
        <w:rPr>
          <w:color w:val="auto"/>
        </w:rPr>
        <w:t xml:space="preserve"> </w:t>
      </w:r>
    </w:p>
  </w:footnote>
  <w:footnote w:id="15">
    <w:p w14:paraId="7E61BA50" w14:textId="74EFBC30"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kern w:val="0"/>
        </w:rPr>
        <w:t xml:space="preserve">Anti-Terrorism Proclamation No.652/2009, Part Two, </w:t>
      </w:r>
      <w:r w:rsidRPr="009B4F93">
        <w:rPr>
          <w:color w:val="000000" w:themeColor="text1"/>
        </w:rPr>
        <w:t>¶</w:t>
      </w:r>
      <w:r w:rsidRPr="009B4F93">
        <w:rPr>
          <w:color w:val="000000" w:themeColor="text1"/>
          <w:kern w:val="0"/>
        </w:rPr>
        <w:t>3 (Ethiopia).</w:t>
      </w:r>
    </w:p>
  </w:footnote>
  <w:footnote w:id="16">
    <w:p w14:paraId="04E5B210" w14:textId="00410B81" w:rsidR="009D4931" w:rsidRPr="009B4F93" w:rsidRDefault="009D4931"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w:t>
      </w:r>
      <w:r w:rsidRPr="009B4F93">
        <w:rPr>
          <w:color w:val="000000" w:themeColor="text1"/>
          <w:kern w:val="0"/>
        </w:rPr>
        <w:t xml:space="preserve">Prevention and Suppression of Terrorism Crimes Proclamation No. 1176/2020, Part 2, </w:t>
      </w:r>
      <w:r w:rsidRPr="009B4F93">
        <w:rPr>
          <w:color w:val="000000" w:themeColor="text1"/>
        </w:rPr>
        <w:t>Section 3, ¶ 1-2</w:t>
      </w:r>
      <w:r w:rsidRPr="009B4F93">
        <w:rPr>
          <w:color w:val="000000" w:themeColor="text1"/>
          <w:kern w:val="0"/>
        </w:rPr>
        <w:t xml:space="preserve"> (Ethiopia).</w:t>
      </w:r>
    </w:p>
  </w:footnote>
  <w:footnote w:id="17">
    <w:p w14:paraId="5545ABA5" w14:textId="70910DB8" w:rsidR="00E1106B" w:rsidRPr="009B4F93" w:rsidRDefault="00E1106B"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w:t>
      </w:r>
      <w:r w:rsidRPr="009B4F93">
        <w:rPr>
          <w:color w:val="000000" w:themeColor="text1"/>
          <w:kern w:val="0"/>
        </w:rPr>
        <w:t xml:space="preserve">Prevention and Suppression of Trafficking in Persons and Smuggling of Migrants Proclamation No. 909/2015, Part Two, </w:t>
      </w:r>
      <w:r w:rsidRPr="009B4F93">
        <w:rPr>
          <w:color w:val="000000" w:themeColor="text1"/>
        </w:rPr>
        <w:t>¶</w:t>
      </w:r>
      <w:r w:rsidRPr="009B4F93">
        <w:rPr>
          <w:color w:val="000000" w:themeColor="text1"/>
          <w:kern w:val="0"/>
        </w:rPr>
        <w:t>6 (Ethiopia).</w:t>
      </w:r>
    </w:p>
  </w:footnote>
  <w:footnote w:id="18">
    <w:p w14:paraId="17A58E5F" w14:textId="50A234A3" w:rsidR="00424C10" w:rsidRPr="009B4F93" w:rsidRDefault="00424C10"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 17.</w:t>
      </w:r>
    </w:p>
  </w:footnote>
  <w:footnote w:id="19">
    <w:p w14:paraId="72814B13" w14:textId="5FF7DEBE" w:rsidR="000A72BA" w:rsidRPr="009B4F93" w:rsidRDefault="000A72BA"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 18.</w:t>
      </w:r>
    </w:p>
  </w:footnote>
  <w:footnote w:id="20">
    <w:p w14:paraId="16E2BC52" w14:textId="07941D56" w:rsidR="000A72BA" w:rsidRPr="009B4F93" w:rsidRDefault="000A72BA"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 18.</w:t>
      </w:r>
    </w:p>
  </w:footnote>
  <w:footnote w:id="21">
    <w:p w14:paraId="49F3B6CC" w14:textId="68A4F3FB" w:rsidR="00E1106B" w:rsidRPr="009F3825" w:rsidRDefault="00E1106B" w:rsidP="009B4F93">
      <w:pPr>
        <w:pStyle w:val="FootnoteText"/>
        <w:jc w:val="both"/>
        <w:rPr>
          <w:i/>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National report submitted in accordance with paragraph 5 of</w:t>
      </w:r>
      <w:r w:rsidR="009F3825">
        <w:rPr>
          <w:i/>
          <w:color w:val="000000" w:themeColor="text1"/>
        </w:rPr>
        <w:t xml:space="preserve"> </w:t>
      </w:r>
      <w:r w:rsidRPr="009B4F93">
        <w:rPr>
          <w:i/>
          <w:color w:val="000000" w:themeColor="text1"/>
        </w:rPr>
        <w:t xml:space="preserve">the annex to Human Rights Council resolution 16/21: Ethiopia </w:t>
      </w:r>
      <w:r w:rsidRPr="009B4F93">
        <w:rPr>
          <w:color w:val="000000" w:themeColor="text1"/>
        </w:rPr>
        <w:t xml:space="preserve">(Feb. 25, 2019), U.N. Doc. A/HRC/WG.6/33/ETH/1, ¶ 39. </w:t>
      </w:r>
    </w:p>
  </w:footnote>
  <w:footnote w:id="22">
    <w:p w14:paraId="384CDA3D" w14:textId="0D8C1F5E" w:rsidR="00E1106B" w:rsidRPr="00EB710B" w:rsidRDefault="00E1106B" w:rsidP="009B4F93">
      <w:pPr>
        <w:pStyle w:val="FootnoteText"/>
        <w:jc w:val="both"/>
        <w:rPr>
          <w:i/>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National report submitted in accordance with paragraph 5 of</w:t>
      </w:r>
      <w:r w:rsidR="00EB710B">
        <w:rPr>
          <w:i/>
          <w:color w:val="000000" w:themeColor="text1"/>
        </w:rPr>
        <w:t xml:space="preserve"> </w:t>
      </w:r>
      <w:r w:rsidRPr="009B4F93">
        <w:rPr>
          <w:i/>
          <w:color w:val="000000" w:themeColor="text1"/>
        </w:rPr>
        <w:t xml:space="preserve">the annex to Human Rights Council resolution 16/21: Ethiopia </w:t>
      </w:r>
      <w:r w:rsidRPr="009B4F93">
        <w:rPr>
          <w:color w:val="000000" w:themeColor="text1"/>
        </w:rPr>
        <w:t>(Feb. 25, 2019), U.N. Doc. A/HRC/WG.6/33/ETH/1, ¶¶ 40-41.</w:t>
      </w:r>
    </w:p>
  </w:footnote>
  <w:footnote w:id="23">
    <w:p w14:paraId="227D817F" w14:textId="0891D00B" w:rsidR="000112BC" w:rsidRPr="009B4F93" w:rsidRDefault="000112BC"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 xml:space="preserve">Report of the Working Group on the Universal Periodic Review: Ethiopia </w:t>
      </w:r>
      <w:r w:rsidRPr="009B4F93">
        <w:rPr>
          <w:color w:val="000000" w:themeColor="text1"/>
        </w:rPr>
        <w:t>(July 5, 2019), U.N. Doc. A/HRC/42/14, ¶¶ 163.55 Consider incorporating into its legislation a definition of torture in line with the Convention against Torture (Brazil); 163.153 Introduce a definition of torture in the Penal Code that covers all of the elements contained in article 1 of the Convention against Torture (Kyrgyzstan); 163.154 Continue to prioritize the prevention of acts of torture and cruel or degrading treatment, and ensure that accountability constitutes the core of ongoing political reforms (South Africa); 163.155 Adopt all necessary measures so that acts of torture are not repeated, by ensuring that those responsible are brought to justice (Spain); 163.156 Continue strengthening laws and policies on the prevention of acts of torture and cruel or degrading treatment by senior officials and, in particular, by the armed forces (Botswana); 163.157 Continue independent and transparent investigations into all allegations of torture in places of detention (Czechia).</w:t>
      </w:r>
      <w:r w:rsidR="009E3218" w:rsidRPr="009B4F93">
        <w:rPr>
          <w:color w:val="000000" w:themeColor="text1"/>
        </w:rPr>
        <w:t xml:space="preserve">; Human Rights Council, </w:t>
      </w:r>
      <w:r w:rsidR="009E3218" w:rsidRPr="009B4F93">
        <w:rPr>
          <w:i/>
          <w:color w:val="000000" w:themeColor="text1"/>
        </w:rPr>
        <w:t>Addendum to the Report of the Working Group on the Universal Periodic Review: Ethiopia</w:t>
      </w:r>
      <w:r w:rsidR="009E3218" w:rsidRPr="009B4F93">
        <w:rPr>
          <w:color w:val="000000" w:themeColor="text1"/>
        </w:rPr>
        <w:t xml:space="preserve"> (July 5, 2019), U.N. Doc. A/HRC/42/14/Add.1, ¶ 3.</w:t>
      </w:r>
    </w:p>
  </w:footnote>
  <w:footnote w:id="24">
    <w:p w14:paraId="0B79DA01" w14:textId="4BEFC097" w:rsidR="00E1106B" w:rsidRPr="009B4F93" w:rsidRDefault="00E1106B"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Human Rights Watch, “Ethiopia Events of 2019,” accessed Aug. 3, 2020, https://www.hrw.org/world-report/2020/country-chapters/ethiopia. </w:t>
      </w:r>
    </w:p>
  </w:footnote>
  <w:footnote w:id="25">
    <w:p w14:paraId="0A40584A" w14:textId="77777777" w:rsidR="00A400E0" w:rsidRDefault="00E1106B" w:rsidP="009B4F93">
      <w:pPr>
        <w:jc w:val="both"/>
        <w:rPr>
          <w:color w:val="000000" w:themeColor="text1"/>
        </w:rPr>
      </w:pPr>
      <w:r w:rsidRPr="009B4F93">
        <w:rPr>
          <w:rStyle w:val="FootnoteReference"/>
          <w:color w:val="000000" w:themeColor="text1"/>
        </w:rPr>
        <w:footnoteRef/>
      </w:r>
      <w:r w:rsidRPr="009B4F93">
        <w:rPr>
          <w:color w:val="000000" w:themeColor="text1"/>
        </w:rPr>
        <w:t xml:space="preserve"> Amnesty International, “Ethiopia 2019,” accessed Aug. 5, 2020, </w:t>
      </w:r>
    </w:p>
    <w:p w14:paraId="5D8EF8A4" w14:textId="44910381" w:rsidR="00E1106B" w:rsidRPr="009B4F93" w:rsidRDefault="00E1106B" w:rsidP="009B4F93">
      <w:pPr>
        <w:jc w:val="both"/>
        <w:rPr>
          <w:color w:val="000000" w:themeColor="text1"/>
          <w:kern w:val="0"/>
        </w:rPr>
      </w:pPr>
      <w:r w:rsidRPr="009B4F93">
        <w:rPr>
          <w:color w:val="000000" w:themeColor="text1"/>
        </w:rPr>
        <w:t xml:space="preserve">https://www.amnesty.org/en/countries/africa/ethiopia/report-ethiopia/. </w:t>
      </w:r>
    </w:p>
  </w:footnote>
  <w:footnote w:id="26">
    <w:p w14:paraId="2A35A0BA" w14:textId="30B2A5DB" w:rsidR="00E8163E" w:rsidRPr="009B4F93" w:rsidRDefault="00E8163E"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Association for Human Rights in Ethiopia, </w:t>
      </w:r>
      <w:r w:rsidRPr="009B4F93">
        <w:rPr>
          <w:i/>
          <w:color w:val="000000" w:themeColor="text1"/>
        </w:rPr>
        <w:t>Ethiopian Political Prisoners and Their Accounts of Torture</w:t>
      </w:r>
      <w:r w:rsidRPr="009B4F93">
        <w:rPr>
          <w:color w:val="000000" w:themeColor="text1"/>
        </w:rPr>
        <w:t>, February 2018, 26, also available online at https://ahrethio.org/wp-content/uploads/2018/02/Ethiopian-prisoner-and-their-accounts-of-torture.rep2018.pdf.</w:t>
      </w:r>
    </w:p>
  </w:footnote>
  <w:footnote w:id="27">
    <w:p w14:paraId="4DB17185" w14:textId="485ABCDD" w:rsidR="00E8163E" w:rsidRPr="009B4F93" w:rsidRDefault="00E8163E"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Association for Human Rights in Ethiopia, </w:t>
      </w:r>
      <w:r w:rsidRPr="009B4F93">
        <w:rPr>
          <w:i/>
          <w:color w:val="000000" w:themeColor="text1"/>
        </w:rPr>
        <w:t>Ethiopian Political Prisoners and Their Accounts of Torture</w:t>
      </w:r>
      <w:r w:rsidRPr="009B4F93">
        <w:rPr>
          <w:color w:val="000000" w:themeColor="text1"/>
        </w:rPr>
        <w:t>, February 2018, 25-27, also available online at https://ahrethio.org/wp-content/uploads/2018/02/Ethiopian-prisoner-and-their-accounts-of-torture.rep2018.pdf.</w:t>
      </w:r>
    </w:p>
  </w:footnote>
  <w:footnote w:id="28">
    <w:p w14:paraId="2561D64C" w14:textId="020E26B7" w:rsidR="00B004EF" w:rsidRPr="009B4F93" w:rsidRDefault="00B004EF"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 5</w:t>
      </w:r>
      <w:r w:rsidR="00DE5D0E" w:rsidRPr="009B4F93">
        <w:rPr>
          <w:color w:val="000000" w:themeColor="text1"/>
        </w:rPr>
        <w:t>.</w:t>
      </w:r>
    </w:p>
  </w:footnote>
  <w:footnote w:id="29">
    <w:p w14:paraId="377D7336" w14:textId="10B16F79" w:rsidR="00FB4DCD" w:rsidRPr="009B4F93" w:rsidRDefault="00FB4DCD"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w:t>
      </w:r>
      <w:r w:rsidR="00DE5D0E" w:rsidRPr="009B4F93">
        <w:rPr>
          <w:color w:val="000000" w:themeColor="text1"/>
        </w:rPr>
        <w:t xml:space="preserve">Human Rights Committee, </w:t>
      </w:r>
      <w:r w:rsidR="00DE5D0E" w:rsidRPr="009B4F93">
        <w:rPr>
          <w:i/>
          <w:color w:val="000000" w:themeColor="text1"/>
        </w:rPr>
        <w:t>Concluding observations of the Human Rights Committee, adopted by the Committee at its 102</w:t>
      </w:r>
      <w:r w:rsidR="00DE5D0E" w:rsidRPr="009B4F93">
        <w:rPr>
          <w:i/>
          <w:color w:val="000000" w:themeColor="text1"/>
          <w:vertAlign w:val="superscript"/>
        </w:rPr>
        <w:t>nd</w:t>
      </w:r>
      <w:r w:rsidR="00DE5D0E" w:rsidRPr="009B4F93">
        <w:rPr>
          <w:i/>
          <w:color w:val="000000" w:themeColor="text1"/>
        </w:rPr>
        <w:t xml:space="preserve"> session (July 11 – 29, 2011)</w:t>
      </w:r>
      <w:r w:rsidR="00DE5D0E" w:rsidRPr="009B4F93">
        <w:rPr>
          <w:color w:val="000000" w:themeColor="text1"/>
        </w:rPr>
        <w:t xml:space="preserve">, U.N. Doc. </w:t>
      </w:r>
      <w:r w:rsidR="00DE5D0E" w:rsidRPr="009B4F93">
        <w:rPr>
          <w:color w:val="000000" w:themeColor="text1"/>
          <w:lang w:val="en-GB"/>
        </w:rPr>
        <w:t xml:space="preserve">CCPR/C/ETH/CO/1, </w:t>
      </w:r>
      <w:r w:rsidR="00DE5D0E" w:rsidRPr="009B4F93">
        <w:rPr>
          <w:color w:val="000000" w:themeColor="text1"/>
        </w:rPr>
        <w:t>¶ 20.</w:t>
      </w:r>
    </w:p>
  </w:footnote>
  <w:footnote w:id="30">
    <w:p w14:paraId="3465BE88" w14:textId="429C52BE" w:rsidR="009C6804" w:rsidRPr="009B4F93" w:rsidRDefault="009C6804"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Committee, </w:t>
      </w:r>
      <w:r w:rsidRPr="009B4F93">
        <w:rPr>
          <w:i/>
          <w:color w:val="000000" w:themeColor="text1"/>
        </w:rPr>
        <w:t>Concluding observations of the Human Rights Committee, adopted by the Committee at its 102</w:t>
      </w:r>
      <w:r w:rsidRPr="009B4F93">
        <w:rPr>
          <w:i/>
          <w:color w:val="000000" w:themeColor="text1"/>
          <w:vertAlign w:val="superscript"/>
        </w:rPr>
        <w:t>nd</w:t>
      </w:r>
      <w:r w:rsidRPr="009B4F93">
        <w:rPr>
          <w:i/>
          <w:color w:val="000000" w:themeColor="text1"/>
        </w:rPr>
        <w:t xml:space="preserve"> session (July 11 – 29, 2011)</w:t>
      </w:r>
      <w:r w:rsidRPr="009B4F93">
        <w:rPr>
          <w:color w:val="000000" w:themeColor="text1"/>
        </w:rPr>
        <w:t xml:space="preserve">, U.N. Doc. </w:t>
      </w:r>
      <w:r w:rsidRPr="009B4F93">
        <w:rPr>
          <w:color w:val="000000" w:themeColor="text1"/>
          <w:lang w:val="en-GB"/>
        </w:rPr>
        <w:t xml:space="preserve">CCPR/C/ETH/CO/1, </w:t>
      </w:r>
      <w:r w:rsidRPr="009B4F93">
        <w:rPr>
          <w:color w:val="000000" w:themeColor="text1"/>
        </w:rPr>
        <w:t>¶ 23.</w:t>
      </w:r>
    </w:p>
  </w:footnote>
  <w:footnote w:id="31">
    <w:p w14:paraId="11A5BE9E" w14:textId="7B1660E2" w:rsidR="00E1106B" w:rsidRPr="00EC4C5F" w:rsidRDefault="00E1106B" w:rsidP="009B4F93">
      <w:pPr>
        <w:pStyle w:val="FootnoteText"/>
        <w:jc w:val="both"/>
        <w:rPr>
          <w:i/>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National report submitted in accordance with paragraph 5 of</w:t>
      </w:r>
      <w:r w:rsidR="00EC4C5F">
        <w:rPr>
          <w:i/>
          <w:color w:val="000000" w:themeColor="text1"/>
        </w:rPr>
        <w:t xml:space="preserve"> </w:t>
      </w:r>
      <w:r w:rsidRPr="009B4F93">
        <w:rPr>
          <w:i/>
          <w:color w:val="000000" w:themeColor="text1"/>
        </w:rPr>
        <w:t xml:space="preserve">the annex to Human Rights Council resolution 16/21: Ethiopia </w:t>
      </w:r>
      <w:r w:rsidRPr="009B4F93">
        <w:rPr>
          <w:color w:val="000000" w:themeColor="text1"/>
        </w:rPr>
        <w:t>(Feb. 25, 2019), U.N. Doc. A/HRC/WG.6/33/ETH/1, ¶ 57.</w:t>
      </w:r>
    </w:p>
  </w:footnote>
  <w:footnote w:id="32">
    <w:p w14:paraId="5557C5BF" w14:textId="77777777" w:rsidR="00E1106B" w:rsidRPr="009B4F93" w:rsidRDefault="00E1106B" w:rsidP="009B4F93">
      <w:pPr>
        <w:pStyle w:val="FootnoteText"/>
        <w:jc w:val="both"/>
        <w:rPr>
          <w:i/>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National report submitted in accordance with paragraph 5 of</w:t>
      </w:r>
    </w:p>
    <w:p w14:paraId="30BBAB10" w14:textId="4E6A2041" w:rsidR="00E1106B" w:rsidRPr="009B4F93" w:rsidRDefault="00E1106B" w:rsidP="009B4F93">
      <w:pPr>
        <w:pStyle w:val="FootnoteText"/>
        <w:jc w:val="both"/>
        <w:rPr>
          <w:color w:val="000000" w:themeColor="text1"/>
        </w:rPr>
      </w:pPr>
      <w:r w:rsidRPr="009B4F93">
        <w:rPr>
          <w:i/>
          <w:color w:val="000000" w:themeColor="text1"/>
        </w:rPr>
        <w:t xml:space="preserve">the annex to Human Rights Council resolution 16/21: Ethiopia </w:t>
      </w:r>
      <w:r w:rsidRPr="009B4F93">
        <w:rPr>
          <w:color w:val="000000" w:themeColor="text1"/>
        </w:rPr>
        <w:t>(Feb. 25, 2019), U.N. Doc. A/HRC/WG.6/33/ETH/1, ¶ 60.</w:t>
      </w:r>
    </w:p>
  </w:footnote>
  <w:footnote w:id="33">
    <w:p w14:paraId="097897AC" w14:textId="5D61EDC3" w:rsidR="006D7260" w:rsidRPr="009B4F93" w:rsidRDefault="006D7260" w:rsidP="009B4F93">
      <w:pPr>
        <w:pStyle w:val="FootnoteText"/>
        <w:jc w:val="both"/>
        <w:rPr>
          <w:color w:val="000000" w:themeColor="text1"/>
        </w:rPr>
      </w:pPr>
      <w:r w:rsidRPr="009B4F93">
        <w:rPr>
          <w:rStyle w:val="FootnoteReference"/>
          <w:color w:val="000000" w:themeColor="text1"/>
        </w:rPr>
        <w:footnoteRef/>
      </w:r>
      <w:r w:rsidRPr="009B4F93">
        <w:rPr>
          <w:color w:val="000000" w:themeColor="text1"/>
        </w:rPr>
        <w:t xml:space="preserve"> Human Rights Council, </w:t>
      </w:r>
      <w:r w:rsidRPr="009B4F93">
        <w:rPr>
          <w:i/>
          <w:color w:val="000000" w:themeColor="text1"/>
        </w:rPr>
        <w:t xml:space="preserve">Report of the Working Group on the Universal Periodic Review: Ethiopia </w:t>
      </w:r>
      <w:r w:rsidRPr="009B4F93">
        <w:rPr>
          <w:color w:val="000000" w:themeColor="text1"/>
        </w:rPr>
        <w:t xml:space="preserve">(July 5, 2019), U.N. Doc. A/HRC/42/14, ¶ 10. </w:t>
      </w:r>
    </w:p>
  </w:footnote>
  <w:footnote w:id="34">
    <w:p w14:paraId="739B244E" w14:textId="7A240262" w:rsidR="00943DAE" w:rsidRPr="009B4F93" w:rsidRDefault="00943DAE" w:rsidP="009B4F93">
      <w:pPr>
        <w:jc w:val="both"/>
        <w:rPr>
          <w:color w:val="000000" w:themeColor="text1"/>
          <w:kern w:val="0"/>
        </w:rPr>
      </w:pPr>
      <w:r w:rsidRPr="009B4F93">
        <w:rPr>
          <w:rStyle w:val="FootnoteReference"/>
          <w:color w:val="000000" w:themeColor="text1"/>
        </w:rPr>
        <w:footnoteRef/>
      </w:r>
      <w:r w:rsidRPr="009B4F93">
        <w:rPr>
          <w:color w:val="000000" w:themeColor="text1"/>
        </w:rPr>
        <w:t xml:space="preserve"> </w:t>
      </w:r>
      <w:r w:rsidR="009E3218" w:rsidRPr="009B4F93">
        <w:rPr>
          <w:color w:val="000000" w:themeColor="text1"/>
        </w:rPr>
        <w:t xml:space="preserve">Human Rights Council, </w:t>
      </w:r>
      <w:r w:rsidR="009E3218" w:rsidRPr="009B4F93">
        <w:rPr>
          <w:i/>
          <w:color w:val="000000" w:themeColor="text1"/>
        </w:rPr>
        <w:t xml:space="preserve">Report of the Working Group on the Universal Periodic Review: Ethiopia </w:t>
      </w:r>
      <w:r w:rsidR="009E3218" w:rsidRPr="009B4F93">
        <w:rPr>
          <w:color w:val="000000" w:themeColor="text1"/>
        </w:rPr>
        <w:t xml:space="preserve">(July 5, 2019), U.N. Doc. A/HRC/42/14, ¶¶ </w:t>
      </w:r>
      <w:r w:rsidR="009E3218" w:rsidRPr="009B4F93">
        <w:rPr>
          <w:color w:val="000000" w:themeColor="text1"/>
          <w:kern w:val="0"/>
        </w:rPr>
        <w:t>163.89 Ensure the independence of the Ethiopian Human Rights Commission, the Ombudsman and the judiciary (Germany); 163.106 Take appropriate measures to strengthen the capacity and the independence of the Ethiopian National Human Rights Commission, the Ombudsman and the judiciary (Bulgaria); 163.184 Strengthen the independence and capacity of the judiciary, the Ombudsman and the Ethiopian Human Rights Commission (Netherlands); 163.185 Strengthen the judiciary and its independence, and ensure that the Ethiopian Human Rights Commission functions independently and in line with the Paris Principles (Spain); 163.186 Ensure the independence of the judicial system and continue its efforts towards accountability for past atrocities (Austria); 163.187 Accelerate the pace of reforms to ensure the independence of the judiciary, and amend restrictive legislation, including the Anti-Terror Proclamation, as well as media and electoral laws, in line with international standards (Canada)</w:t>
      </w:r>
      <w:r w:rsidR="00C1198F" w:rsidRPr="009B4F93">
        <w:rPr>
          <w:color w:val="000000" w:themeColor="text1"/>
          <w:kern w:val="0"/>
        </w:rPr>
        <w:t xml:space="preserve">.; </w:t>
      </w:r>
      <w:r w:rsidR="009E3218" w:rsidRPr="009B4F93">
        <w:rPr>
          <w:color w:val="000000" w:themeColor="text1"/>
        </w:rPr>
        <w:t xml:space="preserve">Human Rights Council, </w:t>
      </w:r>
      <w:r w:rsidR="009E3218" w:rsidRPr="009B4F93">
        <w:rPr>
          <w:i/>
          <w:color w:val="000000" w:themeColor="text1"/>
        </w:rPr>
        <w:t>Addendum to the Report of the Working Group on the Universal Periodic Review: Ethiopia</w:t>
      </w:r>
      <w:r w:rsidR="009E3218" w:rsidRPr="009B4F93">
        <w:rPr>
          <w:color w:val="000000" w:themeColor="text1"/>
        </w:rPr>
        <w:t xml:space="preserve"> (July 5, 2019), U.N. Doc. A/HRC/42/14/Add.1, ¶ 3.</w:t>
      </w:r>
    </w:p>
  </w:footnote>
  <w:footnote w:id="35">
    <w:p w14:paraId="2F43C016" w14:textId="77777777" w:rsidR="00A400E0" w:rsidRDefault="00E1106B" w:rsidP="009B4F93">
      <w:pPr>
        <w:pStyle w:val="FootnoteText"/>
        <w:jc w:val="both"/>
        <w:rPr>
          <w:rFonts w:eastAsia="Calibri"/>
          <w:color w:val="000000" w:themeColor="text1"/>
        </w:rPr>
      </w:pPr>
      <w:r w:rsidRPr="009B4F93">
        <w:rPr>
          <w:rStyle w:val="FootnoteReference"/>
          <w:color w:val="000000" w:themeColor="text1"/>
        </w:rPr>
        <w:footnoteRef/>
      </w:r>
      <w:r w:rsidRPr="009B4F93">
        <w:rPr>
          <w:color w:val="000000" w:themeColor="text1"/>
        </w:rPr>
        <w:t xml:space="preserve"> </w:t>
      </w:r>
      <w:r w:rsidRPr="009B4F93">
        <w:rPr>
          <w:rFonts w:eastAsia="Calibri"/>
          <w:color w:val="000000" w:themeColor="text1"/>
        </w:rPr>
        <w:t xml:space="preserve">Amnesty International, </w:t>
      </w:r>
      <w:r w:rsidRPr="009B4F93">
        <w:rPr>
          <w:rFonts w:eastAsia="Calibri"/>
          <w:i/>
          <w:color w:val="000000" w:themeColor="text1"/>
        </w:rPr>
        <w:t>Beyond Law Enforcement: Human rights violations by Ethiopian security forces in Amhara and Oromia</w:t>
      </w:r>
      <w:r w:rsidRPr="009B4F93">
        <w:rPr>
          <w:rFonts w:eastAsia="Calibri"/>
          <w:color w:val="000000" w:themeColor="text1"/>
        </w:rPr>
        <w:t xml:space="preserve">, AFR 25/2358/2020, May 29, 2020, 20, also available online at </w:t>
      </w:r>
    </w:p>
    <w:p w14:paraId="4A710FA6" w14:textId="6187BBFD" w:rsidR="00E1106B" w:rsidRPr="009B4F93" w:rsidRDefault="00E1106B" w:rsidP="009B4F93">
      <w:pPr>
        <w:pStyle w:val="FootnoteText"/>
        <w:jc w:val="both"/>
        <w:rPr>
          <w:color w:val="000000" w:themeColor="text1"/>
        </w:rPr>
      </w:pPr>
      <w:r w:rsidRPr="009B4F93">
        <w:rPr>
          <w:rFonts w:eastAsia="Calibri"/>
          <w:color w:val="000000" w:themeColor="text1"/>
        </w:rPr>
        <w:t>https://www.amnesty.org/en/documents/afr25/2358/2020/en/.</w:t>
      </w:r>
    </w:p>
  </w:footnote>
  <w:footnote w:id="36">
    <w:p w14:paraId="746675EB" w14:textId="77777777" w:rsidR="006C4BA1" w:rsidRDefault="00E1106B" w:rsidP="009B4F93">
      <w:pPr>
        <w:pStyle w:val="FootnoteText"/>
        <w:jc w:val="both"/>
        <w:rPr>
          <w:rFonts w:eastAsia="Calibri"/>
          <w:color w:val="000000" w:themeColor="text1"/>
        </w:rPr>
      </w:pPr>
      <w:r w:rsidRPr="009B4F93">
        <w:rPr>
          <w:rStyle w:val="FootnoteReference"/>
          <w:color w:val="000000" w:themeColor="text1"/>
        </w:rPr>
        <w:footnoteRef/>
      </w:r>
      <w:r w:rsidRPr="009B4F93">
        <w:rPr>
          <w:color w:val="000000" w:themeColor="text1"/>
        </w:rPr>
        <w:t xml:space="preserve"> </w:t>
      </w:r>
      <w:r w:rsidRPr="009B4F93">
        <w:rPr>
          <w:rFonts w:eastAsia="Calibri"/>
          <w:color w:val="000000" w:themeColor="text1"/>
        </w:rPr>
        <w:t xml:space="preserve">Amnesty International, </w:t>
      </w:r>
      <w:r w:rsidRPr="009B4F93">
        <w:rPr>
          <w:rFonts w:eastAsia="Calibri"/>
          <w:i/>
          <w:color w:val="000000" w:themeColor="text1"/>
        </w:rPr>
        <w:t>Beyond Law Enforcement: Human rights violations by Ethiopian security forces in Amhara and Oromia</w:t>
      </w:r>
      <w:r w:rsidRPr="009B4F93">
        <w:rPr>
          <w:rFonts w:eastAsia="Calibri"/>
          <w:color w:val="000000" w:themeColor="text1"/>
        </w:rPr>
        <w:t xml:space="preserve">, AFR 25/2358/2020, May 29, 2020, 20-23, also available online at </w:t>
      </w:r>
    </w:p>
    <w:p w14:paraId="2202253B" w14:textId="27CCBC74" w:rsidR="00E1106B" w:rsidRPr="009B4F93" w:rsidRDefault="00E1106B" w:rsidP="009B4F93">
      <w:pPr>
        <w:pStyle w:val="FootnoteText"/>
        <w:jc w:val="both"/>
        <w:rPr>
          <w:color w:val="000000" w:themeColor="text1"/>
        </w:rPr>
      </w:pPr>
      <w:r w:rsidRPr="009B4F93">
        <w:rPr>
          <w:rFonts w:eastAsia="Calibri"/>
          <w:color w:val="000000" w:themeColor="text1"/>
        </w:rPr>
        <w:t>https://www.amnesty.org/en/documents/afr25/2358/2020/en/.</w:t>
      </w:r>
    </w:p>
  </w:footnote>
  <w:footnote w:id="37">
    <w:p w14:paraId="47BAAC79" w14:textId="77777777" w:rsidR="006C4BA1" w:rsidRDefault="00E1106B" w:rsidP="009B4F93">
      <w:pPr>
        <w:pStyle w:val="FootnoteText"/>
        <w:jc w:val="both"/>
        <w:rPr>
          <w:rFonts w:eastAsia="Calibri"/>
          <w:color w:val="000000" w:themeColor="text1"/>
        </w:rPr>
      </w:pPr>
      <w:r w:rsidRPr="009B4F93">
        <w:rPr>
          <w:rStyle w:val="FootnoteReference"/>
          <w:color w:val="000000" w:themeColor="text1"/>
        </w:rPr>
        <w:footnoteRef/>
      </w:r>
      <w:r w:rsidRPr="009B4F93">
        <w:rPr>
          <w:color w:val="000000" w:themeColor="text1"/>
        </w:rPr>
        <w:t xml:space="preserve"> </w:t>
      </w:r>
      <w:r w:rsidRPr="009B4F93">
        <w:rPr>
          <w:rFonts w:eastAsia="Calibri"/>
          <w:color w:val="000000" w:themeColor="text1"/>
        </w:rPr>
        <w:t xml:space="preserve">Amnesty International, </w:t>
      </w:r>
      <w:r w:rsidRPr="009B4F93">
        <w:rPr>
          <w:rFonts w:eastAsia="Calibri"/>
          <w:i/>
          <w:color w:val="000000" w:themeColor="text1"/>
        </w:rPr>
        <w:t>Beyond Law Enforcement: Human rights violations by Ethiopian security forces in Amhara and Oromia</w:t>
      </w:r>
      <w:r w:rsidRPr="009B4F93">
        <w:rPr>
          <w:rFonts w:eastAsia="Calibri"/>
          <w:color w:val="000000" w:themeColor="text1"/>
        </w:rPr>
        <w:t xml:space="preserve">, AFR 25/2358/2020, May 29, 2020, 23, also available online at </w:t>
      </w:r>
    </w:p>
    <w:p w14:paraId="50F24935" w14:textId="29D411C6" w:rsidR="00E1106B" w:rsidRPr="009B4F93" w:rsidRDefault="00E1106B" w:rsidP="009B4F93">
      <w:pPr>
        <w:pStyle w:val="FootnoteText"/>
        <w:jc w:val="both"/>
        <w:rPr>
          <w:color w:val="000000" w:themeColor="text1"/>
        </w:rPr>
      </w:pPr>
      <w:r w:rsidRPr="009B4F93">
        <w:rPr>
          <w:rFonts w:eastAsia="Calibri"/>
          <w:color w:val="000000" w:themeColor="text1"/>
        </w:rPr>
        <w:t>https://www.amnesty.org/en/documents/afr25/2358/2020/en/.</w:t>
      </w:r>
    </w:p>
  </w:footnote>
  <w:footnote w:id="38">
    <w:p w14:paraId="08469BBD" w14:textId="77777777" w:rsidR="006C4BA1" w:rsidRDefault="005163C3" w:rsidP="009B4F93">
      <w:pPr>
        <w:jc w:val="both"/>
        <w:rPr>
          <w:color w:val="000000" w:themeColor="text1"/>
        </w:rPr>
      </w:pPr>
      <w:r w:rsidRPr="009B4F93">
        <w:rPr>
          <w:rStyle w:val="FootnoteReference"/>
          <w:color w:val="000000" w:themeColor="text1"/>
        </w:rPr>
        <w:footnoteRef/>
      </w:r>
      <w:r w:rsidRPr="009B4F93">
        <w:rPr>
          <w:color w:val="000000" w:themeColor="text1"/>
        </w:rPr>
        <w:t xml:space="preserve"> Amnesty International, “Ethiopia 2019,” accessed Aug. 5, 2020, </w:t>
      </w:r>
    </w:p>
    <w:p w14:paraId="5DAEBEAE" w14:textId="5F778C1A" w:rsidR="005163C3" w:rsidRPr="009B4F93" w:rsidRDefault="005163C3" w:rsidP="009B4F93">
      <w:pPr>
        <w:jc w:val="both"/>
        <w:rPr>
          <w:color w:val="000000" w:themeColor="text1"/>
          <w:kern w:val="0"/>
        </w:rPr>
      </w:pPr>
      <w:r w:rsidRPr="009B4F93">
        <w:rPr>
          <w:color w:val="000000" w:themeColor="text1"/>
        </w:rPr>
        <w:t xml:space="preserve">https://www.amnesty.org/en/countries/africa/ethiopia/report-ethiopia/.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50BC" w14:textId="77777777" w:rsidR="00CC2638" w:rsidRDefault="00CC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568B1E5" w14:paraId="78E393F3" w14:textId="77777777" w:rsidTr="2568B1E5">
      <w:tc>
        <w:tcPr>
          <w:tcW w:w="3120" w:type="dxa"/>
        </w:tcPr>
        <w:p w14:paraId="197D1AC2" w14:textId="08D1DCD3" w:rsidR="2568B1E5" w:rsidRDefault="2568B1E5" w:rsidP="2568B1E5">
          <w:pPr>
            <w:pStyle w:val="Header"/>
            <w:ind w:left="-115"/>
          </w:pPr>
        </w:p>
      </w:tc>
      <w:tc>
        <w:tcPr>
          <w:tcW w:w="3120" w:type="dxa"/>
        </w:tcPr>
        <w:p w14:paraId="35C772EC" w14:textId="424D907F" w:rsidR="2568B1E5" w:rsidRDefault="2568B1E5" w:rsidP="2568B1E5">
          <w:pPr>
            <w:pStyle w:val="Header"/>
            <w:jc w:val="center"/>
          </w:pPr>
        </w:p>
      </w:tc>
      <w:tc>
        <w:tcPr>
          <w:tcW w:w="3120" w:type="dxa"/>
        </w:tcPr>
        <w:p w14:paraId="3660F642" w14:textId="43CCD543" w:rsidR="2568B1E5" w:rsidRDefault="2568B1E5" w:rsidP="2568B1E5">
          <w:pPr>
            <w:pStyle w:val="Header"/>
            <w:ind w:right="-115"/>
            <w:jc w:val="right"/>
          </w:pPr>
        </w:p>
      </w:tc>
    </w:tr>
  </w:tbl>
  <w:p w14:paraId="3C560D35" w14:textId="135B4896" w:rsidR="007F011F" w:rsidRDefault="007F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3ECE" w14:textId="488D92A4" w:rsidR="00E1106B" w:rsidRDefault="00CC2638">
    <w:pPr>
      <w:pStyle w:val="Header"/>
    </w:pPr>
    <w:r w:rsidRPr="00CC2638">
      <w:drawing>
        <wp:anchor distT="0" distB="0" distL="114300" distR="114300" simplePos="0" relativeHeight="251658241" behindDoc="1" locked="0" layoutInCell="1" allowOverlap="1" wp14:anchorId="679CC482" wp14:editId="14A5EB07">
          <wp:simplePos x="0" y="0"/>
          <wp:positionH relativeFrom="column">
            <wp:posOffset>3982085</wp:posOffset>
          </wp:positionH>
          <wp:positionV relativeFrom="paragraph">
            <wp:posOffset>-107315</wp:posOffset>
          </wp:positionV>
          <wp:extent cx="2313940" cy="886460"/>
          <wp:effectExtent l="0" t="0" r="0" b="2540"/>
          <wp:wrapTight wrapText="bothSides">
            <wp:wrapPolygon edited="0">
              <wp:start x="0" y="0"/>
              <wp:lineTo x="0" y="21352"/>
              <wp:lineTo x="21458" y="21352"/>
              <wp:lineTo x="21458"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638">
      <w:drawing>
        <wp:anchor distT="0" distB="0" distL="114300" distR="114300" simplePos="0" relativeHeight="251658242" behindDoc="1" locked="0" layoutInCell="1" allowOverlap="1" wp14:anchorId="18F637A8" wp14:editId="251E40BA">
          <wp:simplePos x="0" y="0"/>
          <wp:positionH relativeFrom="column">
            <wp:posOffset>-93573</wp:posOffset>
          </wp:positionH>
          <wp:positionV relativeFrom="paragraph">
            <wp:posOffset>-22415</wp:posOffset>
          </wp:positionV>
          <wp:extent cx="1323975" cy="600075"/>
          <wp:effectExtent l="0" t="0" r="0" b="0"/>
          <wp:wrapTight wrapText="bothSides">
            <wp:wrapPolygon edited="0">
              <wp:start x="0" y="0"/>
              <wp:lineTo x="0" y="21029"/>
              <wp:lineTo x="21341" y="21029"/>
              <wp:lineTo x="213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97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A07"/>
    <w:multiLevelType w:val="hybridMultilevel"/>
    <w:tmpl w:val="1C427756"/>
    <w:lvl w:ilvl="0" w:tplc="784C9D62">
      <w:start w:val="1"/>
      <w:numFmt w:val="decimal"/>
      <w:lvlText w:val="%1."/>
      <w:lvlJc w:val="left"/>
      <w:pPr>
        <w:ind w:left="1350" w:hanging="360"/>
      </w:pPr>
    </w:lvl>
    <w:lvl w:ilvl="1" w:tplc="2AF2D61C">
      <w:start w:val="1"/>
      <w:numFmt w:val="lowerLetter"/>
      <w:lvlText w:val="%2."/>
      <w:lvlJc w:val="left"/>
      <w:pPr>
        <w:ind w:left="2070" w:hanging="360"/>
      </w:pPr>
    </w:lvl>
    <w:lvl w:ilvl="2" w:tplc="863C3892">
      <w:start w:val="1"/>
      <w:numFmt w:val="lowerRoman"/>
      <w:lvlText w:val="%3."/>
      <w:lvlJc w:val="right"/>
      <w:pPr>
        <w:ind w:left="2790" w:hanging="180"/>
      </w:pPr>
    </w:lvl>
    <w:lvl w:ilvl="3" w:tplc="8CECA96E">
      <w:start w:val="1"/>
      <w:numFmt w:val="decimal"/>
      <w:lvlText w:val="%4."/>
      <w:lvlJc w:val="left"/>
      <w:pPr>
        <w:ind w:left="3510" w:hanging="360"/>
      </w:pPr>
    </w:lvl>
    <w:lvl w:ilvl="4" w:tplc="8626D54C">
      <w:start w:val="1"/>
      <w:numFmt w:val="lowerLetter"/>
      <w:lvlText w:val="%5."/>
      <w:lvlJc w:val="left"/>
      <w:pPr>
        <w:ind w:left="4230" w:hanging="360"/>
      </w:pPr>
    </w:lvl>
    <w:lvl w:ilvl="5" w:tplc="78189242">
      <w:start w:val="1"/>
      <w:numFmt w:val="lowerRoman"/>
      <w:lvlText w:val="%6."/>
      <w:lvlJc w:val="right"/>
      <w:pPr>
        <w:ind w:left="4950" w:hanging="180"/>
      </w:pPr>
    </w:lvl>
    <w:lvl w:ilvl="6" w:tplc="84E013CE">
      <w:start w:val="1"/>
      <w:numFmt w:val="decimal"/>
      <w:lvlText w:val="%7."/>
      <w:lvlJc w:val="left"/>
      <w:pPr>
        <w:ind w:left="5670" w:hanging="360"/>
      </w:pPr>
    </w:lvl>
    <w:lvl w:ilvl="7" w:tplc="1C125102">
      <w:start w:val="1"/>
      <w:numFmt w:val="lowerLetter"/>
      <w:lvlText w:val="%8."/>
      <w:lvlJc w:val="left"/>
      <w:pPr>
        <w:ind w:left="6390" w:hanging="360"/>
      </w:pPr>
    </w:lvl>
    <w:lvl w:ilvl="8" w:tplc="31E23670">
      <w:start w:val="1"/>
      <w:numFmt w:val="lowerRoman"/>
      <w:lvlText w:val="%9."/>
      <w:lvlJc w:val="right"/>
      <w:pPr>
        <w:ind w:left="7110" w:hanging="180"/>
      </w:pPr>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D5153BE"/>
    <w:multiLevelType w:val="hybridMultilevel"/>
    <w:tmpl w:val="20885664"/>
    <w:lvl w:ilvl="0" w:tplc="FFFFFFF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1B3D"/>
    <w:multiLevelType w:val="hybridMultilevel"/>
    <w:tmpl w:val="73DE869C"/>
    <w:lvl w:ilvl="0" w:tplc="D8CEEDE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10A08"/>
    <w:multiLevelType w:val="hybridMultilevel"/>
    <w:tmpl w:val="A6F8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1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4521"/>
    <w:rsid w:val="00004EC0"/>
    <w:rsid w:val="000057A3"/>
    <w:rsid w:val="000112BC"/>
    <w:rsid w:val="00013F77"/>
    <w:rsid w:val="000140BA"/>
    <w:rsid w:val="000201D3"/>
    <w:rsid w:val="0002136B"/>
    <w:rsid w:val="0002465E"/>
    <w:rsid w:val="00025A35"/>
    <w:rsid w:val="00030F59"/>
    <w:rsid w:val="000331C3"/>
    <w:rsid w:val="000342B6"/>
    <w:rsid w:val="00036431"/>
    <w:rsid w:val="0004002A"/>
    <w:rsid w:val="00043535"/>
    <w:rsid w:val="00046377"/>
    <w:rsid w:val="000474A6"/>
    <w:rsid w:val="000502E0"/>
    <w:rsid w:val="00051B3F"/>
    <w:rsid w:val="00052461"/>
    <w:rsid w:val="0005599A"/>
    <w:rsid w:val="00056CF5"/>
    <w:rsid w:val="00063A92"/>
    <w:rsid w:val="00065FB7"/>
    <w:rsid w:val="000734A4"/>
    <w:rsid w:val="000734D0"/>
    <w:rsid w:val="000777C2"/>
    <w:rsid w:val="00081E6C"/>
    <w:rsid w:val="0008238F"/>
    <w:rsid w:val="000825CA"/>
    <w:rsid w:val="000843D9"/>
    <w:rsid w:val="00085935"/>
    <w:rsid w:val="000910FC"/>
    <w:rsid w:val="0009644E"/>
    <w:rsid w:val="00097C31"/>
    <w:rsid w:val="000A1F17"/>
    <w:rsid w:val="000A66B8"/>
    <w:rsid w:val="000A72BA"/>
    <w:rsid w:val="000B042D"/>
    <w:rsid w:val="000B4DB3"/>
    <w:rsid w:val="000C060A"/>
    <w:rsid w:val="000C380B"/>
    <w:rsid w:val="000C6340"/>
    <w:rsid w:val="000D136C"/>
    <w:rsid w:val="000DD384"/>
    <w:rsid w:val="000E1DDC"/>
    <w:rsid w:val="000E3E32"/>
    <w:rsid w:val="000E6028"/>
    <w:rsid w:val="000E6882"/>
    <w:rsid w:val="000E7F71"/>
    <w:rsid w:val="000F1E67"/>
    <w:rsid w:val="000F3447"/>
    <w:rsid w:val="000F56E0"/>
    <w:rsid w:val="001008D1"/>
    <w:rsid w:val="0010724A"/>
    <w:rsid w:val="00111994"/>
    <w:rsid w:val="00116124"/>
    <w:rsid w:val="00121196"/>
    <w:rsid w:val="001215B4"/>
    <w:rsid w:val="00123277"/>
    <w:rsid w:val="00123B10"/>
    <w:rsid w:val="00126A18"/>
    <w:rsid w:val="0013418D"/>
    <w:rsid w:val="00136514"/>
    <w:rsid w:val="00142F2B"/>
    <w:rsid w:val="00143423"/>
    <w:rsid w:val="00144283"/>
    <w:rsid w:val="00144BDB"/>
    <w:rsid w:val="00147EA4"/>
    <w:rsid w:val="00153827"/>
    <w:rsid w:val="001565F9"/>
    <w:rsid w:val="00160BDA"/>
    <w:rsid w:val="00172ACF"/>
    <w:rsid w:val="001746B7"/>
    <w:rsid w:val="0018098B"/>
    <w:rsid w:val="00181B2A"/>
    <w:rsid w:val="0018642B"/>
    <w:rsid w:val="00187735"/>
    <w:rsid w:val="001913DA"/>
    <w:rsid w:val="00192394"/>
    <w:rsid w:val="0019360F"/>
    <w:rsid w:val="001A101F"/>
    <w:rsid w:val="001A457C"/>
    <w:rsid w:val="001A55B1"/>
    <w:rsid w:val="001A59C1"/>
    <w:rsid w:val="001A5ED5"/>
    <w:rsid w:val="001A622E"/>
    <w:rsid w:val="001A7AF4"/>
    <w:rsid w:val="001A7F0A"/>
    <w:rsid w:val="001B1AC4"/>
    <w:rsid w:val="001B27D7"/>
    <w:rsid w:val="001B46C2"/>
    <w:rsid w:val="001B5D49"/>
    <w:rsid w:val="001B5E1E"/>
    <w:rsid w:val="001B76A2"/>
    <w:rsid w:val="001B799A"/>
    <w:rsid w:val="001C35A6"/>
    <w:rsid w:val="001C42EB"/>
    <w:rsid w:val="001D4D68"/>
    <w:rsid w:val="001D4F6A"/>
    <w:rsid w:val="001E3987"/>
    <w:rsid w:val="001E4E2C"/>
    <w:rsid w:val="001E62DC"/>
    <w:rsid w:val="001F0B0F"/>
    <w:rsid w:val="001F387A"/>
    <w:rsid w:val="00202169"/>
    <w:rsid w:val="00204F83"/>
    <w:rsid w:val="00212C59"/>
    <w:rsid w:val="00220D48"/>
    <w:rsid w:val="002234B9"/>
    <w:rsid w:val="002307B9"/>
    <w:rsid w:val="00233310"/>
    <w:rsid w:val="00236B84"/>
    <w:rsid w:val="00237C8C"/>
    <w:rsid w:val="00242F64"/>
    <w:rsid w:val="002439A3"/>
    <w:rsid w:val="00243E14"/>
    <w:rsid w:val="00255789"/>
    <w:rsid w:val="0026048A"/>
    <w:rsid w:val="002647B1"/>
    <w:rsid w:val="00266AA3"/>
    <w:rsid w:val="002702F5"/>
    <w:rsid w:val="00272303"/>
    <w:rsid w:val="00272519"/>
    <w:rsid w:val="00272DB2"/>
    <w:rsid w:val="002734D9"/>
    <w:rsid w:val="00277016"/>
    <w:rsid w:val="00282223"/>
    <w:rsid w:val="002831BD"/>
    <w:rsid w:val="00286564"/>
    <w:rsid w:val="00291BE8"/>
    <w:rsid w:val="002923CC"/>
    <w:rsid w:val="00294873"/>
    <w:rsid w:val="002A0336"/>
    <w:rsid w:val="002A0797"/>
    <w:rsid w:val="002A0D60"/>
    <w:rsid w:val="002A10AD"/>
    <w:rsid w:val="002A2296"/>
    <w:rsid w:val="002A4838"/>
    <w:rsid w:val="002B31F9"/>
    <w:rsid w:val="002C326C"/>
    <w:rsid w:val="002C57BC"/>
    <w:rsid w:val="002D36C6"/>
    <w:rsid w:val="002D4E60"/>
    <w:rsid w:val="002D54AA"/>
    <w:rsid w:val="002D5DB8"/>
    <w:rsid w:val="002E34EA"/>
    <w:rsid w:val="002E7631"/>
    <w:rsid w:val="002F4872"/>
    <w:rsid w:val="00301A5B"/>
    <w:rsid w:val="00307D5E"/>
    <w:rsid w:val="00314702"/>
    <w:rsid w:val="00314DF9"/>
    <w:rsid w:val="00315C53"/>
    <w:rsid w:val="003172ED"/>
    <w:rsid w:val="0032106E"/>
    <w:rsid w:val="00322CB1"/>
    <w:rsid w:val="00327346"/>
    <w:rsid w:val="003359D5"/>
    <w:rsid w:val="00336848"/>
    <w:rsid w:val="003369A6"/>
    <w:rsid w:val="00340484"/>
    <w:rsid w:val="00344140"/>
    <w:rsid w:val="00344556"/>
    <w:rsid w:val="00345B90"/>
    <w:rsid w:val="003460E9"/>
    <w:rsid w:val="00346FD8"/>
    <w:rsid w:val="0035378E"/>
    <w:rsid w:val="0035424D"/>
    <w:rsid w:val="00360325"/>
    <w:rsid w:val="00361919"/>
    <w:rsid w:val="00365CAC"/>
    <w:rsid w:val="00387769"/>
    <w:rsid w:val="00390AC3"/>
    <w:rsid w:val="00390F4F"/>
    <w:rsid w:val="003937C6"/>
    <w:rsid w:val="003A0BC2"/>
    <w:rsid w:val="003A1D3E"/>
    <w:rsid w:val="003A27ED"/>
    <w:rsid w:val="003A66E7"/>
    <w:rsid w:val="003A688D"/>
    <w:rsid w:val="003A6F6D"/>
    <w:rsid w:val="003C04EF"/>
    <w:rsid w:val="003C1E49"/>
    <w:rsid w:val="003C460B"/>
    <w:rsid w:val="003C60FE"/>
    <w:rsid w:val="003C6550"/>
    <w:rsid w:val="003C65BF"/>
    <w:rsid w:val="003D0352"/>
    <w:rsid w:val="003D3771"/>
    <w:rsid w:val="003D760C"/>
    <w:rsid w:val="003F5921"/>
    <w:rsid w:val="00417CE5"/>
    <w:rsid w:val="00424C10"/>
    <w:rsid w:val="00430A63"/>
    <w:rsid w:val="00432D39"/>
    <w:rsid w:val="004449C7"/>
    <w:rsid w:val="00450118"/>
    <w:rsid w:val="00450405"/>
    <w:rsid w:val="00453314"/>
    <w:rsid w:val="00460E44"/>
    <w:rsid w:val="00462809"/>
    <w:rsid w:val="00465E4C"/>
    <w:rsid w:val="004715C5"/>
    <w:rsid w:val="004758EE"/>
    <w:rsid w:val="00476CC4"/>
    <w:rsid w:val="004866AE"/>
    <w:rsid w:val="00490D6A"/>
    <w:rsid w:val="004A17D9"/>
    <w:rsid w:val="004A3136"/>
    <w:rsid w:val="004A4A73"/>
    <w:rsid w:val="004A5B01"/>
    <w:rsid w:val="004A7D93"/>
    <w:rsid w:val="004A7FF9"/>
    <w:rsid w:val="004B1E4E"/>
    <w:rsid w:val="004B4CAF"/>
    <w:rsid w:val="004B73AF"/>
    <w:rsid w:val="004C3C43"/>
    <w:rsid w:val="004C4A3B"/>
    <w:rsid w:val="004D2568"/>
    <w:rsid w:val="004D3EE9"/>
    <w:rsid w:val="004D752D"/>
    <w:rsid w:val="004E7176"/>
    <w:rsid w:val="004E783D"/>
    <w:rsid w:val="004F2465"/>
    <w:rsid w:val="004F34E5"/>
    <w:rsid w:val="004F557B"/>
    <w:rsid w:val="00502DF1"/>
    <w:rsid w:val="0051045C"/>
    <w:rsid w:val="005108F3"/>
    <w:rsid w:val="00512D7B"/>
    <w:rsid w:val="005132BB"/>
    <w:rsid w:val="005163C3"/>
    <w:rsid w:val="00523DA1"/>
    <w:rsid w:val="00524166"/>
    <w:rsid w:val="00524C18"/>
    <w:rsid w:val="00530E13"/>
    <w:rsid w:val="0053348A"/>
    <w:rsid w:val="005336C2"/>
    <w:rsid w:val="00534C5B"/>
    <w:rsid w:val="005360B4"/>
    <w:rsid w:val="005403E3"/>
    <w:rsid w:val="00550D37"/>
    <w:rsid w:val="0055461C"/>
    <w:rsid w:val="00560210"/>
    <w:rsid w:val="00564E7D"/>
    <w:rsid w:val="00566B06"/>
    <w:rsid w:val="00571EF6"/>
    <w:rsid w:val="00577A90"/>
    <w:rsid w:val="005840AD"/>
    <w:rsid w:val="00586059"/>
    <w:rsid w:val="00593E91"/>
    <w:rsid w:val="00596B08"/>
    <w:rsid w:val="00597033"/>
    <w:rsid w:val="0059754B"/>
    <w:rsid w:val="005A0F95"/>
    <w:rsid w:val="005A14D8"/>
    <w:rsid w:val="005A5DF1"/>
    <w:rsid w:val="005B0C1B"/>
    <w:rsid w:val="005B545D"/>
    <w:rsid w:val="005B6CE9"/>
    <w:rsid w:val="005B6ECC"/>
    <w:rsid w:val="005C183B"/>
    <w:rsid w:val="005C5638"/>
    <w:rsid w:val="005C58B6"/>
    <w:rsid w:val="005C5BF7"/>
    <w:rsid w:val="005D1AE7"/>
    <w:rsid w:val="005D3FCA"/>
    <w:rsid w:val="005D4EE6"/>
    <w:rsid w:val="005E5B2C"/>
    <w:rsid w:val="005E5E1F"/>
    <w:rsid w:val="005F2A19"/>
    <w:rsid w:val="00602475"/>
    <w:rsid w:val="0060568A"/>
    <w:rsid w:val="006173C3"/>
    <w:rsid w:val="0061778F"/>
    <w:rsid w:val="00621D61"/>
    <w:rsid w:val="00622519"/>
    <w:rsid w:val="00623A2E"/>
    <w:rsid w:val="00624A10"/>
    <w:rsid w:val="00626C39"/>
    <w:rsid w:val="0063075A"/>
    <w:rsid w:val="00643D7A"/>
    <w:rsid w:val="006450A5"/>
    <w:rsid w:val="00646D29"/>
    <w:rsid w:val="00650173"/>
    <w:rsid w:val="0065259A"/>
    <w:rsid w:val="00652A8D"/>
    <w:rsid w:val="00653E91"/>
    <w:rsid w:val="0066318F"/>
    <w:rsid w:val="0066570F"/>
    <w:rsid w:val="00667374"/>
    <w:rsid w:val="00670D90"/>
    <w:rsid w:val="00672F15"/>
    <w:rsid w:val="006752EF"/>
    <w:rsid w:val="00676E69"/>
    <w:rsid w:val="006834EF"/>
    <w:rsid w:val="0068618D"/>
    <w:rsid w:val="006927DD"/>
    <w:rsid w:val="00693D85"/>
    <w:rsid w:val="006945BB"/>
    <w:rsid w:val="006970D9"/>
    <w:rsid w:val="006A02CF"/>
    <w:rsid w:val="006B3424"/>
    <w:rsid w:val="006B7B89"/>
    <w:rsid w:val="006C4BA1"/>
    <w:rsid w:val="006C774E"/>
    <w:rsid w:val="006D39C4"/>
    <w:rsid w:val="006D7082"/>
    <w:rsid w:val="006D7260"/>
    <w:rsid w:val="006E1E01"/>
    <w:rsid w:val="006E7D5B"/>
    <w:rsid w:val="006F582F"/>
    <w:rsid w:val="006F79F4"/>
    <w:rsid w:val="00711F1D"/>
    <w:rsid w:val="007143B8"/>
    <w:rsid w:val="00716B2F"/>
    <w:rsid w:val="00721A9B"/>
    <w:rsid w:val="0072241D"/>
    <w:rsid w:val="00723AF4"/>
    <w:rsid w:val="007316AA"/>
    <w:rsid w:val="007341F3"/>
    <w:rsid w:val="00734258"/>
    <w:rsid w:val="00741B9C"/>
    <w:rsid w:val="007476C9"/>
    <w:rsid w:val="00747D59"/>
    <w:rsid w:val="00757A1C"/>
    <w:rsid w:val="007637D8"/>
    <w:rsid w:val="00765EBC"/>
    <w:rsid w:val="007719EC"/>
    <w:rsid w:val="0077231B"/>
    <w:rsid w:val="00772431"/>
    <w:rsid w:val="00773891"/>
    <w:rsid w:val="00774426"/>
    <w:rsid w:val="00774643"/>
    <w:rsid w:val="0078092B"/>
    <w:rsid w:val="007838DE"/>
    <w:rsid w:val="00785A48"/>
    <w:rsid w:val="00786B49"/>
    <w:rsid w:val="00792B06"/>
    <w:rsid w:val="00795F27"/>
    <w:rsid w:val="007A0868"/>
    <w:rsid w:val="007A0D0A"/>
    <w:rsid w:val="007A1FF6"/>
    <w:rsid w:val="007A6E12"/>
    <w:rsid w:val="007B26B3"/>
    <w:rsid w:val="007B47D1"/>
    <w:rsid w:val="007C4387"/>
    <w:rsid w:val="007D2FB7"/>
    <w:rsid w:val="007D78D1"/>
    <w:rsid w:val="007E2566"/>
    <w:rsid w:val="007E79C4"/>
    <w:rsid w:val="007F011F"/>
    <w:rsid w:val="007F23A8"/>
    <w:rsid w:val="00804604"/>
    <w:rsid w:val="00807938"/>
    <w:rsid w:val="0081221D"/>
    <w:rsid w:val="00817439"/>
    <w:rsid w:val="008214B4"/>
    <w:rsid w:val="008229CB"/>
    <w:rsid w:val="00826961"/>
    <w:rsid w:val="00826B22"/>
    <w:rsid w:val="0082795B"/>
    <w:rsid w:val="00831968"/>
    <w:rsid w:val="00836428"/>
    <w:rsid w:val="00836E32"/>
    <w:rsid w:val="008402CB"/>
    <w:rsid w:val="00846603"/>
    <w:rsid w:val="00846F9D"/>
    <w:rsid w:val="00847C78"/>
    <w:rsid w:val="00852000"/>
    <w:rsid w:val="00852B97"/>
    <w:rsid w:val="0085371E"/>
    <w:rsid w:val="00857199"/>
    <w:rsid w:val="00865452"/>
    <w:rsid w:val="00865B24"/>
    <w:rsid w:val="00870521"/>
    <w:rsid w:val="008759E4"/>
    <w:rsid w:val="0087642D"/>
    <w:rsid w:val="0088202A"/>
    <w:rsid w:val="00884360"/>
    <w:rsid w:val="008856D7"/>
    <w:rsid w:val="00893D8B"/>
    <w:rsid w:val="00894B6D"/>
    <w:rsid w:val="0089523C"/>
    <w:rsid w:val="008963D7"/>
    <w:rsid w:val="008B1CA3"/>
    <w:rsid w:val="008B68D1"/>
    <w:rsid w:val="008C3B9B"/>
    <w:rsid w:val="008C7B1F"/>
    <w:rsid w:val="008C7B63"/>
    <w:rsid w:val="008D0358"/>
    <w:rsid w:val="008D527E"/>
    <w:rsid w:val="008F0BDD"/>
    <w:rsid w:val="008F20E3"/>
    <w:rsid w:val="008F2420"/>
    <w:rsid w:val="008F2F99"/>
    <w:rsid w:val="008F52BD"/>
    <w:rsid w:val="008F6084"/>
    <w:rsid w:val="008F7965"/>
    <w:rsid w:val="008F7E2A"/>
    <w:rsid w:val="00904889"/>
    <w:rsid w:val="00905522"/>
    <w:rsid w:val="009057C8"/>
    <w:rsid w:val="00905D74"/>
    <w:rsid w:val="00906AB6"/>
    <w:rsid w:val="00917F09"/>
    <w:rsid w:val="00925CF4"/>
    <w:rsid w:val="0093193B"/>
    <w:rsid w:val="00935EC2"/>
    <w:rsid w:val="00943DAE"/>
    <w:rsid w:val="00947170"/>
    <w:rsid w:val="00947B3D"/>
    <w:rsid w:val="0095010B"/>
    <w:rsid w:val="00956D0D"/>
    <w:rsid w:val="00956E94"/>
    <w:rsid w:val="009627A1"/>
    <w:rsid w:val="009712FE"/>
    <w:rsid w:val="00974E48"/>
    <w:rsid w:val="00977EF1"/>
    <w:rsid w:val="00980CF2"/>
    <w:rsid w:val="0098586E"/>
    <w:rsid w:val="009875AD"/>
    <w:rsid w:val="009924AF"/>
    <w:rsid w:val="00992AFE"/>
    <w:rsid w:val="009944DC"/>
    <w:rsid w:val="00996A22"/>
    <w:rsid w:val="00997DA0"/>
    <w:rsid w:val="009A096E"/>
    <w:rsid w:val="009A6531"/>
    <w:rsid w:val="009A7F71"/>
    <w:rsid w:val="009B1FCB"/>
    <w:rsid w:val="009B4F93"/>
    <w:rsid w:val="009B51D7"/>
    <w:rsid w:val="009B54C4"/>
    <w:rsid w:val="009C17B5"/>
    <w:rsid w:val="009C448B"/>
    <w:rsid w:val="009C676C"/>
    <w:rsid w:val="009C6804"/>
    <w:rsid w:val="009D3BEA"/>
    <w:rsid w:val="009D4931"/>
    <w:rsid w:val="009D5161"/>
    <w:rsid w:val="009E3218"/>
    <w:rsid w:val="009E4A6E"/>
    <w:rsid w:val="009E4D16"/>
    <w:rsid w:val="009F12E2"/>
    <w:rsid w:val="009F3358"/>
    <w:rsid w:val="009F3825"/>
    <w:rsid w:val="009F478B"/>
    <w:rsid w:val="009F4EFF"/>
    <w:rsid w:val="009F528B"/>
    <w:rsid w:val="009F56D6"/>
    <w:rsid w:val="009F69C1"/>
    <w:rsid w:val="00A027C8"/>
    <w:rsid w:val="00A21FC7"/>
    <w:rsid w:val="00A23594"/>
    <w:rsid w:val="00A32085"/>
    <w:rsid w:val="00A33BB2"/>
    <w:rsid w:val="00A35024"/>
    <w:rsid w:val="00A400E0"/>
    <w:rsid w:val="00A40EE1"/>
    <w:rsid w:val="00A423ED"/>
    <w:rsid w:val="00A45421"/>
    <w:rsid w:val="00A46A7C"/>
    <w:rsid w:val="00A536F3"/>
    <w:rsid w:val="00A536F8"/>
    <w:rsid w:val="00A66954"/>
    <w:rsid w:val="00A713A9"/>
    <w:rsid w:val="00A72809"/>
    <w:rsid w:val="00A82404"/>
    <w:rsid w:val="00A90185"/>
    <w:rsid w:val="00A91D08"/>
    <w:rsid w:val="00A9205E"/>
    <w:rsid w:val="00A96881"/>
    <w:rsid w:val="00AA281D"/>
    <w:rsid w:val="00AA2B84"/>
    <w:rsid w:val="00AA4DA9"/>
    <w:rsid w:val="00AA6318"/>
    <w:rsid w:val="00AA7FCB"/>
    <w:rsid w:val="00AB3C15"/>
    <w:rsid w:val="00AB59AE"/>
    <w:rsid w:val="00AB5BD9"/>
    <w:rsid w:val="00AC4F12"/>
    <w:rsid w:val="00AD0176"/>
    <w:rsid w:val="00AD0AA1"/>
    <w:rsid w:val="00AD75B9"/>
    <w:rsid w:val="00AE07A3"/>
    <w:rsid w:val="00AE1721"/>
    <w:rsid w:val="00AE2811"/>
    <w:rsid w:val="00AE31F0"/>
    <w:rsid w:val="00AE372A"/>
    <w:rsid w:val="00AE41D6"/>
    <w:rsid w:val="00AF10E7"/>
    <w:rsid w:val="00B004EF"/>
    <w:rsid w:val="00B00B66"/>
    <w:rsid w:val="00B02664"/>
    <w:rsid w:val="00B068AC"/>
    <w:rsid w:val="00B164F6"/>
    <w:rsid w:val="00B16B00"/>
    <w:rsid w:val="00B17224"/>
    <w:rsid w:val="00B270B7"/>
    <w:rsid w:val="00B275A9"/>
    <w:rsid w:val="00B37874"/>
    <w:rsid w:val="00B40DBF"/>
    <w:rsid w:val="00B44231"/>
    <w:rsid w:val="00B457C4"/>
    <w:rsid w:val="00B47233"/>
    <w:rsid w:val="00B47AAB"/>
    <w:rsid w:val="00B52738"/>
    <w:rsid w:val="00B54060"/>
    <w:rsid w:val="00B65CFC"/>
    <w:rsid w:val="00B71178"/>
    <w:rsid w:val="00B715ED"/>
    <w:rsid w:val="00B732C8"/>
    <w:rsid w:val="00B73FD2"/>
    <w:rsid w:val="00B76DD9"/>
    <w:rsid w:val="00B85693"/>
    <w:rsid w:val="00B85762"/>
    <w:rsid w:val="00B87996"/>
    <w:rsid w:val="00B90ECA"/>
    <w:rsid w:val="00B914A2"/>
    <w:rsid w:val="00B916B7"/>
    <w:rsid w:val="00B91982"/>
    <w:rsid w:val="00B9541E"/>
    <w:rsid w:val="00BA4CDE"/>
    <w:rsid w:val="00BA59C3"/>
    <w:rsid w:val="00BB0488"/>
    <w:rsid w:val="00BB189E"/>
    <w:rsid w:val="00BB33E8"/>
    <w:rsid w:val="00BB3ED5"/>
    <w:rsid w:val="00BB4AB9"/>
    <w:rsid w:val="00BC07C0"/>
    <w:rsid w:val="00BD3CFF"/>
    <w:rsid w:val="00BE0576"/>
    <w:rsid w:val="00BE59BD"/>
    <w:rsid w:val="00BE5AD4"/>
    <w:rsid w:val="00BE7278"/>
    <w:rsid w:val="00BF312B"/>
    <w:rsid w:val="00BF4A94"/>
    <w:rsid w:val="00BF4B41"/>
    <w:rsid w:val="00C0174A"/>
    <w:rsid w:val="00C05D9B"/>
    <w:rsid w:val="00C1198F"/>
    <w:rsid w:val="00C11A58"/>
    <w:rsid w:val="00C121E9"/>
    <w:rsid w:val="00C2259C"/>
    <w:rsid w:val="00C26130"/>
    <w:rsid w:val="00C268EF"/>
    <w:rsid w:val="00C315B6"/>
    <w:rsid w:val="00C33C45"/>
    <w:rsid w:val="00C35B63"/>
    <w:rsid w:val="00C36038"/>
    <w:rsid w:val="00C36D55"/>
    <w:rsid w:val="00C376F3"/>
    <w:rsid w:val="00C4132F"/>
    <w:rsid w:val="00C43BB1"/>
    <w:rsid w:val="00C463D2"/>
    <w:rsid w:val="00C467F1"/>
    <w:rsid w:val="00C510C2"/>
    <w:rsid w:val="00C62A44"/>
    <w:rsid w:val="00C75F57"/>
    <w:rsid w:val="00C80A39"/>
    <w:rsid w:val="00C81936"/>
    <w:rsid w:val="00C84C4C"/>
    <w:rsid w:val="00C84E52"/>
    <w:rsid w:val="00C85EB1"/>
    <w:rsid w:val="00CA0F52"/>
    <w:rsid w:val="00CA1E8A"/>
    <w:rsid w:val="00CA4D48"/>
    <w:rsid w:val="00CA721A"/>
    <w:rsid w:val="00CA7D78"/>
    <w:rsid w:val="00CB59F4"/>
    <w:rsid w:val="00CB631F"/>
    <w:rsid w:val="00CC2638"/>
    <w:rsid w:val="00CC5314"/>
    <w:rsid w:val="00CC65F5"/>
    <w:rsid w:val="00CC733C"/>
    <w:rsid w:val="00CD1709"/>
    <w:rsid w:val="00D0019C"/>
    <w:rsid w:val="00D00A8D"/>
    <w:rsid w:val="00D03790"/>
    <w:rsid w:val="00D17F80"/>
    <w:rsid w:val="00D25C36"/>
    <w:rsid w:val="00D26A0B"/>
    <w:rsid w:val="00D3182B"/>
    <w:rsid w:val="00D32020"/>
    <w:rsid w:val="00D33D38"/>
    <w:rsid w:val="00D3493D"/>
    <w:rsid w:val="00D44B67"/>
    <w:rsid w:val="00D47AD1"/>
    <w:rsid w:val="00D5022F"/>
    <w:rsid w:val="00D52AD6"/>
    <w:rsid w:val="00D70DC1"/>
    <w:rsid w:val="00D722DC"/>
    <w:rsid w:val="00D73432"/>
    <w:rsid w:val="00D81D98"/>
    <w:rsid w:val="00D861C1"/>
    <w:rsid w:val="00D86901"/>
    <w:rsid w:val="00D92835"/>
    <w:rsid w:val="00D94424"/>
    <w:rsid w:val="00D97C70"/>
    <w:rsid w:val="00DA169A"/>
    <w:rsid w:val="00DA5F31"/>
    <w:rsid w:val="00DA6DB6"/>
    <w:rsid w:val="00DB78EB"/>
    <w:rsid w:val="00DC2806"/>
    <w:rsid w:val="00DC41C9"/>
    <w:rsid w:val="00DC5473"/>
    <w:rsid w:val="00DD2F76"/>
    <w:rsid w:val="00DE5D0E"/>
    <w:rsid w:val="00DE6D3C"/>
    <w:rsid w:val="00DE6FE8"/>
    <w:rsid w:val="00DF3A65"/>
    <w:rsid w:val="00E0686F"/>
    <w:rsid w:val="00E07498"/>
    <w:rsid w:val="00E1106B"/>
    <w:rsid w:val="00E114C5"/>
    <w:rsid w:val="00E13D93"/>
    <w:rsid w:val="00E15266"/>
    <w:rsid w:val="00E162F5"/>
    <w:rsid w:val="00E20366"/>
    <w:rsid w:val="00E2173D"/>
    <w:rsid w:val="00E22728"/>
    <w:rsid w:val="00E23F23"/>
    <w:rsid w:val="00E3230E"/>
    <w:rsid w:val="00E35775"/>
    <w:rsid w:val="00E36EBB"/>
    <w:rsid w:val="00E4552E"/>
    <w:rsid w:val="00E46AFA"/>
    <w:rsid w:val="00E47964"/>
    <w:rsid w:val="00E5351F"/>
    <w:rsid w:val="00E546AF"/>
    <w:rsid w:val="00E566A4"/>
    <w:rsid w:val="00E57587"/>
    <w:rsid w:val="00E63AA4"/>
    <w:rsid w:val="00E656F6"/>
    <w:rsid w:val="00E6771B"/>
    <w:rsid w:val="00E712F0"/>
    <w:rsid w:val="00E720FB"/>
    <w:rsid w:val="00E739A9"/>
    <w:rsid w:val="00E73CD8"/>
    <w:rsid w:val="00E75C89"/>
    <w:rsid w:val="00E8163E"/>
    <w:rsid w:val="00E81838"/>
    <w:rsid w:val="00E81E80"/>
    <w:rsid w:val="00E826D1"/>
    <w:rsid w:val="00E8366A"/>
    <w:rsid w:val="00E94E9A"/>
    <w:rsid w:val="00E95CF7"/>
    <w:rsid w:val="00E96F38"/>
    <w:rsid w:val="00EA0EEB"/>
    <w:rsid w:val="00EA137A"/>
    <w:rsid w:val="00EB51A9"/>
    <w:rsid w:val="00EB710B"/>
    <w:rsid w:val="00EC05B5"/>
    <w:rsid w:val="00EC11DF"/>
    <w:rsid w:val="00EC4C5F"/>
    <w:rsid w:val="00ED2DCC"/>
    <w:rsid w:val="00ED2FFC"/>
    <w:rsid w:val="00ED3C5C"/>
    <w:rsid w:val="00EE27E7"/>
    <w:rsid w:val="00EE593F"/>
    <w:rsid w:val="00EF2BE5"/>
    <w:rsid w:val="00F00C5D"/>
    <w:rsid w:val="00F01B7A"/>
    <w:rsid w:val="00F042FA"/>
    <w:rsid w:val="00F0618A"/>
    <w:rsid w:val="00F077B6"/>
    <w:rsid w:val="00F078D5"/>
    <w:rsid w:val="00F10500"/>
    <w:rsid w:val="00F11A9F"/>
    <w:rsid w:val="00F22813"/>
    <w:rsid w:val="00F23F52"/>
    <w:rsid w:val="00F2442A"/>
    <w:rsid w:val="00F31643"/>
    <w:rsid w:val="00F35A78"/>
    <w:rsid w:val="00F42EC5"/>
    <w:rsid w:val="00F46E2D"/>
    <w:rsid w:val="00F47941"/>
    <w:rsid w:val="00F51AFD"/>
    <w:rsid w:val="00F51BE6"/>
    <w:rsid w:val="00F612FF"/>
    <w:rsid w:val="00F62B78"/>
    <w:rsid w:val="00F6493F"/>
    <w:rsid w:val="00F75663"/>
    <w:rsid w:val="00F811E7"/>
    <w:rsid w:val="00F9056C"/>
    <w:rsid w:val="00FA2944"/>
    <w:rsid w:val="00FA792E"/>
    <w:rsid w:val="00FB454A"/>
    <w:rsid w:val="00FB4891"/>
    <w:rsid w:val="00FB4DCD"/>
    <w:rsid w:val="00FC1146"/>
    <w:rsid w:val="00FC2E7D"/>
    <w:rsid w:val="00FC5598"/>
    <w:rsid w:val="00FC686F"/>
    <w:rsid w:val="00FC7F93"/>
    <w:rsid w:val="00FC7FBE"/>
    <w:rsid w:val="00FD16E5"/>
    <w:rsid w:val="00FD6093"/>
    <w:rsid w:val="00FE0378"/>
    <w:rsid w:val="00FE2347"/>
    <w:rsid w:val="00FE5ACA"/>
    <w:rsid w:val="00FE7ED4"/>
    <w:rsid w:val="00FF673D"/>
    <w:rsid w:val="03930563"/>
    <w:rsid w:val="040B0C0E"/>
    <w:rsid w:val="0485DB05"/>
    <w:rsid w:val="0630F897"/>
    <w:rsid w:val="06DE8FAF"/>
    <w:rsid w:val="07A75E0B"/>
    <w:rsid w:val="07BB47B7"/>
    <w:rsid w:val="0902741C"/>
    <w:rsid w:val="0917F8C7"/>
    <w:rsid w:val="09C9F101"/>
    <w:rsid w:val="0D020844"/>
    <w:rsid w:val="0E9800FE"/>
    <w:rsid w:val="14C013A7"/>
    <w:rsid w:val="14CE39CF"/>
    <w:rsid w:val="17ACBC33"/>
    <w:rsid w:val="188F994A"/>
    <w:rsid w:val="18ABF272"/>
    <w:rsid w:val="1C75931D"/>
    <w:rsid w:val="1EF3B32F"/>
    <w:rsid w:val="1FF35B7C"/>
    <w:rsid w:val="222BA785"/>
    <w:rsid w:val="23711028"/>
    <w:rsid w:val="23EAD003"/>
    <w:rsid w:val="2568B1E5"/>
    <w:rsid w:val="257C94A2"/>
    <w:rsid w:val="284D9215"/>
    <w:rsid w:val="28C9C038"/>
    <w:rsid w:val="29A683AB"/>
    <w:rsid w:val="2B4ACAEE"/>
    <w:rsid w:val="2D0FA096"/>
    <w:rsid w:val="2EDD3BD9"/>
    <w:rsid w:val="2F37040C"/>
    <w:rsid w:val="31084724"/>
    <w:rsid w:val="32393974"/>
    <w:rsid w:val="3458702E"/>
    <w:rsid w:val="3545FE75"/>
    <w:rsid w:val="385ACD35"/>
    <w:rsid w:val="3F8530F0"/>
    <w:rsid w:val="3FB6AE6F"/>
    <w:rsid w:val="4399C12C"/>
    <w:rsid w:val="491D2853"/>
    <w:rsid w:val="4E24A904"/>
    <w:rsid w:val="4F4B9B2F"/>
    <w:rsid w:val="5004B19E"/>
    <w:rsid w:val="51588827"/>
    <w:rsid w:val="52173BCD"/>
    <w:rsid w:val="5248F1CF"/>
    <w:rsid w:val="53D88EDB"/>
    <w:rsid w:val="56D7DC19"/>
    <w:rsid w:val="580D65A3"/>
    <w:rsid w:val="5A661A29"/>
    <w:rsid w:val="5CF8D216"/>
    <w:rsid w:val="5D575EBE"/>
    <w:rsid w:val="5E5F5FFF"/>
    <w:rsid w:val="5E9C8287"/>
    <w:rsid w:val="5ECAE066"/>
    <w:rsid w:val="5EED5778"/>
    <w:rsid w:val="5F22A00D"/>
    <w:rsid w:val="6211F3B5"/>
    <w:rsid w:val="64F3D592"/>
    <w:rsid w:val="65AF4132"/>
    <w:rsid w:val="65E7916C"/>
    <w:rsid w:val="66E1D0B6"/>
    <w:rsid w:val="68EBED26"/>
    <w:rsid w:val="69C8428E"/>
    <w:rsid w:val="716E2F8E"/>
    <w:rsid w:val="73CD3972"/>
    <w:rsid w:val="75CF08A1"/>
    <w:rsid w:val="75EB7308"/>
    <w:rsid w:val="7B084725"/>
    <w:rsid w:val="7C49BD80"/>
    <w:rsid w:val="7D00ED73"/>
    <w:rsid w:val="7D7A1005"/>
    <w:rsid w:val="7E5E5D8E"/>
    <w:rsid w:val="7FD64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CFAE2"/>
  <w15:chartTrackingRefBased/>
  <w15:docId w15:val="{CFD20170-8741-42E4-ADC3-2025C3BF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uiPriority w:val="99"/>
    <w:rsid w:val="00D17F80"/>
  </w:style>
  <w:style w:type="character" w:customStyle="1" w:styleId="FootnoteTextChar">
    <w:name w:val="Footnote Text Char"/>
    <w:link w:val="FootnoteText"/>
    <w:uiPriority w:val="99"/>
    <w:rsid w:val="00D17F80"/>
    <w:rPr>
      <w:color w:val="000000"/>
      <w:kern w:val="28"/>
    </w:rPr>
  </w:style>
  <w:style w:type="character" w:styleId="FootnoteReference">
    <w:name w:val="footnote reference"/>
    <w:uiPriority w:val="99"/>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styleId="FollowedHyperlink">
    <w:name w:val="FollowedHyperlink"/>
    <w:basedOn w:val="DefaultParagraphFont"/>
    <w:rsid w:val="00C121E9"/>
    <w:rPr>
      <w:color w:val="954F72" w:themeColor="followedHyperlink"/>
      <w:u w:val="single"/>
    </w:rPr>
  </w:style>
  <w:style w:type="character" w:styleId="UnresolvedMention">
    <w:name w:val="Unresolved Mention"/>
    <w:basedOn w:val="DefaultParagraphFont"/>
    <w:uiPriority w:val="99"/>
    <w:semiHidden/>
    <w:unhideWhenUsed/>
    <w:rsid w:val="006173C3"/>
    <w:rPr>
      <w:color w:val="605E5C"/>
      <w:shd w:val="clear" w:color="auto" w:fill="E1DFDD"/>
    </w:rPr>
  </w:style>
  <w:style w:type="table" w:styleId="TableGrid">
    <w:name w:val="Table Grid"/>
    <w:basedOn w:val="TableNormal"/>
    <w:uiPriority w:val="59"/>
    <w:rsid w:val="00B00B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779">
      <w:bodyDiv w:val="1"/>
      <w:marLeft w:val="0"/>
      <w:marRight w:val="0"/>
      <w:marTop w:val="0"/>
      <w:marBottom w:val="0"/>
      <w:divBdr>
        <w:top w:val="none" w:sz="0" w:space="0" w:color="auto"/>
        <w:left w:val="none" w:sz="0" w:space="0" w:color="auto"/>
        <w:bottom w:val="none" w:sz="0" w:space="0" w:color="auto"/>
        <w:right w:val="none" w:sz="0" w:space="0" w:color="auto"/>
      </w:divBdr>
    </w:div>
    <w:div w:id="14500143">
      <w:bodyDiv w:val="1"/>
      <w:marLeft w:val="0"/>
      <w:marRight w:val="0"/>
      <w:marTop w:val="0"/>
      <w:marBottom w:val="0"/>
      <w:divBdr>
        <w:top w:val="none" w:sz="0" w:space="0" w:color="auto"/>
        <w:left w:val="none" w:sz="0" w:space="0" w:color="auto"/>
        <w:bottom w:val="none" w:sz="0" w:space="0" w:color="auto"/>
        <w:right w:val="none" w:sz="0" w:space="0" w:color="auto"/>
      </w:divBdr>
    </w:div>
    <w:div w:id="28071207">
      <w:bodyDiv w:val="1"/>
      <w:marLeft w:val="0"/>
      <w:marRight w:val="0"/>
      <w:marTop w:val="0"/>
      <w:marBottom w:val="0"/>
      <w:divBdr>
        <w:top w:val="none" w:sz="0" w:space="0" w:color="auto"/>
        <w:left w:val="none" w:sz="0" w:space="0" w:color="auto"/>
        <w:bottom w:val="none" w:sz="0" w:space="0" w:color="auto"/>
        <w:right w:val="none" w:sz="0" w:space="0" w:color="auto"/>
      </w:divBdr>
    </w:div>
    <w:div w:id="53550791">
      <w:bodyDiv w:val="1"/>
      <w:marLeft w:val="0"/>
      <w:marRight w:val="0"/>
      <w:marTop w:val="0"/>
      <w:marBottom w:val="0"/>
      <w:divBdr>
        <w:top w:val="none" w:sz="0" w:space="0" w:color="auto"/>
        <w:left w:val="none" w:sz="0" w:space="0" w:color="auto"/>
        <w:bottom w:val="none" w:sz="0" w:space="0" w:color="auto"/>
        <w:right w:val="none" w:sz="0" w:space="0" w:color="auto"/>
      </w:divBdr>
    </w:div>
    <w:div w:id="61559918">
      <w:bodyDiv w:val="1"/>
      <w:marLeft w:val="0"/>
      <w:marRight w:val="0"/>
      <w:marTop w:val="0"/>
      <w:marBottom w:val="0"/>
      <w:divBdr>
        <w:top w:val="none" w:sz="0" w:space="0" w:color="auto"/>
        <w:left w:val="none" w:sz="0" w:space="0" w:color="auto"/>
        <w:bottom w:val="none" w:sz="0" w:space="0" w:color="auto"/>
        <w:right w:val="none" w:sz="0" w:space="0" w:color="auto"/>
      </w:divBdr>
    </w:div>
    <w:div w:id="164365911">
      <w:bodyDiv w:val="1"/>
      <w:marLeft w:val="0"/>
      <w:marRight w:val="0"/>
      <w:marTop w:val="0"/>
      <w:marBottom w:val="0"/>
      <w:divBdr>
        <w:top w:val="none" w:sz="0" w:space="0" w:color="auto"/>
        <w:left w:val="none" w:sz="0" w:space="0" w:color="auto"/>
        <w:bottom w:val="none" w:sz="0" w:space="0" w:color="auto"/>
        <w:right w:val="none" w:sz="0" w:space="0" w:color="auto"/>
      </w:divBdr>
    </w:div>
    <w:div w:id="196505245">
      <w:bodyDiv w:val="1"/>
      <w:marLeft w:val="0"/>
      <w:marRight w:val="0"/>
      <w:marTop w:val="0"/>
      <w:marBottom w:val="0"/>
      <w:divBdr>
        <w:top w:val="none" w:sz="0" w:space="0" w:color="auto"/>
        <w:left w:val="none" w:sz="0" w:space="0" w:color="auto"/>
        <w:bottom w:val="none" w:sz="0" w:space="0" w:color="auto"/>
        <w:right w:val="none" w:sz="0" w:space="0" w:color="auto"/>
      </w:divBdr>
    </w:div>
    <w:div w:id="304942215">
      <w:bodyDiv w:val="1"/>
      <w:marLeft w:val="0"/>
      <w:marRight w:val="0"/>
      <w:marTop w:val="0"/>
      <w:marBottom w:val="0"/>
      <w:divBdr>
        <w:top w:val="none" w:sz="0" w:space="0" w:color="auto"/>
        <w:left w:val="none" w:sz="0" w:space="0" w:color="auto"/>
        <w:bottom w:val="none" w:sz="0" w:space="0" w:color="auto"/>
        <w:right w:val="none" w:sz="0" w:space="0" w:color="auto"/>
      </w:divBdr>
    </w:div>
    <w:div w:id="353650586">
      <w:bodyDiv w:val="1"/>
      <w:marLeft w:val="0"/>
      <w:marRight w:val="0"/>
      <w:marTop w:val="0"/>
      <w:marBottom w:val="0"/>
      <w:divBdr>
        <w:top w:val="none" w:sz="0" w:space="0" w:color="auto"/>
        <w:left w:val="none" w:sz="0" w:space="0" w:color="auto"/>
        <w:bottom w:val="none" w:sz="0" w:space="0" w:color="auto"/>
        <w:right w:val="none" w:sz="0" w:space="0" w:color="auto"/>
      </w:divBdr>
    </w:div>
    <w:div w:id="446777045">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483861112">
      <w:bodyDiv w:val="1"/>
      <w:marLeft w:val="0"/>
      <w:marRight w:val="0"/>
      <w:marTop w:val="0"/>
      <w:marBottom w:val="0"/>
      <w:divBdr>
        <w:top w:val="none" w:sz="0" w:space="0" w:color="auto"/>
        <w:left w:val="none" w:sz="0" w:space="0" w:color="auto"/>
        <w:bottom w:val="none" w:sz="0" w:space="0" w:color="auto"/>
        <w:right w:val="none" w:sz="0" w:space="0" w:color="auto"/>
      </w:divBdr>
    </w:div>
    <w:div w:id="555970991">
      <w:bodyDiv w:val="1"/>
      <w:marLeft w:val="0"/>
      <w:marRight w:val="0"/>
      <w:marTop w:val="0"/>
      <w:marBottom w:val="0"/>
      <w:divBdr>
        <w:top w:val="none" w:sz="0" w:space="0" w:color="auto"/>
        <w:left w:val="none" w:sz="0" w:space="0" w:color="auto"/>
        <w:bottom w:val="none" w:sz="0" w:space="0" w:color="auto"/>
        <w:right w:val="none" w:sz="0" w:space="0" w:color="auto"/>
      </w:divBdr>
    </w:div>
    <w:div w:id="569577455">
      <w:bodyDiv w:val="1"/>
      <w:marLeft w:val="0"/>
      <w:marRight w:val="0"/>
      <w:marTop w:val="0"/>
      <w:marBottom w:val="0"/>
      <w:divBdr>
        <w:top w:val="none" w:sz="0" w:space="0" w:color="auto"/>
        <w:left w:val="none" w:sz="0" w:space="0" w:color="auto"/>
        <w:bottom w:val="none" w:sz="0" w:space="0" w:color="auto"/>
        <w:right w:val="none" w:sz="0" w:space="0" w:color="auto"/>
      </w:divBdr>
    </w:div>
    <w:div w:id="784496013">
      <w:bodyDiv w:val="1"/>
      <w:marLeft w:val="0"/>
      <w:marRight w:val="0"/>
      <w:marTop w:val="0"/>
      <w:marBottom w:val="0"/>
      <w:divBdr>
        <w:top w:val="none" w:sz="0" w:space="0" w:color="auto"/>
        <w:left w:val="none" w:sz="0" w:space="0" w:color="auto"/>
        <w:bottom w:val="none" w:sz="0" w:space="0" w:color="auto"/>
        <w:right w:val="none" w:sz="0" w:space="0" w:color="auto"/>
      </w:divBdr>
    </w:div>
    <w:div w:id="800616824">
      <w:bodyDiv w:val="1"/>
      <w:marLeft w:val="0"/>
      <w:marRight w:val="0"/>
      <w:marTop w:val="0"/>
      <w:marBottom w:val="0"/>
      <w:divBdr>
        <w:top w:val="none" w:sz="0" w:space="0" w:color="auto"/>
        <w:left w:val="none" w:sz="0" w:space="0" w:color="auto"/>
        <w:bottom w:val="none" w:sz="0" w:space="0" w:color="auto"/>
        <w:right w:val="none" w:sz="0" w:space="0" w:color="auto"/>
      </w:divBdr>
    </w:div>
    <w:div w:id="827015791">
      <w:bodyDiv w:val="1"/>
      <w:marLeft w:val="0"/>
      <w:marRight w:val="0"/>
      <w:marTop w:val="0"/>
      <w:marBottom w:val="0"/>
      <w:divBdr>
        <w:top w:val="none" w:sz="0" w:space="0" w:color="auto"/>
        <w:left w:val="none" w:sz="0" w:space="0" w:color="auto"/>
        <w:bottom w:val="none" w:sz="0" w:space="0" w:color="auto"/>
        <w:right w:val="none" w:sz="0" w:space="0" w:color="auto"/>
      </w:divBdr>
    </w:div>
    <w:div w:id="930429539">
      <w:bodyDiv w:val="1"/>
      <w:marLeft w:val="0"/>
      <w:marRight w:val="0"/>
      <w:marTop w:val="0"/>
      <w:marBottom w:val="0"/>
      <w:divBdr>
        <w:top w:val="none" w:sz="0" w:space="0" w:color="auto"/>
        <w:left w:val="none" w:sz="0" w:space="0" w:color="auto"/>
        <w:bottom w:val="none" w:sz="0" w:space="0" w:color="auto"/>
        <w:right w:val="none" w:sz="0" w:space="0" w:color="auto"/>
      </w:divBdr>
    </w:div>
    <w:div w:id="949093671">
      <w:bodyDiv w:val="1"/>
      <w:marLeft w:val="0"/>
      <w:marRight w:val="0"/>
      <w:marTop w:val="0"/>
      <w:marBottom w:val="0"/>
      <w:divBdr>
        <w:top w:val="none" w:sz="0" w:space="0" w:color="auto"/>
        <w:left w:val="none" w:sz="0" w:space="0" w:color="auto"/>
        <w:bottom w:val="none" w:sz="0" w:space="0" w:color="auto"/>
        <w:right w:val="none" w:sz="0" w:space="0" w:color="auto"/>
      </w:divBdr>
    </w:div>
    <w:div w:id="982469908">
      <w:bodyDiv w:val="1"/>
      <w:marLeft w:val="0"/>
      <w:marRight w:val="0"/>
      <w:marTop w:val="0"/>
      <w:marBottom w:val="0"/>
      <w:divBdr>
        <w:top w:val="none" w:sz="0" w:space="0" w:color="auto"/>
        <w:left w:val="none" w:sz="0" w:space="0" w:color="auto"/>
        <w:bottom w:val="none" w:sz="0" w:space="0" w:color="auto"/>
        <w:right w:val="none" w:sz="0" w:space="0" w:color="auto"/>
      </w:divBdr>
    </w:div>
    <w:div w:id="1083647360">
      <w:bodyDiv w:val="1"/>
      <w:marLeft w:val="0"/>
      <w:marRight w:val="0"/>
      <w:marTop w:val="0"/>
      <w:marBottom w:val="0"/>
      <w:divBdr>
        <w:top w:val="none" w:sz="0" w:space="0" w:color="auto"/>
        <w:left w:val="none" w:sz="0" w:space="0" w:color="auto"/>
        <w:bottom w:val="none" w:sz="0" w:space="0" w:color="auto"/>
        <w:right w:val="none" w:sz="0" w:space="0" w:color="auto"/>
      </w:divBdr>
    </w:div>
    <w:div w:id="1090350579">
      <w:bodyDiv w:val="1"/>
      <w:marLeft w:val="0"/>
      <w:marRight w:val="0"/>
      <w:marTop w:val="0"/>
      <w:marBottom w:val="0"/>
      <w:divBdr>
        <w:top w:val="none" w:sz="0" w:space="0" w:color="auto"/>
        <w:left w:val="none" w:sz="0" w:space="0" w:color="auto"/>
        <w:bottom w:val="none" w:sz="0" w:space="0" w:color="auto"/>
        <w:right w:val="none" w:sz="0" w:space="0" w:color="auto"/>
      </w:divBdr>
    </w:div>
    <w:div w:id="1096706324">
      <w:bodyDiv w:val="1"/>
      <w:marLeft w:val="0"/>
      <w:marRight w:val="0"/>
      <w:marTop w:val="0"/>
      <w:marBottom w:val="0"/>
      <w:divBdr>
        <w:top w:val="none" w:sz="0" w:space="0" w:color="auto"/>
        <w:left w:val="none" w:sz="0" w:space="0" w:color="auto"/>
        <w:bottom w:val="none" w:sz="0" w:space="0" w:color="auto"/>
        <w:right w:val="none" w:sz="0" w:space="0" w:color="auto"/>
      </w:divBdr>
    </w:div>
    <w:div w:id="1240090867">
      <w:bodyDiv w:val="1"/>
      <w:marLeft w:val="0"/>
      <w:marRight w:val="0"/>
      <w:marTop w:val="0"/>
      <w:marBottom w:val="0"/>
      <w:divBdr>
        <w:top w:val="none" w:sz="0" w:space="0" w:color="auto"/>
        <w:left w:val="none" w:sz="0" w:space="0" w:color="auto"/>
        <w:bottom w:val="none" w:sz="0" w:space="0" w:color="auto"/>
        <w:right w:val="none" w:sz="0" w:space="0" w:color="auto"/>
      </w:divBdr>
      <w:divsChild>
        <w:div w:id="1174759683">
          <w:marLeft w:val="0"/>
          <w:marRight w:val="0"/>
          <w:marTop w:val="0"/>
          <w:marBottom w:val="0"/>
          <w:divBdr>
            <w:top w:val="none" w:sz="0" w:space="0" w:color="auto"/>
            <w:left w:val="none" w:sz="0" w:space="0" w:color="auto"/>
            <w:bottom w:val="none" w:sz="0" w:space="0" w:color="auto"/>
            <w:right w:val="none" w:sz="0" w:space="0" w:color="auto"/>
          </w:divBdr>
          <w:divsChild>
            <w:div w:id="633682740">
              <w:marLeft w:val="0"/>
              <w:marRight w:val="0"/>
              <w:marTop w:val="0"/>
              <w:marBottom w:val="0"/>
              <w:divBdr>
                <w:top w:val="none" w:sz="0" w:space="0" w:color="auto"/>
                <w:left w:val="none" w:sz="0" w:space="0" w:color="auto"/>
                <w:bottom w:val="none" w:sz="0" w:space="0" w:color="auto"/>
                <w:right w:val="none" w:sz="0" w:space="0" w:color="auto"/>
              </w:divBdr>
              <w:divsChild>
                <w:div w:id="1677228201">
                  <w:marLeft w:val="0"/>
                  <w:marRight w:val="0"/>
                  <w:marTop w:val="0"/>
                  <w:marBottom w:val="0"/>
                  <w:divBdr>
                    <w:top w:val="none" w:sz="0" w:space="0" w:color="auto"/>
                    <w:left w:val="none" w:sz="0" w:space="0" w:color="auto"/>
                    <w:bottom w:val="none" w:sz="0" w:space="0" w:color="auto"/>
                    <w:right w:val="none" w:sz="0" w:space="0" w:color="auto"/>
                  </w:divBdr>
                  <w:divsChild>
                    <w:div w:id="1436099239">
                      <w:marLeft w:val="0"/>
                      <w:marRight w:val="1911"/>
                      <w:marTop w:val="0"/>
                      <w:marBottom w:val="0"/>
                      <w:divBdr>
                        <w:top w:val="none" w:sz="0" w:space="0" w:color="auto"/>
                        <w:left w:val="none" w:sz="0" w:space="0" w:color="auto"/>
                        <w:bottom w:val="none" w:sz="0" w:space="0" w:color="auto"/>
                        <w:right w:val="none" w:sz="0" w:space="0" w:color="auto"/>
                      </w:divBdr>
                      <w:divsChild>
                        <w:div w:id="136268917">
                          <w:marLeft w:val="1465"/>
                          <w:marRight w:val="400"/>
                          <w:marTop w:val="0"/>
                          <w:marBottom w:val="0"/>
                          <w:divBdr>
                            <w:top w:val="none" w:sz="0" w:space="0" w:color="auto"/>
                            <w:left w:val="none" w:sz="0" w:space="0" w:color="auto"/>
                            <w:bottom w:val="none" w:sz="0" w:space="0" w:color="auto"/>
                            <w:right w:val="none" w:sz="0" w:space="0" w:color="auto"/>
                          </w:divBdr>
                          <w:divsChild>
                            <w:div w:id="1618483205">
                              <w:marLeft w:val="0"/>
                              <w:marRight w:val="0"/>
                              <w:marTop w:val="0"/>
                              <w:marBottom w:val="0"/>
                              <w:divBdr>
                                <w:top w:val="none" w:sz="0" w:space="0" w:color="auto"/>
                                <w:left w:val="none" w:sz="0" w:space="0" w:color="auto"/>
                                <w:bottom w:val="single" w:sz="6" w:space="11" w:color="EBEBEB"/>
                                <w:right w:val="none" w:sz="0" w:space="0" w:color="auto"/>
                              </w:divBdr>
                              <w:divsChild>
                                <w:div w:id="441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63844">
          <w:marLeft w:val="0"/>
          <w:marRight w:val="0"/>
          <w:marTop w:val="0"/>
          <w:marBottom w:val="0"/>
          <w:divBdr>
            <w:top w:val="none" w:sz="0" w:space="0" w:color="auto"/>
            <w:left w:val="none" w:sz="0" w:space="0" w:color="auto"/>
            <w:bottom w:val="none" w:sz="0" w:space="0" w:color="auto"/>
            <w:right w:val="none" w:sz="0" w:space="0" w:color="auto"/>
          </w:divBdr>
          <w:divsChild>
            <w:div w:id="1214583041">
              <w:marLeft w:val="0"/>
              <w:marRight w:val="0"/>
              <w:marTop w:val="0"/>
              <w:marBottom w:val="0"/>
              <w:divBdr>
                <w:top w:val="none" w:sz="0" w:space="0" w:color="auto"/>
                <w:left w:val="none" w:sz="0" w:space="0" w:color="auto"/>
                <w:bottom w:val="none" w:sz="0" w:space="0" w:color="auto"/>
                <w:right w:val="none" w:sz="0" w:space="0" w:color="auto"/>
              </w:divBdr>
              <w:divsChild>
                <w:div w:id="41054678">
                  <w:marLeft w:val="0"/>
                  <w:marRight w:val="0"/>
                  <w:marTop w:val="0"/>
                  <w:marBottom w:val="0"/>
                  <w:divBdr>
                    <w:top w:val="none" w:sz="0" w:space="0" w:color="auto"/>
                    <w:left w:val="none" w:sz="0" w:space="0" w:color="auto"/>
                    <w:bottom w:val="none" w:sz="0" w:space="0" w:color="auto"/>
                    <w:right w:val="none" w:sz="0" w:space="0" w:color="auto"/>
                  </w:divBdr>
                  <w:divsChild>
                    <w:div w:id="2120878708">
                      <w:marLeft w:val="0"/>
                      <w:marRight w:val="0"/>
                      <w:marTop w:val="0"/>
                      <w:marBottom w:val="0"/>
                      <w:divBdr>
                        <w:top w:val="none" w:sz="0" w:space="0" w:color="auto"/>
                        <w:left w:val="none" w:sz="0" w:space="0" w:color="auto"/>
                        <w:bottom w:val="none" w:sz="0" w:space="0" w:color="auto"/>
                        <w:right w:val="none" w:sz="0" w:space="0" w:color="auto"/>
                      </w:divBdr>
                      <w:divsChild>
                        <w:div w:id="1423257443">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98198">
      <w:bodyDiv w:val="1"/>
      <w:marLeft w:val="0"/>
      <w:marRight w:val="0"/>
      <w:marTop w:val="0"/>
      <w:marBottom w:val="0"/>
      <w:divBdr>
        <w:top w:val="none" w:sz="0" w:space="0" w:color="auto"/>
        <w:left w:val="none" w:sz="0" w:space="0" w:color="auto"/>
        <w:bottom w:val="none" w:sz="0" w:space="0" w:color="auto"/>
        <w:right w:val="none" w:sz="0" w:space="0" w:color="auto"/>
      </w:divBdr>
    </w:div>
    <w:div w:id="1295522338">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74311082">
      <w:bodyDiv w:val="1"/>
      <w:marLeft w:val="0"/>
      <w:marRight w:val="0"/>
      <w:marTop w:val="0"/>
      <w:marBottom w:val="0"/>
      <w:divBdr>
        <w:top w:val="none" w:sz="0" w:space="0" w:color="auto"/>
        <w:left w:val="none" w:sz="0" w:space="0" w:color="auto"/>
        <w:bottom w:val="none" w:sz="0" w:space="0" w:color="auto"/>
        <w:right w:val="none" w:sz="0" w:space="0" w:color="auto"/>
      </w:divBdr>
    </w:div>
    <w:div w:id="1374424383">
      <w:bodyDiv w:val="1"/>
      <w:marLeft w:val="0"/>
      <w:marRight w:val="0"/>
      <w:marTop w:val="0"/>
      <w:marBottom w:val="0"/>
      <w:divBdr>
        <w:top w:val="none" w:sz="0" w:space="0" w:color="auto"/>
        <w:left w:val="none" w:sz="0" w:space="0" w:color="auto"/>
        <w:bottom w:val="none" w:sz="0" w:space="0" w:color="auto"/>
        <w:right w:val="none" w:sz="0" w:space="0" w:color="auto"/>
      </w:divBdr>
    </w:div>
    <w:div w:id="1374816251">
      <w:bodyDiv w:val="1"/>
      <w:marLeft w:val="0"/>
      <w:marRight w:val="0"/>
      <w:marTop w:val="0"/>
      <w:marBottom w:val="0"/>
      <w:divBdr>
        <w:top w:val="none" w:sz="0" w:space="0" w:color="auto"/>
        <w:left w:val="none" w:sz="0" w:space="0" w:color="auto"/>
        <w:bottom w:val="none" w:sz="0" w:space="0" w:color="auto"/>
        <w:right w:val="none" w:sz="0" w:space="0" w:color="auto"/>
      </w:divBdr>
    </w:div>
    <w:div w:id="1425110762">
      <w:bodyDiv w:val="1"/>
      <w:marLeft w:val="0"/>
      <w:marRight w:val="0"/>
      <w:marTop w:val="0"/>
      <w:marBottom w:val="0"/>
      <w:divBdr>
        <w:top w:val="none" w:sz="0" w:space="0" w:color="auto"/>
        <w:left w:val="none" w:sz="0" w:space="0" w:color="auto"/>
        <w:bottom w:val="none" w:sz="0" w:space="0" w:color="auto"/>
        <w:right w:val="none" w:sz="0" w:space="0" w:color="auto"/>
      </w:divBdr>
    </w:div>
    <w:div w:id="1474715997">
      <w:bodyDiv w:val="1"/>
      <w:marLeft w:val="0"/>
      <w:marRight w:val="0"/>
      <w:marTop w:val="0"/>
      <w:marBottom w:val="0"/>
      <w:divBdr>
        <w:top w:val="none" w:sz="0" w:space="0" w:color="auto"/>
        <w:left w:val="none" w:sz="0" w:space="0" w:color="auto"/>
        <w:bottom w:val="none" w:sz="0" w:space="0" w:color="auto"/>
        <w:right w:val="none" w:sz="0" w:space="0" w:color="auto"/>
      </w:divBdr>
    </w:div>
    <w:div w:id="1476801863">
      <w:bodyDiv w:val="1"/>
      <w:marLeft w:val="0"/>
      <w:marRight w:val="0"/>
      <w:marTop w:val="0"/>
      <w:marBottom w:val="0"/>
      <w:divBdr>
        <w:top w:val="none" w:sz="0" w:space="0" w:color="auto"/>
        <w:left w:val="none" w:sz="0" w:space="0" w:color="auto"/>
        <w:bottom w:val="none" w:sz="0" w:space="0" w:color="auto"/>
        <w:right w:val="none" w:sz="0" w:space="0" w:color="auto"/>
      </w:divBdr>
    </w:div>
    <w:div w:id="1512721098">
      <w:bodyDiv w:val="1"/>
      <w:marLeft w:val="0"/>
      <w:marRight w:val="0"/>
      <w:marTop w:val="0"/>
      <w:marBottom w:val="0"/>
      <w:divBdr>
        <w:top w:val="none" w:sz="0" w:space="0" w:color="auto"/>
        <w:left w:val="none" w:sz="0" w:space="0" w:color="auto"/>
        <w:bottom w:val="none" w:sz="0" w:space="0" w:color="auto"/>
        <w:right w:val="none" w:sz="0" w:space="0" w:color="auto"/>
      </w:divBdr>
    </w:div>
    <w:div w:id="1519272117">
      <w:bodyDiv w:val="1"/>
      <w:marLeft w:val="0"/>
      <w:marRight w:val="0"/>
      <w:marTop w:val="0"/>
      <w:marBottom w:val="0"/>
      <w:divBdr>
        <w:top w:val="none" w:sz="0" w:space="0" w:color="auto"/>
        <w:left w:val="none" w:sz="0" w:space="0" w:color="auto"/>
        <w:bottom w:val="none" w:sz="0" w:space="0" w:color="auto"/>
        <w:right w:val="none" w:sz="0" w:space="0" w:color="auto"/>
      </w:divBdr>
    </w:div>
    <w:div w:id="1519855815">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646811535">
      <w:bodyDiv w:val="1"/>
      <w:marLeft w:val="0"/>
      <w:marRight w:val="0"/>
      <w:marTop w:val="0"/>
      <w:marBottom w:val="0"/>
      <w:divBdr>
        <w:top w:val="none" w:sz="0" w:space="0" w:color="auto"/>
        <w:left w:val="none" w:sz="0" w:space="0" w:color="auto"/>
        <w:bottom w:val="none" w:sz="0" w:space="0" w:color="auto"/>
        <w:right w:val="none" w:sz="0" w:space="0" w:color="auto"/>
      </w:divBdr>
    </w:div>
    <w:div w:id="1650553783">
      <w:bodyDiv w:val="1"/>
      <w:marLeft w:val="0"/>
      <w:marRight w:val="0"/>
      <w:marTop w:val="0"/>
      <w:marBottom w:val="0"/>
      <w:divBdr>
        <w:top w:val="none" w:sz="0" w:space="0" w:color="auto"/>
        <w:left w:val="none" w:sz="0" w:space="0" w:color="auto"/>
        <w:bottom w:val="none" w:sz="0" w:space="0" w:color="auto"/>
        <w:right w:val="none" w:sz="0" w:space="0" w:color="auto"/>
      </w:divBdr>
    </w:div>
    <w:div w:id="1687369233">
      <w:bodyDiv w:val="1"/>
      <w:marLeft w:val="0"/>
      <w:marRight w:val="0"/>
      <w:marTop w:val="0"/>
      <w:marBottom w:val="0"/>
      <w:divBdr>
        <w:top w:val="none" w:sz="0" w:space="0" w:color="auto"/>
        <w:left w:val="none" w:sz="0" w:space="0" w:color="auto"/>
        <w:bottom w:val="none" w:sz="0" w:space="0" w:color="auto"/>
        <w:right w:val="none" w:sz="0" w:space="0" w:color="auto"/>
      </w:divBdr>
    </w:div>
    <w:div w:id="1697340516">
      <w:bodyDiv w:val="1"/>
      <w:marLeft w:val="0"/>
      <w:marRight w:val="0"/>
      <w:marTop w:val="0"/>
      <w:marBottom w:val="0"/>
      <w:divBdr>
        <w:top w:val="none" w:sz="0" w:space="0" w:color="auto"/>
        <w:left w:val="none" w:sz="0" w:space="0" w:color="auto"/>
        <w:bottom w:val="none" w:sz="0" w:space="0" w:color="auto"/>
        <w:right w:val="none" w:sz="0" w:space="0" w:color="auto"/>
      </w:divBdr>
    </w:div>
    <w:div w:id="1763724017">
      <w:bodyDiv w:val="1"/>
      <w:marLeft w:val="0"/>
      <w:marRight w:val="0"/>
      <w:marTop w:val="0"/>
      <w:marBottom w:val="0"/>
      <w:divBdr>
        <w:top w:val="none" w:sz="0" w:space="0" w:color="auto"/>
        <w:left w:val="none" w:sz="0" w:space="0" w:color="auto"/>
        <w:bottom w:val="none" w:sz="0" w:space="0" w:color="auto"/>
        <w:right w:val="none" w:sz="0" w:space="0" w:color="auto"/>
      </w:divBdr>
    </w:div>
    <w:div w:id="1916087062">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37400354">
      <w:bodyDiv w:val="1"/>
      <w:marLeft w:val="0"/>
      <w:marRight w:val="0"/>
      <w:marTop w:val="0"/>
      <w:marBottom w:val="0"/>
      <w:divBdr>
        <w:top w:val="none" w:sz="0" w:space="0" w:color="auto"/>
        <w:left w:val="none" w:sz="0" w:space="0" w:color="auto"/>
        <w:bottom w:val="none" w:sz="0" w:space="0" w:color="auto"/>
        <w:right w:val="none" w:sz="0" w:space="0" w:color="auto"/>
      </w:divBdr>
    </w:div>
    <w:div w:id="2092697153">
      <w:bodyDiv w:val="1"/>
      <w:marLeft w:val="0"/>
      <w:marRight w:val="0"/>
      <w:marTop w:val="0"/>
      <w:marBottom w:val="0"/>
      <w:divBdr>
        <w:top w:val="none" w:sz="0" w:space="0" w:color="auto"/>
        <w:left w:val="none" w:sz="0" w:space="0" w:color="auto"/>
        <w:bottom w:val="none" w:sz="0" w:space="0" w:color="auto"/>
        <w:right w:val="none" w:sz="0" w:space="0" w:color="auto"/>
      </w:divBdr>
    </w:div>
    <w:div w:id="2119565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download/Documents/ACT5018472020ENGLISH.PDF" TargetMode="External"/><Relationship Id="rId2" Type="http://schemas.openxmlformats.org/officeDocument/2006/relationships/hyperlink" Target="https://www.amnesty.org/download/Documents/ACT5098702019ENGLISH.PDF" TargetMode="External"/><Relationship Id="rId1" Type="http://schemas.openxmlformats.org/officeDocument/2006/relationships/hyperlink" Target="https://www.amnesty.org/download/Documents/ACT5079552018ENGLISH.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2.xml><?xml version="1.0" encoding="utf-8"?>
<ds:datastoreItem xmlns:ds="http://schemas.openxmlformats.org/officeDocument/2006/customXml" ds:itemID="{BC95C647-CBD0-424A-A699-446074BEB9A5}">
  <ds:schemaRefs>
    <ds:schemaRef ds:uri="http://schemas.microsoft.com/office/2006/metadata/properties"/>
    <ds:schemaRef ds:uri="http://schemas.microsoft.com/office/infopath/2007/PartnerControls"/>
    <ds:schemaRef ds:uri="e968d4b9-9f0d-4b6f-81c6-222446f6098e"/>
  </ds:schemaRefs>
</ds:datastoreItem>
</file>

<file path=customXml/itemProps3.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4.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5.xml><?xml version="1.0" encoding="utf-8"?>
<ds:datastoreItem xmlns:ds="http://schemas.openxmlformats.org/officeDocument/2006/customXml" ds:itemID="{9387EDF5-98B4-409B-B510-7F569D0CFD58}"/>
</file>

<file path=docProps/app.xml><?xml version="1.0" encoding="utf-8"?>
<Properties xmlns="http://schemas.openxmlformats.org/officeDocument/2006/extended-properties" xmlns:vt="http://schemas.openxmlformats.org/officeDocument/2006/docPropsVTypes">
  <Template>Normal.dotm</Template>
  <TotalTime>383</TotalTime>
  <Pages>1</Pages>
  <Words>2299</Words>
  <Characters>13106</Characters>
  <Application>Microsoft Office Word</Application>
  <DocSecurity>4</DocSecurity>
  <Lines>109</Lines>
  <Paragraphs>30</Paragraphs>
  <ScaleCrop>false</ScaleCrop>
  <Company>Minnesota Advocates for Human Rights</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Xiao, Kevin</cp:lastModifiedBy>
  <cp:revision>175</cp:revision>
  <cp:lastPrinted>2011-09-17T00:52:00Z</cp:lastPrinted>
  <dcterms:created xsi:type="dcterms:W3CDTF">2020-08-10T17:15:00Z</dcterms:created>
  <dcterms:modified xsi:type="dcterms:W3CDTF">2020-08-18T00:24:00Z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0x010100D94DC6E63E0E4C40BB58A92BBDBC479C</vt:lpwstr>
  </property>
</Properties>
</file>