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1541" w:tblpY="2941"/>
        <w:tblW w:w="9647" w:type="dxa"/>
        <w:tblBorders>
          <w:right w:val="single" w:sz="48" w:space="0" w:color="548DD4"/>
        </w:tblBorders>
        <w:shd w:val="clear" w:color="auto" w:fill="FFFFFF"/>
        <w:tblLayout w:type="fixed"/>
        <w:tblCellMar>
          <w:left w:w="0" w:type="dxa"/>
          <w:right w:w="0" w:type="dxa"/>
        </w:tblCellMar>
        <w:tblLook w:val="0000" w:firstRow="0" w:lastRow="0" w:firstColumn="0" w:lastColumn="0" w:noHBand="0" w:noVBand="0"/>
      </w:tblPr>
      <w:tblGrid>
        <w:gridCol w:w="9336"/>
        <w:gridCol w:w="34"/>
        <w:gridCol w:w="269"/>
        <w:gridCol w:w="8"/>
      </w:tblGrid>
      <w:tr w:rsidR="006B20E4" w:rsidRPr="00A320C3" w14:paraId="7672D271" w14:textId="77777777">
        <w:trPr>
          <w:gridAfter w:val="3"/>
          <w:wAfter w:w="311" w:type="dxa"/>
          <w:trHeight w:val="526"/>
        </w:trPr>
        <w:tc>
          <w:tcPr>
            <w:tcW w:w="9336" w:type="dxa"/>
            <w:shd w:val="clear" w:color="auto" w:fill="FFFFFF"/>
          </w:tcPr>
          <w:p w14:paraId="1CA4B9A6" w14:textId="1B280A2C" w:rsidR="006B20E4" w:rsidRPr="00A320C3" w:rsidRDefault="003A6E8D" w:rsidP="006B20E4">
            <w:pPr>
              <w:pStyle w:val="Contenudetableau"/>
              <w:ind w:right="267"/>
              <w:jc w:val="right"/>
              <w:rPr>
                <w:rFonts w:ascii="Calibri" w:hAnsi="Calibri" w:cs="Tahoma"/>
                <w:b/>
                <w:bCs/>
                <w:sz w:val="96"/>
                <w:szCs w:val="96"/>
                <w:lang w:val="en-GB"/>
              </w:rPr>
            </w:pPr>
            <w:r>
              <w:rPr>
                <w:rFonts w:ascii="Calibri" w:hAnsi="Calibri" w:cs="Tahoma"/>
                <w:b/>
                <w:bCs/>
                <w:sz w:val="96"/>
                <w:szCs w:val="96"/>
                <w:lang w:val="en-GB"/>
              </w:rPr>
              <w:t>TAJIKISTAN</w:t>
            </w:r>
          </w:p>
        </w:tc>
      </w:tr>
      <w:tr w:rsidR="006B20E4" w:rsidRPr="00A320C3" w14:paraId="46CAD495" w14:textId="77777777">
        <w:trPr>
          <w:gridAfter w:val="3"/>
          <w:wAfter w:w="311" w:type="dxa"/>
          <w:trHeight w:val="1415"/>
        </w:trPr>
        <w:tc>
          <w:tcPr>
            <w:tcW w:w="9336" w:type="dxa"/>
            <w:shd w:val="clear" w:color="auto" w:fill="FFFFFF"/>
            <w:tcMar>
              <w:top w:w="55" w:type="dxa"/>
              <w:left w:w="55" w:type="dxa"/>
              <w:bottom w:w="55" w:type="dxa"/>
              <w:right w:w="55" w:type="dxa"/>
            </w:tcMar>
          </w:tcPr>
          <w:p w14:paraId="2E0041A5" w14:textId="77777777" w:rsidR="006B20E4" w:rsidRPr="00A320C3" w:rsidRDefault="006B20E4" w:rsidP="006B20E4">
            <w:pPr>
              <w:pStyle w:val="Contenudetableau"/>
              <w:spacing w:line="360" w:lineRule="auto"/>
              <w:ind w:right="288"/>
              <w:jc w:val="right"/>
              <w:rPr>
                <w:rFonts w:ascii="Calibri" w:hAnsi="Calibri"/>
                <w:b/>
                <w:color w:val="000000"/>
                <w:sz w:val="32"/>
                <w:szCs w:val="32"/>
                <w:lang w:val="en-GB"/>
              </w:rPr>
            </w:pPr>
          </w:p>
          <w:p w14:paraId="5AE335E0" w14:textId="77777777" w:rsidR="006B20E4" w:rsidRPr="00A320C3" w:rsidRDefault="006B20E4" w:rsidP="006B20E4">
            <w:pPr>
              <w:pStyle w:val="Contenudetableau"/>
              <w:spacing w:line="360" w:lineRule="auto"/>
              <w:ind w:right="288"/>
              <w:jc w:val="right"/>
              <w:rPr>
                <w:rFonts w:ascii="Calibri" w:hAnsi="Calibri"/>
                <w:b/>
                <w:color w:val="000000"/>
                <w:sz w:val="36"/>
                <w:szCs w:val="36"/>
                <w:lang w:val="en-GB"/>
              </w:rPr>
            </w:pPr>
            <w:r w:rsidRPr="00A320C3">
              <w:rPr>
                <w:rFonts w:ascii="Calibri" w:hAnsi="Calibri"/>
                <w:b/>
                <w:color w:val="000000"/>
                <w:sz w:val="36"/>
                <w:szCs w:val="36"/>
                <w:lang w:val="en-GB"/>
              </w:rPr>
              <w:t>Civil Society Report on the Implementation of the ICCPR</w:t>
            </w:r>
          </w:p>
          <w:p w14:paraId="5996B188" w14:textId="6C888B60" w:rsidR="006B20E4" w:rsidRDefault="006B20E4" w:rsidP="006B20E4">
            <w:pPr>
              <w:pStyle w:val="Contenudetableau"/>
              <w:spacing w:line="360" w:lineRule="auto"/>
              <w:ind w:right="288"/>
              <w:jc w:val="right"/>
              <w:rPr>
                <w:rFonts w:ascii="Calibri" w:hAnsi="Calibri"/>
                <w:b/>
                <w:color w:val="000000"/>
                <w:sz w:val="36"/>
                <w:szCs w:val="36"/>
                <w:lang w:val="en-GB"/>
              </w:rPr>
            </w:pPr>
            <w:r w:rsidRPr="00A320C3">
              <w:rPr>
                <w:rFonts w:ascii="Calibri" w:hAnsi="Calibri"/>
                <w:b/>
                <w:color w:val="000000"/>
                <w:sz w:val="36"/>
                <w:szCs w:val="36"/>
                <w:lang w:val="en-GB"/>
              </w:rPr>
              <w:t xml:space="preserve">(Replies </w:t>
            </w:r>
            <w:r w:rsidR="003E77EA">
              <w:rPr>
                <w:rFonts w:ascii="Calibri" w:hAnsi="Calibri"/>
                <w:b/>
                <w:color w:val="000000"/>
                <w:sz w:val="36"/>
                <w:szCs w:val="36"/>
                <w:lang w:val="en-GB"/>
              </w:rPr>
              <w:t>to the List of Issues CCPR</w:t>
            </w:r>
            <w:r w:rsidR="003E77EA" w:rsidRPr="00D55534">
              <w:rPr>
                <w:rFonts w:ascii="Calibri" w:hAnsi="Calibri"/>
                <w:b/>
                <w:color w:val="000000"/>
                <w:sz w:val="36"/>
                <w:szCs w:val="36"/>
                <w:lang w:val="en-GB"/>
              </w:rPr>
              <w:t>/C/</w:t>
            </w:r>
            <w:r w:rsidR="003A6E8D">
              <w:rPr>
                <w:rFonts w:ascii="Calibri" w:hAnsi="Calibri"/>
                <w:b/>
                <w:color w:val="000000"/>
                <w:sz w:val="36"/>
                <w:szCs w:val="36"/>
                <w:lang w:val="en-GB"/>
              </w:rPr>
              <w:t>TJK</w:t>
            </w:r>
            <w:r w:rsidR="003E77EA" w:rsidRPr="00D55534">
              <w:rPr>
                <w:rFonts w:ascii="Calibri" w:hAnsi="Calibri"/>
                <w:b/>
                <w:color w:val="000000"/>
                <w:sz w:val="36"/>
                <w:szCs w:val="36"/>
                <w:lang w:val="en-GB"/>
              </w:rPr>
              <w:t>/Q/</w:t>
            </w:r>
            <w:r w:rsidR="00216774">
              <w:rPr>
                <w:rFonts w:ascii="Calibri" w:hAnsi="Calibri"/>
                <w:b/>
                <w:color w:val="000000"/>
                <w:sz w:val="36"/>
                <w:szCs w:val="36"/>
                <w:lang w:val="en-GB"/>
              </w:rPr>
              <w:t>3</w:t>
            </w:r>
            <w:r w:rsidRPr="00D55534">
              <w:rPr>
                <w:rFonts w:ascii="Calibri" w:hAnsi="Calibri"/>
                <w:b/>
                <w:color w:val="000000"/>
                <w:sz w:val="36"/>
                <w:szCs w:val="36"/>
                <w:lang w:val="en-GB"/>
              </w:rPr>
              <w:t>)</w:t>
            </w:r>
          </w:p>
          <w:p w14:paraId="3D8CCCE7" w14:textId="5D9D878B" w:rsidR="00B65F7E" w:rsidRPr="00A320C3" w:rsidRDefault="00B65F7E" w:rsidP="006B20E4">
            <w:pPr>
              <w:pStyle w:val="Contenudetableau"/>
              <w:spacing w:line="360" w:lineRule="auto"/>
              <w:ind w:right="288"/>
              <w:jc w:val="right"/>
              <w:rPr>
                <w:rFonts w:ascii="Calibri" w:hAnsi="Calibri"/>
                <w:b/>
                <w:color w:val="000000"/>
                <w:sz w:val="36"/>
                <w:szCs w:val="36"/>
                <w:lang w:val="en-GB"/>
              </w:rPr>
            </w:pPr>
            <w:r>
              <w:rPr>
                <w:rFonts w:ascii="Calibri" w:hAnsi="Calibri"/>
                <w:b/>
                <w:color w:val="000000"/>
                <w:sz w:val="36"/>
                <w:szCs w:val="36"/>
                <w:lang w:val="en-GB"/>
              </w:rPr>
              <w:t>Thematic report on corruption</w:t>
            </w:r>
          </w:p>
          <w:p w14:paraId="0525A279" w14:textId="77777777" w:rsidR="006B20E4" w:rsidRPr="00A320C3" w:rsidRDefault="006B20E4" w:rsidP="006B20E4">
            <w:pPr>
              <w:pStyle w:val="Contenudetableau"/>
              <w:spacing w:line="360" w:lineRule="auto"/>
              <w:ind w:right="288"/>
              <w:jc w:val="right"/>
              <w:rPr>
                <w:rFonts w:ascii="Calibri" w:hAnsi="Calibri"/>
                <w:b/>
                <w:color w:val="000000"/>
                <w:sz w:val="32"/>
                <w:szCs w:val="32"/>
                <w:lang w:val="en-GB"/>
              </w:rPr>
            </w:pPr>
          </w:p>
          <w:p w14:paraId="0FD6BD4C" w14:textId="4D57E1C7" w:rsidR="006B20E4" w:rsidRPr="00121A64" w:rsidRDefault="005E7555" w:rsidP="005E7555">
            <w:pPr>
              <w:autoSpaceDE w:val="0"/>
              <w:autoSpaceDN w:val="0"/>
              <w:adjustRightInd w:val="0"/>
              <w:spacing w:after="0" w:line="240" w:lineRule="auto"/>
              <w:ind w:right="319"/>
              <w:jc w:val="right"/>
              <w:rPr>
                <w:color w:val="000000"/>
                <w:sz w:val="32"/>
                <w:szCs w:val="32"/>
                <w:lang w:val="en-GB"/>
              </w:rPr>
            </w:pPr>
            <w:r>
              <w:rPr>
                <w:color w:val="000000"/>
                <w:sz w:val="32"/>
                <w:szCs w:val="32"/>
                <w:lang w:val="en-GB"/>
              </w:rPr>
              <w:t xml:space="preserve"> F</w:t>
            </w:r>
            <w:r w:rsidR="006B20E4" w:rsidRPr="00A320C3">
              <w:rPr>
                <w:color w:val="000000"/>
                <w:sz w:val="32"/>
                <w:szCs w:val="32"/>
                <w:lang w:val="en-GB"/>
              </w:rPr>
              <w:t xml:space="preserve">or the Review of the </w:t>
            </w:r>
            <w:r w:rsidR="00216774">
              <w:rPr>
                <w:color w:val="000000"/>
                <w:sz w:val="32"/>
                <w:szCs w:val="32"/>
                <w:lang w:val="en-GB"/>
              </w:rPr>
              <w:t>third</w:t>
            </w:r>
            <w:r w:rsidR="003E77EA" w:rsidRPr="00121A64">
              <w:rPr>
                <w:color w:val="000000"/>
                <w:sz w:val="32"/>
                <w:szCs w:val="32"/>
                <w:lang w:val="en-GB"/>
              </w:rPr>
              <w:t xml:space="preserve"> </w:t>
            </w:r>
            <w:r w:rsidR="0036223A">
              <w:rPr>
                <w:color w:val="000000"/>
                <w:sz w:val="32"/>
                <w:szCs w:val="32"/>
                <w:lang w:val="en-GB"/>
              </w:rPr>
              <w:t>State</w:t>
            </w:r>
            <w:r w:rsidR="006B20E4" w:rsidRPr="00A320C3">
              <w:rPr>
                <w:color w:val="000000"/>
                <w:sz w:val="32"/>
                <w:szCs w:val="32"/>
                <w:lang w:val="en-GB"/>
              </w:rPr>
              <w:t xml:space="preserve"> Report of </w:t>
            </w:r>
            <w:r w:rsidR="003A6E8D">
              <w:rPr>
                <w:color w:val="000000"/>
                <w:sz w:val="32"/>
                <w:szCs w:val="32"/>
                <w:lang w:val="en-GB"/>
              </w:rPr>
              <w:t>Tajikistan</w:t>
            </w:r>
            <w:r w:rsidR="006B20E4" w:rsidRPr="00121A64">
              <w:rPr>
                <w:color w:val="000000"/>
                <w:sz w:val="32"/>
                <w:szCs w:val="32"/>
                <w:lang w:val="en-GB"/>
              </w:rPr>
              <w:t xml:space="preserve"> (</w:t>
            </w:r>
            <w:r w:rsidR="003E77EA" w:rsidRPr="00121A64">
              <w:rPr>
                <w:rFonts w:cs="Tahoma"/>
                <w:bCs/>
                <w:sz w:val="32"/>
                <w:szCs w:val="32"/>
                <w:lang w:val="en-GB"/>
              </w:rPr>
              <w:t>CCPR/C</w:t>
            </w:r>
            <w:r w:rsidR="00121A64" w:rsidRPr="00121A64">
              <w:rPr>
                <w:rFonts w:cs="Tahoma"/>
                <w:bCs/>
                <w:sz w:val="32"/>
                <w:szCs w:val="32"/>
                <w:lang w:val="en-GB"/>
              </w:rPr>
              <w:t>/</w:t>
            </w:r>
            <w:r w:rsidR="003A6E8D">
              <w:rPr>
                <w:rFonts w:cs="Tahoma"/>
                <w:bCs/>
                <w:sz w:val="32"/>
                <w:szCs w:val="32"/>
                <w:lang w:val="en-GB"/>
              </w:rPr>
              <w:t>TJK</w:t>
            </w:r>
            <w:r w:rsidR="00216774">
              <w:rPr>
                <w:rFonts w:cs="Tahoma"/>
                <w:bCs/>
                <w:sz w:val="32"/>
                <w:szCs w:val="32"/>
                <w:lang w:val="en-GB"/>
              </w:rPr>
              <w:t>/3</w:t>
            </w:r>
            <w:r w:rsidR="006B20E4" w:rsidRPr="00121A64">
              <w:rPr>
                <w:rFonts w:cs="Tahoma"/>
                <w:bCs/>
                <w:sz w:val="32"/>
                <w:szCs w:val="32"/>
                <w:lang w:val="en-GB"/>
              </w:rPr>
              <w:t>)</w:t>
            </w:r>
          </w:p>
          <w:p w14:paraId="3C28CF12" w14:textId="3FCAC390" w:rsidR="00146A70" w:rsidRPr="00121A64" w:rsidRDefault="006B20E4" w:rsidP="005E7555">
            <w:pPr>
              <w:autoSpaceDE w:val="0"/>
              <w:autoSpaceDN w:val="0"/>
              <w:adjustRightInd w:val="0"/>
              <w:spacing w:after="0" w:line="240" w:lineRule="auto"/>
              <w:ind w:right="319"/>
              <w:jc w:val="right"/>
              <w:rPr>
                <w:color w:val="000000"/>
                <w:sz w:val="32"/>
                <w:szCs w:val="32"/>
                <w:lang w:val="en-GB"/>
              </w:rPr>
            </w:pPr>
            <w:r w:rsidRPr="00121A64">
              <w:rPr>
                <w:color w:val="000000"/>
                <w:sz w:val="32"/>
                <w:szCs w:val="32"/>
                <w:lang w:val="en-GB"/>
              </w:rPr>
              <w:t xml:space="preserve">At the </w:t>
            </w:r>
            <w:r w:rsidR="00121A64" w:rsidRPr="00121A64">
              <w:rPr>
                <w:color w:val="000000"/>
                <w:sz w:val="32"/>
                <w:szCs w:val="32"/>
                <w:lang w:val="en-GB"/>
              </w:rPr>
              <w:t>1</w:t>
            </w:r>
            <w:r w:rsidR="00216774">
              <w:rPr>
                <w:color w:val="000000"/>
                <w:sz w:val="32"/>
                <w:szCs w:val="32"/>
                <w:lang w:val="en-GB"/>
              </w:rPr>
              <w:t>2</w:t>
            </w:r>
            <w:r w:rsidR="003A6E8D">
              <w:rPr>
                <w:color w:val="000000"/>
                <w:sz w:val="32"/>
                <w:szCs w:val="32"/>
                <w:lang w:val="en-GB"/>
              </w:rPr>
              <w:t>6</w:t>
            </w:r>
            <w:r w:rsidRPr="00121A64">
              <w:rPr>
                <w:color w:val="000000"/>
                <w:sz w:val="32"/>
                <w:szCs w:val="32"/>
                <w:vertAlign w:val="superscript"/>
                <w:lang w:val="en-GB"/>
              </w:rPr>
              <w:t>th</w:t>
            </w:r>
            <w:r w:rsidRPr="00121A64">
              <w:rPr>
                <w:color w:val="000000"/>
                <w:sz w:val="32"/>
                <w:szCs w:val="32"/>
                <w:lang w:val="en-GB"/>
              </w:rPr>
              <w:t xml:space="preserve"> session of the Human Rights Committee </w:t>
            </w:r>
          </w:p>
          <w:p w14:paraId="049CC3CE" w14:textId="4913DEF8" w:rsidR="006B20E4" w:rsidRPr="00A320C3" w:rsidRDefault="006B20E4" w:rsidP="005E7555">
            <w:pPr>
              <w:autoSpaceDE w:val="0"/>
              <w:autoSpaceDN w:val="0"/>
              <w:adjustRightInd w:val="0"/>
              <w:spacing w:after="0" w:line="240" w:lineRule="auto"/>
              <w:ind w:right="319"/>
              <w:jc w:val="right"/>
              <w:rPr>
                <w:color w:val="000000"/>
                <w:sz w:val="32"/>
                <w:szCs w:val="32"/>
                <w:lang w:val="en-GB"/>
              </w:rPr>
            </w:pPr>
            <w:r w:rsidRPr="00121A64">
              <w:rPr>
                <w:color w:val="000000"/>
                <w:sz w:val="32"/>
                <w:szCs w:val="32"/>
                <w:lang w:val="en-GB"/>
              </w:rPr>
              <w:t>(Geneva</w:t>
            </w:r>
            <w:r w:rsidR="00216774">
              <w:rPr>
                <w:color w:val="000000"/>
                <w:sz w:val="32"/>
                <w:szCs w:val="32"/>
                <w:lang w:val="en-GB"/>
              </w:rPr>
              <w:t xml:space="preserve">, </w:t>
            </w:r>
            <w:r w:rsidR="003A6E8D">
              <w:rPr>
                <w:color w:val="000000"/>
                <w:sz w:val="32"/>
                <w:szCs w:val="32"/>
                <w:lang w:val="en-GB"/>
              </w:rPr>
              <w:t xml:space="preserve">1 – 26 July </w:t>
            </w:r>
            <w:r w:rsidR="00216774">
              <w:rPr>
                <w:color w:val="000000"/>
                <w:sz w:val="32"/>
                <w:szCs w:val="32"/>
                <w:lang w:val="en-GB"/>
              </w:rPr>
              <w:t>2019</w:t>
            </w:r>
            <w:r w:rsidRPr="00121A64">
              <w:rPr>
                <w:color w:val="000000"/>
                <w:sz w:val="32"/>
                <w:szCs w:val="32"/>
                <w:lang w:val="en-GB"/>
              </w:rPr>
              <w:t>)</w:t>
            </w:r>
          </w:p>
          <w:p w14:paraId="0D105649" w14:textId="77777777" w:rsidR="006B20E4" w:rsidRPr="00A320C3" w:rsidRDefault="006B20E4" w:rsidP="006B20E4">
            <w:pPr>
              <w:pStyle w:val="Contenudetableau"/>
              <w:spacing w:line="360" w:lineRule="auto"/>
              <w:ind w:right="288"/>
              <w:jc w:val="right"/>
              <w:rPr>
                <w:rFonts w:ascii="Calibri" w:hAnsi="Calibri"/>
                <w:b/>
                <w:color w:val="000000"/>
                <w:sz w:val="32"/>
                <w:szCs w:val="32"/>
                <w:lang w:val="en-GB"/>
              </w:rPr>
            </w:pPr>
          </w:p>
        </w:tc>
      </w:tr>
      <w:tr w:rsidR="006B20E4" w:rsidRPr="00424376" w14:paraId="2383C970" w14:textId="77777777">
        <w:tblPrEx>
          <w:tblBorders>
            <w:right w:val="none" w:sz="0" w:space="0" w:color="auto"/>
          </w:tblBorders>
          <w:shd w:val="clear" w:color="auto" w:fill="auto"/>
          <w:tblCellMar>
            <w:left w:w="108" w:type="dxa"/>
            <w:right w:w="108" w:type="dxa"/>
          </w:tblCellMar>
          <w:tblLook w:val="04A0" w:firstRow="1" w:lastRow="0" w:firstColumn="1" w:lastColumn="0" w:noHBand="0" w:noVBand="1"/>
        </w:tblPrEx>
        <w:trPr>
          <w:gridAfter w:val="1"/>
          <w:wAfter w:w="8" w:type="dxa"/>
        </w:trPr>
        <w:tc>
          <w:tcPr>
            <w:tcW w:w="9639" w:type="dxa"/>
            <w:gridSpan w:val="3"/>
          </w:tcPr>
          <w:p w14:paraId="6E4A3C75" w14:textId="77777777" w:rsidR="00146A70" w:rsidRPr="00A320C3" w:rsidRDefault="00146A70" w:rsidP="002D540C">
            <w:pPr>
              <w:spacing w:after="0" w:line="240" w:lineRule="auto"/>
              <w:contextualSpacing/>
              <w:rPr>
                <w:sz w:val="28"/>
                <w:szCs w:val="28"/>
                <w:lang w:val="en-GB"/>
              </w:rPr>
            </w:pPr>
          </w:p>
          <w:p w14:paraId="30FE36A9" w14:textId="14F6776E" w:rsidR="006B20E4" w:rsidRPr="00424376" w:rsidRDefault="005E7555" w:rsidP="00DD11A6">
            <w:pPr>
              <w:spacing w:after="0" w:line="240" w:lineRule="auto"/>
              <w:contextualSpacing/>
              <w:rPr>
                <w:b/>
                <w:color w:val="000000"/>
                <w:sz w:val="32"/>
                <w:szCs w:val="32"/>
                <w:lang w:val="en-GB"/>
              </w:rPr>
            </w:pPr>
            <w:r>
              <w:rPr>
                <w:sz w:val="32"/>
                <w:szCs w:val="32"/>
                <w:lang w:val="en-GB"/>
              </w:rPr>
              <w:t>Submitted b</w:t>
            </w:r>
            <w:r w:rsidR="00146A70" w:rsidRPr="00A320C3">
              <w:rPr>
                <w:sz w:val="32"/>
                <w:szCs w:val="32"/>
                <w:lang w:val="en-GB"/>
              </w:rPr>
              <w:t>y</w:t>
            </w:r>
            <w:r>
              <w:rPr>
                <w:sz w:val="32"/>
                <w:szCs w:val="32"/>
                <w:lang w:val="en-GB"/>
              </w:rPr>
              <w:t>:</w:t>
            </w:r>
            <w:r w:rsidR="00146A70" w:rsidRPr="00A320C3">
              <w:rPr>
                <w:sz w:val="32"/>
                <w:szCs w:val="32"/>
                <w:lang w:val="en-GB"/>
              </w:rPr>
              <w:t xml:space="preserve"> </w:t>
            </w:r>
            <w:r w:rsidR="00DD11A6">
              <w:rPr>
                <w:i/>
                <w:sz w:val="32"/>
                <w:szCs w:val="32"/>
                <w:lang w:val="en-GB"/>
              </w:rPr>
              <w:t xml:space="preserve">Human Rights Centre </w:t>
            </w:r>
            <w:r w:rsidR="00DD11A6">
              <w:rPr>
                <w:b/>
                <w:noProof/>
                <w:color w:val="000000"/>
                <w:sz w:val="32"/>
                <w:szCs w:val="32"/>
                <w:lang w:val="en-GB" w:eastAsia="en-GB"/>
              </w:rPr>
              <w:drawing>
                <wp:inline distT="0" distB="0" distL="0" distR="0" wp14:anchorId="4E5085EF" wp14:editId="37695AEB">
                  <wp:extent cx="1744768" cy="75166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_logo nazvaniyem прозрачный.png"/>
                          <pic:cNvPicPr/>
                        </pic:nvPicPr>
                        <pic:blipFill>
                          <a:blip r:embed="rId8">
                            <a:extLst>
                              <a:ext uri="{28A0092B-C50C-407E-A947-70E740481C1C}">
                                <a14:useLocalDpi xmlns:a14="http://schemas.microsoft.com/office/drawing/2010/main" val="0"/>
                              </a:ext>
                            </a:extLst>
                          </a:blip>
                          <a:stretch>
                            <a:fillRect/>
                          </a:stretch>
                        </pic:blipFill>
                        <pic:spPr>
                          <a:xfrm>
                            <a:off x="0" y="0"/>
                            <a:ext cx="1765772" cy="760711"/>
                          </a:xfrm>
                          <a:prstGeom prst="rect">
                            <a:avLst/>
                          </a:prstGeom>
                        </pic:spPr>
                      </pic:pic>
                    </a:graphicData>
                  </a:graphic>
                </wp:inline>
              </w:drawing>
            </w:r>
          </w:p>
        </w:tc>
      </w:tr>
      <w:tr w:rsidR="006B20E4" w:rsidRPr="00424376" w14:paraId="01D38EE9" w14:textId="77777777">
        <w:tblPrEx>
          <w:tblBorders>
            <w:right w:val="none" w:sz="0" w:space="0" w:color="auto"/>
          </w:tblBorders>
          <w:shd w:val="clear" w:color="auto" w:fill="auto"/>
        </w:tblPrEx>
        <w:trPr>
          <w:gridAfter w:val="2"/>
          <w:wAfter w:w="277" w:type="dxa"/>
          <w:trHeight w:val="495"/>
        </w:trPr>
        <w:tc>
          <w:tcPr>
            <w:tcW w:w="9370" w:type="dxa"/>
            <w:gridSpan w:val="2"/>
          </w:tcPr>
          <w:p w14:paraId="11D39193" w14:textId="77777777" w:rsidR="006B20E4" w:rsidRPr="00424376" w:rsidRDefault="006B20E4" w:rsidP="006B20E4">
            <w:pPr>
              <w:jc w:val="right"/>
              <w:rPr>
                <w:rFonts w:cs="Tahoma"/>
                <w:i/>
                <w:iCs/>
                <w:sz w:val="32"/>
                <w:szCs w:val="32"/>
                <w:lang w:val="en-GB"/>
              </w:rPr>
            </w:pPr>
          </w:p>
          <w:p w14:paraId="7C847D9B" w14:textId="207B4094" w:rsidR="006B20E4" w:rsidRPr="00424376" w:rsidRDefault="00535D8B" w:rsidP="00535D8B">
            <w:pPr>
              <w:jc w:val="right"/>
              <w:rPr>
                <w:rFonts w:cs="Tahoma"/>
                <w:i/>
                <w:iCs/>
                <w:sz w:val="32"/>
                <w:szCs w:val="32"/>
                <w:lang w:val="en-GB"/>
              </w:rPr>
            </w:pPr>
            <w:r w:rsidRPr="00535D8B">
              <w:rPr>
                <w:rFonts w:cs="Tahoma"/>
                <w:i/>
                <w:iCs/>
                <w:sz w:val="32"/>
                <w:szCs w:val="32"/>
                <w:lang w:val="en-GB"/>
              </w:rPr>
              <w:t>Geneva, 3 June 2019</w:t>
            </w:r>
            <w:r w:rsidR="006B20E4" w:rsidRPr="00424376">
              <w:rPr>
                <w:rFonts w:cs="Tahoma"/>
                <w:i/>
                <w:iCs/>
                <w:sz w:val="32"/>
                <w:szCs w:val="32"/>
                <w:lang w:val="en-GB"/>
              </w:rPr>
              <w:t xml:space="preserve"> </w:t>
            </w:r>
          </w:p>
        </w:tc>
      </w:tr>
      <w:tr w:rsidR="006B20E4" w:rsidRPr="00424376" w14:paraId="5D4D8894" w14:textId="77777777" w:rsidTr="00773156">
        <w:tblPrEx>
          <w:tblBorders>
            <w:right w:val="none" w:sz="0" w:space="0" w:color="auto"/>
          </w:tblBorders>
          <w:shd w:val="clear" w:color="auto" w:fill="auto"/>
          <w:tblCellMar>
            <w:left w:w="108" w:type="dxa"/>
            <w:right w:w="108" w:type="dxa"/>
          </w:tblCellMar>
          <w:tblLook w:val="04A0" w:firstRow="1" w:lastRow="0" w:firstColumn="1" w:lastColumn="0" w:noHBand="0" w:noVBand="1"/>
        </w:tblPrEx>
        <w:trPr>
          <w:trHeight w:val="1153"/>
        </w:trPr>
        <w:tc>
          <w:tcPr>
            <w:tcW w:w="9647" w:type="dxa"/>
            <w:gridSpan w:val="4"/>
          </w:tcPr>
          <w:p w14:paraId="2C1E2DD4" w14:textId="77777777" w:rsidR="00773156" w:rsidRPr="00424376" w:rsidRDefault="00773156" w:rsidP="00773156">
            <w:pPr>
              <w:tabs>
                <w:tab w:val="left" w:pos="2400"/>
              </w:tabs>
              <w:spacing w:after="120"/>
              <w:rPr>
                <w:sz w:val="28"/>
                <w:szCs w:val="28"/>
                <w:lang w:val="en-GB"/>
              </w:rPr>
            </w:pPr>
          </w:p>
          <w:tbl>
            <w:tblPr>
              <w:tblW w:w="9669" w:type="dxa"/>
              <w:tblLayout w:type="fixed"/>
              <w:tblLook w:val="04A0" w:firstRow="1" w:lastRow="0" w:firstColumn="1" w:lastColumn="0" w:noHBand="0" w:noVBand="1"/>
            </w:tblPr>
            <w:tblGrid>
              <w:gridCol w:w="4688"/>
              <w:gridCol w:w="4981"/>
            </w:tblGrid>
            <w:tr w:rsidR="00773156" w:rsidRPr="00510356" w14:paraId="150CB467" w14:textId="77777777" w:rsidTr="00FE6F98">
              <w:trPr>
                <w:trHeight w:val="362"/>
              </w:trPr>
              <w:tc>
                <w:tcPr>
                  <w:tcW w:w="9669" w:type="dxa"/>
                  <w:gridSpan w:val="2"/>
                  <w:tcBorders>
                    <w:bottom w:val="single" w:sz="36" w:space="0" w:color="C6D9F1"/>
                  </w:tcBorders>
                </w:tcPr>
                <w:p w14:paraId="1CD0E5CD" w14:textId="77777777" w:rsidR="00773156" w:rsidRPr="00773156" w:rsidRDefault="00773156" w:rsidP="00DD11A6">
                  <w:pPr>
                    <w:framePr w:hSpace="141" w:wrap="around" w:vAnchor="page" w:hAnchor="page" w:x="1541" w:y="2941"/>
                    <w:spacing w:after="120"/>
                    <w:rPr>
                      <w:sz w:val="24"/>
                      <w:szCs w:val="24"/>
                    </w:rPr>
                  </w:pPr>
                  <w:r w:rsidRPr="00773156">
                    <w:rPr>
                      <w:rFonts w:cs="Tahoma"/>
                      <w:b/>
                      <w:color w:val="000000"/>
                      <w:sz w:val="24"/>
                      <w:szCs w:val="24"/>
                    </w:rPr>
                    <w:t>With the support of :</w:t>
                  </w:r>
                </w:p>
              </w:tc>
            </w:tr>
            <w:tr w:rsidR="00773156" w14:paraId="58FFA671" w14:textId="77777777" w:rsidTr="00FE6F98">
              <w:trPr>
                <w:gridAfter w:val="1"/>
                <w:wAfter w:w="4981" w:type="dxa"/>
                <w:trHeight w:val="1564"/>
              </w:trPr>
              <w:tc>
                <w:tcPr>
                  <w:tcW w:w="4688" w:type="dxa"/>
                  <w:tcBorders>
                    <w:top w:val="single" w:sz="36" w:space="0" w:color="C6D9F1"/>
                  </w:tcBorders>
                </w:tcPr>
                <w:p w14:paraId="23719F79" w14:textId="77777777" w:rsidR="00773156" w:rsidRDefault="00CD5DA8" w:rsidP="00DD11A6">
                  <w:pPr>
                    <w:framePr w:hSpace="141" w:wrap="around" w:vAnchor="page" w:hAnchor="page" w:x="1541" w:y="2941"/>
                    <w:spacing w:after="120"/>
                  </w:pPr>
                  <w:r>
                    <w:rPr>
                      <w:rFonts w:ascii="Times New Roman" w:eastAsia="Lucida Sans Unicode" w:hAnsi="Times New Roman"/>
                      <w:noProof/>
                      <w:kern w:val="1"/>
                      <w:sz w:val="24"/>
                      <w:szCs w:val="24"/>
                      <w:lang w:val="en-GB" w:eastAsia="en-GB"/>
                    </w:rPr>
                    <w:drawing>
                      <wp:anchor distT="0" distB="0" distL="0" distR="0" simplePos="0" relativeHeight="251657728" behindDoc="0" locked="0" layoutInCell="1" allowOverlap="1" wp14:anchorId="78436572" wp14:editId="4C97B6CE">
                        <wp:simplePos x="0" y="0"/>
                        <wp:positionH relativeFrom="column">
                          <wp:posOffset>-8890</wp:posOffset>
                        </wp:positionH>
                        <wp:positionV relativeFrom="paragraph">
                          <wp:posOffset>87630</wp:posOffset>
                        </wp:positionV>
                        <wp:extent cx="2230755" cy="632460"/>
                        <wp:effectExtent l="0" t="0" r="4445" b="254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0755" cy="632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62A133CF" w14:textId="77777777" w:rsidR="006B20E4" w:rsidRPr="00424376" w:rsidRDefault="006B20E4" w:rsidP="00773156">
            <w:pPr>
              <w:tabs>
                <w:tab w:val="left" w:pos="2400"/>
              </w:tabs>
              <w:spacing w:after="120"/>
              <w:rPr>
                <w:sz w:val="28"/>
                <w:szCs w:val="28"/>
                <w:lang w:val="en-GB"/>
              </w:rPr>
            </w:pPr>
          </w:p>
        </w:tc>
      </w:tr>
    </w:tbl>
    <w:p w14:paraId="027D83B1" w14:textId="77777777" w:rsidR="006B20E4" w:rsidRPr="00424376" w:rsidRDefault="006B20E4" w:rsidP="006B20E4">
      <w:pPr>
        <w:rPr>
          <w:b/>
          <w:color w:val="000000"/>
          <w:sz w:val="24"/>
          <w:szCs w:val="24"/>
          <w:lang w:val="en-GB"/>
        </w:rPr>
      </w:pPr>
    </w:p>
    <w:p w14:paraId="2431BC53" w14:textId="77777777" w:rsidR="006B20E4" w:rsidRPr="00424376" w:rsidRDefault="006B20E4" w:rsidP="006B20E4">
      <w:pPr>
        <w:autoSpaceDE w:val="0"/>
        <w:autoSpaceDN w:val="0"/>
        <w:adjustRightInd w:val="0"/>
        <w:rPr>
          <w:b/>
          <w:color w:val="000000"/>
          <w:sz w:val="24"/>
          <w:szCs w:val="24"/>
          <w:lang w:val="en-GB"/>
        </w:rPr>
      </w:pPr>
    </w:p>
    <w:p w14:paraId="23127746" w14:textId="77777777" w:rsidR="006B20E4" w:rsidRPr="00424376" w:rsidRDefault="006B20E4" w:rsidP="006B20E4">
      <w:pPr>
        <w:tabs>
          <w:tab w:val="left" w:pos="2540"/>
        </w:tabs>
        <w:autoSpaceDE w:val="0"/>
        <w:autoSpaceDN w:val="0"/>
        <w:adjustRightInd w:val="0"/>
        <w:rPr>
          <w:b/>
          <w:color w:val="000000"/>
          <w:sz w:val="24"/>
          <w:szCs w:val="24"/>
          <w:lang w:val="en-GB"/>
        </w:rPr>
        <w:sectPr w:rsidR="006B20E4" w:rsidRPr="00424376" w:rsidSect="004E557F">
          <w:headerReference w:type="default" r:id="rId10"/>
          <w:footerReference w:type="even" r:id="rId11"/>
          <w:footerReference w:type="default" r:id="rId12"/>
          <w:pgSz w:w="11906" w:h="16838"/>
          <w:pgMar w:top="1440" w:right="1440" w:bottom="1440" w:left="1440" w:header="709" w:footer="709" w:gutter="0"/>
          <w:cols w:space="708"/>
          <w:rtlGutter/>
          <w:docGrid w:linePitch="360"/>
        </w:sectPr>
      </w:pPr>
    </w:p>
    <w:p w14:paraId="16768EFA" w14:textId="77777777" w:rsidR="006B20E4" w:rsidRPr="00424376" w:rsidRDefault="006B20E4" w:rsidP="004E557F">
      <w:pPr>
        <w:tabs>
          <w:tab w:val="left" w:pos="7040"/>
        </w:tabs>
        <w:spacing w:after="240" w:line="240" w:lineRule="auto"/>
        <w:rPr>
          <w:b/>
          <w:i/>
          <w:sz w:val="32"/>
          <w:szCs w:val="32"/>
          <w:lang w:val="en-GB"/>
        </w:rPr>
      </w:pPr>
      <w:r w:rsidRPr="00424376">
        <w:rPr>
          <w:b/>
          <w:i/>
          <w:sz w:val="32"/>
          <w:szCs w:val="32"/>
          <w:lang w:val="en-GB"/>
        </w:rPr>
        <w:lastRenderedPageBreak/>
        <w:t>Table of Contents</w:t>
      </w:r>
      <w:r w:rsidRPr="00424376">
        <w:rPr>
          <w:b/>
          <w:i/>
          <w:sz w:val="32"/>
          <w:szCs w:val="32"/>
          <w:lang w:val="en-GB"/>
        </w:rPr>
        <w:tab/>
      </w:r>
    </w:p>
    <w:p w14:paraId="3ADE8B00" w14:textId="77777777" w:rsidR="006B20E4" w:rsidRPr="00424376" w:rsidRDefault="006B20E4" w:rsidP="00BC529A">
      <w:pPr>
        <w:pStyle w:val="LightGrid-Accent31"/>
        <w:spacing w:after="0" w:line="240" w:lineRule="auto"/>
        <w:ind w:left="0"/>
        <w:contextualSpacing w:val="0"/>
        <w:rPr>
          <w:b/>
          <w:sz w:val="28"/>
          <w:szCs w:val="28"/>
          <w:lang w:val="en-GB"/>
        </w:rPr>
      </w:pPr>
    </w:p>
    <w:p w14:paraId="7B994E7E" w14:textId="3C1EE96F" w:rsidR="00141075" w:rsidRPr="00162865" w:rsidRDefault="00BF2416" w:rsidP="009C0313">
      <w:pPr>
        <w:pStyle w:val="LightGrid-Accent31"/>
        <w:numPr>
          <w:ilvl w:val="1"/>
          <w:numId w:val="1"/>
        </w:numPr>
        <w:spacing w:after="60" w:line="240" w:lineRule="auto"/>
        <w:contextualSpacing w:val="0"/>
        <w:rPr>
          <w:sz w:val="24"/>
          <w:szCs w:val="24"/>
          <w:lang w:val="en-GB"/>
        </w:rPr>
      </w:pPr>
      <w:r w:rsidRPr="00162865">
        <w:rPr>
          <w:rFonts w:asciiTheme="majorHAnsi" w:hAnsiTheme="majorHAnsi"/>
          <w:sz w:val="24"/>
          <w:szCs w:val="24"/>
          <w:lang w:val="en-GB"/>
        </w:rPr>
        <w:t>Anti-corruption measures</w:t>
      </w:r>
      <w:r w:rsidR="00794AEC" w:rsidRPr="00162865">
        <w:rPr>
          <w:rFonts w:asciiTheme="majorHAnsi" w:hAnsiTheme="majorHAnsi"/>
          <w:sz w:val="24"/>
          <w:szCs w:val="24"/>
        </w:rPr>
        <w:t xml:space="preserve"> </w:t>
      </w:r>
      <w:r w:rsidRPr="00162865">
        <w:rPr>
          <w:rFonts w:asciiTheme="majorHAnsi" w:hAnsiTheme="majorHAnsi"/>
          <w:bCs/>
          <w:sz w:val="24"/>
          <w:szCs w:val="24"/>
        </w:rPr>
        <w:t>(arts. 2 and 25</w:t>
      </w:r>
      <w:r w:rsidR="009C0313" w:rsidRPr="00162865">
        <w:rPr>
          <w:rFonts w:asciiTheme="majorHAnsi" w:hAnsiTheme="majorHAnsi"/>
          <w:sz w:val="24"/>
          <w:szCs w:val="24"/>
          <w:lang w:val="en-GB"/>
        </w:rPr>
        <w:t>)</w:t>
      </w:r>
      <w:r w:rsidRPr="00162865">
        <w:rPr>
          <w:rFonts w:asciiTheme="majorHAnsi" w:hAnsiTheme="majorHAnsi"/>
          <w:sz w:val="24"/>
          <w:szCs w:val="24"/>
          <w:lang w:val="en-GB"/>
        </w:rPr>
        <w:tab/>
      </w:r>
      <w:r w:rsidRPr="00162865">
        <w:rPr>
          <w:rFonts w:asciiTheme="majorHAnsi" w:hAnsiTheme="majorHAnsi"/>
          <w:sz w:val="24"/>
          <w:szCs w:val="24"/>
          <w:lang w:val="en-GB"/>
        </w:rPr>
        <w:tab/>
      </w:r>
      <w:r w:rsidRPr="00162865">
        <w:rPr>
          <w:rFonts w:asciiTheme="majorHAnsi" w:hAnsiTheme="majorHAnsi"/>
          <w:sz w:val="24"/>
          <w:szCs w:val="24"/>
          <w:lang w:val="en-GB"/>
        </w:rPr>
        <w:tab/>
      </w:r>
      <w:r w:rsidR="00A36A22" w:rsidRPr="00162865">
        <w:rPr>
          <w:rFonts w:asciiTheme="majorHAnsi" w:hAnsiTheme="majorHAnsi"/>
          <w:sz w:val="24"/>
          <w:szCs w:val="24"/>
          <w:lang w:val="en-GB"/>
        </w:rPr>
        <w:tab/>
      </w:r>
      <w:r w:rsidR="00AA64DB" w:rsidRPr="00162865">
        <w:rPr>
          <w:sz w:val="24"/>
          <w:szCs w:val="24"/>
          <w:lang w:val="en-GB"/>
        </w:rPr>
        <w:tab/>
      </w:r>
      <w:r w:rsidR="00772BC4" w:rsidRPr="00162865">
        <w:rPr>
          <w:sz w:val="24"/>
          <w:szCs w:val="24"/>
          <w:lang w:val="en-GB"/>
        </w:rPr>
        <w:t>4</w:t>
      </w:r>
    </w:p>
    <w:p w14:paraId="51326E81" w14:textId="0CFF9D7E" w:rsidR="00C77E16" w:rsidRPr="00162865" w:rsidRDefault="00BF2416" w:rsidP="009C0313">
      <w:pPr>
        <w:pStyle w:val="LightGrid-Accent31"/>
        <w:numPr>
          <w:ilvl w:val="1"/>
          <w:numId w:val="1"/>
        </w:numPr>
        <w:spacing w:after="60" w:line="240" w:lineRule="auto"/>
        <w:contextualSpacing w:val="0"/>
        <w:jc w:val="both"/>
        <w:rPr>
          <w:sz w:val="24"/>
          <w:szCs w:val="24"/>
          <w:lang w:val="en-GB"/>
        </w:rPr>
      </w:pPr>
      <w:r w:rsidRPr="00162865">
        <w:rPr>
          <w:sz w:val="24"/>
          <w:szCs w:val="24"/>
          <w:lang w:val="en-GB"/>
        </w:rPr>
        <w:t>Right to a fair trial and independence of the judiciary (art. 14</w:t>
      </w:r>
      <w:r w:rsidR="00C77E16" w:rsidRPr="00162865">
        <w:rPr>
          <w:sz w:val="24"/>
          <w:szCs w:val="24"/>
          <w:lang w:val="en-GB"/>
        </w:rPr>
        <w:t>)</w:t>
      </w:r>
      <w:r w:rsidR="00C77E16" w:rsidRPr="00162865">
        <w:rPr>
          <w:sz w:val="24"/>
          <w:szCs w:val="24"/>
          <w:lang w:val="en-GB"/>
        </w:rPr>
        <w:tab/>
      </w:r>
      <w:r w:rsidR="00794AEC" w:rsidRPr="00162865">
        <w:rPr>
          <w:sz w:val="24"/>
          <w:szCs w:val="24"/>
          <w:lang w:val="en-GB"/>
        </w:rPr>
        <w:tab/>
      </w:r>
      <w:r w:rsidR="00B65F7E">
        <w:rPr>
          <w:sz w:val="24"/>
          <w:szCs w:val="24"/>
          <w:lang w:val="en-GB"/>
        </w:rPr>
        <w:t>8</w:t>
      </w:r>
    </w:p>
    <w:p w14:paraId="30B368D7" w14:textId="340F5182" w:rsidR="00794AEC" w:rsidRPr="00162865" w:rsidRDefault="00EC50D9" w:rsidP="009C0313">
      <w:pPr>
        <w:pStyle w:val="LightGrid-Accent31"/>
        <w:numPr>
          <w:ilvl w:val="1"/>
          <w:numId w:val="1"/>
        </w:numPr>
        <w:spacing w:after="60" w:line="240" w:lineRule="auto"/>
        <w:contextualSpacing w:val="0"/>
        <w:jc w:val="both"/>
        <w:rPr>
          <w:sz w:val="24"/>
          <w:szCs w:val="24"/>
          <w:lang w:val="en-GB"/>
        </w:rPr>
      </w:pPr>
      <w:r w:rsidRPr="00162865">
        <w:rPr>
          <w:sz w:val="24"/>
          <w:szCs w:val="24"/>
        </w:rPr>
        <w:t>Freedom of association and participation in public affairs (arts. 22, 25 and 27</w:t>
      </w:r>
      <w:r w:rsidR="00794AEC" w:rsidRPr="00162865">
        <w:rPr>
          <w:sz w:val="24"/>
          <w:szCs w:val="24"/>
        </w:rPr>
        <w:t>)</w:t>
      </w:r>
      <w:r w:rsidR="00794AEC" w:rsidRPr="00162865">
        <w:rPr>
          <w:sz w:val="24"/>
          <w:szCs w:val="24"/>
        </w:rPr>
        <w:tab/>
      </w:r>
      <w:r w:rsidRPr="00162865">
        <w:rPr>
          <w:sz w:val="24"/>
          <w:szCs w:val="24"/>
        </w:rPr>
        <w:tab/>
      </w:r>
      <w:r w:rsidRPr="00162865">
        <w:rPr>
          <w:sz w:val="24"/>
          <w:szCs w:val="24"/>
        </w:rPr>
        <w:tab/>
      </w:r>
      <w:r w:rsidRPr="00162865">
        <w:rPr>
          <w:sz w:val="24"/>
          <w:szCs w:val="24"/>
        </w:rPr>
        <w:tab/>
      </w:r>
      <w:r w:rsidRPr="00162865">
        <w:rPr>
          <w:sz w:val="24"/>
          <w:szCs w:val="24"/>
        </w:rPr>
        <w:tab/>
      </w:r>
      <w:r w:rsidRPr="00162865">
        <w:rPr>
          <w:sz w:val="24"/>
          <w:szCs w:val="24"/>
        </w:rPr>
        <w:tab/>
      </w:r>
      <w:r w:rsidRPr="00162865">
        <w:rPr>
          <w:sz w:val="24"/>
          <w:szCs w:val="24"/>
        </w:rPr>
        <w:tab/>
      </w:r>
      <w:r w:rsidRPr="00162865">
        <w:rPr>
          <w:sz w:val="24"/>
          <w:szCs w:val="24"/>
        </w:rPr>
        <w:tab/>
      </w:r>
      <w:r w:rsidRPr="00162865">
        <w:rPr>
          <w:sz w:val="24"/>
          <w:szCs w:val="24"/>
        </w:rPr>
        <w:tab/>
      </w:r>
      <w:r w:rsidRPr="00162865">
        <w:rPr>
          <w:sz w:val="24"/>
          <w:szCs w:val="24"/>
        </w:rPr>
        <w:tab/>
      </w:r>
      <w:r w:rsidR="00162865" w:rsidRPr="00162865">
        <w:rPr>
          <w:sz w:val="24"/>
          <w:szCs w:val="24"/>
        </w:rPr>
        <w:tab/>
      </w:r>
      <w:r w:rsidR="00B65F7E">
        <w:rPr>
          <w:sz w:val="24"/>
          <w:szCs w:val="24"/>
        </w:rPr>
        <w:t>14</w:t>
      </w:r>
    </w:p>
    <w:p w14:paraId="4C0D4CF5" w14:textId="77777777" w:rsidR="006B20E4" w:rsidRPr="00424376" w:rsidRDefault="006B20E4" w:rsidP="004E557F">
      <w:pPr>
        <w:pStyle w:val="LightGrid-Accent31"/>
        <w:spacing w:after="0" w:line="240" w:lineRule="auto"/>
        <w:contextualSpacing w:val="0"/>
        <w:rPr>
          <w:sz w:val="28"/>
          <w:szCs w:val="28"/>
          <w:lang w:val="en-GB"/>
        </w:rPr>
      </w:pPr>
    </w:p>
    <w:p w14:paraId="27576F8B" w14:textId="77777777" w:rsidR="004B3A56" w:rsidRPr="004B3A56" w:rsidRDefault="004B3A56" w:rsidP="004B3A56">
      <w:pPr>
        <w:spacing w:after="240" w:line="240" w:lineRule="auto"/>
        <w:ind w:left="567"/>
        <w:jc w:val="both"/>
        <w:rPr>
          <w:b/>
          <w:sz w:val="32"/>
          <w:szCs w:val="32"/>
          <w:lang w:val="en-GB"/>
        </w:rPr>
      </w:pPr>
    </w:p>
    <w:p w14:paraId="371F3949" w14:textId="77777777" w:rsidR="004B3A56" w:rsidRDefault="004B3A56">
      <w:pPr>
        <w:spacing w:after="0" w:line="240" w:lineRule="auto"/>
        <w:rPr>
          <w:b/>
          <w:sz w:val="28"/>
          <w:szCs w:val="28"/>
          <w:highlight w:val="yellow"/>
          <w:lang w:val="en-GB"/>
        </w:rPr>
      </w:pPr>
      <w:r>
        <w:rPr>
          <w:b/>
          <w:sz w:val="28"/>
          <w:szCs w:val="28"/>
          <w:highlight w:val="yellow"/>
          <w:lang w:val="en-GB"/>
        </w:rPr>
        <w:br w:type="page"/>
      </w:r>
    </w:p>
    <w:p w14:paraId="2A04F601" w14:textId="4FD7C6B8" w:rsidR="00AA64DB" w:rsidRPr="003439BB" w:rsidRDefault="0039226C" w:rsidP="00AA64DB">
      <w:pPr>
        <w:pStyle w:val="LightGrid-Accent31"/>
        <w:numPr>
          <w:ilvl w:val="1"/>
          <w:numId w:val="2"/>
        </w:numPr>
        <w:spacing w:after="120" w:line="240" w:lineRule="auto"/>
        <w:ind w:left="426"/>
        <w:contextualSpacing w:val="0"/>
        <w:jc w:val="both"/>
        <w:rPr>
          <w:rFonts w:asciiTheme="majorHAnsi" w:hAnsiTheme="majorHAnsi"/>
          <w:b/>
          <w:sz w:val="28"/>
          <w:szCs w:val="28"/>
          <w:lang w:val="en-GB"/>
        </w:rPr>
      </w:pPr>
      <w:r>
        <w:rPr>
          <w:rFonts w:asciiTheme="majorHAnsi" w:hAnsiTheme="majorHAnsi"/>
          <w:b/>
          <w:sz w:val="28"/>
          <w:szCs w:val="28"/>
          <w:u w:val="single"/>
          <w:lang w:val="en-GB"/>
        </w:rPr>
        <w:lastRenderedPageBreak/>
        <w:t>Anti-corruption measures (arts. 2 and 25</w:t>
      </w:r>
      <w:r w:rsidR="00AA64DB" w:rsidRPr="003439BB">
        <w:rPr>
          <w:rFonts w:asciiTheme="majorHAnsi" w:hAnsiTheme="majorHAnsi"/>
          <w:b/>
          <w:sz w:val="28"/>
          <w:szCs w:val="28"/>
          <w:u w:val="single"/>
          <w:lang w:val="en-GB"/>
        </w:rPr>
        <w:t>)</w:t>
      </w:r>
    </w:p>
    <w:p w14:paraId="730F1CDC" w14:textId="3136D192" w:rsidR="000B0757" w:rsidRPr="0039226C" w:rsidRDefault="000B0757" w:rsidP="0039226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val="en-GB" w:eastAsia="en-GB"/>
        </w:rPr>
      </w:pPr>
      <w:r w:rsidRPr="00794AEC">
        <w:rPr>
          <w:rFonts w:asciiTheme="majorHAnsi" w:hAnsiTheme="majorHAnsi"/>
          <w:b/>
          <w:color w:val="000000"/>
          <w:u w:val="single"/>
          <w:lang w:val="en-GB"/>
        </w:rPr>
        <w:t xml:space="preserve">Issue </w:t>
      </w:r>
      <w:r w:rsidR="00DA10C7" w:rsidRPr="00794AEC">
        <w:rPr>
          <w:rFonts w:asciiTheme="majorHAnsi" w:hAnsiTheme="majorHAnsi"/>
          <w:b/>
          <w:color w:val="000000"/>
          <w:u w:val="single"/>
          <w:lang w:val="en-GB"/>
        </w:rPr>
        <w:t>3</w:t>
      </w:r>
      <w:r w:rsidRPr="00794AEC">
        <w:rPr>
          <w:rFonts w:asciiTheme="majorHAnsi" w:hAnsiTheme="majorHAnsi"/>
          <w:b/>
          <w:color w:val="000000"/>
          <w:lang w:val="en-GB"/>
        </w:rPr>
        <w:t>:</w:t>
      </w:r>
      <w:r w:rsidRPr="000B0757">
        <w:rPr>
          <w:rFonts w:asciiTheme="majorHAnsi" w:hAnsiTheme="majorHAnsi"/>
          <w:i/>
          <w:color w:val="000000"/>
          <w:sz w:val="20"/>
          <w:szCs w:val="20"/>
          <w:lang w:val="en-GB"/>
        </w:rPr>
        <w:t xml:space="preserve"> </w:t>
      </w:r>
      <w:r w:rsidR="0039226C" w:rsidRPr="0039226C">
        <w:rPr>
          <w:rFonts w:asciiTheme="majorHAnsi" w:hAnsiTheme="majorHAnsi"/>
          <w:i/>
          <w:sz w:val="18"/>
          <w:szCs w:val="18"/>
          <w:lang w:val="en-GB"/>
        </w:rPr>
        <w:t xml:space="preserve">Please respond to reports that corruption, including bribe-seeking by public officials, remains widespread; report on the measures taken to combat corruption effectively and the impact thereof; and clarify inter alia whether steps have been taken to fully criminalize corruption in accordance with international standards and to strengthen legal and institutional capacity to ensure the effective investigation and prosecution of complex and high-level corruption cases. </w:t>
      </w:r>
    </w:p>
    <w:p w14:paraId="28214709" w14:textId="77777777" w:rsidR="0039226C" w:rsidRPr="0039226C" w:rsidRDefault="0039226C" w:rsidP="000B0757">
      <w:pPr>
        <w:pStyle w:val="SingleTxtG"/>
        <w:spacing w:line="240" w:lineRule="auto"/>
        <w:ind w:left="0" w:right="0"/>
        <w:rPr>
          <w:rStyle w:val="hps"/>
          <w:rFonts w:ascii="Calibri" w:hAnsi="Calibri"/>
          <w:b/>
          <w:sz w:val="2"/>
          <w:szCs w:val="2"/>
        </w:rPr>
      </w:pPr>
    </w:p>
    <w:p w14:paraId="25D30F25" w14:textId="77777777" w:rsidR="000B0757" w:rsidRPr="00A320C3" w:rsidRDefault="000B0757" w:rsidP="000B0757">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648B605A" w14:textId="66E2C0CC" w:rsidR="00535D8B" w:rsidRPr="00535D8B" w:rsidRDefault="00535D8B" w:rsidP="00535D8B">
      <w:pPr>
        <w:pStyle w:val="ListParagraph"/>
        <w:numPr>
          <w:ilvl w:val="6"/>
          <w:numId w:val="1"/>
        </w:numPr>
        <w:ind w:left="709"/>
        <w:jc w:val="both"/>
        <w:rPr>
          <w:rFonts w:asciiTheme="minorHAnsi" w:hAnsiTheme="minorHAnsi" w:cstheme="minorHAnsi"/>
          <w:b/>
          <w:lang w:val="en-GB"/>
        </w:rPr>
      </w:pPr>
      <w:r w:rsidRPr="00535D8B">
        <w:rPr>
          <w:rFonts w:asciiTheme="minorHAnsi" w:hAnsiTheme="minorHAnsi" w:cstheme="minorHAnsi"/>
          <w:b/>
          <w:lang w:val="en-GB"/>
        </w:rPr>
        <w:t xml:space="preserve">Prevalence of corruption and bribe-seeking behaviour </w:t>
      </w:r>
    </w:p>
    <w:p w14:paraId="59457812" w14:textId="15FC80DA" w:rsidR="00535D8B" w:rsidRPr="0036524B" w:rsidRDefault="00535D8B" w:rsidP="00535D8B">
      <w:pPr>
        <w:jc w:val="both"/>
        <w:rPr>
          <w:rFonts w:asciiTheme="minorHAnsi" w:hAnsiTheme="minorHAnsi" w:cstheme="minorHAnsi"/>
          <w:lang w:val="en-GB"/>
        </w:rPr>
      </w:pPr>
      <w:r w:rsidRPr="0036524B">
        <w:rPr>
          <w:rFonts w:asciiTheme="minorHAnsi" w:hAnsiTheme="minorHAnsi" w:cstheme="minorHAnsi"/>
          <w:lang w:val="en-GB"/>
        </w:rPr>
        <w:t xml:space="preserve">According to the </w:t>
      </w:r>
      <w:r w:rsidRPr="00253BCA">
        <w:rPr>
          <w:rFonts w:asciiTheme="minorHAnsi" w:hAnsiTheme="minorHAnsi" w:cstheme="minorHAnsi"/>
          <w:b/>
          <w:lang w:val="en-GB"/>
        </w:rPr>
        <w:t>Corruption Perception Index of the Transparency International</w:t>
      </w:r>
      <w:r w:rsidRPr="0036524B">
        <w:rPr>
          <w:rFonts w:asciiTheme="minorHAnsi" w:hAnsiTheme="minorHAnsi" w:cstheme="minorHAnsi"/>
          <w:lang w:val="en-GB"/>
        </w:rPr>
        <w:t>, Tajikistan ranks 152</w:t>
      </w:r>
      <w:r>
        <w:rPr>
          <w:rFonts w:asciiTheme="minorHAnsi" w:hAnsiTheme="minorHAnsi" w:cstheme="minorHAnsi"/>
          <w:lang w:val="en-GB"/>
        </w:rPr>
        <w:t>th out</w:t>
      </w:r>
      <w:r w:rsidRPr="0036524B">
        <w:rPr>
          <w:rFonts w:asciiTheme="minorHAnsi" w:hAnsiTheme="minorHAnsi" w:cstheme="minorHAnsi"/>
          <w:lang w:val="en-GB"/>
        </w:rPr>
        <w:t xml:space="preserve"> of 180 countries.</w:t>
      </w:r>
      <w:r w:rsidRPr="0036524B">
        <w:rPr>
          <w:rStyle w:val="FootnoteReference"/>
          <w:rFonts w:asciiTheme="minorHAnsi" w:hAnsiTheme="minorHAnsi" w:cstheme="minorHAnsi"/>
          <w:lang w:val="en-GB"/>
        </w:rPr>
        <w:footnoteReference w:id="1"/>
      </w:r>
      <w:r w:rsidRPr="0036524B">
        <w:rPr>
          <w:rFonts w:asciiTheme="minorHAnsi" w:hAnsiTheme="minorHAnsi" w:cstheme="minorHAnsi"/>
          <w:lang w:val="en-GB"/>
        </w:rPr>
        <w:t xml:space="preserve"> Despite some improvement in ranking (e.g. in 2017 Tajikistan ranked 160 of 180 countries), Tajikistan remains the most corrupt country in the region. The Strategic Research Study under the President of Tajikistan holds regular studies on prevalence of corruption. The latest nationwide study on prevalence of corruption in Tajikistan was conducted in 2015 by the Strategic Research Center under the President of Tajikistan. It</w:t>
      </w:r>
      <w:r w:rsidRPr="0036524B">
        <w:rPr>
          <w:rFonts w:asciiTheme="minorHAnsi" w:hAnsiTheme="minorHAnsi" w:cstheme="minorHAnsi"/>
        </w:rPr>
        <w:t xml:space="preserve"> </w:t>
      </w:r>
      <w:r w:rsidRPr="0036524B">
        <w:rPr>
          <w:rFonts w:asciiTheme="minorHAnsi" w:hAnsiTheme="minorHAnsi" w:cstheme="minorHAnsi"/>
          <w:lang w:val="en-GB"/>
        </w:rPr>
        <w:t>demonstrated</w:t>
      </w:r>
      <w:r w:rsidRPr="0036524B">
        <w:rPr>
          <w:rFonts w:asciiTheme="minorHAnsi" w:hAnsiTheme="minorHAnsi" w:cstheme="minorHAnsi"/>
        </w:rPr>
        <w:t xml:space="preserve"> </w:t>
      </w:r>
      <w:r w:rsidRPr="0036524B">
        <w:rPr>
          <w:rFonts w:asciiTheme="minorHAnsi" w:hAnsiTheme="minorHAnsi" w:cstheme="minorHAnsi"/>
          <w:lang w:val="en-GB"/>
        </w:rPr>
        <w:t>some</w:t>
      </w:r>
      <w:r w:rsidRPr="0036524B">
        <w:rPr>
          <w:rFonts w:asciiTheme="minorHAnsi" w:hAnsiTheme="minorHAnsi" w:cstheme="minorHAnsi"/>
        </w:rPr>
        <w:t xml:space="preserve"> </w:t>
      </w:r>
      <w:r w:rsidRPr="0036524B">
        <w:rPr>
          <w:rFonts w:asciiTheme="minorHAnsi" w:hAnsiTheme="minorHAnsi" w:cstheme="minorHAnsi"/>
          <w:lang w:val="en-GB"/>
        </w:rPr>
        <w:t>reduction</w:t>
      </w:r>
      <w:r w:rsidRPr="0036524B">
        <w:rPr>
          <w:rFonts w:asciiTheme="minorHAnsi" w:hAnsiTheme="minorHAnsi" w:cstheme="minorHAnsi"/>
        </w:rPr>
        <w:t xml:space="preserve"> </w:t>
      </w:r>
      <w:r w:rsidRPr="0036524B">
        <w:rPr>
          <w:rFonts w:asciiTheme="minorHAnsi" w:hAnsiTheme="minorHAnsi" w:cstheme="minorHAnsi"/>
          <w:lang w:val="en-GB"/>
        </w:rPr>
        <w:t xml:space="preserve">in </w:t>
      </w:r>
      <w:r>
        <w:rPr>
          <w:rFonts w:asciiTheme="minorHAnsi" w:hAnsiTheme="minorHAnsi" w:cstheme="minorHAnsi"/>
          <w:lang w:val="en-GB"/>
        </w:rPr>
        <w:t xml:space="preserve">the </w:t>
      </w:r>
      <w:r w:rsidRPr="0036524B">
        <w:rPr>
          <w:rFonts w:asciiTheme="minorHAnsi" w:hAnsiTheme="minorHAnsi" w:cstheme="minorHAnsi"/>
          <w:lang w:val="en-GB"/>
        </w:rPr>
        <w:t>prevalence of corruption</w:t>
      </w:r>
      <w:r>
        <w:rPr>
          <w:rFonts w:asciiTheme="minorHAnsi" w:hAnsiTheme="minorHAnsi" w:cstheme="minorHAnsi"/>
          <w:lang w:val="en-GB"/>
        </w:rPr>
        <w:t xml:space="preserve">. The </w:t>
      </w:r>
      <w:r w:rsidRPr="0036524B">
        <w:rPr>
          <w:rFonts w:asciiTheme="minorHAnsi" w:hAnsiTheme="minorHAnsi" w:cstheme="minorHAnsi"/>
          <w:lang w:val="en-GB"/>
        </w:rPr>
        <w:t xml:space="preserve">share of persons who found themselves in </w:t>
      </w:r>
      <w:r>
        <w:rPr>
          <w:rFonts w:asciiTheme="minorHAnsi" w:hAnsiTheme="minorHAnsi" w:cstheme="minorHAnsi"/>
          <w:lang w:val="en-GB"/>
        </w:rPr>
        <w:t xml:space="preserve">a situation of </w:t>
      </w:r>
      <w:r w:rsidRPr="0036524B">
        <w:rPr>
          <w:rFonts w:asciiTheme="minorHAnsi" w:hAnsiTheme="minorHAnsi" w:cstheme="minorHAnsi"/>
          <w:lang w:val="en-GB"/>
        </w:rPr>
        <w:t xml:space="preserve">corruption </w:t>
      </w:r>
      <w:r>
        <w:rPr>
          <w:rFonts w:asciiTheme="minorHAnsi" w:hAnsiTheme="minorHAnsi" w:cstheme="minorHAnsi"/>
          <w:lang w:val="en-GB"/>
        </w:rPr>
        <w:t xml:space="preserve">decreased </w:t>
      </w:r>
      <w:r w:rsidRPr="0036524B">
        <w:rPr>
          <w:rFonts w:asciiTheme="minorHAnsi" w:hAnsiTheme="minorHAnsi" w:cstheme="minorHAnsi"/>
          <w:lang w:val="en-GB"/>
        </w:rPr>
        <w:t>from 60.1 percent in 2006 to 46.4 percent in 2015. However</w:t>
      </w:r>
      <w:r w:rsidRPr="0036524B">
        <w:rPr>
          <w:rFonts w:asciiTheme="minorHAnsi" w:hAnsiTheme="minorHAnsi" w:cstheme="minorHAnsi"/>
        </w:rPr>
        <w:t xml:space="preserve">, </w:t>
      </w:r>
      <w:r>
        <w:rPr>
          <w:rFonts w:asciiTheme="minorHAnsi" w:hAnsiTheme="minorHAnsi" w:cstheme="minorHAnsi"/>
        </w:rPr>
        <w:t xml:space="preserve">the </w:t>
      </w:r>
      <w:r w:rsidRPr="0036524B">
        <w:rPr>
          <w:rFonts w:asciiTheme="minorHAnsi" w:hAnsiTheme="minorHAnsi" w:cstheme="minorHAnsi"/>
          <w:lang w:val="en-GB"/>
        </w:rPr>
        <w:t>demand</w:t>
      </w:r>
      <w:r w:rsidRPr="0036524B">
        <w:rPr>
          <w:rFonts w:asciiTheme="minorHAnsi" w:hAnsiTheme="minorHAnsi" w:cstheme="minorHAnsi"/>
        </w:rPr>
        <w:t xml:space="preserve"> </w:t>
      </w:r>
      <w:r w:rsidRPr="0036524B">
        <w:rPr>
          <w:rFonts w:asciiTheme="minorHAnsi" w:hAnsiTheme="minorHAnsi" w:cstheme="minorHAnsi"/>
          <w:lang w:val="en-GB"/>
        </w:rPr>
        <w:t>for</w:t>
      </w:r>
      <w:r w:rsidRPr="0036524B">
        <w:rPr>
          <w:rFonts w:asciiTheme="minorHAnsi" w:hAnsiTheme="minorHAnsi" w:cstheme="minorHAnsi"/>
        </w:rPr>
        <w:t xml:space="preserve"> </w:t>
      </w:r>
      <w:r w:rsidRPr="0036524B">
        <w:rPr>
          <w:rFonts w:asciiTheme="minorHAnsi" w:hAnsiTheme="minorHAnsi" w:cstheme="minorHAnsi"/>
          <w:lang w:val="en-GB"/>
        </w:rPr>
        <w:t>corruption (share of cases, when a person gave a bribe in</w:t>
      </w:r>
      <w:r>
        <w:rPr>
          <w:rFonts w:asciiTheme="minorHAnsi" w:hAnsiTheme="minorHAnsi" w:cstheme="minorHAnsi"/>
          <w:lang w:val="en-GB"/>
        </w:rPr>
        <w:t xml:space="preserve"> a situation of</w:t>
      </w:r>
      <w:r w:rsidRPr="0036524B">
        <w:rPr>
          <w:rFonts w:asciiTheme="minorHAnsi" w:hAnsiTheme="minorHAnsi" w:cstheme="minorHAnsi"/>
          <w:lang w:val="en-GB"/>
        </w:rPr>
        <w:t xml:space="preserve"> corruption) increased from 29.5 percent in 2006 to 50 percent in 2015. Respondents mentioned that corruption is the fifth most important problem in Tajikistan after poverty, unemployment, increase of prices and shortage of food supplies.</w:t>
      </w:r>
      <w:r w:rsidRPr="0036524B">
        <w:rPr>
          <w:rStyle w:val="FootnoteReference"/>
          <w:rFonts w:asciiTheme="minorHAnsi" w:hAnsiTheme="minorHAnsi" w:cstheme="minorHAnsi"/>
          <w:lang w:val="en-GB"/>
        </w:rPr>
        <w:footnoteReference w:id="2"/>
      </w:r>
      <w:r w:rsidRPr="0036524B">
        <w:rPr>
          <w:rFonts w:asciiTheme="minorHAnsi" w:hAnsiTheme="minorHAnsi" w:cstheme="minorHAnsi"/>
          <w:lang w:val="en-GB"/>
        </w:rPr>
        <w:t xml:space="preserve"> </w:t>
      </w:r>
    </w:p>
    <w:p w14:paraId="29B1D7A2" w14:textId="6592DB0F" w:rsidR="00535D8B" w:rsidRPr="0036524B" w:rsidRDefault="00535D8B" w:rsidP="00535D8B">
      <w:pPr>
        <w:jc w:val="both"/>
        <w:rPr>
          <w:rFonts w:asciiTheme="minorHAnsi" w:hAnsiTheme="minorHAnsi" w:cstheme="minorHAnsi"/>
          <w:lang w:val="en-GB"/>
        </w:rPr>
      </w:pPr>
      <w:r w:rsidRPr="0036524B">
        <w:rPr>
          <w:rFonts w:asciiTheme="minorHAnsi" w:hAnsiTheme="minorHAnsi" w:cstheme="minorHAnsi"/>
          <w:lang w:val="en-GB"/>
        </w:rPr>
        <w:t xml:space="preserve">Despite </w:t>
      </w:r>
      <w:r>
        <w:rPr>
          <w:rFonts w:asciiTheme="minorHAnsi" w:hAnsiTheme="minorHAnsi" w:cstheme="minorHAnsi"/>
          <w:lang w:val="en-GB"/>
        </w:rPr>
        <w:t xml:space="preserve">the </w:t>
      </w:r>
      <w:r w:rsidRPr="0036524B">
        <w:rPr>
          <w:rFonts w:asciiTheme="minorHAnsi" w:hAnsiTheme="minorHAnsi" w:cstheme="minorHAnsi"/>
          <w:lang w:val="en-GB"/>
        </w:rPr>
        <w:t xml:space="preserve">lack of recent data on prevalence of corruption, anecdotal evidence suggest that </w:t>
      </w:r>
      <w:r w:rsidRPr="00253BCA">
        <w:rPr>
          <w:rFonts w:asciiTheme="minorHAnsi" w:hAnsiTheme="minorHAnsi" w:cstheme="minorHAnsi"/>
          <w:b/>
          <w:lang w:val="en-GB"/>
        </w:rPr>
        <w:t>petty corruption is a daily routine</w:t>
      </w:r>
      <w:r w:rsidRPr="0036524B">
        <w:rPr>
          <w:rFonts w:asciiTheme="minorHAnsi" w:hAnsiTheme="minorHAnsi" w:cstheme="minorHAnsi"/>
          <w:lang w:val="en-GB"/>
        </w:rPr>
        <w:t xml:space="preserve"> of the Tajik society. For instance, above-mentioned study revealed that traffic police, health, law enforcement agencies (police, prosecutor office, tax), education sector, courts (including higher level courts) were considered as the most corrupt public bodies in Tajikistan.</w:t>
      </w:r>
      <w:r w:rsidRPr="0036524B">
        <w:rPr>
          <w:rStyle w:val="FootnoteReference"/>
          <w:rFonts w:asciiTheme="minorHAnsi" w:hAnsiTheme="minorHAnsi" w:cstheme="minorHAnsi"/>
          <w:lang w:val="en-GB"/>
        </w:rPr>
        <w:footnoteReference w:id="3"/>
      </w:r>
      <w:r w:rsidRPr="0036524B">
        <w:rPr>
          <w:rFonts w:asciiTheme="minorHAnsi" w:hAnsiTheme="minorHAnsi" w:cstheme="minorHAnsi"/>
        </w:rPr>
        <w:t xml:space="preserve"> </w:t>
      </w:r>
      <w:r w:rsidRPr="0036524B">
        <w:rPr>
          <w:rFonts w:asciiTheme="minorHAnsi" w:hAnsiTheme="minorHAnsi" w:cstheme="minorHAnsi"/>
          <w:lang w:val="en-GB"/>
        </w:rPr>
        <w:t xml:space="preserve">Besides, among seven situations </w:t>
      </w:r>
      <w:r>
        <w:rPr>
          <w:rFonts w:asciiTheme="minorHAnsi" w:hAnsiTheme="minorHAnsi" w:cstheme="minorHAnsi"/>
          <w:lang w:val="en-GB"/>
        </w:rPr>
        <w:t xml:space="preserve">where the </w:t>
      </w:r>
      <w:r w:rsidRPr="0036524B">
        <w:rPr>
          <w:rFonts w:asciiTheme="minorHAnsi" w:hAnsiTheme="minorHAnsi" w:cstheme="minorHAnsi"/>
          <w:lang w:val="en-GB"/>
        </w:rPr>
        <w:t xml:space="preserve">population faced corruption, respondents mentioned that it was related to </w:t>
      </w:r>
      <w:r>
        <w:rPr>
          <w:rFonts w:asciiTheme="minorHAnsi" w:hAnsiTheme="minorHAnsi" w:cstheme="minorHAnsi"/>
          <w:lang w:val="en-GB"/>
        </w:rPr>
        <w:t xml:space="preserve">the </w:t>
      </w:r>
      <w:r w:rsidRPr="0036524B">
        <w:rPr>
          <w:rFonts w:asciiTheme="minorHAnsi" w:hAnsiTheme="minorHAnsi" w:cstheme="minorHAnsi"/>
          <w:lang w:val="en-GB"/>
        </w:rPr>
        <w:t xml:space="preserve">receipt of various public services (e.g. getting a passport, placement at school, University, </w:t>
      </w:r>
      <w:r>
        <w:rPr>
          <w:rFonts w:asciiTheme="minorHAnsi" w:hAnsiTheme="minorHAnsi" w:cstheme="minorHAnsi"/>
          <w:lang w:val="en-GB"/>
        </w:rPr>
        <w:t xml:space="preserve">getting a </w:t>
      </w:r>
      <w:r w:rsidRPr="0036524B">
        <w:rPr>
          <w:rFonts w:asciiTheme="minorHAnsi" w:hAnsiTheme="minorHAnsi" w:cstheme="minorHAnsi"/>
          <w:lang w:val="en-GB"/>
        </w:rPr>
        <w:t>driving licence, treatment in hospitals etc).</w:t>
      </w:r>
      <w:r w:rsidRPr="0036524B">
        <w:rPr>
          <w:rStyle w:val="FootnoteReference"/>
          <w:rFonts w:asciiTheme="minorHAnsi" w:hAnsiTheme="minorHAnsi" w:cstheme="minorHAnsi"/>
          <w:lang w:val="en-GB"/>
        </w:rPr>
        <w:footnoteReference w:id="4"/>
      </w:r>
      <w:r w:rsidRPr="0036524B">
        <w:rPr>
          <w:rFonts w:asciiTheme="minorHAnsi" w:hAnsiTheme="minorHAnsi" w:cstheme="minorHAnsi"/>
          <w:lang w:val="en-GB"/>
        </w:rPr>
        <w:t xml:space="preserve"> In this respect, corruption in </w:t>
      </w:r>
      <w:r>
        <w:rPr>
          <w:rFonts w:asciiTheme="minorHAnsi" w:hAnsiTheme="minorHAnsi" w:cstheme="minorHAnsi"/>
          <w:lang w:val="en-GB"/>
        </w:rPr>
        <w:t xml:space="preserve">the </w:t>
      </w:r>
      <w:r w:rsidRPr="0036524B">
        <w:rPr>
          <w:rFonts w:asciiTheme="minorHAnsi" w:hAnsiTheme="minorHAnsi" w:cstheme="minorHAnsi"/>
          <w:lang w:val="en-GB"/>
        </w:rPr>
        <w:t xml:space="preserve">public sector is widespread. Tajikistan lacks clear </w:t>
      </w:r>
      <w:r>
        <w:rPr>
          <w:rFonts w:asciiTheme="minorHAnsi" w:hAnsiTheme="minorHAnsi" w:cstheme="minorHAnsi"/>
          <w:lang w:val="en-GB"/>
        </w:rPr>
        <w:t xml:space="preserve">and transparent </w:t>
      </w:r>
      <w:r w:rsidRPr="0036524B">
        <w:rPr>
          <w:rFonts w:asciiTheme="minorHAnsi" w:hAnsiTheme="minorHAnsi" w:cstheme="minorHAnsi"/>
          <w:lang w:val="en-GB"/>
        </w:rPr>
        <w:t>standards/regulations on</w:t>
      </w:r>
      <w:r>
        <w:rPr>
          <w:rFonts w:asciiTheme="minorHAnsi" w:hAnsiTheme="minorHAnsi" w:cstheme="minorHAnsi"/>
          <w:lang w:val="en-GB"/>
        </w:rPr>
        <w:t xml:space="preserve"> the</w:t>
      </w:r>
      <w:r w:rsidRPr="0036524B">
        <w:rPr>
          <w:rFonts w:asciiTheme="minorHAnsi" w:hAnsiTheme="minorHAnsi" w:cstheme="minorHAnsi"/>
          <w:lang w:val="en-GB"/>
        </w:rPr>
        <w:t xml:space="preserve"> provision of each individual public service which would specify rights and duties of </w:t>
      </w:r>
      <w:r>
        <w:rPr>
          <w:rFonts w:asciiTheme="minorHAnsi" w:hAnsiTheme="minorHAnsi" w:cstheme="minorHAnsi"/>
          <w:lang w:val="en-GB"/>
        </w:rPr>
        <w:t xml:space="preserve">the </w:t>
      </w:r>
      <w:r w:rsidRPr="0036524B">
        <w:rPr>
          <w:rFonts w:asciiTheme="minorHAnsi" w:hAnsiTheme="minorHAnsi" w:cstheme="minorHAnsi"/>
          <w:lang w:val="en-GB"/>
        </w:rPr>
        <w:t xml:space="preserve">service provider, </w:t>
      </w:r>
      <w:r>
        <w:rPr>
          <w:rFonts w:asciiTheme="minorHAnsi" w:hAnsiTheme="minorHAnsi" w:cstheme="minorHAnsi"/>
          <w:lang w:val="en-GB"/>
        </w:rPr>
        <w:t xml:space="preserve">the </w:t>
      </w:r>
      <w:r w:rsidRPr="0036524B">
        <w:rPr>
          <w:rFonts w:asciiTheme="minorHAnsi" w:hAnsiTheme="minorHAnsi" w:cstheme="minorHAnsi"/>
          <w:lang w:val="en-GB"/>
        </w:rPr>
        <w:t>duration of</w:t>
      </w:r>
      <w:r>
        <w:rPr>
          <w:rFonts w:asciiTheme="minorHAnsi" w:hAnsiTheme="minorHAnsi" w:cstheme="minorHAnsi"/>
          <w:lang w:val="en-GB"/>
        </w:rPr>
        <w:t xml:space="preserve"> the</w:t>
      </w:r>
      <w:r w:rsidRPr="0036524B">
        <w:rPr>
          <w:rFonts w:asciiTheme="minorHAnsi" w:hAnsiTheme="minorHAnsi" w:cstheme="minorHAnsi"/>
          <w:lang w:val="en-GB"/>
        </w:rPr>
        <w:t xml:space="preserve"> provision of services, </w:t>
      </w:r>
      <w:r>
        <w:rPr>
          <w:rFonts w:asciiTheme="minorHAnsi" w:hAnsiTheme="minorHAnsi" w:cstheme="minorHAnsi"/>
          <w:lang w:val="en-GB"/>
        </w:rPr>
        <w:t xml:space="preserve">the </w:t>
      </w:r>
      <w:r w:rsidRPr="0036524B">
        <w:rPr>
          <w:rFonts w:asciiTheme="minorHAnsi" w:hAnsiTheme="minorHAnsi" w:cstheme="minorHAnsi"/>
          <w:lang w:val="en-GB"/>
        </w:rPr>
        <w:t>state duties or</w:t>
      </w:r>
      <w:r>
        <w:rPr>
          <w:rFonts w:asciiTheme="minorHAnsi" w:hAnsiTheme="minorHAnsi" w:cstheme="minorHAnsi"/>
          <w:lang w:val="en-GB"/>
        </w:rPr>
        <w:t xml:space="preserve"> the</w:t>
      </w:r>
      <w:r w:rsidRPr="0036524B">
        <w:rPr>
          <w:rFonts w:asciiTheme="minorHAnsi" w:hAnsiTheme="minorHAnsi" w:cstheme="minorHAnsi"/>
          <w:lang w:val="en-GB"/>
        </w:rPr>
        <w:t xml:space="preserve"> payments for each service. </w:t>
      </w:r>
      <w:r>
        <w:rPr>
          <w:rFonts w:asciiTheme="minorHAnsi" w:hAnsiTheme="minorHAnsi" w:cstheme="minorHAnsi"/>
          <w:lang w:val="en-GB"/>
        </w:rPr>
        <w:t>Also, t</w:t>
      </w:r>
      <w:r w:rsidRPr="0036524B">
        <w:rPr>
          <w:rFonts w:asciiTheme="minorHAnsi" w:hAnsiTheme="minorHAnsi" w:cstheme="minorHAnsi"/>
          <w:lang w:val="en-GB"/>
        </w:rPr>
        <w:t xml:space="preserve">he process </w:t>
      </w:r>
      <w:r>
        <w:rPr>
          <w:rFonts w:asciiTheme="minorHAnsi" w:hAnsiTheme="minorHAnsi" w:cstheme="minorHAnsi"/>
          <w:lang w:val="en-GB"/>
        </w:rPr>
        <w:t>to provide</w:t>
      </w:r>
      <w:r w:rsidRPr="0036524B">
        <w:rPr>
          <w:rFonts w:asciiTheme="minorHAnsi" w:hAnsiTheme="minorHAnsi" w:cstheme="minorHAnsi"/>
          <w:lang w:val="en-GB"/>
        </w:rPr>
        <w:t xml:space="preserve"> most</w:t>
      </w:r>
      <w:r>
        <w:rPr>
          <w:rFonts w:asciiTheme="minorHAnsi" w:hAnsiTheme="minorHAnsi" w:cstheme="minorHAnsi"/>
          <w:lang w:val="en-GB"/>
        </w:rPr>
        <w:t xml:space="preserve"> </w:t>
      </w:r>
      <w:r w:rsidRPr="0036524B">
        <w:rPr>
          <w:rFonts w:asciiTheme="minorHAnsi" w:hAnsiTheme="minorHAnsi" w:cstheme="minorHAnsi"/>
          <w:lang w:val="en-GB"/>
        </w:rPr>
        <w:t xml:space="preserve">public services is not transparent. </w:t>
      </w:r>
    </w:p>
    <w:p w14:paraId="69C11DFE" w14:textId="4DEAB2B4" w:rsidR="00535D8B" w:rsidRPr="0036524B" w:rsidRDefault="00535D8B" w:rsidP="00535D8B">
      <w:pPr>
        <w:jc w:val="both"/>
        <w:rPr>
          <w:rFonts w:asciiTheme="minorHAnsi" w:hAnsiTheme="minorHAnsi" w:cstheme="minorHAnsi"/>
        </w:rPr>
      </w:pPr>
      <w:r w:rsidRPr="00253BCA">
        <w:rPr>
          <w:rFonts w:asciiTheme="minorHAnsi" w:hAnsiTheme="minorHAnsi" w:cstheme="minorHAnsi"/>
          <w:b/>
          <w:lang w:val="en-GB"/>
        </w:rPr>
        <w:t>Bribery was perceived as the most prevalent type</w:t>
      </w:r>
      <w:r w:rsidRPr="0036524B">
        <w:rPr>
          <w:rFonts w:asciiTheme="minorHAnsi" w:hAnsiTheme="minorHAnsi" w:cstheme="minorHAnsi"/>
          <w:lang w:val="en-GB"/>
        </w:rPr>
        <w:t xml:space="preserve"> of corrupt practice</w:t>
      </w:r>
      <w:r>
        <w:rPr>
          <w:rFonts w:asciiTheme="minorHAnsi" w:hAnsiTheme="minorHAnsi" w:cstheme="minorHAnsi"/>
          <w:lang w:val="en-GB"/>
        </w:rPr>
        <w:t>s</w:t>
      </w:r>
      <w:r w:rsidRPr="0036524B">
        <w:rPr>
          <w:rFonts w:asciiTheme="minorHAnsi" w:hAnsiTheme="minorHAnsi" w:cstheme="minorHAnsi"/>
          <w:lang w:val="en-GB"/>
        </w:rPr>
        <w:t>, especially in</w:t>
      </w:r>
      <w:r>
        <w:rPr>
          <w:rFonts w:asciiTheme="minorHAnsi" w:hAnsiTheme="minorHAnsi" w:cstheme="minorHAnsi"/>
          <w:lang w:val="en-GB"/>
        </w:rPr>
        <w:t xml:space="preserve"> the</w:t>
      </w:r>
      <w:r w:rsidRPr="0036524B">
        <w:rPr>
          <w:rFonts w:asciiTheme="minorHAnsi" w:hAnsiTheme="minorHAnsi" w:cstheme="minorHAnsi"/>
          <w:lang w:val="en-GB"/>
        </w:rPr>
        <w:t xml:space="preserve"> health and education sectors. Petty corruption in these sector</w:t>
      </w:r>
      <w:r>
        <w:rPr>
          <w:rFonts w:asciiTheme="minorHAnsi" w:hAnsiTheme="minorHAnsi" w:cstheme="minorHAnsi"/>
          <w:lang w:val="en-GB"/>
        </w:rPr>
        <w:t>s</w:t>
      </w:r>
      <w:r w:rsidRPr="0036524B">
        <w:rPr>
          <w:rFonts w:asciiTheme="minorHAnsi" w:hAnsiTheme="minorHAnsi" w:cstheme="minorHAnsi"/>
          <w:lang w:val="en-GB"/>
        </w:rPr>
        <w:t xml:space="preserve"> (</w:t>
      </w:r>
      <w:r>
        <w:rPr>
          <w:rFonts w:asciiTheme="minorHAnsi" w:hAnsiTheme="minorHAnsi" w:cstheme="minorHAnsi"/>
          <w:lang w:val="en-GB"/>
        </w:rPr>
        <w:t xml:space="preserve">the </w:t>
      </w:r>
      <w:r w:rsidRPr="0036524B">
        <w:rPr>
          <w:rFonts w:asciiTheme="minorHAnsi" w:hAnsiTheme="minorHAnsi" w:cstheme="minorHAnsi"/>
          <w:lang w:val="en-GB"/>
        </w:rPr>
        <w:t>amount of bribe</w:t>
      </w:r>
      <w:r>
        <w:rPr>
          <w:rFonts w:asciiTheme="minorHAnsi" w:hAnsiTheme="minorHAnsi" w:cstheme="minorHAnsi"/>
          <w:lang w:val="en-GB"/>
        </w:rPr>
        <w:t>s</w:t>
      </w:r>
      <w:r w:rsidRPr="0036524B">
        <w:rPr>
          <w:rFonts w:asciiTheme="minorHAnsi" w:hAnsiTheme="minorHAnsi" w:cstheme="minorHAnsi"/>
          <w:lang w:val="en-GB"/>
        </w:rPr>
        <w:t xml:space="preserve"> mentioned was below 100 Tajik Somoni, which is about 10 USD) is</w:t>
      </w:r>
      <w:r w:rsidRPr="0036524B">
        <w:rPr>
          <w:rFonts w:asciiTheme="minorHAnsi" w:hAnsiTheme="minorHAnsi" w:cstheme="minorHAnsi"/>
        </w:rPr>
        <w:t xml:space="preserve"> </w:t>
      </w:r>
      <w:r w:rsidRPr="0036524B">
        <w:rPr>
          <w:rFonts w:asciiTheme="minorHAnsi" w:hAnsiTheme="minorHAnsi" w:cstheme="minorHAnsi"/>
          <w:lang w:val="en-GB"/>
        </w:rPr>
        <w:t xml:space="preserve">very common. Higher bribes (e.g. over 100 Tajik Somoni and up to 500 Tajik Somoni) were mentioned </w:t>
      </w:r>
      <w:r>
        <w:rPr>
          <w:rFonts w:asciiTheme="minorHAnsi" w:hAnsiTheme="minorHAnsi" w:cstheme="minorHAnsi"/>
          <w:lang w:val="en-GB"/>
        </w:rPr>
        <w:t>i</w:t>
      </w:r>
      <w:r w:rsidRPr="0036524B">
        <w:rPr>
          <w:rFonts w:asciiTheme="minorHAnsi" w:hAnsiTheme="minorHAnsi" w:cstheme="minorHAnsi"/>
          <w:lang w:val="en-GB"/>
        </w:rPr>
        <w:t>n courts, law enforcement bodies</w:t>
      </w:r>
      <w:r>
        <w:rPr>
          <w:rFonts w:asciiTheme="minorHAnsi" w:hAnsiTheme="minorHAnsi" w:cstheme="minorHAnsi"/>
          <w:lang w:val="en-GB"/>
        </w:rPr>
        <w:t xml:space="preserve"> and</w:t>
      </w:r>
      <w:r w:rsidRPr="0036524B">
        <w:rPr>
          <w:rFonts w:asciiTheme="minorHAnsi" w:hAnsiTheme="minorHAnsi" w:cstheme="minorHAnsi"/>
          <w:lang w:val="en-GB"/>
        </w:rPr>
        <w:t xml:space="preserve"> authorities dealing with land distribution. More than 50 percent of </w:t>
      </w:r>
      <w:r>
        <w:rPr>
          <w:rFonts w:asciiTheme="minorHAnsi" w:hAnsiTheme="minorHAnsi" w:cstheme="minorHAnsi"/>
          <w:lang w:val="en-GB"/>
        </w:rPr>
        <w:t xml:space="preserve">the </w:t>
      </w:r>
      <w:r w:rsidRPr="0036524B">
        <w:rPr>
          <w:rFonts w:asciiTheme="minorHAnsi" w:hAnsiTheme="minorHAnsi" w:cstheme="minorHAnsi"/>
          <w:lang w:val="en-GB"/>
        </w:rPr>
        <w:t xml:space="preserve">respondents noted that </w:t>
      </w:r>
      <w:r>
        <w:rPr>
          <w:rFonts w:asciiTheme="minorHAnsi" w:hAnsiTheme="minorHAnsi" w:cstheme="minorHAnsi"/>
          <w:lang w:val="en-GB"/>
        </w:rPr>
        <w:t xml:space="preserve">the </w:t>
      </w:r>
      <w:r w:rsidRPr="0036524B">
        <w:rPr>
          <w:rFonts w:asciiTheme="minorHAnsi" w:hAnsiTheme="minorHAnsi" w:cstheme="minorHAnsi"/>
          <w:lang w:val="en-GB"/>
        </w:rPr>
        <w:t>majority of public officials take bribes. Every third respondent mentioned bribe-seeking behaviour of public servant</w:t>
      </w:r>
      <w:r>
        <w:rPr>
          <w:rFonts w:asciiTheme="minorHAnsi" w:hAnsiTheme="minorHAnsi" w:cstheme="minorHAnsi"/>
          <w:lang w:val="en-GB"/>
        </w:rPr>
        <w:t>s,</w:t>
      </w:r>
      <w:r w:rsidRPr="0036524B">
        <w:rPr>
          <w:rFonts w:asciiTheme="minorHAnsi" w:hAnsiTheme="minorHAnsi" w:cstheme="minorHAnsi"/>
          <w:lang w:val="en-GB"/>
        </w:rPr>
        <w:t xml:space="preserve"> noting particularly that </w:t>
      </w:r>
      <w:r>
        <w:rPr>
          <w:rFonts w:asciiTheme="minorHAnsi" w:hAnsiTheme="minorHAnsi" w:cstheme="minorHAnsi"/>
          <w:lang w:val="en-GB"/>
        </w:rPr>
        <w:t xml:space="preserve">the </w:t>
      </w:r>
      <w:r w:rsidRPr="0036524B">
        <w:rPr>
          <w:rFonts w:asciiTheme="minorHAnsi" w:hAnsiTheme="minorHAnsi" w:cstheme="minorHAnsi"/>
          <w:lang w:val="en-GB"/>
        </w:rPr>
        <w:t xml:space="preserve">public servant is forcing, hinting or establishing conditions for corrupt </w:t>
      </w:r>
      <w:r w:rsidRPr="0036524B">
        <w:rPr>
          <w:rFonts w:asciiTheme="minorHAnsi" w:hAnsiTheme="minorHAnsi" w:cstheme="minorHAnsi"/>
          <w:lang w:val="en-GB"/>
        </w:rPr>
        <w:lastRenderedPageBreak/>
        <w:t>practices to solve the problem</w:t>
      </w:r>
      <w:r>
        <w:rPr>
          <w:rFonts w:asciiTheme="minorHAnsi" w:hAnsiTheme="minorHAnsi" w:cstheme="minorHAnsi"/>
          <w:lang w:val="en-GB"/>
        </w:rPr>
        <w:t xml:space="preserve"> or </w:t>
      </w:r>
      <w:r w:rsidRPr="0036524B">
        <w:rPr>
          <w:rFonts w:asciiTheme="minorHAnsi" w:hAnsiTheme="minorHAnsi" w:cstheme="minorHAnsi"/>
          <w:lang w:val="en-GB"/>
        </w:rPr>
        <w:t>provide</w:t>
      </w:r>
      <w:r>
        <w:rPr>
          <w:rFonts w:asciiTheme="minorHAnsi" w:hAnsiTheme="minorHAnsi" w:cstheme="minorHAnsi"/>
          <w:lang w:val="en-GB"/>
        </w:rPr>
        <w:t xml:space="preserve"> the</w:t>
      </w:r>
      <w:r w:rsidRPr="0036524B">
        <w:rPr>
          <w:rFonts w:asciiTheme="minorHAnsi" w:hAnsiTheme="minorHAnsi" w:cstheme="minorHAnsi"/>
          <w:lang w:val="en-GB"/>
        </w:rPr>
        <w:t xml:space="preserve"> service.</w:t>
      </w:r>
      <w:r w:rsidRPr="0036524B">
        <w:rPr>
          <w:rStyle w:val="FootnoteReference"/>
          <w:rFonts w:asciiTheme="minorHAnsi" w:hAnsiTheme="minorHAnsi" w:cstheme="minorHAnsi"/>
          <w:lang w:val="en-GB"/>
        </w:rPr>
        <w:footnoteReference w:id="5"/>
      </w:r>
      <w:r w:rsidRPr="0036524B">
        <w:rPr>
          <w:rFonts w:asciiTheme="minorHAnsi" w:hAnsiTheme="minorHAnsi" w:cstheme="minorHAnsi"/>
          <w:lang w:val="en-GB"/>
        </w:rPr>
        <w:t xml:space="preserve"> There is</w:t>
      </w:r>
      <w:r>
        <w:rPr>
          <w:rFonts w:asciiTheme="minorHAnsi" w:hAnsiTheme="minorHAnsi" w:cstheme="minorHAnsi"/>
          <w:lang w:val="en-GB"/>
        </w:rPr>
        <w:t xml:space="preserve"> a</w:t>
      </w:r>
      <w:r w:rsidRPr="0036524B">
        <w:rPr>
          <w:rFonts w:asciiTheme="minorHAnsi" w:hAnsiTheme="minorHAnsi" w:cstheme="minorHAnsi"/>
          <w:lang w:val="en-GB"/>
        </w:rPr>
        <w:t xml:space="preserve"> lack of </w:t>
      </w:r>
      <w:r w:rsidRPr="0036524B">
        <w:rPr>
          <w:rFonts w:asciiTheme="minorHAnsi" w:hAnsiTheme="minorHAnsi" w:cstheme="minorHAnsi"/>
        </w:rPr>
        <w:t xml:space="preserve">data about grand or political level corruption in Tajikistan. </w:t>
      </w:r>
    </w:p>
    <w:p w14:paraId="49F5E9F7" w14:textId="3FD67E94" w:rsidR="00535D8B" w:rsidRPr="00535D8B" w:rsidRDefault="00535D8B" w:rsidP="00535D8B">
      <w:pPr>
        <w:jc w:val="both"/>
        <w:rPr>
          <w:rFonts w:asciiTheme="minorHAnsi" w:hAnsiTheme="minorHAnsi" w:cstheme="minorHAnsi"/>
          <w:lang w:val="en-GB"/>
        </w:rPr>
      </w:pPr>
      <w:r w:rsidRPr="00253BCA">
        <w:rPr>
          <w:rFonts w:asciiTheme="minorHAnsi" w:hAnsiTheme="minorHAnsi" w:cstheme="minorHAnsi"/>
          <w:b/>
        </w:rPr>
        <w:t>Conducting regular studies</w:t>
      </w:r>
      <w:r w:rsidRPr="0036524B">
        <w:rPr>
          <w:rFonts w:asciiTheme="minorHAnsi" w:hAnsiTheme="minorHAnsi" w:cstheme="minorHAnsi"/>
        </w:rPr>
        <w:t xml:space="preserve"> on</w:t>
      </w:r>
      <w:r>
        <w:rPr>
          <w:rFonts w:asciiTheme="minorHAnsi" w:hAnsiTheme="minorHAnsi" w:cstheme="minorHAnsi"/>
        </w:rPr>
        <w:t xml:space="preserve"> the</w:t>
      </w:r>
      <w:r w:rsidRPr="0036524B">
        <w:rPr>
          <w:rFonts w:asciiTheme="minorHAnsi" w:hAnsiTheme="minorHAnsi" w:cstheme="minorHAnsi"/>
        </w:rPr>
        <w:t xml:space="preserve"> prevalence of corruption is considered as a good practice.</w:t>
      </w:r>
      <w:r w:rsidRPr="0036524B">
        <w:rPr>
          <w:rStyle w:val="FootnoteReference"/>
          <w:rFonts w:asciiTheme="minorHAnsi" w:hAnsiTheme="minorHAnsi" w:cstheme="minorHAnsi"/>
        </w:rPr>
        <w:footnoteReference w:id="6"/>
      </w:r>
      <w:r w:rsidRPr="0036524B">
        <w:rPr>
          <w:rFonts w:asciiTheme="minorHAnsi" w:hAnsiTheme="minorHAnsi" w:cstheme="minorHAnsi"/>
        </w:rPr>
        <w:t xml:space="preserve"> </w:t>
      </w:r>
      <w:r>
        <w:rPr>
          <w:rFonts w:asciiTheme="minorHAnsi" w:hAnsiTheme="minorHAnsi" w:cstheme="minorHAnsi"/>
        </w:rPr>
        <w:t xml:space="preserve">The </w:t>
      </w:r>
      <w:r w:rsidRPr="0036524B">
        <w:rPr>
          <w:rFonts w:asciiTheme="minorHAnsi" w:hAnsiTheme="minorHAnsi" w:cstheme="minorHAnsi"/>
        </w:rPr>
        <w:t xml:space="preserve">Strategic Center under the President of Tajikistan conducted such </w:t>
      </w:r>
      <w:r>
        <w:rPr>
          <w:rFonts w:asciiTheme="minorHAnsi" w:hAnsiTheme="minorHAnsi" w:cstheme="minorHAnsi"/>
        </w:rPr>
        <w:t>a study</w:t>
      </w:r>
      <w:r w:rsidRPr="0036524B">
        <w:rPr>
          <w:rFonts w:asciiTheme="minorHAnsi" w:hAnsiTheme="minorHAnsi" w:cstheme="minorHAnsi"/>
        </w:rPr>
        <w:t xml:space="preserve"> in 2006, 2010</w:t>
      </w:r>
      <w:r>
        <w:rPr>
          <w:rFonts w:asciiTheme="minorHAnsi" w:hAnsiTheme="minorHAnsi" w:cstheme="minorHAnsi"/>
        </w:rPr>
        <w:t xml:space="preserve"> and </w:t>
      </w:r>
      <w:r w:rsidRPr="0036524B">
        <w:rPr>
          <w:rFonts w:asciiTheme="minorHAnsi" w:hAnsiTheme="minorHAnsi" w:cstheme="minorHAnsi"/>
        </w:rPr>
        <w:t xml:space="preserve">2015. However, findings of the study are not used </w:t>
      </w:r>
      <w:r>
        <w:rPr>
          <w:rFonts w:asciiTheme="minorHAnsi" w:hAnsiTheme="minorHAnsi" w:cstheme="minorHAnsi"/>
        </w:rPr>
        <w:t>to plan</w:t>
      </w:r>
      <w:r w:rsidRPr="0036524B">
        <w:rPr>
          <w:rFonts w:asciiTheme="minorHAnsi" w:hAnsiTheme="minorHAnsi" w:cstheme="minorHAnsi"/>
        </w:rPr>
        <w:t xml:space="preserve"> responses and</w:t>
      </w:r>
      <w:r>
        <w:rPr>
          <w:rFonts w:asciiTheme="minorHAnsi" w:hAnsiTheme="minorHAnsi" w:cstheme="minorHAnsi"/>
        </w:rPr>
        <w:t xml:space="preserve"> to</w:t>
      </w:r>
      <w:r w:rsidRPr="0036524B">
        <w:rPr>
          <w:rFonts w:asciiTheme="minorHAnsi" w:hAnsiTheme="minorHAnsi" w:cstheme="minorHAnsi"/>
        </w:rPr>
        <w:t xml:space="preserve"> demonstrat</w:t>
      </w:r>
      <w:r>
        <w:rPr>
          <w:rFonts w:asciiTheme="minorHAnsi" w:hAnsiTheme="minorHAnsi" w:cstheme="minorHAnsi"/>
        </w:rPr>
        <w:t>e the</w:t>
      </w:r>
      <w:r w:rsidRPr="0036524B">
        <w:rPr>
          <w:rFonts w:asciiTheme="minorHAnsi" w:hAnsiTheme="minorHAnsi" w:cstheme="minorHAnsi"/>
        </w:rPr>
        <w:t xml:space="preserve"> impact of anti-corruption measures on</w:t>
      </w:r>
      <w:r>
        <w:rPr>
          <w:rFonts w:asciiTheme="minorHAnsi" w:hAnsiTheme="minorHAnsi" w:cstheme="minorHAnsi"/>
        </w:rPr>
        <w:t xml:space="preserve"> the</w:t>
      </w:r>
      <w:r w:rsidRPr="0036524B">
        <w:rPr>
          <w:rFonts w:asciiTheme="minorHAnsi" w:hAnsiTheme="minorHAnsi" w:cstheme="minorHAnsi"/>
        </w:rPr>
        <w:t xml:space="preserve"> reduction of corruption levels. Besides, sectoral studies on</w:t>
      </w:r>
      <w:r>
        <w:rPr>
          <w:rFonts w:asciiTheme="minorHAnsi" w:hAnsiTheme="minorHAnsi" w:cstheme="minorHAnsi"/>
        </w:rPr>
        <w:t xml:space="preserve"> the</w:t>
      </w:r>
      <w:r w:rsidRPr="0036524B">
        <w:rPr>
          <w:rFonts w:asciiTheme="minorHAnsi" w:hAnsiTheme="minorHAnsi" w:cstheme="minorHAnsi"/>
        </w:rPr>
        <w:t xml:space="preserve"> prevalence of corruption in high risk sectors</w:t>
      </w:r>
      <w:r>
        <w:rPr>
          <w:rFonts w:asciiTheme="minorHAnsi" w:hAnsiTheme="minorHAnsi" w:cstheme="minorHAnsi"/>
        </w:rPr>
        <w:t>,</w:t>
      </w:r>
      <w:r w:rsidRPr="0036524B">
        <w:rPr>
          <w:rFonts w:asciiTheme="minorHAnsi" w:hAnsiTheme="minorHAnsi" w:cstheme="minorHAnsi"/>
        </w:rPr>
        <w:t xml:space="preserve"> are not conducted. Meta-data for all the studies conducted by the Strategic Center under the President of Tajikistan is not publicly available for tracking the opinion of respondents and comparing results </w:t>
      </w:r>
      <w:r w:rsidRPr="0036524B">
        <w:rPr>
          <w:rFonts w:asciiTheme="minorHAnsi" w:hAnsiTheme="minorHAnsi" w:cstheme="minorHAnsi"/>
          <w:lang w:val="en-GB"/>
        </w:rPr>
        <w:t xml:space="preserve">over the years, between different age groups and so on. </w:t>
      </w:r>
    </w:p>
    <w:p w14:paraId="58FEAE85" w14:textId="22C2CFC8" w:rsidR="00535D8B" w:rsidRPr="00535D8B" w:rsidRDefault="00535D8B" w:rsidP="00535D8B">
      <w:pPr>
        <w:jc w:val="both"/>
        <w:rPr>
          <w:rFonts w:asciiTheme="minorHAnsi" w:hAnsiTheme="minorHAnsi" w:cstheme="minorHAnsi"/>
          <w:lang w:val="en-GB"/>
        </w:rPr>
      </w:pPr>
      <w:r w:rsidRPr="00253BCA">
        <w:rPr>
          <w:rFonts w:asciiTheme="minorHAnsi" w:hAnsiTheme="minorHAnsi" w:cstheme="minorHAnsi"/>
          <w:b/>
        </w:rPr>
        <w:t>Measures aimed at preventing corruption in public services are not fully effective</w:t>
      </w:r>
      <w:r w:rsidRPr="0036524B">
        <w:rPr>
          <w:rFonts w:asciiTheme="minorHAnsi" w:hAnsiTheme="minorHAnsi" w:cstheme="minorHAnsi"/>
        </w:rPr>
        <w:t xml:space="preserve">. Legislation </w:t>
      </w:r>
      <w:r>
        <w:rPr>
          <w:rFonts w:asciiTheme="minorHAnsi" w:hAnsiTheme="minorHAnsi" w:cstheme="minorHAnsi"/>
        </w:rPr>
        <w:t>regarding</w:t>
      </w:r>
      <w:r w:rsidRPr="0036524B">
        <w:rPr>
          <w:rFonts w:asciiTheme="minorHAnsi" w:hAnsiTheme="minorHAnsi" w:cstheme="minorHAnsi"/>
        </w:rPr>
        <w:t xml:space="preserve"> conflict</w:t>
      </w:r>
      <w:r>
        <w:rPr>
          <w:rFonts w:asciiTheme="minorHAnsi" w:hAnsiTheme="minorHAnsi" w:cstheme="minorHAnsi"/>
        </w:rPr>
        <w:t>s</w:t>
      </w:r>
      <w:r w:rsidRPr="0036524B">
        <w:rPr>
          <w:rFonts w:asciiTheme="minorHAnsi" w:hAnsiTheme="minorHAnsi" w:cstheme="minorHAnsi"/>
        </w:rPr>
        <w:t xml:space="preserve"> of interests and declaration</w:t>
      </w:r>
      <w:r>
        <w:rPr>
          <w:rFonts w:asciiTheme="minorHAnsi" w:hAnsiTheme="minorHAnsi" w:cstheme="minorHAnsi"/>
        </w:rPr>
        <w:t>s</w:t>
      </w:r>
      <w:r w:rsidRPr="0036524B">
        <w:rPr>
          <w:rFonts w:asciiTheme="minorHAnsi" w:hAnsiTheme="minorHAnsi" w:cstheme="minorHAnsi"/>
        </w:rPr>
        <w:t xml:space="preserve"> of assets of public service</w:t>
      </w:r>
      <w:r>
        <w:rPr>
          <w:rFonts w:asciiTheme="minorHAnsi" w:hAnsiTheme="minorHAnsi" w:cstheme="minorHAnsi"/>
        </w:rPr>
        <w:t>s</w:t>
      </w:r>
      <w:r w:rsidRPr="0036524B">
        <w:rPr>
          <w:rFonts w:asciiTheme="minorHAnsi" w:hAnsiTheme="minorHAnsi" w:cstheme="minorHAnsi"/>
        </w:rPr>
        <w:t xml:space="preserve"> (both political and administrative) does</w:t>
      </w:r>
      <w:r>
        <w:rPr>
          <w:rFonts w:asciiTheme="minorHAnsi" w:hAnsiTheme="minorHAnsi" w:cstheme="minorHAnsi"/>
        </w:rPr>
        <w:t xml:space="preserve"> no</w:t>
      </w:r>
      <w:r w:rsidRPr="0036524B">
        <w:rPr>
          <w:rFonts w:asciiTheme="minorHAnsi" w:hAnsiTheme="minorHAnsi" w:cstheme="minorHAnsi"/>
        </w:rPr>
        <w:t xml:space="preserve">t </w:t>
      </w:r>
      <w:r>
        <w:rPr>
          <w:rFonts w:asciiTheme="minorHAnsi" w:hAnsiTheme="minorHAnsi" w:cstheme="minorHAnsi"/>
        </w:rPr>
        <w:t xml:space="preserve">fully </w:t>
      </w:r>
      <w:r w:rsidRPr="0036524B">
        <w:rPr>
          <w:rFonts w:asciiTheme="minorHAnsi" w:hAnsiTheme="minorHAnsi" w:cstheme="minorHAnsi"/>
        </w:rPr>
        <w:t xml:space="preserve">comply with international standards. Positions of public service are divided </w:t>
      </w:r>
      <w:r>
        <w:rPr>
          <w:rFonts w:asciiTheme="minorHAnsi" w:hAnsiTheme="minorHAnsi" w:cstheme="minorHAnsi"/>
        </w:rPr>
        <w:t>in</w:t>
      </w:r>
      <w:r w:rsidRPr="0036524B">
        <w:rPr>
          <w:rFonts w:asciiTheme="minorHAnsi" w:hAnsiTheme="minorHAnsi" w:cstheme="minorHAnsi"/>
        </w:rPr>
        <w:t xml:space="preserve">to political and administrative positions of public service. Several positions like Prosecutor General, Human Rights Ombudsman, Chairperson of the Central Commission on Elections and Referenda, Chairperson of the </w:t>
      </w:r>
      <w:r w:rsidRPr="0036524B">
        <w:rPr>
          <w:rFonts w:asciiTheme="minorHAnsi" w:hAnsiTheme="minorHAnsi" w:cstheme="minorHAnsi"/>
          <w:lang w:val="en-GB"/>
        </w:rPr>
        <w:t>Chamber of Accounts are political position</w:t>
      </w:r>
      <w:r>
        <w:rPr>
          <w:rFonts w:asciiTheme="minorHAnsi" w:hAnsiTheme="minorHAnsi" w:cstheme="minorHAnsi"/>
          <w:lang w:val="en-GB"/>
        </w:rPr>
        <w:t>s</w:t>
      </w:r>
      <w:r w:rsidRPr="0036524B">
        <w:rPr>
          <w:rFonts w:asciiTheme="minorHAnsi" w:hAnsiTheme="minorHAnsi" w:cstheme="minorHAnsi"/>
          <w:lang w:val="en-GB"/>
        </w:rPr>
        <w:t xml:space="preserve"> of public service. </w:t>
      </w:r>
      <w:r>
        <w:rPr>
          <w:rFonts w:asciiTheme="minorHAnsi" w:hAnsiTheme="minorHAnsi" w:cstheme="minorHAnsi"/>
          <w:lang w:val="en-GB"/>
        </w:rPr>
        <w:t>This</w:t>
      </w:r>
      <w:r w:rsidRPr="0036524B">
        <w:rPr>
          <w:rFonts w:asciiTheme="minorHAnsi" w:hAnsiTheme="minorHAnsi" w:cstheme="minorHAnsi"/>
          <w:lang w:val="en-GB"/>
        </w:rPr>
        <w:t xml:space="preserve"> is in contradiction with international standards. The salary of public servants remains low. It is not comparable with salaries of staff in similar positions in </w:t>
      </w:r>
      <w:r>
        <w:rPr>
          <w:rFonts w:asciiTheme="minorHAnsi" w:hAnsiTheme="minorHAnsi" w:cstheme="minorHAnsi"/>
          <w:lang w:val="en-GB"/>
        </w:rPr>
        <w:t xml:space="preserve">the </w:t>
      </w:r>
      <w:r w:rsidRPr="0036524B">
        <w:rPr>
          <w:rFonts w:asciiTheme="minorHAnsi" w:hAnsiTheme="minorHAnsi" w:cstheme="minorHAnsi"/>
          <w:lang w:val="en-GB"/>
        </w:rPr>
        <w:t xml:space="preserve">private sector. </w:t>
      </w:r>
      <w:r>
        <w:rPr>
          <w:rFonts w:asciiTheme="minorHAnsi" w:hAnsiTheme="minorHAnsi" w:cstheme="minorHAnsi"/>
          <w:lang w:val="en-GB"/>
        </w:rPr>
        <w:t>P</w:t>
      </w:r>
      <w:r w:rsidRPr="0036524B">
        <w:rPr>
          <w:rFonts w:asciiTheme="minorHAnsi" w:hAnsiTheme="minorHAnsi" w:cstheme="minorHAnsi"/>
          <w:lang w:val="en-GB"/>
        </w:rPr>
        <w:t>ractice</w:t>
      </w:r>
      <w:r>
        <w:rPr>
          <w:rFonts w:asciiTheme="minorHAnsi" w:hAnsiTheme="minorHAnsi" w:cstheme="minorHAnsi"/>
          <w:lang w:val="en-GB"/>
        </w:rPr>
        <w:t>s such</w:t>
      </w:r>
      <w:r w:rsidRPr="0036524B">
        <w:rPr>
          <w:rFonts w:asciiTheme="minorHAnsi" w:hAnsiTheme="minorHAnsi" w:cstheme="minorHAnsi"/>
          <w:lang w:val="en-GB"/>
        </w:rPr>
        <w:t xml:space="preserve"> as salary survey</w:t>
      </w:r>
      <w:r>
        <w:rPr>
          <w:rFonts w:asciiTheme="minorHAnsi" w:hAnsiTheme="minorHAnsi" w:cstheme="minorHAnsi"/>
          <w:lang w:val="en-GB"/>
        </w:rPr>
        <w:t>s are</w:t>
      </w:r>
      <w:r w:rsidRPr="0036524B">
        <w:rPr>
          <w:rFonts w:asciiTheme="minorHAnsi" w:hAnsiTheme="minorHAnsi" w:cstheme="minorHAnsi"/>
          <w:lang w:val="en-GB"/>
        </w:rPr>
        <w:t xml:space="preserve"> not implemented to bring salary levels in </w:t>
      </w:r>
      <w:r>
        <w:rPr>
          <w:rFonts w:asciiTheme="minorHAnsi" w:hAnsiTheme="minorHAnsi" w:cstheme="minorHAnsi"/>
          <w:lang w:val="en-GB"/>
        </w:rPr>
        <w:t xml:space="preserve">the </w:t>
      </w:r>
      <w:r w:rsidRPr="0036524B">
        <w:rPr>
          <w:rFonts w:asciiTheme="minorHAnsi" w:hAnsiTheme="minorHAnsi" w:cstheme="minorHAnsi"/>
          <w:lang w:val="en-GB"/>
        </w:rPr>
        <w:t>public sector in line with</w:t>
      </w:r>
      <w:r>
        <w:rPr>
          <w:rFonts w:asciiTheme="minorHAnsi" w:hAnsiTheme="minorHAnsi" w:cstheme="minorHAnsi"/>
          <w:lang w:val="en-GB"/>
        </w:rPr>
        <w:t xml:space="preserve"> the</w:t>
      </w:r>
      <w:r w:rsidRPr="0036524B">
        <w:rPr>
          <w:rFonts w:asciiTheme="minorHAnsi" w:hAnsiTheme="minorHAnsi" w:cstheme="minorHAnsi"/>
          <w:lang w:val="en-GB"/>
        </w:rPr>
        <w:t xml:space="preserve"> private sector. Provisions to ensure compliance with ethical standards of civil service are not effective. </w:t>
      </w:r>
      <w:r>
        <w:rPr>
          <w:rFonts w:asciiTheme="minorHAnsi" w:hAnsiTheme="minorHAnsi" w:cstheme="minorHAnsi"/>
          <w:lang w:val="en-GB"/>
        </w:rPr>
        <w:t xml:space="preserve">The </w:t>
      </w:r>
      <w:r w:rsidRPr="0036524B">
        <w:rPr>
          <w:rFonts w:asciiTheme="minorHAnsi" w:hAnsiTheme="minorHAnsi" w:cstheme="minorHAnsi"/>
          <w:lang w:val="en-GB"/>
        </w:rPr>
        <w:t xml:space="preserve">Code of ethics of public servants (2015) obliges public servants to fight corruption, take measures </w:t>
      </w:r>
      <w:r>
        <w:rPr>
          <w:rFonts w:asciiTheme="minorHAnsi" w:hAnsiTheme="minorHAnsi" w:cstheme="minorHAnsi"/>
          <w:lang w:val="en-GB"/>
        </w:rPr>
        <w:t>to prevent</w:t>
      </w:r>
      <w:r w:rsidRPr="0036524B">
        <w:rPr>
          <w:rFonts w:asciiTheme="minorHAnsi" w:hAnsiTheme="minorHAnsi" w:cstheme="minorHAnsi"/>
          <w:lang w:val="en-GB"/>
        </w:rPr>
        <w:t xml:space="preserve"> corruption, avoid taking and </w:t>
      </w:r>
      <w:r>
        <w:rPr>
          <w:rFonts w:asciiTheme="minorHAnsi" w:hAnsiTheme="minorHAnsi" w:cstheme="minorHAnsi"/>
          <w:lang w:val="en-GB"/>
        </w:rPr>
        <w:t>providing</w:t>
      </w:r>
      <w:r w:rsidRPr="0036524B">
        <w:rPr>
          <w:rFonts w:asciiTheme="minorHAnsi" w:hAnsiTheme="minorHAnsi" w:cstheme="minorHAnsi"/>
          <w:lang w:val="en-GB"/>
        </w:rPr>
        <w:t xml:space="preserve"> presents for</w:t>
      </w:r>
      <w:r>
        <w:rPr>
          <w:rFonts w:asciiTheme="minorHAnsi" w:hAnsiTheme="minorHAnsi" w:cstheme="minorHAnsi"/>
          <w:lang w:val="en-GB"/>
        </w:rPr>
        <w:t xml:space="preserve"> their</w:t>
      </w:r>
      <w:r w:rsidRPr="0036524B">
        <w:rPr>
          <w:rFonts w:asciiTheme="minorHAnsi" w:hAnsiTheme="minorHAnsi" w:cstheme="minorHAnsi"/>
          <w:lang w:val="en-GB"/>
        </w:rPr>
        <w:t xml:space="preserve"> performance of public duties except for cases established by </w:t>
      </w:r>
      <w:r>
        <w:rPr>
          <w:rFonts w:asciiTheme="minorHAnsi" w:hAnsiTheme="minorHAnsi" w:cstheme="minorHAnsi"/>
          <w:lang w:val="en-GB"/>
        </w:rPr>
        <w:t xml:space="preserve">the legislation of </w:t>
      </w:r>
      <w:r w:rsidRPr="0036524B">
        <w:rPr>
          <w:rFonts w:asciiTheme="minorHAnsi" w:hAnsiTheme="minorHAnsi" w:cstheme="minorHAnsi"/>
          <w:lang w:val="en-GB"/>
        </w:rPr>
        <w:t xml:space="preserve">Tajikistan. However, detailed regulations on </w:t>
      </w:r>
      <w:r>
        <w:rPr>
          <w:rFonts w:asciiTheme="minorHAnsi" w:hAnsiTheme="minorHAnsi" w:cstheme="minorHAnsi"/>
          <w:lang w:val="en-GB"/>
        </w:rPr>
        <w:t>accepting</w:t>
      </w:r>
      <w:r w:rsidRPr="0036524B">
        <w:rPr>
          <w:rFonts w:asciiTheme="minorHAnsi" w:hAnsiTheme="minorHAnsi" w:cstheme="minorHAnsi"/>
          <w:lang w:val="en-GB"/>
        </w:rPr>
        <w:t xml:space="preserve"> presents by public servants were not developed. </w:t>
      </w:r>
      <w:r>
        <w:rPr>
          <w:rFonts w:asciiTheme="minorHAnsi" w:hAnsiTheme="minorHAnsi" w:cstheme="minorHAnsi"/>
          <w:lang w:val="en-GB"/>
        </w:rPr>
        <w:t xml:space="preserve">The </w:t>
      </w:r>
      <w:r w:rsidRPr="0036524B">
        <w:rPr>
          <w:rFonts w:asciiTheme="minorHAnsi" w:hAnsiTheme="minorHAnsi" w:cstheme="minorHAnsi"/>
          <w:lang w:val="en-GB"/>
        </w:rPr>
        <w:t>Code of ethics and</w:t>
      </w:r>
      <w:r>
        <w:rPr>
          <w:rFonts w:asciiTheme="minorHAnsi" w:hAnsiTheme="minorHAnsi" w:cstheme="minorHAnsi"/>
          <w:lang w:val="en-GB"/>
        </w:rPr>
        <w:t xml:space="preserve"> the</w:t>
      </w:r>
      <w:r w:rsidRPr="0036524B">
        <w:rPr>
          <w:rFonts w:asciiTheme="minorHAnsi" w:hAnsiTheme="minorHAnsi" w:cstheme="minorHAnsi"/>
          <w:lang w:val="en-GB"/>
        </w:rPr>
        <w:t xml:space="preserve"> respective ethics commissions (separate units or additional responsibilities were added to units dealing with internal audit or human resource management) were established in several ministries and agencies. </w:t>
      </w:r>
      <w:r>
        <w:rPr>
          <w:rFonts w:asciiTheme="minorHAnsi" w:hAnsiTheme="minorHAnsi" w:cstheme="minorHAnsi"/>
          <w:lang w:val="en-GB"/>
        </w:rPr>
        <w:t>The e</w:t>
      </w:r>
      <w:r w:rsidRPr="0036524B">
        <w:rPr>
          <w:rFonts w:asciiTheme="minorHAnsi" w:hAnsiTheme="minorHAnsi" w:cstheme="minorHAnsi"/>
          <w:lang w:val="en-GB"/>
        </w:rPr>
        <w:t xml:space="preserve">ffectiveness of enforcement of ethical standards is low due to </w:t>
      </w:r>
      <w:r>
        <w:rPr>
          <w:rFonts w:asciiTheme="minorHAnsi" w:hAnsiTheme="minorHAnsi" w:cstheme="minorHAnsi"/>
          <w:lang w:val="en-GB"/>
        </w:rPr>
        <w:t xml:space="preserve">the </w:t>
      </w:r>
      <w:r w:rsidRPr="0036524B">
        <w:rPr>
          <w:rFonts w:asciiTheme="minorHAnsi" w:hAnsiTheme="minorHAnsi" w:cstheme="minorHAnsi"/>
          <w:lang w:val="en-GB"/>
        </w:rPr>
        <w:t>absence of systematic and certified education of staff dealing with ethical standards</w:t>
      </w:r>
      <w:r>
        <w:rPr>
          <w:rFonts w:asciiTheme="minorHAnsi" w:hAnsiTheme="minorHAnsi" w:cstheme="minorHAnsi"/>
          <w:lang w:val="en-GB"/>
        </w:rPr>
        <w:t xml:space="preserve"> and</w:t>
      </w:r>
      <w:r w:rsidRPr="0036524B">
        <w:rPr>
          <w:rFonts w:asciiTheme="minorHAnsi" w:hAnsiTheme="minorHAnsi" w:cstheme="minorHAnsi"/>
          <w:lang w:val="en-GB"/>
        </w:rPr>
        <w:t xml:space="preserve"> </w:t>
      </w:r>
      <w:r>
        <w:rPr>
          <w:rFonts w:asciiTheme="minorHAnsi" w:hAnsiTheme="minorHAnsi" w:cstheme="minorHAnsi"/>
          <w:lang w:val="en-GB"/>
        </w:rPr>
        <w:t xml:space="preserve">the </w:t>
      </w:r>
      <w:r w:rsidRPr="0036524B">
        <w:rPr>
          <w:rFonts w:asciiTheme="minorHAnsi" w:hAnsiTheme="minorHAnsi" w:cstheme="minorHAnsi"/>
          <w:lang w:val="en-GB"/>
        </w:rPr>
        <w:t>absence of resources of ethics commissions.</w:t>
      </w:r>
      <w:r w:rsidRPr="0036524B">
        <w:rPr>
          <w:rStyle w:val="FootnoteReference"/>
          <w:rFonts w:asciiTheme="minorHAnsi" w:hAnsiTheme="minorHAnsi" w:cstheme="minorHAnsi"/>
          <w:lang w:val="en-GB"/>
        </w:rPr>
        <w:footnoteReference w:id="7"/>
      </w:r>
      <w:r w:rsidRPr="0036524B">
        <w:rPr>
          <w:rFonts w:asciiTheme="minorHAnsi" w:hAnsiTheme="minorHAnsi" w:cstheme="minorHAnsi"/>
          <w:lang w:val="en-GB"/>
        </w:rPr>
        <w:t xml:space="preserve"> </w:t>
      </w:r>
    </w:p>
    <w:p w14:paraId="3D7A110A" w14:textId="5E326967" w:rsidR="00535D8B" w:rsidRPr="00535D8B" w:rsidRDefault="00535D8B" w:rsidP="00535D8B">
      <w:pPr>
        <w:pStyle w:val="ListParagraph"/>
        <w:numPr>
          <w:ilvl w:val="6"/>
          <w:numId w:val="1"/>
        </w:numPr>
        <w:ind w:left="851"/>
        <w:rPr>
          <w:rFonts w:asciiTheme="minorHAnsi" w:hAnsiTheme="minorHAnsi" w:cstheme="minorHAnsi"/>
          <w:b/>
        </w:rPr>
      </w:pPr>
      <w:r w:rsidRPr="00535D8B">
        <w:rPr>
          <w:rFonts w:asciiTheme="minorHAnsi" w:hAnsiTheme="minorHAnsi" w:cstheme="minorHAnsi"/>
          <w:b/>
        </w:rPr>
        <w:t>Anti-corruption measures</w:t>
      </w:r>
    </w:p>
    <w:p w14:paraId="0EEC759E" w14:textId="77777777" w:rsidR="00535D8B" w:rsidRPr="00B53024" w:rsidRDefault="00535D8B" w:rsidP="00535D8B">
      <w:pPr>
        <w:pStyle w:val="NormalWeb"/>
        <w:jc w:val="both"/>
        <w:rPr>
          <w:sz w:val="22"/>
          <w:szCs w:val="22"/>
          <w:lang w:val="ru-RU"/>
        </w:rPr>
      </w:pPr>
      <w:r w:rsidRPr="00B53024">
        <w:rPr>
          <w:rFonts w:asciiTheme="minorHAnsi" w:hAnsiTheme="minorHAnsi" w:cstheme="minorHAnsi"/>
          <w:sz w:val="22"/>
          <w:szCs w:val="22"/>
        </w:rPr>
        <w:t xml:space="preserve">Tajikistan is a member of the </w:t>
      </w:r>
      <w:r w:rsidRPr="00B53024">
        <w:rPr>
          <w:rFonts w:asciiTheme="minorHAnsi" w:hAnsiTheme="minorHAnsi" w:cstheme="minorHAnsi"/>
          <w:b/>
          <w:sz w:val="22"/>
          <w:szCs w:val="22"/>
        </w:rPr>
        <w:t>OECD Anti-Corruption Network</w:t>
      </w:r>
      <w:r w:rsidRPr="00B53024">
        <w:rPr>
          <w:rFonts w:asciiTheme="minorHAnsi" w:hAnsiTheme="minorHAnsi" w:cstheme="minorHAnsi"/>
          <w:sz w:val="22"/>
          <w:szCs w:val="22"/>
        </w:rPr>
        <w:t xml:space="preserve"> for Eastern Europe and Central Asia established to implement the Istanbul Anti-Corruption Action Plan. The process of implementation includes a peer-review process of each country on the implementation of the provisions of the plan and the formulation of recommendations upon each round. In 2017, Tajikistan underwent the fourth round of review. It demonstrated that of the twenty recommendations issued to Tajikistan upon the third round, it did not fulfil eight recommendations. It partially implemented nine recommendations. It generally implemented just one recommendation. Two recommendations on “state financial control and audit” and “funding of political parties/political corruption” were not assessed during the fourth round. Thus, the review concluded that Tajikistan did not implement fully any of the eighteen recommendations assessed. The OECD particularly noted that current measures aimed at addressing corruption are formal. They include the adoption of plans, holding inspections and so on. However, specific actions aimed at systemic prevention of corruption in high risk sectors like law enforcement bodies, courts, health, education, land use, state procurement and taxes are not developed and </w:t>
      </w:r>
      <w:r w:rsidRPr="00B53024">
        <w:rPr>
          <w:rFonts w:asciiTheme="minorHAnsi" w:hAnsiTheme="minorHAnsi" w:cstheme="minorHAnsi"/>
          <w:sz w:val="22"/>
          <w:szCs w:val="22"/>
        </w:rPr>
        <w:lastRenderedPageBreak/>
        <w:t>implemented. There is lack of political will and personal leadership of the heads of public bodies to meaningfully address corruption.</w:t>
      </w:r>
      <w:r w:rsidRPr="00B53024">
        <w:rPr>
          <w:rStyle w:val="FootnoteReference"/>
          <w:rFonts w:asciiTheme="minorHAnsi" w:hAnsiTheme="minorHAnsi" w:cstheme="minorHAnsi"/>
          <w:sz w:val="22"/>
          <w:szCs w:val="22"/>
        </w:rPr>
        <w:footnoteReference w:id="8"/>
      </w:r>
      <w:r w:rsidRPr="00B53024">
        <w:rPr>
          <w:rFonts w:asciiTheme="minorHAnsi" w:hAnsiTheme="minorHAnsi" w:cstheme="minorHAnsi"/>
          <w:sz w:val="22"/>
          <w:szCs w:val="22"/>
        </w:rPr>
        <w:t xml:space="preserve">  </w:t>
      </w:r>
    </w:p>
    <w:p w14:paraId="7235657A" w14:textId="2A71E30B" w:rsidR="00535D8B" w:rsidRPr="00B53024" w:rsidRDefault="00535D8B" w:rsidP="00B53024">
      <w:pPr>
        <w:pStyle w:val="NormalWeb"/>
        <w:jc w:val="both"/>
        <w:rPr>
          <w:rFonts w:asciiTheme="minorHAnsi" w:hAnsiTheme="minorHAnsi" w:cstheme="minorHAnsi"/>
          <w:sz w:val="22"/>
          <w:szCs w:val="22"/>
        </w:rPr>
      </w:pPr>
      <w:r w:rsidRPr="00B53024">
        <w:rPr>
          <w:rFonts w:asciiTheme="minorHAnsi" w:hAnsiTheme="minorHAnsi" w:cstheme="minorHAnsi"/>
          <w:sz w:val="22"/>
          <w:szCs w:val="22"/>
        </w:rPr>
        <w:t xml:space="preserve">Tajikistan adopted an </w:t>
      </w:r>
      <w:r w:rsidRPr="00B53024">
        <w:rPr>
          <w:rFonts w:asciiTheme="minorHAnsi" w:hAnsiTheme="minorHAnsi" w:cstheme="minorHAnsi"/>
          <w:b/>
          <w:sz w:val="22"/>
          <w:szCs w:val="22"/>
        </w:rPr>
        <w:t>Anti-Corruption Strategy</w:t>
      </w:r>
      <w:r w:rsidRPr="00B53024">
        <w:rPr>
          <w:rFonts w:asciiTheme="minorHAnsi" w:hAnsiTheme="minorHAnsi" w:cstheme="minorHAnsi"/>
          <w:sz w:val="22"/>
          <w:szCs w:val="22"/>
        </w:rPr>
        <w:t xml:space="preserve"> for 2013-2020 (the Strategy). In 2017, the Government of Tajikistan authorized the Agency on Anti-Corruption and Financial Control to monitor its implementation. The report on findings of the monitoring in Tajik language was posted on the webpage of the Anti-Corruption Agency under the President of Tajikistan. The information presented in this report is very descriptive. It provides general information about actions conducted in the framework of the implementation of the Strategy, but </w:t>
      </w:r>
      <w:r w:rsidRPr="00B53024">
        <w:rPr>
          <w:rFonts w:asciiTheme="minorHAnsi" w:hAnsiTheme="minorHAnsi" w:cstheme="minorHAnsi"/>
          <w:sz w:val="22"/>
          <w:szCs w:val="22"/>
          <w:lang w:val="en-GB"/>
        </w:rPr>
        <w:t xml:space="preserve">it does not include any analysis of the progress achieved so far, challenges faced and measures required </w:t>
      </w:r>
      <w:r w:rsidRPr="00B53024">
        <w:rPr>
          <w:rFonts w:asciiTheme="minorHAnsi" w:hAnsiTheme="minorHAnsi" w:cstheme="minorHAnsi"/>
          <w:sz w:val="22"/>
          <w:szCs w:val="22"/>
        </w:rPr>
        <w:t>to</w:t>
      </w:r>
      <w:r w:rsidRPr="00B53024">
        <w:rPr>
          <w:rFonts w:asciiTheme="minorHAnsi" w:hAnsiTheme="minorHAnsi" w:cstheme="minorHAnsi"/>
          <w:sz w:val="22"/>
          <w:szCs w:val="22"/>
          <w:lang w:val="en-GB"/>
        </w:rPr>
        <w:t xml:space="preserve"> correct the situation.</w:t>
      </w:r>
      <w:r w:rsidRPr="00B53024">
        <w:rPr>
          <w:rFonts w:asciiTheme="minorHAnsi" w:hAnsiTheme="minorHAnsi" w:cstheme="minorHAnsi"/>
          <w:sz w:val="22"/>
          <w:szCs w:val="22"/>
        </w:rPr>
        <w:t xml:space="preserve"> </w:t>
      </w:r>
      <w:r w:rsidRPr="00B53024">
        <w:rPr>
          <w:rFonts w:asciiTheme="minorHAnsi" w:hAnsiTheme="minorHAnsi" w:cstheme="minorHAnsi"/>
          <w:sz w:val="22"/>
          <w:szCs w:val="22"/>
          <w:lang w:val="en-GB"/>
        </w:rPr>
        <w:t>The Strategy itself as well as its Action plan do not include a list of clear, objectively verifiable indicators to measure the progress. Outcomes</w:t>
      </w:r>
      <w:r w:rsidRPr="00B53024">
        <w:rPr>
          <w:rFonts w:asciiTheme="minorHAnsi" w:hAnsiTheme="minorHAnsi" w:cstheme="minorHAnsi"/>
          <w:sz w:val="22"/>
          <w:szCs w:val="22"/>
        </w:rPr>
        <w:t xml:space="preserve">, </w:t>
      </w:r>
      <w:r w:rsidRPr="00B53024">
        <w:rPr>
          <w:rFonts w:asciiTheme="minorHAnsi" w:hAnsiTheme="minorHAnsi" w:cstheme="minorHAnsi"/>
          <w:sz w:val="22"/>
          <w:szCs w:val="22"/>
          <w:lang w:val="en-GB"/>
        </w:rPr>
        <w:t>outputs and activities are not clearly defined and delineated. The</w:t>
      </w:r>
      <w:r w:rsidRPr="00B53024">
        <w:rPr>
          <w:rFonts w:asciiTheme="minorHAnsi" w:hAnsiTheme="minorHAnsi" w:cstheme="minorHAnsi"/>
          <w:sz w:val="22"/>
          <w:szCs w:val="22"/>
        </w:rPr>
        <w:t xml:space="preserve"> </w:t>
      </w:r>
      <w:r w:rsidRPr="00B53024">
        <w:rPr>
          <w:rFonts w:asciiTheme="minorHAnsi" w:hAnsiTheme="minorHAnsi" w:cstheme="minorHAnsi"/>
          <w:sz w:val="22"/>
          <w:szCs w:val="22"/>
          <w:lang w:val="en-GB"/>
        </w:rPr>
        <w:t>Plan</w:t>
      </w:r>
      <w:r w:rsidRPr="00B53024">
        <w:rPr>
          <w:rFonts w:asciiTheme="minorHAnsi" w:hAnsiTheme="minorHAnsi" w:cstheme="minorHAnsi"/>
          <w:sz w:val="22"/>
          <w:szCs w:val="22"/>
        </w:rPr>
        <w:t xml:space="preserve"> </w:t>
      </w:r>
      <w:r w:rsidRPr="00B53024">
        <w:rPr>
          <w:rFonts w:asciiTheme="minorHAnsi" w:hAnsiTheme="minorHAnsi" w:cstheme="minorHAnsi"/>
          <w:sz w:val="22"/>
          <w:szCs w:val="22"/>
          <w:lang w:val="en-GB"/>
        </w:rPr>
        <w:t>does not</w:t>
      </w:r>
      <w:r w:rsidRPr="00B53024">
        <w:rPr>
          <w:rFonts w:asciiTheme="minorHAnsi" w:hAnsiTheme="minorHAnsi" w:cstheme="minorHAnsi"/>
          <w:sz w:val="22"/>
          <w:szCs w:val="22"/>
        </w:rPr>
        <w:t xml:space="preserve"> </w:t>
      </w:r>
      <w:r w:rsidRPr="00B53024">
        <w:rPr>
          <w:rFonts w:asciiTheme="minorHAnsi" w:hAnsiTheme="minorHAnsi" w:cstheme="minorHAnsi"/>
          <w:sz w:val="22"/>
          <w:szCs w:val="22"/>
          <w:lang w:val="en-GB"/>
        </w:rPr>
        <w:t>include any baseline and target values and, respectively, desired qualitative and quantitative changes to be achieved as a result of implementation of the Strategy and its action plan.</w:t>
      </w:r>
      <w:r w:rsidRPr="00B53024">
        <w:rPr>
          <w:rStyle w:val="FootnoteReference"/>
          <w:rFonts w:asciiTheme="minorHAnsi" w:hAnsiTheme="minorHAnsi" w:cstheme="minorHAnsi"/>
          <w:sz w:val="22"/>
          <w:szCs w:val="22"/>
          <w:lang w:val="ru-RU"/>
        </w:rPr>
        <w:footnoteReference w:id="9"/>
      </w:r>
      <w:r w:rsidRPr="00B53024">
        <w:rPr>
          <w:rFonts w:asciiTheme="minorHAnsi" w:hAnsiTheme="minorHAnsi" w:cstheme="minorHAnsi"/>
          <w:sz w:val="22"/>
          <w:szCs w:val="22"/>
        </w:rPr>
        <w:t xml:space="preserve"> </w:t>
      </w:r>
    </w:p>
    <w:p w14:paraId="09CB7C8A" w14:textId="6E1FEB25" w:rsidR="00535D8B" w:rsidRDefault="00535D8B" w:rsidP="00535D8B">
      <w:pPr>
        <w:jc w:val="both"/>
        <w:rPr>
          <w:rFonts w:asciiTheme="minorHAnsi" w:hAnsiTheme="minorHAnsi" w:cstheme="minorHAnsi"/>
        </w:rPr>
      </w:pPr>
      <w:r w:rsidRPr="0036524B">
        <w:rPr>
          <w:rFonts w:asciiTheme="minorHAnsi" w:hAnsiTheme="minorHAnsi" w:cstheme="minorHAnsi"/>
        </w:rPr>
        <w:t xml:space="preserve">According to the Strategy and its action plan, </w:t>
      </w:r>
      <w:r w:rsidRPr="00253BCA">
        <w:rPr>
          <w:rFonts w:asciiTheme="minorHAnsi" w:hAnsiTheme="minorHAnsi" w:cstheme="minorHAnsi"/>
          <w:b/>
        </w:rPr>
        <w:t>all ministries and public bodies shall be engaged</w:t>
      </w:r>
      <w:r w:rsidRPr="0036524B">
        <w:rPr>
          <w:rFonts w:asciiTheme="minorHAnsi" w:hAnsiTheme="minorHAnsi" w:cstheme="minorHAnsi"/>
        </w:rPr>
        <w:t xml:space="preserve"> in its implementation. It </w:t>
      </w:r>
      <w:r>
        <w:rPr>
          <w:rFonts w:asciiTheme="minorHAnsi" w:hAnsiTheme="minorHAnsi" w:cstheme="minorHAnsi"/>
        </w:rPr>
        <w:t>was</w:t>
      </w:r>
      <w:r w:rsidRPr="0036524B">
        <w:rPr>
          <w:rFonts w:asciiTheme="minorHAnsi" w:hAnsiTheme="minorHAnsi" w:cstheme="minorHAnsi"/>
        </w:rPr>
        <w:t xml:space="preserve"> reported that each ministry and public body adopted an action plan outlining specific measures to prevent corruption in </w:t>
      </w:r>
      <w:r>
        <w:rPr>
          <w:rFonts w:asciiTheme="minorHAnsi" w:hAnsiTheme="minorHAnsi" w:cstheme="minorHAnsi"/>
        </w:rPr>
        <w:t xml:space="preserve">that </w:t>
      </w:r>
      <w:r w:rsidRPr="0036524B">
        <w:rPr>
          <w:rFonts w:asciiTheme="minorHAnsi" w:hAnsiTheme="minorHAnsi" w:cstheme="minorHAnsi"/>
        </w:rPr>
        <w:t>ministry or body in question. However, in practice, such plans d</w:t>
      </w:r>
      <w:r>
        <w:rPr>
          <w:rFonts w:asciiTheme="minorHAnsi" w:hAnsiTheme="minorHAnsi" w:cstheme="minorHAnsi"/>
        </w:rPr>
        <w:t>id not</w:t>
      </w:r>
      <w:r w:rsidRPr="0036524B">
        <w:rPr>
          <w:rFonts w:asciiTheme="minorHAnsi" w:hAnsiTheme="minorHAnsi" w:cstheme="minorHAnsi"/>
        </w:rPr>
        <w:t xml:space="preserve"> exist across all the ministries and public bodies. The focus on anti-corruption measures in Tajikistan </w:t>
      </w:r>
      <w:r>
        <w:rPr>
          <w:rFonts w:asciiTheme="minorHAnsi" w:hAnsiTheme="minorHAnsi" w:cstheme="minorHAnsi"/>
        </w:rPr>
        <w:t>wa</w:t>
      </w:r>
      <w:r w:rsidRPr="0036524B">
        <w:rPr>
          <w:rFonts w:asciiTheme="minorHAnsi" w:hAnsiTheme="minorHAnsi" w:cstheme="minorHAnsi"/>
        </w:rPr>
        <w:t xml:space="preserve">s mostly on prosecution, but less on prevention. Specific funding </w:t>
      </w:r>
      <w:r>
        <w:rPr>
          <w:rFonts w:asciiTheme="minorHAnsi" w:hAnsiTheme="minorHAnsi" w:cstheme="minorHAnsi"/>
        </w:rPr>
        <w:t>was</w:t>
      </w:r>
      <w:r w:rsidRPr="0036524B">
        <w:rPr>
          <w:rFonts w:asciiTheme="minorHAnsi" w:hAnsiTheme="minorHAnsi" w:cstheme="minorHAnsi"/>
        </w:rPr>
        <w:t xml:space="preserve"> not allocated for </w:t>
      </w:r>
      <w:r>
        <w:rPr>
          <w:rFonts w:asciiTheme="minorHAnsi" w:hAnsiTheme="minorHAnsi" w:cstheme="minorHAnsi"/>
        </w:rPr>
        <w:t xml:space="preserve">the </w:t>
      </w:r>
      <w:r w:rsidRPr="0036524B">
        <w:rPr>
          <w:rFonts w:asciiTheme="minorHAnsi" w:hAnsiTheme="minorHAnsi" w:cstheme="minorHAnsi"/>
        </w:rPr>
        <w:t xml:space="preserve">implementation of the Strategy and its action plan. </w:t>
      </w:r>
      <w:r>
        <w:rPr>
          <w:rFonts w:asciiTheme="minorHAnsi" w:hAnsiTheme="minorHAnsi" w:cstheme="minorHAnsi"/>
        </w:rPr>
        <w:t xml:space="preserve">Instead, </w:t>
      </w:r>
      <w:r w:rsidRPr="0036524B">
        <w:rPr>
          <w:rFonts w:asciiTheme="minorHAnsi" w:hAnsiTheme="minorHAnsi" w:cstheme="minorHAnsi"/>
        </w:rPr>
        <w:t>Anti-Corruption Agency and other public bodies</w:t>
      </w:r>
      <w:r>
        <w:rPr>
          <w:rFonts w:asciiTheme="minorHAnsi" w:hAnsiTheme="minorHAnsi" w:cstheme="minorHAnsi"/>
        </w:rPr>
        <w:t xml:space="preserve"> should</w:t>
      </w:r>
      <w:r w:rsidRPr="0036524B">
        <w:rPr>
          <w:rFonts w:asciiTheme="minorHAnsi" w:hAnsiTheme="minorHAnsi" w:cstheme="minorHAnsi"/>
        </w:rPr>
        <w:t xml:space="preserve"> allocate funding for </w:t>
      </w:r>
      <w:r>
        <w:rPr>
          <w:rFonts w:asciiTheme="minorHAnsi" w:hAnsiTheme="minorHAnsi" w:cstheme="minorHAnsi"/>
        </w:rPr>
        <w:t xml:space="preserve">the </w:t>
      </w:r>
      <w:r w:rsidRPr="0036524B">
        <w:rPr>
          <w:rFonts w:asciiTheme="minorHAnsi" w:hAnsiTheme="minorHAnsi" w:cstheme="minorHAnsi"/>
        </w:rPr>
        <w:t xml:space="preserve">implementation of </w:t>
      </w:r>
      <w:r>
        <w:rPr>
          <w:rFonts w:asciiTheme="minorHAnsi" w:hAnsiTheme="minorHAnsi" w:cstheme="minorHAnsi"/>
        </w:rPr>
        <w:t xml:space="preserve">the </w:t>
      </w:r>
      <w:r w:rsidRPr="0036524B">
        <w:rPr>
          <w:rFonts w:asciiTheme="minorHAnsi" w:hAnsiTheme="minorHAnsi" w:cstheme="minorHAnsi"/>
        </w:rPr>
        <w:t>actions outlined in the Strategy within the funding allocated for their operations</w:t>
      </w:r>
      <w:r>
        <w:rPr>
          <w:rFonts w:asciiTheme="minorHAnsi" w:hAnsiTheme="minorHAnsi" w:cstheme="minorHAnsi"/>
        </w:rPr>
        <w:t xml:space="preserve">. </w:t>
      </w:r>
    </w:p>
    <w:p w14:paraId="58150133" w14:textId="598CD596" w:rsidR="00535D8B" w:rsidRPr="0036524B" w:rsidRDefault="00535D8B" w:rsidP="00535D8B">
      <w:pPr>
        <w:jc w:val="both"/>
        <w:rPr>
          <w:rFonts w:asciiTheme="minorHAnsi" w:hAnsiTheme="minorHAnsi" w:cstheme="minorHAnsi"/>
        </w:rPr>
      </w:pPr>
      <w:r w:rsidRPr="0036524B">
        <w:rPr>
          <w:rFonts w:asciiTheme="minorHAnsi" w:hAnsiTheme="minorHAnsi" w:cstheme="minorHAnsi"/>
        </w:rPr>
        <w:t xml:space="preserve">The Law on Anti-Corruption (2005) as well as </w:t>
      </w:r>
      <w:r>
        <w:rPr>
          <w:rFonts w:asciiTheme="minorHAnsi" w:hAnsiTheme="minorHAnsi" w:cstheme="minorHAnsi"/>
        </w:rPr>
        <w:t xml:space="preserve">the </w:t>
      </w:r>
      <w:r w:rsidRPr="0036524B">
        <w:rPr>
          <w:rFonts w:asciiTheme="minorHAnsi" w:hAnsiTheme="minorHAnsi" w:cstheme="minorHAnsi"/>
        </w:rPr>
        <w:t xml:space="preserve">Strategy speak about </w:t>
      </w:r>
      <w:r>
        <w:rPr>
          <w:rFonts w:asciiTheme="minorHAnsi" w:hAnsiTheme="minorHAnsi" w:cstheme="minorHAnsi"/>
        </w:rPr>
        <w:t xml:space="preserve">the </w:t>
      </w:r>
      <w:r w:rsidRPr="00253BCA">
        <w:rPr>
          <w:rFonts w:asciiTheme="minorHAnsi" w:hAnsiTheme="minorHAnsi" w:cstheme="minorHAnsi"/>
          <w:b/>
        </w:rPr>
        <w:t>role of NGOs</w:t>
      </w:r>
      <w:r w:rsidRPr="0036524B">
        <w:rPr>
          <w:rFonts w:asciiTheme="minorHAnsi" w:hAnsiTheme="minorHAnsi" w:cstheme="minorHAnsi"/>
        </w:rPr>
        <w:t xml:space="preserve"> in implement</w:t>
      </w:r>
      <w:r>
        <w:rPr>
          <w:rFonts w:asciiTheme="minorHAnsi" w:hAnsiTheme="minorHAnsi" w:cstheme="minorHAnsi"/>
        </w:rPr>
        <w:t>ing</w:t>
      </w:r>
      <w:r w:rsidRPr="0036524B">
        <w:rPr>
          <w:rFonts w:asciiTheme="minorHAnsi" w:hAnsiTheme="minorHAnsi" w:cstheme="minorHAnsi"/>
        </w:rPr>
        <w:t xml:space="preserve"> the Strategy. However, in practice NGOs were not involved in </w:t>
      </w:r>
      <w:r>
        <w:rPr>
          <w:rFonts w:asciiTheme="minorHAnsi" w:hAnsiTheme="minorHAnsi" w:cstheme="minorHAnsi"/>
        </w:rPr>
        <w:t xml:space="preserve">the </w:t>
      </w:r>
      <w:r w:rsidRPr="0036524B">
        <w:rPr>
          <w:rFonts w:asciiTheme="minorHAnsi" w:hAnsiTheme="minorHAnsi" w:cstheme="minorHAnsi"/>
        </w:rPr>
        <w:t xml:space="preserve">monitoring of the Strategy and its Action Plan. In 2018, </w:t>
      </w:r>
      <w:r>
        <w:rPr>
          <w:rFonts w:asciiTheme="minorHAnsi" w:hAnsiTheme="minorHAnsi" w:cstheme="minorHAnsi"/>
        </w:rPr>
        <w:t xml:space="preserve">the </w:t>
      </w:r>
      <w:r w:rsidRPr="0036524B">
        <w:rPr>
          <w:rFonts w:asciiTheme="minorHAnsi" w:hAnsiTheme="minorHAnsi" w:cstheme="minorHAnsi"/>
        </w:rPr>
        <w:t>NGO Human Rights Center conducted public monitoring of the Strategy with</w:t>
      </w:r>
      <w:r>
        <w:rPr>
          <w:rFonts w:asciiTheme="minorHAnsi" w:hAnsiTheme="minorHAnsi" w:cstheme="minorHAnsi"/>
        </w:rPr>
        <w:t xml:space="preserve"> a</w:t>
      </w:r>
      <w:r w:rsidRPr="0036524B">
        <w:rPr>
          <w:rFonts w:asciiTheme="minorHAnsi" w:hAnsiTheme="minorHAnsi" w:cstheme="minorHAnsi"/>
        </w:rPr>
        <w:t xml:space="preserve"> focus on</w:t>
      </w:r>
      <w:r>
        <w:rPr>
          <w:rFonts w:asciiTheme="minorHAnsi" w:hAnsiTheme="minorHAnsi" w:cstheme="minorHAnsi"/>
        </w:rPr>
        <w:t xml:space="preserve"> the</w:t>
      </w:r>
      <w:r w:rsidRPr="0036524B">
        <w:rPr>
          <w:rFonts w:asciiTheme="minorHAnsi" w:hAnsiTheme="minorHAnsi" w:cstheme="minorHAnsi"/>
        </w:rPr>
        <w:t xml:space="preserve"> judiciary and </w:t>
      </w:r>
      <w:r>
        <w:rPr>
          <w:rFonts w:asciiTheme="minorHAnsi" w:hAnsiTheme="minorHAnsi" w:cstheme="minorHAnsi"/>
        </w:rPr>
        <w:t xml:space="preserve">the </w:t>
      </w:r>
      <w:r w:rsidRPr="0036524B">
        <w:rPr>
          <w:rFonts w:asciiTheme="minorHAnsi" w:hAnsiTheme="minorHAnsi" w:cstheme="minorHAnsi"/>
        </w:rPr>
        <w:t xml:space="preserve">role of civil society. The findings were presented at </w:t>
      </w:r>
      <w:r>
        <w:rPr>
          <w:rFonts w:asciiTheme="minorHAnsi" w:hAnsiTheme="minorHAnsi" w:cstheme="minorHAnsi"/>
        </w:rPr>
        <w:t xml:space="preserve">a </w:t>
      </w:r>
      <w:r w:rsidRPr="0036524B">
        <w:rPr>
          <w:rFonts w:asciiTheme="minorHAnsi" w:hAnsiTheme="minorHAnsi" w:cstheme="minorHAnsi"/>
        </w:rPr>
        <w:t xml:space="preserve">conference hosted together with </w:t>
      </w:r>
      <w:r>
        <w:rPr>
          <w:rFonts w:asciiTheme="minorHAnsi" w:hAnsiTheme="minorHAnsi" w:cstheme="minorHAnsi"/>
        </w:rPr>
        <w:t xml:space="preserve">the </w:t>
      </w:r>
      <w:r w:rsidRPr="0036524B">
        <w:rPr>
          <w:rFonts w:asciiTheme="minorHAnsi" w:hAnsiTheme="minorHAnsi" w:cstheme="minorHAnsi"/>
        </w:rPr>
        <w:t xml:space="preserve">Anti-Corruption Agency and </w:t>
      </w:r>
      <w:r>
        <w:rPr>
          <w:rFonts w:asciiTheme="minorHAnsi" w:hAnsiTheme="minorHAnsi" w:cstheme="minorHAnsi"/>
        </w:rPr>
        <w:t xml:space="preserve">the </w:t>
      </w:r>
      <w:r w:rsidRPr="0036524B">
        <w:rPr>
          <w:rFonts w:asciiTheme="minorHAnsi" w:hAnsiTheme="minorHAnsi" w:cstheme="minorHAnsi"/>
        </w:rPr>
        <w:t>Human Rights Ombudsman. However, there was little follow-up on</w:t>
      </w:r>
      <w:r>
        <w:rPr>
          <w:rFonts w:asciiTheme="minorHAnsi" w:hAnsiTheme="minorHAnsi" w:cstheme="minorHAnsi"/>
        </w:rPr>
        <w:t xml:space="preserve"> the</w:t>
      </w:r>
      <w:r w:rsidRPr="0036524B">
        <w:rPr>
          <w:rFonts w:asciiTheme="minorHAnsi" w:hAnsiTheme="minorHAnsi" w:cstheme="minorHAnsi"/>
        </w:rPr>
        <w:t xml:space="preserve"> recommendations of the public monitoring and </w:t>
      </w:r>
      <w:r>
        <w:rPr>
          <w:rFonts w:asciiTheme="minorHAnsi" w:hAnsiTheme="minorHAnsi" w:cstheme="minorHAnsi"/>
        </w:rPr>
        <w:t xml:space="preserve">little </w:t>
      </w:r>
      <w:r w:rsidRPr="0036524B">
        <w:rPr>
          <w:rFonts w:asciiTheme="minorHAnsi" w:hAnsiTheme="minorHAnsi" w:cstheme="minorHAnsi"/>
        </w:rPr>
        <w:t>actual implementation of the actions aimed at increasing the role of civil society organization</w:t>
      </w:r>
      <w:r>
        <w:rPr>
          <w:rFonts w:asciiTheme="minorHAnsi" w:hAnsiTheme="minorHAnsi" w:cstheme="minorHAnsi"/>
        </w:rPr>
        <w:t>s</w:t>
      </w:r>
      <w:r w:rsidRPr="0036524B">
        <w:rPr>
          <w:rFonts w:asciiTheme="minorHAnsi" w:hAnsiTheme="minorHAnsi" w:cstheme="minorHAnsi"/>
        </w:rPr>
        <w:t xml:space="preserve">.  </w:t>
      </w:r>
    </w:p>
    <w:p w14:paraId="664D4D61" w14:textId="0AEAD21B" w:rsidR="00535D8B" w:rsidRPr="0036524B" w:rsidRDefault="00535D8B" w:rsidP="00535D8B">
      <w:pPr>
        <w:jc w:val="both"/>
        <w:rPr>
          <w:rFonts w:asciiTheme="minorHAnsi" w:hAnsiTheme="minorHAnsi" w:cstheme="minorHAnsi"/>
        </w:rPr>
      </w:pPr>
      <w:r>
        <w:rPr>
          <w:rFonts w:asciiTheme="minorHAnsi" w:hAnsiTheme="minorHAnsi" w:cstheme="minorHAnsi"/>
        </w:rPr>
        <w:t>In addition, p</w:t>
      </w:r>
      <w:r w:rsidRPr="0036524B">
        <w:rPr>
          <w:rFonts w:asciiTheme="minorHAnsi" w:hAnsiTheme="minorHAnsi" w:cstheme="minorHAnsi"/>
        </w:rPr>
        <w:t xml:space="preserve">articipation of civil society organisations in anti-corruption measures </w:t>
      </w:r>
      <w:r>
        <w:rPr>
          <w:rFonts w:asciiTheme="minorHAnsi" w:hAnsiTheme="minorHAnsi" w:cstheme="minorHAnsi"/>
        </w:rPr>
        <w:t>should</w:t>
      </w:r>
      <w:r w:rsidRPr="0036524B">
        <w:rPr>
          <w:rFonts w:asciiTheme="minorHAnsi" w:hAnsiTheme="minorHAnsi" w:cstheme="minorHAnsi"/>
        </w:rPr>
        <w:t xml:space="preserve"> be ensured through their participation in </w:t>
      </w:r>
      <w:r>
        <w:rPr>
          <w:rFonts w:asciiTheme="minorHAnsi" w:hAnsiTheme="minorHAnsi" w:cstheme="minorHAnsi"/>
        </w:rPr>
        <w:t xml:space="preserve">the </w:t>
      </w:r>
      <w:r w:rsidRPr="00253BCA">
        <w:rPr>
          <w:rFonts w:asciiTheme="minorHAnsi" w:hAnsiTheme="minorHAnsi" w:cstheme="minorHAnsi"/>
          <w:b/>
        </w:rPr>
        <w:t>National Anti-corruption Council</w:t>
      </w:r>
      <w:r w:rsidRPr="0036524B">
        <w:rPr>
          <w:rFonts w:asciiTheme="minorHAnsi" w:hAnsiTheme="minorHAnsi" w:cstheme="minorHAnsi"/>
        </w:rPr>
        <w:t xml:space="preserve"> and public anti-corruption commissions at the local level. However, it is challenging to receive admission of active NGOs to the National Anti-Corruption Council, because it </w:t>
      </w:r>
      <w:r>
        <w:rPr>
          <w:rFonts w:asciiTheme="minorHAnsi" w:hAnsiTheme="minorHAnsi" w:cstheme="minorHAnsi"/>
        </w:rPr>
        <w:t>must</w:t>
      </w:r>
      <w:r w:rsidRPr="0036524B">
        <w:rPr>
          <w:rFonts w:asciiTheme="minorHAnsi" w:hAnsiTheme="minorHAnsi" w:cstheme="minorHAnsi"/>
        </w:rPr>
        <w:t xml:space="preserve"> be authorized by the Presidential Administration. </w:t>
      </w:r>
      <w:r>
        <w:rPr>
          <w:rFonts w:asciiTheme="minorHAnsi" w:hAnsiTheme="minorHAnsi" w:cstheme="minorHAnsi"/>
        </w:rPr>
        <w:t>The current</w:t>
      </w:r>
      <w:r w:rsidRPr="0036524B">
        <w:rPr>
          <w:rFonts w:asciiTheme="minorHAnsi" w:hAnsiTheme="minorHAnsi" w:cstheme="minorHAnsi"/>
        </w:rPr>
        <w:t xml:space="preserve"> members of the Council are</w:t>
      </w:r>
      <w:r>
        <w:rPr>
          <w:rFonts w:asciiTheme="minorHAnsi" w:hAnsiTheme="minorHAnsi" w:cstheme="minorHAnsi"/>
        </w:rPr>
        <w:t>:</w:t>
      </w:r>
      <w:r w:rsidRPr="0036524B">
        <w:rPr>
          <w:rFonts w:asciiTheme="minorHAnsi" w:hAnsiTheme="minorHAnsi" w:cstheme="minorHAnsi"/>
        </w:rPr>
        <w:t xml:space="preserve"> Union of Journalist</w:t>
      </w:r>
      <w:r>
        <w:rPr>
          <w:rFonts w:asciiTheme="minorHAnsi" w:hAnsiTheme="minorHAnsi" w:cstheme="minorHAnsi"/>
        </w:rPr>
        <w:t>s</w:t>
      </w:r>
      <w:r w:rsidRPr="0036524B">
        <w:rPr>
          <w:rFonts w:asciiTheme="minorHAnsi" w:hAnsiTheme="minorHAnsi" w:cstheme="minorHAnsi"/>
        </w:rPr>
        <w:t>, Union of Writers, Union of Youth, Islamic Center, Committee of former internationalist fighters, Federation of Trade Unions</w:t>
      </w:r>
      <w:r>
        <w:rPr>
          <w:rFonts w:asciiTheme="minorHAnsi" w:hAnsiTheme="minorHAnsi" w:cstheme="minorHAnsi"/>
        </w:rPr>
        <w:t xml:space="preserve">. These </w:t>
      </w:r>
      <w:r w:rsidRPr="0036524B">
        <w:rPr>
          <w:rFonts w:asciiTheme="minorHAnsi" w:hAnsiTheme="minorHAnsi" w:cstheme="minorHAnsi"/>
        </w:rPr>
        <w:t>are, in fact, GONGOs</w:t>
      </w:r>
      <w:r>
        <w:rPr>
          <w:rFonts w:asciiTheme="minorHAnsi" w:hAnsiTheme="minorHAnsi" w:cstheme="minorHAnsi"/>
        </w:rPr>
        <w:t xml:space="preserve">. They do </w:t>
      </w:r>
      <w:r w:rsidRPr="0036524B">
        <w:rPr>
          <w:rFonts w:asciiTheme="minorHAnsi" w:hAnsiTheme="minorHAnsi" w:cstheme="minorHAnsi"/>
        </w:rPr>
        <w:t>no</w:t>
      </w:r>
      <w:r>
        <w:rPr>
          <w:rFonts w:asciiTheme="minorHAnsi" w:hAnsiTheme="minorHAnsi" w:cstheme="minorHAnsi"/>
        </w:rPr>
        <w:t>t</w:t>
      </w:r>
      <w:r w:rsidRPr="0036524B">
        <w:rPr>
          <w:rFonts w:asciiTheme="minorHAnsi" w:hAnsiTheme="minorHAnsi" w:cstheme="minorHAnsi"/>
        </w:rPr>
        <w:t xml:space="preserve"> play</w:t>
      </w:r>
      <w:r>
        <w:rPr>
          <w:rFonts w:asciiTheme="minorHAnsi" w:hAnsiTheme="minorHAnsi" w:cstheme="minorHAnsi"/>
        </w:rPr>
        <w:t xml:space="preserve"> active roles in </w:t>
      </w:r>
      <w:r w:rsidRPr="0036524B">
        <w:rPr>
          <w:rFonts w:asciiTheme="minorHAnsi" w:hAnsiTheme="minorHAnsi" w:cstheme="minorHAnsi"/>
        </w:rPr>
        <w:t xml:space="preserve">prevention of corruption in Tajikistan. Activities of the National Anti-Corruption Council are not transparent. Information on meetings, results of the meetings and follow-up actions is not publicly accessible. It is challenging to assess its effectiveness. At the local level, it is reported that 78 public anti-corruption commissions were established. Data on </w:t>
      </w:r>
      <w:r>
        <w:rPr>
          <w:rFonts w:asciiTheme="minorHAnsi" w:hAnsiTheme="minorHAnsi" w:cstheme="minorHAnsi"/>
        </w:rPr>
        <w:t xml:space="preserve">the </w:t>
      </w:r>
      <w:r w:rsidRPr="0036524B">
        <w:rPr>
          <w:rFonts w:asciiTheme="minorHAnsi" w:hAnsiTheme="minorHAnsi" w:cstheme="minorHAnsi"/>
        </w:rPr>
        <w:t>number of operational and effective commissions as well as their membership is not available</w:t>
      </w:r>
      <w:r>
        <w:rPr>
          <w:rFonts w:asciiTheme="minorHAnsi" w:hAnsiTheme="minorHAnsi" w:cstheme="minorHAnsi"/>
        </w:rPr>
        <w:t xml:space="preserve">. This would not allow us to make </w:t>
      </w:r>
      <w:r w:rsidRPr="0036524B">
        <w:rPr>
          <w:rFonts w:asciiTheme="minorHAnsi" w:hAnsiTheme="minorHAnsi" w:cstheme="minorHAnsi"/>
        </w:rPr>
        <w:t xml:space="preserve">conclusions </w:t>
      </w:r>
      <w:r>
        <w:rPr>
          <w:rFonts w:asciiTheme="minorHAnsi" w:hAnsiTheme="minorHAnsi" w:cstheme="minorHAnsi"/>
        </w:rPr>
        <w:t xml:space="preserve">regarding the effectivity </w:t>
      </w:r>
      <w:r w:rsidRPr="0036524B">
        <w:rPr>
          <w:rFonts w:asciiTheme="minorHAnsi" w:hAnsiTheme="minorHAnsi" w:cstheme="minorHAnsi"/>
        </w:rPr>
        <w:t xml:space="preserve">of public participation in anti-corruption measures. </w:t>
      </w:r>
    </w:p>
    <w:p w14:paraId="5D16D33D" w14:textId="4DF47C32" w:rsidR="00535D8B" w:rsidRPr="00535D8B" w:rsidRDefault="00535D8B" w:rsidP="00535D8B">
      <w:pPr>
        <w:pStyle w:val="ListParagraph"/>
        <w:numPr>
          <w:ilvl w:val="6"/>
          <w:numId w:val="1"/>
        </w:numPr>
        <w:ind w:left="709"/>
        <w:jc w:val="both"/>
        <w:rPr>
          <w:rFonts w:asciiTheme="minorHAnsi" w:hAnsiTheme="minorHAnsi" w:cstheme="minorHAnsi"/>
          <w:b/>
        </w:rPr>
      </w:pPr>
      <w:r w:rsidRPr="00535D8B">
        <w:rPr>
          <w:rFonts w:asciiTheme="minorHAnsi" w:hAnsiTheme="minorHAnsi" w:cstheme="minorHAnsi"/>
          <w:b/>
        </w:rPr>
        <w:lastRenderedPageBreak/>
        <w:t>Criminalisation of corruption in line with international standards and effective investigation and prosecution of complex and high-level corruption cases</w:t>
      </w:r>
    </w:p>
    <w:p w14:paraId="130C2734" w14:textId="5A91CDE4" w:rsidR="00535D8B" w:rsidRDefault="00535D8B" w:rsidP="00535D8B">
      <w:pPr>
        <w:jc w:val="both"/>
        <w:rPr>
          <w:rFonts w:asciiTheme="minorHAnsi" w:hAnsiTheme="minorHAnsi" w:cstheme="minorHAnsi"/>
          <w:lang w:val="en-GB"/>
        </w:rPr>
      </w:pPr>
      <w:r>
        <w:rPr>
          <w:rFonts w:asciiTheme="minorHAnsi" w:hAnsiTheme="minorHAnsi" w:cstheme="minorHAnsi"/>
          <w:lang w:val="en-GB"/>
        </w:rPr>
        <w:t>Upon review of the anti-corruption efforts of Tajikistan, the OECD concluded that Tajikistan did not undertake measures to bring provisions criminalising corruption in line with international standards (UN Convention Against Corruption, ratified by Tajikistan in 2008). There are several gaps in the criminal legislation of Tajikistan, which prevent an effective fight against corruption in the country. International standards like “requests”, “demands”, “promises”, “proposals”, “receipts of promises or proposals” of illegal benefits, non-material bribes or benefits, responsibility of legal entities for corruption, criminalisation of illegal profiteering and trading in influence, were not implemented</w:t>
      </w:r>
      <w:r>
        <w:rPr>
          <w:rStyle w:val="FootnoteReference"/>
          <w:rFonts w:asciiTheme="minorHAnsi" w:hAnsiTheme="minorHAnsi" w:cstheme="minorHAnsi"/>
          <w:lang w:val="en-GB"/>
        </w:rPr>
        <w:footnoteReference w:id="10"/>
      </w:r>
      <w:r>
        <w:rPr>
          <w:rFonts w:asciiTheme="minorHAnsi" w:hAnsiTheme="minorHAnsi" w:cstheme="minorHAnsi"/>
          <w:lang w:val="en-GB"/>
        </w:rPr>
        <w:t xml:space="preserve"> despite the fact that the OECD repeated these recommendations in the framework of the third (2014) and fourth round (2017) of monitoring of the implementation of the anti-corruption strategy. </w:t>
      </w:r>
    </w:p>
    <w:p w14:paraId="088F54B1" w14:textId="259D905A" w:rsidR="00BD0519" w:rsidRPr="00B53024" w:rsidRDefault="00535D8B" w:rsidP="00B53024">
      <w:pPr>
        <w:jc w:val="both"/>
        <w:rPr>
          <w:rFonts w:asciiTheme="minorHAnsi" w:hAnsiTheme="minorHAnsi" w:cstheme="minorHAnsi"/>
        </w:rPr>
      </w:pPr>
      <w:r w:rsidRPr="0036545C">
        <w:rPr>
          <w:rFonts w:asciiTheme="minorHAnsi" w:hAnsiTheme="minorHAnsi" w:cstheme="minorHAnsi"/>
          <w:lang w:val="en-GB"/>
        </w:rPr>
        <w:t xml:space="preserve">Law enforcement </w:t>
      </w:r>
      <w:r>
        <w:rPr>
          <w:rFonts w:asciiTheme="minorHAnsi" w:hAnsiTheme="minorHAnsi" w:cstheme="minorHAnsi"/>
          <w:lang w:val="en-GB"/>
        </w:rPr>
        <w:t>bodies</w:t>
      </w:r>
      <w:r w:rsidRPr="0036545C">
        <w:rPr>
          <w:rFonts w:asciiTheme="minorHAnsi" w:hAnsiTheme="minorHAnsi" w:cstheme="minorHAnsi"/>
          <w:lang w:val="en-GB"/>
        </w:rPr>
        <w:t xml:space="preserve"> of Tajikistan did not change </w:t>
      </w:r>
      <w:r>
        <w:rPr>
          <w:rFonts w:asciiTheme="minorHAnsi" w:hAnsiTheme="minorHAnsi" w:cstheme="minorHAnsi"/>
          <w:lang w:val="en-GB"/>
        </w:rPr>
        <w:t>their</w:t>
      </w:r>
      <w:r w:rsidRPr="0036545C">
        <w:rPr>
          <w:rFonts w:asciiTheme="minorHAnsi" w:hAnsiTheme="minorHAnsi" w:cstheme="minorHAnsi"/>
          <w:lang w:val="en-GB"/>
        </w:rPr>
        <w:t xml:space="preserve"> approach to detection of corruption crimes by active use of analytical approaches and sources of information not related to operational activities. </w:t>
      </w:r>
      <w:r>
        <w:rPr>
          <w:rFonts w:asciiTheme="minorHAnsi" w:hAnsiTheme="minorHAnsi" w:cstheme="minorHAnsi"/>
          <w:lang w:val="en-GB"/>
        </w:rPr>
        <w:t>The m</w:t>
      </w:r>
      <w:r w:rsidRPr="0036545C">
        <w:rPr>
          <w:rFonts w:asciiTheme="minorHAnsi" w:hAnsiTheme="minorHAnsi" w:cstheme="minorHAnsi"/>
          <w:lang w:val="en-GB"/>
        </w:rPr>
        <w:t>ajority</w:t>
      </w:r>
      <w:r w:rsidRPr="00253BCA">
        <w:rPr>
          <w:rFonts w:asciiTheme="minorHAnsi" w:hAnsiTheme="minorHAnsi" w:cstheme="minorHAnsi"/>
        </w:rPr>
        <w:t xml:space="preserve"> </w:t>
      </w:r>
      <w:r w:rsidRPr="0036545C">
        <w:rPr>
          <w:rFonts w:asciiTheme="minorHAnsi" w:hAnsiTheme="minorHAnsi" w:cstheme="minorHAnsi"/>
          <w:lang w:val="en-GB"/>
        </w:rPr>
        <w:t>of</w:t>
      </w:r>
      <w:r w:rsidRPr="00253BCA">
        <w:rPr>
          <w:rFonts w:asciiTheme="minorHAnsi" w:hAnsiTheme="minorHAnsi" w:cstheme="minorHAnsi"/>
        </w:rPr>
        <w:t xml:space="preserve"> </w:t>
      </w:r>
      <w:r w:rsidRPr="0036545C">
        <w:rPr>
          <w:rFonts w:asciiTheme="minorHAnsi" w:hAnsiTheme="minorHAnsi" w:cstheme="minorHAnsi"/>
          <w:lang w:val="en-GB"/>
        </w:rPr>
        <w:t>corruption</w:t>
      </w:r>
      <w:r w:rsidRPr="00253BCA">
        <w:rPr>
          <w:rFonts w:asciiTheme="minorHAnsi" w:hAnsiTheme="minorHAnsi" w:cstheme="minorHAnsi"/>
        </w:rPr>
        <w:t xml:space="preserve"> </w:t>
      </w:r>
      <w:r w:rsidRPr="0036545C">
        <w:rPr>
          <w:rFonts w:asciiTheme="minorHAnsi" w:hAnsiTheme="minorHAnsi" w:cstheme="minorHAnsi"/>
          <w:lang w:val="en-GB"/>
        </w:rPr>
        <w:t>crimes</w:t>
      </w:r>
      <w:r w:rsidRPr="00253BCA">
        <w:rPr>
          <w:rFonts w:asciiTheme="minorHAnsi" w:hAnsiTheme="minorHAnsi" w:cstheme="minorHAnsi"/>
        </w:rPr>
        <w:t xml:space="preserve"> </w:t>
      </w:r>
      <w:r w:rsidRPr="0036545C">
        <w:rPr>
          <w:rFonts w:asciiTheme="minorHAnsi" w:hAnsiTheme="minorHAnsi" w:cstheme="minorHAnsi"/>
          <w:lang w:val="en-GB"/>
        </w:rPr>
        <w:t>were</w:t>
      </w:r>
      <w:r w:rsidRPr="00253BCA">
        <w:rPr>
          <w:rFonts w:asciiTheme="minorHAnsi" w:hAnsiTheme="minorHAnsi" w:cstheme="minorHAnsi"/>
        </w:rPr>
        <w:t xml:space="preserve"> </w:t>
      </w:r>
      <w:r w:rsidRPr="0036545C">
        <w:rPr>
          <w:rFonts w:asciiTheme="minorHAnsi" w:hAnsiTheme="minorHAnsi" w:cstheme="minorHAnsi"/>
          <w:lang w:val="en-GB"/>
        </w:rPr>
        <w:t>detected</w:t>
      </w:r>
      <w:r w:rsidRPr="00253BCA">
        <w:rPr>
          <w:rFonts w:asciiTheme="minorHAnsi" w:hAnsiTheme="minorHAnsi" w:cstheme="minorHAnsi"/>
        </w:rPr>
        <w:t xml:space="preserve"> </w:t>
      </w:r>
      <w:r w:rsidRPr="0036545C">
        <w:rPr>
          <w:rFonts w:asciiTheme="minorHAnsi" w:hAnsiTheme="minorHAnsi" w:cstheme="minorHAnsi"/>
          <w:lang w:val="en-GB"/>
        </w:rPr>
        <w:t>by</w:t>
      </w:r>
      <w:r w:rsidRPr="00253BCA">
        <w:rPr>
          <w:rFonts w:asciiTheme="minorHAnsi" w:hAnsiTheme="minorHAnsi" w:cstheme="minorHAnsi"/>
        </w:rPr>
        <w:t xml:space="preserve"> </w:t>
      </w:r>
      <w:r w:rsidRPr="0036545C">
        <w:rPr>
          <w:rFonts w:asciiTheme="minorHAnsi" w:hAnsiTheme="minorHAnsi" w:cstheme="minorHAnsi"/>
          <w:lang w:val="en-GB"/>
        </w:rPr>
        <w:t>operational</w:t>
      </w:r>
      <w:r w:rsidRPr="00253BCA">
        <w:rPr>
          <w:rFonts w:asciiTheme="minorHAnsi" w:hAnsiTheme="minorHAnsi" w:cstheme="minorHAnsi"/>
        </w:rPr>
        <w:t xml:space="preserve"> </w:t>
      </w:r>
      <w:r w:rsidRPr="0036545C">
        <w:rPr>
          <w:rFonts w:asciiTheme="minorHAnsi" w:hAnsiTheme="minorHAnsi" w:cstheme="minorHAnsi"/>
          <w:lang w:val="en-GB"/>
        </w:rPr>
        <w:t>actions</w:t>
      </w:r>
      <w:r w:rsidRPr="00253BCA">
        <w:rPr>
          <w:rFonts w:asciiTheme="minorHAnsi" w:hAnsiTheme="minorHAnsi" w:cstheme="minorHAnsi"/>
        </w:rPr>
        <w:t xml:space="preserve">. </w:t>
      </w:r>
      <w:r w:rsidRPr="0036545C">
        <w:rPr>
          <w:rFonts w:asciiTheme="minorHAnsi" w:hAnsiTheme="minorHAnsi" w:cstheme="minorHAnsi"/>
          <w:lang w:val="en-GB"/>
        </w:rPr>
        <w:t>Operational information, notes from agents and reports are</w:t>
      </w:r>
      <w:r>
        <w:rPr>
          <w:rFonts w:asciiTheme="minorHAnsi" w:hAnsiTheme="minorHAnsi" w:cstheme="minorHAnsi"/>
          <w:lang w:val="en-GB"/>
        </w:rPr>
        <w:t xml:space="preserve"> the</w:t>
      </w:r>
      <w:r w:rsidRPr="0036545C">
        <w:rPr>
          <w:rFonts w:asciiTheme="minorHAnsi" w:hAnsiTheme="minorHAnsi" w:cstheme="minorHAnsi"/>
          <w:lang w:val="en-GB"/>
        </w:rPr>
        <w:t xml:space="preserve"> main sources of information </w:t>
      </w:r>
      <w:r>
        <w:rPr>
          <w:rFonts w:asciiTheme="minorHAnsi" w:hAnsiTheme="minorHAnsi" w:cstheme="minorHAnsi"/>
          <w:lang w:val="en-GB"/>
        </w:rPr>
        <w:t>regarding</w:t>
      </w:r>
      <w:r w:rsidRPr="0036545C">
        <w:rPr>
          <w:rFonts w:asciiTheme="minorHAnsi" w:hAnsiTheme="minorHAnsi" w:cstheme="minorHAnsi"/>
          <w:lang w:val="en-GB"/>
        </w:rPr>
        <w:t xml:space="preserve"> corruption. Analytical</w:t>
      </w:r>
      <w:r w:rsidRPr="0036545C">
        <w:rPr>
          <w:rFonts w:asciiTheme="minorHAnsi" w:hAnsiTheme="minorHAnsi" w:cstheme="minorHAnsi"/>
        </w:rPr>
        <w:t xml:space="preserve"> </w:t>
      </w:r>
      <w:r w:rsidRPr="0036545C">
        <w:rPr>
          <w:rFonts w:asciiTheme="minorHAnsi" w:hAnsiTheme="minorHAnsi" w:cstheme="minorHAnsi"/>
          <w:lang w:val="en-GB"/>
        </w:rPr>
        <w:t>methods</w:t>
      </w:r>
      <w:r w:rsidRPr="0036545C">
        <w:rPr>
          <w:rFonts w:asciiTheme="minorHAnsi" w:hAnsiTheme="minorHAnsi" w:cstheme="minorHAnsi"/>
        </w:rPr>
        <w:t xml:space="preserve"> </w:t>
      </w:r>
      <w:r w:rsidRPr="0036545C">
        <w:rPr>
          <w:rFonts w:asciiTheme="minorHAnsi" w:hAnsiTheme="minorHAnsi" w:cstheme="minorHAnsi"/>
          <w:lang w:val="en-GB"/>
        </w:rPr>
        <w:t>of</w:t>
      </w:r>
      <w:r w:rsidRPr="0036545C">
        <w:rPr>
          <w:rFonts w:asciiTheme="minorHAnsi" w:hAnsiTheme="minorHAnsi" w:cstheme="minorHAnsi"/>
        </w:rPr>
        <w:t xml:space="preserve"> </w:t>
      </w:r>
      <w:r w:rsidRPr="0036545C">
        <w:rPr>
          <w:rFonts w:asciiTheme="minorHAnsi" w:hAnsiTheme="minorHAnsi" w:cstheme="minorHAnsi"/>
          <w:lang w:val="en-GB"/>
        </w:rPr>
        <w:t>detection</w:t>
      </w:r>
      <w:r w:rsidRPr="0036545C">
        <w:rPr>
          <w:rFonts w:asciiTheme="minorHAnsi" w:hAnsiTheme="minorHAnsi" w:cstheme="minorHAnsi"/>
        </w:rPr>
        <w:t xml:space="preserve"> </w:t>
      </w:r>
      <w:r w:rsidRPr="0036545C">
        <w:rPr>
          <w:rFonts w:asciiTheme="minorHAnsi" w:hAnsiTheme="minorHAnsi" w:cstheme="minorHAnsi"/>
          <w:lang w:val="en-GB"/>
        </w:rPr>
        <w:t>of</w:t>
      </w:r>
      <w:r w:rsidRPr="0036545C">
        <w:rPr>
          <w:rFonts w:asciiTheme="minorHAnsi" w:hAnsiTheme="minorHAnsi" w:cstheme="minorHAnsi"/>
        </w:rPr>
        <w:t xml:space="preserve"> </w:t>
      </w:r>
      <w:r w:rsidRPr="0036545C">
        <w:rPr>
          <w:rFonts w:asciiTheme="minorHAnsi" w:hAnsiTheme="minorHAnsi" w:cstheme="minorHAnsi"/>
          <w:lang w:val="en-GB"/>
        </w:rPr>
        <w:t>crimes are rarely used. Law</w:t>
      </w:r>
      <w:r w:rsidRPr="0036545C">
        <w:rPr>
          <w:rFonts w:asciiTheme="minorHAnsi" w:hAnsiTheme="minorHAnsi" w:cstheme="minorHAnsi"/>
        </w:rPr>
        <w:t xml:space="preserve"> </w:t>
      </w:r>
      <w:r w:rsidRPr="0036545C">
        <w:rPr>
          <w:rFonts w:asciiTheme="minorHAnsi" w:hAnsiTheme="minorHAnsi" w:cstheme="minorHAnsi"/>
          <w:lang w:val="en-GB"/>
        </w:rPr>
        <w:t>enforcement bodies lack analytical departments. Usually, analytical work includes collection of statistic</w:t>
      </w:r>
      <w:r>
        <w:rPr>
          <w:rFonts w:asciiTheme="minorHAnsi" w:hAnsiTheme="minorHAnsi" w:cstheme="minorHAnsi"/>
          <w:lang w:val="en-GB"/>
        </w:rPr>
        <w:t>al</w:t>
      </w:r>
      <w:r w:rsidRPr="0036545C">
        <w:rPr>
          <w:rFonts w:asciiTheme="minorHAnsi" w:hAnsiTheme="minorHAnsi" w:cstheme="minorHAnsi"/>
          <w:lang w:val="en-GB"/>
        </w:rPr>
        <w:t xml:space="preserve"> data, but not through</w:t>
      </w:r>
      <w:r>
        <w:rPr>
          <w:rFonts w:asciiTheme="minorHAnsi" w:hAnsiTheme="minorHAnsi" w:cstheme="minorHAnsi"/>
          <w:lang w:val="en-GB"/>
        </w:rPr>
        <w:t xml:space="preserve"> the</w:t>
      </w:r>
      <w:r w:rsidRPr="0036545C">
        <w:rPr>
          <w:rFonts w:asciiTheme="minorHAnsi" w:hAnsiTheme="minorHAnsi" w:cstheme="minorHAnsi"/>
          <w:lang w:val="en-GB"/>
        </w:rPr>
        <w:t xml:space="preserve"> analysis of sectors with high corruption risks, typical corruption models and information received by bodies.</w:t>
      </w:r>
      <w:r w:rsidRPr="0036545C">
        <w:rPr>
          <w:rStyle w:val="FootnoteReference"/>
          <w:rFonts w:asciiTheme="minorHAnsi" w:hAnsiTheme="minorHAnsi" w:cstheme="minorHAnsi"/>
          <w:lang w:val="en-GB"/>
        </w:rPr>
        <w:footnoteReference w:id="11"/>
      </w:r>
      <w:r w:rsidRPr="0036545C">
        <w:rPr>
          <w:rFonts w:asciiTheme="minorHAnsi" w:hAnsiTheme="minorHAnsi" w:cstheme="minorHAnsi"/>
          <w:lang w:val="en-GB"/>
        </w:rPr>
        <w:t xml:space="preserve"> According to </w:t>
      </w:r>
      <w:r>
        <w:rPr>
          <w:rFonts w:asciiTheme="minorHAnsi" w:hAnsiTheme="minorHAnsi" w:cstheme="minorHAnsi"/>
          <w:lang w:val="en-GB"/>
        </w:rPr>
        <w:t xml:space="preserve">the </w:t>
      </w:r>
      <w:r w:rsidRPr="0036545C">
        <w:rPr>
          <w:rFonts w:asciiTheme="minorHAnsi" w:hAnsiTheme="minorHAnsi" w:cstheme="minorHAnsi"/>
          <w:lang w:val="en-GB"/>
        </w:rPr>
        <w:t xml:space="preserve">OECD, this is one of the reasons </w:t>
      </w:r>
      <w:r>
        <w:rPr>
          <w:rFonts w:asciiTheme="minorHAnsi" w:hAnsiTheme="minorHAnsi" w:cstheme="minorHAnsi"/>
          <w:lang w:val="en-GB"/>
        </w:rPr>
        <w:t>why</w:t>
      </w:r>
      <w:r w:rsidRPr="0036545C">
        <w:rPr>
          <w:rFonts w:asciiTheme="minorHAnsi" w:hAnsiTheme="minorHAnsi" w:cstheme="minorHAnsi"/>
          <w:lang w:val="en-GB"/>
        </w:rPr>
        <w:t xml:space="preserve"> law enforcement </w:t>
      </w:r>
      <w:r>
        <w:rPr>
          <w:rFonts w:asciiTheme="minorHAnsi" w:hAnsiTheme="minorHAnsi" w:cstheme="minorHAnsi"/>
          <w:lang w:val="en-GB"/>
        </w:rPr>
        <w:t xml:space="preserve">focuses mainly </w:t>
      </w:r>
      <w:r w:rsidRPr="0036545C">
        <w:rPr>
          <w:rFonts w:asciiTheme="minorHAnsi" w:hAnsiTheme="minorHAnsi" w:cstheme="minorHAnsi"/>
          <w:lang w:val="en-GB"/>
        </w:rPr>
        <w:t xml:space="preserve">on small or petty corruption cases, but not </w:t>
      </w:r>
      <w:r>
        <w:rPr>
          <w:rFonts w:asciiTheme="minorHAnsi" w:hAnsiTheme="minorHAnsi" w:cstheme="minorHAnsi"/>
          <w:lang w:val="en-GB"/>
        </w:rPr>
        <w:t xml:space="preserve">on </w:t>
      </w:r>
      <w:r w:rsidRPr="0036545C">
        <w:rPr>
          <w:rFonts w:asciiTheme="minorHAnsi" w:hAnsiTheme="minorHAnsi" w:cstheme="minorHAnsi"/>
          <w:lang w:val="en-GB"/>
        </w:rPr>
        <w:t xml:space="preserve">grand and high-level corruption cases. Despite </w:t>
      </w:r>
      <w:r>
        <w:rPr>
          <w:rFonts w:asciiTheme="minorHAnsi" w:hAnsiTheme="minorHAnsi" w:cstheme="minorHAnsi"/>
          <w:lang w:val="en-GB"/>
        </w:rPr>
        <w:t xml:space="preserve">the </w:t>
      </w:r>
      <w:r w:rsidRPr="0036545C">
        <w:rPr>
          <w:rFonts w:asciiTheme="minorHAnsi" w:hAnsiTheme="minorHAnsi" w:cstheme="minorHAnsi"/>
          <w:lang w:val="en-GB"/>
        </w:rPr>
        <w:t>high level of corruption in Tajikistan, there are very few examples of detection of corruption among high-level public officials, judges and prosecutors.</w:t>
      </w:r>
      <w:r>
        <w:rPr>
          <w:rStyle w:val="FootnoteReference"/>
          <w:rFonts w:asciiTheme="minorHAnsi" w:hAnsiTheme="minorHAnsi" w:cstheme="minorHAnsi"/>
          <w:lang w:val="en-GB"/>
        </w:rPr>
        <w:footnoteReference w:id="12"/>
      </w:r>
      <w:r w:rsidRPr="0036545C">
        <w:rPr>
          <w:rFonts w:asciiTheme="minorHAnsi" w:hAnsiTheme="minorHAnsi" w:cstheme="minorHAnsi"/>
          <w:lang w:val="en-GB"/>
        </w:rPr>
        <w:t xml:space="preserve"> </w:t>
      </w:r>
      <w:r>
        <w:rPr>
          <w:rFonts w:asciiTheme="minorHAnsi" w:hAnsiTheme="minorHAnsi" w:cstheme="minorHAnsi"/>
          <w:lang w:val="en-GB"/>
        </w:rPr>
        <w:t>Criminal</w:t>
      </w:r>
      <w:r w:rsidRPr="0036545C">
        <w:rPr>
          <w:rFonts w:asciiTheme="minorHAnsi" w:hAnsiTheme="minorHAnsi" w:cstheme="minorHAnsi"/>
        </w:rPr>
        <w:t xml:space="preserve"> </w:t>
      </w:r>
      <w:r>
        <w:rPr>
          <w:rFonts w:asciiTheme="minorHAnsi" w:hAnsiTheme="minorHAnsi" w:cstheme="minorHAnsi"/>
          <w:lang w:val="en-GB"/>
        </w:rPr>
        <w:t>statistics</w:t>
      </w:r>
      <w:r w:rsidRPr="0036545C">
        <w:rPr>
          <w:rFonts w:asciiTheme="minorHAnsi" w:hAnsiTheme="minorHAnsi" w:cstheme="minorHAnsi"/>
        </w:rPr>
        <w:t xml:space="preserve"> </w:t>
      </w:r>
      <w:r>
        <w:rPr>
          <w:rFonts w:asciiTheme="minorHAnsi" w:hAnsiTheme="minorHAnsi" w:cstheme="minorHAnsi"/>
          <w:lang w:val="en-GB"/>
        </w:rPr>
        <w:t>on</w:t>
      </w:r>
      <w:r w:rsidRPr="0036545C">
        <w:rPr>
          <w:rFonts w:asciiTheme="minorHAnsi" w:hAnsiTheme="minorHAnsi" w:cstheme="minorHAnsi"/>
        </w:rPr>
        <w:t xml:space="preserve"> </w:t>
      </w:r>
      <w:r>
        <w:rPr>
          <w:rFonts w:asciiTheme="minorHAnsi" w:hAnsiTheme="minorHAnsi" w:cstheme="minorHAnsi"/>
          <w:lang w:val="en-GB"/>
        </w:rPr>
        <w:t>corruption</w:t>
      </w:r>
      <w:r w:rsidRPr="0036545C">
        <w:rPr>
          <w:rFonts w:asciiTheme="minorHAnsi" w:hAnsiTheme="minorHAnsi" w:cstheme="minorHAnsi"/>
        </w:rPr>
        <w:t xml:space="preserve"> </w:t>
      </w:r>
      <w:r>
        <w:rPr>
          <w:rFonts w:asciiTheme="minorHAnsi" w:hAnsiTheme="minorHAnsi" w:cstheme="minorHAnsi"/>
          <w:lang w:val="en-GB"/>
        </w:rPr>
        <w:t>cases</w:t>
      </w:r>
      <w:r w:rsidRPr="0036545C">
        <w:rPr>
          <w:rFonts w:asciiTheme="minorHAnsi" w:hAnsiTheme="minorHAnsi" w:cstheme="minorHAnsi"/>
        </w:rPr>
        <w:t xml:space="preserve"> </w:t>
      </w:r>
      <w:r>
        <w:rPr>
          <w:rFonts w:asciiTheme="minorHAnsi" w:hAnsiTheme="minorHAnsi" w:cstheme="minorHAnsi"/>
          <w:lang w:val="en-GB"/>
        </w:rPr>
        <w:t>are not published in Tajikistan. Occasional</w:t>
      </w:r>
      <w:r w:rsidRPr="0036545C">
        <w:rPr>
          <w:rFonts w:asciiTheme="minorHAnsi" w:hAnsiTheme="minorHAnsi" w:cstheme="minorHAnsi"/>
        </w:rPr>
        <w:t xml:space="preserve"> </w:t>
      </w:r>
      <w:r>
        <w:rPr>
          <w:rFonts w:asciiTheme="minorHAnsi" w:hAnsiTheme="minorHAnsi" w:cstheme="minorHAnsi"/>
          <w:lang w:val="en-GB"/>
        </w:rPr>
        <w:t>reports</w:t>
      </w:r>
      <w:r w:rsidRPr="0036545C">
        <w:rPr>
          <w:rFonts w:asciiTheme="minorHAnsi" w:hAnsiTheme="minorHAnsi" w:cstheme="minorHAnsi"/>
        </w:rPr>
        <w:t xml:space="preserve"> </w:t>
      </w:r>
      <w:r>
        <w:rPr>
          <w:rFonts w:asciiTheme="minorHAnsi" w:hAnsiTheme="minorHAnsi" w:cstheme="minorHAnsi"/>
          <w:lang w:val="en-GB"/>
        </w:rPr>
        <w:t>about</w:t>
      </w:r>
      <w:r w:rsidRPr="0036545C">
        <w:rPr>
          <w:rFonts w:asciiTheme="minorHAnsi" w:hAnsiTheme="minorHAnsi" w:cstheme="minorHAnsi"/>
        </w:rPr>
        <w:t xml:space="preserve"> </w:t>
      </w:r>
      <w:r>
        <w:rPr>
          <w:rFonts w:asciiTheme="minorHAnsi" w:hAnsiTheme="minorHAnsi" w:cstheme="minorHAnsi"/>
          <w:lang w:val="en-GB"/>
        </w:rPr>
        <w:t>punishments of officials appear in media reports in Tajikistan.</w:t>
      </w:r>
      <w:r>
        <w:rPr>
          <w:rStyle w:val="FootnoteReference"/>
          <w:rFonts w:asciiTheme="minorHAnsi" w:hAnsiTheme="minorHAnsi" w:cstheme="minorHAnsi"/>
          <w:lang w:val="en-GB"/>
        </w:rPr>
        <w:footnoteReference w:id="13"/>
      </w:r>
      <w:r>
        <w:rPr>
          <w:rFonts w:asciiTheme="minorHAnsi" w:hAnsiTheme="minorHAnsi" w:cstheme="minorHAnsi"/>
          <w:lang w:val="en-GB"/>
        </w:rPr>
        <w:t xml:space="preserve"> </w:t>
      </w:r>
    </w:p>
    <w:p w14:paraId="2446B7F1" w14:textId="77777777" w:rsidR="00B53024" w:rsidRDefault="00B53024">
      <w:pPr>
        <w:spacing w:after="0" w:line="240" w:lineRule="auto"/>
        <w:rPr>
          <w:b/>
          <w:sz w:val="28"/>
          <w:szCs w:val="28"/>
          <w:u w:val="single"/>
          <w:lang w:val="en-GB"/>
        </w:rPr>
      </w:pPr>
      <w:r>
        <w:rPr>
          <w:b/>
          <w:sz w:val="28"/>
          <w:szCs w:val="28"/>
          <w:u w:val="single"/>
          <w:lang w:val="en-GB"/>
        </w:rPr>
        <w:br w:type="page"/>
      </w:r>
    </w:p>
    <w:p w14:paraId="65C4222B" w14:textId="28B78A70" w:rsidR="002E74FA" w:rsidRPr="001A589F" w:rsidRDefault="00BD0519" w:rsidP="001A589F">
      <w:pPr>
        <w:pStyle w:val="LightGrid-Accent31"/>
        <w:numPr>
          <w:ilvl w:val="1"/>
          <w:numId w:val="2"/>
        </w:numPr>
        <w:spacing w:after="120" w:line="240" w:lineRule="auto"/>
        <w:ind w:left="426"/>
        <w:contextualSpacing w:val="0"/>
        <w:jc w:val="both"/>
        <w:rPr>
          <w:b/>
          <w:sz w:val="28"/>
          <w:szCs w:val="28"/>
          <w:u w:val="single"/>
          <w:lang w:val="en-GB"/>
        </w:rPr>
      </w:pPr>
      <w:r w:rsidRPr="00BD0519">
        <w:rPr>
          <w:b/>
          <w:sz w:val="28"/>
          <w:szCs w:val="28"/>
          <w:u w:val="single"/>
          <w:lang w:val="en-GB"/>
        </w:rPr>
        <w:lastRenderedPageBreak/>
        <w:t xml:space="preserve">Right to a fair trial and independence of the judiciary (art. 14) </w:t>
      </w:r>
    </w:p>
    <w:p w14:paraId="7DB0CD82" w14:textId="1C8372FE" w:rsidR="00BD0519" w:rsidRPr="00BE7654" w:rsidRDefault="00DA7023" w:rsidP="00DA7023">
      <w:pPr>
        <w:pStyle w:val="LightGrid-Accent31"/>
        <w:pBdr>
          <w:top w:val="single" w:sz="4" w:space="1" w:color="auto"/>
          <w:left w:val="single" w:sz="4" w:space="1" w:color="auto"/>
          <w:bottom w:val="single" w:sz="4" w:space="1" w:color="auto"/>
          <w:right w:val="single" w:sz="4" w:space="4" w:color="auto"/>
        </w:pBdr>
        <w:spacing w:after="120" w:line="240" w:lineRule="auto"/>
        <w:ind w:left="0"/>
        <w:contextualSpacing w:val="0"/>
        <w:jc w:val="both"/>
        <w:rPr>
          <w:rStyle w:val="hps"/>
          <w:rFonts w:asciiTheme="majorHAnsi" w:hAnsiTheme="majorHAnsi"/>
          <w:i/>
          <w:sz w:val="18"/>
          <w:szCs w:val="18"/>
          <w:lang w:val="en-GB"/>
        </w:rPr>
      </w:pPr>
      <w:r w:rsidRPr="00BE7654">
        <w:rPr>
          <w:b/>
          <w:color w:val="000000"/>
          <w:u w:val="single"/>
          <w:lang w:val="en-GB"/>
        </w:rPr>
        <w:t>Issue 16</w:t>
      </w:r>
      <w:r w:rsidRPr="00BE7654">
        <w:rPr>
          <w:color w:val="000000"/>
          <w:lang w:val="en-GB"/>
        </w:rPr>
        <w:t>:</w:t>
      </w:r>
      <w:r w:rsidR="00BD0519">
        <w:rPr>
          <w:color w:val="000000"/>
          <w:lang w:val="en-GB"/>
        </w:rPr>
        <w:t xml:space="preserve"> </w:t>
      </w:r>
      <w:r w:rsidR="00BD0519" w:rsidRPr="00BD0519">
        <w:rPr>
          <w:rFonts w:asciiTheme="majorHAnsi" w:hAnsiTheme="majorHAnsi"/>
          <w:i/>
          <w:sz w:val="18"/>
          <w:szCs w:val="18"/>
          <w:lang w:val="en-GB"/>
        </w:rPr>
        <w:t>In connection with the previous concluding observations (para. 18), please report on: (a) the impact of the Judicial Reform Programme for the period between 2015 and 2017 and of the constitutional amendments of 22 May 2016 on guaranteeing, both in law and in practice, the full independence, competence and tenure of judges, and provide information on the current procedures and criteria for the selection, appointment, suspension and removal of judges; (b) the steps to eradicate corruption in the judiciary and to ensure adequate remuneration for judges; (c) the measures taken to reduce the excessive powers of the Office of the Prosecutor General; and (d) the progress achieved in providing free and accessible legal assistance to indigent persons. Please also respond to persistent reports of harassment, intimidation and pressure on lawyers representing defendants in politically sensitive cases or cases related to national security and counter-terrorism, including harassment of their families and colleagues, arbitrary arrest and detention, prosecution on national security-related or politically motivated charges and often conviction with long prison sentences following unfair trials, such as in the case of human rights lawyers Buzurgmekhr Yorov, Nuriddin Makhkamov, Shukhrat Kudratov, Jamshed Yorov and Muazzamakhon Kadirova.</w:t>
      </w:r>
    </w:p>
    <w:p w14:paraId="7952D1E5" w14:textId="77777777" w:rsidR="00DA7023" w:rsidRPr="00424376" w:rsidRDefault="00DA7023" w:rsidP="00DA7023">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130E46E7" w14:textId="2B1EB5F4" w:rsidR="00535D8B" w:rsidRPr="00535D8B" w:rsidRDefault="00535D8B" w:rsidP="00535D8B">
      <w:pPr>
        <w:pStyle w:val="ListParagraph"/>
        <w:numPr>
          <w:ilvl w:val="0"/>
          <w:numId w:val="35"/>
        </w:numPr>
        <w:shd w:val="clear" w:color="auto" w:fill="FFFFFF"/>
        <w:jc w:val="both"/>
        <w:rPr>
          <w:rFonts w:asciiTheme="minorHAnsi" w:hAnsiTheme="minorHAnsi" w:cstheme="minorHAnsi"/>
          <w:b/>
          <w:color w:val="222222"/>
        </w:rPr>
      </w:pPr>
      <w:r w:rsidRPr="00535D8B">
        <w:rPr>
          <w:rFonts w:asciiTheme="minorHAnsi" w:hAnsiTheme="minorHAnsi" w:cstheme="minorHAnsi"/>
          <w:b/>
          <w:color w:val="222222"/>
        </w:rPr>
        <w:t>Impact of Judicial Reform Programme for 2015-2017 on full independence of judges and</w:t>
      </w:r>
      <w:r w:rsidRPr="00535D8B">
        <w:rPr>
          <w:rFonts w:asciiTheme="minorHAnsi" w:hAnsiTheme="minorHAnsi" w:cstheme="minorHAnsi"/>
          <w:b/>
        </w:rPr>
        <w:t xml:space="preserve"> current procedures and criteria for the selection, appointment, suspension and removal of judges</w:t>
      </w:r>
    </w:p>
    <w:p w14:paraId="3E5FFE65" w14:textId="4259040D" w:rsidR="00535D8B" w:rsidRPr="00535D8B" w:rsidRDefault="00535D8B" w:rsidP="00535D8B">
      <w:pPr>
        <w:shd w:val="clear" w:color="auto" w:fill="FFFFFF"/>
        <w:jc w:val="both"/>
        <w:rPr>
          <w:rFonts w:asciiTheme="minorHAnsi" w:hAnsiTheme="minorHAnsi" w:cstheme="minorHAnsi"/>
          <w:lang w:val="en-GB"/>
        </w:rPr>
      </w:pPr>
      <w:r w:rsidRPr="0036524B">
        <w:rPr>
          <w:rFonts w:asciiTheme="minorHAnsi" w:hAnsiTheme="minorHAnsi" w:cstheme="minorHAnsi"/>
          <w:color w:val="222222"/>
        </w:rPr>
        <w:t xml:space="preserve">The </w:t>
      </w:r>
      <w:r w:rsidRPr="00253BCA">
        <w:rPr>
          <w:rFonts w:asciiTheme="minorHAnsi" w:hAnsiTheme="minorHAnsi" w:cstheme="minorHAnsi"/>
          <w:b/>
          <w:color w:val="222222"/>
        </w:rPr>
        <w:t>Judicial Reform Programme</w:t>
      </w:r>
      <w:r w:rsidRPr="0036524B">
        <w:rPr>
          <w:rFonts w:asciiTheme="minorHAnsi" w:hAnsiTheme="minorHAnsi" w:cstheme="minorHAnsi"/>
          <w:color w:val="222222"/>
        </w:rPr>
        <w:t xml:space="preserve"> (JRP) for 2015-2017 is the third phase of the reform. Previous reform programmes covered the period of 2007-2010 and 2011-2013. The JRP for 2015-2017 </w:t>
      </w:r>
      <w:r>
        <w:rPr>
          <w:rFonts w:asciiTheme="minorHAnsi" w:hAnsiTheme="minorHAnsi" w:cstheme="minorHAnsi"/>
          <w:color w:val="222222"/>
        </w:rPr>
        <w:t xml:space="preserve">envisaged </w:t>
      </w:r>
      <w:r w:rsidRPr="0036524B">
        <w:rPr>
          <w:rFonts w:asciiTheme="minorHAnsi" w:hAnsiTheme="minorHAnsi" w:cstheme="minorHAnsi"/>
          <w:color w:val="222222"/>
        </w:rPr>
        <w:t xml:space="preserve">several areas to be </w:t>
      </w:r>
      <w:r>
        <w:rPr>
          <w:rFonts w:asciiTheme="minorHAnsi" w:hAnsiTheme="minorHAnsi" w:cstheme="minorHAnsi"/>
          <w:color w:val="222222"/>
        </w:rPr>
        <w:t>reformed,</w:t>
      </w:r>
      <w:r w:rsidRPr="0036524B">
        <w:rPr>
          <w:rFonts w:asciiTheme="minorHAnsi" w:hAnsiTheme="minorHAnsi" w:cstheme="minorHAnsi"/>
          <w:color w:val="222222"/>
        </w:rPr>
        <w:t xml:space="preserve"> including procedural legislation; improvement of </w:t>
      </w:r>
      <w:r>
        <w:rPr>
          <w:rFonts w:asciiTheme="minorHAnsi" w:hAnsiTheme="minorHAnsi" w:cstheme="minorHAnsi"/>
          <w:color w:val="222222"/>
        </w:rPr>
        <w:t xml:space="preserve">the </w:t>
      </w:r>
      <w:r w:rsidRPr="0036524B">
        <w:rPr>
          <w:rFonts w:asciiTheme="minorHAnsi" w:hAnsiTheme="minorHAnsi" w:cstheme="minorHAnsi"/>
          <w:color w:val="222222"/>
        </w:rPr>
        <w:t xml:space="preserve"> of the Supreme Court and the Supreme Economic Court; juvenile justice; execution of judicial decisions; </w:t>
      </w:r>
      <w:r w:rsidRPr="0036524B">
        <w:rPr>
          <w:rFonts w:asciiTheme="minorHAnsi" w:hAnsiTheme="minorHAnsi" w:cstheme="minorHAnsi"/>
          <w:lang w:val="en-GB"/>
        </w:rPr>
        <w:t>independent expertise bodies; free legal aid; social protection of judges and staff of offices of courts</w:t>
      </w:r>
      <w:r>
        <w:rPr>
          <w:rFonts w:asciiTheme="minorHAnsi" w:hAnsiTheme="minorHAnsi" w:cstheme="minorHAnsi"/>
          <w:lang w:val="en-GB"/>
        </w:rPr>
        <w:t>;</w:t>
      </w:r>
      <w:r w:rsidRPr="0036524B">
        <w:rPr>
          <w:rFonts w:asciiTheme="minorHAnsi" w:hAnsiTheme="minorHAnsi" w:cstheme="minorHAnsi"/>
          <w:lang w:val="en-GB"/>
        </w:rPr>
        <w:t xml:space="preserve"> improvement of material and technical operations of courts. Thus, the JRP for 2015-2017 did not </w:t>
      </w:r>
      <w:r>
        <w:rPr>
          <w:rFonts w:asciiTheme="minorHAnsi" w:hAnsiTheme="minorHAnsi" w:cstheme="minorHAnsi"/>
          <w:lang w:val="en-GB"/>
        </w:rPr>
        <w:t>articulate</w:t>
      </w:r>
      <w:r w:rsidRPr="0036524B">
        <w:rPr>
          <w:rFonts w:asciiTheme="minorHAnsi" w:hAnsiTheme="minorHAnsi" w:cstheme="minorHAnsi"/>
          <w:lang w:val="en-GB"/>
        </w:rPr>
        <w:t xml:space="preserve"> directly activities aimed at ensuring full independence of judges. The JRP for 2015-2017 was supported by </w:t>
      </w:r>
      <w:r>
        <w:rPr>
          <w:rFonts w:asciiTheme="minorHAnsi" w:hAnsiTheme="minorHAnsi" w:cstheme="minorHAnsi"/>
          <w:lang w:val="en-GB"/>
        </w:rPr>
        <w:t xml:space="preserve">an </w:t>
      </w:r>
      <w:r w:rsidRPr="0036524B">
        <w:rPr>
          <w:rFonts w:asciiTheme="minorHAnsi" w:hAnsiTheme="minorHAnsi" w:cstheme="minorHAnsi"/>
          <w:lang w:val="en-GB"/>
        </w:rPr>
        <w:t>Action Plan</w:t>
      </w:r>
      <w:r>
        <w:rPr>
          <w:rFonts w:asciiTheme="minorHAnsi" w:hAnsiTheme="minorHAnsi" w:cstheme="minorHAnsi"/>
          <w:lang w:val="en-GB"/>
        </w:rPr>
        <w:t>. It</w:t>
      </w:r>
      <w:r w:rsidRPr="0036524B">
        <w:rPr>
          <w:rFonts w:asciiTheme="minorHAnsi" w:hAnsiTheme="minorHAnsi" w:cstheme="minorHAnsi"/>
          <w:lang w:val="en-GB"/>
        </w:rPr>
        <w:t xml:space="preserve"> established thirteen concrete actions to be implemented and period of implementation. However, it failed to identify indicators of progress and measuring impact of JPR for 2015-2017. </w:t>
      </w:r>
    </w:p>
    <w:p w14:paraId="7609B801" w14:textId="6BFD3F5C" w:rsidR="00535D8B" w:rsidRDefault="00535D8B" w:rsidP="00535D8B">
      <w:pPr>
        <w:shd w:val="clear" w:color="auto" w:fill="FFFFFF"/>
        <w:jc w:val="both"/>
        <w:rPr>
          <w:rFonts w:asciiTheme="minorHAnsi" w:hAnsiTheme="minorHAnsi" w:cstheme="minorHAnsi"/>
          <w:color w:val="222222"/>
        </w:rPr>
      </w:pPr>
      <w:r w:rsidRPr="0036524B">
        <w:rPr>
          <w:rFonts w:asciiTheme="minorHAnsi" w:hAnsiTheme="minorHAnsi" w:cstheme="minorHAnsi"/>
        </w:rPr>
        <w:t xml:space="preserve">Upon amendments to the Constitution of Tajikistan as a result of referenda, the </w:t>
      </w:r>
      <w:r w:rsidRPr="00253BCA">
        <w:rPr>
          <w:rFonts w:asciiTheme="minorHAnsi" w:hAnsiTheme="minorHAnsi" w:cstheme="minorHAnsi"/>
          <w:b/>
        </w:rPr>
        <w:t>Council of Justice was dissolved</w:t>
      </w:r>
      <w:r w:rsidRPr="0036524B">
        <w:rPr>
          <w:rFonts w:asciiTheme="minorHAnsi" w:hAnsiTheme="minorHAnsi" w:cstheme="minorHAnsi"/>
        </w:rPr>
        <w:t xml:space="preserve"> in 2016. Its functions were assigned to the Supreme Court of Tajikistan and </w:t>
      </w:r>
      <w:r>
        <w:rPr>
          <w:rFonts w:asciiTheme="minorHAnsi" w:hAnsiTheme="minorHAnsi" w:cstheme="minorHAnsi"/>
        </w:rPr>
        <w:t xml:space="preserve">the </w:t>
      </w:r>
      <w:r w:rsidRPr="0036524B">
        <w:rPr>
          <w:rFonts w:asciiTheme="minorHAnsi" w:hAnsiTheme="minorHAnsi" w:cstheme="minorHAnsi"/>
        </w:rPr>
        <w:t xml:space="preserve">Supreme Economic Court of Tajikistan. </w:t>
      </w:r>
      <w:r w:rsidRPr="0036524B">
        <w:rPr>
          <w:rFonts w:asciiTheme="minorHAnsi" w:hAnsiTheme="minorHAnsi" w:cstheme="minorHAnsi"/>
          <w:color w:val="222222"/>
        </w:rPr>
        <w:t xml:space="preserve">Despite dissolution of the Council of Justice, the executive and legislative powers </w:t>
      </w:r>
      <w:r>
        <w:rPr>
          <w:rFonts w:asciiTheme="minorHAnsi" w:hAnsiTheme="minorHAnsi" w:cstheme="minorHAnsi"/>
          <w:color w:val="222222"/>
        </w:rPr>
        <w:t xml:space="preserve">still </w:t>
      </w:r>
      <w:r w:rsidRPr="0036524B">
        <w:rPr>
          <w:rFonts w:asciiTheme="minorHAnsi" w:hAnsiTheme="minorHAnsi" w:cstheme="minorHAnsi"/>
          <w:color w:val="222222"/>
        </w:rPr>
        <w:t xml:space="preserve">execute excessive control over </w:t>
      </w:r>
      <w:r>
        <w:rPr>
          <w:rFonts w:asciiTheme="minorHAnsi" w:hAnsiTheme="minorHAnsi" w:cstheme="minorHAnsi"/>
          <w:color w:val="222222"/>
        </w:rPr>
        <w:t xml:space="preserve">the </w:t>
      </w:r>
      <w:r w:rsidRPr="0036524B">
        <w:rPr>
          <w:rFonts w:asciiTheme="minorHAnsi" w:hAnsiTheme="minorHAnsi" w:cstheme="minorHAnsi"/>
          <w:color w:val="222222"/>
        </w:rPr>
        <w:t xml:space="preserve">judiciary in Tajikistan. Thus, the principle of separation of powers established by the Constitution is not respected. It impedes </w:t>
      </w:r>
      <w:r>
        <w:rPr>
          <w:rFonts w:asciiTheme="minorHAnsi" w:hAnsiTheme="minorHAnsi" w:cstheme="minorHAnsi"/>
          <w:color w:val="222222"/>
        </w:rPr>
        <w:t xml:space="preserve">the </w:t>
      </w:r>
      <w:r w:rsidRPr="0036524B">
        <w:rPr>
          <w:rFonts w:asciiTheme="minorHAnsi" w:hAnsiTheme="minorHAnsi" w:cstheme="minorHAnsi"/>
          <w:color w:val="222222"/>
        </w:rPr>
        <w:t xml:space="preserve">achievement of full independence of </w:t>
      </w:r>
      <w:r>
        <w:rPr>
          <w:rFonts w:asciiTheme="minorHAnsi" w:hAnsiTheme="minorHAnsi" w:cstheme="minorHAnsi"/>
          <w:color w:val="222222"/>
        </w:rPr>
        <w:t xml:space="preserve">the </w:t>
      </w:r>
      <w:r w:rsidRPr="0036524B">
        <w:rPr>
          <w:rFonts w:asciiTheme="minorHAnsi" w:hAnsiTheme="minorHAnsi" w:cstheme="minorHAnsi"/>
          <w:color w:val="222222"/>
        </w:rPr>
        <w:t xml:space="preserve">judiciary in Tajikistan.  </w:t>
      </w:r>
    </w:p>
    <w:p w14:paraId="04155D4A" w14:textId="6D74A80D" w:rsidR="00535D8B" w:rsidRPr="0036524B" w:rsidRDefault="00535D8B" w:rsidP="00535D8B">
      <w:pPr>
        <w:shd w:val="clear" w:color="auto" w:fill="FFFFFF"/>
        <w:jc w:val="both"/>
        <w:rPr>
          <w:rFonts w:asciiTheme="minorHAnsi" w:hAnsiTheme="minorHAnsi" w:cstheme="minorHAnsi"/>
          <w:color w:val="222222"/>
        </w:rPr>
      </w:pPr>
      <w:r w:rsidRPr="0036524B">
        <w:rPr>
          <w:rFonts w:asciiTheme="minorHAnsi" w:hAnsiTheme="minorHAnsi" w:cstheme="minorHAnsi"/>
          <w:color w:val="222222"/>
        </w:rPr>
        <w:t xml:space="preserve">According to article 14 of the Constitutional Law of Tajikistan “On Courts” (2014), judges of the Supreme Court and </w:t>
      </w:r>
      <w:r>
        <w:rPr>
          <w:rFonts w:asciiTheme="minorHAnsi" w:hAnsiTheme="minorHAnsi" w:cstheme="minorHAnsi"/>
          <w:color w:val="222222"/>
        </w:rPr>
        <w:t xml:space="preserve">the </w:t>
      </w:r>
      <w:r w:rsidRPr="0036524B">
        <w:rPr>
          <w:rFonts w:asciiTheme="minorHAnsi" w:hAnsiTheme="minorHAnsi" w:cstheme="minorHAnsi"/>
          <w:color w:val="222222"/>
        </w:rPr>
        <w:t xml:space="preserve">Supreme Economic Court are elected by the </w:t>
      </w:r>
      <w:r w:rsidRPr="0036524B">
        <w:rPr>
          <w:rFonts w:asciiTheme="minorHAnsi" w:hAnsiTheme="minorHAnsi" w:cstheme="minorHAnsi"/>
          <w:i/>
          <w:color w:val="222222"/>
        </w:rPr>
        <w:t>Majlisi milli</w:t>
      </w:r>
      <w:r w:rsidRPr="0036524B">
        <w:rPr>
          <w:rFonts w:asciiTheme="minorHAnsi" w:hAnsiTheme="minorHAnsi" w:cstheme="minorHAnsi"/>
          <w:color w:val="222222"/>
        </w:rPr>
        <w:t xml:space="preserve"> of </w:t>
      </w:r>
      <w:r w:rsidRPr="0036524B">
        <w:rPr>
          <w:rFonts w:asciiTheme="minorHAnsi" w:hAnsiTheme="minorHAnsi" w:cstheme="minorHAnsi"/>
          <w:i/>
          <w:color w:val="222222"/>
        </w:rPr>
        <w:t>Majlisi Oli</w:t>
      </w:r>
      <w:r w:rsidRPr="0036524B">
        <w:rPr>
          <w:rFonts w:asciiTheme="minorHAnsi" w:hAnsiTheme="minorHAnsi" w:cstheme="minorHAnsi"/>
          <w:color w:val="222222"/>
        </w:rPr>
        <w:t xml:space="preserve"> of Tajikistan (Upper Chamber of the Tajikistan Parliament) upon recommendation of the President of Tajikistan. Judges of provincial, district courts are </w:t>
      </w:r>
      <w:r w:rsidRPr="00253BCA">
        <w:rPr>
          <w:rFonts w:asciiTheme="minorHAnsi" w:hAnsiTheme="minorHAnsi" w:cstheme="minorHAnsi"/>
          <w:b/>
          <w:color w:val="222222"/>
        </w:rPr>
        <w:t>appointed by the President</w:t>
      </w:r>
      <w:r w:rsidRPr="0036524B">
        <w:rPr>
          <w:rFonts w:asciiTheme="minorHAnsi" w:hAnsiTheme="minorHAnsi" w:cstheme="minorHAnsi"/>
          <w:color w:val="222222"/>
        </w:rPr>
        <w:t xml:space="preserve"> of Tajikistan upon recommendation of the Chairperson of the Supreme Court. In this respect, the President of Tajikistan</w:t>
      </w:r>
      <w:r w:rsidRPr="0036524B">
        <w:rPr>
          <w:rFonts w:asciiTheme="minorHAnsi" w:hAnsiTheme="minorHAnsi" w:cstheme="minorHAnsi"/>
          <w:color w:val="222222"/>
          <w:lang w:val="en-GB"/>
        </w:rPr>
        <w:t xml:space="preserve"> defines </w:t>
      </w:r>
      <w:r>
        <w:rPr>
          <w:rFonts w:asciiTheme="minorHAnsi" w:hAnsiTheme="minorHAnsi" w:cstheme="minorHAnsi"/>
          <w:color w:val="222222"/>
          <w:lang w:val="en-GB"/>
        </w:rPr>
        <w:t xml:space="preserve">the </w:t>
      </w:r>
      <w:r w:rsidRPr="0036524B">
        <w:rPr>
          <w:rFonts w:asciiTheme="minorHAnsi" w:hAnsiTheme="minorHAnsi" w:cstheme="minorHAnsi"/>
          <w:color w:val="222222"/>
          <w:lang w:val="en-GB"/>
        </w:rPr>
        <w:t>composition of</w:t>
      </w:r>
      <w:r>
        <w:rPr>
          <w:rFonts w:asciiTheme="minorHAnsi" w:hAnsiTheme="minorHAnsi" w:cstheme="minorHAnsi"/>
          <w:color w:val="222222"/>
          <w:lang w:val="en-GB"/>
        </w:rPr>
        <w:t xml:space="preserve"> the</w:t>
      </w:r>
      <w:r w:rsidRPr="0036524B">
        <w:rPr>
          <w:rFonts w:asciiTheme="minorHAnsi" w:hAnsiTheme="minorHAnsi" w:cstheme="minorHAnsi"/>
          <w:color w:val="222222"/>
          <w:lang w:val="en-GB"/>
        </w:rPr>
        <w:t xml:space="preserve"> </w:t>
      </w:r>
      <w:r w:rsidRPr="0036524B">
        <w:rPr>
          <w:rFonts w:asciiTheme="minorHAnsi" w:hAnsiTheme="minorHAnsi" w:cstheme="minorHAnsi"/>
          <w:color w:val="222222"/>
        </w:rPr>
        <w:t>courts upon the recommendations of the Supreme Court</w:t>
      </w:r>
      <w:r>
        <w:rPr>
          <w:rFonts w:asciiTheme="minorHAnsi" w:hAnsiTheme="minorHAnsi" w:cstheme="minorHAnsi"/>
          <w:color w:val="222222"/>
        </w:rPr>
        <w:t>,</w:t>
      </w:r>
      <w:r w:rsidRPr="0036524B">
        <w:rPr>
          <w:rFonts w:asciiTheme="minorHAnsi" w:hAnsiTheme="minorHAnsi" w:cstheme="minorHAnsi"/>
          <w:color w:val="222222"/>
        </w:rPr>
        <w:t xml:space="preserve"> which is formed by the Parliament upon recommendation of the President. </w:t>
      </w:r>
      <w:r w:rsidRPr="0036524B">
        <w:rPr>
          <w:rFonts w:asciiTheme="minorHAnsi" w:hAnsiTheme="minorHAnsi" w:cstheme="minorHAnsi"/>
          <w:i/>
          <w:color w:val="222222"/>
        </w:rPr>
        <w:t>Majlisi namoyandagon</w:t>
      </w:r>
      <w:r w:rsidRPr="0036524B">
        <w:rPr>
          <w:rFonts w:asciiTheme="minorHAnsi" w:hAnsiTheme="minorHAnsi" w:cstheme="minorHAnsi"/>
          <w:color w:val="222222"/>
        </w:rPr>
        <w:t xml:space="preserve"> of </w:t>
      </w:r>
      <w:r w:rsidRPr="0036524B">
        <w:rPr>
          <w:rFonts w:asciiTheme="minorHAnsi" w:hAnsiTheme="minorHAnsi" w:cstheme="minorHAnsi"/>
          <w:i/>
          <w:color w:val="222222"/>
        </w:rPr>
        <w:t>Majlisi Oli</w:t>
      </w:r>
      <w:r w:rsidRPr="0036524B">
        <w:rPr>
          <w:rFonts w:asciiTheme="minorHAnsi" w:hAnsiTheme="minorHAnsi" w:cstheme="minorHAnsi"/>
          <w:color w:val="222222"/>
        </w:rPr>
        <w:t xml:space="preserve"> (</w:t>
      </w:r>
      <w:r>
        <w:rPr>
          <w:rFonts w:asciiTheme="minorHAnsi" w:hAnsiTheme="minorHAnsi" w:cstheme="minorHAnsi"/>
          <w:color w:val="222222"/>
        </w:rPr>
        <w:t xml:space="preserve">the </w:t>
      </w:r>
      <w:r w:rsidRPr="0036524B">
        <w:rPr>
          <w:rFonts w:asciiTheme="minorHAnsi" w:hAnsiTheme="minorHAnsi" w:cstheme="minorHAnsi"/>
          <w:color w:val="222222"/>
        </w:rPr>
        <w:t>Lower Chamber of the Tajikistan Parliament) establishes district and city courts across the territory of Tajikistan (article 80</w:t>
      </w:r>
      <w:r>
        <w:rPr>
          <w:rFonts w:asciiTheme="minorHAnsi" w:hAnsiTheme="minorHAnsi" w:cstheme="minorHAnsi"/>
          <w:color w:val="222222"/>
        </w:rPr>
        <w:t xml:space="preserve"> of that same law</w:t>
      </w:r>
      <w:r w:rsidRPr="0036524B">
        <w:rPr>
          <w:rFonts w:asciiTheme="minorHAnsi" w:hAnsiTheme="minorHAnsi" w:cstheme="minorHAnsi"/>
          <w:color w:val="222222"/>
        </w:rPr>
        <w:t xml:space="preserve">). </w:t>
      </w:r>
    </w:p>
    <w:p w14:paraId="59497529" w14:textId="2F5FEFD6" w:rsidR="00535D8B" w:rsidRPr="00535D8B" w:rsidRDefault="00535D8B" w:rsidP="00535D8B">
      <w:pPr>
        <w:shd w:val="clear" w:color="auto" w:fill="FFFFFF"/>
        <w:jc w:val="both"/>
        <w:rPr>
          <w:rFonts w:asciiTheme="minorHAnsi" w:hAnsiTheme="minorHAnsi" w:cstheme="minorHAnsi"/>
          <w:color w:val="222222"/>
        </w:rPr>
      </w:pPr>
      <w:r>
        <w:rPr>
          <w:rFonts w:asciiTheme="minorHAnsi" w:hAnsiTheme="minorHAnsi" w:cstheme="minorHAnsi"/>
          <w:color w:val="222222"/>
        </w:rPr>
        <w:t>The j</w:t>
      </w:r>
      <w:r w:rsidRPr="0036524B">
        <w:rPr>
          <w:rFonts w:asciiTheme="minorHAnsi" w:hAnsiTheme="minorHAnsi" w:cstheme="minorHAnsi"/>
          <w:color w:val="222222"/>
        </w:rPr>
        <w:t xml:space="preserve">udiciary also </w:t>
      </w:r>
      <w:r w:rsidRPr="00253BCA">
        <w:rPr>
          <w:rFonts w:asciiTheme="minorHAnsi" w:hAnsiTheme="minorHAnsi" w:cstheme="minorHAnsi"/>
          <w:b/>
          <w:color w:val="222222"/>
        </w:rPr>
        <w:t>lacks financial independence</w:t>
      </w:r>
      <w:r w:rsidRPr="0036524B">
        <w:rPr>
          <w:rFonts w:asciiTheme="minorHAnsi" w:hAnsiTheme="minorHAnsi" w:cstheme="minorHAnsi"/>
          <w:color w:val="222222"/>
        </w:rPr>
        <w:t>. Article 128 of the Constitutional Law establishes that funding for the Supreme Court, Supreme Economic Court, provincial, district and city courts</w:t>
      </w:r>
      <w:r>
        <w:rPr>
          <w:rFonts w:asciiTheme="minorHAnsi" w:hAnsiTheme="minorHAnsi" w:cstheme="minorHAnsi"/>
          <w:color w:val="222222"/>
        </w:rPr>
        <w:t xml:space="preserve"> and</w:t>
      </w:r>
      <w:r w:rsidRPr="0036524B">
        <w:rPr>
          <w:rFonts w:asciiTheme="minorHAnsi" w:hAnsiTheme="minorHAnsi" w:cstheme="minorHAnsi"/>
          <w:color w:val="222222"/>
        </w:rPr>
        <w:t xml:space="preserve"> military courts shall be approved by the Government of Tajikistan upon recommendations of the Chairperson of the Supreme Court and Supreme Economic Court respectively. Besides, salaries of </w:t>
      </w:r>
      <w:r w:rsidRPr="0036524B">
        <w:rPr>
          <w:rFonts w:asciiTheme="minorHAnsi" w:hAnsiTheme="minorHAnsi" w:cstheme="minorHAnsi"/>
          <w:color w:val="222222"/>
        </w:rPr>
        <w:lastRenderedPageBreak/>
        <w:t>Chairpersons of</w:t>
      </w:r>
      <w:r>
        <w:rPr>
          <w:rFonts w:asciiTheme="minorHAnsi" w:hAnsiTheme="minorHAnsi" w:cstheme="minorHAnsi"/>
          <w:color w:val="222222"/>
        </w:rPr>
        <w:t xml:space="preserve"> the</w:t>
      </w:r>
      <w:r w:rsidRPr="0036524B">
        <w:rPr>
          <w:rFonts w:asciiTheme="minorHAnsi" w:hAnsiTheme="minorHAnsi" w:cstheme="minorHAnsi"/>
          <w:color w:val="222222"/>
        </w:rPr>
        <w:t xml:space="preserve"> Supreme Court, </w:t>
      </w:r>
      <w:r>
        <w:rPr>
          <w:rFonts w:asciiTheme="minorHAnsi" w:hAnsiTheme="minorHAnsi" w:cstheme="minorHAnsi"/>
          <w:color w:val="222222"/>
        </w:rPr>
        <w:t xml:space="preserve">the </w:t>
      </w:r>
      <w:r w:rsidRPr="0036524B">
        <w:rPr>
          <w:rFonts w:asciiTheme="minorHAnsi" w:hAnsiTheme="minorHAnsi" w:cstheme="minorHAnsi"/>
          <w:color w:val="222222"/>
        </w:rPr>
        <w:t xml:space="preserve">Supreme Economic Court, </w:t>
      </w:r>
      <w:r>
        <w:rPr>
          <w:rFonts w:asciiTheme="minorHAnsi" w:hAnsiTheme="minorHAnsi" w:cstheme="minorHAnsi"/>
          <w:color w:val="222222"/>
        </w:rPr>
        <w:t xml:space="preserve">the </w:t>
      </w:r>
      <w:r w:rsidRPr="0036524B">
        <w:rPr>
          <w:rFonts w:asciiTheme="minorHAnsi" w:hAnsiTheme="minorHAnsi" w:cstheme="minorHAnsi"/>
          <w:color w:val="222222"/>
        </w:rPr>
        <w:t>provincial, district and city courts</w:t>
      </w:r>
      <w:r>
        <w:rPr>
          <w:rFonts w:asciiTheme="minorHAnsi" w:hAnsiTheme="minorHAnsi" w:cstheme="minorHAnsi"/>
          <w:color w:val="222222"/>
        </w:rPr>
        <w:t>,</w:t>
      </w:r>
      <w:r w:rsidRPr="0036524B">
        <w:rPr>
          <w:rFonts w:asciiTheme="minorHAnsi" w:hAnsiTheme="minorHAnsi" w:cstheme="minorHAnsi"/>
          <w:color w:val="222222"/>
        </w:rPr>
        <w:t xml:space="preserve"> military courts</w:t>
      </w:r>
      <w:r>
        <w:rPr>
          <w:rFonts w:asciiTheme="minorHAnsi" w:hAnsiTheme="minorHAnsi" w:cstheme="minorHAnsi"/>
          <w:color w:val="222222"/>
        </w:rPr>
        <w:t xml:space="preserve"> and</w:t>
      </w:r>
      <w:r w:rsidRPr="0036524B">
        <w:rPr>
          <w:rFonts w:asciiTheme="minorHAnsi" w:hAnsiTheme="minorHAnsi" w:cstheme="minorHAnsi"/>
          <w:color w:val="222222"/>
        </w:rPr>
        <w:t xml:space="preserve"> economic courts shall be established by the President of Tajikistan. </w:t>
      </w:r>
      <w:r>
        <w:rPr>
          <w:rFonts w:asciiTheme="minorHAnsi" w:hAnsiTheme="minorHAnsi" w:cstheme="minorHAnsi"/>
          <w:color w:val="222222"/>
        </w:rPr>
        <w:t>The r</w:t>
      </w:r>
      <w:r w:rsidRPr="0036524B">
        <w:rPr>
          <w:rFonts w:asciiTheme="minorHAnsi" w:hAnsiTheme="minorHAnsi" w:cstheme="minorHAnsi"/>
          <w:color w:val="222222"/>
        </w:rPr>
        <w:t>ates and procedure</w:t>
      </w:r>
      <w:r>
        <w:rPr>
          <w:rFonts w:asciiTheme="minorHAnsi" w:hAnsiTheme="minorHAnsi" w:cstheme="minorHAnsi"/>
          <w:color w:val="222222"/>
        </w:rPr>
        <w:t>s</w:t>
      </w:r>
      <w:r w:rsidRPr="0036524B">
        <w:rPr>
          <w:rFonts w:asciiTheme="minorHAnsi" w:hAnsiTheme="minorHAnsi" w:cstheme="minorHAnsi"/>
          <w:color w:val="222222"/>
        </w:rPr>
        <w:t xml:space="preserve"> of assigning increments to salaries (for qualification rank</w:t>
      </w:r>
      <w:r>
        <w:rPr>
          <w:rFonts w:asciiTheme="minorHAnsi" w:hAnsiTheme="minorHAnsi" w:cstheme="minorHAnsi"/>
          <w:color w:val="222222"/>
        </w:rPr>
        <w:t xml:space="preserve"> and</w:t>
      </w:r>
      <w:r w:rsidRPr="0036524B">
        <w:rPr>
          <w:rFonts w:asciiTheme="minorHAnsi" w:hAnsiTheme="minorHAnsi" w:cstheme="minorHAnsi"/>
          <w:color w:val="222222"/>
        </w:rPr>
        <w:t xml:space="preserve"> length of work in position of judge) </w:t>
      </w:r>
      <w:r>
        <w:rPr>
          <w:rFonts w:asciiTheme="minorHAnsi" w:hAnsiTheme="minorHAnsi" w:cstheme="minorHAnsi"/>
          <w:color w:val="222222"/>
        </w:rPr>
        <w:t>are being</w:t>
      </w:r>
      <w:r w:rsidRPr="0036524B">
        <w:rPr>
          <w:rFonts w:asciiTheme="minorHAnsi" w:hAnsiTheme="minorHAnsi" w:cstheme="minorHAnsi"/>
          <w:color w:val="222222"/>
        </w:rPr>
        <w:t xml:space="preserve"> defined by the President of Tajikistan. </w:t>
      </w:r>
    </w:p>
    <w:p w14:paraId="653B50AC" w14:textId="0E80BAFD" w:rsidR="00535D8B" w:rsidRPr="0036524B" w:rsidRDefault="00535D8B" w:rsidP="00535D8B">
      <w:pPr>
        <w:shd w:val="clear" w:color="auto" w:fill="FFFFFF"/>
        <w:jc w:val="both"/>
        <w:rPr>
          <w:rFonts w:asciiTheme="minorHAnsi" w:hAnsiTheme="minorHAnsi" w:cstheme="minorHAnsi"/>
          <w:lang w:val="en-GB" w:eastAsia="ru-RU"/>
        </w:rPr>
      </w:pPr>
      <w:r w:rsidRPr="0036524B">
        <w:rPr>
          <w:rFonts w:asciiTheme="minorHAnsi" w:hAnsiTheme="minorHAnsi" w:cstheme="minorHAnsi"/>
          <w:lang w:val="en-GB" w:eastAsia="ru-RU"/>
        </w:rPr>
        <w:t>Judges remain functionally dependent in</w:t>
      </w:r>
      <w:r>
        <w:rPr>
          <w:rFonts w:asciiTheme="minorHAnsi" w:hAnsiTheme="minorHAnsi" w:cstheme="minorHAnsi"/>
          <w:lang w:val="en-GB" w:eastAsia="ru-RU"/>
        </w:rPr>
        <w:t xml:space="preserve"> the</w:t>
      </w:r>
      <w:r w:rsidRPr="0036524B">
        <w:rPr>
          <w:rFonts w:asciiTheme="minorHAnsi" w:hAnsiTheme="minorHAnsi" w:cstheme="minorHAnsi"/>
          <w:lang w:val="en-GB" w:eastAsia="ru-RU"/>
        </w:rPr>
        <w:t xml:space="preserve"> administration of justice. Several provisions of the Constitutional Law “On Courts of </w:t>
      </w:r>
      <w:r>
        <w:rPr>
          <w:rFonts w:asciiTheme="minorHAnsi" w:hAnsiTheme="minorHAnsi" w:cstheme="minorHAnsi"/>
          <w:lang w:val="en-GB" w:eastAsia="ru-RU"/>
        </w:rPr>
        <w:t>Tajikistan</w:t>
      </w:r>
      <w:r w:rsidRPr="0036524B">
        <w:rPr>
          <w:rFonts w:asciiTheme="minorHAnsi" w:hAnsiTheme="minorHAnsi" w:cstheme="minorHAnsi"/>
          <w:lang w:val="en-GB" w:eastAsia="ru-RU"/>
        </w:rPr>
        <w:t xml:space="preserve">” establish several mechanisms of control of individual judges by </w:t>
      </w:r>
      <w:r>
        <w:rPr>
          <w:rFonts w:asciiTheme="minorHAnsi" w:hAnsiTheme="minorHAnsi" w:cstheme="minorHAnsi"/>
          <w:lang w:val="en-GB" w:eastAsia="ru-RU"/>
        </w:rPr>
        <w:t xml:space="preserve">the </w:t>
      </w:r>
      <w:r w:rsidRPr="0036524B">
        <w:rPr>
          <w:rFonts w:asciiTheme="minorHAnsi" w:hAnsiTheme="minorHAnsi" w:cstheme="minorHAnsi"/>
          <w:lang w:val="en-GB" w:eastAsia="ru-RU"/>
        </w:rPr>
        <w:t xml:space="preserve">Chairpersons of the courts. </w:t>
      </w:r>
      <w:r>
        <w:rPr>
          <w:rFonts w:asciiTheme="minorHAnsi" w:hAnsiTheme="minorHAnsi" w:cstheme="minorHAnsi"/>
          <w:lang w:val="en-GB" w:eastAsia="ru-RU"/>
        </w:rPr>
        <w:t xml:space="preserve">The </w:t>
      </w:r>
      <w:r w:rsidRPr="0036524B">
        <w:rPr>
          <w:rFonts w:asciiTheme="minorHAnsi" w:hAnsiTheme="minorHAnsi" w:cstheme="minorHAnsi"/>
          <w:lang w:val="en-GB" w:eastAsia="ru-RU"/>
        </w:rPr>
        <w:t xml:space="preserve">Chairpersons of courts continue to maintain control over </w:t>
      </w:r>
      <w:r>
        <w:rPr>
          <w:rFonts w:asciiTheme="minorHAnsi" w:hAnsiTheme="minorHAnsi" w:cstheme="minorHAnsi"/>
          <w:lang w:val="en-GB" w:eastAsia="ru-RU"/>
        </w:rPr>
        <w:t xml:space="preserve">the </w:t>
      </w:r>
      <w:r w:rsidRPr="00253BCA">
        <w:rPr>
          <w:rFonts w:asciiTheme="minorHAnsi" w:hAnsiTheme="minorHAnsi" w:cstheme="minorHAnsi"/>
          <w:b/>
          <w:lang w:val="en-GB" w:eastAsia="ru-RU"/>
        </w:rPr>
        <w:t>distribution of cases</w:t>
      </w:r>
      <w:r w:rsidRPr="0036524B">
        <w:rPr>
          <w:rFonts w:asciiTheme="minorHAnsi" w:hAnsiTheme="minorHAnsi" w:cstheme="minorHAnsi"/>
          <w:lang w:val="en-GB" w:eastAsia="ru-RU"/>
        </w:rPr>
        <w:t xml:space="preserve"> among judges. Articles 37, 57, 77 and 83 of the Constitutional Law authorise the Chairpersons of courts of all levels to approve </w:t>
      </w:r>
      <w:r>
        <w:rPr>
          <w:rFonts w:asciiTheme="minorHAnsi" w:hAnsiTheme="minorHAnsi" w:cstheme="minorHAnsi"/>
          <w:lang w:val="en-GB" w:eastAsia="ru-RU"/>
        </w:rPr>
        <w:t xml:space="preserve">the </w:t>
      </w:r>
      <w:r w:rsidRPr="0036524B">
        <w:rPr>
          <w:rFonts w:asciiTheme="minorHAnsi" w:hAnsiTheme="minorHAnsi" w:cstheme="minorHAnsi"/>
          <w:lang w:val="en-GB" w:eastAsia="ru-RU"/>
        </w:rPr>
        <w:t xml:space="preserve">procedure </w:t>
      </w:r>
      <w:r>
        <w:rPr>
          <w:rFonts w:asciiTheme="minorHAnsi" w:hAnsiTheme="minorHAnsi" w:cstheme="minorHAnsi"/>
          <w:lang w:val="en-GB" w:eastAsia="ru-RU"/>
        </w:rPr>
        <w:t>to distribute</w:t>
      </w:r>
      <w:r w:rsidRPr="0036524B">
        <w:rPr>
          <w:rFonts w:asciiTheme="minorHAnsi" w:hAnsiTheme="minorHAnsi" w:cstheme="minorHAnsi"/>
          <w:lang w:val="en-GB" w:eastAsia="ru-RU"/>
        </w:rPr>
        <w:t xml:space="preserve"> cases among judges of respective courts. Besides, chairpersons of the higher courts shall make decisions about transfer</w:t>
      </w:r>
      <w:r>
        <w:rPr>
          <w:rFonts w:asciiTheme="minorHAnsi" w:hAnsiTheme="minorHAnsi" w:cstheme="minorHAnsi"/>
          <w:lang w:val="en-GB" w:eastAsia="ru-RU"/>
        </w:rPr>
        <w:t>s</w:t>
      </w:r>
      <w:r w:rsidRPr="0036524B">
        <w:rPr>
          <w:rFonts w:asciiTheme="minorHAnsi" w:hAnsiTheme="minorHAnsi" w:cstheme="minorHAnsi"/>
          <w:lang w:val="en-GB" w:eastAsia="ru-RU"/>
        </w:rPr>
        <w:t xml:space="preserve"> of case</w:t>
      </w:r>
      <w:r>
        <w:rPr>
          <w:rFonts w:asciiTheme="minorHAnsi" w:hAnsiTheme="minorHAnsi" w:cstheme="minorHAnsi"/>
          <w:lang w:val="en-GB" w:eastAsia="ru-RU"/>
        </w:rPr>
        <w:t>s</w:t>
      </w:r>
      <w:r w:rsidRPr="0036524B">
        <w:rPr>
          <w:rFonts w:asciiTheme="minorHAnsi" w:hAnsiTheme="minorHAnsi" w:cstheme="minorHAnsi"/>
          <w:lang w:val="en-GB" w:eastAsia="ru-RU"/>
        </w:rPr>
        <w:t xml:space="preserve"> from one court to another. In this respect, chairpersons of courts are free to decide</w:t>
      </w:r>
      <w:r>
        <w:rPr>
          <w:rFonts w:asciiTheme="minorHAnsi" w:hAnsiTheme="minorHAnsi" w:cstheme="minorHAnsi"/>
          <w:lang w:val="en-GB" w:eastAsia="ru-RU"/>
        </w:rPr>
        <w:t xml:space="preserve"> about the</w:t>
      </w:r>
      <w:r w:rsidRPr="0036524B">
        <w:rPr>
          <w:rFonts w:asciiTheme="minorHAnsi" w:hAnsiTheme="minorHAnsi" w:cstheme="minorHAnsi"/>
          <w:lang w:val="en-GB" w:eastAsia="ru-RU"/>
        </w:rPr>
        <w:t xml:space="preserve"> distribution of cases. Absence of transparent procedure</w:t>
      </w:r>
      <w:r>
        <w:rPr>
          <w:rFonts w:asciiTheme="minorHAnsi" w:hAnsiTheme="minorHAnsi" w:cstheme="minorHAnsi"/>
          <w:lang w:val="en-GB" w:eastAsia="ru-RU"/>
        </w:rPr>
        <w:t>s regarding</w:t>
      </w:r>
      <w:r w:rsidRPr="0036524B">
        <w:rPr>
          <w:rFonts w:asciiTheme="minorHAnsi" w:hAnsiTheme="minorHAnsi" w:cstheme="minorHAnsi"/>
          <w:lang w:val="en-GB" w:eastAsia="ru-RU"/>
        </w:rPr>
        <w:t xml:space="preserve"> case distribution prevents parties </w:t>
      </w:r>
      <w:r>
        <w:rPr>
          <w:rFonts w:asciiTheme="minorHAnsi" w:hAnsiTheme="minorHAnsi" w:cstheme="minorHAnsi"/>
          <w:lang w:val="en-GB" w:eastAsia="ru-RU"/>
        </w:rPr>
        <w:t xml:space="preserve">in </w:t>
      </w:r>
      <w:r w:rsidRPr="0036524B">
        <w:rPr>
          <w:rFonts w:asciiTheme="minorHAnsi" w:hAnsiTheme="minorHAnsi" w:cstheme="minorHAnsi"/>
          <w:lang w:val="en-GB" w:eastAsia="ru-RU"/>
        </w:rPr>
        <w:t xml:space="preserve">trial to track appointments of judges and reasons </w:t>
      </w:r>
      <w:r>
        <w:rPr>
          <w:rFonts w:asciiTheme="minorHAnsi" w:hAnsiTheme="minorHAnsi" w:cstheme="minorHAnsi"/>
          <w:lang w:val="en-GB" w:eastAsia="ru-RU"/>
        </w:rPr>
        <w:t>to appoint</w:t>
      </w:r>
      <w:r w:rsidRPr="0036524B">
        <w:rPr>
          <w:rFonts w:asciiTheme="minorHAnsi" w:hAnsiTheme="minorHAnsi" w:cstheme="minorHAnsi"/>
          <w:lang w:val="en-GB" w:eastAsia="ru-RU"/>
        </w:rPr>
        <w:t xml:space="preserve"> a judge to an individual case. </w:t>
      </w:r>
    </w:p>
    <w:p w14:paraId="2C1E13D2" w14:textId="7B923201" w:rsidR="00535D8B" w:rsidRPr="0036524B" w:rsidRDefault="00535D8B" w:rsidP="00535D8B">
      <w:pPr>
        <w:shd w:val="clear" w:color="auto" w:fill="FFFFFF"/>
        <w:jc w:val="both"/>
        <w:rPr>
          <w:rFonts w:asciiTheme="minorHAnsi" w:hAnsiTheme="minorHAnsi" w:cstheme="minorHAnsi"/>
          <w:lang w:val="en-GB" w:eastAsia="ru-RU"/>
        </w:rPr>
      </w:pPr>
      <w:r w:rsidRPr="0036524B">
        <w:rPr>
          <w:rFonts w:asciiTheme="minorHAnsi" w:hAnsiTheme="minorHAnsi" w:cstheme="minorHAnsi"/>
          <w:lang w:val="en-GB" w:eastAsia="ru-RU"/>
        </w:rPr>
        <w:t xml:space="preserve">The other restriction of independence of judges is a </w:t>
      </w:r>
      <w:r w:rsidRPr="00253BCA">
        <w:rPr>
          <w:rFonts w:asciiTheme="minorHAnsi" w:hAnsiTheme="minorHAnsi" w:cstheme="minorHAnsi"/>
          <w:b/>
          <w:lang w:val="en-GB" w:eastAsia="ru-RU"/>
        </w:rPr>
        <w:t>prescribed term</w:t>
      </w:r>
      <w:r w:rsidRPr="0036524B">
        <w:rPr>
          <w:rFonts w:asciiTheme="minorHAnsi" w:hAnsiTheme="minorHAnsi" w:cstheme="minorHAnsi"/>
          <w:lang w:val="en-GB" w:eastAsia="ru-RU"/>
        </w:rPr>
        <w:t xml:space="preserve"> </w:t>
      </w:r>
      <w:r>
        <w:rPr>
          <w:rFonts w:asciiTheme="minorHAnsi" w:hAnsiTheme="minorHAnsi" w:cstheme="minorHAnsi"/>
          <w:lang w:val="en-GB" w:eastAsia="ru-RU"/>
        </w:rPr>
        <w:t>regarding a judge’s position</w:t>
      </w:r>
      <w:r w:rsidRPr="0036524B">
        <w:rPr>
          <w:rFonts w:asciiTheme="minorHAnsi" w:hAnsiTheme="minorHAnsi" w:cstheme="minorHAnsi"/>
          <w:lang w:val="en-GB" w:eastAsia="ru-RU"/>
        </w:rPr>
        <w:t>. According to article 15 of the Constitutional Law, judges are elected or appointed for ten years. The Constitutional Law does not specify in which cases judge</w:t>
      </w:r>
      <w:r>
        <w:rPr>
          <w:rFonts w:asciiTheme="minorHAnsi" w:hAnsiTheme="minorHAnsi" w:cstheme="minorHAnsi"/>
          <w:lang w:val="en-GB" w:eastAsia="ru-RU"/>
        </w:rPr>
        <w:t>s</w:t>
      </w:r>
      <w:r w:rsidRPr="0036524B">
        <w:rPr>
          <w:rFonts w:asciiTheme="minorHAnsi" w:hAnsiTheme="minorHAnsi" w:cstheme="minorHAnsi"/>
          <w:lang w:val="en-GB" w:eastAsia="ru-RU"/>
        </w:rPr>
        <w:t xml:space="preserve"> can be re-appointed/re-elected to the same position or to the higher position in the same or higher court or lower court or dismissed upon expiration of this term. Chairpersons of the Supreme and Supreme Economic Courts have discretionary powers to make decision</w:t>
      </w:r>
      <w:r>
        <w:rPr>
          <w:rFonts w:asciiTheme="minorHAnsi" w:hAnsiTheme="minorHAnsi" w:cstheme="minorHAnsi"/>
          <w:lang w:val="en-GB" w:eastAsia="ru-RU"/>
        </w:rPr>
        <w:t>s</w:t>
      </w:r>
      <w:r w:rsidRPr="0036524B">
        <w:rPr>
          <w:rFonts w:asciiTheme="minorHAnsi" w:hAnsiTheme="minorHAnsi" w:cstheme="minorHAnsi"/>
          <w:lang w:val="en-GB" w:eastAsia="ru-RU"/>
        </w:rPr>
        <w:t xml:space="preserve"> about recommending the judge in question </w:t>
      </w:r>
      <w:r>
        <w:rPr>
          <w:rFonts w:asciiTheme="minorHAnsi" w:hAnsiTheme="minorHAnsi" w:cstheme="minorHAnsi"/>
          <w:lang w:val="en-GB" w:eastAsia="ru-RU"/>
        </w:rPr>
        <w:t>for</w:t>
      </w:r>
      <w:r w:rsidRPr="0036524B">
        <w:rPr>
          <w:rFonts w:asciiTheme="minorHAnsi" w:hAnsiTheme="minorHAnsi" w:cstheme="minorHAnsi"/>
          <w:lang w:val="en-GB" w:eastAsia="ru-RU"/>
        </w:rPr>
        <w:t xml:space="preserve"> re-election to the same position, higher or lower level positions or dismissal. Thus, individual judges are dependent </w:t>
      </w:r>
      <w:r>
        <w:rPr>
          <w:rFonts w:asciiTheme="minorHAnsi" w:hAnsiTheme="minorHAnsi" w:cstheme="minorHAnsi"/>
          <w:lang w:val="en-GB" w:eastAsia="ru-RU"/>
        </w:rPr>
        <w:t>on the</w:t>
      </w:r>
      <w:r w:rsidRPr="0036524B">
        <w:rPr>
          <w:rFonts w:asciiTheme="minorHAnsi" w:hAnsiTheme="minorHAnsi" w:cstheme="minorHAnsi"/>
          <w:lang w:val="en-GB" w:eastAsia="ru-RU"/>
        </w:rPr>
        <w:t xml:space="preserve"> chairpersons of courts, because the Constitutional </w:t>
      </w:r>
      <w:r>
        <w:rPr>
          <w:rFonts w:asciiTheme="minorHAnsi" w:hAnsiTheme="minorHAnsi" w:cstheme="minorHAnsi"/>
          <w:lang w:val="en-GB" w:eastAsia="ru-RU"/>
        </w:rPr>
        <w:t xml:space="preserve">Law </w:t>
      </w:r>
      <w:r w:rsidRPr="0036524B">
        <w:rPr>
          <w:rFonts w:asciiTheme="minorHAnsi" w:hAnsiTheme="minorHAnsi" w:cstheme="minorHAnsi"/>
          <w:lang w:val="en-GB" w:eastAsia="ru-RU"/>
        </w:rPr>
        <w:t>has a gap</w:t>
      </w:r>
      <w:r>
        <w:rPr>
          <w:rFonts w:asciiTheme="minorHAnsi" w:hAnsiTheme="minorHAnsi" w:cstheme="minorHAnsi"/>
          <w:lang w:val="en-GB" w:eastAsia="ru-RU"/>
        </w:rPr>
        <w:t>: there is no</w:t>
      </w:r>
      <w:r w:rsidRPr="0036524B">
        <w:rPr>
          <w:rFonts w:asciiTheme="minorHAnsi" w:hAnsiTheme="minorHAnsi" w:cstheme="minorHAnsi"/>
          <w:lang w:val="en-GB" w:eastAsia="ru-RU"/>
        </w:rPr>
        <w:t xml:space="preserve"> clear and transparent procedure entitling judge</w:t>
      </w:r>
      <w:r>
        <w:rPr>
          <w:rFonts w:asciiTheme="minorHAnsi" w:hAnsiTheme="minorHAnsi" w:cstheme="minorHAnsi"/>
          <w:lang w:val="en-GB" w:eastAsia="ru-RU"/>
        </w:rPr>
        <w:t>s</w:t>
      </w:r>
      <w:r w:rsidRPr="0036524B">
        <w:rPr>
          <w:rFonts w:asciiTheme="minorHAnsi" w:hAnsiTheme="minorHAnsi" w:cstheme="minorHAnsi"/>
          <w:lang w:val="en-GB" w:eastAsia="ru-RU"/>
        </w:rPr>
        <w:t xml:space="preserve"> to apply for</w:t>
      </w:r>
      <w:r>
        <w:rPr>
          <w:rFonts w:asciiTheme="minorHAnsi" w:hAnsiTheme="minorHAnsi" w:cstheme="minorHAnsi"/>
          <w:lang w:val="en-GB" w:eastAsia="ru-RU"/>
        </w:rPr>
        <w:t xml:space="preserve"> the</w:t>
      </w:r>
      <w:r w:rsidRPr="0036524B">
        <w:rPr>
          <w:rFonts w:asciiTheme="minorHAnsi" w:hAnsiTheme="minorHAnsi" w:cstheme="minorHAnsi"/>
          <w:lang w:val="en-GB" w:eastAsia="ru-RU"/>
        </w:rPr>
        <w:t xml:space="preserve"> extension of his/her term upon expiration of </w:t>
      </w:r>
      <w:r>
        <w:rPr>
          <w:rFonts w:asciiTheme="minorHAnsi" w:hAnsiTheme="minorHAnsi" w:cstheme="minorHAnsi"/>
          <w:lang w:val="en-GB" w:eastAsia="ru-RU"/>
        </w:rPr>
        <w:t xml:space="preserve">the </w:t>
      </w:r>
      <w:r w:rsidRPr="0036524B">
        <w:rPr>
          <w:rFonts w:asciiTheme="minorHAnsi" w:hAnsiTheme="minorHAnsi" w:cstheme="minorHAnsi"/>
          <w:lang w:val="en-GB" w:eastAsia="ru-RU"/>
        </w:rPr>
        <w:t>ten</w:t>
      </w:r>
      <w:r>
        <w:rPr>
          <w:rFonts w:asciiTheme="minorHAnsi" w:hAnsiTheme="minorHAnsi" w:cstheme="minorHAnsi"/>
          <w:lang w:val="en-GB" w:eastAsia="ru-RU"/>
        </w:rPr>
        <w:t xml:space="preserve"> </w:t>
      </w:r>
      <w:r w:rsidRPr="0036524B">
        <w:rPr>
          <w:rFonts w:asciiTheme="minorHAnsi" w:hAnsiTheme="minorHAnsi" w:cstheme="minorHAnsi"/>
          <w:lang w:val="en-GB" w:eastAsia="ru-RU"/>
        </w:rPr>
        <w:t xml:space="preserve">years. </w:t>
      </w:r>
    </w:p>
    <w:p w14:paraId="135D3444" w14:textId="3295561D" w:rsidR="00535D8B" w:rsidRPr="0036524B" w:rsidRDefault="00535D8B" w:rsidP="00535D8B">
      <w:pPr>
        <w:shd w:val="clear" w:color="auto" w:fill="FFFFFF"/>
        <w:jc w:val="both"/>
        <w:rPr>
          <w:rFonts w:asciiTheme="minorHAnsi" w:hAnsiTheme="minorHAnsi" w:cstheme="minorHAnsi"/>
          <w:lang w:val="en-GB" w:eastAsia="ru-RU"/>
        </w:rPr>
      </w:pPr>
      <w:r w:rsidRPr="0036524B">
        <w:rPr>
          <w:rFonts w:asciiTheme="minorHAnsi" w:hAnsiTheme="minorHAnsi" w:cstheme="minorHAnsi"/>
        </w:rPr>
        <w:t>The Constitutional Law of Tajikistan “On Courts” specif</w:t>
      </w:r>
      <w:r>
        <w:rPr>
          <w:rFonts w:asciiTheme="minorHAnsi" w:hAnsiTheme="minorHAnsi" w:cstheme="minorHAnsi"/>
        </w:rPr>
        <w:t>ies</w:t>
      </w:r>
      <w:r w:rsidRPr="0036524B">
        <w:rPr>
          <w:rFonts w:asciiTheme="minorHAnsi" w:hAnsiTheme="minorHAnsi" w:cstheme="minorHAnsi"/>
        </w:rPr>
        <w:t xml:space="preserve"> criteria for </w:t>
      </w:r>
      <w:r>
        <w:rPr>
          <w:rFonts w:asciiTheme="minorHAnsi" w:hAnsiTheme="minorHAnsi" w:cstheme="minorHAnsi"/>
        </w:rPr>
        <w:t xml:space="preserve">the </w:t>
      </w:r>
      <w:r w:rsidRPr="00253BCA">
        <w:rPr>
          <w:rFonts w:asciiTheme="minorHAnsi" w:hAnsiTheme="minorHAnsi" w:cstheme="minorHAnsi"/>
          <w:b/>
        </w:rPr>
        <w:t>appointment of judges</w:t>
      </w:r>
      <w:r w:rsidRPr="0036524B">
        <w:rPr>
          <w:rFonts w:asciiTheme="minorHAnsi" w:hAnsiTheme="minorHAnsi" w:cstheme="minorHAnsi"/>
        </w:rPr>
        <w:t>. These provisions of the Constitutional Law are not transparent. They also do</w:t>
      </w:r>
      <w:r>
        <w:rPr>
          <w:rFonts w:asciiTheme="minorHAnsi" w:hAnsiTheme="minorHAnsi" w:cstheme="minorHAnsi"/>
        </w:rPr>
        <w:t xml:space="preserve"> no</w:t>
      </w:r>
      <w:r w:rsidRPr="0036524B">
        <w:rPr>
          <w:rFonts w:asciiTheme="minorHAnsi" w:hAnsiTheme="minorHAnsi" w:cstheme="minorHAnsi"/>
        </w:rPr>
        <w:t>t establish</w:t>
      </w:r>
      <w:r>
        <w:rPr>
          <w:rFonts w:asciiTheme="minorHAnsi" w:hAnsiTheme="minorHAnsi" w:cstheme="minorHAnsi"/>
        </w:rPr>
        <w:t xml:space="preserve"> an</w:t>
      </w:r>
      <w:r w:rsidRPr="0036524B">
        <w:rPr>
          <w:rFonts w:asciiTheme="minorHAnsi" w:hAnsiTheme="minorHAnsi" w:cstheme="minorHAnsi"/>
        </w:rPr>
        <w:t xml:space="preserve"> exhaustive list of requirements to candidates </w:t>
      </w:r>
      <w:r>
        <w:rPr>
          <w:rFonts w:asciiTheme="minorHAnsi" w:hAnsiTheme="minorHAnsi" w:cstheme="minorHAnsi"/>
        </w:rPr>
        <w:t>who apply for</w:t>
      </w:r>
      <w:r w:rsidRPr="0036524B">
        <w:rPr>
          <w:rFonts w:asciiTheme="minorHAnsi" w:hAnsiTheme="minorHAnsi" w:cstheme="minorHAnsi"/>
        </w:rPr>
        <w:t xml:space="preserve"> judge</w:t>
      </w:r>
      <w:r>
        <w:rPr>
          <w:rFonts w:asciiTheme="minorHAnsi" w:hAnsiTheme="minorHAnsi" w:cstheme="minorHAnsi"/>
        </w:rPr>
        <w:t xml:space="preserve"> positions,</w:t>
      </w:r>
      <w:r w:rsidRPr="0036524B">
        <w:rPr>
          <w:rFonts w:asciiTheme="minorHAnsi" w:hAnsiTheme="minorHAnsi" w:cstheme="minorHAnsi"/>
        </w:rPr>
        <w:t xml:space="preserve"> as well as</w:t>
      </w:r>
      <w:r>
        <w:rPr>
          <w:rFonts w:asciiTheme="minorHAnsi" w:hAnsiTheme="minorHAnsi" w:cstheme="minorHAnsi"/>
        </w:rPr>
        <w:t xml:space="preserve"> a</w:t>
      </w:r>
      <w:r w:rsidRPr="0036524B">
        <w:rPr>
          <w:rFonts w:asciiTheme="minorHAnsi" w:hAnsiTheme="minorHAnsi" w:cstheme="minorHAnsi"/>
        </w:rPr>
        <w:t xml:space="preserve"> procedure of their selection for recommendation to election or appointment</w:t>
      </w:r>
      <w:r>
        <w:rPr>
          <w:rFonts w:asciiTheme="minorHAnsi" w:hAnsiTheme="minorHAnsi" w:cstheme="minorHAnsi"/>
        </w:rPr>
        <w:t>. A</w:t>
      </w:r>
      <w:r w:rsidRPr="00B53024">
        <w:rPr>
          <w:rFonts w:asciiTheme="minorHAnsi" w:hAnsiTheme="minorHAnsi" w:cstheme="minorHAnsi"/>
        </w:rPr>
        <w:t xml:space="preserve">s it was specified above, the proposal or recommendation for elections or appointments of judges shall be done by the President or a Chairperson of the Supreme Court depending on the level of the court. It is not transparent which criteria are used for preliminary selection of candidates prior to submission of recommendation for elections and appointments. </w:t>
      </w:r>
      <w:r w:rsidRPr="0036524B">
        <w:rPr>
          <w:rFonts w:asciiTheme="minorHAnsi" w:hAnsiTheme="minorHAnsi" w:cstheme="minorHAnsi"/>
        </w:rPr>
        <w:t xml:space="preserve">For instance, article 12 of the Constitutional Law establishes that </w:t>
      </w:r>
      <w:r>
        <w:rPr>
          <w:rFonts w:asciiTheme="minorHAnsi" w:hAnsiTheme="minorHAnsi" w:cstheme="minorHAnsi"/>
        </w:rPr>
        <w:t xml:space="preserve">a </w:t>
      </w:r>
      <w:r w:rsidRPr="0036524B">
        <w:rPr>
          <w:rFonts w:asciiTheme="minorHAnsi" w:hAnsiTheme="minorHAnsi" w:cstheme="minorHAnsi"/>
        </w:rPr>
        <w:t xml:space="preserve">national of Tajikistan above 25 years of age </w:t>
      </w:r>
      <w:r>
        <w:rPr>
          <w:rFonts w:asciiTheme="minorHAnsi" w:hAnsiTheme="minorHAnsi" w:cstheme="minorHAnsi"/>
        </w:rPr>
        <w:t xml:space="preserve">with </w:t>
      </w:r>
      <w:r w:rsidRPr="0036524B">
        <w:rPr>
          <w:rFonts w:asciiTheme="minorHAnsi" w:hAnsiTheme="minorHAnsi" w:cstheme="minorHAnsi"/>
        </w:rPr>
        <w:t>a degree in law and professional experience of not less than three year</w:t>
      </w:r>
      <w:r>
        <w:rPr>
          <w:rFonts w:asciiTheme="minorHAnsi" w:hAnsiTheme="minorHAnsi" w:cstheme="minorHAnsi"/>
        </w:rPr>
        <w:t xml:space="preserve">s, </w:t>
      </w:r>
      <w:r w:rsidRPr="0036524B">
        <w:rPr>
          <w:rFonts w:asciiTheme="minorHAnsi" w:hAnsiTheme="minorHAnsi" w:cstheme="minorHAnsi"/>
        </w:rPr>
        <w:t>knowing Tajik language</w:t>
      </w:r>
      <w:r>
        <w:rPr>
          <w:rFonts w:asciiTheme="minorHAnsi" w:hAnsiTheme="minorHAnsi" w:cstheme="minorHAnsi"/>
        </w:rPr>
        <w:t>,</w:t>
      </w:r>
      <w:r w:rsidRPr="0036524B">
        <w:rPr>
          <w:rFonts w:asciiTheme="minorHAnsi" w:hAnsiTheme="minorHAnsi" w:cstheme="minorHAnsi"/>
        </w:rPr>
        <w:t xml:space="preserve"> shall be appointed to the position of judge of city, district</w:t>
      </w:r>
      <w:r>
        <w:rPr>
          <w:rFonts w:asciiTheme="minorHAnsi" w:hAnsiTheme="minorHAnsi" w:cstheme="minorHAnsi"/>
        </w:rPr>
        <w:t xml:space="preserve"> or </w:t>
      </w:r>
      <w:r w:rsidRPr="0036524B">
        <w:rPr>
          <w:rFonts w:asciiTheme="minorHAnsi" w:hAnsiTheme="minorHAnsi" w:cstheme="minorHAnsi"/>
        </w:rPr>
        <w:t>military courts. The Constitutional Law does n</w:t>
      </w:r>
      <w:r w:rsidRPr="0036524B">
        <w:rPr>
          <w:rFonts w:asciiTheme="minorHAnsi" w:hAnsiTheme="minorHAnsi" w:cstheme="minorHAnsi"/>
          <w:lang w:val="en-GB"/>
        </w:rPr>
        <w:t>o</w:t>
      </w:r>
      <w:r w:rsidRPr="0036524B">
        <w:rPr>
          <w:rFonts w:asciiTheme="minorHAnsi" w:hAnsiTheme="minorHAnsi" w:cstheme="minorHAnsi"/>
        </w:rPr>
        <w:t xml:space="preserve">t specify which professional experience shall be considered </w:t>
      </w:r>
      <w:r>
        <w:rPr>
          <w:rFonts w:asciiTheme="minorHAnsi" w:hAnsiTheme="minorHAnsi" w:cstheme="minorHAnsi"/>
        </w:rPr>
        <w:t>to be</w:t>
      </w:r>
      <w:r w:rsidRPr="0036524B">
        <w:rPr>
          <w:rFonts w:asciiTheme="minorHAnsi" w:hAnsiTheme="minorHAnsi" w:cstheme="minorHAnsi"/>
        </w:rPr>
        <w:t xml:space="preserve"> eligible for </w:t>
      </w:r>
      <w:r>
        <w:rPr>
          <w:rFonts w:asciiTheme="minorHAnsi" w:hAnsiTheme="minorHAnsi" w:cstheme="minorHAnsi"/>
        </w:rPr>
        <w:t xml:space="preserve">the </w:t>
      </w:r>
      <w:r w:rsidRPr="0036524B">
        <w:rPr>
          <w:rFonts w:asciiTheme="minorHAnsi" w:hAnsiTheme="minorHAnsi" w:cstheme="minorHAnsi"/>
        </w:rPr>
        <w:t xml:space="preserve">position of </w:t>
      </w:r>
      <w:r>
        <w:rPr>
          <w:rFonts w:asciiTheme="minorHAnsi" w:hAnsiTheme="minorHAnsi" w:cstheme="minorHAnsi"/>
        </w:rPr>
        <w:t xml:space="preserve">a </w:t>
      </w:r>
      <w:r w:rsidRPr="0036524B">
        <w:rPr>
          <w:rFonts w:asciiTheme="minorHAnsi" w:hAnsiTheme="minorHAnsi" w:cstheme="minorHAnsi"/>
        </w:rPr>
        <w:t xml:space="preserve">judge. </w:t>
      </w:r>
      <w:r>
        <w:rPr>
          <w:rFonts w:asciiTheme="minorHAnsi" w:hAnsiTheme="minorHAnsi" w:cstheme="minorHAnsi"/>
        </w:rPr>
        <w:t>In contrast</w:t>
      </w:r>
      <w:r w:rsidRPr="0036524B">
        <w:rPr>
          <w:rFonts w:asciiTheme="minorHAnsi" w:hAnsiTheme="minorHAnsi" w:cstheme="minorHAnsi"/>
        </w:rPr>
        <w:t xml:space="preserve">, the Law “On the Bar and </w:t>
      </w:r>
      <w:r>
        <w:rPr>
          <w:rFonts w:asciiTheme="minorHAnsi" w:hAnsiTheme="minorHAnsi" w:cstheme="minorHAnsi"/>
        </w:rPr>
        <w:t xml:space="preserve">Legal </w:t>
      </w:r>
      <w:r w:rsidRPr="0036524B">
        <w:rPr>
          <w:rFonts w:asciiTheme="minorHAnsi" w:hAnsiTheme="minorHAnsi" w:cstheme="minorHAnsi"/>
          <w:lang w:val="en-GB"/>
        </w:rPr>
        <w:t>Defence Activity” clearly defines which legal experience</w:t>
      </w:r>
      <w:r>
        <w:rPr>
          <w:rFonts w:asciiTheme="minorHAnsi" w:hAnsiTheme="minorHAnsi" w:cstheme="minorHAnsi"/>
          <w:lang w:val="en-GB"/>
        </w:rPr>
        <w:t xml:space="preserve"> is</w:t>
      </w:r>
      <w:r w:rsidRPr="0036524B">
        <w:rPr>
          <w:rFonts w:asciiTheme="minorHAnsi" w:hAnsiTheme="minorHAnsi" w:cstheme="minorHAnsi"/>
          <w:lang w:val="en-GB"/>
        </w:rPr>
        <w:t xml:space="preserve"> required </w:t>
      </w:r>
      <w:r>
        <w:rPr>
          <w:rFonts w:asciiTheme="minorHAnsi" w:hAnsiTheme="minorHAnsi" w:cstheme="minorHAnsi"/>
          <w:lang w:val="en-GB"/>
        </w:rPr>
        <w:t>to acquire the</w:t>
      </w:r>
      <w:r w:rsidRPr="0036524B">
        <w:rPr>
          <w:rFonts w:asciiTheme="minorHAnsi" w:hAnsiTheme="minorHAnsi" w:cstheme="minorHAnsi"/>
          <w:lang w:val="en-GB"/>
        </w:rPr>
        <w:t xml:space="preserve"> status of a defence lawyer</w:t>
      </w:r>
      <w:r w:rsidRPr="0036524B">
        <w:rPr>
          <w:rFonts w:asciiTheme="minorHAnsi" w:hAnsiTheme="minorHAnsi" w:cstheme="minorHAnsi"/>
          <w:lang w:eastAsia="ru-RU"/>
        </w:rPr>
        <w:t>.</w:t>
      </w:r>
      <w:r w:rsidRPr="0036524B">
        <w:rPr>
          <w:rStyle w:val="FootnoteReference"/>
          <w:rFonts w:asciiTheme="minorHAnsi" w:hAnsiTheme="minorHAnsi" w:cstheme="minorHAnsi"/>
          <w:lang w:eastAsia="ru-RU"/>
        </w:rPr>
        <w:footnoteReference w:id="14"/>
      </w:r>
      <w:r w:rsidRPr="0036524B">
        <w:rPr>
          <w:rFonts w:asciiTheme="minorHAnsi" w:hAnsiTheme="minorHAnsi" w:cstheme="minorHAnsi"/>
          <w:lang w:eastAsia="ru-RU"/>
        </w:rPr>
        <w:t xml:space="preserve"> Article 21 </w:t>
      </w:r>
      <w:r w:rsidRPr="0036524B">
        <w:rPr>
          <w:rFonts w:asciiTheme="minorHAnsi" w:hAnsiTheme="minorHAnsi" w:cstheme="minorHAnsi"/>
          <w:lang w:val="en-GB" w:eastAsia="ru-RU"/>
        </w:rPr>
        <w:t>of</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the</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Constitutional</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Law</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further</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stipulates</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that</w:t>
      </w:r>
      <w:r w:rsidRPr="0036524B">
        <w:rPr>
          <w:rFonts w:asciiTheme="minorHAnsi" w:hAnsiTheme="minorHAnsi" w:cstheme="minorHAnsi"/>
          <w:lang w:eastAsia="ru-RU"/>
        </w:rPr>
        <w:t xml:space="preserve"> </w:t>
      </w:r>
      <w:r>
        <w:rPr>
          <w:rFonts w:asciiTheme="minorHAnsi" w:hAnsiTheme="minorHAnsi" w:cstheme="minorHAnsi"/>
          <w:lang w:eastAsia="ru-RU"/>
        </w:rPr>
        <w:t xml:space="preserve">the </w:t>
      </w:r>
      <w:r w:rsidRPr="0036524B">
        <w:rPr>
          <w:rFonts w:asciiTheme="minorHAnsi" w:hAnsiTheme="minorHAnsi" w:cstheme="minorHAnsi"/>
          <w:lang w:val="en-GB" w:eastAsia="ru-RU"/>
        </w:rPr>
        <w:t xml:space="preserve">Supreme Court </w:t>
      </w:r>
      <w:r>
        <w:rPr>
          <w:rFonts w:asciiTheme="minorHAnsi" w:hAnsiTheme="minorHAnsi" w:cstheme="minorHAnsi"/>
          <w:lang w:val="en-GB" w:eastAsia="ru-RU"/>
        </w:rPr>
        <w:t xml:space="preserve">shall be </w:t>
      </w:r>
      <w:r w:rsidRPr="0036524B">
        <w:rPr>
          <w:rFonts w:asciiTheme="minorHAnsi" w:hAnsiTheme="minorHAnsi" w:cstheme="minorHAnsi"/>
          <w:lang w:val="en-GB" w:eastAsia="ru-RU"/>
        </w:rPr>
        <w:t>responsible for</w:t>
      </w:r>
      <w:r>
        <w:rPr>
          <w:rFonts w:asciiTheme="minorHAnsi" w:hAnsiTheme="minorHAnsi" w:cstheme="minorHAnsi"/>
          <w:lang w:val="en-GB" w:eastAsia="ru-RU"/>
        </w:rPr>
        <w:t xml:space="preserve"> the</w:t>
      </w:r>
      <w:r w:rsidRPr="0036524B">
        <w:rPr>
          <w:rFonts w:asciiTheme="minorHAnsi" w:hAnsiTheme="minorHAnsi" w:cstheme="minorHAnsi"/>
          <w:lang w:val="en-GB" w:eastAsia="ru-RU"/>
        </w:rPr>
        <w:t xml:space="preserve"> selection and preparation of candidates for the position of </w:t>
      </w:r>
      <w:r>
        <w:rPr>
          <w:rFonts w:asciiTheme="minorHAnsi" w:hAnsiTheme="minorHAnsi" w:cstheme="minorHAnsi"/>
          <w:lang w:val="en-GB" w:eastAsia="ru-RU"/>
        </w:rPr>
        <w:t xml:space="preserve">a </w:t>
      </w:r>
      <w:r w:rsidRPr="0036524B">
        <w:rPr>
          <w:rFonts w:asciiTheme="minorHAnsi" w:hAnsiTheme="minorHAnsi" w:cstheme="minorHAnsi"/>
          <w:lang w:val="en-GB" w:eastAsia="ru-RU"/>
        </w:rPr>
        <w:t>judge. However</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it</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is</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further</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not</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established</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 xml:space="preserve">how the Supreme court </w:t>
      </w:r>
      <w:r>
        <w:rPr>
          <w:rFonts w:asciiTheme="minorHAnsi" w:hAnsiTheme="minorHAnsi" w:cstheme="minorHAnsi"/>
          <w:lang w:val="en-GB" w:eastAsia="ru-RU"/>
        </w:rPr>
        <w:t>shall</w:t>
      </w:r>
      <w:r w:rsidRPr="0036524B">
        <w:rPr>
          <w:rFonts w:asciiTheme="minorHAnsi" w:hAnsiTheme="minorHAnsi" w:cstheme="minorHAnsi"/>
          <w:lang w:val="en-GB" w:eastAsia="ru-RU"/>
        </w:rPr>
        <w:t xml:space="preserve"> execut</w:t>
      </w:r>
      <w:r>
        <w:rPr>
          <w:rFonts w:asciiTheme="minorHAnsi" w:hAnsiTheme="minorHAnsi" w:cstheme="minorHAnsi"/>
          <w:lang w:val="en-GB" w:eastAsia="ru-RU"/>
        </w:rPr>
        <w:t>e</w:t>
      </w:r>
      <w:r w:rsidRPr="0036524B">
        <w:rPr>
          <w:rFonts w:asciiTheme="minorHAnsi" w:hAnsiTheme="minorHAnsi" w:cstheme="minorHAnsi"/>
          <w:lang w:val="en-GB" w:eastAsia="ru-RU"/>
        </w:rPr>
        <w:t xml:space="preserve"> selection and preparation to the position of judges, if they </w:t>
      </w:r>
      <w:r>
        <w:rPr>
          <w:rFonts w:asciiTheme="minorHAnsi" w:hAnsiTheme="minorHAnsi" w:cstheme="minorHAnsi"/>
          <w:lang w:val="en-GB" w:eastAsia="ru-RU"/>
        </w:rPr>
        <w:t>shall</w:t>
      </w:r>
      <w:r w:rsidRPr="0036524B">
        <w:rPr>
          <w:rFonts w:asciiTheme="minorHAnsi" w:hAnsiTheme="minorHAnsi" w:cstheme="minorHAnsi"/>
          <w:lang w:val="en-GB" w:eastAsia="ru-RU"/>
        </w:rPr>
        <w:t xml:space="preserve"> publish vacancies of positions of judges. Prior to </w:t>
      </w:r>
      <w:r>
        <w:rPr>
          <w:rFonts w:asciiTheme="minorHAnsi" w:hAnsiTheme="minorHAnsi" w:cstheme="minorHAnsi"/>
          <w:lang w:val="en-GB" w:eastAsia="ru-RU"/>
        </w:rPr>
        <w:t xml:space="preserve">the </w:t>
      </w:r>
      <w:r w:rsidRPr="0036524B">
        <w:rPr>
          <w:rFonts w:asciiTheme="minorHAnsi" w:hAnsiTheme="minorHAnsi" w:cstheme="minorHAnsi"/>
          <w:lang w:val="en-GB" w:eastAsia="ru-RU"/>
        </w:rPr>
        <w:t>appointment, candidates shall pass a preparatory training in the Judicial Training Center under the Supreme Court. In fact, candidates for positions of lower courts are usually selected among support staff of the courts, e.g. assistants to judges</w:t>
      </w:r>
      <w:r>
        <w:rPr>
          <w:rFonts w:asciiTheme="minorHAnsi" w:hAnsiTheme="minorHAnsi" w:cstheme="minorHAnsi"/>
          <w:lang w:val="en-GB" w:eastAsia="ru-RU"/>
        </w:rPr>
        <w:t xml:space="preserve"> </w:t>
      </w:r>
      <w:r>
        <w:rPr>
          <w:rFonts w:asciiTheme="minorHAnsi" w:hAnsiTheme="minorHAnsi" w:cstheme="minorHAnsi"/>
          <w:lang w:val="en-GB" w:eastAsia="ru-RU"/>
        </w:rPr>
        <w:lastRenderedPageBreak/>
        <w:t>or</w:t>
      </w:r>
      <w:r w:rsidRPr="0036524B">
        <w:rPr>
          <w:rFonts w:asciiTheme="minorHAnsi" w:hAnsiTheme="minorHAnsi" w:cstheme="minorHAnsi"/>
          <w:lang w:val="en-GB" w:eastAsia="ru-RU"/>
        </w:rPr>
        <w:t xml:space="preserve"> secretaries of court proceedings. Candidates for positions of judges of higher courts are selected among judges of lower courts. In</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this</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respect</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attracting</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legal</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professionals</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from</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other</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sectors</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is</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nearly impossible.</w:t>
      </w:r>
      <w:r w:rsidRPr="0036524B">
        <w:rPr>
          <w:rStyle w:val="FootnoteReference"/>
          <w:rFonts w:asciiTheme="minorHAnsi" w:hAnsiTheme="minorHAnsi" w:cstheme="minorHAnsi"/>
          <w:lang w:val="en-GB" w:eastAsia="ru-RU"/>
        </w:rPr>
        <w:footnoteReference w:id="15"/>
      </w:r>
      <w:r w:rsidRPr="0036524B">
        <w:rPr>
          <w:rFonts w:asciiTheme="minorHAnsi" w:hAnsiTheme="minorHAnsi" w:cstheme="minorHAnsi"/>
          <w:lang w:val="en-GB" w:eastAsia="ru-RU"/>
        </w:rPr>
        <w:t xml:space="preserve"> </w:t>
      </w:r>
    </w:p>
    <w:p w14:paraId="29BCC824" w14:textId="261552DB" w:rsidR="00535D8B" w:rsidRPr="00535D8B" w:rsidRDefault="00535D8B" w:rsidP="00535D8B">
      <w:pPr>
        <w:shd w:val="clear" w:color="auto" w:fill="FFFFFF"/>
        <w:jc w:val="both"/>
        <w:rPr>
          <w:rFonts w:asciiTheme="minorHAnsi" w:hAnsiTheme="minorHAnsi" w:cstheme="minorHAnsi"/>
          <w:lang w:val="en-GB"/>
        </w:rPr>
      </w:pPr>
      <w:r w:rsidRPr="00253BCA">
        <w:rPr>
          <w:rFonts w:asciiTheme="minorHAnsi" w:hAnsiTheme="minorHAnsi" w:cstheme="minorHAnsi"/>
          <w:b/>
          <w:lang w:val="en-GB" w:eastAsia="ru-RU"/>
        </w:rPr>
        <w:t>Removal or dismissal of judge</w:t>
      </w:r>
      <w:r>
        <w:rPr>
          <w:rFonts w:asciiTheme="minorHAnsi" w:hAnsiTheme="minorHAnsi" w:cstheme="minorHAnsi"/>
          <w:b/>
          <w:lang w:val="en-GB" w:eastAsia="ru-RU"/>
        </w:rPr>
        <w:t>s</w:t>
      </w:r>
      <w:r w:rsidRPr="0036524B">
        <w:rPr>
          <w:rFonts w:asciiTheme="minorHAnsi" w:hAnsiTheme="minorHAnsi" w:cstheme="minorHAnsi"/>
          <w:lang w:val="en-GB" w:eastAsia="ru-RU"/>
        </w:rPr>
        <w:t xml:space="preserve"> </w:t>
      </w:r>
      <w:r>
        <w:rPr>
          <w:rFonts w:asciiTheme="minorHAnsi" w:hAnsiTheme="minorHAnsi" w:cstheme="minorHAnsi"/>
          <w:lang w:val="en-GB" w:eastAsia="ru-RU"/>
        </w:rPr>
        <w:t xml:space="preserve">can </w:t>
      </w:r>
      <w:r w:rsidRPr="0036524B">
        <w:rPr>
          <w:rFonts w:asciiTheme="minorHAnsi" w:hAnsiTheme="minorHAnsi" w:cstheme="minorHAnsi"/>
          <w:lang w:val="en-GB" w:eastAsia="ru-RU"/>
        </w:rPr>
        <w:t xml:space="preserve">be done in several cases established by </w:t>
      </w:r>
      <w:r>
        <w:rPr>
          <w:rFonts w:asciiTheme="minorHAnsi" w:hAnsiTheme="minorHAnsi" w:cstheme="minorHAnsi"/>
          <w:lang w:val="en-GB" w:eastAsia="ru-RU"/>
        </w:rPr>
        <w:t>a</w:t>
      </w:r>
      <w:r w:rsidRPr="0036524B">
        <w:rPr>
          <w:rFonts w:asciiTheme="minorHAnsi" w:hAnsiTheme="minorHAnsi" w:cstheme="minorHAnsi"/>
          <w:lang w:val="en-GB" w:eastAsia="ru-RU"/>
        </w:rPr>
        <w:t xml:space="preserve">rticle 18 of the Constitutional </w:t>
      </w:r>
      <w:r>
        <w:rPr>
          <w:rFonts w:asciiTheme="minorHAnsi" w:hAnsiTheme="minorHAnsi" w:cstheme="minorHAnsi"/>
          <w:lang w:val="en-GB" w:eastAsia="ru-RU"/>
        </w:rPr>
        <w:t>Law</w:t>
      </w:r>
      <w:r w:rsidRPr="0036524B">
        <w:rPr>
          <w:rFonts w:asciiTheme="minorHAnsi" w:hAnsiTheme="minorHAnsi" w:cstheme="minorHAnsi"/>
          <w:lang w:val="en-GB" w:eastAsia="ru-RU"/>
        </w:rPr>
        <w:t xml:space="preserve"> (e.g. resignation, transfer to another job, departure from Tajikistan, sentence of court and others). Several grounds of removal/dismissal are precarious. For instance, dismissal or removal may be done in case of </w:t>
      </w:r>
      <w:r>
        <w:rPr>
          <w:rFonts w:asciiTheme="minorHAnsi" w:hAnsiTheme="minorHAnsi" w:cstheme="minorHAnsi"/>
          <w:lang w:val="en-GB" w:eastAsia="ru-RU"/>
        </w:rPr>
        <w:t xml:space="preserve">a </w:t>
      </w:r>
      <w:r w:rsidRPr="0036524B">
        <w:rPr>
          <w:rFonts w:asciiTheme="minorHAnsi" w:hAnsiTheme="minorHAnsi" w:cstheme="minorHAnsi"/>
          <w:lang w:val="en-GB" w:eastAsia="ru-RU"/>
        </w:rPr>
        <w:t>violation of</w:t>
      </w:r>
      <w:r>
        <w:rPr>
          <w:rFonts w:asciiTheme="minorHAnsi" w:hAnsiTheme="minorHAnsi" w:cstheme="minorHAnsi"/>
          <w:lang w:val="en-GB" w:eastAsia="ru-RU"/>
        </w:rPr>
        <w:t xml:space="preserve"> the</w:t>
      </w:r>
      <w:r w:rsidRPr="0036524B">
        <w:rPr>
          <w:rFonts w:asciiTheme="minorHAnsi" w:hAnsiTheme="minorHAnsi" w:cstheme="minorHAnsi"/>
          <w:lang w:val="en-GB" w:eastAsia="ru-RU"/>
        </w:rPr>
        <w:t xml:space="preserve"> law </w:t>
      </w:r>
      <w:r>
        <w:rPr>
          <w:rFonts w:asciiTheme="minorHAnsi" w:hAnsiTheme="minorHAnsi" w:cstheme="minorHAnsi"/>
          <w:lang w:val="en-GB" w:eastAsia="ru-RU"/>
        </w:rPr>
        <w:t>regarding the</w:t>
      </w:r>
      <w:r w:rsidRPr="0036524B">
        <w:rPr>
          <w:rFonts w:asciiTheme="minorHAnsi" w:hAnsiTheme="minorHAnsi" w:cstheme="minorHAnsi"/>
          <w:lang w:val="en-GB" w:eastAsia="ru-RU"/>
        </w:rPr>
        <w:t xml:space="preserve"> hearing of cases</w:t>
      </w:r>
      <w:r>
        <w:rPr>
          <w:rFonts w:asciiTheme="minorHAnsi" w:hAnsiTheme="minorHAnsi" w:cstheme="minorHAnsi"/>
          <w:lang w:val="en-GB" w:eastAsia="ru-RU"/>
        </w:rPr>
        <w:t>; a</w:t>
      </w:r>
      <w:r w:rsidRPr="0036524B">
        <w:rPr>
          <w:rFonts w:asciiTheme="minorHAnsi" w:hAnsiTheme="minorHAnsi" w:cstheme="minorHAnsi"/>
          <w:lang w:val="en-GB" w:eastAsia="ru-RU"/>
        </w:rPr>
        <w:t xml:space="preserve"> performance of action</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detractive to</w:t>
      </w:r>
      <w:r>
        <w:rPr>
          <w:rFonts w:asciiTheme="minorHAnsi" w:hAnsiTheme="minorHAnsi" w:cstheme="minorHAnsi"/>
          <w:lang w:val="en-GB" w:eastAsia="ru-RU"/>
        </w:rPr>
        <w:t xml:space="preserve"> the</w:t>
      </w:r>
      <w:r w:rsidRPr="0036524B">
        <w:rPr>
          <w:rFonts w:asciiTheme="minorHAnsi" w:hAnsiTheme="minorHAnsi" w:cstheme="minorHAnsi"/>
          <w:lang w:val="en-GB" w:eastAsia="ru-RU"/>
        </w:rPr>
        <w:t xml:space="preserve"> honour and dignity of a judge; </w:t>
      </w:r>
      <w:r>
        <w:rPr>
          <w:rFonts w:asciiTheme="minorHAnsi" w:hAnsiTheme="minorHAnsi" w:cstheme="minorHAnsi"/>
          <w:lang w:val="en-GB" w:eastAsia="ru-RU"/>
        </w:rPr>
        <w:t xml:space="preserve">or the </w:t>
      </w:r>
      <w:r w:rsidRPr="0036524B">
        <w:rPr>
          <w:rFonts w:asciiTheme="minorHAnsi" w:hAnsiTheme="minorHAnsi" w:cstheme="minorHAnsi"/>
          <w:lang w:val="en-GB" w:eastAsia="ru-RU"/>
        </w:rPr>
        <w:t>detection of inconsistency of a judge. Such grounds provide persons in charge of disciplinary procedures in court with discretion of interpretation and subjective assessment of behaviour and actions of a judge. Chairpersons of higher courts are entitled to open disciplinary cases against judges of lower courts. Article 123 of the Constitutional Law states that disciplinary case</w:t>
      </w:r>
      <w:r>
        <w:rPr>
          <w:rFonts w:asciiTheme="minorHAnsi" w:hAnsiTheme="minorHAnsi" w:cstheme="minorHAnsi"/>
          <w:lang w:val="en-GB" w:eastAsia="ru-RU"/>
        </w:rPr>
        <w:t>s</w:t>
      </w:r>
      <w:r w:rsidRPr="0036524B">
        <w:rPr>
          <w:rFonts w:asciiTheme="minorHAnsi" w:hAnsiTheme="minorHAnsi" w:cstheme="minorHAnsi"/>
          <w:lang w:val="en-GB" w:eastAsia="ru-RU"/>
        </w:rPr>
        <w:t xml:space="preserve"> against a judge may be opened in case of </w:t>
      </w:r>
      <w:r>
        <w:rPr>
          <w:rFonts w:asciiTheme="minorHAnsi" w:hAnsiTheme="minorHAnsi" w:cstheme="minorHAnsi"/>
          <w:lang w:val="en-GB" w:eastAsia="ru-RU"/>
        </w:rPr>
        <w:t xml:space="preserve">a </w:t>
      </w:r>
      <w:r w:rsidRPr="0036524B">
        <w:rPr>
          <w:rFonts w:asciiTheme="minorHAnsi" w:hAnsiTheme="minorHAnsi" w:cstheme="minorHAnsi"/>
          <w:lang w:val="en-GB" w:eastAsia="ru-RU"/>
        </w:rPr>
        <w:t>grave violation of the legislation when hearing civil, family, economic, criminal</w:t>
      </w:r>
      <w:r>
        <w:rPr>
          <w:rFonts w:asciiTheme="minorHAnsi" w:hAnsiTheme="minorHAnsi" w:cstheme="minorHAnsi"/>
          <w:lang w:val="en-GB" w:eastAsia="ru-RU"/>
        </w:rPr>
        <w:t xml:space="preserve"> or</w:t>
      </w:r>
      <w:r w:rsidRPr="0036524B">
        <w:rPr>
          <w:rFonts w:asciiTheme="minorHAnsi" w:hAnsiTheme="minorHAnsi" w:cstheme="minorHAnsi"/>
          <w:lang w:val="en-GB" w:eastAsia="ru-RU"/>
        </w:rPr>
        <w:t xml:space="preserve"> administrative cases; </w:t>
      </w:r>
      <w:r>
        <w:rPr>
          <w:rFonts w:asciiTheme="minorHAnsi" w:hAnsiTheme="minorHAnsi" w:cstheme="minorHAnsi"/>
          <w:lang w:val="en-GB" w:eastAsia="ru-RU"/>
        </w:rPr>
        <w:t xml:space="preserve">a </w:t>
      </w:r>
      <w:r w:rsidRPr="0036524B">
        <w:rPr>
          <w:rFonts w:asciiTheme="minorHAnsi" w:hAnsiTheme="minorHAnsi" w:cstheme="minorHAnsi"/>
          <w:lang w:val="en-GB" w:eastAsia="ru-RU"/>
        </w:rPr>
        <w:t>violation of</w:t>
      </w:r>
      <w:r>
        <w:rPr>
          <w:rFonts w:asciiTheme="minorHAnsi" w:hAnsiTheme="minorHAnsi" w:cstheme="minorHAnsi"/>
          <w:lang w:val="en-GB" w:eastAsia="ru-RU"/>
        </w:rPr>
        <w:t xml:space="preserve"> the</w:t>
      </w:r>
      <w:r w:rsidRPr="0036524B">
        <w:rPr>
          <w:rFonts w:asciiTheme="minorHAnsi" w:hAnsiTheme="minorHAnsi" w:cstheme="minorHAnsi"/>
          <w:lang w:val="en-GB" w:eastAsia="ru-RU"/>
        </w:rPr>
        <w:t xml:space="preserve"> internal labour rules; committing an act detractive to </w:t>
      </w:r>
      <w:r>
        <w:rPr>
          <w:rFonts w:asciiTheme="minorHAnsi" w:hAnsiTheme="minorHAnsi" w:cstheme="minorHAnsi"/>
          <w:lang w:val="en-GB" w:eastAsia="ru-RU"/>
        </w:rPr>
        <w:t xml:space="preserve">the </w:t>
      </w:r>
      <w:r w:rsidRPr="0036524B">
        <w:rPr>
          <w:rFonts w:asciiTheme="minorHAnsi" w:hAnsiTheme="minorHAnsi" w:cstheme="minorHAnsi"/>
          <w:lang w:val="en-GB" w:eastAsia="ru-RU"/>
        </w:rPr>
        <w:t xml:space="preserve">authority of judiciary, honour and dignity </w:t>
      </w:r>
      <w:proofErr w:type="gramStart"/>
      <w:r w:rsidRPr="0036524B">
        <w:rPr>
          <w:rFonts w:asciiTheme="minorHAnsi" w:hAnsiTheme="minorHAnsi" w:cstheme="minorHAnsi"/>
          <w:lang w:val="en-GB" w:eastAsia="ru-RU"/>
        </w:rPr>
        <w:t xml:space="preserve">of </w:t>
      </w:r>
      <w:r w:rsidRPr="005113C2">
        <w:rPr>
          <w:rFonts w:asciiTheme="minorHAnsi" w:hAnsiTheme="minorHAnsi" w:cstheme="minorHAnsi"/>
          <w:lang w:eastAsia="ru-RU"/>
        </w:rPr>
        <w:t xml:space="preserve"> </w:t>
      </w:r>
      <w:r>
        <w:rPr>
          <w:rFonts w:asciiTheme="minorHAnsi" w:hAnsiTheme="minorHAnsi" w:cstheme="minorHAnsi"/>
          <w:lang w:val="en-GB" w:eastAsia="ru-RU"/>
        </w:rPr>
        <w:t>judges</w:t>
      </w:r>
      <w:proofErr w:type="gramEnd"/>
      <w:r w:rsidRPr="0036524B">
        <w:rPr>
          <w:rFonts w:asciiTheme="minorHAnsi" w:hAnsiTheme="minorHAnsi" w:cstheme="minorHAnsi"/>
          <w:lang w:val="en-GB" w:eastAsia="ru-RU"/>
        </w:rPr>
        <w:t xml:space="preserve">; </w:t>
      </w:r>
      <w:r>
        <w:rPr>
          <w:rFonts w:asciiTheme="minorHAnsi" w:hAnsiTheme="minorHAnsi" w:cstheme="minorHAnsi"/>
          <w:lang w:val="en-GB" w:eastAsia="ru-RU"/>
        </w:rPr>
        <w:t xml:space="preserve">or a </w:t>
      </w:r>
      <w:r w:rsidRPr="0036524B">
        <w:rPr>
          <w:rFonts w:asciiTheme="minorHAnsi" w:hAnsiTheme="minorHAnsi" w:cstheme="minorHAnsi"/>
          <w:lang w:val="en-GB" w:eastAsia="ru-RU"/>
        </w:rPr>
        <w:t>violation of</w:t>
      </w:r>
      <w:r>
        <w:rPr>
          <w:rFonts w:asciiTheme="minorHAnsi" w:hAnsiTheme="minorHAnsi" w:cstheme="minorHAnsi"/>
          <w:lang w:val="en-GB" w:eastAsia="ru-RU"/>
        </w:rPr>
        <w:t xml:space="preserve"> the</w:t>
      </w:r>
      <w:r w:rsidRPr="0036524B">
        <w:rPr>
          <w:rFonts w:asciiTheme="minorHAnsi" w:hAnsiTheme="minorHAnsi" w:cstheme="minorHAnsi"/>
          <w:lang w:val="en-GB" w:eastAsia="ru-RU"/>
        </w:rPr>
        <w:t xml:space="preserve"> Code of Ethics of </w:t>
      </w:r>
      <w:r>
        <w:rPr>
          <w:rFonts w:asciiTheme="minorHAnsi" w:hAnsiTheme="minorHAnsi" w:cstheme="minorHAnsi"/>
          <w:lang w:val="en-GB" w:eastAsia="ru-RU"/>
        </w:rPr>
        <w:t>Tajikistan</w:t>
      </w:r>
      <w:r w:rsidRPr="0036524B">
        <w:rPr>
          <w:rFonts w:asciiTheme="minorHAnsi" w:hAnsiTheme="minorHAnsi" w:cstheme="minorHAnsi"/>
          <w:lang w:val="en-GB" w:eastAsia="ru-RU"/>
        </w:rPr>
        <w:t>. The</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legislation</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does</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not</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define</w:t>
      </w:r>
      <w:r>
        <w:rPr>
          <w:rFonts w:asciiTheme="minorHAnsi" w:hAnsiTheme="minorHAnsi" w:cstheme="minorHAnsi"/>
          <w:lang w:val="en-GB" w:eastAsia="ru-RU"/>
        </w:rPr>
        <w:t xml:space="preserve"> a</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grave</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 xml:space="preserve">violation of </w:t>
      </w:r>
      <w:r>
        <w:rPr>
          <w:rFonts w:asciiTheme="minorHAnsi" w:hAnsiTheme="minorHAnsi" w:cstheme="minorHAnsi"/>
          <w:lang w:val="en-GB" w:eastAsia="ru-RU"/>
        </w:rPr>
        <w:t xml:space="preserve">the </w:t>
      </w:r>
      <w:r w:rsidRPr="0036524B">
        <w:rPr>
          <w:rFonts w:asciiTheme="minorHAnsi" w:hAnsiTheme="minorHAnsi" w:cstheme="minorHAnsi"/>
          <w:lang w:val="en-GB" w:eastAsia="ru-RU"/>
        </w:rPr>
        <w:t>legislation. It is also not clear which acts can be considered as acts detractive to authority of judiciary, honour and dignity of judges. As</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mentioned</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above</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such</w:t>
      </w:r>
      <w:r w:rsidRPr="0036524B">
        <w:rPr>
          <w:rFonts w:asciiTheme="minorHAnsi" w:hAnsiTheme="minorHAnsi" w:cstheme="minorHAnsi"/>
          <w:lang w:eastAsia="ru-RU"/>
        </w:rPr>
        <w:t xml:space="preserve"> </w:t>
      </w:r>
      <w:r w:rsidRPr="0036524B">
        <w:rPr>
          <w:rFonts w:asciiTheme="minorHAnsi" w:hAnsiTheme="minorHAnsi" w:cstheme="minorHAnsi"/>
          <w:lang w:val="en-GB" w:eastAsia="ru-RU"/>
        </w:rPr>
        <w:t xml:space="preserve">definitions may result in subjective and discretionary interpretation of actions and behaviour of judges. </w:t>
      </w:r>
      <w:r>
        <w:rPr>
          <w:rFonts w:asciiTheme="minorHAnsi" w:hAnsiTheme="minorHAnsi" w:cstheme="minorHAnsi"/>
          <w:lang w:val="en-GB" w:eastAsia="ru-RU"/>
        </w:rPr>
        <w:t>S</w:t>
      </w:r>
      <w:r w:rsidRPr="0036524B">
        <w:rPr>
          <w:rFonts w:asciiTheme="minorHAnsi" w:hAnsiTheme="minorHAnsi" w:cstheme="minorHAnsi"/>
          <w:lang w:val="en-GB" w:eastAsia="ru-RU"/>
        </w:rPr>
        <w:t>uch provisions pose a risk to</w:t>
      </w:r>
      <w:r>
        <w:rPr>
          <w:rFonts w:asciiTheme="minorHAnsi" w:hAnsiTheme="minorHAnsi" w:cstheme="minorHAnsi"/>
          <w:lang w:val="en-GB" w:eastAsia="ru-RU"/>
        </w:rPr>
        <w:t xml:space="preserve"> the</w:t>
      </w:r>
      <w:r w:rsidRPr="0036524B">
        <w:rPr>
          <w:rFonts w:asciiTheme="minorHAnsi" w:hAnsiTheme="minorHAnsi" w:cstheme="minorHAnsi"/>
          <w:lang w:val="en-GB" w:eastAsia="ru-RU"/>
        </w:rPr>
        <w:t xml:space="preserve"> independence of judges in hearing cases and their decisions. </w:t>
      </w:r>
    </w:p>
    <w:p w14:paraId="001CB71F" w14:textId="36FA46B0" w:rsidR="00535D8B" w:rsidRPr="00535D8B" w:rsidRDefault="00535D8B" w:rsidP="00535D8B">
      <w:pPr>
        <w:pStyle w:val="ListParagraph"/>
        <w:numPr>
          <w:ilvl w:val="0"/>
          <w:numId w:val="35"/>
        </w:numPr>
        <w:shd w:val="clear" w:color="auto" w:fill="FFFFFF"/>
        <w:jc w:val="both"/>
        <w:rPr>
          <w:rFonts w:asciiTheme="minorHAnsi" w:hAnsiTheme="minorHAnsi" w:cstheme="minorHAnsi"/>
        </w:rPr>
      </w:pPr>
      <w:r w:rsidRPr="00535D8B">
        <w:rPr>
          <w:rFonts w:asciiTheme="minorHAnsi" w:hAnsiTheme="minorHAnsi" w:cstheme="minorHAnsi"/>
          <w:b/>
        </w:rPr>
        <w:t>Eradication of corruption in the judiciary and adequate remuneration for judges</w:t>
      </w:r>
    </w:p>
    <w:p w14:paraId="540AA3E8" w14:textId="758DC946" w:rsidR="00535D8B" w:rsidRPr="0036524B" w:rsidRDefault="00535D8B" w:rsidP="00535D8B">
      <w:pPr>
        <w:shd w:val="clear" w:color="auto" w:fill="FFFFFF"/>
        <w:jc w:val="both"/>
        <w:rPr>
          <w:rFonts w:asciiTheme="minorHAnsi" w:hAnsiTheme="minorHAnsi" w:cstheme="minorHAnsi"/>
          <w:lang w:eastAsia="ru-RU"/>
        </w:rPr>
      </w:pPr>
      <w:r>
        <w:rPr>
          <w:rFonts w:asciiTheme="minorHAnsi" w:hAnsiTheme="minorHAnsi" w:cstheme="minorHAnsi"/>
          <w:lang w:val="en-GB" w:eastAsia="ru-RU"/>
        </w:rPr>
        <w:t>A s</w:t>
      </w:r>
      <w:r w:rsidRPr="0036524B">
        <w:rPr>
          <w:rFonts w:asciiTheme="minorHAnsi" w:hAnsiTheme="minorHAnsi" w:cstheme="minorHAnsi"/>
          <w:lang w:val="en-GB" w:eastAsia="ru-RU"/>
        </w:rPr>
        <w:t>tudy on</w:t>
      </w:r>
      <w:r>
        <w:rPr>
          <w:rFonts w:asciiTheme="minorHAnsi" w:hAnsiTheme="minorHAnsi" w:cstheme="minorHAnsi"/>
          <w:lang w:val="en-GB" w:eastAsia="ru-RU"/>
        </w:rPr>
        <w:t xml:space="preserve"> the</w:t>
      </w:r>
      <w:r w:rsidRPr="0036524B">
        <w:rPr>
          <w:rFonts w:asciiTheme="minorHAnsi" w:hAnsiTheme="minorHAnsi" w:cstheme="minorHAnsi"/>
          <w:lang w:val="en-GB" w:eastAsia="ru-RU"/>
        </w:rPr>
        <w:t xml:space="preserve"> prevalence of corruption conducted in 2015</w:t>
      </w:r>
      <w:r>
        <w:rPr>
          <w:rStyle w:val="FootnoteReference"/>
          <w:rFonts w:asciiTheme="minorHAnsi" w:hAnsiTheme="minorHAnsi" w:cstheme="minorHAnsi"/>
          <w:lang w:val="en-GB" w:eastAsia="ru-RU"/>
        </w:rPr>
        <w:footnoteReference w:id="16"/>
      </w:r>
      <w:r w:rsidRPr="0036524B">
        <w:rPr>
          <w:rFonts w:asciiTheme="minorHAnsi" w:hAnsiTheme="minorHAnsi" w:cstheme="minorHAnsi"/>
          <w:lang w:val="en-GB" w:eastAsia="ru-RU"/>
        </w:rPr>
        <w:t xml:space="preserve"> demonstrated that lower level courts and high courts were considered among </w:t>
      </w:r>
      <w:r>
        <w:rPr>
          <w:rFonts w:asciiTheme="minorHAnsi" w:hAnsiTheme="minorHAnsi" w:cstheme="minorHAnsi"/>
          <w:lang w:val="en-GB" w:eastAsia="ru-RU"/>
        </w:rPr>
        <w:t xml:space="preserve">the </w:t>
      </w:r>
      <w:r w:rsidRPr="0036524B">
        <w:rPr>
          <w:rFonts w:asciiTheme="minorHAnsi" w:hAnsiTheme="minorHAnsi" w:cstheme="minorHAnsi"/>
          <w:lang w:val="en-GB" w:eastAsia="ru-RU"/>
        </w:rPr>
        <w:t xml:space="preserve">six </w:t>
      </w:r>
      <w:r w:rsidRPr="00253BCA">
        <w:rPr>
          <w:rFonts w:asciiTheme="minorHAnsi" w:hAnsiTheme="minorHAnsi" w:cstheme="minorHAnsi"/>
          <w:b/>
          <w:lang w:val="en-GB" w:eastAsia="ru-RU"/>
        </w:rPr>
        <w:t>most corrupt public bodies in Tajikistan</w:t>
      </w:r>
      <w:r w:rsidRPr="0036524B">
        <w:rPr>
          <w:rFonts w:asciiTheme="minorHAnsi" w:hAnsiTheme="minorHAnsi" w:cstheme="minorHAnsi"/>
          <w:lang w:val="en-GB" w:eastAsia="ru-RU"/>
        </w:rPr>
        <w:t xml:space="preserve"> (51.1 percent and 49.8 percent of respondents, respectively, provided such an assessment). </w:t>
      </w:r>
      <w:r>
        <w:rPr>
          <w:rFonts w:asciiTheme="minorHAnsi" w:hAnsiTheme="minorHAnsi" w:cstheme="minorHAnsi"/>
          <w:lang w:val="en-GB" w:eastAsia="ru-RU"/>
        </w:rPr>
        <w:t>The p</w:t>
      </w:r>
      <w:r w:rsidRPr="0036524B">
        <w:rPr>
          <w:rFonts w:asciiTheme="minorHAnsi" w:hAnsiTheme="minorHAnsi" w:cstheme="minorHAnsi"/>
          <w:lang w:val="en-GB" w:eastAsia="ru-RU"/>
        </w:rPr>
        <w:t xml:space="preserve">opulation has a low trust </w:t>
      </w:r>
      <w:r>
        <w:rPr>
          <w:rFonts w:asciiTheme="minorHAnsi" w:hAnsiTheme="minorHAnsi" w:cstheme="minorHAnsi"/>
          <w:lang w:val="en-GB" w:eastAsia="ru-RU"/>
        </w:rPr>
        <w:t>towards the</w:t>
      </w:r>
      <w:r w:rsidRPr="0036524B">
        <w:rPr>
          <w:rFonts w:asciiTheme="minorHAnsi" w:hAnsiTheme="minorHAnsi" w:cstheme="minorHAnsi"/>
          <w:lang w:val="en-GB" w:eastAsia="ru-RU"/>
        </w:rPr>
        <w:t xml:space="preserve"> judiciary system. </w:t>
      </w:r>
      <w:r>
        <w:rPr>
          <w:rFonts w:asciiTheme="minorHAnsi" w:hAnsiTheme="minorHAnsi" w:cstheme="minorHAnsi"/>
          <w:lang w:val="en-GB" w:eastAsia="ru-RU"/>
        </w:rPr>
        <w:t xml:space="preserve">So, </w:t>
      </w:r>
      <w:r w:rsidRPr="0036524B">
        <w:rPr>
          <w:rFonts w:asciiTheme="minorHAnsi" w:hAnsiTheme="minorHAnsi" w:cstheme="minorHAnsi"/>
          <w:lang w:val="en-GB" w:eastAsia="ru-RU"/>
        </w:rPr>
        <w:t xml:space="preserve">58.7 percent of respondents noted </w:t>
      </w:r>
      <w:r>
        <w:rPr>
          <w:rFonts w:asciiTheme="minorHAnsi" w:hAnsiTheme="minorHAnsi" w:cstheme="minorHAnsi"/>
          <w:lang w:val="en-GB" w:eastAsia="ru-RU"/>
        </w:rPr>
        <w:t>that “</w:t>
      </w:r>
      <w:r w:rsidRPr="0036524B">
        <w:rPr>
          <w:rFonts w:asciiTheme="minorHAnsi" w:hAnsiTheme="minorHAnsi" w:cstheme="minorHAnsi"/>
          <w:lang w:val="en-GB" w:eastAsia="ru-RU"/>
        </w:rPr>
        <w:t>many people do not want to apply to court, because they do not believe in</w:t>
      </w:r>
      <w:r>
        <w:rPr>
          <w:rFonts w:asciiTheme="minorHAnsi" w:hAnsiTheme="minorHAnsi" w:cstheme="minorHAnsi"/>
          <w:lang w:val="en-GB" w:eastAsia="ru-RU"/>
        </w:rPr>
        <w:t xml:space="preserve"> a</w:t>
      </w:r>
      <w:r w:rsidRPr="0036524B">
        <w:rPr>
          <w:rFonts w:asciiTheme="minorHAnsi" w:hAnsiTheme="minorHAnsi" w:cstheme="minorHAnsi"/>
          <w:lang w:val="en-GB" w:eastAsia="ru-RU"/>
        </w:rPr>
        <w:t xml:space="preserve"> fair trial</w:t>
      </w:r>
      <w:r>
        <w:rPr>
          <w:rFonts w:asciiTheme="minorHAnsi" w:hAnsiTheme="minorHAnsi" w:cstheme="minorHAnsi"/>
          <w:lang w:val="en-GB" w:eastAsia="ru-RU"/>
        </w:rPr>
        <w:t>”</w:t>
      </w:r>
      <w:r w:rsidRPr="0036524B">
        <w:rPr>
          <w:rFonts w:asciiTheme="minorHAnsi" w:hAnsiTheme="minorHAnsi" w:cstheme="minorHAnsi"/>
          <w:lang w:val="en-GB" w:eastAsia="ru-RU"/>
        </w:rPr>
        <w:t xml:space="preserve">. Other responses included that </w:t>
      </w:r>
      <w:r>
        <w:rPr>
          <w:rFonts w:asciiTheme="minorHAnsi" w:hAnsiTheme="minorHAnsi" w:cstheme="minorHAnsi"/>
          <w:lang w:val="en-GB" w:eastAsia="ru-RU"/>
        </w:rPr>
        <w:t>“</w:t>
      </w:r>
      <w:r w:rsidRPr="0036524B">
        <w:rPr>
          <w:rFonts w:asciiTheme="minorHAnsi" w:hAnsiTheme="minorHAnsi" w:cstheme="minorHAnsi"/>
          <w:lang w:val="en-GB" w:eastAsia="ru-RU"/>
        </w:rPr>
        <w:t>only those who paid bribes win the case in court</w:t>
      </w:r>
      <w:r>
        <w:rPr>
          <w:rFonts w:asciiTheme="minorHAnsi" w:hAnsiTheme="minorHAnsi" w:cstheme="minorHAnsi"/>
          <w:lang w:val="en-GB" w:eastAsia="ru-RU"/>
        </w:rPr>
        <w:t>”</w:t>
      </w:r>
      <w:r w:rsidRPr="0036524B">
        <w:rPr>
          <w:rFonts w:asciiTheme="minorHAnsi" w:hAnsiTheme="minorHAnsi" w:cstheme="minorHAnsi"/>
          <w:lang w:val="en-GB" w:eastAsia="ru-RU"/>
        </w:rPr>
        <w:t xml:space="preserve">; </w:t>
      </w:r>
      <w:r>
        <w:rPr>
          <w:rFonts w:asciiTheme="minorHAnsi" w:hAnsiTheme="minorHAnsi" w:cstheme="minorHAnsi"/>
          <w:lang w:val="en-GB" w:eastAsia="ru-RU"/>
        </w:rPr>
        <w:t>“</w:t>
      </w:r>
      <w:r w:rsidRPr="0036524B">
        <w:rPr>
          <w:rFonts w:asciiTheme="minorHAnsi" w:hAnsiTheme="minorHAnsi" w:cstheme="minorHAnsi"/>
          <w:lang w:val="en-GB" w:eastAsia="ru-RU"/>
        </w:rPr>
        <w:t>judges are not fully protected, they receive low salar</w:t>
      </w:r>
      <w:r>
        <w:rPr>
          <w:rFonts w:asciiTheme="minorHAnsi" w:hAnsiTheme="minorHAnsi" w:cstheme="minorHAnsi"/>
          <w:lang w:val="en-GB" w:eastAsia="ru-RU"/>
        </w:rPr>
        <w:t>ies</w:t>
      </w:r>
      <w:r w:rsidRPr="0036524B">
        <w:rPr>
          <w:rFonts w:asciiTheme="minorHAnsi" w:hAnsiTheme="minorHAnsi" w:cstheme="minorHAnsi"/>
          <w:lang w:val="en-GB" w:eastAsia="ru-RU"/>
        </w:rPr>
        <w:t>, that</w:t>
      </w:r>
      <w:r>
        <w:rPr>
          <w:rFonts w:asciiTheme="minorHAnsi" w:hAnsiTheme="minorHAnsi" w:cstheme="minorHAnsi"/>
          <w:lang w:val="en-GB" w:eastAsia="ru-RU"/>
        </w:rPr>
        <w:t xml:space="preserve"> i</w:t>
      </w:r>
      <w:r w:rsidRPr="0036524B">
        <w:rPr>
          <w:rFonts w:asciiTheme="minorHAnsi" w:hAnsiTheme="minorHAnsi" w:cstheme="minorHAnsi"/>
          <w:lang w:val="en-GB" w:eastAsia="ru-RU"/>
        </w:rPr>
        <w:t>s why they take bribes</w:t>
      </w:r>
      <w:r>
        <w:rPr>
          <w:rFonts w:asciiTheme="minorHAnsi" w:hAnsiTheme="minorHAnsi" w:cstheme="minorHAnsi"/>
          <w:lang w:val="en-GB" w:eastAsia="ru-RU"/>
        </w:rPr>
        <w:t>”</w:t>
      </w:r>
      <w:r w:rsidRPr="0036524B">
        <w:rPr>
          <w:rFonts w:asciiTheme="minorHAnsi" w:hAnsiTheme="minorHAnsi" w:cstheme="minorHAnsi"/>
          <w:lang w:val="en-GB" w:eastAsia="ru-RU"/>
        </w:rPr>
        <w:t xml:space="preserve">; </w:t>
      </w:r>
      <w:r>
        <w:rPr>
          <w:rFonts w:asciiTheme="minorHAnsi" w:hAnsiTheme="minorHAnsi" w:cstheme="minorHAnsi"/>
          <w:lang w:val="en-GB" w:eastAsia="ru-RU"/>
        </w:rPr>
        <w:t>“</w:t>
      </w:r>
      <w:r w:rsidRPr="0036524B">
        <w:rPr>
          <w:rFonts w:asciiTheme="minorHAnsi" w:hAnsiTheme="minorHAnsi" w:cstheme="minorHAnsi"/>
          <w:lang w:val="en-GB" w:eastAsia="ru-RU"/>
        </w:rPr>
        <w:t>judges are unqualified to resolve cases</w:t>
      </w:r>
      <w:r>
        <w:rPr>
          <w:rFonts w:asciiTheme="minorHAnsi" w:hAnsiTheme="minorHAnsi" w:cstheme="minorHAnsi"/>
          <w:lang w:val="en-GB" w:eastAsia="ru-RU"/>
        </w:rPr>
        <w:t>”.</w:t>
      </w:r>
      <w:r w:rsidRPr="0036524B">
        <w:rPr>
          <w:rFonts w:asciiTheme="minorHAnsi" w:hAnsiTheme="minorHAnsi" w:cstheme="minorHAnsi"/>
          <w:lang w:val="en-GB" w:eastAsia="ru-RU"/>
        </w:rPr>
        <w:t xml:space="preserve"> </w:t>
      </w:r>
      <w:r>
        <w:rPr>
          <w:rFonts w:asciiTheme="minorHAnsi" w:hAnsiTheme="minorHAnsi" w:cstheme="minorHAnsi"/>
          <w:lang w:val="en-GB" w:eastAsia="ru-RU"/>
        </w:rPr>
        <w:t>The j</w:t>
      </w:r>
      <w:r w:rsidRPr="0036524B">
        <w:rPr>
          <w:rFonts w:asciiTheme="minorHAnsi" w:hAnsiTheme="minorHAnsi" w:cstheme="minorHAnsi"/>
          <w:lang w:val="en-GB" w:eastAsia="ru-RU"/>
        </w:rPr>
        <w:t xml:space="preserve">udiciary was mentioned as </w:t>
      </w:r>
      <w:r>
        <w:rPr>
          <w:rFonts w:asciiTheme="minorHAnsi" w:hAnsiTheme="minorHAnsi" w:cstheme="minorHAnsi"/>
          <w:lang w:val="en-GB" w:eastAsia="ru-RU"/>
        </w:rPr>
        <w:t>the</w:t>
      </w:r>
      <w:r w:rsidRPr="0036524B">
        <w:rPr>
          <w:rFonts w:asciiTheme="minorHAnsi" w:hAnsiTheme="minorHAnsi" w:cstheme="minorHAnsi"/>
          <w:lang w:val="en-GB" w:eastAsia="ru-RU"/>
        </w:rPr>
        <w:t xml:space="preserve"> third sector (after land </w:t>
      </w:r>
      <w:r>
        <w:rPr>
          <w:rFonts w:asciiTheme="minorHAnsi" w:hAnsiTheme="minorHAnsi" w:cstheme="minorHAnsi"/>
          <w:lang w:val="en-GB" w:eastAsia="ru-RU"/>
        </w:rPr>
        <w:t xml:space="preserve">distribution </w:t>
      </w:r>
      <w:r w:rsidRPr="0036524B">
        <w:rPr>
          <w:rFonts w:asciiTheme="minorHAnsi" w:hAnsiTheme="minorHAnsi" w:cstheme="minorHAnsi"/>
          <w:lang w:val="en-GB" w:eastAsia="ru-RU"/>
        </w:rPr>
        <w:t>and health sectors) where people ha</w:t>
      </w:r>
      <w:r>
        <w:rPr>
          <w:rFonts w:asciiTheme="minorHAnsi" w:hAnsiTheme="minorHAnsi" w:cstheme="minorHAnsi"/>
          <w:lang w:val="en-GB" w:eastAsia="ru-RU"/>
        </w:rPr>
        <w:t>d</w:t>
      </w:r>
      <w:r w:rsidRPr="0036524B">
        <w:rPr>
          <w:rFonts w:asciiTheme="minorHAnsi" w:hAnsiTheme="minorHAnsi" w:cstheme="minorHAnsi"/>
          <w:lang w:val="en-GB" w:eastAsia="ru-RU"/>
        </w:rPr>
        <w:t xml:space="preserve"> to pay</w:t>
      </w:r>
      <w:r>
        <w:rPr>
          <w:rFonts w:asciiTheme="minorHAnsi" w:hAnsiTheme="minorHAnsi" w:cstheme="minorHAnsi"/>
          <w:lang w:val="en-GB" w:eastAsia="ru-RU"/>
        </w:rPr>
        <w:t xml:space="preserve"> the</w:t>
      </w:r>
      <w:r w:rsidRPr="0036524B">
        <w:rPr>
          <w:rFonts w:asciiTheme="minorHAnsi" w:hAnsiTheme="minorHAnsi" w:cstheme="minorHAnsi"/>
          <w:lang w:val="en-GB" w:eastAsia="ru-RU"/>
        </w:rPr>
        <w:t xml:space="preserve"> highest unofficial costs.</w:t>
      </w:r>
      <w:r w:rsidRPr="0036524B">
        <w:rPr>
          <w:rStyle w:val="FootnoteReference"/>
          <w:rFonts w:asciiTheme="minorHAnsi" w:hAnsiTheme="minorHAnsi" w:cstheme="minorHAnsi"/>
          <w:lang w:val="en-GB" w:eastAsia="ru-RU"/>
        </w:rPr>
        <w:footnoteReference w:id="17"/>
      </w:r>
      <w:r w:rsidRPr="0036524B">
        <w:rPr>
          <w:rFonts w:asciiTheme="minorHAnsi" w:hAnsiTheme="minorHAnsi" w:cstheme="minorHAnsi"/>
          <w:lang w:val="en-GB" w:eastAsia="ru-RU"/>
        </w:rPr>
        <w:t xml:space="preserve">   </w:t>
      </w:r>
    </w:p>
    <w:p w14:paraId="7F3566EF" w14:textId="5B6F664F" w:rsidR="00535D8B" w:rsidRPr="0036524B" w:rsidRDefault="00535D8B" w:rsidP="00535D8B">
      <w:pPr>
        <w:shd w:val="clear" w:color="auto" w:fill="FFFFFF"/>
        <w:jc w:val="both"/>
        <w:rPr>
          <w:rFonts w:asciiTheme="minorHAnsi" w:hAnsiTheme="minorHAnsi" w:cstheme="minorHAnsi"/>
          <w:color w:val="222222"/>
        </w:rPr>
      </w:pPr>
      <w:r w:rsidRPr="0036524B">
        <w:rPr>
          <w:rFonts w:asciiTheme="minorHAnsi" w:hAnsiTheme="minorHAnsi" w:cstheme="minorHAnsi"/>
          <w:color w:val="222222"/>
        </w:rPr>
        <w:t xml:space="preserve">The Action Plan to the Anti-Corruption Strategy of Tajikistan for 2013-2020 envisages several </w:t>
      </w:r>
      <w:r w:rsidRPr="00253BCA">
        <w:rPr>
          <w:rFonts w:asciiTheme="minorHAnsi" w:hAnsiTheme="minorHAnsi" w:cstheme="minorHAnsi"/>
          <w:b/>
          <w:color w:val="222222"/>
        </w:rPr>
        <w:t>measures to eradicate corruption in the judiciary</w:t>
      </w:r>
      <w:r>
        <w:rPr>
          <w:rFonts w:asciiTheme="minorHAnsi" w:hAnsiTheme="minorHAnsi" w:cstheme="minorHAnsi"/>
          <w:color w:val="222222"/>
        </w:rPr>
        <w:t xml:space="preserve">, </w:t>
      </w:r>
      <w:r w:rsidRPr="0036524B">
        <w:rPr>
          <w:rFonts w:asciiTheme="minorHAnsi" w:hAnsiTheme="minorHAnsi" w:cstheme="minorHAnsi"/>
          <w:color w:val="222222"/>
        </w:rPr>
        <w:t>such as</w:t>
      </w:r>
      <w:r>
        <w:rPr>
          <w:rFonts w:asciiTheme="minorHAnsi" w:hAnsiTheme="minorHAnsi" w:cstheme="minorHAnsi"/>
          <w:color w:val="222222"/>
        </w:rPr>
        <w:t xml:space="preserve"> the</w:t>
      </w:r>
      <w:r w:rsidRPr="0036524B">
        <w:rPr>
          <w:rFonts w:asciiTheme="minorHAnsi" w:hAnsiTheme="minorHAnsi" w:cstheme="minorHAnsi"/>
          <w:color w:val="222222"/>
        </w:rPr>
        <w:t xml:space="preserve"> improvement of </w:t>
      </w:r>
      <w:r>
        <w:rPr>
          <w:rFonts w:asciiTheme="minorHAnsi" w:hAnsiTheme="minorHAnsi" w:cstheme="minorHAnsi"/>
          <w:color w:val="222222"/>
        </w:rPr>
        <w:t xml:space="preserve">the </w:t>
      </w:r>
      <w:r w:rsidRPr="0036524B">
        <w:rPr>
          <w:rFonts w:asciiTheme="minorHAnsi" w:hAnsiTheme="minorHAnsi" w:cstheme="minorHAnsi"/>
          <w:color w:val="222222"/>
        </w:rPr>
        <w:t xml:space="preserve">procedure of appointment and dismissal of judges; improvement of </w:t>
      </w:r>
      <w:r>
        <w:rPr>
          <w:rFonts w:asciiTheme="minorHAnsi" w:hAnsiTheme="minorHAnsi" w:cstheme="minorHAnsi"/>
          <w:color w:val="222222"/>
        </w:rPr>
        <w:t xml:space="preserve">the </w:t>
      </w:r>
      <w:r w:rsidRPr="0036524B">
        <w:rPr>
          <w:rFonts w:asciiTheme="minorHAnsi" w:hAnsiTheme="minorHAnsi" w:cstheme="minorHAnsi"/>
          <w:color w:val="222222"/>
        </w:rPr>
        <w:t xml:space="preserve">mechanisms of </w:t>
      </w:r>
      <w:r>
        <w:rPr>
          <w:rFonts w:asciiTheme="minorHAnsi" w:hAnsiTheme="minorHAnsi" w:cstheme="minorHAnsi"/>
          <w:color w:val="222222"/>
        </w:rPr>
        <w:t xml:space="preserve">public </w:t>
      </w:r>
      <w:r w:rsidRPr="0036524B">
        <w:rPr>
          <w:rFonts w:asciiTheme="minorHAnsi" w:hAnsiTheme="minorHAnsi" w:cstheme="minorHAnsi"/>
          <w:color w:val="222222"/>
        </w:rPr>
        <w:t>access</w:t>
      </w:r>
      <w:r>
        <w:rPr>
          <w:rFonts w:asciiTheme="minorHAnsi" w:hAnsiTheme="minorHAnsi" w:cstheme="minorHAnsi"/>
          <w:color w:val="222222"/>
        </w:rPr>
        <w:t xml:space="preserve"> to</w:t>
      </w:r>
      <w:r w:rsidRPr="0036524B">
        <w:rPr>
          <w:rFonts w:asciiTheme="minorHAnsi" w:hAnsiTheme="minorHAnsi" w:cstheme="minorHAnsi"/>
          <w:color w:val="222222"/>
        </w:rPr>
        <w:t xml:space="preserve"> information about judicial trials, resolutions of courts, vacancies, procedures of admission to work, procedure</w:t>
      </w:r>
      <w:r>
        <w:rPr>
          <w:rFonts w:asciiTheme="minorHAnsi" w:hAnsiTheme="minorHAnsi" w:cstheme="minorHAnsi"/>
          <w:color w:val="222222"/>
        </w:rPr>
        <w:t>s</w:t>
      </w:r>
      <w:r w:rsidRPr="0036524B">
        <w:rPr>
          <w:rFonts w:asciiTheme="minorHAnsi" w:hAnsiTheme="minorHAnsi" w:cstheme="minorHAnsi"/>
          <w:color w:val="222222"/>
        </w:rPr>
        <w:t xml:space="preserve"> of</w:t>
      </w:r>
      <w:r>
        <w:rPr>
          <w:rFonts w:asciiTheme="minorHAnsi" w:hAnsiTheme="minorHAnsi" w:cstheme="minorHAnsi"/>
          <w:color w:val="222222"/>
        </w:rPr>
        <w:t xml:space="preserve"> the</w:t>
      </w:r>
      <w:r w:rsidRPr="0036524B">
        <w:rPr>
          <w:rFonts w:asciiTheme="minorHAnsi" w:hAnsiTheme="minorHAnsi" w:cstheme="minorHAnsi"/>
          <w:color w:val="222222"/>
        </w:rPr>
        <w:t xml:space="preserve"> selection of judges and justification for </w:t>
      </w:r>
      <w:r>
        <w:rPr>
          <w:rFonts w:asciiTheme="minorHAnsi" w:hAnsiTheme="minorHAnsi" w:cstheme="minorHAnsi"/>
          <w:color w:val="222222"/>
        </w:rPr>
        <w:t xml:space="preserve">the </w:t>
      </w:r>
      <w:r w:rsidRPr="0036524B">
        <w:rPr>
          <w:rFonts w:asciiTheme="minorHAnsi" w:hAnsiTheme="minorHAnsi" w:cstheme="minorHAnsi"/>
          <w:color w:val="222222"/>
        </w:rPr>
        <w:t xml:space="preserve">appointment of judges; improvement of material, technical conditions of courts to improve </w:t>
      </w:r>
      <w:r>
        <w:rPr>
          <w:rFonts w:asciiTheme="minorHAnsi" w:hAnsiTheme="minorHAnsi" w:cstheme="minorHAnsi"/>
          <w:color w:val="222222"/>
        </w:rPr>
        <w:t xml:space="preserve">the </w:t>
      </w:r>
      <w:r w:rsidRPr="0036524B">
        <w:rPr>
          <w:rFonts w:asciiTheme="minorHAnsi" w:hAnsiTheme="minorHAnsi" w:cstheme="minorHAnsi"/>
          <w:color w:val="222222"/>
        </w:rPr>
        <w:t xml:space="preserve">working conditions, introduce international standards, technologies and modern equipment and ensure transparency; study and anti-corruption expertise of the criminal, administrative, disciplinary and procedural legislation and legislation governing activities of judiciary; analysis of reasons of corruption in courts; improvement of social support of court personnel, provision of required housing including public housing and allocation of plots of land for </w:t>
      </w:r>
      <w:r w:rsidRPr="0036524B">
        <w:rPr>
          <w:rFonts w:asciiTheme="minorHAnsi" w:hAnsiTheme="minorHAnsi" w:cstheme="minorHAnsi"/>
          <w:color w:val="222222"/>
        </w:rPr>
        <w:lastRenderedPageBreak/>
        <w:t xml:space="preserve">construction of housing. Studies on corruption in courts were not conducted in Tajikistan. The only source of information about this is a study on </w:t>
      </w:r>
      <w:r>
        <w:rPr>
          <w:rFonts w:asciiTheme="minorHAnsi" w:hAnsiTheme="minorHAnsi" w:cstheme="minorHAnsi"/>
          <w:color w:val="222222"/>
        </w:rPr>
        <w:t xml:space="preserve">the </w:t>
      </w:r>
      <w:r w:rsidRPr="0036524B">
        <w:rPr>
          <w:rFonts w:asciiTheme="minorHAnsi" w:hAnsiTheme="minorHAnsi" w:cstheme="minorHAnsi"/>
          <w:color w:val="222222"/>
        </w:rPr>
        <w:t xml:space="preserve">prevalence of corruption conducted by the Strategic Research Center under the President of Tajikistan cited throughout this report. </w:t>
      </w:r>
    </w:p>
    <w:p w14:paraId="1EE045C3" w14:textId="5BB4C37B" w:rsidR="00535D8B" w:rsidRPr="00B53024" w:rsidRDefault="00535D8B" w:rsidP="00535D8B">
      <w:pPr>
        <w:shd w:val="clear" w:color="auto" w:fill="FFFFFF"/>
        <w:jc w:val="both"/>
        <w:rPr>
          <w:rFonts w:asciiTheme="minorHAnsi" w:hAnsiTheme="minorHAnsi" w:cstheme="minorHAnsi"/>
        </w:rPr>
      </w:pPr>
      <w:r w:rsidRPr="0036524B">
        <w:rPr>
          <w:rFonts w:asciiTheme="minorHAnsi" w:hAnsiTheme="minorHAnsi" w:cstheme="minorHAnsi"/>
          <w:color w:val="222222"/>
        </w:rPr>
        <w:t xml:space="preserve">It was foreseen to amend the </w:t>
      </w:r>
      <w:r w:rsidRPr="00253BCA">
        <w:rPr>
          <w:rFonts w:asciiTheme="minorHAnsi" w:hAnsiTheme="minorHAnsi" w:cstheme="minorHAnsi"/>
          <w:b/>
          <w:color w:val="222222"/>
        </w:rPr>
        <w:t>Constitutional Law “On Courts”,</w:t>
      </w:r>
      <w:r w:rsidRPr="0036524B">
        <w:rPr>
          <w:rFonts w:asciiTheme="minorHAnsi" w:hAnsiTheme="minorHAnsi" w:cstheme="minorHAnsi"/>
          <w:color w:val="222222"/>
        </w:rPr>
        <w:t xml:space="preserve"> </w:t>
      </w:r>
      <w:r>
        <w:rPr>
          <w:rFonts w:asciiTheme="minorHAnsi" w:hAnsiTheme="minorHAnsi" w:cstheme="minorHAnsi"/>
          <w:color w:val="222222"/>
        </w:rPr>
        <w:t>with r</w:t>
      </w:r>
      <w:r w:rsidRPr="0036524B">
        <w:rPr>
          <w:rFonts w:asciiTheme="minorHAnsi" w:hAnsiTheme="minorHAnsi" w:cstheme="minorHAnsi"/>
          <w:color w:val="222222"/>
        </w:rPr>
        <w:t xml:space="preserve">egulations on </w:t>
      </w:r>
      <w:r>
        <w:rPr>
          <w:rFonts w:asciiTheme="minorHAnsi" w:hAnsiTheme="minorHAnsi" w:cstheme="minorHAnsi"/>
          <w:color w:val="222222"/>
        </w:rPr>
        <w:t xml:space="preserve">a </w:t>
      </w:r>
      <w:r w:rsidRPr="0036524B">
        <w:rPr>
          <w:rFonts w:asciiTheme="minorHAnsi" w:hAnsiTheme="minorHAnsi" w:cstheme="minorHAnsi"/>
          <w:color w:val="222222"/>
        </w:rPr>
        <w:t>specialized commission on</w:t>
      </w:r>
      <w:r>
        <w:rPr>
          <w:rFonts w:asciiTheme="minorHAnsi" w:hAnsiTheme="minorHAnsi" w:cstheme="minorHAnsi"/>
          <w:color w:val="222222"/>
        </w:rPr>
        <w:t xml:space="preserve"> the</w:t>
      </w:r>
      <w:r w:rsidRPr="0036524B">
        <w:rPr>
          <w:rFonts w:asciiTheme="minorHAnsi" w:hAnsiTheme="minorHAnsi" w:cstheme="minorHAnsi"/>
          <w:color w:val="222222"/>
        </w:rPr>
        <w:t xml:space="preserve"> examination and</w:t>
      </w:r>
      <w:r>
        <w:rPr>
          <w:rFonts w:asciiTheme="minorHAnsi" w:hAnsiTheme="minorHAnsi" w:cstheme="minorHAnsi"/>
          <w:color w:val="222222"/>
        </w:rPr>
        <w:t xml:space="preserve"> an</w:t>
      </w:r>
      <w:r w:rsidRPr="0036524B">
        <w:rPr>
          <w:rFonts w:asciiTheme="minorHAnsi" w:hAnsiTheme="minorHAnsi" w:cstheme="minorHAnsi"/>
          <w:color w:val="222222"/>
        </w:rPr>
        <w:t xml:space="preserve"> Ethic Code of Judges. In 2014, the new Constitutional Law “On Courts (No. 1084)</w:t>
      </w:r>
      <w:r>
        <w:rPr>
          <w:rFonts w:asciiTheme="minorHAnsi" w:hAnsiTheme="minorHAnsi" w:cstheme="minorHAnsi"/>
          <w:color w:val="222222"/>
        </w:rPr>
        <w:t xml:space="preserve"> was adopted</w:t>
      </w:r>
      <w:r w:rsidRPr="0036524B">
        <w:rPr>
          <w:rFonts w:asciiTheme="minorHAnsi" w:hAnsiTheme="minorHAnsi" w:cstheme="minorHAnsi"/>
          <w:color w:val="222222"/>
        </w:rPr>
        <w:t xml:space="preserve">. In 2013, </w:t>
      </w:r>
      <w:r>
        <w:rPr>
          <w:rFonts w:asciiTheme="minorHAnsi" w:hAnsiTheme="minorHAnsi" w:cstheme="minorHAnsi"/>
          <w:color w:val="222222"/>
        </w:rPr>
        <w:t xml:space="preserve">the </w:t>
      </w:r>
      <w:r w:rsidRPr="0036524B">
        <w:rPr>
          <w:rFonts w:asciiTheme="minorHAnsi" w:hAnsiTheme="minorHAnsi" w:cstheme="minorHAnsi"/>
          <w:color w:val="222222"/>
        </w:rPr>
        <w:t>Ethics Code was adopted by the Conference of judges.</w:t>
      </w:r>
      <w:r w:rsidRPr="0036524B">
        <w:rPr>
          <w:rStyle w:val="FootnoteReference"/>
          <w:rFonts w:asciiTheme="minorHAnsi" w:hAnsiTheme="minorHAnsi" w:cstheme="minorHAnsi"/>
          <w:lang w:val="ru-RU"/>
        </w:rPr>
        <w:footnoteReference w:id="18"/>
      </w:r>
      <w:r w:rsidRPr="0036524B">
        <w:rPr>
          <w:rFonts w:asciiTheme="minorHAnsi" w:hAnsiTheme="minorHAnsi" w:cstheme="minorHAnsi"/>
        </w:rPr>
        <w:t xml:space="preserve"> The Constitutional Law “On Courts” was also amended to amend </w:t>
      </w:r>
      <w:r>
        <w:rPr>
          <w:rFonts w:asciiTheme="minorHAnsi" w:hAnsiTheme="minorHAnsi" w:cstheme="minorHAnsi"/>
        </w:rPr>
        <w:t xml:space="preserve">the </w:t>
      </w:r>
      <w:r w:rsidRPr="0036524B">
        <w:rPr>
          <w:rFonts w:asciiTheme="minorHAnsi" w:hAnsiTheme="minorHAnsi" w:cstheme="minorHAnsi"/>
        </w:rPr>
        <w:t xml:space="preserve">procedure of selection and appointment of judges (as described above). In the monitoring report of the Anti-corruption Agency it is stated that amendments to the Commission on </w:t>
      </w:r>
      <w:r>
        <w:rPr>
          <w:rFonts w:asciiTheme="minorHAnsi" w:hAnsiTheme="minorHAnsi" w:cstheme="minorHAnsi"/>
        </w:rPr>
        <w:t xml:space="preserve">the </w:t>
      </w:r>
      <w:r w:rsidRPr="0036524B">
        <w:rPr>
          <w:rFonts w:asciiTheme="minorHAnsi" w:hAnsiTheme="minorHAnsi" w:cstheme="minorHAnsi"/>
        </w:rPr>
        <w:t>Examination of Judges and</w:t>
      </w:r>
      <w:r>
        <w:rPr>
          <w:rFonts w:asciiTheme="minorHAnsi" w:hAnsiTheme="minorHAnsi" w:cstheme="minorHAnsi"/>
        </w:rPr>
        <w:t xml:space="preserve"> the</w:t>
      </w:r>
      <w:r w:rsidRPr="0036524B">
        <w:rPr>
          <w:rFonts w:asciiTheme="minorHAnsi" w:hAnsiTheme="minorHAnsi" w:cstheme="minorHAnsi"/>
        </w:rPr>
        <w:t xml:space="preserve"> Ethics Code of Judges are being drafted. However</w:t>
      </w:r>
      <w:r w:rsidRPr="00253BCA">
        <w:rPr>
          <w:rFonts w:asciiTheme="minorHAnsi" w:hAnsiTheme="minorHAnsi" w:cstheme="minorHAnsi"/>
        </w:rPr>
        <w:t xml:space="preserve">, </w:t>
      </w:r>
      <w:r w:rsidRPr="0036524B">
        <w:rPr>
          <w:rFonts w:asciiTheme="minorHAnsi" w:hAnsiTheme="minorHAnsi" w:cstheme="minorHAnsi"/>
        </w:rPr>
        <w:t>they</w:t>
      </w:r>
      <w:r w:rsidRPr="00253BCA">
        <w:rPr>
          <w:rFonts w:asciiTheme="minorHAnsi" w:hAnsiTheme="minorHAnsi" w:cstheme="minorHAnsi"/>
        </w:rPr>
        <w:t xml:space="preserve"> </w:t>
      </w:r>
      <w:r w:rsidRPr="0036524B">
        <w:rPr>
          <w:rFonts w:asciiTheme="minorHAnsi" w:hAnsiTheme="minorHAnsi" w:cstheme="minorHAnsi"/>
        </w:rPr>
        <w:t>were</w:t>
      </w:r>
      <w:r w:rsidRPr="00253BCA">
        <w:rPr>
          <w:rFonts w:asciiTheme="minorHAnsi" w:hAnsiTheme="minorHAnsi" w:cstheme="minorHAnsi"/>
        </w:rPr>
        <w:t xml:space="preserve"> </w:t>
      </w:r>
      <w:r w:rsidRPr="0036524B">
        <w:rPr>
          <w:rFonts w:asciiTheme="minorHAnsi" w:hAnsiTheme="minorHAnsi" w:cstheme="minorHAnsi"/>
        </w:rPr>
        <w:t>not</w:t>
      </w:r>
      <w:r w:rsidRPr="00253BCA">
        <w:rPr>
          <w:rFonts w:asciiTheme="minorHAnsi" w:hAnsiTheme="minorHAnsi" w:cstheme="minorHAnsi"/>
        </w:rPr>
        <w:t xml:space="preserve"> </w:t>
      </w:r>
      <w:r w:rsidRPr="0036524B">
        <w:rPr>
          <w:rFonts w:asciiTheme="minorHAnsi" w:hAnsiTheme="minorHAnsi" w:cstheme="minorHAnsi"/>
        </w:rPr>
        <w:t>adopted</w:t>
      </w:r>
      <w:r w:rsidRPr="00253BCA">
        <w:rPr>
          <w:rFonts w:asciiTheme="minorHAnsi" w:hAnsiTheme="minorHAnsi" w:cstheme="minorHAnsi"/>
        </w:rPr>
        <w:t xml:space="preserve"> </w:t>
      </w:r>
      <w:r w:rsidRPr="0036524B">
        <w:rPr>
          <w:rFonts w:asciiTheme="minorHAnsi" w:hAnsiTheme="minorHAnsi" w:cstheme="minorHAnsi"/>
        </w:rPr>
        <w:t>yet</w:t>
      </w:r>
      <w:r w:rsidRPr="00253BCA">
        <w:rPr>
          <w:rFonts w:asciiTheme="minorHAnsi" w:hAnsiTheme="minorHAnsi" w:cstheme="minorHAnsi"/>
        </w:rPr>
        <w:t xml:space="preserve">. </w:t>
      </w:r>
      <w:r w:rsidRPr="00B53024">
        <w:rPr>
          <w:rFonts w:asciiTheme="minorHAnsi" w:hAnsiTheme="minorHAnsi" w:cstheme="minorHAnsi"/>
        </w:rPr>
        <w:t>Besides, draft amendments to these legal acts are not publicly accessible for assessment of their content.</w:t>
      </w:r>
    </w:p>
    <w:p w14:paraId="010C1F74" w14:textId="40BC3D45" w:rsidR="00535D8B" w:rsidRPr="0036524B" w:rsidRDefault="00535D8B" w:rsidP="00535D8B">
      <w:pPr>
        <w:shd w:val="clear" w:color="auto" w:fill="FFFFFF"/>
        <w:jc w:val="both"/>
        <w:rPr>
          <w:rFonts w:asciiTheme="minorHAnsi" w:hAnsiTheme="minorHAnsi" w:cstheme="minorHAnsi"/>
          <w:lang w:val="en-GB"/>
        </w:rPr>
      </w:pPr>
      <w:r w:rsidRPr="00253BCA">
        <w:rPr>
          <w:rFonts w:asciiTheme="minorHAnsi" w:hAnsiTheme="minorHAnsi" w:cstheme="minorHAnsi"/>
          <w:b/>
          <w:lang w:val="en-GB"/>
        </w:rPr>
        <w:t>The access of the population to information about the judiciary</w:t>
      </w:r>
      <w:r w:rsidRPr="0036524B">
        <w:rPr>
          <w:rFonts w:asciiTheme="minorHAnsi" w:hAnsiTheme="minorHAnsi" w:cstheme="minorHAnsi"/>
          <w:lang w:val="en-GB"/>
        </w:rPr>
        <w:t xml:space="preserve"> did not improve. </w:t>
      </w:r>
      <w:r>
        <w:rPr>
          <w:rFonts w:asciiTheme="minorHAnsi" w:hAnsiTheme="minorHAnsi" w:cstheme="minorHAnsi"/>
          <w:lang w:val="en-GB"/>
        </w:rPr>
        <w:t>The lack of</w:t>
      </w:r>
      <w:r w:rsidRPr="0036524B">
        <w:rPr>
          <w:rFonts w:asciiTheme="minorHAnsi" w:hAnsiTheme="minorHAnsi" w:cstheme="minorHAnsi"/>
          <w:lang w:val="en-GB"/>
        </w:rPr>
        <w:t xml:space="preserve"> accessibility and openness of trials does not comply with</w:t>
      </w:r>
      <w:r>
        <w:rPr>
          <w:rFonts w:asciiTheme="minorHAnsi" w:hAnsiTheme="minorHAnsi" w:cstheme="minorHAnsi"/>
          <w:lang w:val="en-GB"/>
        </w:rPr>
        <w:t xml:space="preserve"> the</w:t>
      </w:r>
      <w:r w:rsidRPr="0036524B">
        <w:rPr>
          <w:rFonts w:asciiTheme="minorHAnsi" w:hAnsiTheme="minorHAnsi" w:cstheme="minorHAnsi"/>
          <w:lang w:val="en-GB"/>
        </w:rPr>
        <w:t xml:space="preserve"> principles of ensuring transparency and public hearing</w:t>
      </w:r>
      <w:r>
        <w:rPr>
          <w:rFonts w:asciiTheme="minorHAnsi" w:hAnsiTheme="minorHAnsi" w:cstheme="minorHAnsi"/>
          <w:lang w:val="en-GB"/>
        </w:rPr>
        <w:t>s</w:t>
      </w:r>
      <w:r w:rsidRPr="0036524B">
        <w:rPr>
          <w:rFonts w:asciiTheme="minorHAnsi" w:hAnsiTheme="minorHAnsi" w:cstheme="minorHAnsi"/>
          <w:lang w:val="en-GB"/>
        </w:rPr>
        <w:t xml:space="preserve"> established by the procedural legislation of Tajikistan. At the same time, legislation governing criminal, civil and administrative procedure in Tajikistan provides discretionary powers to judges to hold open or closed hearings. For example, article 273 of the Code of Criminal Procedure envisages that “</w:t>
      </w:r>
      <w:r>
        <w:rPr>
          <w:rFonts w:asciiTheme="minorHAnsi" w:hAnsiTheme="minorHAnsi" w:cstheme="minorHAnsi"/>
          <w:lang w:val="en-GB"/>
        </w:rPr>
        <w:t xml:space="preserve">a </w:t>
      </w:r>
      <w:r w:rsidRPr="0036524B">
        <w:rPr>
          <w:rFonts w:asciiTheme="minorHAnsi" w:hAnsiTheme="minorHAnsi" w:cstheme="minorHAnsi"/>
          <w:lang w:val="en-GB"/>
        </w:rPr>
        <w:t xml:space="preserve">judge, court shall ensure </w:t>
      </w:r>
      <w:r>
        <w:rPr>
          <w:rFonts w:asciiTheme="minorHAnsi" w:hAnsiTheme="minorHAnsi" w:cstheme="minorHAnsi"/>
          <w:lang w:val="en-GB"/>
        </w:rPr>
        <w:t xml:space="preserve">an </w:t>
      </w:r>
      <w:r w:rsidRPr="0036524B">
        <w:rPr>
          <w:rFonts w:asciiTheme="minorHAnsi" w:hAnsiTheme="minorHAnsi" w:cstheme="minorHAnsi"/>
          <w:lang w:val="en-GB"/>
        </w:rPr>
        <w:t xml:space="preserve">open hearing of the case except for cases when </w:t>
      </w:r>
      <w:r>
        <w:rPr>
          <w:rFonts w:asciiTheme="minorHAnsi" w:hAnsiTheme="minorHAnsi" w:cstheme="minorHAnsi"/>
          <w:lang w:val="en-GB"/>
        </w:rPr>
        <w:t xml:space="preserve">an </w:t>
      </w:r>
      <w:r w:rsidRPr="0036524B">
        <w:rPr>
          <w:rFonts w:asciiTheme="minorHAnsi" w:hAnsiTheme="minorHAnsi" w:cstheme="minorHAnsi"/>
          <w:lang w:val="en-GB"/>
        </w:rPr>
        <w:t xml:space="preserve">open hearing can result in </w:t>
      </w:r>
      <w:r>
        <w:rPr>
          <w:rFonts w:asciiTheme="minorHAnsi" w:hAnsiTheme="minorHAnsi" w:cstheme="minorHAnsi"/>
          <w:lang w:val="en-GB"/>
        </w:rPr>
        <w:t xml:space="preserve">the </w:t>
      </w:r>
      <w:r w:rsidRPr="0036524B">
        <w:rPr>
          <w:rFonts w:asciiTheme="minorHAnsi" w:hAnsiTheme="minorHAnsi" w:cstheme="minorHAnsi"/>
          <w:lang w:val="en-GB"/>
        </w:rPr>
        <w:t>disclosure of state secret</w:t>
      </w:r>
      <w:r>
        <w:rPr>
          <w:rFonts w:asciiTheme="minorHAnsi" w:hAnsiTheme="minorHAnsi" w:cstheme="minorHAnsi"/>
          <w:lang w:val="en-GB"/>
        </w:rPr>
        <w:t>s</w:t>
      </w:r>
      <w:r w:rsidRPr="0036524B">
        <w:rPr>
          <w:rFonts w:asciiTheme="minorHAnsi" w:hAnsiTheme="minorHAnsi" w:cstheme="minorHAnsi"/>
          <w:lang w:val="en-GB"/>
        </w:rPr>
        <w:t xml:space="preserve"> protected by the law and other secrets”. </w:t>
      </w:r>
      <w:r>
        <w:rPr>
          <w:rFonts w:asciiTheme="minorHAnsi" w:hAnsiTheme="minorHAnsi" w:cstheme="minorHAnsi"/>
          <w:lang w:val="en-GB"/>
        </w:rPr>
        <w:t>A l</w:t>
      </w:r>
      <w:r w:rsidRPr="0036524B">
        <w:rPr>
          <w:rFonts w:asciiTheme="minorHAnsi" w:hAnsiTheme="minorHAnsi" w:cstheme="minorHAnsi"/>
          <w:lang w:val="en-GB"/>
        </w:rPr>
        <w:t xml:space="preserve">ist of state secrets is clearly outlined by the respective law. However, </w:t>
      </w:r>
      <w:r>
        <w:rPr>
          <w:rFonts w:asciiTheme="minorHAnsi" w:hAnsiTheme="minorHAnsi" w:cstheme="minorHAnsi"/>
          <w:lang w:val="en-GB"/>
        </w:rPr>
        <w:t xml:space="preserve">the </w:t>
      </w:r>
      <w:r w:rsidRPr="0036524B">
        <w:rPr>
          <w:rFonts w:asciiTheme="minorHAnsi" w:hAnsiTheme="minorHAnsi" w:cstheme="minorHAnsi"/>
          <w:lang w:val="en-GB"/>
        </w:rPr>
        <w:t>legislation does</w:t>
      </w:r>
      <w:r>
        <w:rPr>
          <w:rFonts w:asciiTheme="minorHAnsi" w:hAnsiTheme="minorHAnsi" w:cstheme="minorHAnsi"/>
          <w:lang w:val="en-GB"/>
        </w:rPr>
        <w:t xml:space="preserve"> </w:t>
      </w:r>
      <w:r w:rsidRPr="0036524B">
        <w:rPr>
          <w:rFonts w:asciiTheme="minorHAnsi" w:hAnsiTheme="minorHAnsi" w:cstheme="minorHAnsi"/>
          <w:lang w:val="en-GB"/>
        </w:rPr>
        <w:t>n</w:t>
      </w:r>
      <w:r>
        <w:rPr>
          <w:rFonts w:asciiTheme="minorHAnsi" w:hAnsiTheme="minorHAnsi" w:cstheme="minorHAnsi"/>
          <w:lang w:val="en-GB"/>
        </w:rPr>
        <w:t>o</w:t>
      </w:r>
      <w:r w:rsidRPr="0036524B">
        <w:rPr>
          <w:rFonts w:asciiTheme="minorHAnsi" w:hAnsiTheme="minorHAnsi" w:cstheme="minorHAnsi"/>
          <w:lang w:val="en-GB"/>
        </w:rPr>
        <w:t xml:space="preserve">t establish a definition or list of “other secrets”. Thus, a judge upon his/her discretion </w:t>
      </w:r>
      <w:r>
        <w:rPr>
          <w:rFonts w:asciiTheme="minorHAnsi" w:hAnsiTheme="minorHAnsi" w:cstheme="minorHAnsi"/>
          <w:lang w:val="en-GB"/>
        </w:rPr>
        <w:t>may rule to</w:t>
      </w:r>
      <w:r w:rsidRPr="0036524B">
        <w:rPr>
          <w:rFonts w:asciiTheme="minorHAnsi" w:hAnsiTheme="minorHAnsi" w:cstheme="minorHAnsi"/>
          <w:lang w:val="en-GB"/>
        </w:rPr>
        <w:t xml:space="preserve"> have</w:t>
      </w:r>
      <w:r>
        <w:rPr>
          <w:rFonts w:asciiTheme="minorHAnsi" w:hAnsiTheme="minorHAnsi" w:cstheme="minorHAnsi"/>
          <w:lang w:val="en-GB"/>
        </w:rPr>
        <w:t xml:space="preserve"> a</w:t>
      </w:r>
      <w:r w:rsidRPr="0036524B">
        <w:rPr>
          <w:rFonts w:asciiTheme="minorHAnsi" w:hAnsiTheme="minorHAnsi" w:cstheme="minorHAnsi"/>
          <w:lang w:val="en-GB"/>
        </w:rPr>
        <w:t xml:space="preserve"> closed hearing of any case. Similarly, article 11 of the Code of Civil Procedure stipulates that cases constituting state secrets as well as other cases prescribed by the law shall be heard in closed sessions. However, the Code on Civil Procedure does</w:t>
      </w:r>
      <w:r>
        <w:rPr>
          <w:rFonts w:asciiTheme="minorHAnsi" w:hAnsiTheme="minorHAnsi" w:cstheme="minorHAnsi"/>
          <w:lang w:val="en-GB"/>
        </w:rPr>
        <w:t xml:space="preserve"> </w:t>
      </w:r>
      <w:r w:rsidRPr="0036524B">
        <w:rPr>
          <w:rFonts w:asciiTheme="minorHAnsi" w:hAnsiTheme="minorHAnsi" w:cstheme="minorHAnsi"/>
          <w:lang w:val="en-GB"/>
        </w:rPr>
        <w:t>n</w:t>
      </w:r>
      <w:r>
        <w:rPr>
          <w:rFonts w:asciiTheme="minorHAnsi" w:hAnsiTheme="minorHAnsi" w:cstheme="minorHAnsi"/>
          <w:lang w:val="en-GB"/>
        </w:rPr>
        <w:t>o</w:t>
      </w:r>
      <w:r w:rsidRPr="0036524B">
        <w:rPr>
          <w:rFonts w:asciiTheme="minorHAnsi" w:hAnsiTheme="minorHAnsi" w:cstheme="minorHAnsi"/>
          <w:lang w:val="en-GB"/>
        </w:rPr>
        <w:t>t establish any list of cases</w:t>
      </w:r>
      <w:r>
        <w:rPr>
          <w:rFonts w:asciiTheme="minorHAnsi" w:hAnsiTheme="minorHAnsi" w:cstheme="minorHAnsi"/>
          <w:lang w:val="en-GB"/>
        </w:rPr>
        <w:t>,</w:t>
      </w:r>
      <w:r w:rsidRPr="0036524B">
        <w:rPr>
          <w:rFonts w:asciiTheme="minorHAnsi" w:hAnsiTheme="minorHAnsi" w:cstheme="minorHAnsi"/>
          <w:lang w:val="en-GB"/>
        </w:rPr>
        <w:t xml:space="preserve"> which can be heard in closed sessions. There is a legal gap in Tajikistan related to publicity of judicial decisions. All the procedural codes mention that judicial decisions and rulings shall be pronounced in public. However, it is not foreseen that decisions made during public/open trials shall be published.</w:t>
      </w:r>
      <w:r w:rsidRPr="0036524B">
        <w:rPr>
          <w:rStyle w:val="FootnoteReference"/>
          <w:rFonts w:asciiTheme="minorHAnsi" w:hAnsiTheme="minorHAnsi" w:cstheme="minorHAnsi"/>
          <w:lang w:val="en-GB"/>
        </w:rPr>
        <w:footnoteReference w:id="19"/>
      </w:r>
      <w:r w:rsidRPr="0036524B">
        <w:rPr>
          <w:rFonts w:asciiTheme="minorHAnsi" w:hAnsiTheme="minorHAnsi" w:cstheme="minorHAnsi"/>
          <w:lang w:val="en-GB"/>
        </w:rPr>
        <w:t xml:space="preserve"> </w:t>
      </w:r>
    </w:p>
    <w:p w14:paraId="4FE2B63D" w14:textId="10875603" w:rsidR="00535D8B" w:rsidRPr="0036524B" w:rsidRDefault="00535D8B" w:rsidP="00535D8B">
      <w:pPr>
        <w:shd w:val="clear" w:color="auto" w:fill="FFFFFF"/>
        <w:jc w:val="both"/>
        <w:rPr>
          <w:rFonts w:asciiTheme="minorHAnsi" w:hAnsiTheme="minorHAnsi" w:cstheme="minorHAnsi"/>
          <w:lang w:val="en-GB"/>
        </w:rPr>
      </w:pPr>
      <w:r w:rsidRPr="0036524B">
        <w:rPr>
          <w:rFonts w:asciiTheme="minorHAnsi" w:hAnsiTheme="minorHAnsi" w:cstheme="minorHAnsi"/>
          <w:lang w:val="en-GB"/>
        </w:rPr>
        <w:t xml:space="preserve">Public monitoring of selected courts conducted by the NGO Human Rights Center in 2018 demonstrated that </w:t>
      </w:r>
      <w:r w:rsidRPr="00253BCA">
        <w:rPr>
          <w:rFonts w:asciiTheme="minorHAnsi" w:hAnsiTheme="minorHAnsi" w:cstheme="minorHAnsi"/>
          <w:b/>
          <w:lang w:val="en-GB"/>
        </w:rPr>
        <w:t>not all the courts had webpages</w:t>
      </w:r>
      <w:r w:rsidRPr="0036524B">
        <w:rPr>
          <w:rFonts w:asciiTheme="minorHAnsi" w:hAnsiTheme="minorHAnsi" w:cstheme="minorHAnsi"/>
          <w:lang w:val="en-GB"/>
        </w:rPr>
        <w:t xml:space="preserve"> and those functional webpages did not include information about </w:t>
      </w:r>
      <w:r>
        <w:rPr>
          <w:rFonts w:asciiTheme="minorHAnsi" w:hAnsiTheme="minorHAnsi" w:cstheme="minorHAnsi"/>
          <w:lang w:val="en-GB"/>
        </w:rPr>
        <w:t xml:space="preserve">the </w:t>
      </w:r>
      <w:r w:rsidRPr="0036524B">
        <w:rPr>
          <w:rFonts w:asciiTheme="minorHAnsi" w:hAnsiTheme="minorHAnsi" w:cstheme="minorHAnsi"/>
          <w:lang w:val="en-GB"/>
        </w:rPr>
        <w:t>casework in</w:t>
      </w:r>
      <w:r>
        <w:rPr>
          <w:rFonts w:asciiTheme="minorHAnsi" w:hAnsiTheme="minorHAnsi" w:cstheme="minorHAnsi"/>
          <w:lang w:val="en-GB"/>
        </w:rPr>
        <w:t xml:space="preserve"> the</w:t>
      </w:r>
      <w:r w:rsidRPr="0036524B">
        <w:rPr>
          <w:rFonts w:asciiTheme="minorHAnsi" w:hAnsiTheme="minorHAnsi" w:cstheme="minorHAnsi"/>
          <w:lang w:val="en-GB"/>
        </w:rPr>
        <w:t xml:space="preserve"> respective court, </w:t>
      </w:r>
      <w:r>
        <w:rPr>
          <w:rFonts w:asciiTheme="minorHAnsi" w:hAnsiTheme="minorHAnsi" w:cstheme="minorHAnsi"/>
          <w:lang w:val="en-GB"/>
        </w:rPr>
        <w:t xml:space="preserve">nor </w:t>
      </w:r>
      <w:r w:rsidRPr="0036524B">
        <w:rPr>
          <w:rFonts w:asciiTheme="minorHAnsi" w:hAnsiTheme="minorHAnsi" w:cstheme="minorHAnsi"/>
          <w:lang w:val="en-GB"/>
        </w:rPr>
        <w:t xml:space="preserve">information on vacancies. </w:t>
      </w:r>
      <w:r>
        <w:rPr>
          <w:rFonts w:asciiTheme="minorHAnsi" w:hAnsiTheme="minorHAnsi" w:cstheme="minorHAnsi"/>
          <w:lang w:val="en-GB"/>
        </w:rPr>
        <w:t>The p</w:t>
      </w:r>
      <w:r w:rsidRPr="0036524B">
        <w:rPr>
          <w:rFonts w:asciiTheme="minorHAnsi" w:hAnsiTheme="minorHAnsi" w:cstheme="minorHAnsi"/>
          <w:lang w:val="en-GB"/>
        </w:rPr>
        <w:t xml:space="preserve">osted information was not up-to-date. In most of the reviewed courts, an information board was placed near the entrance. </w:t>
      </w:r>
      <w:r>
        <w:rPr>
          <w:rFonts w:asciiTheme="minorHAnsi" w:hAnsiTheme="minorHAnsi" w:cstheme="minorHAnsi"/>
          <w:lang w:val="en-GB"/>
        </w:rPr>
        <w:t>This contained i</w:t>
      </w:r>
      <w:r w:rsidRPr="0036524B">
        <w:rPr>
          <w:rFonts w:asciiTheme="minorHAnsi" w:hAnsiTheme="minorHAnsi" w:cstheme="minorHAnsi"/>
          <w:lang w:val="en-GB"/>
        </w:rPr>
        <w:t>nformation about list</w:t>
      </w:r>
      <w:r>
        <w:rPr>
          <w:rFonts w:asciiTheme="minorHAnsi" w:hAnsiTheme="minorHAnsi" w:cstheme="minorHAnsi"/>
          <w:lang w:val="en-GB"/>
        </w:rPr>
        <w:t>s</w:t>
      </w:r>
      <w:r w:rsidRPr="0036524B">
        <w:rPr>
          <w:rFonts w:asciiTheme="minorHAnsi" w:hAnsiTheme="minorHAnsi" w:cstheme="minorHAnsi"/>
          <w:lang w:val="en-GB"/>
        </w:rPr>
        <w:t xml:space="preserve"> of cases to be heard with </w:t>
      </w:r>
      <w:r>
        <w:rPr>
          <w:rFonts w:asciiTheme="minorHAnsi" w:hAnsiTheme="minorHAnsi" w:cstheme="minorHAnsi"/>
          <w:lang w:val="en-GB"/>
        </w:rPr>
        <w:t xml:space="preserve">a </w:t>
      </w:r>
      <w:r w:rsidRPr="0036524B">
        <w:rPr>
          <w:rFonts w:asciiTheme="minorHAnsi" w:hAnsiTheme="minorHAnsi" w:cstheme="minorHAnsi"/>
          <w:lang w:val="en-GB"/>
        </w:rPr>
        <w:t xml:space="preserve">clear indication </w:t>
      </w:r>
      <w:r w:rsidRPr="00B53024">
        <w:rPr>
          <w:rFonts w:asciiTheme="minorHAnsi" w:hAnsiTheme="minorHAnsi" w:cstheme="minorHAnsi"/>
        </w:rPr>
        <w:t>of date, time and place of the hearing; schedule of receipt of citizens and recently adopted decisions by the courts. Experimental visits to courts conducted in the framework of the public monitoring of selected courts did not reveal a unified approach in ensuring public access to courts. In some courts, observers were able to enter freely without any questions regarding the reasons of the visit and there was no</w:t>
      </w:r>
      <w:r w:rsidRPr="0036524B">
        <w:rPr>
          <w:rFonts w:asciiTheme="minorHAnsi" w:hAnsiTheme="minorHAnsi" w:cstheme="minorHAnsi"/>
          <w:lang w:val="en-GB"/>
        </w:rPr>
        <w:t xml:space="preserve"> security service at the entrance. In other courts, there was a security guard who interrogated about reasons of visit and removed mobile phones from visitors.</w:t>
      </w:r>
      <w:r w:rsidRPr="0036524B">
        <w:rPr>
          <w:rStyle w:val="FootnoteReference"/>
          <w:rFonts w:asciiTheme="minorHAnsi" w:hAnsiTheme="minorHAnsi" w:cstheme="minorHAnsi"/>
          <w:lang w:val="en-GB"/>
        </w:rPr>
        <w:footnoteReference w:id="20"/>
      </w:r>
      <w:r w:rsidRPr="0036524B">
        <w:rPr>
          <w:rFonts w:asciiTheme="minorHAnsi" w:hAnsiTheme="minorHAnsi" w:cstheme="minorHAnsi"/>
          <w:lang w:val="en-GB"/>
        </w:rPr>
        <w:t xml:space="preserve"> In general, experience of ordinary citizens trying to access courts revealed that usually only parties to trial are able to access courts</w:t>
      </w:r>
      <w:r>
        <w:rPr>
          <w:rFonts w:asciiTheme="minorHAnsi" w:hAnsiTheme="minorHAnsi" w:cstheme="minorHAnsi"/>
          <w:lang w:val="en-GB"/>
        </w:rPr>
        <w:t xml:space="preserve"> upon permission of a judge.</w:t>
      </w:r>
      <w:r w:rsidRPr="0036524B">
        <w:rPr>
          <w:rFonts w:asciiTheme="minorHAnsi" w:hAnsiTheme="minorHAnsi" w:cstheme="minorHAnsi"/>
          <w:lang w:val="en-GB"/>
        </w:rPr>
        <w:t xml:space="preserve"> At the entrance, phones are removed. In some courts of Dushanbe city, security guards </w:t>
      </w:r>
      <w:r>
        <w:rPr>
          <w:rFonts w:asciiTheme="minorHAnsi" w:hAnsiTheme="minorHAnsi" w:cstheme="minorHAnsi"/>
          <w:lang w:val="en-GB"/>
        </w:rPr>
        <w:t xml:space="preserve">also do not allow </w:t>
      </w:r>
      <w:r w:rsidRPr="0036524B">
        <w:rPr>
          <w:rFonts w:asciiTheme="minorHAnsi" w:hAnsiTheme="minorHAnsi" w:cstheme="minorHAnsi"/>
          <w:lang w:val="en-GB"/>
        </w:rPr>
        <w:lastRenderedPageBreak/>
        <w:t>purse</w:t>
      </w:r>
      <w:r>
        <w:rPr>
          <w:rFonts w:asciiTheme="minorHAnsi" w:hAnsiTheme="minorHAnsi" w:cstheme="minorHAnsi"/>
          <w:lang w:val="en-GB"/>
        </w:rPr>
        <w:t>s</w:t>
      </w:r>
      <w:r w:rsidRPr="0036524B">
        <w:rPr>
          <w:rFonts w:asciiTheme="minorHAnsi" w:hAnsiTheme="minorHAnsi" w:cstheme="minorHAnsi"/>
          <w:lang w:val="en-GB"/>
        </w:rPr>
        <w:t xml:space="preserve">. </w:t>
      </w:r>
      <w:r>
        <w:rPr>
          <w:rFonts w:asciiTheme="minorHAnsi" w:hAnsiTheme="minorHAnsi" w:cstheme="minorHAnsi"/>
          <w:lang w:val="en-GB"/>
        </w:rPr>
        <w:t>The a</w:t>
      </w:r>
      <w:r w:rsidRPr="0036524B">
        <w:rPr>
          <w:rFonts w:asciiTheme="minorHAnsi" w:hAnsiTheme="minorHAnsi" w:cstheme="minorHAnsi"/>
          <w:lang w:val="en-GB"/>
        </w:rPr>
        <w:t xml:space="preserve">dministrative procedure on removal of personal belongings (e.g. making inventory of all the objects, sealing the purse, closing the phone in </w:t>
      </w:r>
      <w:r>
        <w:rPr>
          <w:rFonts w:asciiTheme="minorHAnsi" w:hAnsiTheme="minorHAnsi" w:cstheme="minorHAnsi"/>
          <w:lang w:val="en-GB"/>
        </w:rPr>
        <w:t xml:space="preserve">an </w:t>
      </w:r>
      <w:r w:rsidRPr="0036524B">
        <w:rPr>
          <w:rFonts w:asciiTheme="minorHAnsi" w:hAnsiTheme="minorHAnsi" w:cstheme="minorHAnsi"/>
          <w:lang w:val="en-GB"/>
        </w:rPr>
        <w:t xml:space="preserve">individual box and handing over the key and so on) is not applied </w:t>
      </w:r>
      <w:r>
        <w:rPr>
          <w:rFonts w:asciiTheme="minorHAnsi" w:hAnsiTheme="minorHAnsi" w:cstheme="minorHAnsi"/>
          <w:lang w:val="en-GB"/>
        </w:rPr>
        <w:t xml:space="preserve">when </w:t>
      </w:r>
      <w:r w:rsidRPr="0036524B">
        <w:rPr>
          <w:rFonts w:asciiTheme="minorHAnsi" w:hAnsiTheme="minorHAnsi" w:cstheme="minorHAnsi"/>
          <w:lang w:val="en-GB"/>
        </w:rPr>
        <w:t>remov</w:t>
      </w:r>
      <w:r>
        <w:rPr>
          <w:rFonts w:asciiTheme="minorHAnsi" w:hAnsiTheme="minorHAnsi" w:cstheme="minorHAnsi"/>
          <w:lang w:val="en-GB"/>
        </w:rPr>
        <w:t xml:space="preserve">ing the </w:t>
      </w:r>
      <w:r w:rsidRPr="0036524B">
        <w:rPr>
          <w:rFonts w:asciiTheme="minorHAnsi" w:hAnsiTheme="minorHAnsi" w:cstheme="minorHAnsi"/>
          <w:lang w:val="en-GB"/>
        </w:rPr>
        <w:t>purse and</w:t>
      </w:r>
      <w:r>
        <w:rPr>
          <w:rFonts w:asciiTheme="minorHAnsi" w:hAnsiTheme="minorHAnsi" w:cstheme="minorHAnsi"/>
          <w:lang w:val="en-GB"/>
        </w:rPr>
        <w:t>/or</w:t>
      </w:r>
      <w:r w:rsidRPr="0036524B">
        <w:rPr>
          <w:rFonts w:asciiTheme="minorHAnsi" w:hAnsiTheme="minorHAnsi" w:cstheme="minorHAnsi"/>
          <w:lang w:val="en-GB"/>
        </w:rPr>
        <w:t xml:space="preserve"> phones.</w:t>
      </w:r>
    </w:p>
    <w:p w14:paraId="1A1FB209" w14:textId="32FB71AE" w:rsidR="00535D8B" w:rsidRPr="0036524B" w:rsidRDefault="00535D8B" w:rsidP="00535D8B">
      <w:pPr>
        <w:shd w:val="clear" w:color="auto" w:fill="FFFFFF"/>
        <w:jc w:val="both"/>
        <w:rPr>
          <w:rFonts w:asciiTheme="minorHAnsi" w:hAnsiTheme="minorHAnsi" w:cstheme="minorHAnsi"/>
          <w:lang w:val="en-GB"/>
        </w:rPr>
      </w:pPr>
      <w:r w:rsidRPr="0036524B">
        <w:rPr>
          <w:rFonts w:asciiTheme="minorHAnsi" w:hAnsiTheme="minorHAnsi" w:cstheme="minorHAnsi"/>
          <w:lang w:val="en-GB"/>
        </w:rPr>
        <w:t xml:space="preserve">As to </w:t>
      </w:r>
      <w:r w:rsidRPr="00253BCA">
        <w:rPr>
          <w:rFonts w:asciiTheme="minorHAnsi" w:hAnsiTheme="minorHAnsi" w:cstheme="minorHAnsi"/>
          <w:b/>
          <w:lang w:val="en-GB"/>
        </w:rPr>
        <w:t>remuneration of judges</w:t>
      </w:r>
      <w:r w:rsidRPr="0036524B">
        <w:rPr>
          <w:rFonts w:asciiTheme="minorHAnsi" w:hAnsiTheme="minorHAnsi" w:cstheme="minorHAnsi"/>
          <w:lang w:val="en-GB"/>
        </w:rPr>
        <w:t>, there were no significant changes in this respect. Social protection of judges lowered upon</w:t>
      </w:r>
      <w:r>
        <w:rPr>
          <w:rFonts w:asciiTheme="minorHAnsi" w:hAnsiTheme="minorHAnsi" w:cstheme="minorHAnsi"/>
          <w:lang w:val="en-GB"/>
        </w:rPr>
        <w:t xml:space="preserve"> the</w:t>
      </w:r>
      <w:r w:rsidRPr="0036524B">
        <w:rPr>
          <w:rFonts w:asciiTheme="minorHAnsi" w:hAnsiTheme="minorHAnsi" w:cstheme="minorHAnsi"/>
          <w:lang w:val="en-GB"/>
        </w:rPr>
        <w:t xml:space="preserve"> adoption of the Constitutional Law “On Courts” in 2014. </w:t>
      </w:r>
      <w:r>
        <w:rPr>
          <w:rFonts w:asciiTheme="minorHAnsi" w:hAnsiTheme="minorHAnsi" w:cstheme="minorHAnsi"/>
          <w:lang w:val="en-GB"/>
        </w:rPr>
        <w:t>The n</w:t>
      </w:r>
      <w:r w:rsidRPr="0036524B">
        <w:rPr>
          <w:rFonts w:asciiTheme="minorHAnsi" w:hAnsiTheme="minorHAnsi" w:cstheme="minorHAnsi"/>
          <w:lang w:val="en-GB"/>
        </w:rPr>
        <w:t xml:space="preserve">ew Constitutional Law removed the protection of </w:t>
      </w:r>
      <w:r>
        <w:rPr>
          <w:rFonts w:asciiTheme="minorHAnsi" w:hAnsiTheme="minorHAnsi" w:cstheme="minorHAnsi"/>
          <w:lang w:val="en-GB"/>
        </w:rPr>
        <w:t xml:space="preserve">the </w:t>
      </w:r>
      <w:r w:rsidRPr="0036524B">
        <w:rPr>
          <w:rFonts w:asciiTheme="minorHAnsi" w:hAnsiTheme="minorHAnsi" w:cstheme="minorHAnsi"/>
          <w:lang w:val="en-GB"/>
        </w:rPr>
        <w:t>remuneration of judge</w:t>
      </w:r>
      <w:r>
        <w:rPr>
          <w:rFonts w:asciiTheme="minorHAnsi" w:hAnsiTheme="minorHAnsi" w:cstheme="minorHAnsi"/>
          <w:lang w:val="en-GB"/>
        </w:rPr>
        <w:t>s</w:t>
      </w:r>
      <w:r w:rsidRPr="0036524B">
        <w:rPr>
          <w:rFonts w:asciiTheme="minorHAnsi" w:hAnsiTheme="minorHAnsi" w:cstheme="minorHAnsi"/>
          <w:lang w:val="en-GB"/>
        </w:rPr>
        <w:t>, which existed in</w:t>
      </w:r>
      <w:r>
        <w:rPr>
          <w:rFonts w:asciiTheme="minorHAnsi" w:hAnsiTheme="minorHAnsi" w:cstheme="minorHAnsi"/>
          <w:lang w:val="en-GB"/>
        </w:rPr>
        <w:t xml:space="preserve"> the</w:t>
      </w:r>
      <w:r w:rsidRPr="0036524B">
        <w:rPr>
          <w:rFonts w:asciiTheme="minorHAnsi" w:hAnsiTheme="minorHAnsi" w:cstheme="minorHAnsi"/>
          <w:lang w:val="en-GB"/>
        </w:rPr>
        <w:t xml:space="preserve"> previous Constitutional Law “On Courts” (200</w:t>
      </w:r>
      <w:r w:rsidRPr="0036524B">
        <w:rPr>
          <w:rFonts w:asciiTheme="minorHAnsi" w:hAnsiTheme="minorHAnsi" w:cstheme="minorHAnsi"/>
        </w:rPr>
        <w:t>1</w:t>
      </w:r>
      <w:r w:rsidRPr="0036524B">
        <w:rPr>
          <w:rFonts w:asciiTheme="minorHAnsi" w:hAnsiTheme="minorHAnsi" w:cstheme="minorHAnsi"/>
          <w:lang w:val="en-GB"/>
        </w:rPr>
        <w:t xml:space="preserve">). </w:t>
      </w:r>
      <w:r>
        <w:rPr>
          <w:rFonts w:asciiTheme="minorHAnsi" w:hAnsiTheme="minorHAnsi" w:cstheme="minorHAnsi"/>
          <w:lang w:val="en-GB"/>
        </w:rPr>
        <w:t>The p</w:t>
      </w:r>
      <w:r w:rsidRPr="0036524B">
        <w:rPr>
          <w:rFonts w:asciiTheme="minorHAnsi" w:hAnsiTheme="minorHAnsi" w:cstheme="minorHAnsi"/>
          <w:lang w:val="en-GB"/>
        </w:rPr>
        <w:t xml:space="preserve">revious </w:t>
      </w:r>
      <w:r>
        <w:rPr>
          <w:rFonts w:asciiTheme="minorHAnsi" w:hAnsiTheme="minorHAnsi" w:cstheme="minorHAnsi"/>
          <w:lang w:val="en-GB"/>
        </w:rPr>
        <w:t>l</w:t>
      </w:r>
      <w:r w:rsidRPr="0036524B">
        <w:rPr>
          <w:rFonts w:asciiTheme="minorHAnsi" w:hAnsiTheme="minorHAnsi" w:cstheme="minorHAnsi"/>
          <w:lang w:val="en-GB"/>
        </w:rPr>
        <w:t xml:space="preserve">aw included a prohibition of </w:t>
      </w:r>
      <w:r>
        <w:rPr>
          <w:rFonts w:asciiTheme="minorHAnsi" w:hAnsiTheme="minorHAnsi" w:cstheme="minorHAnsi"/>
          <w:lang w:val="en-GB"/>
        </w:rPr>
        <w:t xml:space="preserve">the </w:t>
      </w:r>
      <w:r w:rsidRPr="0036524B">
        <w:rPr>
          <w:rFonts w:asciiTheme="minorHAnsi" w:hAnsiTheme="minorHAnsi" w:cstheme="minorHAnsi"/>
          <w:lang w:val="en-GB"/>
        </w:rPr>
        <w:t>reduction of</w:t>
      </w:r>
      <w:r>
        <w:rPr>
          <w:rFonts w:asciiTheme="minorHAnsi" w:hAnsiTheme="minorHAnsi" w:cstheme="minorHAnsi"/>
          <w:lang w:val="en-GB"/>
        </w:rPr>
        <w:t xml:space="preserve"> the</w:t>
      </w:r>
      <w:r w:rsidRPr="0036524B">
        <w:rPr>
          <w:rFonts w:asciiTheme="minorHAnsi" w:hAnsiTheme="minorHAnsi" w:cstheme="minorHAnsi"/>
          <w:lang w:val="en-GB"/>
        </w:rPr>
        <w:t xml:space="preserve"> remuneration of</w:t>
      </w:r>
      <w:r>
        <w:rPr>
          <w:rFonts w:asciiTheme="minorHAnsi" w:hAnsiTheme="minorHAnsi" w:cstheme="minorHAnsi"/>
          <w:lang w:val="en-GB"/>
        </w:rPr>
        <w:t xml:space="preserve"> a</w:t>
      </w:r>
      <w:r w:rsidRPr="0036524B">
        <w:rPr>
          <w:rFonts w:asciiTheme="minorHAnsi" w:hAnsiTheme="minorHAnsi" w:cstheme="minorHAnsi"/>
          <w:lang w:val="en-GB"/>
        </w:rPr>
        <w:t xml:space="preserve"> judge. Previously, </w:t>
      </w:r>
      <w:r>
        <w:rPr>
          <w:rFonts w:asciiTheme="minorHAnsi" w:hAnsiTheme="minorHAnsi" w:cstheme="minorHAnsi"/>
          <w:lang w:val="en-GB"/>
        </w:rPr>
        <w:t xml:space="preserve">the </w:t>
      </w:r>
      <w:r w:rsidRPr="0036524B">
        <w:rPr>
          <w:rFonts w:asciiTheme="minorHAnsi" w:hAnsiTheme="minorHAnsi" w:cstheme="minorHAnsi"/>
          <w:lang w:val="en-GB"/>
        </w:rPr>
        <w:t>amount of state social security of judge</w:t>
      </w:r>
      <w:r>
        <w:rPr>
          <w:rFonts w:asciiTheme="minorHAnsi" w:hAnsiTheme="minorHAnsi" w:cstheme="minorHAnsi"/>
          <w:lang w:val="en-GB"/>
        </w:rPr>
        <w:t>s</w:t>
      </w:r>
      <w:r w:rsidRPr="0036524B">
        <w:rPr>
          <w:rFonts w:asciiTheme="minorHAnsi" w:hAnsiTheme="minorHAnsi" w:cstheme="minorHAnsi"/>
          <w:lang w:val="en-GB"/>
        </w:rPr>
        <w:t xml:space="preserve"> was equal to</w:t>
      </w:r>
      <w:r>
        <w:rPr>
          <w:rFonts w:asciiTheme="minorHAnsi" w:hAnsiTheme="minorHAnsi" w:cstheme="minorHAnsi"/>
          <w:lang w:val="en-GB"/>
        </w:rPr>
        <w:t xml:space="preserve"> the</w:t>
      </w:r>
      <w:r w:rsidRPr="0036524B">
        <w:rPr>
          <w:rFonts w:asciiTheme="minorHAnsi" w:hAnsiTheme="minorHAnsi" w:cstheme="minorHAnsi"/>
          <w:lang w:val="en-GB"/>
        </w:rPr>
        <w:t xml:space="preserve"> sum of</w:t>
      </w:r>
      <w:r>
        <w:rPr>
          <w:rFonts w:asciiTheme="minorHAnsi" w:hAnsiTheme="minorHAnsi" w:cstheme="minorHAnsi"/>
          <w:lang w:val="en-GB"/>
        </w:rPr>
        <w:t xml:space="preserve"> the</w:t>
      </w:r>
      <w:r w:rsidRPr="0036524B">
        <w:rPr>
          <w:rFonts w:asciiTheme="minorHAnsi" w:hAnsiTheme="minorHAnsi" w:cstheme="minorHAnsi"/>
          <w:lang w:val="en-GB"/>
        </w:rPr>
        <w:t xml:space="preserve"> remuneration of judge</w:t>
      </w:r>
      <w:r>
        <w:rPr>
          <w:rFonts w:asciiTheme="minorHAnsi" w:hAnsiTheme="minorHAnsi" w:cstheme="minorHAnsi"/>
          <w:lang w:val="en-GB"/>
        </w:rPr>
        <w:t>s</w:t>
      </w:r>
      <w:r w:rsidRPr="0036524B">
        <w:rPr>
          <w:rFonts w:asciiTheme="minorHAnsi" w:hAnsiTheme="minorHAnsi" w:cstheme="minorHAnsi"/>
          <w:lang w:val="en-GB"/>
        </w:rPr>
        <w:t xml:space="preserve"> for ten years. </w:t>
      </w:r>
      <w:r>
        <w:rPr>
          <w:rFonts w:asciiTheme="minorHAnsi" w:hAnsiTheme="minorHAnsi" w:cstheme="minorHAnsi"/>
          <w:lang w:val="en-GB"/>
        </w:rPr>
        <w:t>The n</w:t>
      </w:r>
      <w:r w:rsidRPr="0036524B">
        <w:rPr>
          <w:rFonts w:asciiTheme="minorHAnsi" w:hAnsiTheme="minorHAnsi" w:cstheme="minorHAnsi"/>
          <w:lang w:val="en-GB"/>
        </w:rPr>
        <w:t>ew Constitutional Law (article 132) reduced this sum to</w:t>
      </w:r>
      <w:r>
        <w:rPr>
          <w:rFonts w:asciiTheme="minorHAnsi" w:hAnsiTheme="minorHAnsi" w:cstheme="minorHAnsi"/>
          <w:lang w:val="en-GB"/>
        </w:rPr>
        <w:t xml:space="preserve"> the</w:t>
      </w:r>
      <w:r w:rsidRPr="0036524B">
        <w:rPr>
          <w:rFonts w:asciiTheme="minorHAnsi" w:hAnsiTheme="minorHAnsi" w:cstheme="minorHAnsi"/>
          <w:lang w:val="en-GB"/>
        </w:rPr>
        <w:t xml:space="preserve"> remuneration of </w:t>
      </w:r>
      <w:r>
        <w:rPr>
          <w:rFonts w:asciiTheme="minorHAnsi" w:hAnsiTheme="minorHAnsi" w:cstheme="minorHAnsi"/>
          <w:lang w:val="en-GB"/>
        </w:rPr>
        <w:t xml:space="preserve">a </w:t>
      </w:r>
      <w:r w:rsidRPr="0036524B">
        <w:rPr>
          <w:rFonts w:asciiTheme="minorHAnsi" w:hAnsiTheme="minorHAnsi" w:cstheme="minorHAnsi"/>
          <w:lang w:val="en-GB"/>
        </w:rPr>
        <w:t xml:space="preserve">judge for eight months. Social security in case of death of a judge was also reduced from ten years to 8 months. Social security for damage of health, injuries of a judge caused by </w:t>
      </w:r>
      <w:r>
        <w:rPr>
          <w:rFonts w:asciiTheme="minorHAnsi" w:hAnsiTheme="minorHAnsi" w:cstheme="minorHAnsi"/>
          <w:lang w:val="en-GB"/>
        </w:rPr>
        <w:t xml:space="preserve">the </w:t>
      </w:r>
      <w:r w:rsidRPr="0036524B">
        <w:rPr>
          <w:rFonts w:asciiTheme="minorHAnsi" w:hAnsiTheme="minorHAnsi" w:cstheme="minorHAnsi"/>
          <w:lang w:val="en-GB"/>
        </w:rPr>
        <w:t>performance of</w:t>
      </w:r>
      <w:r>
        <w:rPr>
          <w:rFonts w:asciiTheme="minorHAnsi" w:hAnsiTheme="minorHAnsi" w:cstheme="minorHAnsi"/>
          <w:lang w:val="en-GB"/>
        </w:rPr>
        <w:t xml:space="preserve"> his/her</w:t>
      </w:r>
      <w:r w:rsidRPr="0036524B">
        <w:rPr>
          <w:rFonts w:asciiTheme="minorHAnsi" w:hAnsiTheme="minorHAnsi" w:cstheme="minorHAnsi"/>
          <w:lang w:val="en-GB"/>
        </w:rPr>
        <w:t xml:space="preserve"> duties was reduced from </w:t>
      </w:r>
      <w:r>
        <w:rPr>
          <w:rFonts w:asciiTheme="minorHAnsi" w:hAnsiTheme="minorHAnsi" w:cstheme="minorHAnsi"/>
          <w:lang w:val="en-GB"/>
        </w:rPr>
        <w:t xml:space="preserve">the </w:t>
      </w:r>
      <w:r w:rsidRPr="0036524B">
        <w:rPr>
          <w:rFonts w:asciiTheme="minorHAnsi" w:hAnsiTheme="minorHAnsi" w:cstheme="minorHAnsi"/>
          <w:lang w:val="en-GB"/>
        </w:rPr>
        <w:t xml:space="preserve">sum of </w:t>
      </w:r>
      <w:r>
        <w:rPr>
          <w:rFonts w:asciiTheme="minorHAnsi" w:hAnsiTheme="minorHAnsi" w:cstheme="minorHAnsi"/>
          <w:lang w:val="en-GB"/>
        </w:rPr>
        <w:t xml:space="preserve">a </w:t>
      </w:r>
      <w:r w:rsidRPr="0036524B">
        <w:rPr>
          <w:rFonts w:asciiTheme="minorHAnsi" w:hAnsiTheme="minorHAnsi" w:cstheme="minorHAnsi"/>
          <w:lang w:val="en-GB"/>
        </w:rPr>
        <w:t xml:space="preserve">five-years remuneration to six-months. </w:t>
      </w:r>
      <w:r>
        <w:rPr>
          <w:rFonts w:asciiTheme="minorHAnsi" w:hAnsiTheme="minorHAnsi" w:cstheme="minorHAnsi"/>
          <w:lang w:val="en-GB"/>
        </w:rPr>
        <w:t>The p</w:t>
      </w:r>
      <w:r w:rsidRPr="0036524B">
        <w:rPr>
          <w:rFonts w:asciiTheme="minorHAnsi" w:hAnsiTheme="minorHAnsi" w:cstheme="minorHAnsi"/>
          <w:lang w:val="en-GB"/>
        </w:rPr>
        <w:t>ayment of</w:t>
      </w:r>
      <w:r>
        <w:rPr>
          <w:rFonts w:asciiTheme="minorHAnsi" w:hAnsiTheme="minorHAnsi" w:cstheme="minorHAnsi"/>
          <w:lang w:val="en-GB"/>
        </w:rPr>
        <w:t xml:space="preserve"> a</w:t>
      </w:r>
      <w:r w:rsidRPr="0036524B">
        <w:rPr>
          <w:rFonts w:asciiTheme="minorHAnsi" w:hAnsiTheme="minorHAnsi" w:cstheme="minorHAnsi"/>
          <w:lang w:val="en-GB"/>
        </w:rPr>
        <w:t xml:space="preserve"> one-time benefit equal to ten-months remuneration of a judge</w:t>
      </w:r>
      <w:r>
        <w:rPr>
          <w:rFonts w:asciiTheme="minorHAnsi" w:hAnsiTheme="minorHAnsi" w:cstheme="minorHAnsi"/>
          <w:lang w:val="en-GB"/>
        </w:rPr>
        <w:t>,</w:t>
      </w:r>
      <w:r w:rsidRPr="0036524B">
        <w:rPr>
          <w:rFonts w:asciiTheme="minorHAnsi" w:hAnsiTheme="minorHAnsi" w:cstheme="minorHAnsi"/>
          <w:lang w:val="en-GB"/>
        </w:rPr>
        <w:t xml:space="preserve"> in the event of retirement caused by </w:t>
      </w:r>
      <w:r>
        <w:rPr>
          <w:rFonts w:asciiTheme="minorHAnsi" w:hAnsiTheme="minorHAnsi" w:cstheme="minorHAnsi"/>
          <w:lang w:val="en-GB"/>
        </w:rPr>
        <w:t xml:space="preserve">a </w:t>
      </w:r>
      <w:r w:rsidRPr="0036524B">
        <w:rPr>
          <w:rFonts w:asciiTheme="minorHAnsi" w:hAnsiTheme="minorHAnsi" w:cstheme="minorHAnsi"/>
          <w:lang w:val="en-GB"/>
        </w:rPr>
        <w:t>disability</w:t>
      </w:r>
      <w:r>
        <w:rPr>
          <w:rFonts w:asciiTheme="minorHAnsi" w:hAnsiTheme="minorHAnsi" w:cstheme="minorHAnsi"/>
          <w:lang w:val="en-GB"/>
        </w:rPr>
        <w:t>,</w:t>
      </w:r>
      <w:r w:rsidRPr="0036524B">
        <w:rPr>
          <w:rFonts w:asciiTheme="minorHAnsi" w:hAnsiTheme="minorHAnsi" w:cstheme="minorHAnsi"/>
          <w:lang w:val="en-GB"/>
        </w:rPr>
        <w:t xml:space="preserve"> was removed by the new Constitutional Law “On Courts”. Financial support of resigned judges also worsened. </w:t>
      </w:r>
      <w:r>
        <w:rPr>
          <w:rFonts w:asciiTheme="minorHAnsi" w:hAnsiTheme="minorHAnsi" w:cstheme="minorHAnsi"/>
          <w:lang w:val="en-GB"/>
        </w:rPr>
        <w:t>A o</w:t>
      </w:r>
      <w:r w:rsidRPr="0036524B">
        <w:rPr>
          <w:rFonts w:asciiTheme="minorHAnsi" w:hAnsiTheme="minorHAnsi" w:cstheme="minorHAnsi"/>
          <w:lang w:val="en-GB"/>
        </w:rPr>
        <w:t xml:space="preserve">ne-time benefit related to </w:t>
      </w:r>
      <w:r>
        <w:rPr>
          <w:rFonts w:asciiTheme="minorHAnsi" w:hAnsiTheme="minorHAnsi" w:cstheme="minorHAnsi"/>
          <w:lang w:val="en-GB"/>
        </w:rPr>
        <w:t xml:space="preserve">the </w:t>
      </w:r>
      <w:r w:rsidRPr="0036524B">
        <w:rPr>
          <w:rFonts w:asciiTheme="minorHAnsi" w:hAnsiTheme="minorHAnsi" w:cstheme="minorHAnsi"/>
          <w:lang w:val="en-GB"/>
        </w:rPr>
        <w:t xml:space="preserve">resignation of a judge was lowered from </w:t>
      </w:r>
      <w:r>
        <w:rPr>
          <w:rFonts w:asciiTheme="minorHAnsi" w:hAnsiTheme="minorHAnsi" w:cstheme="minorHAnsi"/>
          <w:lang w:val="en-GB"/>
        </w:rPr>
        <w:t xml:space="preserve">a </w:t>
      </w:r>
      <w:r w:rsidRPr="0036524B">
        <w:rPr>
          <w:rFonts w:asciiTheme="minorHAnsi" w:hAnsiTheme="minorHAnsi" w:cstheme="minorHAnsi"/>
          <w:lang w:val="en-GB"/>
        </w:rPr>
        <w:t xml:space="preserve">ten-months remuneration to three-months. Upon resignation, judges are entitled to life-time financial support. </w:t>
      </w:r>
      <w:r>
        <w:rPr>
          <w:rFonts w:asciiTheme="minorHAnsi" w:hAnsiTheme="minorHAnsi" w:cstheme="minorHAnsi"/>
          <w:lang w:val="en-GB"/>
        </w:rPr>
        <w:t>The a</w:t>
      </w:r>
      <w:r w:rsidRPr="0036524B">
        <w:rPr>
          <w:rFonts w:asciiTheme="minorHAnsi" w:hAnsiTheme="minorHAnsi" w:cstheme="minorHAnsi"/>
          <w:lang w:val="en-GB"/>
        </w:rPr>
        <w:t xml:space="preserve">mount of such life-time monthly remuneration </w:t>
      </w:r>
      <w:r>
        <w:rPr>
          <w:rFonts w:asciiTheme="minorHAnsi" w:hAnsiTheme="minorHAnsi" w:cstheme="minorHAnsi"/>
          <w:lang w:val="en-GB"/>
        </w:rPr>
        <w:t xml:space="preserve">has been </w:t>
      </w:r>
      <w:r w:rsidRPr="0036524B">
        <w:rPr>
          <w:rFonts w:asciiTheme="minorHAnsi" w:hAnsiTheme="minorHAnsi" w:cstheme="minorHAnsi"/>
          <w:lang w:val="en-GB"/>
        </w:rPr>
        <w:t>reduced from 80 percent of</w:t>
      </w:r>
      <w:r>
        <w:rPr>
          <w:rFonts w:asciiTheme="minorHAnsi" w:hAnsiTheme="minorHAnsi" w:cstheme="minorHAnsi"/>
          <w:lang w:val="en-GB"/>
        </w:rPr>
        <w:t xml:space="preserve"> the</w:t>
      </w:r>
      <w:r w:rsidRPr="0036524B">
        <w:rPr>
          <w:rFonts w:asciiTheme="minorHAnsi" w:hAnsiTheme="minorHAnsi" w:cstheme="minorHAnsi"/>
          <w:lang w:val="en-GB"/>
        </w:rPr>
        <w:t xml:space="preserve"> monthly remuneration of a judge to 50 percent.</w:t>
      </w:r>
      <w:r w:rsidRPr="0036524B">
        <w:rPr>
          <w:rStyle w:val="FootnoteReference"/>
          <w:rFonts w:asciiTheme="minorHAnsi" w:hAnsiTheme="minorHAnsi" w:cstheme="minorHAnsi"/>
          <w:lang w:val="en-GB"/>
        </w:rPr>
        <w:footnoteReference w:id="21"/>
      </w:r>
    </w:p>
    <w:p w14:paraId="3E2FF9D9" w14:textId="7344E9B6" w:rsidR="00535D8B" w:rsidRPr="00535D8B" w:rsidRDefault="00535D8B" w:rsidP="00535D8B">
      <w:pPr>
        <w:shd w:val="clear" w:color="auto" w:fill="FFFFFF"/>
        <w:jc w:val="both"/>
        <w:rPr>
          <w:rFonts w:asciiTheme="minorHAnsi" w:hAnsiTheme="minorHAnsi" w:cstheme="minorHAnsi"/>
        </w:rPr>
      </w:pPr>
      <w:r w:rsidRPr="0036524B">
        <w:rPr>
          <w:rFonts w:asciiTheme="minorHAnsi" w:hAnsiTheme="minorHAnsi" w:cstheme="minorHAnsi"/>
          <w:lang w:val="en-GB"/>
        </w:rPr>
        <w:t xml:space="preserve">Based on public data available about </w:t>
      </w:r>
      <w:r>
        <w:rPr>
          <w:rFonts w:asciiTheme="minorHAnsi" w:hAnsiTheme="minorHAnsi" w:cstheme="minorHAnsi"/>
          <w:lang w:val="en-GB"/>
        </w:rPr>
        <w:t xml:space="preserve">the </w:t>
      </w:r>
      <w:r w:rsidRPr="0036524B">
        <w:rPr>
          <w:rFonts w:asciiTheme="minorHAnsi" w:hAnsiTheme="minorHAnsi" w:cstheme="minorHAnsi"/>
          <w:lang w:val="en-GB"/>
        </w:rPr>
        <w:t xml:space="preserve">judiciary, it is challenging to conclude </w:t>
      </w:r>
      <w:r>
        <w:rPr>
          <w:rFonts w:asciiTheme="minorHAnsi" w:hAnsiTheme="minorHAnsi" w:cstheme="minorHAnsi"/>
          <w:lang w:val="en-GB"/>
        </w:rPr>
        <w:t xml:space="preserve">that the </w:t>
      </w:r>
      <w:r w:rsidRPr="00253BCA">
        <w:rPr>
          <w:rFonts w:asciiTheme="minorHAnsi" w:hAnsiTheme="minorHAnsi" w:cstheme="minorHAnsi"/>
          <w:b/>
          <w:lang w:val="en-GB"/>
        </w:rPr>
        <w:t>material support of judges</w:t>
      </w:r>
      <w:r>
        <w:rPr>
          <w:rFonts w:asciiTheme="minorHAnsi" w:hAnsiTheme="minorHAnsi" w:cstheme="minorHAnsi"/>
          <w:lang w:val="en-GB"/>
        </w:rPr>
        <w:t xml:space="preserve"> has improved</w:t>
      </w:r>
      <w:r w:rsidRPr="0036524B">
        <w:rPr>
          <w:rFonts w:asciiTheme="minorHAnsi" w:hAnsiTheme="minorHAnsi" w:cstheme="minorHAnsi"/>
          <w:lang w:val="en-GB"/>
        </w:rPr>
        <w:t xml:space="preserve">. There is no overall data available on </w:t>
      </w:r>
      <w:r>
        <w:rPr>
          <w:rFonts w:asciiTheme="minorHAnsi" w:hAnsiTheme="minorHAnsi" w:cstheme="minorHAnsi"/>
          <w:lang w:val="en-GB"/>
        </w:rPr>
        <w:t xml:space="preserve">the </w:t>
      </w:r>
      <w:r w:rsidRPr="0036524B">
        <w:rPr>
          <w:rFonts w:asciiTheme="minorHAnsi" w:hAnsiTheme="minorHAnsi" w:cstheme="minorHAnsi"/>
          <w:lang w:val="en-GB"/>
        </w:rPr>
        <w:t xml:space="preserve">total number of judges, their housing situation, </w:t>
      </w:r>
      <w:r>
        <w:rPr>
          <w:rFonts w:asciiTheme="minorHAnsi" w:hAnsiTheme="minorHAnsi" w:cstheme="minorHAnsi"/>
          <w:lang w:val="en-GB"/>
        </w:rPr>
        <w:t xml:space="preserve">the </w:t>
      </w:r>
      <w:r w:rsidRPr="0036524B">
        <w:rPr>
          <w:rFonts w:asciiTheme="minorHAnsi" w:hAnsiTheme="minorHAnsi" w:cstheme="minorHAnsi"/>
          <w:lang w:val="en-GB"/>
        </w:rPr>
        <w:t xml:space="preserve">number of judges in need of housing, including due to </w:t>
      </w:r>
      <w:r>
        <w:rPr>
          <w:rFonts w:asciiTheme="minorHAnsi" w:hAnsiTheme="minorHAnsi" w:cstheme="minorHAnsi"/>
          <w:lang w:val="en-GB"/>
        </w:rPr>
        <w:t xml:space="preserve">the </w:t>
      </w:r>
      <w:r w:rsidRPr="0036524B">
        <w:rPr>
          <w:rFonts w:asciiTheme="minorHAnsi" w:hAnsiTheme="minorHAnsi" w:cstheme="minorHAnsi"/>
          <w:lang w:val="en-GB"/>
        </w:rPr>
        <w:t xml:space="preserve">appointment to location other than their permanent residence and so on. In its report on the monitoring of the Anti-Corruption Strategy for 2013-2020 conducted in 2017, </w:t>
      </w:r>
      <w:r>
        <w:rPr>
          <w:rFonts w:asciiTheme="minorHAnsi" w:hAnsiTheme="minorHAnsi" w:cstheme="minorHAnsi"/>
          <w:lang w:val="en-GB"/>
        </w:rPr>
        <w:t xml:space="preserve">the </w:t>
      </w:r>
      <w:r w:rsidRPr="0036524B">
        <w:rPr>
          <w:rFonts w:asciiTheme="minorHAnsi" w:hAnsiTheme="minorHAnsi" w:cstheme="minorHAnsi"/>
          <w:lang w:val="en-GB"/>
        </w:rPr>
        <w:t xml:space="preserve">Agency on Anti-Corruption and Financial Control reported that ten judges of the court of Khatlon province, three judges of court of GBAO, 3 judges of court of Sogd province and five judges of court of Dushanbe city received municipal housing. </w:t>
      </w:r>
    </w:p>
    <w:p w14:paraId="3E376696" w14:textId="21746C85" w:rsidR="00535D8B" w:rsidRPr="00535D8B" w:rsidRDefault="00535D8B" w:rsidP="00535D8B">
      <w:pPr>
        <w:pStyle w:val="ListParagraph"/>
        <w:numPr>
          <w:ilvl w:val="0"/>
          <w:numId w:val="35"/>
        </w:numPr>
        <w:shd w:val="clear" w:color="auto" w:fill="FFFFFF"/>
        <w:jc w:val="both"/>
        <w:rPr>
          <w:rFonts w:asciiTheme="minorHAnsi" w:hAnsiTheme="minorHAnsi" w:cstheme="minorHAnsi"/>
          <w:b/>
          <w:color w:val="222222"/>
        </w:rPr>
      </w:pPr>
      <w:r w:rsidRPr="00535D8B">
        <w:rPr>
          <w:rFonts w:asciiTheme="minorHAnsi" w:hAnsiTheme="minorHAnsi" w:cstheme="minorHAnsi"/>
          <w:b/>
          <w:color w:val="222222"/>
        </w:rPr>
        <w:t>Measures taken to reduce the excessive powers of the Office of the Prosecutor General</w:t>
      </w:r>
    </w:p>
    <w:p w14:paraId="6E675225" w14:textId="77777777" w:rsidR="00535D8B" w:rsidRPr="0036524B" w:rsidRDefault="00535D8B" w:rsidP="00535D8B">
      <w:pPr>
        <w:shd w:val="clear" w:color="auto" w:fill="FFFFFF"/>
        <w:jc w:val="both"/>
        <w:rPr>
          <w:rFonts w:asciiTheme="minorHAnsi" w:hAnsiTheme="minorHAnsi" w:cstheme="minorHAnsi"/>
          <w:color w:val="222222"/>
          <w:lang w:val="en-GB"/>
        </w:rPr>
      </w:pPr>
      <w:r>
        <w:rPr>
          <w:rFonts w:asciiTheme="minorHAnsi" w:hAnsiTheme="minorHAnsi" w:cstheme="minorHAnsi"/>
          <w:color w:val="222222"/>
        </w:rPr>
        <w:t>The a</w:t>
      </w:r>
      <w:r w:rsidRPr="0036524B">
        <w:rPr>
          <w:rFonts w:asciiTheme="minorHAnsi" w:hAnsiTheme="minorHAnsi" w:cstheme="minorHAnsi"/>
          <w:color w:val="222222"/>
        </w:rPr>
        <w:t xml:space="preserve">ctivities of the office of the Prosecutor General are governed by the Constitutional Law “On </w:t>
      </w:r>
      <w:r w:rsidRPr="0036524B">
        <w:rPr>
          <w:rFonts w:asciiTheme="minorHAnsi" w:hAnsiTheme="minorHAnsi" w:cstheme="minorHAnsi"/>
          <w:color w:val="222222"/>
          <w:lang w:val="en-GB"/>
        </w:rPr>
        <w:t xml:space="preserve">Bodies of Prosecution of the Republic of Tajikistan” (2005). This Constitutional Law assigns the following </w:t>
      </w:r>
      <w:r w:rsidRPr="00253BCA">
        <w:rPr>
          <w:rFonts w:asciiTheme="minorHAnsi" w:hAnsiTheme="minorHAnsi" w:cstheme="minorHAnsi"/>
          <w:b/>
          <w:color w:val="222222"/>
          <w:lang w:val="en-GB"/>
        </w:rPr>
        <w:t>functions on bodies of prosecution</w:t>
      </w:r>
      <w:r w:rsidRPr="0036524B">
        <w:rPr>
          <w:rFonts w:asciiTheme="minorHAnsi" w:hAnsiTheme="minorHAnsi" w:cstheme="minorHAnsi"/>
          <w:color w:val="222222"/>
          <w:lang w:val="en-GB"/>
        </w:rPr>
        <w:t xml:space="preserve"> (article 5): </w:t>
      </w:r>
    </w:p>
    <w:p w14:paraId="0CC7447D" w14:textId="77777777" w:rsidR="00535D8B" w:rsidRPr="0036524B" w:rsidRDefault="00535D8B" w:rsidP="00535D8B">
      <w:pPr>
        <w:pStyle w:val="ListParagraph"/>
        <w:numPr>
          <w:ilvl w:val="0"/>
          <w:numId w:val="34"/>
        </w:numPr>
        <w:shd w:val="clear" w:color="auto" w:fill="FFFFFF"/>
        <w:spacing w:after="0" w:line="240" w:lineRule="auto"/>
        <w:jc w:val="both"/>
        <w:rPr>
          <w:rFonts w:asciiTheme="minorHAnsi" w:hAnsiTheme="minorHAnsi" w:cstheme="minorHAnsi"/>
          <w:color w:val="222222"/>
        </w:rPr>
      </w:pPr>
      <w:r w:rsidRPr="0036524B">
        <w:rPr>
          <w:rFonts w:asciiTheme="minorHAnsi" w:hAnsiTheme="minorHAnsi" w:cstheme="minorHAnsi"/>
          <w:color w:val="222222"/>
          <w:lang w:val="en-GB"/>
        </w:rPr>
        <w:t>Oversee</w:t>
      </w:r>
      <w:r w:rsidRPr="0036524B">
        <w:rPr>
          <w:rFonts w:asciiTheme="minorHAnsi" w:hAnsiTheme="minorHAnsi" w:cstheme="minorHAnsi"/>
          <w:color w:val="222222"/>
        </w:rPr>
        <w:t xml:space="preserve"> </w:t>
      </w:r>
      <w:r w:rsidRPr="0036524B">
        <w:rPr>
          <w:rFonts w:asciiTheme="minorHAnsi" w:hAnsiTheme="minorHAnsi" w:cstheme="minorHAnsi"/>
          <w:color w:val="222222"/>
          <w:lang w:val="en-GB"/>
        </w:rPr>
        <w:t xml:space="preserve">accurate observance and consistent </w:t>
      </w:r>
      <w:r w:rsidRPr="0036524B">
        <w:rPr>
          <w:rFonts w:asciiTheme="minorHAnsi" w:hAnsiTheme="minorHAnsi" w:cstheme="minorHAnsi"/>
          <w:color w:val="222222"/>
        </w:rPr>
        <w:t>implementation of the laws by state bodies, local governments, military bodies, controlling bodies, banks, enterprises, institutions, public and religious associations, political parties and other associations, regardless of their subordination, affiliation and forms of ownership, their officials, as well as compliance legal acts issued by them with the laws;</w:t>
      </w:r>
    </w:p>
    <w:p w14:paraId="539B2A61" w14:textId="77777777" w:rsidR="00535D8B" w:rsidRPr="0036524B" w:rsidRDefault="00535D8B" w:rsidP="00535D8B">
      <w:pPr>
        <w:pStyle w:val="ListParagraph"/>
        <w:numPr>
          <w:ilvl w:val="0"/>
          <w:numId w:val="34"/>
        </w:numPr>
        <w:shd w:val="clear" w:color="auto" w:fill="FFFFFF"/>
        <w:spacing w:after="0" w:line="240" w:lineRule="auto"/>
        <w:jc w:val="both"/>
        <w:rPr>
          <w:rFonts w:asciiTheme="minorHAnsi" w:hAnsiTheme="minorHAnsi" w:cstheme="minorHAnsi"/>
          <w:color w:val="222222"/>
        </w:rPr>
      </w:pPr>
      <w:r w:rsidRPr="0036524B">
        <w:rPr>
          <w:rFonts w:asciiTheme="minorHAnsi" w:hAnsiTheme="minorHAnsi" w:cstheme="minorHAnsi"/>
          <w:color w:val="222222"/>
        </w:rPr>
        <w:t>Oversee the respect of the rights and freedoms of a human being and a citizen that are recognized as the highest value, by all the above-mentioned bodies and officials;</w:t>
      </w:r>
    </w:p>
    <w:p w14:paraId="02B5A335" w14:textId="77777777" w:rsidR="00535D8B" w:rsidRPr="0036524B" w:rsidRDefault="00535D8B" w:rsidP="00535D8B">
      <w:pPr>
        <w:pStyle w:val="ListParagraph"/>
        <w:numPr>
          <w:ilvl w:val="0"/>
          <w:numId w:val="34"/>
        </w:numPr>
        <w:shd w:val="clear" w:color="auto" w:fill="FFFFFF"/>
        <w:spacing w:after="0" w:line="240" w:lineRule="auto"/>
        <w:jc w:val="both"/>
        <w:rPr>
          <w:rFonts w:asciiTheme="minorHAnsi" w:hAnsiTheme="minorHAnsi" w:cstheme="minorHAnsi"/>
          <w:color w:val="222222"/>
        </w:rPr>
      </w:pPr>
      <w:r w:rsidRPr="0036524B">
        <w:rPr>
          <w:rFonts w:asciiTheme="minorHAnsi" w:hAnsiTheme="minorHAnsi" w:cstheme="minorHAnsi"/>
          <w:color w:val="222222"/>
        </w:rPr>
        <w:t xml:space="preserve">Oversee the observance and implementation of laws by the bodies responsible for </w:t>
      </w:r>
      <w:r>
        <w:rPr>
          <w:rFonts w:asciiTheme="minorHAnsi" w:hAnsiTheme="minorHAnsi" w:cstheme="minorHAnsi"/>
          <w:color w:val="222222"/>
        </w:rPr>
        <w:t xml:space="preserve">the </w:t>
      </w:r>
      <w:r w:rsidRPr="0036524B">
        <w:rPr>
          <w:rFonts w:asciiTheme="minorHAnsi" w:hAnsiTheme="minorHAnsi" w:cstheme="minorHAnsi"/>
          <w:color w:val="222222"/>
        </w:rPr>
        <w:t>fight against crime and other offenses, as well as the bodies responsible for investigative activities, inquir</w:t>
      </w:r>
      <w:r>
        <w:rPr>
          <w:rFonts w:asciiTheme="minorHAnsi" w:hAnsiTheme="minorHAnsi" w:cstheme="minorHAnsi"/>
          <w:color w:val="222222"/>
        </w:rPr>
        <w:t>ies</w:t>
      </w:r>
      <w:r w:rsidRPr="0036524B">
        <w:rPr>
          <w:rFonts w:asciiTheme="minorHAnsi" w:hAnsiTheme="minorHAnsi" w:cstheme="minorHAnsi"/>
          <w:color w:val="222222"/>
        </w:rPr>
        <w:t xml:space="preserve"> and pretrial investigation</w:t>
      </w:r>
      <w:r>
        <w:rPr>
          <w:rFonts w:asciiTheme="minorHAnsi" w:hAnsiTheme="minorHAnsi" w:cstheme="minorHAnsi"/>
          <w:color w:val="222222"/>
        </w:rPr>
        <w:t>s</w:t>
      </w:r>
      <w:r w:rsidRPr="0036524B">
        <w:rPr>
          <w:rFonts w:asciiTheme="minorHAnsi" w:hAnsiTheme="minorHAnsi" w:cstheme="minorHAnsi"/>
          <w:color w:val="222222"/>
        </w:rPr>
        <w:t>;</w:t>
      </w:r>
    </w:p>
    <w:p w14:paraId="0D42E52D" w14:textId="77777777" w:rsidR="00535D8B" w:rsidRPr="0036524B" w:rsidRDefault="00535D8B" w:rsidP="00535D8B">
      <w:pPr>
        <w:pStyle w:val="ListParagraph"/>
        <w:numPr>
          <w:ilvl w:val="0"/>
          <w:numId w:val="34"/>
        </w:numPr>
        <w:shd w:val="clear" w:color="auto" w:fill="FFFFFF"/>
        <w:spacing w:after="0" w:line="240" w:lineRule="auto"/>
        <w:jc w:val="both"/>
        <w:rPr>
          <w:rFonts w:asciiTheme="minorHAnsi" w:hAnsiTheme="minorHAnsi" w:cstheme="minorHAnsi"/>
          <w:color w:val="222222"/>
        </w:rPr>
      </w:pPr>
      <w:r w:rsidRPr="0036524B">
        <w:rPr>
          <w:rFonts w:asciiTheme="minorHAnsi" w:hAnsiTheme="minorHAnsi" w:cstheme="minorHAnsi"/>
          <w:color w:val="222222"/>
        </w:rPr>
        <w:t xml:space="preserve">Protect </w:t>
      </w:r>
      <w:r>
        <w:rPr>
          <w:rFonts w:asciiTheme="minorHAnsi" w:hAnsiTheme="minorHAnsi" w:cstheme="minorHAnsi"/>
          <w:color w:val="222222"/>
        </w:rPr>
        <w:t xml:space="preserve">the </w:t>
      </w:r>
      <w:r w:rsidRPr="0036524B">
        <w:rPr>
          <w:rFonts w:asciiTheme="minorHAnsi" w:hAnsiTheme="minorHAnsi" w:cstheme="minorHAnsi"/>
          <w:color w:val="222222"/>
        </w:rPr>
        <w:t>rights and freedoms of human beings and citizen</w:t>
      </w:r>
      <w:r>
        <w:rPr>
          <w:rFonts w:asciiTheme="minorHAnsi" w:hAnsiTheme="minorHAnsi" w:cstheme="minorHAnsi"/>
          <w:color w:val="222222"/>
        </w:rPr>
        <w:t>s</w:t>
      </w:r>
      <w:r w:rsidRPr="0036524B">
        <w:rPr>
          <w:rFonts w:asciiTheme="minorHAnsi" w:hAnsiTheme="minorHAnsi" w:cstheme="minorHAnsi"/>
          <w:color w:val="222222"/>
        </w:rPr>
        <w:t>, state interests, various forms of state and non-state property in courts;</w:t>
      </w:r>
    </w:p>
    <w:p w14:paraId="5A5E9650" w14:textId="77777777" w:rsidR="00535D8B" w:rsidRPr="0036524B" w:rsidRDefault="00535D8B" w:rsidP="00535D8B">
      <w:pPr>
        <w:pStyle w:val="ListParagraph"/>
        <w:numPr>
          <w:ilvl w:val="0"/>
          <w:numId w:val="34"/>
        </w:numPr>
        <w:shd w:val="clear" w:color="auto" w:fill="FFFFFF"/>
        <w:spacing w:after="0" w:line="240" w:lineRule="auto"/>
        <w:jc w:val="both"/>
        <w:rPr>
          <w:rFonts w:asciiTheme="minorHAnsi" w:hAnsiTheme="minorHAnsi" w:cstheme="minorHAnsi"/>
          <w:color w:val="222222"/>
        </w:rPr>
      </w:pPr>
      <w:r w:rsidRPr="0036524B">
        <w:rPr>
          <w:rFonts w:asciiTheme="minorHAnsi" w:hAnsiTheme="minorHAnsi" w:cstheme="minorHAnsi"/>
          <w:color w:val="222222"/>
        </w:rPr>
        <w:lastRenderedPageBreak/>
        <w:t>Oversee the observance and implementation of laws in places of detention, pretrial detention, execution of punishments and other coercive measures assigned by the court;</w:t>
      </w:r>
    </w:p>
    <w:p w14:paraId="79B956E9" w14:textId="77777777" w:rsidR="00535D8B" w:rsidRPr="0036524B" w:rsidRDefault="00535D8B" w:rsidP="00535D8B">
      <w:pPr>
        <w:pStyle w:val="ListParagraph"/>
        <w:numPr>
          <w:ilvl w:val="0"/>
          <w:numId w:val="34"/>
        </w:numPr>
        <w:shd w:val="clear" w:color="auto" w:fill="FFFFFF"/>
        <w:spacing w:after="0" w:line="240" w:lineRule="auto"/>
        <w:jc w:val="both"/>
        <w:rPr>
          <w:rFonts w:asciiTheme="minorHAnsi" w:hAnsiTheme="minorHAnsi" w:cstheme="minorHAnsi"/>
          <w:color w:val="222222"/>
        </w:rPr>
      </w:pPr>
      <w:r w:rsidRPr="0036524B">
        <w:rPr>
          <w:rFonts w:asciiTheme="minorHAnsi" w:hAnsiTheme="minorHAnsi" w:cstheme="minorHAnsi"/>
          <w:color w:val="222222"/>
        </w:rPr>
        <w:t>Oversee the observance of laws in the execution of court decisions by bailiffs and other competent authorities;</w:t>
      </w:r>
    </w:p>
    <w:p w14:paraId="56483416" w14:textId="77777777" w:rsidR="00535D8B" w:rsidRPr="0036524B" w:rsidRDefault="00535D8B" w:rsidP="00535D8B">
      <w:pPr>
        <w:pStyle w:val="ListParagraph"/>
        <w:numPr>
          <w:ilvl w:val="0"/>
          <w:numId w:val="34"/>
        </w:numPr>
        <w:shd w:val="clear" w:color="auto" w:fill="FFFFFF"/>
        <w:spacing w:after="0" w:line="240" w:lineRule="auto"/>
        <w:jc w:val="both"/>
        <w:rPr>
          <w:rFonts w:asciiTheme="minorHAnsi" w:hAnsiTheme="minorHAnsi" w:cstheme="minorHAnsi"/>
          <w:color w:val="222222"/>
        </w:rPr>
      </w:pPr>
      <w:r w:rsidRPr="0036524B">
        <w:rPr>
          <w:rFonts w:asciiTheme="minorHAnsi" w:hAnsiTheme="minorHAnsi" w:cstheme="minorHAnsi"/>
          <w:color w:val="222222"/>
        </w:rPr>
        <w:t>Investigate crimes;</w:t>
      </w:r>
    </w:p>
    <w:p w14:paraId="2B030B2E" w14:textId="77777777" w:rsidR="00535D8B" w:rsidRPr="0036524B" w:rsidRDefault="00535D8B" w:rsidP="00535D8B">
      <w:pPr>
        <w:pStyle w:val="ListParagraph"/>
        <w:numPr>
          <w:ilvl w:val="0"/>
          <w:numId w:val="34"/>
        </w:numPr>
        <w:shd w:val="clear" w:color="auto" w:fill="FFFFFF"/>
        <w:spacing w:after="0" w:line="240" w:lineRule="auto"/>
        <w:jc w:val="both"/>
        <w:rPr>
          <w:rFonts w:asciiTheme="minorHAnsi" w:hAnsiTheme="minorHAnsi" w:cstheme="minorHAnsi"/>
          <w:color w:val="222222"/>
        </w:rPr>
      </w:pPr>
      <w:r w:rsidRPr="0036524B">
        <w:rPr>
          <w:rFonts w:asciiTheme="minorHAnsi" w:hAnsiTheme="minorHAnsi" w:cstheme="minorHAnsi"/>
          <w:color w:val="222222"/>
        </w:rPr>
        <w:t>In cooperation with other public bodies develop measures for crimes prevention, anti-corruption, anti-terrorism, anti-extremism and against other offenses in conjunction with other state authorities and participate in activities on improvement and interpretation of laws;</w:t>
      </w:r>
    </w:p>
    <w:p w14:paraId="2ED0BFB9" w14:textId="77777777" w:rsidR="00535D8B" w:rsidRPr="0036524B" w:rsidRDefault="00535D8B" w:rsidP="00535D8B">
      <w:pPr>
        <w:pStyle w:val="ListParagraph"/>
        <w:numPr>
          <w:ilvl w:val="0"/>
          <w:numId w:val="34"/>
        </w:numPr>
        <w:shd w:val="clear" w:color="auto" w:fill="FFFFFF"/>
        <w:spacing w:after="0" w:line="240" w:lineRule="auto"/>
        <w:jc w:val="both"/>
        <w:rPr>
          <w:rFonts w:asciiTheme="minorHAnsi" w:hAnsiTheme="minorHAnsi" w:cstheme="minorHAnsi"/>
          <w:color w:val="222222"/>
        </w:rPr>
      </w:pPr>
      <w:r w:rsidRPr="0036524B">
        <w:rPr>
          <w:rFonts w:asciiTheme="minorHAnsi" w:hAnsiTheme="minorHAnsi" w:cstheme="minorHAnsi"/>
          <w:color w:val="222222"/>
        </w:rPr>
        <w:t>Coordinate activities of the law enforcement agencies on fight against crime</w:t>
      </w:r>
      <w:r>
        <w:rPr>
          <w:rFonts w:asciiTheme="minorHAnsi" w:hAnsiTheme="minorHAnsi" w:cstheme="minorHAnsi"/>
          <w:color w:val="222222"/>
        </w:rPr>
        <w:t>s</w:t>
      </w:r>
      <w:r w:rsidRPr="0036524B">
        <w:rPr>
          <w:rFonts w:asciiTheme="minorHAnsi" w:hAnsiTheme="minorHAnsi" w:cstheme="minorHAnsi"/>
          <w:color w:val="222222"/>
        </w:rPr>
        <w:t xml:space="preserve"> and its prevention and other offenses;</w:t>
      </w:r>
    </w:p>
    <w:p w14:paraId="1957F826" w14:textId="77777777" w:rsidR="00535D8B" w:rsidRPr="0036524B" w:rsidRDefault="00535D8B" w:rsidP="00535D8B">
      <w:pPr>
        <w:pStyle w:val="ListParagraph"/>
        <w:numPr>
          <w:ilvl w:val="0"/>
          <w:numId w:val="34"/>
        </w:numPr>
        <w:shd w:val="clear" w:color="auto" w:fill="FFFFFF"/>
        <w:spacing w:after="0" w:line="240" w:lineRule="auto"/>
        <w:jc w:val="both"/>
        <w:rPr>
          <w:rFonts w:asciiTheme="minorHAnsi" w:hAnsiTheme="minorHAnsi" w:cstheme="minorHAnsi"/>
          <w:color w:val="222222"/>
        </w:rPr>
      </w:pPr>
      <w:r w:rsidRPr="0036524B">
        <w:rPr>
          <w:rFonts w:asciiTheme="minorHAnsi" w:hAnsiTheme="minorHAnsi" w:cstheme="minorHAnsi"/>
          <w:color w:val="222222"/>
        </w:rPr>
        <w:t>Participate in court hearings;</w:t>
      </w:r>
    </w:p>
    <w:p w14:paraId="0B332D3D" w14:textId="7C1AC0C5" w:rsidR="00535D8B" w:rsidRDefault="00535D8B" w:rsidP="00535D8B">
      <w:pPr>
        <w:pStyle w:val="ListParagraph"/>
        <w:numPr>
          <w:ilvl w:val="0"/>
          <w:numId w:val="34"/>
        </w:numPr>
        <w:shd w:val="clear" w:color="auto" w:fill="FFFFFF"/>
        <w:spacing w:after="0" w:line="240" w:lineRule="auto"/>
        <w:jc w:val="both"/>
        <w:rPr>
          <w:rFonts w:asciiTheme="minorHAnsi" w:hAnsiTheme="minorHAnsi" w:cstheme="minorHAnsi"/>
          <w:color w:val="222222"/>
        </w:rPr>
      </w:pPr>
      <w:r w:rsidRPr="0036524B">
        <w:rPr>
          <w:rFonts w:asciiTheme="minorHAnsi" w:hAnsiTheme="minorHAnsi" w:cstheme="minorHAnsi"/>
          <w:color w:val="222222"/>
        </w:rPr>
        <w:t xml:space="preserve">File protests, complaints and statements related to orders, decisions, sentences, rulings and judgments of courts that contradict to the law. </w:t>
      </w:r>
    </w:p>
    <w:p w14:paraId="296247B8" w14:textId="77777777" w:rsidR="00535D8B" w:rsidRPr="00535D8B" w:rsidRDefault="00535D8B" w:rsidP="00535D8B">
      <w:pPr>
        <w:pStyle w:val="ListParagraph"/>
        <w:shd w:val="clear" w:color="auto" w:fill="FFFFFF"/>
        <w:spacing w:after="0" w:line="240" w:lineRule="auto"/>
        <w:jc w:val="both"/>
        <w:rPr>
          <w:rFonts w:asciiTheme="minorHAnsi" w:hAnsiTheme="minorHAnsi" w:cstheme="minorHAnsi"/>
          <w:color w:val="222222"/>
        </w:rPr>
      </w:pPr>
    </w:p>
    <w:p w14:paraId="563A90D3" w14:textId="3A6624F4" w:rsidR="00535D8B" w:rsidRPr="0036524B" w:rsidRDefault="00535D8B" w:rsidP="00535D8B">
      <w:pPr>
        <w:shd w:val="clear" w:color="auto" w:fill="FFFFFF"/>
        <w:jc w:val="both"/>
        <w:rPr>
          <w:rFonts w:asciiTheme="minorHAnsi" w:hAnsiTheme="minorHAnsi" w:cstheme="minorHAnsi"/>
          <w:color w:val="222222"/>
        </w:rPr>
      </w:pPr>
      <w:r w:rsidRPr="0036524B">
        <w:rPr>
          <w:rFonts w:asciiTheme="minorHAnsi" w:hAnsiTheme="minorHAnsi" w:cstheme="minorHAnsi"/>
          <w:color w:val="222222"/>
        </w:rPr>
        <w:t xml:space="preserve">Besides, the prosecutor may oversee other areas in accordance with the legislation of the Republic of Tajikistan if deemed necessary. </w:t>
      </w:r>
    </w:p>
    <w:p w14:paraId="2B1503CD" w14:textId="426AFD85" w:rsidR="00772BC4" w:rsidRPr="00535D8B" w:rsidRDefault="00535D8B" w:rsidP="00535D8B">
      <w:pPr>
        <w:shd w:val="clear" w:color="auto" w:fill="FFFFFF"/>
        <w:jc w:val="both"/>
        <w:rPr>
          <w:rFonts w:asciiTheme="minorHAnsi" w:hAnsiTheme="minorHAnsi" w:cstheme="minorHAnsi"/>
          <w:color w:val="222222"/>
          <w:lang w:val="en-GB"/>
        </w:rPr>
      </w:pPr>
      <w:r w:rsidRPr="00253BCA">
        <w:rPr>
          <w:rFonts w:asciiTheme="minorHAnsi" w:hAnsiTheme="minorHAnsi" w:cstheme="minorHAnsi"/>
          <w:b/>
          <w:color w:val="222222"/>
        </w:rPr>
        <w:t>The list of functions assigned to the prosecutorial bodies is quite extensive</w:t>
      </w:r>
      <w:r w:rsidRPr="0036524B">
        <w:rPr>
          <w:rFonts w:asciiTheme="minorHAnsi" w:hAnsiTheme="minorHAnsi" w:cstheme="minorHAnsi"/>
          <w:color w:val="222222"/>
        </w:rPr>
        <w:t xml:space="preserve"> and goes beyond criminal procedure.</w:t>
      </w:r>
      <w:r>
        <w:rPr>
          <w:rFonts w:asciiTheme="minorHAnsi" w:hAnsiTheme="minorHAnsi" w:cstheme="minorHAnsi"/>
          <w:color w:val="222222"/>
        </w:rPr>
        <w:t xml:space="preserve"> </w:t>
      </w:r>
      <w:r w:rsidRPr="0036524B">
        <w:rPr>
          <w:rFonts w:asciiTheme="minorHAnsi" w:hAnsiTheme="minorHAnsi" w:cstheme="minorHAnsi"/>
          <w:color w:val="222222"/>
          <w:lang w:val="en-GB"/>
        </w:rPr>
        <w:t>These functions (that are beyond criminal procedure) give them unrestricted rights to conduct inspections, request documents and information in any public body or private organisations. Procedures</w:t>
      </w:r>
      <w:r w:rsidRPr="0036524B">
        <w:rPr>
          <w:rFonts w:asciiTheme="minorHAnsi" w:hAnsiTheme="minorHAnsi" w:cstheme="minorHAnsi"/>
          <w:color w:val="222222"/>
        </w:rPr>
        <w:t xml:space="preserve"> </w:t>
      </w:r>
      <w:r w:rsidRPr="0036524B">
        <w:rPr>
          <w:rFonts w:asciiTheme="minorHAnsi" w:hAnsiTheme="minorHAnsi" w:cstheme="minorHAnsi"/>
          <w:color w:val="222222"/>
          <w:lang w:val="en-GB"/>
        </w:rPr>
        <w:t>or</w:t>
      </w:r>
      <w:r w:rsidRPr="0036524B">
        <w:rPr>
          <w:rFonts w:asciiTheme="minorHAnsi" w:hAnsiTheme="minorHAnsi" w:cstheme="minorHAnsi"/>
          <w:color w:val="222222"/>
        </w:rPr>
        <w:t xml:space="preserve"> </w:t>
      </w:r>
      <w:r w:rsidRPr="0036524B">
        <w:rPr>
          <w:rFonts w:asciiTheme="minorHAnsi" w:hAnsiTheme="minorHAnsi" w:cstheme="minorHAnsi"/>
          <w:color w:val="222222"/>
          <w:lang w:val="en-GB"/>
        </w:rPr>
        <w:t>regulations</w:t>
      </w:r>
      <w:r w:rsidRPr="0036524B">
        <w:rPr>
          <w:rFonts w:asciiTheme="minorHAnsi" w:hAnsiTheme="minorHAnsi" w:cstheme="minorHAnsi"/>
          <w:color w:val="222222"/>
        </w:rPr>
        <w:t xml:space="preserve"> </w:t>
      </w:r>
      <w:r w:rsidRPr="0036524B">
        <w:rPr>
          <w:rFonts w:asciiTheme="minorHAnsi" w:hAnsiTheme="minorHAnsi" w:cstheme="minorHAnsi"/>
          <w:color w:val="222222"/>
          <w:lang w:val="en-GB"/>
        </w:rPr>
        <w:t>to</w:t>
      </w:r>
      <w:r w:rsidRPr="0036524B">
        <w:rPr>
          <w:rFonts w:asciiTheme="minorHAnsi" w:hAnsiTheme="minorHAnsi" w:cstheme="minorHAnsi"/>
          <w:color w:val="222222"/>
        </w:rPr>
        <w:t xml:space="preserve"> </w:t>
      </w:r>
      <w:r w:rsidRPr="0036524B">
        <w:rPr>
          <w:rFonts w:asciiTheme="minorHAnsi" w:hAnsiTheme="minorHAnsi" w:cstheme="minorHAnsi"/>
          <w:color w:val="222222"/>
          <w:lang w:val="en-GB"/>
        </w:rPr>
        <w:t>bring</w:t>
      </w:r>
      <w:r w:rsidRPr="0036524B">
        <w:rPr>
          <w:rFonts w:asciiTheme="minorHAnsi" w:hAnsiTheme="minorHAnsi" w:cstheme="minorHAnsi"/>
          <w:color w:val="222222"/>
        </w:rPr>
        <w:t xml:space="preserve"> </w:t>
      </w:r>
      <w:r w:rsidRPr="0036524B">
        <w:rPr>
          <w:rFonts w:asciiTheme="minorHAnsi" w:hAnsiTheme="minorHAnsi" w:cstheme="minorHAnsi"/>
          <w:color w:val="222222"/>
          <w:lang w:val="en-GB"/>
        </w:rPr>
        <w:t>prosecutors to responsibility for abuse of such functions are not well developed and enforced.</w:t>
      </w:r>
      <w:r>
        <w:rPr>
          <w:rStyle w:val="FootnoteReference"/>
          <w:rFonts w:asciiTheme="minorHAnsi" w:hAnsiTheme="minorHAnsi" w:cstheme="minorHAnsi"/>
          <w:color w:val="222222"/>
          <w:lang w:val="en-GB"/>
        </w:rPr>
        <w:footnoteReference w:id="22"/>
      </w:r>
      <w:r w:rsidRPr="0036524B">
        <w:rPr>
          <w:rFonts w:asciiTheme="minorHAnsi" w:hAnsiTheme="minorHAnsi" w:cstheme="minorHAnsi"/>
          <w:color w:val="222222"/>
          <w:lang w:val="en-GB"/>
        </w:rPr>
        <w:t xml:space="preserve"> Several amendments were introduced to this Constitutional Law over the years. However, there was no effort to reduce powers of the office of the Prosecutor General. </w:t>
      </w:r>
    </w:p>
    <w:p w14:paraId="26A2C77F" w14:textId="77777777" w:rsidR="00B53024" w:rsidRDefault="00B53024">
      <w:pPr>
        <w:spacing w:after="0" w:line="240" w:lineRule="auto"/>
        <w:rPr>
          <w:b/>
          <w:sz w:val="28"/>
          <w:szCs w:val="28"/>
          <w:u w:val="single"/>
        </w:rPr>
      </w:pPr>
      <w:r>
        <w:rPr>
          <w:b/>
          <w:sz w:val="28"/>
          <w:szCs w:val="28"/>
          <w:u w:val="single"/>
        </w:rPr>
        <w:br w:type="page"/>
      </w:r>
    </w:p>
    <w:p w14:paraId="128D1597" w14:textId="38E0E44A" w:rsidR="00772BC4" w:rsidRPr="00772BC4" w:rsidRDefault="000A25BA" w:rsidP="00772BC4">
      <w:pPr>
        <w:pStyle w:val="LightGrid-Accent31"/>
        <w:numPr>
          <w:ilvl w:val="1"/>
          <w:numId w:val="2"/>
        </w:numPr>
        <w:spacing w:after="120" w:line="240" w:lineRule="auto"/>
        <w:ind w:left="426"/>
        <w:contextualSpacing w:val="0"/>
        <w:jc w:val="both"/>
        <w:rPr>
          <w:b/>
          <w:sz w:val="28"/>
          <w:szCs w:val="28"/>
          <w:u w:val="single"/>
          <w:lang w:val="en-GB"/>
        </w:rPr>
      </w:pPr>
      <w:r>
        <w:rPr>
          <w:b/>
          <w:sz w:val="28"/>
          <w:szCs w:val="28"/>
          <w:u w:val="single"/>
        </w:rPr>
        <w:lastRenderedPageBreak/>
        <w:t>Freedom of association and p</w:t>
      </w:r>
      <w:r w:rsidR="00BD0519">
        <w:rPr>
          <w:b/>
          <w:sz w:val="28"/>
          <w:szCs w:val="28"/>
          <w:u w:val="single"/>
        </w:rPr>
        <w:t xml:space="preserve">articipation in public affairs </w:t>
      </w:r>
      <w:r w:rsidR="00772BC4" w:rsidRPr="00772BC4">
        <w:rPr>
          <w:b/>
          <w:sz w:val="28"/>
          <w:szCs w:val="28"/>
          <w:u w:val="single"/>
        </w:rPr>
        <w:t>(art</w:t>
      </w:r>
      <w:r>
        <w:rPr>
          <w:b/>
          <w:sz w:val="28"/>
          <w:szCs w:val="28"/>
          <w:u w:val="single"/>
        </w:rPr>
        <w:t xml:space="preserve">s. </w:t>
      </w:r>
      <w:r w:rsidR="00BD0519">
        <w:rPr>
          <w:b/>
          <w:sz w:val="28"/>
          <w:szCs w:val="28"/>
          <w:u w:val="single"/>
        </w:rPr>
        <w:t>22, 25 and 27</w:t>
      </w:r>
      <w:r w:rsidR="00772BC4" w:rsidRPr="00772BC4">
        <w:rPr>
          <w:b/>
          <w:sz w:val="28"/>
          <w:szCs w:val="28"/>
          <w:u w:val="single"/>
          <w:lang w:val="en-GB"/>
        </w:rPr>
        <w:t>)</w:t>
      </w:r>
    </w:p>
    <w:p w14:paraId="0FE49497" w14:textId="15783A0E" w:rsidR="00BD0519" w:rsidRPr="00BD0519" w:rsidRDefault="000A25BA" w:rsidP="00BD0519">
      <w:pPr>
        <w:pStyle w:val="LightGrid-Accent31"/>
        <w:pBdr>
          <w:top w:val="single" w:sz="4" w:space="1" w:color="auto"/>
          <w:left w:val="single" w:sz="4" w:space="1" w:color="auto"/>
          <w:bottom w:val="single" w:sz="4" w:space="1" w:color="auto"/>
          <w:right w:val="single" w:sz="4" w:space="1" w:color="auto"/>
        </w:pBdr>
        <w:spacing w:after="120" w:line="240" w:lineRule="auto"/>
        <w:ind w:left="0"/>
        <w:contextualSpacing w:val="0"/>
        <w:jc w:val="both"/>
        <w:rPr>
          <w:rStyle w:val="hps"/>
          <w:rFonts w:ascii="Times New Roman" w:eastAsia="Times New Roman" w:hAnsi="Times New Roman"/>
          <w:sz w:val="24"/>
          <w:szCs w:val="24"/>
          <w:lang w:val="en-GB" w:eastAsia="en-GB"/>
        </w:rPr>
      </w:pPr>
      <w:r w:rsidRPr="00BE7654">
        <w:rPr>
          <w:b/>
          <w:color w:val="000000"/>
          <w:u w:val="single"/>
          <w:lang w:val="en-GB"/>
        </w:rPr>
        <w:t>Issue 24</w:t>
      </w:r>
      <w:r w:rsidRPr="00BE7654">
        <w:rPr>
          <w:color w:val="000000"/>
          <w:lang w:val="en-GB"/>
        </w:rPr>
        <w:t>:</w:t>
      </w:r>
      <w:r w:rsidRPr="00DA7023">
        <w:rPr>
          <w:rFonts w:asciiTheme="majorHAnsi" w:hAnsiTheme="majorHAnsi"/>
          <w:i/>
          <w:color w:val="000000"/>
          <w:sz w:val="20"/>
          <w:szCs w:val="20"/>
          <w:lang w:val="en-GB"/>
        </w:rPr>
        <w:t xml:space="preserve"> </w:t>
      </w:r>
      <w:r w:rsidR="00BD0519" w:rsidRPr="00BD0519">
        <w:rPr>
          <w:rFonts w:asciiTheme="majorHAnsi" w:hAnsiTheme="majorHAnsi"/>
          <w:i/>
          <w:sz w:val="18"/>
          <w:szCs w:val="18"/>
          <w:lang w:val="en-GB"/>
        </w:rPr>
        <w:t>With reference to the State party’s report (CCPR/C/TJK/3, para. 98), please report on the content of the bill amending the Voluntary Associations Act, including on its compatibility with the Covenant, and provide information on the progress of its adoption and on the participation of civil society in this process. Please respond to reports of: (a) pressure on organizations to cease their activities; and (b) undue State interference in the activities of public associations, including through the mandatory and detailed reporting to the Ministry of Justice of foreign funding and property received by non-governmental organizations, and through the use of recurrent tax and labour inspections, reportedly as a tool of intimidation, particularly affecting those organizations working on the issues that are sensitive for the Government, such as human rights. Please also comment on concerns that the amendments to the Act on Fighting Corruption, adopted on 30 May 2017, authorizing the State Agency for Financial Control and Combating Corruption to inspect the financial activities of political parties, international organizations and local public associations and requiring submission of annual corruption risk assessment reports, increase State control over their activities.</w:t>
      </w:r>
      <w:r w:rsidR="00BD0519" w:rsidRPr="00BD0519">
        <w:rPr>
          <w:rFonts w:ascii="Times New Roman" w:eastAsia="Times New Roman" w:hAnsi="Times New Roman"/>
          <w:sz w:val="24"/>
          <w:szCs w:val="24"/>
          <w:lang w:val="en-GB" w:eastAsia="en-GB"/>
        </w:rPr>
        <w:t xml:space="preserve"> </w:t>
      </w:r>
    </w:p>
    <w:p w14:paraId="05815409" w14:textId="77777777" w:rsidR="000A25BA" w:rsidRPr="00424376" w:rsidRDefault="000A25BA" w:rsidP="000A25BA">
      <w:pPr>
        <w:pStyle w:val="SingleTxtG"/>
        <w:spacing w:line="240" w:lineRule="auto"/>
        <w:ind w:left="0" w:right="0"/>
        <w:rPr>
          <w:rStyle w:val="hps"/>
          <w:rFonts w:ascii="Calibri" w:hAnsi="Calibri"/>
          <w:b/>
          <w:sz w:val="24"/>
          <w:szCs w:val="24"/>
        </w:rPr>
      </w:pPr>
      <w:r>
        <w:rPr>
          <w:rStyle w:val="hps"/>
          <w:rFonts w:ascii="Calibri" w:hAnsi="Calibri"/>
          <w:b/>
          <w:sz w:val="24"/>
          <w:szCs w:val="24"/>
        </w:rPr>
        <w:t xml:space="preserve">Reply / </w:t>
      </w:r>
      <w:r w:rsidRPr="00424376">
        <w:rPr>
          <w:rStyle w:val="hps"/>
          <w:rFonts w:ascii="Calibri" w:hAnsi="Calibri"/>
          <w:b/>
          <w:sz w:val="24"/>
          <w:szCs w:val="24"/>
        </w:rPr>
        <w:t>Comments from Civil Society</w:t>
      </w:r>
    </w:p>
    <w:p w14:paraId="5921A18F" w14:textId="4F4D571F" w:rsidR="00535D8B" w:rsidRPr="0036524B" w:rsidRDefault="00535D8B" w:rsidP="00535D8B">
      <w:pPr>
        <w:shd w:val="clear" w:color="auto" w:fill="FFFFFF"/>
        <w:jc w:val="both"/>
        <w:rPr>
          <w:rFonts w:asciiTheme="minorHAnsi" w:hAnsiTheme="minorHAnsi" w:cstheme="minorHAnsi"/>
          <w:color w:val="000000" w:themeColor="text1"/>
        </w:rPr>
      </w:pPr>
      <w:r w:rsidRPr="00B53024">
        <w:rPr>
          <w:rFonts w:asciiTheme="minorHAnsi" w:hAnsiTheme="minorHAnsi" w:cstheme="minorHAnsi"/>
          <w:color w:val="000000" w:themeColor="text1"/>
        </w:rPr>
        <w:t>The Government declares</w:t>
      </w:r>
      <w:r>
        <w:rPr>
          <w:rFonts w:asciiTheme="minorHAnsi" w:hAnsiTheme="minorHAnsi" w:cstheme="minorHAnsi"/>
          <w:color w:val="000000" w:themeColor="text1"/>
        </w:rPr>
        <w:t xml:space="preserve"> </w:t>
      </w:r>
      <w:r w:rsidRPr="0036524B">
        <w:rPr>
          <w:rFonts w:asciiTheme="minorHAnsi" w:hAnsiTheme="minorHAnsi" w:cstheme="minorHAnsi"/>
          <w:color w:val="000000" w:themeColor="text1"/>
        </w:rPr>
        <w:t xml:space="preserve">that the working group was set up to amend the </w:t>
      </w:r>
      <w:r w:rsidRPr="00253BCA">
        <w:rPr>
          <w:rFonts w:asciiTheme="minorHAnsi" w:hAnsiTheme="minorHAnsi" w:cstheme="minorHAnsi"/>
          <w:b/>
          <w:color w:val="000000" w:themeColor="text1"/>
        </w:rPr>
        <w:t>Law on Public Associations</w:t>
      </w:r>
      <w:r w:rsidRPr="0036524B">
        <w:rPr>
          <w:rFonts w:asciiTheme="minorHAnsi" w:hAnsiTheme="minorHAnsi" w:cstheme="minorHAnsi"/>
          <w:color w:val="000000" w:themeColor="text1"/>
        </w:rPr>
        <w:t>. Despite numerous requests (including in writing) of NGOs filed to the Ministry of Justice, they did</w:t>
      </w:r>
      <w:r>
        <w:rPr>
          <w:rFonts w:asciiTheme="minorHAnsi" w:hAnsiTheme="minorHAnsi" w:cstheme="minorHAnsi"/>
          <w:color w:val="000000" w:themeColor="text1"/>
        </w:rPr>
        <w:t xml:space="preserve"> not</w:t>
      </w:r>
      <w:r w:rsidRPr="0036524B">
        <w:rPr>
          <w:rFonts w:asciiTheme="minorHAnsi" w:hAnsiTheme="minorHAnsi" w:cstheme="minorHAnsi"/>
          <w:color w:val="000000" w:themeColor="text1"/>
        </w:rPr>
        <w:t xml:space="preserve"> receive </w:t>
      </w:r>
      <w:r>
        <w:rPr>
          <w:rFonts w:asciiTheme="minorHAnsi" w:hAnsiTheme="minorHAnsi" w:cstheme="minorHAnsi"/>
          <w:color w:val="000000" w:themeColor="text1"/>
        </w:rPr>
        <w:t xml:space="preserve">the </w:t>
      </w:r>
      <w:r w:rsidRPr="0036524B">
        <w:rPr>
          <w:rFonts w:asciiTheme="minorHAnsi" w:hAnsiTheme="minorHAnsi" w:cstheme="minorHAnsi"/>
          <w:color w:val="000000" w:themeColor="text1"/>
        </w:rPr>
        <w:t xml:space="preserve">draft Law and were not included to the working group. The process of drafting of this Law is fully closed and not participatory. </w:t>
      </w:r>
    </w:p>
    <w:p w14:paraId="7BBAE78F" w14:textId="52F655FB" w:rsidR="00535D8B" w:rsidRPr="0036524B" w:rsidRDefault="00535D8B" w:rsidP="00535D8B">
      <w:pPr>
        <w:shd w:val="clear" w:color="auto" w:fill="FFFFFF"/>
        <w:jc w:val="both"/>
        <w:rPr>
          <w:rFonts w:asciiTheme="minorHAnsi" w:hAnsiTheme="minorHAnsi" w:cstheme="minorHAnsi"/>
          <w:color w:val="000000" w:themeColor="text1"/>
        </w:rPr>
      </w:pPr>
      <w:r w:rsidRPr="00253BCA">
        <w:rPr>
          <w:rFonts w:asciiTheme="minorHAnsi" w:hAnsiTheme="minorHAnsi" w:cstheme="minorHAnsi"/>
          <w:b/>
          <w:color w:val="000000" w:themeColor="text1"/>
        </w:rPr>
        <w:t>The space for civil society organisations in Tajikistan is shrinking</w:t>
      </w:r>
      <w:r w:rsidRPr="0036524B">
        <w:rPr>
          <w:rFonts w:asciiTheme="minorHAnsi" w:hAnsiTheme="minorHAnsi" w:cstheme="minorHAnsi"/>
          <w:color w:val="000000" w:themeColor="text1"/>
        </w:rPr>
        <w:t xml:space="preserve"> in </w:t>
      </w:r>
      <w:r>
        <w:rPr>
          <w:rFonts w:asciiTheme="minorHAnsi" w:hAnsiTheme="minorHAnsi" w:cstheme="minorHAnsi"/>
          <w:color w:val="000000" w:themeColor="text1"/>
        </w:rPr>
        <w:t xml:space="preserve">the </w:t>
      </w:r>
      <w:r w:rsidRPr="0036524B">
        <w:rPr>
          <w:rFonts w:asciiTheme="minorHAnsi" w:hAnsiTheme="minorHAnsi" w:cstheme="minorHAnsi"/>
          <w:color w:val="000000" w:themeColor="text1"/>
        </w:rPr>
        <w:t>last couple of years. In 2015, the Law on Public Associations was amended. Now NGOs are obliged to inform the Ministry of Justice about all funds received from international sources prior to use. NGOs have to inform</w:t>
      </w:r>
      <w:r>
        <w:rPr>
          <w:rFonts w:asciiTheme="minorHAnsi" w:hAnsiTheme="minorHAnsi" w:cstheme="minorHAnsi"/>
          <w:color w:val="000000" w:themeColor="text1"/>
        </w:rPr>
        <w:t xml:space="preserve"> the authorities</w:t>
      </w:r>
      <w:r w:rsidRPr="0036524B">
        <w:rPr>
          <w:rFonts w:asciiTheme="minorHAnsi" w:hAnsiTheme="minorHAnsi" w:cstheme="minorHAnsi"/>
          <w:color w:val="000000" w:themeColor="text1"/>
        </w:rPr>
        <w:t xml:space="preserve"> about</w:t>
      </w:r>
      <w:r>
        <w:rPr>
          <w:rFonts w:asciiTheme="minorHAnsi" w:hAnsiTheme="minorHAnsi" w:cstheme="minorHAnsi"/>
          <w:color w:val="000000" w:themeColor="text1"/>
        </w:rPr>
        <w:t xml:space="preserve"> the</w:t>
      </w:r>
      <w:r w:rsidRPr="0036524B">
        <w:rPr>
          <w:rFonts w:asciiTheme="minorHAnsi" w:hAnsiTheme="minorHAnsi" w:cstheme="minorHAnsi"/>
          <w:color w:val="000000" w:themeColor="text1"/>
        </w:rPr>
        <w:t xml:space="preserve"> source and nature of</w:t>
      </w:r>
      <w:r>
        <w:rPr>
          <w:rFonts w:asciiTheme="minorHAnsi" w:hAnsiTheme="minorHAnsi" w:cstheme="minorHAnsi"/>
          <w:color w:val="000000" w:themeColor="text1"/>
        </w:rPr>
        <w:t xml:space="preserve"> these</w:t>
      </w:r>
      <w:r w:rsidRPr="0036524B">
        <w:rPr>
          <w:rFonts w:asciiTheme="minorHAnsi" w:hAnsiTheme="minorHAnsi" w:cstheme="minorHAnsi"/>
          <w:color w:val="000000" w:themeColor="text1"/>
        </w:rPr>
        <w:t xml:space="preserve"> funds as well as their use. The Ministry of Justice can verify</w:t>
      </w:r>
      <w:r>
        <w:rPr>
          <w:rFonts w:asciiTheme="minorHAnsi" w:hAnsiTheme="minorHAnsi" w:cstheme="minorHAnsi"/>
          <w:color w:val="000000" w:themeColor="text1"/>
        </w:rPr>
        <w:t xml:space="preserve"> this</w:t>
      </w:r>
      <w:r w:rsidRPr="0036524B">
        <w:rPr>
          <w:rFonts w:asciiTheme="minorHAnsi" w:hAnsiTheme="minorHAnsi" w:cstheme="minorHAnsi"/>
          <w:color w:val="000000" w:themeColor="text1"/>
        </w:rPr>
        <w:t xml:space="preserve"> information and hold inspections. In practice, in the last few years several NGOs were inspected by the authorities including the State Committee on National Security, the Tax Committee, the Ministry of Justice, the Prosecutor General’s office, labour inspectorate and fire inspectorate. Some of the inspections resulted in imposition of fines (in some cases reaching USD7’000) and</w:t>
      </w:r>
      <w:r>
        <w:rPr>
          <w:rFonts w:asciiTheme="minorHAnsi" w:hAnsiTheme="minorHAnsi" w:cstheme="minorHAnsi"/>
          <w:color w:val="000000" w:themeColor="text1"/>
        </w:rPr>
        <w:t xml:space="preserve"> even the</w:t>
      </w:r>
      <w:r w:rsidRPr="0036524B">
        <w:rPr>
          <w:rFonts w:asciiTheme="minorHAnsi" w:hAnsiTheme="minorHAnsi" w:cstheme="minorHAnsi"/>
          <w:color w:val="000000" w:themeColor="text1"/>
        </w:rPr>
        <w:t xml:space="preserve"> closure of branch offices in the regions. As NGOs are fully dependent </w:t>
      </w:r>
      <w:r>
        <w:rPr>
          <w:rFonts w:asciiTheme="minorHAnsi" w:hAnsiTheme="minorHAnsi" w:cstheme="minorHAnsi"/>
          <w:color w:val="000000" w:themeColor="text1"/>
        </w:rPr>
        <w:t xml:space="preserve">on </w:t>
      </w:r>
      <w:r w:rsidRPr="0036524B">
        <w:rPr>
          <w:rFonts w:asciiTheme="minorHAnsi" w:hAnsiTheme="minorHAnsi" w:cstheme="minorHAnsi"/>
          <w:color w:val="000000" w:themeColor="text1"/>
        </w:rPr>
        <w:t>donor funding, some NGOs were at</w:t>
      </w:r>
      <w:r>
        <w:rPr>
          <w:rFonts w:asciiTheme="minorHAnsi" w:hAnsiTheme="minorHAnsi" w:cstheme="minorHAnsi"/>
          <w:color w:val="000000" w:themeColor="text1"/>
        </w:rPr>
        <w:t xml:space="preserve"> </w:t>
      </w:r>
      <w:r w:rsidRPr="0036524B">
        <w:rPr>
          <w:rFonts w:asciiTheme="minorHAnsi" w:hAnsiTheme="minorHAnsi" w:cstheme="minorHAnsi"/>
          <w:color w:val="000000" w:themeColor="text1"/>
        </w:rPr>
        <w:t xml:space="preserve">risk of suspension of their activities and </w:t>
      </w:r>
      <w:r>
        <w:rPr>
          <w:rFonts w:asciiTheme="minorHAnsi" w:hAnsiTheme="minorHAnsi" w:cstheme="minorHAnsi"/>
          <w:color w:val="000000" w:themeColor="text1"/>
        </w:rPr>
        <w:t>even</w:t>
      </w:r>
      <w:r w:rsidRPr="0036524B">
        <w:rPr>
          <w:rFonts w:asciiTheme="minorHAnsi" w:hAnsiTheme="minorHAnsi" w:cstheme="minorHAnsi"/>
          <w:color w:val="000000" w:themeColor="text1"/>
        </w:rPr>
        <w:t xml:space="preserve"> closure. Mainly, NGOs working on sensitive human rights issues including rights of sex workers and Lesbian, Gay, Bisexual, Transgender (LGBT) were inspected.</w:t>
      </w:r>
      <w:r w:rsidRPr="0036524B">
        <w:rPr>
          <w:rStyle w:val="FootnoteReference"/>
          <w:rFonts w:asciiTheme="minorHAnsi" w:hAnsiTheme="minorHAnsi" w:cstheme="minorHAnsi"/>
          <w:color w:val="000000" w:themeColor="text1"/>
        </w:rPr>
        <w:footnoteReference w:id="23"/>
      </w:r>
    </w:p>
    <w:p w14:paraId="0EB738F8" w14:textId="2D272D01" w:rsidR="00535D8B" w:rsidRPr="00535D8B" w:rsidRDefault="00535D8B" w:rsidP="00535D8B">
      <w:pPr>
        <w:shd w:val="clear" w:color="auto" w:fill="FFFFFF"/>
        <w:jc w:val="both"/>
        <w:rPr>
          <w:rFonts w:asciiTheme="minorHAnsi" w:hAnsiTheme="minorHAnsi" w:cstheme="minorHAnsi"/>
          <w:color w:val="333333"/>
        </w:rPr>
      </w:pPr>
      <w:r w:rsidRPr="0036524B">
        <w:rPr>
          <w:rFonts w:asciiTheme="minorHAnsi" w:hAnsiTheme="minorHAnsi" w:cstheme="minorHAnsi"/>
          <w:color w:val="000000" w:themeColor="text1"/>
        </w:rPr>
        <w:t xml:space="preserve">In 2017, amendments were introduced to </w:t>
      </w:r>
      <w:r w:rsidRPr="00253BCA">
        <w:rPr>
          <w:rFonts w:asciiTheme="minorHAnsi" w:hAnsiTheme="minorHAnsi" w:cstheme="minorHAnsi"/>
          <w:b/>
          <w:color w:val="000000" w:themeColor="text1"/>
        </w:rPr>
        <w:t>article 5 of the Law on Anti-Corruption</w:t>
      </w:r>
      <w:r>
        <w:rPr>
          <w:rFonts w:asciiTheme="minorHAnsi" w:hAnsiTheme="minorHAnsi" w:cstheme="minorHAnsi"/>
          <w:color w:val="000000" w:themeColor="text1"/>
        </w:rPr>
        <w:t>,</w:t>
      </w:r>
      <w:r w:rsidRPr="0036524B">
        <w:rPr>
          <w:rFonts w:asciiTheme="minorHAnsi" w:hAnsiTheme="minorHAnsi" w:cstheme="minorHAnsi"/>
          <w:color w:val="000000" w:themeColor="text1"/>
        </w:rPr>
        <w:t xml:space="preserve"> authorizing the bodies of state financial control and anti-corruption to analyse findings of the organizational and methodological procedure of assessment (analysis) of corruption risks in state bodies, local self-government, state enterprises as well as non-profit organisations including public organisations, political parties, international organisations operational in Tajikistan. It is specified that </w:t>
      </w:r>
      <w:r>
        <w:rPr>
          <w:rFonts w:asciiTheme="minorHAnsi" w:hAnsiTheme="minorHAnsi" w:cstheme="minorHAnsi"/>
          <w:color w:val="000000" w:themeColor="text1"/>
        </w:rPr>
        <w:t xml:space="preserve">the </w:t>
      </w:r>
      <w:r w:rsidRPr="0036524B">
        <w:rPr>
          <w:rFonts w:asciiTheme="minorHAnsi" w:hAnsiTheme="minorHAnsi" w:cstheme="minorHAnsi"/>
          <w:color w:val="000000" w:themeColor="text1"/>
        </w:rPr>
        <w:t xml:space="preserve">methodology of procedure and </w:t>
      </w:r>
      <w:r>
        <w:rPr>
          <w:rFonts w:asciiTheme="minorHAnsi" w:hAnsiTheme="minorHAnsi" w:cstheme="minorHAnsi"/>
          <w:color w:val="000000" w:themeColor="text1"/>
        </w:rPr>
        <w:t xml:space="preserve">the </w:t>
      </w:r>
      <w:r w:rsidRPr="0036524B">
        <w:rPr>
          <w:rFonts w:asciiTheme="minorHAnsi" w:hAnsiTheme="minorHAnsi" w:cstheme="minorHAnsi"/>
          <w:color w:val="000000" w:themeColor="text1"/>
        </w:rPr>
        <w:t>analysis of</w:t>
      </w:r>
      <w:r>
        <w:rPr>
          <w:rFonts w:asciiTheme="minorHAnsi" w:hAnsiTheme="minorHAnsi" w:cstheme="minorHAnsi"/>
          <w:color w:val="000000" w:themeColor="text1"/>
        </w:rPr>
        <w:t xml:space="preserve"> the</w:t>
      </w:r>
      <w:r w:rsidRPr="0036524B">
        <w:rPr>
          <w:rFonts w:asciiTheme="minorHAnsi" w:hAnsiTheme="minorHAnsi" w:cstheme="minorHAnsi"/>
          <w:color w:val="000000" w:themeColor="text1"/>
        </w:rPr>
        <w:t xml:space="preserve"> activities (corruption risks) shall be established by the Government of Tajikistan. At the moment, such a methodology was not developed. Public discussion of such methodology is not conducted. </w:t>
      </w:r>
    </w:p>
    <w:p w14:paraId="27627706" w14:textId="5BFC96EF" w:rsidR="00B53024" w:rsidRDefault="00535D8B" w:rsidP="00B53024">
      <w:pPr>
        <w:shd w:val="clear" w:color="auto" w:fill="FFFFFF"/>
        <w:jc w:val="both"/>
        <w:rPr>
          <w:rFonts w:asciiTheme="minorHAnsi" w:hAnsiTheme="minorHAnsi" w:cstheme="minorHAnsi"/>
        </w:rPr>
      </w:pPr>
      <w:r w:rsidRPr="0036524B">
        <w:rPr>
          <w:rFonts w:asciiTheme="minorHAnsi" w:hAnsiTheme="minorHAnsi" w:cstheme="minorHAnsi"/>
          <w:color w:val="000000" w:themeColor="text1"/>
        </w:rPr>
        <w:t xml:space="preserve">During public meetings with NGOs it is being said that all the activities/amendments and initiatives related to tighter control of financial flows of NGOs are introduced in response to </w:t>
      </w:r>
      <w:r w:rsidRPr="00253BCA">
        <w:rPr>
          <w:rFonts w:asciiTheme="minorHAnsi" w:hAnsiTheme="minorHAnsi" w:cstheme="minorHAnsi"/>
          <w:b/>
          <w:color w:val="000000" w:themeColor="text1"/>
        </w:rPr>
        <w:t xml:space="preserve">Tajikistan’s commitments to implement recommendations of the Financial </w:t>
      </w:r>
      <w:r w:rsidRPr="00253BCA">
        <w:rPr>
          <w:rFonts w:asciiTheme="minorHAnsi" w:hAnsiTheme="minorHAnsi" w:cstheme="minorHAnsi"/>
          <w:b/>
          <w:color w:val="000000" w:themeColor="text1"/>
          <w:lang w:val="en-GB"/>
        </w:rPr>
        <w:t xml:space="preserve">Action </w:t>
      </w:r>
      <w:r w:rsidRPr="00253BCA">
        <w:rPr>
          <w:rFonts w:asciiTheme="minorHAnsi" w:hAnsiTheme="minorHAnsi" w:cstheme="minorHAnsi"/>
          <w:b/>
          <w:color w:val="000000" w:themeColor="text1"/>
        </w:rPr>
        <w:t>Task Force on Money Laundering</w:t>
      </w:r>
      <w:r w:rsidRPr="0036524B">
        <w:rPr>
          <w:rFonts w:asciiTheme="minorHAnsi" w:hAnsiTheme="minorHAnsi" w:cstheme="minorHAnsi"/>
          <w:color w:val="000000" w:themeColor="text1"/>
        </w:rPr>
        <w:t>. Government reports that these initiatives shall result in more transparency of funding raised by NGOs, especially from abroad. However, Government operations, operations of line ministries, judiciary, prosecutor office and others, their budgets</w:t>
      </w:r>
      <w:r>
        <w:rPr>
          <w:rFonts w:asciiTheme="minorHAnsi" w:hAnsiTheme="minorHAnsi" w:cstheme="minorHAnsi"/>
          <w:color w:val="000000" w:themeColor="text1"/>
        </w:rPr>
        <w:t xml:space="preserve"> including budgets of projects </w:t>
      </w:r>
      <w:r>
        <w:rPr>
          <w:rFonts w:asciiTheme="minorHAnsi" w:hAnsiTheme="minorHAnsi" w:cstheme="minorHAnsi"/>
          <w:color w:val="000000" w:themeColor="text1"/>
        </w:rPr>
        <w:lastRenderedPageBreak/>
        <w:t>implemented by the government project implementation units funded by the international development agencies and international financial institutions (e.g. ADB, WB, EBRD, UNDP and others)</w:t>
      </w:r>
      <w:r w:rsidRPr="0036524B">
        <w:rPr>
          <w:rFonts w:asciiTheme="minorHAnsi" w:hAnsiTheme="minorHAnsi" w:cstheme="minorHAnsi"/>
          <w:color w:val="000000" w:themeColor="text1"/>
        </w:rPr>
        <w:t xml:space="preserve"> are not transparent in Tajikistan. Mechanisms of accountability are not effective. </w:t>
      </w:r>
      <w:r>
        <w:rPr>
          <w:rFonts w:asciiTheme="minorHAnsi" w:hAnsiTheme="minorHAnsi" w:cstheme="minorHAnsi"/>
          <w:color w:val="000000" w:themeColor="text1"/>
        </w:rPr>
        <w:t>For example, the OECD concluded that information about budgets (their drafts, implementation and so on) is not published. There was no discussion of the budget on the website of Tajikistan’s Parliament. According to the Action Plan of the Anti-Corruption Strategy for 2013-2020, it was foreseen to publish all draft laws for wide public consultations (p.</w:t>
      </w:r>
      <w:r w:rsidRPr="00B53024">
        <w:rPr>
          <w:rFonts w:asciiTheme="minorHAnsi" w:hAnsiTheme="minorHAnsi" w:cstheme="minorHAnsi"/>
        </w:rPr>
        <w:t>27 of the Action Plan). However</w:t>
      </w:r>
      <w:r>
        <w:rPr>
          <w:rFonts w:asciiTheme="minorHAnsi" w:hAnsiTheme="minorHAnsi" w:cstheme="minorHAnsi"/>
          <w:color w:val="000000" w:themeColor="text1"/>
        </w:rPr>
        <w:t>, in practice, drafts of tax and customs codes were not subject to public consultations.</w:t>
      </w:r>
      <w:r>
        <w:rPr>
          <w:rStyle w:val="FootnoteReference"/>
          <w:rFonts w:asciiTheme="minorHAnsi" w:hAnsiTheme="minorHAnsi" w:cstheme="minorHAnsi"/>
          <w:color w:val="000000" w:themeColor="text1"/>
        </w:rPr>
        <w:footnoteReference w:id="24"/>
      </w:r>
      <w:r>
        <w:rPr>
          <w:rFonts w:asciiTheme="minorHAnsi" w:hAnsiTheme="minorHAnsi" w:cstheme="minorHAnsi"/>
          <w:color w:val="000000" w:themeColor="text1"/>
        </w:rPr>
        <w:t xml:space="preserve"> </w:t>
      </w:r>
      <w:r w:rsidRPr="0036524B">
        <w:rPr>
          <w:rFonts w:asciiTheme="minorHAnsi" w:hAnsiTheme="minorHAnsi" w:cstheme="minorHAnsi"/>
        </w:rPr>
        <w:t>There are no institutional mechanisms for consultation</w:t>
      </w:r>
      <w:r>
        <w:rPr>
          <w:rFonts w:asciiTheme="minorHAnsi" w:hAnsiTheme="minorHAnsi" w:cstheme="minorHAnsi"/>
        </w:rPr>
        <w:t>s</w:t>
      </w:r>
      <w:r w:rsidRPr="0036524B">
        <w:rPr>
          <w:rFonts w:asciiTheme="minorHAnsi" w:hAnsiTheme="minorHAnsi" w:cstheme="minorHAnsi"/>
        </w:rPr>
        <w:t xml:space="preserve"> with NGOs, or for the inclusion of NGOs in public policy formulation and implementation. Thus, consultations with NGOs and opportunities for influencing policy-making are dependent on </w:t>
      </w:r>
      <w:r>
        <w:rPr>
          <w:rFonts w:asciiTheme="minorHAnsi" w:hAnsiTheme="minorHAnsi" w:cstheme="minorHAnsi"/>
        </w:rPr>
        <w:t xml:space="preserve">the </w:t>
      </w:r>
      <w:r w:rsidRPr="0036524B">
        <w:rPr>
          <w:rFonts w:asciiTheme="minorHAnsi" w:hAnsiTheme="minorHAnsi" w:cstheme="minorHAnsi"/>
        </w:rPr>
        <w:t>Government</w:t>
      </w:r>
      <w:r>
        <w:rPr>
          <w:rFonts w:asciiTheme="minorHAnsi" w:hAnsiTheme="minorHAnsi" w:cstheme="minorHAnsi"/>
        </w:rPr>
        <w:t>’s</w:t>
      </w:r>
      <w:r w:rsidRPr="0036524B">
        <w:rPr>
          <w:rFonts w:asciiTheme="minorHAnsi" w:hAnsiTheme="minorHAnsi" w:cstheme="minorHAnsi"/>
        </w:rPr>
        <w:t xml:space="preserve"> will and</w:t>
      </w:r>
      <w:r>
        <w:rPr>
          <w:rFonts w:asciiTheme="minorHAnsi" w:hAnsiTheme="minorHAnsi" w:cstheme="minorHAnsi"/>
        </w:rPr>
        <w:t xml:space="preserve"> are</w:t>
      </w:r>
      <w:r w:rsidRPr="0036524B">
        <w:rPr>
          <w:rFonts w:asciiTheme="minorHAnsi" w:hAnsiTheme="minorHAnsi" w:cstheme="minorHAnsi"/>
        </w:rPr>
        <w:t xml:space="preserve"> not systematic.</w:t>
      </w:r>
      <w:r w:rsidR="00B53024">
        <w:rPr>
          <w:rFonts w:asciiTheme="minorHAnsi" w:hAnsiTheme="minorHAnsi" w:cstheme="minorHAnsi"/>
        </w:rPr>
        <w:t xml:space="preserve"> </w:t>
      </w:r>
    </w:p>
    <w:p w14:paraId="7AFA126E" w14:textId="27D42C95" w:rsidR="00B53024" w:rsidRPr="00B53024" w:rsidRDefault="00B53024" w:rsidP="00B53024">
      <w:pPr>
        <w:spacing w:after="0" w:line="240" w:lineRule="auto"/>
        <w:rPr>
          <w:rFonts w:asciiTheme="minorHAnsi" w:hAnsiTheme="minorHAnsi" w:cstheme="minorHAnsi"/>
        </w:rPr>
        <w:sectPr w:rsidR="00B53024" w:rsidRPr="00B53024" w:rsidSect="00D7079C">
          <w:footerReference w:type="first" r:id="rId13"/>
          <w:pgSz w:w="11906" w:h="16838"/>
          <w:pgMar w:top="1440" w:right="746" w:bottom="1440" w:left="1440" w:header="708" w:footer="708" w:gutter="0"/>
          <w:cols w:space="708"/>
          <w:titlePg/>
          <w:rtlGutter/>
          <w:docGrid w:linePitch="360"/>
        </w:sectPr>
      </w:pPr>
      <w:bookmarkStart w:id="0" w:name="_GoBack"/>
      <w:bookmarkEnd w:id="0"/>
    </w:p>
    <w:p w14:paraId="111F4915" w14:textId="77777777" w:rsidR="00D365EA" w:rsidRPr="005815B1" w:rsidRDefault="00D365EA" w:rsidP="005815B1">
      <w:pPr>
        <w:spacing w:after="0" w:line="240" w:lineRule="auto"/>
        <w:jc w:val="both"/>
      </w:pPr>
    </w:p>
    <w:sectPr w:rsidR="00D365EA" w:rsidRPr="005815B1" w:rsidSect="00D7079C">
      <w:pgSz w:w="11906" w:h="16838"/>
      <w:pgMar w:top="1440" w:right="746" w:bottom="1440" w:left="1440" w:header="708" w:footer="708" w:gutter="0"/>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6B19E" w14:textId="77777777" w:rsidR="00C30287" w:rsidRDefault="00C30287" w:rsidP="006B20E4">
      <w:pPr>
        <w:spacing w:after="0" w:line="240" w:lineRule="auto"/>
      </w:pPr>
      <w:r>
        <w:separator/>
      </w:r>
    </w:p>
  </w:endnote>
  <w:endnote w:type="continuationSeparator" w:id="0">
    <w:p w14:paraId="49E8A918" w14:textId="77777777" w:rsidR="00C30287" w:rsidRDefault="00C30287" w:rsidP="006B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dobe Caslon Pro">
    <w:altName w:val="Athelas Bold Italic"/>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7142" w14:textId="77777777" w:rsidR="00094225" w:rsidRDefault="00094225" w:rsidP="004E5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9CEB5C2" w14:textId="77777777" w:rsidR="00094225" w:rsidRDefault="00094225" w:rsidP="006B20E4">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DCB1" w14:textId="77777777" w:rsidR="00094225" w:rsidRDefault="00094225"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29A">
      <w:rPr>
        <w:rStyle w:val="PageNumber"/>
        <w:noProof/>
      </w:rPr>
      <w:t>1</w:t>
    </w:r>
    <w:r>
      <w:rPr>
        <w:rStyle w:val="PageNumber"/>
      </w:rPr>
      <w:fldChar w:fldCharType="end"/>
    </w:r>
  </w:p>
  <w:p w14:paraId="4D2970B4" w14:textId="77777777" w:rsidR="00094225" w:rsidRDefault="00094225" w:rsidP="004E557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72914" w14:textId="77777777" w:rsidR="00094225" w:rsidRDefault="00094225" w:rsidP="00DC6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529A">
      <w:rPr>
        <w:rStyle w:val="PageNumber"/>
        <w:noProof/>
      </w:rPr>
      <w:t>2</w:t>
    </w:r>
    <w:r>
      <w:rPr>
        <w:rStyle w:val="PageNumber"/>
      </w:rPr>
      <w:fldChar w:fldCharType="end"/>
    </w:r>
  </w:p>
  <w:p w14:paraId="18EF9C64" w14:textId="77777777" w:rsidR="00094225" w:rsidRDefault="000942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5E5D9" w14:textId="77777777" w:rsidR="00C30287" w:rsidRDefault="00C30287" w:rsidP="006B20E4">
      <w:pPr>
        <w:spacing w:after="0" w:line="240" w:lineRule="auto"/>
      </w:pPr>
      <w:r>
        <w:separator/>
      </w:r>
    </w:p>
  </w:footnote>
  <w:footnote w:type="continuationSeparator" w:id="0">
    <w:p w14:paraId="45D3026F" w14:textId="77777777" w:rsidR="00C30287" w:rsidRDefault="00C30287" w:rsidP="006B20E4">
      <w:pPr>
        <w:spacing w:after="0" w:line="240" w:lineRule="auto"/>
      </w:pPr>
      <w:r>
        <w:continuationSeparator/>
      </w:r>
    </w:p>
  </w:footnote>
  <w:footnote w:id="1">
    <w:p w14:paraId="01237D82" w14:textId="77777777" w:rsidR="00535D8B" w:rsidRPr="0036524B" w:rsidRDefault="00535D8B" w:rsidP="00535D8B">
      <w:pPr>
        <w:rPr>
          <w:rFonts w:asciiTheme="minorHAnsi" w:hAnsiTheme="minorHAnsi" w:cstheme="minorHAnsi"/>
          <w:sz w:val="20"/>
          <w:szCs w:val="20"/>
        </w:rPr>
      </w:pPr>
      <w:r w:rsidRPr="0036524B">
        <w:rPr>
          <w:rStyle w:val="FootnoteReference"/>
          <w:rFonts w:asciiTheme="minorHAnsi" w:hAnsiTheme="minorHAnsi" w:cstheme="minorHAnsi"/>
        </w:rPr>
        <w:footnoteRef/>
      </w:r>
      <w:r w:rsidRPr="0036524B">
        <w:rPr>
          <w:rFonts w:asciiTheme="minorHAnsi" w:hAnsiTheme="minorHAnsi" w:cstheme="minorHAnsi"/>
          <w:sz w:val="20"/>
          <w:szCs w:val="20"/>
        </w:rPr>
        <w:t xml:space="preserve"> </w:t>
      </w:r>
      <w:hyperlink r:id="rId1" w:history="1">
        <w:r w:rsidRPr="0036524B">
          <w:rPr>
            <w:rStyle w:val="Hyperlink"/>
            <w:rFonts w:asciiTheme="minorHAnsi" w:hAnsiTheme="minorHAnsi" w:cstheme="minorHAnsi"/>
            <w:sz w:val="20"/>
            <w:szCs w:val="20"/>
          </w:rPr>
          <w:t>https://www.transparency.org/cpi2018</w:t>
        </w:r>
      </w:hyperlink>
    </w:p>
  </w:footnote>
  <w:footnote w:id="2">
    <w:p w14:paraId="499291C8" w14:textId="77777777" w:rsidR="00535D8B" w:rsidRPr="0036524B" w:rsidRDefault="00535D8B" w:rsidP="00535D8B">
      <w:pPr>
        <w:pStyle w:val="FootnoteText"/>
        <w:jc w:val="both"/>
        <w:rPr>
          <w:rFonts w:asciiTheme="minorHAnsi" w:hAnsiTheme="minorHAnsi" w:cstheme="minorHAnsi"/>
          <w:lang w:val="en-GB"/>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lang w:val="en-GB"/>
        </w:rPr>
        <w:t>Strategic Research Center under the President of Tajikistan (2016), Summary of Findings and Trends in Sociological Studies of Corruption, p.6</w:t>
      </w:r>
    </w:p>
  </w:footnote>
  <w:footnote w:id="3">
    <w:p w14:paraId="16EF9049" w14:textId="77777777" w:rsidR="00535D8B" w:rsidRPr="0036524B" w:rsidRDefault="00535D8B" w:rsidP="00535D8B">
      <w:pPr>
        <w:pStyle w:val="FootnoteText"/>
        <w:rPr>
          <w:rFonts w:asciiTheme="minorHAnsi" w:hAnsiTheme="minorHAnsi" w:cstheme="minorHAnsi"/>
          <w:lang w:val="en-GB"/>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lang w:val="en-GB"/>
        </w:rPr>
        <w:t>Ibid, p.17.</w:t>
      </w:r>
    </w:p>
  </w:footnote>
  <w:footnote w:id="4">
    <w:p w14:paraId="7F7EEB4D" w14:textId="77777777" w:rsidR="00535D8B" w:rsidRPr="0036524B" w:rsidRDefault="00535D8B" w:rsidP="00535D8B">
      <w:pPr>
        <w:pStyle w:val="FootnoteText"/>
        <w:rPr>
          <w:rFonts w:asciiTheme="minorHAnsi" w:hAnsiTheme="minorHAnsi" w:cstheme="minorHAnsi"/>
          <w:lang w:val="en-GB"/>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lang w:val="en-GB"/>
        </w:rPr>
        <w:t>Ibid, p.13.</w:t>
      </w:r>
    </w:p>
  </w:footnote>
  <w:footnote w:id="5">
    <w:p w14:paraId="4315DE4F" w14:textId="77777777" w:rsidR="00535D8B" w:rsidRPr="0036524B" w:rsidRDefault="00535D8B" w:rsidP="00535D8B">
      <w:pPr>
        <w:pStyle w:val="FootnoteText"/>
        <w:rPr>
          <w:rFonts w:asciiTheme="minorHAnsi" w:hAnsiTheme="minorHAnsi" w:cstheme="minorHAnsi"/>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rPr>
        <w:t>Ibid, pp.22-23.</w:t>
      </w:r>
    </w:p>
  </w:footnote>
  <w:footnote w:id="6">
    <w:p w14:paraId="38FE67EC" w14:textId="77777777" w:rsidR="00535D8B" w:rsidRPr="0036524B" w:rsidRDefault="00535D8B" w:rsidP="00535D8B">
      <w:pPr>
        <w:pStyle w:val="FootnoteText"/>
        <w:jc w:val="both"/>
        <w:rPr>
          <w:rFonts w:asciiTheme="minorHAnsi" w:hAnsiTheme="minorHAnsi" w:cstheme="minorHAnsi"/>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rPr>
        <w:t xml:space="preserve">OECD (2017), Anti-corruption reforms in Tajikistan, Fourth Round of the Monitoring of the Istanbul Anti-Corruption Action Plan, </w:t>
      </w:r>
      <w:r w:rsidRPr="0036524B">
        <w:rPr>
          <w:rFonts w:asciiTheme="minorHAnsi" w:hAnsiTheme="minorHAnsi" w:cstheme="minorHAnsi"/>
          <w:lang w:val="en-GB"/>
        </w:rPr>
        <w:t>p.</w:t>
      </w:r>
      <w:r>
        <w:rPr>
          <w:rFonts w:asciiTheme="minorHAnsi" w:hAnsiTheme="minorHAnsi" w:cstheme="minorHAnsi"/>
          <w:lang w:val="en-GB"/>
        </w:rPr>
        <w:t>31.</w:t>
      </w:r>
    </w:p>
  </w:footnote>
  <w:footnote w:id="7">
    <w:p w14:paraId="12E59FCE" w14:textId="77777777" w:rsidR="00535D8B" w:rsidRPr="0036524B" w:rsidRDefault="00535D8B" w:rsidP="00535D8B">
      <w:pPr>
        <w:pStyle w:val="FootnoteText"/>
        <w:rPr>
          <w:rFonts w:asciiTheme="minorHAnsi" w:hAnsiTheme="minorHAnsi" w:cstheme="minorHAnsi"/>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rPr>
        <w:t>Ibid, pp.45-56.</w:t>
      </w:r>
    </w:p>
  </w:footnote>
  <w:footnote w:id="8">
    <w:p w14:paraId="0E3057DD" w14:textId="77777777" w:rsidR="00535D8B" w:rsidRPr="0036524B" w:rsidRDefault="00535D8B" w:rsidP="00535D8B">
      <w:pPr>
        <w:pStyle w:val="FootnoteText"/>
        <w:jc w:val="both"/>
        <w:rPr>
          <w:rFonts w:asciiTheme="minorHAnsi" w:hAnsiTheme="minorHAnsi" w:cstheme="minorHAnsi"/>
          <w:lang w:val="en-GB"/>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rPr>
        <w:t xml:space="preserve">OECD (2017), Anti-corruption reforms in Tajikistan, Fourth Round of the Monitoring of the Istanbul Anti-Corruption Action Plan, </w:t>
      </w:r>
      <w:r w:rsidRPr="0036524B">
        <w:rPr>
          <w:rFonts w:asciiTheme="minorHAnsi" w:hAnsiTheme="minorHAnsi" w:cstheme="minorHAnsi"/>
          <w:lang w:val="en-GB"/>
        </w:rPr>
        <w:t>p.15</w:t>
      </w:r>
    </w:p>
  </w:footnote>
  <w:footnote w:id="9">
    <w:p w14:paraId="6FA76B56" w14:textId="77777777" w:rsidR="00535D8B" w:rsidRPr="00253BCA" w:rsidRDefault="00535D8B" w:rsidP="00535D8B">
      <w:pPr>
        <w:pStyle w:val="FootnoteText"/>
        <w:jc w:val="both"/>
        <w:rPr>
          <w:rFonts w:asciiTheme="minorHAnsi" w:hAnsiTheme="minorHAnsi" w:cstheme="minorHAnsi"/>
        </w:rPr>
      </w:pPr>
      <w:r w:rsidRPr="0036524B">
        <w:rPr>
          <w:rStyle w:val="FootnoteReference"/>
          <w:rFonts w:asciiTheme="minorHAnsi" w:hAnsiTheme="minorHAnsi" w:cstheme="minorHAnsi"/>
        </w:rPr>
        <w:footnoteRef/>
      </w:r>
      <w:r w:rsidRPr="00253BCA">
        <w:rPr>
          <w:rFonts w:asciiTheme="minorHAnsi" w:hAnsiTheme="minorHAnsi" w:cstheme="minorHAnsi"/>
        </w:rPr>
        <w:t xml:space="preserve"> </w:t>
      </w:r>
      <w:r w:rsidRPr="0036524B">
        <w:rPr>
          <w:rFonts w:asciiTheme="minorHAnsi" w:hAnsiTheme="minorHAnsi" w:cstheme="minorHAnsi"/>
          <w:lang w:val="en-GB"/>
        </w:rPr>
        <w:t>Ibid</w:t>
      </w:r>
      <w:r w:rsidRPr="00253BCA">
        <w:rPr>
          <w:rFonts w:asciiTheme="minorHAnsi" w:hAnsiTheme="minorHAnsi" w:cstheme="minorHAnsi"/>
        </w:rPr>
        <w:t xml:space="preserve">, </w:t>
      </w:r>
      <w:r w:rsidRPr="0036524B">
        <w:rPr>
          <w:rFonts w:asciiTheme="minorHAnsi" w:hAnsiTheme="minorHAnsi" w:cstheme="minorHAnsi"/>
          <w:lang w:val="en-GB"/>
        </w:rPr>
        <w:t>p</w:t>
      </w:r>
      <w:r w:rsidRPr="00253BCA">
        <w:rPr>
          <w:rFonts w:asciiTheme="minorHAnsi" w:hAnsiTheme="minorHAnsi" w:cstheme="minorHAnsi"/>
        </w:rPr>
        <w:t>.25</w:t>
      </w:r>
    </w:p>
  </w:footnote>
  <w:footnote w:id="10">
    <w:p w14:paraId="04CDA8F9" w14:textId="77777777" w:rsidR="00535D8B" w:rsidRPr="0036545C" w:rsidRDefault="00535D8B" w:rsidP="00535D8B">
      <w:pPr>
        <w:pStyle w:val="FootnoteText"/>
        <w:rPr>
          <w:rFonts w:asciiTheme="minorHAnsi" w:hAnsiTheme="minorHAnsi" w:cstheme="minorHAnsi"/>
        </w:rPr>
      </w:pPr>
      <w:r>
        <w:rPr>
          <w:rStyle w:val="FootnoteReference"/>
        </w:rPr>
        <w:footnoteRef/>
      </w:r>
      <w:r>
        <w:t xml:space="preserve"> </w:t>
      </w:r>
      <w:r w:rsidRPr="0036545C">
        <w:rPr>
          <w:rFonts w:asciiTheme="minorHAnsi" w:hAnsiTheme="minorHAnsi" w:cstheme="minorHAnsi"/>
        </w:rPr>
        <w:t xml:space="preserve">OECD (2017), Anti-corruption reforms in Tajikistan, Fourth Round of the Monitoring of the Istanbul Anti-Corruption Action Plan, </w:t>
      </w:r>
      <w:r w:rsidRPr="0036545C">
        <w:rPr>
          <w:rFonts w:asciiTheme="minorHAnsi" w:hAnsiTheme="minorHAnsi" w:cstheme="minorHAnsi"/>
          <w:lang w:val="en-GB"/>
        </w:rPr>
        <w:t>p.101.</w:t>
      </w:r>
    </w:p>
  </w:footnote>
  <w:footnote w:id="11">
    <w:p w14:paraId="60D80D21" w14:textId="77777777" w:rsidR="00535D8B" w:rsidRPr="0036545C" w:rsidRDefault="00535D8B" w:rsidP="00535D8B">
      <w:pPr>
        <w:pStyle w:val="FootnoteText"/>
      </w:pPr>
      <w:r w:rsidRPr="0036545C">
        <w:rPr>
          <w:rStyle w:val="FootnoteReference"/>
          <w:rFonts w:asciiTheme="minorHAnsi" w:hAnsiTheme="minorHAnsi" w:cstheme="minorHAnsi"/>
        </w:rPr>
        <w:footnoteRef/>
      </w:r>
      <w:r w:rsidRPr="0036545C">
        <w:rPr>
          <w:rFonts w:asciiTheme="minorHAnsi" w:hAnsiTheme="minorHAnsi" w:cstheme="minorHAnsi"/>
        </w:rPr>
        <w:t xml:space="preserve"> </w:t>
      </w:r>
      <w:r w:rsidRPr="0036545C">
        <w:rPr>
          <w:rFonts w:asciiTheme="minorHAnsi" w:hAnsiTheme="minorHAnsi" w:cstheme="minorHAnsi"/>
        </w:rPr>
        <w:t>Ibid, p.114</w:t>
      </w:r>
      <w:r>
        <w:t>.</w:t>
      </w:r>
    </w:p>
  </w:footnote>
  <w:footnote w:id="12">
    <w:p w14:paraId="5B7C9F6D" w14:textId="77777777" w:rsidR="00535D8B" w:rsidRPr="0036545C" w:rsidRDefault="00535D8B" w:rsidP="00535D8B">
      <w:pPr>
        <w:pStyle w:val="FootnoteText"/>
        <w:rPr>
          <w:rFonts w:asciiTheme="minorHAnsi" w:hAnsiTheme="minorHAnsi" w:cstheme="minorHAnsi"/>
        </w:rPr>
      </w:pPr>
      <w:r>
        <w:rPr>
          <w:rStyle w:val="FootnoteReference"/>
        </w:rPr>
        <w:footnoteRef/>
      </w:r>
      <w:r>
        <w:t xml:space="preserve"> </w:t>
      </w:r>
      <w:r w:rsidRPr="0036545C">
        <w:rPr>
          <w:rFonts w:asciiTheme="minorHAnsi" w:hAnsiTheme="minorHAnsi" w:cstheme="minorHAnsi"/>
        </w:rPr>
        <w:t>Ibid, p.</w:t>
      </w:r>
      <w:r>
        <w:rPr>
          <w:rFonts w:asciiTheme="minorHAnsi" w:hAnsiTheme="minorHAnsi" w:cstheme="minorHAnsi"/>
        </w:rPr>
        <w:t xml:space="preserve"> 117. </w:t>
      </w:r>
    </w:p>
  </w:footnote>
  <w:footnote w:id="13">
    <w:p w14:paraId="56FCFCC7" w14:textId="77777777" w:rsidR="00535D8B" w:rsidRPr="00EC7B3F" w:rsidRDefault="00535D8B" w:rsidP="00535D8B">
      <w:r>
        <w:rPr>
          <w:rStyle w:val="FootnoteReference"/>
        </w:rPr>
        <w:footnoteRef/>
      </w:r>
      <w:r>
        <w:t xml:space="preserve"> </w:t>
      </w:r>
      <w:r w:rsidRPr="00EC7B3F">
        <w:rPr>
          <w:rFonts w:asciiTheme="minorHAnsi" w:hAnsiTheme="minorHAnsi" w:cstheme="minorHAnsi"/>
          <w:sz w:val="20"/>
          <w:szCs w:val="20"/>
          <w:lang w:val="en-GB"/>
        </w:rPr>
        <w:t xml:space="preserve">e.g. Asia-Plus News Agency reported on closed court hearing of ten former staff members of the Agency on Anti-Corruption and Financial Control charged with bribery and fraud, </w:t>
      </w:r>
      <w:hyperlink r:id="rId2" w:history="1">
        <w:r w:rsidRPr="00EC7B3F">
          <w:rPr>
            <w:rFonts w:asciiTheme="minorHAnsi" w:hAnsiTheme="minorHAnsi" w:cstheme="minorHAnsi"/>
            <w:color w:val="0000FF"/>
            <w:sz w:val="20"/>
            <w:szCs w:val="20"/>
            <w:u w:val="single"/>
          </w:rPr>
          <w:t>https://news.tj/ru/news/tajikistan/laworder/20170725/vhod-vospretshen-verhovnii-sud-zakril-svoi-dveri-na-vremya-protsessa-nad-antikorruptsionerami</w:t>
        </w:r>
      </w:hyperlink>
    </w:p>
  </w:footnote>
  <w:footnote w:id="14">
    <w:p w14:paraId="3ACBFA3D" w14:textId="77777777" w:rsidR="00535D8B" w:rsidRPr="0036524B" w:rsidRDefault="00535D8B" w:rsidP="00535D8B">
      <w:pPr>
        <w:pStyle w:val="FootnoteText"/>
        <w:jc w:val="both"/>
        <w:rPr>
          <w:rFonts w:asciiTheme="minorHAnsi" w:hAnsiTheme="minorHAnsi" w:cstheme="minorHAnsi"/>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lang w:val="en-GB"/>
        </w:rPr>
        <w:t>Article</w:t>
      </w:r>
      <w:r w:rsidRPr="0036524B">
        <w:rPr>
          <w:rFonts w:asciiTheme="minorHAnsi" w:hAnsiTheme="minorHAnsi" w:cstheme="minorHAnsi"/>
        </w:rPr>
        <w:t xml:space="preserve"> 12 </w:t>
      </w:r>
      <w:r w:rsidRPr="0036524B">
        <w:rPr>
          <w:rFonts w:asciiTheme="minorHAnsi" w:hAnsiTheme="minorHAnsi" w:cstheme="minorHAnsi"/>
          <w:lang w:val="en-GB"/>
        </w:rPr>
        <w:t>stipulates</w:t>
      </w:r>
      <w:r w:rsidRPr="0036524B">
        <w:rPr>
          <w:rFonts w:asciiTheme="minorHAnsi" w:hAnsiTheme="minorHAnsi" w:cstheme="minorHAnsi"/>
        </w:rPr>
        <w:t xml:space="preserve"> </w:t>
      </w:r>
      <w:r w:rsidRPr="0036524B">
        <w:rPr>
          <w:rFonts w:asciiTheme="minorHAnsi" w:hAnsiTheme="minorHAnsi" w:cstheme="minorHAnsi"/>
          <w:lang w:val="en-GB"/>
        </w:rPr>
        <w:t>that</w:t>
      </w:r>
      <w:r w:rsidRPr="0036524B">
        <w:rPr>
          <w:rFonts w:asciiTheme="minorHAnsi" w:hAnsiTheme="minorHAnsi" w:cstheme="minorHAnsi"/>
        </w:rPr>
        <w:t xml:space="preserve"> </w:t>
      </w:r>
      <w:r w:rsidRPr="0036524B">
        <w:rPr>
          <w:rFonts w:asciiTheme="minorHAnsi" w:hAnsiTheme="minorHAnsi" w:cstheme="minorHAnsi"/>
          <w:lang w:val="en-GB"/>
        </w:rPr>
        <w:t>work</w:t>
      </w:r>
      <w:r w:rsidRPr="0036524B">
        <w:rPr>
          <w:rFonts w:asciiTheme="minorHAnsi" w:hAnsiTheme="minorHAnsi" w:cstheme="minorHAnsi"/>
        </w:rPr>
        <w:t xml:space="preserve"> </w:t>
      </w:r>
      <w:r w:rsidRPr="0036524B">
        <w:rPr>
          <w:rFonts w:asciiTheme="minorHAnsi" w:hAnsiTheme="minorHAnsi" w:cstheme="minorHAnsi"/>
          <w:lang w:val="en-GB"/>
        </w:rPr>
        <w:t>on</w:t>
      </w:r>
      <w:r w:rsidRPr="0036524B">
        <w:rPr>
          <w:rFonts w:asciiTheme="minorHAnsi" w:hAnsiTheme="minorHAnsi" w:cstheme="minorHAnsi"/>
        </w:rPr>
        <w:t xml:space="preserve"> </w:t>
      </w:r>
      <w:r w:rsidRPr="0036524B">
        <w:rPr>
          <w:rFonts w:asciiTheme="minorHAnsi" w:hAnsiTheme="minorHAnsi" w:cstheme="minorHAnsi"/>
          <w:lang w:val="en-GB"/>
        </w:rPr>
        <w:t>the</w:t>
      </w:r>
      <w:r w:rsidRPr="0036524B">
        <w:rPr>
          <w:rFonts w:asciiTheme="minorHAnsi" w:hAnsiTheme="minorHAnsi" w:cstheme="minorHAnsi"/>
        </w:rPr>
        <w:t xml:space="preserve"> </w:t>
      </w:r>
      <w:r w:rsidRPr="0036524B">
        <w:rPr>
          <w:rFonts w:asciiTheme="minorHAnsi" w:hAnsiTheme="minorHAnsi" w:cstheme="minorHAnsi"/>
          <w:lang w:val="en-GB"/>
        </w:rPr>
        <w:t>following</w:t>
      </w:r>
      <w:r w:rsidRPr="0036524B">
        <w:rPr>
          <w:rFonts w:asciiTheme="minorHAnsi" w:hAnsiTheme="minorHAnsi" w:cstheme="minorHAnsi"/>
        </w:rPr>
        <w:t xml:space="preserve"> </w:t>
      </w:r>
      <w:r w:rsidRPr="0036524B">
        <w:rPr>
          <w:rFonts w:asciiTheme="minorHAnsi" w:hAnsiTheme="minorHAnsi" w:cstheme="minorHAnsi"/>
          <w:lang w:val="en-GB"/>
        </w:rPr>
        <w:t>positions</w:t>
      </w:r>
      <w:r w:rsidRPr="0036524B">
        <w:rPr>
          <w:rFonts w:asciiTheme="minorHAnsi" w:hAnsiTheme="minorHAnsi" w:cstheme="minorHAnsi"/>
        </w:rPr>
        <w:t xml:space="preserve"> </w:t>
      </w:r>
      <w:r w:rsidRPr="0036524B">
        <w:rPr>
          <w:rFonts w:asciiTheme="minorHAnsi" w:hAnsiTheme="minorHAnsi" w:cstheme="minorHAnsi"/>
          <w:lang w:val="en-GB"/>
        </w:rPr>
        <w:t>is</w:t>
      </w:r>
      <w:r w:rsidRPr="0036524B">
        <w:rPr>
          <w:rFonts w:asciiTheme="minorHAnsi" w:hAnsiTheme="minorHAnsi" w:cstheme="minorHAnsi"/>
        </w:rPr>
        <w:t xml:space="preserve"> </w:t>
      </w:r>
      <w:r w:rsidRPr="0036524B">
        <w:rPr>
          <w:rFonts w:asciiTheme="minorHAnsi" w:hAnsiTheme="minorHAnsi" w:cstheme="minorHAnsi"/>
          <w:lang w:val="en-GB"/>
        </w:rPr>
        <w:t>included</w:t>
      </w:r>
      <w:r w:rsidRPr="0036524B">
        <w:rPr>
          <w:rFonts w:asciiTheme="minorHAnsi" w:hAnsiTheme="minorHAnsi" w:cstheme="minorHAnsi"/>
        </w:rPr>
        <w:t xml:space="preserve"> </w:t>
      </w:r>
      <w:r w:rsidRPr="0036524B">
        <w:rPr>
          <w:rFonts w:asciiTheme="minorHAnsi" w:hAnsiTheme="minorHAnsi" w:cstheme="minorHAnsi"/>
          <w:lang w:val="en-GB"/>
        </w:rPr>
        <w:t>to</w:t>
      </w:r>
      <w:r w:rsidRPr="0036524B">
        <w:rPr>
          <w:rFonts w:asciiTheme="minorHAnsi" w:hAnsiTheme="minorHAnsi" w:cstheme="minorHAnsi"/>
        </w:rPr>
        <w:t xml:space="preserve"> </w:t>
      </w:r>
      <w:r w:rsidRPr="0036524B">
        <w:rPr>
          <w:rFonts w:asciiTheme="minorHAnsi" w:hAnsiTheme="minorHAnsi" w:cstheme="minorHAnsi"/>
          <w:lang w:val="en-GB"/>
        </w:rPr>
        <w:t>the</w:t>
      </w:r>
      <w:r w:rsidRPr="0036524B">
        <w:rPr>
          <w:rFonts w:asciiTheme="minorHAnsi" w:hAnsiTheme="minorHAnsi" w:cstheme="minorHAnsi"/>
        </w:rPr>
        <w:t xml:space="preserve"> </w:t>
      </w:r>
      <w:r w:rsidRPr="0036524B">
        <w:rPr>
          <w:rFonts w:asciiTheme="minorHAnsi" w:hAnsiTheme="minorHAnsi" w:cstheme="minorHAnsi"/>
          <w:lang w:val="en-GB"/>
        </w:rPr>
        <w:t>legal</w:t>
      </w:r>
      <w:r w:rsidRPr="0036524B">
        <w:rPr>
          <w:rFonts w:asciiTheme="minorHAnsi" w:hAnsiTheme="minorHAnsi" w:cstheme="minorHAnsi"/>
        </w:rPr>
        <w:t xml:space="preserve"> </w:t>
      </w:r>
      <w:r w:rsidRPr="0036524B">
        <w:rPr>
          <w:rFonts w:asciiTheme="minorHAnsi" w:hAnsiTheme="minorHAnsi" w:cstheme="minorHAnsi"/>
          <w:lang w:val="en-GB"/>
        </w:rPr>
        <w:t>experience</w:t>
      </w:r>
      <w:r w:rsidRPr="0036524B">
        <w:rPr>
          <w:rFonts w:asciiTheme="minorHAnsi" w:hAnsiTheme="minorHAnsi" w:cstheme="minorHAnsi"/>
        </w:rPr>
        <w:t xml:space="preserve">: </w:t>
      </w:r>
      <w:r w:rsidRPr="0036524B">
        <w:rPr>
          <w:rFonts w:asciiTheme="minorHAnsi" w:hAnsiTheme="minorHAnsi" w:cstheme="minorHAnsi"/>
          <w:lang w:val="en-GB"/>
        </w:rPr>
        <w:t>judge</w:t>
      </w:r>
      <w:r w:rsidRPr="0036524B">
        <w:rPr>
          <w:rFonts w:asciiTheme="minorHAnsi" w:hAnsiTheme="minorHAnsi" w:cstheme="minorHAnsi"/>
        </w:rPr>
        <w:t xml:space="preserve">, </w:t>
      </w:r>
      <w:r w:rsidRPr="0036524B">
        <w:rPr>
          <w:rFonts w:asciiTheme="minorHAnsi" w:hAnsiTheme="minorHAnsi" w:cstheme="minorHAnsi"/>
          <w:lang w:val="en-GB"/>
        </w:rPr>
        <w:t>prosecutor</w:t>
      </w:r>
      <w:r w:rsidRPr="0036524B">
        <w:rPr>
          <w:rFonts w:asciiTheme="minorHAnsi" w:hAnsiTheme="minorHAnsi" w:cstheme="minorHAnsi"/>
        </w:rPr>
        <w:t xml:space="preserve">, </w:t>
      </w:r>
      <w:r w:rsidRPr="0036524B">
        <w:rPr>
          <w:rFonts w:asciiTheme="minorHAnsi" w:hAnsiTheme="minorHAnsi" w:cstheme="minorHAnsi"/>
          <w:lang w:val="en-GB"/>
        </w:rPr>
        <w:t>investigator</w:t>
      </w:r>
      <w:r w:rsidRPr="0036524B">
        <w:rPr>
          <w:rFonts w:asciiTheme="minorHAnsi" w:hAnsiTheme="minorHAnsi" w:cstheme="minorHAnsi"/>
        </w:rPr>
        <w:t xml:space="preserve">; </w:t>
      </w:r>
      <w:r w:rsidRPr="0036524B">
        <w:rPr>
          <w:rFonts w:asciiTheme="minorHAnsi" w:hAnsiTheme="minorHAnsi" w:cstheme="minorHAnsi"/>
          <w:lang w:val="en-GB"/>
        </w:rPr>
        <w:t>civil</w:t>
      </w:r>
      <w:r w:rsidRPr="0036524B">
        <w:rPr>
          <w:rFonts w:asciiTheme="minorHAnsi" w:hAnsiTheme="minorHAnsi" w:cstheme="minorHAnsi"/>
        </w:rPr>
        <w:t xml:space="preserve"> </w:t>
      </w:r>
      <w:r w:rsidRPr="0036524B">
        <w:rPr>
          <w:rFonts w:asciiTheme="minorHAnsi" w:hAnsiTheme="minorHAnsi" w:cstheme="minorHAnsi"/>
          <w:lang w:val="en-GB"/>
        </w:rPr>
        <w:t>service</w:t>
      </w:r>
      <w:r w:rsidRPr="0036524B">
        <w:rPr>
          <w:rFonts w:asciiTheme="minorHAnsi" w:hAnsiTheme="minorHAnsi" w:cstheme="minorHAnsi"/>
        </w:rPr>
        <w:t xml:space="preserve"> </w:t>
      </w:r>
      <w:r w:rsidRPr="0036524B">
        <w:rPr>
          <w:rFonts w:asciiTheme="minorHAnsi" w:hAnsiTheme="minorHAnsi" w:cstheme="minorHAnsi"/>
          <w:lang w:val="en-GB"/>
        </w:rPr>
        <w:t>positions</w:t>
      </w:r>
      <w:r w:rsidRPr="0036524B">
        <w:rPr>
          <w:rFonts w:asciiTheme="minorHAnsi" w:hAnsiTheme="minorHAnsi" w:cstheme="minorHAnsi"/>
        </w:rPr>
        <w:t xml:space="preserve"> </w:t>
      </w:r>
      <w:r w:rsidRPr="0036524B">
        <w:rPr>
          <w:rFonts w:asciiTheme="minorHAnsi" w:hAnsiTheme="minorHAnsi" w:cstheme="minorHAnsi"/>
          <w:lang w:val="en-GB"/>
        </w:rPr>
        <w:t>where</w:t>
      </w:r>
      <w:r w:rsidRPr="0036524B">
        <w:rPr>
          <w:rFonts w:asciiTheme="minorHAnsi" w:hAnsiTheme="minorHAnsi" w:cstheme="minorHAnsi"/>
        </w:rPr>
        <w:t xml:space="preserve"> </w:t>
      </w:r>
      <w:r w:rsidRPr="0036524B">
        <w:rPr>
          <w:rFonts w:asciiTheme="minorHAnsi" w:hAnsiTheme="minorHAnsi" w:cstheme="minorHAnsi"/>
          <w:lang w:val="en-GB"/>
        </w:rPr>
        <w:t>degree</w:t>
      </w:r>
      <w:r w:rsidRPr="0036524B">
        <w:rPr>
          <w:rFonts w:asciiTheme="minorHAnsi" w:hAnsiTheme="minorHAnsi" w:cstheme="minorHAnsi"/>
        </w:rPr>
        <w:t xml:space="preserve"> </w:t>
      </w:r>
      <w:r w:rsidRPr="0036524B">
        <w:rPr>
          <w:rFonts w:asciiTheme="minorHAnsi" w:hAnsiTheme="minorHAnsi" w:cstheme="minorHAnsi"/>
          <w:lang w:val="en-GB"/>
        </w:rPr>
        <w:t>in</w:t>
      </w:r>
      <w:r w:rsidRPr="0036524B">
        <w:rPr>
          <w:rFonts w:asciiTheme="minorHAnsi" w:hAnsiTheme="minorHAnsi" w:cstheme="minorHAnsi"/>
        </w:rPr>
        <w:t xml:space="preserve"> </w:t>
      </w:r>
      <w:r w:rsidRPr="0036524B">
        <w:rPr>
          <w:rFonts w:asciiTheme="minorHAnsi" w:hAnsiTheme="minorHAnsi" w:cstheme="minorHAnsi"/>
          <w:lang w:val="en-GB"/>
        </w:rPr>
        <w:t>law</w:t>
      </w:r>
      <w:r w:rsidRPr="0036524B">
        <w:rPr>
          <w:rFonts w:asciiTheme="minorHAnsi" w:hAnsiTheme="minorHAnsi" w:cstheme="minorHAnsi"/>
        </w:rPr>
        <w:t xml:space="preserve"> </w:t>
      </w:r>
      <w:r w:rsidRPr="0036524B">
        <w:rPr>
          <w:rFonts w:asciiTheme="minorHAnsi" w:hAnsiTheme="minorHAnsi" w:cstheme="minorHAnsi"/>
          <w:lang w:val="en-GB"/>
        </w:rPr>
        <w:t>is</w:t>
      </w:r>
      <w:r w:rsidRPr="0036524B">
        <w:rPr>
          <w:rFonts w:asciiTheme="minorHAnsi" w:hAnsiTheme="minorHAnsi" w:cstheme="minorHAnsi"/>
        </w:rPr>
        <w:t xml:space="preserve"> </w:t>
      </w:r>
      <w:r w:rsidRPr="0036524B">
        <w:rPr>
          <w:rFonts w:asciiTheme="minorHAnsi" w:hAnsiTheme="minorHAnsi" w:cstheme="minorHAnsi"/>
          <w:lang w:val="en-GB"/>
        </w:rPr>
        <w:t>a</w:t>
      </w:r>
      <w:r w:rsidRPr="0036524B">
        <w:rPr>
          <w:rFonts w:asciiTheme="minorHAnsi" w:hAnsiTheme="minorHAnsi" w:cstheme="minorHAnsi"/>
        </w:rPr>
        <w:t xml:space="preserve"> </w:t>
      </w:r>
      <w:r w:rsidRPr="0036524B">
        <w:rPr>
          <w:rFonts w:asciiTheme="minorHAnsi" w:hAnsiTheme="minorHAnsi" w:cstheme="minorHAnsi"/>
          <w:lang w:val="en-GB"/>
        </w:rPr>
        <w:t>requirement</w:t>
      </w:r>
      <w:r w:rsidRPr="0036524B">
        <w:rPr>
          <w:rFonts w:asciiTheme="minorHAnsi" w:hAnsiTheme="minorHAnsi" w:cstheme="minorHAnsi"/>
        </w:rPr>
        <w:t xml:space="preserve">; </w:t>
      </w:r>
      <w:r w:rsidRPr="0036524B">
        <w:rPr>
          <w:rFonts w:asciiTheme="minorHAnsi" w:hAnsiTheme="minorHAnsi" w:cstheme="minorHAnsi"/>
          <w:lang w:val="en-GB"/>
        </w:rPr>
        <w:t xml:space="preserve">legal departments of organisations of any form of property status; positions in academia which require degree in law; as a lecturer of legal subjects in higher educational institutions; as a lawyer; as an assistant to a lawyer. </w:t>
      </w:r>
    </w:p>
  </w:footnote>
  <w:footnote w:id="15">
    <w:p w14:paraId="3E4BC450" w14:textId="77777777" w:rsidR="00535D8B" w:rsidRPr="0036524B" w:rsidRDefault="00535D8B" w:rsidP="00535D8B">
      <w:pPr>
        <w:pStyle w:val="FootnoteText"/>
        <w:jc w:val="both"/>
        <w:rPr>
          <w:rFonts w:asciiTheme="minorHAnsi" w:hAnsiTheme="minorHAnsi" w:cstheme="minorHAnsi"/>
          <w:lang w:val="en-GB"/>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lang w:val="en-GB"/>
        </w:rPr>
        <w:t>Human</w:t>
      </w:r>
      <w:r w:rsidRPr="0036524B">
        <w:rPr>
          <w:rFonts w:asciiTheme="minorHAnsi" w:hAnsiTheme="minorHAnsi" w:cstheme="minorHAnsi"/>
        </w:rPr>
        <w:t xml:space="preserve"> </w:t>
      </w:r>
      <w:r w:rsidRPr="0036524B">
        <w:rPr>
          <w:rFonts w:asciiTheme="minorHAnsi" w:hAnsiTheme="minorHAnsi" w:cstheme="minorHAnsi"/>
          <w:lang w:val="en-GB"/>
        </w:rPr>
        <w:t>Rights</w:t>
      </w:r>
      <w:r w:rsidRPr="0036524B">
        <w:rPr>
          <w:rFonts w:asciiTheme="minorHAnsi" w:hAnsiTheme="minorHAnsi" w:cstheme="minorHAnsi"/>
        </w:rPr>
        <w:t xml:space="preserve"> </w:t>
      </w:r>
      <w:r w:rsidRPr="0036524B">
        <w:rPr>
          <w:rFonts w:asciiTheme="minorHAnsi" w:hAnsiTheme="minorHAnsi" w:cstheme="minorHAnsi"/>
          <w:lang w:val="en-GB"/>
        </w:rPr>
        <w:t>Center</w:t>
      </w:r>
      <w:r w:rsidRPr="0036524B">
        <w:rPr>
          <w:rFonts w:asciiTheme="minorHAnsi" w:hAnsiTheme="minorHAnsi" w:cstheme="minorHAnsi"/>
        </w:rPr>
        <w:t xml:space="preserve"> (20</w:t>
      </w:r>
      <w:r w:rsidRPr="0036524B">
        <w:rPr>
          <w:rFonts w:asciiTheme="minorHAnsi" w:hAnsiTheme="minorHAnsi" w:cstheme="minorHAnsi"/>
          <w:lang w:val="en-GB"/>
        </w:rPr>
        <w:t>17), Anti-Corruption Expertise of the Legislation in the Area of Judiciary, p.6.</w:t>
      </w:r>
    </w:p>
  </w:footnote>
  <w:footnote w:id="16">
    <w:p w14:paraId="7BB6F5D8" w14:textId="77777777" w:rsidR="00535D8B" w:rsidRPr="0028780C" w:rsidRDefault="00535D8B" w:rsidP="00535D8B">
      <w:pPr>
        <w:pStyle w:val="FootnoteText"/>
      </w:pPr>
      <w:r>
        <w:rPr>
          <w:rStyle w:val="FootnoteReference"/>
        </w:rPr>
        <w:footnoteRef/>
      </w:r>
      <w:r>
        <w:t xml:space="preserve"> </w:t>
      </w:r>
      <w:r w:rsidRPr="0036524B">
        <w:rPr>
          <w:rFonts w:asciiTheme="minorHAnsi" w:hAnsiTheme="minorHAnsi" w:cstheme="minorHAnsi"/>
          <w:lang w:val="en-GB"/>
        </w:rPr>
        <w:t>Strategic Research Center under the President of Tajikistan (2016), Summary of Findings and Trends in Sociological Studies of Corruption</w:t>
      </w:r>
      <w:r>
        <w:rPr>
          <w:rFonts w:asciiTheme="minorHAnsi" w:hAnsiTheme="minorHAnsi" w:cstheme="minorHAnsi"/>
          <w:lang w:val="en-GB"/>
        </w:rPr>
        <w:t>.</w:t>
      </w:r>
    </w:p>
  </w:footnote>
  <w:footnote w:id="17">
    <w:p w14:paraId="350255EE" w14:textId="77777777" w:rsidR="00535D8B" w:rsidRPr="0036524B" w:rsidRDefault="00535D8B" w:rsidP="00535D8B">
      <w:pPr>
        <w:pStyle w:val="FootnoteText"/>
        <w:jc w:val="both"/>
        <w:rPr>
          <w:rFonts w:asciiTheme="minorHAnsi" w:hAnsiTheme="minorHAnsi" w:cstheme="minorHAnsi"/>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lang w:val="en-GB"/>
        </w:rPr>
        <w:t>Strategic Research Center under the President of Tajikistan (2016), Summary of Findings and Trends in Sociological Studies of Corruption, pp. 17, 21, 22.</w:t>
      </w:r>
    </w:p>
  </w:footnote>
  <w:footnote w:id="18">
    <w:p w14:paraId="35A76C0B" w14:textId="77777777" w:rsidR="00535D8B" w:rsidRPr="0036524B" w:rsidRDefault="00535D8B" w:rsidP="00535D8B">
      <w:pPr>
        <w:jc w:val="both"/>
        <w:rPr>
          <w:rFonts w:asciiTheme="minorHAnsi" w:hAnsiTheme="minorHAnsi" w:cstheme="minorHAnsi"/>
          <w:sz w:val="20"/>
          <w:szCs w:val="20"/>
        </w:rPr>
      </w:pPr>
      <w:r w:rsidRPr="0036524B">
        <w:rPr>
          <w:rStyle w:val="FootnoteReference"/>
          <w:rFonts w:asciiTheme="minorHAnsi" w:hAnsiTheme="minorHAnsi" w:cstheme="minorHAnsi"/>
        </w:rPr>
        <w:footnoteRef/>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Agency</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on</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Anti</w:t>
      </w:r>
      <w:r w:rsidRPr="0036524B">
        <w:rPr>
          <w:rFonts w:asciiTheme="minorHAnsi" w:hAnsiTheme="minorHAnsi" w:cstheme="minorHAnsi"/>
          <w:sz w:val="20"/>
          <w:szCs w:val="20"/>
        </w:rPr>
        <w:t>-</w:t>
      </w:r>
      <w:r w:rsidRPr="0036524B">
        <w:rPr>
          <w:rFonts w:asciiTheme="minorHAnsi" w:hAnsiTheme="minorHAnsi" w:cstheme="minorHAnsi"/>
          <w:sz w:val="20"/>
          <w:szCs w:val="20"/>
          <w:lang w:val="en-GB"/>
        </w:rPr>
        <w:t>Corruption</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and</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Financial</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Control</w:t>
      </w:r>
      <w:r w:rsidRPr="0036524B">
        <w:rPr>
          <w:rFonts w:asciiTheme="minorHAnsi" w:hAnsiTheme="minorHAnsi" w:cstheme="minorHAnsi"/>
          <w:sz w:val="20"/>
          <w:szCs w:val="20"/>
        </w:rPr>
        <w:t xml:space="preserve"> (2017), </w:t>
      </w:r>
      <w:r w:rsidRPr="0036524B">
        <w:rPr>
          <w:rFonts w:asciiTheme="minorHAnsi" w:hAnsiTheme="minorHAnsi" w:cstheme="minorHAnsi"/>
          <w:sz w:val="20"/>
          <w:szCs w:val="20"/>
          <w:lang w:val="en-GB"/>
        </w:rPr>
        <w:t>Information</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about</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monitoring</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of</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implementation</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of</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the</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Anti</w:t>
      </w:r>
      <w:r w:rsidRPr="0036524B">
        <w:rPr>
          <w:rFonts w:asciiTheme="minorHAnsi" w:hAnsiTheme="minorHAnsi" w:cstheme="minorHAnsi"/>
          <w:sz w:val="20"/>
          <w:szCs w:val="20"/>
        </w:rPr>
        <w:t>-</w:t>
      </w:r>
      <w:proofErr w:type="gramStart"/>
      <w:r w:rsidRPr="0036524B">
        <w:rPr>
          <w:rFonts w:asciiTheme="minorHAnsi" w:hAnsiTheme="minorHAnsi" w:cstheme="minorHAnsi"/>
          <w:sz w:val="20"/>
          <w:szCs w:val="20"/>
          <w:lang w:val="en-GB"/>
        </w:rPr>
        <w:t>corruption</w:t>
      </w:r>
      <w:proofErr w:type="gramEnd"/>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Strategy</w:t>
      </w:r>
      <w:r w:rsidRPr="0036524B">
        <w:rPr>
          <w:rFonts w:asciiTheme="minorHAnsi" w:hAnsiTheme="minorHAnsi" w:cstheme="minorHAnsi"/>
          <w:sz w:val="20"/>
          <w:szCs w:val="20"/>
        </w:rPr>
        <w:t xml:space="preserve"> </w:t>
      </w:r>
      <w:r w:rsidRPr="0036524B">
        <w:rPr>
          <w:rFonts w:asciiTheme="minorHAnsi" w:hAnsiTheme="minorHAnsi" w:cstheme="minorHAnsi"/>
          <w:sz w:val="20"/>
          <w:szCs w:val="20"/>
          <w:lang w:val="en-GB"/>
        </w:rPr>
        <w:t>for</w:t>
      </w:r>
      <w:r w:rsidRPr="0036524B">
        <w:rPr>
          <w:rFonts w:asciiTheme="minorHAnsi" w:hAnsiTheme="minorHAnsi" w:cstheme="minorHAnsi"/>
          <w:sz w:val="20"/>
          <w:szCs w:val="20"/>
        </w:rPr>
        <w:t xml:space="preserve"> 2013-2020, </w:t>
      </w:r>
      <w:r w:rsidRPr="0036524B">
        <w:rPr>
          <w:rFonts w:asciiTheme="minorHAnsi" w:hAnsiTheme="minorHAnsi" w:cstheme="minorHAnsi"/>
          <w:sz w:val="20"/>
          <w:szCs w:val="20"/>
          <w:lang w:val="en-GB"/>
        </w:rPr>
        <w:t>p</w:t>
      </w:r>
      <w:r w:rsidRPr="0036524B">
        <w:rPr>
          <w:rFonts w:asciiTheme="minorHAnsi" w:hAnsiTheme="minorHAnsi" w:cstheme="minorHAnsi"/>
          <w:sz w:val="20"/>
          <w:szCs w:val="20"/>
        </w:rPr>
        <w:t>. 10.</w:t>
      </w:r>
    </w:p>
  </w:footnote>
  <w:footnote w:id="19">
    <w:p w14:paraId="72E8C101" w14:textId="77777777" w:rsidR="00535D8B" w:rsidRPr="0036524B" w:rsidRDefault="00535D8B" w:rsidP="00535D8B">
      <w:pPr>
        <w:pStyle w:val="FootnoteText"/>
        <w:rPr>
          <w:rFonts w:asciiTheme="minorHAnsi" w:hAnsiTheme="minorHAnsi" w:cstheme="minorHAnsi"/>
        </w:rPr>
      </w:pPr>
      <w:r w:rsidRPr="0036524B">
        <w:rPr>
          <w:rStyle w:val="FootnoteReference"/>
          <w:rFonts w:asciiTheme="minorHAnsi" w:hAnsiTheme="minorHAnsi" w:cstheme="minorHAnsi"/>
        </w:rPr>
        <w:footnoteRef/>
      </w:r>
      <w:r w:rsidRPr="0036524B">
        <w:rPr>
          <w:rFonts w:asciiTheme="minorHAnsi" w:hAnsiTheme="minorHAnsi" w:cstheme="minorHAnsi"/>
          <w:lang w:val="en-GB"/>
        </w:rPr>
        <w:t xml:space="preserve"> Human</w:t>
      </w:r>
      <w:r w:rsidRPr="0036524B">
        <w:rPr>
          <w:rFonts w:asciiTheme="minorHAnsi" w:hAnsiTheme="minorHAnsi" w:cstheme="minorHAnsi"/>
        </w:rPr>
        <w:t xml:space="preserve"> </w:t>
      </w:r>
      <w:r w:rsidRPr="0036524B">
        <w:rPr>
          <w:rFonts w:asciiTheme="minorHAnsi" w:hAnsiTheme="minorHAnsi" w:cstheme="minorHAnsi"/>
          <w:lang w:val="en-GB"/>
        </w:rPr>
        <w:t>Rights</w:t>
      </w:r>
      <w:r w:rsidRPr="0036524B">
        <w:rPr>
          <w:rFonts w:asciiTheme="minorHAnsi" w:hAnsiTheme="minorHAnsi" w:cstheme="minorHAnsi"/>
        </w:rPr>
        <w:t xml:space="preserve"> </w:t>
      </w:r>
      <w:r w:rsidRPr="0036524B">
        <w:rPr>
          <w:rFonts w:asciiTheme="minorHAnsi" w:hAnsiTheme="minorHAnsi" w:cstheme="minorHAnsi"/>
          <w:lang w:val="en-GB"/>
        </w:rPr>
        <w:t>Center</w:t>
      </w:r>
      <w:r w:rsidRPr="0036524B">
        <w:rPr>
          <w:rFonts w:asciiTheme="minorHAnsi" w:hAnsiTheme="minorHAnsi" w:cstheme="minorHAnsi"/>
        </w:rPr>
        <w:t xml:space="preserve"> (20</w:t>
      </w:r>
      <w:r w:rsidRPr="0036524B">
        <w:rPr>
          <w:rFonts w:asciiTheme="minorHAnsi" w:hAnsiTheme="minorHAnsi" w:cstheme="minorHAnsi"/>
          <w:lang w:val="en-GB"/>
        </w:rPr>
        <w:t>17), Anti-Corruption Expertise of the Legislation in the Area of Judiciary, p</w:t>
      </w:r>
      <w:r w:rsidRPr="0036524B">
        <w:rPr>
          <w:rFonts w:asciiTheme="minorHAnsi" w:hAnsiTheme="minorHAnsi" w:cstheme="minorHAnsi"/>
        </w:rPr>
        <w:t>p. 15-16.</w:t>
      </w:r>
    </w:p>
  </w:footnote>
  <w:footnote w:id="20">
    <w:p w14:paraId="6641297D" w14:textId="77777777" w:rsidR="00535D8B" w:rsidRPr="0036524B" w:rsidRDefault="00535D8B" w:rsidP="00535D8B">
      <w:pPr>
        <w:pStyle w:val="FootnoteText"/>
        <w:rPr>
          <w:rFonts w:asciiTheme="minorHAnsi" w:hAnsiTheme="minorHAnsi" w:cstheme="minorHAnsi"/>
          <w:lang w:val="en-GB"/>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lang w:val="en-GB"/>
        </w:rPr>
        <w:t>Human</w:t>
      </w:r>
      <w:r w:rsidRPr="0036524B">
        <w:rPr>
          <w:rFonts w:asciiTheme="minorHAnsi" w:hAnsiTheme="minorHAnsi" w:cstheme="minorHAnsi"/>
        </w:rPr>
        <w:t xml:space="preserve"> </w:t>
      </w:r>
      <w:r w:rsidRPr="0036524B">
        <w:rPr>
          <w:rFonts w:asciiTheme="minorHAnsi" w:hAnsiTheme="minorHAnsi" w:cstheme="minorHAnsi"/>
          <w:lang w:val="en-GB"/>
        </w:rPr>
        <w:t>Rights</w:t>
      </w:r>
      <w:r w:rsidRPr="0036524B">
        <w:rPr>
          <w:rFonts w:asciiTheme="minorHAnsi" w:hAnsiTheme="minorHAnsi" w:cstheme="minorHAnsi"/>
        </w:rPr>
        <w:t xml:space="preserve"> </w:t>
      </w:r>
      <w:r w:rsidRPr="0036524B">
        <w:rPr>
          <w:rFonts w:asciiTheme="minorHAnsi" w:hAnsiTheme="minorHAnsi" w:cstheme="minorHAnsi"/>
          <w:lang w:val="en-GB"/>
        </w:rPr>
        <w:t>Center</w:t>
      </w:r>
      <w:r w:rsidRPr="0036524B">
        <w:rPr>
          <w:rFonts w:asciiTheme="minorHAnsi" w:hAnsiTheme="minorHAnsi" w:cstheme="minorHAnsi"/>
        </w:rPr>
        <w:t xml:space="preserve"> (20</w:t>
      </w:r>
      <w:r w:rsidRPr="0036524B">
        <w:rPr>
          <w:rFonts w:asciiTheme="minorHAnsi" w:hAnsiTheme="minorHAnsi" w:cstheme="minorHAnsi"/>
          <w:lang w:val="en-GB"/>
        </w:rPr>
        <w:t>18), Monitoring of Implementation of the Anti-Corruption Strategy of Tajikistan for 2013-2020: Report on Findings of the Monitoring, p.14.</w:t>
      </w:r>
    </w:p>
  </w:footnote>
  <w:footnote w:id="21">
    <w:p w14:paraId="6CE1906D" w14:textId="77777777" w:rsidR="00535D8B" w:rsidRPr="0036524B" w:rsidRDefault="00535D8B" w:rsidP="00535D8B">
      <w:pPr>
        <w:pStyle w:val="FootnoteText"/>
        <w:rPr>
          <w:rFonts w:asciiTheme="minorHAnsi" w:hAnsiTheme="minorHAnsi" w:cstheme="minorHAnsi"/>
          <w:lang w:val="en-GB"/>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lang w:val="en-GB"/>
        </w:rPr>
        <w:t>Ibid, p. 24.</w:t>
      </w:r>
    </w:p>
  </w:footnote>
  <w:footnote w:id="22">
    <w:p w14:paraId="246E94A5" w14:textId="77777777" w:rsidR="00535D8B" w:rsidRPr="00FA09A5" w:rsidRDefault="00535D8B" w:rsidP="00535D8B">
      <w:pPr>
        <w:pStyle w:val="FootnoteText"/>
        <w:rPr>
          <w:lang w:val="en-GB"/>
        </w:rPr>
      </w:pPr>
      <w:r>
        <w:rPr>
          <w:rStyle w:val="FootnoteReference"/>
        </w:rPr>
        <w:footnoteRef/>
      </w:r>
      <w:r>
        <w:t xml:space="preserve"> </w:t>
      </w:r>
      <w:r w:rsidRPr="0036545C">
        <w:rPr>
          <w:rFonts w:asciiTheme="minorHAnsi" w:hAnsiTheme="minorHAnsi" w:cstheme="minorHAnsi"/>
        </w:rPr>
        <w:t xml:space="preserve">OECD (2017), Anti-corruption reforms in Tajikistan, Fourth Round of the Monitoring of the Istanbul Anti-Corruption Action Plan, </w:t>
      </w:r>
      <w:r w:rsidRPr="0036545C">
        <w:rPr>
          <w:rFonts w:asciiTheme="minorHAnsi" w:hAnsiTheme="minorHAnsi" w:cstheme="minorHAnsi"/>
          <w:lang w:val="en-GB"/>
        </w:rPr>
        <w:t>p</w:t>
      </w:r>
      <w:r>
        <w:rPr>
          <w:rFonts w:asciiTheme="minorHAnsi" w:hAnsiTheme="minorHAnsi" w:cstheme="minorHAnsi"/>
          <w:lang w:val="en-GB"/>
        </w:rPr>
        <w:t>.</w:t>
      </w:r>
      <w:r w:rsidRPr="00FA09A5">
        <w:rPr>
          <w:rFonts w:asciiTheme="minorHAnsi" w:hAnsiTheme="minorHAnsi" w:cstheme="minorHAnsi"/>
        </w:rPr>
        <w:t>74</w:t>
      </w:r>
      <w:r>
        <w:rPr>
          <w:rFonts w:asciiTheme="minorHAnsi" w:hAnsiTheme="minorHAnsi" w:cstheme="minorHAnsi"/>
          <w:lang w:val="en-GB"/>
        </w:rPr>
        <w:t>.</w:t>
      </w:r>
    </w:p>
  </w:footnote>
  <w:footnote w:id="23">
    <w:p w14:paraId="2600CBB7" w14:textId="77777777" w:rsidR="00535D8B" w:rsidRPr="002A5ED3" w:rsidRDefault="00535D8B" w:rsidP="00535D8B">
      <w:pPr>
        <w:pStyle w:val="FootnoteText"/>
        <w:jc w:val="both"/>
        <w:rPr>
          <w:rFonts w:asciiTheme="minorHAnsi" w:hAnsiTheme="minorHAnsi" w:cstheme="minorHAnsi"/>
        </w:rPr>
      </w:pPr>
      <w:r w:rsidRPr="0036524B">
        <w:rPr>
          <w:rStyle w:val="FootnoteReference"/>
          <w:rFonts w:asciiTheme="minorHAnsi" w:hAnsiTheme="minorHAnsi" w:cstheme="minorHAnsi"/>
        </w:rPr>
        <w:footnoteRef/>
      </w:r>
      <w:r w:rsidRPr="0036524B">
        <w:rPr>
          <w:rFonts w:asciiTheme="minorHAnsi" w:hAnsiTheme="minorHAnsi" w:cstheme="minorHAnsi"/>
        </w:rPr>
        <w:t xml:space="preserve"> </w:t>
      </w:r>
      <w:r w:rsidRPr="0036524B">
        <w:rPr>
          <w:rFonts w:asciiTheme="minorHAnsi" w:hAnsiTheme="minorHAnsi" w:cstheme="minorHAnsi"/>
        </w:rPr>
        <w:t>Report of the Special Rapporteur on the promotion and protection of the right to freedom of opinion and expression on his mission to Tajikistan, advanced unedited version, June 2017, A/HRC/35/22/Add.2, paras.54-58.</w:t>
      </w:r>
    </w:p>
  </w:footnote>
  <w:footnote w:id="24">
    <w:p w14:paraId="0793FF54" w14:textId="77777777" w:rsidR="00535D8B" w:rsidRPr="00D06624" w:rsidRDefault="00535D8B" w:rsidP="00535D8B">
      <w:pPr>
        <w:pStyle w:val="FootnoteText"/>
        <w:rPr>
          <w:lang w:val="en-GB"/>
        </w:rPr>
      </w:pPr>
      <w:r>
        <w:rPr>
          <w:rStyle w:val="FootnoteReference"/>
        </w:rPr>
        <w:footnoteRef/>
      </w:r>
      <w:r>
        <w:t xml:space="preserve"> </w:t>
      </w:r>
      <w:r w:rsidRPr="0036524B">
        <w:rPr>
          <w:rFonts w:asciiTheme="minorHAnsi" w:hAnsiTheme="minorHAnsi" w:cstheme="minorHAnsi"/>
        </w:rPr>
        <w:t xml:space="preserve">OECD (2017), Anti-corruption reforms in Tajikistan, Fourth Round of the Monitoring of the Istanbul Anti-Corruption Action Plan, </w:t>
      </w:r>
      <w:r w:rsidRPr="0036524B">
        <w:rPr>
          <w:rFonts w:asciiTheme="minorHAnsi" w:hAnsiTheme="minorHAnsi" w:cstheme="minorHAnsi"/>
          <w:lang w:val="en-GB"/>
        </w:rPr>
        <w:t>p</w:t>
      </w:r>
      <w:r>
        <w:rPr>
          <w:rFonts w:asciiTheme="minorHAnsi" w:hAnsiTheme="minorHAnsi" w:cstheme="minorHAnsi"/>
          <w:lang w:val="en-GB"/>
        </w:rPr>
        <w:t>p.78-79.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17D2" w14:textId="3AC4475F" w:rsidR="00094225" w:rsidRPr="00961D4B" w:rsidRDefault="003A6E8D" w:rsidP="006B20E4">
    <w:pPr>
      <w:pStyle w:val="Header"/>
      <w:rPr>
        <w:b/>
        <w:sz w:val="24"/>
      </w:rPr>
    </w:pPr>
    <w:r>
      <w:rPr>
        <w:b/>
        <w:sz w:val="24"/>
      </w:rPr>
      <w:t>TAJIKISTAN</w:t>
    </w:r>
    <w:r w:rsidR="00094225" w:rsidRPr="00961D4B">
      <w:rPr>
        <w:b/>
        <w:sz w:val="24"/>
      </w:rPr>
      <w:t xml:space="preserve"> –</w:t>
    </w:r>
    <w:r w:rsidR="00DC751C">
      <w:rPr>
        <w:b/>
        <w:sz w:val="24"/>
      </w:rPr>
      <w:t xml:space="preserve"> </w:t>
    </w:r>
    <w:r w:rsidR="00094225" w:rsidRPr="00961D4B">
      <w:rPr>
        <w:b/>
        <w:sz w:val="24"/>
      </w:rPr>
      <w:t xml:space="preserve">Civil </w:t>
    </w:r>
    <w:r w:rsidR="00094225">
      <w:rPr>
        <w:b/>
        <w:sz w:val="24"/>
      </w:rPr>
      <w:t xml:space="preserve">Society Report </w:t>
    </w:r>
  </w:p>
  <w:p w14:paraId="7F08B930" w14:textId="77777777" w:rsidR="00094225" w:rsidRPr="000C3C6F" w:rsidRDefault="00094225" w:rsidP="006B20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269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D6636"/>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2503B"/>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C67868"/>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011C1C"/>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B4544D"/>
    <w:multiLevelType w:val="hybridMultilevel"/>
    <w:tmpl w:val="08223EC2"/>
    <w:lvl w:ilvl="0" w:tplc="6994ECA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70EB2"/>
    <w:multiLevelType w:val="hybridMultilevel"/>
    <w:tmpl w:val="75E41A66"/>
    <w:lvl w:ilvl="0" w:tplc="890C0CAC">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CE6989"/>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434EC0"/>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A25BD1"/>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A03755"/>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3C661C"/>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464491"/>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513448"/>
    <w:multiLevelType w:val="hybridMultilevel"/>
    <w:tmpl w:val="75E41A66"/>
    <w:lvl w:ilvl="0" w:tplc="890C0CAC">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00B43D2"/>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A02A46"/>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5E7469"/>
    <w:multiLevelType w:val="hybridMultilevel"/>
    <w:tmpl w:val="AA669C7C"/>
    <w:lvl w:ilvl="0" w:tplc="AFCC9910">
      <w:start w:val="1"/>
      <w:numFmt w:val="upperRoman"/>
      <w:lvlText w:val="%1."/>
      <w:lvlJc w:val="left"/>
      <w:pPr>
        <w:ind w:left="786" w:hanging="720"/>
      </w:pPr>
      <w:rPr>
        <w:rFonts w:hint="default"/>
      </w:rPr>
    </w:lvl>
    <w:lvl w:ilvl="1" w:tplc="040C0019">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7">
    <w:nsid w:val="37CF42A0"/>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E430C1"/>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71211E"/>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8F77130"/>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38689F"/>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43661AB"/>
    <w:multiLevelType w:val="hybridMultilevel"/>
    <w:tmpl w:val="EB9EC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730AE5"/>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251791"/>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3E05CA2"/>
    <w:multiLevelType w:val="hybridMultilevel"/>
    <w:tmpl w:val="C330995A"/>
    <w:lvl w:ilvl="0" w:tplc="890C0C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8CC3A5C"/>
    <w:multiLevelType w:val="hybridMultilevel"/>
    <w:tmpl w:val="75E41A66"/>
    <w:lvl w:ilvl="0" w:tplc="890C0CAC">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B28194F"/>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D843306"/>
    <w:multiLevelType w:val="hybridMultilevel"/>
    <w:tmpl w:val="3F1E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B6BF4"/>
    <w:multiLevelType w:val="hybridMultilevel"/>
    <w:tmpl w:val="75E41A66"/>
    <w:lvl w:ilvl="0" w:tplc="890C0CAC">
      <w:start w:val="1"/>
      <w:numFmt w:val="decimal"/>
      <w:lvlText w:val="%1)"/>
      <w:lvlJc w:val="left"/>
      <w:pPr>
        <w:ind w:left="81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60F00AB"/>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7CB6925"/>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8E965D0"/>
    <w:multiLevelType w:val="hybridMultilevel"/>
    <w:tmpl w:val="F40E41B2"/>
    <w:lvl w:ilvl="0" w:tplc="CF268F5E">
      <w:start w:val="1"/>
      <w:numFmt w:val="upperRoman"/>
      <w:lvlText w:val="%1."/>
      <w:lvlJc w:val="left"/>
      <w:pPr>
        <w:ind w:left="720" w:hanging="360"/>
      </w:pPr>
      <w:rPr>
        <w:rFonts w:ascii="Calibri" w:eastAsia="Times New Roman" w:hAnsi="Calibri" w:cs="Wingdings"/>
        <w:b/>
      </w:rPr>
    </w:lvl>
    <w:lvl w:ilvl="1" w:tplc="04210019">
      <w:start w:val="1"/>
      <w:numFmt w:val="lowerLetter"/>
      <w:lvlText w:val="%2."/>
      <w:lvlJc w:val="left"/>
      <w:pPr>
        <w:ind w:left="1440" w:hanging="360"/>
      </w:pPr>
      <w:rPr>
        <w:rFonts w:cs="Times New Roman"/>
      </w:rPr>
    </w:lvl>
    <w:lvl w:ilvl="2" w:tplc="2F867478">
      <w:start w:val="1"/>
      <w:numFmt w:val="lowerLetter"/>
      <w:lvlText w:val="%3)"/>
      <w:lvlJc w:val="left"/>
      <w:pPr>
        <w:ind w:left="2340" w:hanging="360"/>
      </w:pPr>
      <w:rPr>
        <w:rFonts w:hint="default"/>
      </w:rPr>
    </w:lvl>
    <w:lvl w:ilvl="3" w:tplc="AFBE98FA">
      <w:start w:val="1"/>
      <w:numFmt w:val="decimal"/>
      <w:lvlText w:val="%4)"/>
      <w:lvlJc w:val="left"/>
      <w:pPr>
        <w:ind w:left="2880" w:hanging="360"/>
      </w:pPr>
      <w:rPr>
        <w:rFonts w:hint="default"/>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79243D17"/>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BF235D9"/>
    <w:multiLevelType w:val="hybridMultilevel"/>
    <w:tmpl w:val="75E41A66"/>
    <w:lvl w:ilvl="0" w:tplc="890C0C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16"/>
  </w:num>
  <w:num w:numId="3">
    <w:abstractNumId w:val="4"/>
  </w:num>
  <w:num w:numId="4">
    <w:abstractNumId w:val="6"/>
  </w:num>
  <w:num w:numId="5">
    <w:abstractNumId w:val="31"/>
  </w:num>
  <w:num w:numId="6">
    <w:abstractNumId w:val="5"/>
  </w:num>
  <w:num w:numId="7">
    <w:abstractNumId w:val="33"/>
  </w:num>
  <w:num w:numId="8">
    <w:abstractNumId w:val="12"/>
  </w:num>
  <w:num w:numId="9">
    <w:abstractNumId w:val="30"/>
  </w:num>
  <w:num w:numId="10">
    <w:abstractNumId w:val="21"/>
  </w:num>
  <w:num w:numId="11">
    <w:abstractNumId w:val="29"/>
  </w:num>
  <w:num w:numId="12">
    <w:abstractNumId w:val="26"/>
  </w:num>
  <w:num w:numId="13">
    <w:abstractNumId w:val="13"/>
  </w:num>
  <w:num w:numId="14">
    <w:abstractNumId w:val="8"/>
  </w:num>
  <w:num w:numId="15">
    <w:abstractNumId w:val="11"/>
  </w:num>
  <w:num w:numId="16">
    <w:abstractNumId w:val="34"/>
  </w:num>
  <w:num w:numId="17">
    <w:abstractNumId w:val="10"/>
  </w:num>
  <w:num w:numId="18">
    <w:abstractNumId w:val="17"/>
  </w:num>
  <w:num w:numId="19">
    <w:abstractNumId w:val="27"/>
  </w:num>
  <w:num w:numId="20">
    <w:abstractNumId w:val="2"/>
  </w:num>
  <w:num w:numId="21">
    <w:abstractNumId w:val="19"/>
  </w:num>
  <w:num w:numId="22">
    <w:abstractNumId w:val="20"/>
  </w:num>
  <w:num w:numId="23">
    <w:abstractNumId w:val="7"/>
  </w:num>
  <w:num w:numId="24">
    <w:abstractNumId w:val="23"/>
  </w:num>
  <w:num w:numId="25">
    <w:abstractNumId w:val="1"/>
  </w:num>
  <w:num w:numId="26">
    <w:abstractNumId w:val="0"/>
  </w:num>
  <w:num w:numId="27">
    <w:abstractNumId w:val="18"/>
  </w:num>
  <w:num w:numId="28">
    <w:abstractNumId w:val="15"/>
  </w:num>
  <w:num w:numId="29">
    <w:abstractNumId w:val="25"/>
  </w:num>
  <w:num w:numId="30">
    <w:abstractNumId w:val="3"/>
  </w:num>
  <w:num w:numId="31">
    <w:abstractNumId w:val="24"/>
  </w:num>
  <w:num w:numId="32">
    <w:abstractNumId w:val="14"/>
  </w:num>
  <w:num w:numId="33">
    <w:abstractNumId w:val="9"/>
  </w:num>
  <w:num w:numId="34">
    <w:abstractNumId w:val="28"/>
  </w:num>
  <w:num w:numId="3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0C"/>
    <w:rsid w:val="000063E4"/>
    <w:rsid w:val="00016C84"/>
    <w:rsid w:val="00017A9E"/>
    <w:rsid w:val="00017DA2"/>
    <w:rsid w:val="00025A4F"/>
    <w:rsid w:val="000262A5"/>
    <w:rsid w:val="00026D73"/>
    <w:rsid w:val="00030AD6"/>
    <w:rsid w:val="00032EBF"/>
    <w:rsid w:val="0003625F"/>
    <w:rsid w:val="0003730D"/>
    <w:rsid w:val="00041091"/>
    <w:rsid w:val="00065ED9"/>
    <w:rsid w:val="00072808"/>
    <w:rsid w:val="00076ED0"/>
    <w:rsid w:val="00077A2E"/>
    <w:rsid w:val="000805DF"/>
    <w:rsid w:val="0008683C"/>
    <w:rsid w:val="000926F8"/>
    <w:rsid w:val="00094225"/>
    <w:rsid w:val="00097CC4"/>
    <w:rsid w:val="000A25BA"/>
    <w:rsid w:val="000A25CD"/>
    <w:rsid w:val="000A5616"/>
    <w:rsid w:val="000B0757"/>
    <w:rsid w:val="000B5036"/>
    <w:rsid w:val="000C6A87"/>
    <w:rsid w:val="000D3AE9"/>
    <w:rsid w:val="000D5FE1"/>
    <w:rsid w:val="000E2E93"/>
    <w:rsid w:val="000E3619"/>
    <w:rsid w:val="000E410B"/>
    <w:rsid w:val="000F33F1"/>
    <w:rsid w:val="000F5767"/>
    <w:rsid w:val="0011350D"/>
    <w:rsid w:val="001165B9"/>
    <w:rsid w:val="00121A64"/>
    <w:rsid w:val="00122A57"/>
    <w:rsid w:val="00126388"/>
    <w:rsid w:val="001303A3"/>
    <w:rsid w:val="00133A46"/>
    <w:rsid w:val="0013682F"/>
    <w:rsid w:val="0013704F"/>
    <w:rsid w:val="00140B89"/>
    <w:rsid w:val="00141075"/>
    <w:rsid w:val="001422BA"/>
    <w:rsid w:val="0014331E"/>
    <w:rsid w:val="00145BB2"/>
    <w:rsid w:val="00146A70"/>
    <w:rsid w:val="00150C59"/>
    <w:rsid w:val="00153BB6"/>
    <w:rsid w:val="00162865"/>
    <w:rsid w:val="00166EE3"/>
    <w:rsid w:val="001819C4"/>
    <w:rsid w:val="0018276D"/>
    <w:rsid w:val="00184926"/>
    <w:rsid w:val="00187C30"/>
    <w:rsid w:val="001921CE"/>
    <w:rsid w:val="001A4E15"/>
    <w:rsid w:val="001A589F"/>
    <w:rsid w:val="001A770E"/>
    <w:rsid w:val="001B7E40"/>
    <w:rsid w:val="001C566D"/>
    <w:rsid w:val="001D2E7B"/>
    <w:rsid w:val="001D5B9C"/>
    <w:rsid w:val="001E0C73"/>
    <w:rsid w:val="001E2A70"/>
    <w:rsid w:val="001F0802"/>
    <w:rsid w:val="001F14D9"/>
    <w:rsid w:val="001F18F3"/>
    <w:rsid w:val="001F529B"/>
    <w:rsid w:val="001F79E1"/>
    <w:rsid w:val="0020175E"/>
    <w:rsid w:val="00205CEA"/>
    <w:rsid w:val="0020629C"/>
    <w:rsid w:val="00216574"/>
    <w:rsid w:val="00216774"/>
    <w:rsid w:val="002222DE"/>
    <w:rsid w:val="00222EE4"/>
    <w:rsid w:val="00223B20"/>
    <w:rsid w:val="002248B1"/>
    <w:rsid w:val="002261B8"/>
    <w:rsid w:val="00226EF0"/>
    <w:rsid w:val="002270D5"/>
    <w:rsid w:val="00232134"/>
    <w:rsid w:val="00237A73"/>
    <w:rsid w:val="00242B27"/>
    <w:rsid w:val="002456D1"/>
    <w:rsid w:val="0024579F"/>
    <w:rsid w:val="00247C8C"/>
    <w:rsid w:val="00250C57"/>
    <w:rsid w:val="002530F5"/>
    <w:rsid w:val="0025574F"/>
    <w:rsid w:val="002578D5"/>
    <w:rsid w:val="00261FFB"/>
    <w:rsid w:val="00262835"/>
    <w:rsid w:val="00263F61"/>
    <w:rsid w:val="002654B1"/>
    <w:rsid w:val="0026750E"/>
    <w:rsid w:val="0028099D"/>
    <w:rsid w:val="00280DC5"/>
    <w:rsid w:val="00281DD9"/>
    <w:rsid w:val="00283B09"/>
    <w:rsid w:val="0029204C"/>
    <w:rsid w:val="002A118F"/>
    <w:rsid w:val="002A2D45"/>
    <w:rsid w:val="002A5B16"/>
    <w:rsid w:val="002A6A97"/>
    <w:rsid w:val="002B200E"/>
    <w:rsid w:val="002B477D"/>
    <w:rsid w:val="002C2953"/>
    <w:rsid w:val="002C3FFD"/>
    <w:rsid w:val="002D168D"/>
    <w:rsid w:val="002D2900"/>
    <w:rsid w:val="002D3E52"/>
    <w:rsid w:val="002D52B3"/>
    <w:rsid w:val="002D540C"/>
    <w:rsid w:val="002D583D"/>
    <w:rsid w:val="002D72F2"/>
    <w:rsid w:val="002E1EAA"/>
    <w:rsid w:val="002E47BD"/>
    <w:rsid w:val="002E48D0"/>
    <w:rsid w:val="002E74FA"/>
    <w:rsid w:val="002E7D91"/>
    <w:rsid w:val="002F0E3D"/>
    <w:rsid w:val="0030095A"/>
    <w:rsid w:val="00300FA9"/>
    <w:rsid w:val="003021E9"/>
    <w:rsid w:val="00303F8B"/>
    <w:rsid w:val="00311DF2"/>
    <w:rsid w:val="003140C6"/>
    <w:rsid w:val="00331030"/>
    <w:rsid w:val="0033327F"/>
    <w:rsid w:val="003416B6"/>
    <w:rsid w:val="003439BB"/>
    <w:rsid w:val="003444F8"/>
    <w:rsid w:val="00344A32"/>
    <w:rsid w:val="00347ECA"/>
    <w:rsid w:val="00351E75"/>
    <w:rsid w:val="00353971"/>
    <w:rsid w:val="00354031"/>
    <w:rsid w:val="0036223A"/>
    <w:rsid w:val="003661B4"/>
    <w:rsid w:val="003673C7"/>
    <w:rsid w:val="00371EF2"/>
    <w:rsid w:val="0037205F"/>
    <w:rsid w:val="00374395"/>
    <w:rsid w:val="003757DA"/>
    <w:rsid w:val="00375CB5"/>
    <w:rsid w:val="003918D5"/>
    <w:rsid w:val="0039226C"/>
    <w:rsid w:val="0039699F"/>
    <w:rsid w:val="00396D17"/>
    <w:rsid w:val="00396E8F"/>
    <w:rsid w:val="003971AE"/>
    <w:rsid w:val="003A51AC"/>
    <w:rsid w:val="003A6D34"/>
    <w:rsid w:val="003A6E8D"/>
    <w:rsid w:val="003B6910"/>
    <w:rsid w:val="003B79EC"/>
    <w:rsid w:val="003C1F29"/>
    <w:rsid w:val="003C2057"/>
    <w:rsid w:val="003C28B6"/>
    <w:rsid w:val="003C29CB"/>
    <w:rsid w:val="003D6376"/>
    <w:rsid w:val="003E4DB9"/>
    <w:rsid w:val="003E77EA"/>
    <w:rsid w:val="00401FFE"/>
    <w:rsid w:val="00402312"/>
    <w:rsid w:val="004041E2"/>
    <w:rsid w:val="0040466F"/>
    <w:rsid w:val="004046C3"/>
    <w:rsid w:val="0041060A"/>
    <w:rsid w:val="00412E2E"/>
    <w:rsid w:val="0041390E"/>
    <w:rsid w:val="00421199"/>
    <w:rsid w:val="00421283"/>
    <w:rsid w:val="00424376"/>
    <w:rsid w:val="004264E9"/>
    <w:rsid w:val="00427713"/>
    <w:rsid w:val="004314EE"/>
    <w:rsid w:val="00431E00"/>
    <w:rsid w:val="00437406"/>
    <w:rsid w:val="004474EA"/>
    <w:rsid w:val="00447B90"/>
    <w:rsid w:val="00451913"/>
    <w:rsid w:val="004543BE"/>
    <w:rsid w:val="004626A8"/>
    <w:rsid w:val="0046405B"/>
    <w:rsid w:val="00466378"/>
    <w:rsid w:val="004739EB"/>
    <w:rsid w:val="00475F55"/>
    <w:rsid w:val="00480952"/>
    <w:rsid w:val="0048115A"/>
    <w:rsid w:val="004847A0"/>
    <w:rsid w:val="00484893"/>
    <w:rsid w:val="00486AA8"/>
    <w:rsid w:val="00491F38"/>
    <w:rsid w:val="0049741B"/>
    <w:rsid w:val="004A2988"/>
    <w:rsid w:val="004A2FA5"/>
    <w:rsid w:val="004A48E8"/>
    <w:rsid w:val="004B3A56"/>
    <w:rsid w:val="004C38B6"/>
    <w:rsid w:val="004C4AC7"/>
    <w:rsid w:val="004C7836"/>
    <w:rsid w:val="004C7DC3"/>
    <w:rsid w:val="004D1C73"/>
    <w:rsid w:val="004D28C6"/>
    <w:rsid w:val="004D6C89"/>
    <w:rsid w:val="004D7460"/>
    <w:rsid w:val="004D7DF5"/>
    <w:rsid w:val="004E0B88"/>
    <w:rsid w:val="004E2B25"/>
    <w:rsid w:val="004E3670"/>
    <w:rsid w:val="004E557F"/>
    <w:rsid w:val="004E596A"/>
    <w:rsid w:val="004E5A6D"/>
    <w:rsid w:val="004F0F73"/>
    <w:rsid w:val="004F305B"/>
    <w:rsid w:val="004F603A"/>
    <w:rsid w:val="005002C6"/>
    <w:rsid w:val="00501E07"/>
    <w:rsid w:val="00502184"/>
    <w:rsid w:val="00503FF8"/>
    <w:rsid w:val="00505868"/>
    <w:rsid w:val="0051055B"/>
    <w:rsid w:val="00511063"/>
    <w:rsid w:val="00511084"/>
    <w:rsid w:val="00514DC2"/>
    <w:rsid w:val="00520179"/>
    <w:rsid w:val="00521D55"/>
    <w:rsid w:val="005254D5"/>
    <w:rsid w:val="00525AB6"/>
    <w:rsid w:val="00525ACA"/>
    <w:rsid w:val="00532009"/>
    <w:rsid w:val="00532C0B"/>
    <w:rsid w:val="00535D8B"/>
    <w:rsid w:val="00536832"/>
    <w:rsid w:val="0054042E"/>
    <w:rsid w:val="00543FFF"/>
    <w:rsid w:val="0054712F"/>
    <w:rsid w:val="00553BDC"/>
    <w:rsid w:val="00560A71"/>
    <w:rsid w:val="00560AEB"/>
    <w:rsid w:val="00576A24"/>
    <w:rsid w:val="005774E9"/>
    <w:rsid w:val="005815B1"/>
    <w:rsid w:val="00581B0B"/>
    <w:rsid w:val="00581FA0"/>
    <w:rsid w:val="005871ED"/>
    <w:rsid w:val="0059098F"/>
    <w:rsid w:val="005947D4"/>
    <w:rsid w:val="005965E2"/>
    <w:rsid w:val="005974BF"/>
    <w:rsid w:val="005A11AC"/>
    <w:rsid w:val="005A1437"/>
    <w:rsid w:val="005A4293"/>
    <w:rsid w:val="005A6487"/>
    <w:rsid w:val="005B3890"/>
    <w:rsid w:val="005B4ADB"/>
    <w:rsid w:val="005B70CF"/>
    <w:rsid w:val="005C4010"/>
    <w:rsid w:val="005C597E"/>
    <w:rsid w:val="005C6546"/>
    <w:rsid w:val="005D1948"/>
    <w:rsid w:val="005D3BEA"/>
    <w:rsid w:val="005D7394"/>
    <w:rsid w:val="005E20A0"/>
    <w:rsid w:val="005E63DE"/>
    <w:rsid w:val="005E711C"/>
    <w:rsid w:val="005E7555"/>
    <w:rsid w:val="005F788F"/>
    <w:rsid w:val="00606C35"/>
    <w:rsid w:val="00610458"/>
    <w:rsid w:val="00611C97"/>
    <w:rsid w:val="00614BDE"/>
    <w:rsid w:val="00616895"/>
    <w:rsid w:val="00623037"/>
    <w:rsid w:val="006233A8"/>
    <w:rsid w:val="006237EF"/>
    <w:rsid w:val="00627A8A"/>
    <w:rsid w:val="006301CA"/>
    <w:rsid w:val="00632997"/>
    <w:rsid w:val="00632FEB"/>
    <w:rsid w:val="00634A1D"/>
    <w:rsid w:val="0063767A"/>
    <w:rsid w:val="00637B26"/>
    <w:rsid w:val="0064326F"/>
    <w:rsid w:val="00644D97"/>
    <w:rsid w:val="00646116"/>
    <w:rsid w:val="006463A6"/>
    <w:rsid w:val="00647592"/>
    <w:rsid w:val="00650C89"/>
    <w:rsid w:val="006544D6"/>
    <w:rsid w:val="00655749"/>
    <w:rsid w:val="006562C9"/>
    <w:rsid w:val="00661735"/>
    <w:rsid w:val="006740C1"/>
    <w:rsid w:val="00676873"/>
    <w:rsid w:val="00676DD4"/>
    <w:rsid w:val="00680755"/>
    <w:rsid w:val="006817BD"/>
    <w:rsid w:val="00682431"/>
    <w:rsid w:val="006848B5"/>
    <w:rsid w:val="00686001"/>
    <w:rsid w:val="0068609F"/>
    <w:rsid w:val="0069038E"/>
    <w:rsid w:val="006905D5"/>
    <w:rsid w:val="00691A9A"/>
    <w:rsid w:val="006928F0"/>
    <w:rsid w:val="006948E3"/>
    <w:rsid w:val="006950CB"/>
    <w:rsid w:val="006A1B98"/>
    <w:rsid w:val="006A2B35"/>
    <w:rsid w:val="006A7D5A"/>
    <w:rsid w:val="006B0C06"/>
    <w:rsid w:val="006B20E4"/>
    <w:rsid w:val="006B2E27"/>
    <w:rsid w:val="006B460F"/>
    <w:rsid w:val="006B4E00"/>
    <w:rsid w:val="006C0255"/>
    <w:rsid w:val="006C2B1A"/>
    <w:rsid w:val="006C7343"/>
    <w:rsid w:val="006D4B75"/>
    <w:rsid w:val="006E25CC"/>
    <w:rsid w:val="006E5DDC"/>
    <w:rsid w:val="006F43C1"/>
    <w:rsid w:val="00702C7B"/>
    <w:rsid w:val="007073DD"/>
    <w:rsid w:val="007078A8"/>
    <w:rsid w:val="0071659A"/>
    <w:rsid w:val="00733D51"/>
    <w:rsid w:val="00734961"/>
    <w:rsid w:val="007415C8"/>
    <w:rsid w:val="00741778"/>
    <w:rsid w:val="00741BE8"/>
    <w:rsid w:val="00741E48"/>
    <w:rsid w:val="00742FC7"/>
    <w:rsid w:val="00746988"/>
    <w:rsid w:val="0074781E"/>
    <w:rsid w:val="007529AD"/>
    <w:rsid w:val="0075730D"/>
    <w:rsid w:val="0076128A"/>
    <w:rsid w:val="0076515D"/>
    <w:rsid w:val="00765F5D"/>
    <w:rsid w:val="007717EA"/>
    <w:rsid w:val="00772BC4"/>
    <w:rsid w:val="00773156"/>
    <w:rsid w:val="00776240"/>
    <w:rsid w:val="00780EC3"/>
    <w:rsid w:val="00781353"/>
    <w:rsid w:val="00783A68"/>
    <w:rsid w:val="00785D1C"/>
    <w:rsid w:val="00787E67"/>
    <w:rsid w:val="00787F25"/>
    <w:rsid w:val="00792A63"/>
    <w:rsid w:val="00792D8D"/>
    <w:rsid w:val="00794AEC"/>
    <w:rsid w:val="007A0E50"/>
    <w:rsid w:val="007A6E13"/>
    <w:rsid w:val="007A7945"/>
    <w:rsid w:val="007B2177"/>
    <w:rsid w:val="007B6068"/>
    <w:rsid w:val="007B6306"/>
    <w:rsid w:val="007C09F4"/>
    <w:rsid w:val="007C3726"/>
    <w:rsid w:val="007C4B15"/>
    <w:rsid w:val="007C59EE"/>
    <w:rsid w:val="007D4CB5"/>
    <w:rsid w:val="007D52A7"/>
    <w:rsid w:val="007D60AA"/>
    <w:rsid w:val="007E39B1"/>
    <w:rsid w:val="007F2533"/>
    <w:rsid w:val="007F4416"/>
    <w:rsid w:val="007F4A30"/>
    <w:rsid w:val="007F6514"/>
    <w:rsid w:val="007F78C5"/>
    <w:rsid w:val="007F7E87"/>
    <w:rsid w:val="00801065"/>
    <w:rsid w:val="00806639"/>
    <w:rsid w:val="00806CD9"/>
    <w:rsid w:val="00807A7F"/>
    <w:rsid w:val="00811C8F"/>
    <w:rsid w:val="00811CEA"/>
    <w:rsid w:val="008134C9"/>
    <w:rsid w:val="00815469"/>
    <w:rsid w:val="00830AA8"/>
    <w:rsid w:val="00830C75"/>
    <w:rsid w:val="0083313E"/>
    <w:rsid w:val="00833C29"/>
    <w:rsid w:val="008362DF"/>
    <w:rsid w:val="008410C0"/>
    <w:rsid w:val="00844261"/>
    <w:rsid w:val="0084620C"/>
    <w:rsid w:val="00855C21"/>
    <w:rsid w:val="008632A8"/>
    <w:rsid w:val="00864D46"/>
    <w:rsid w:val="008654A2"/>
    <w:rsid w:val="00870DCD"/>
    <w:rsid w:val="00876E1A"/>
    <w:rsid w:val="008874E7"/>
    <w:rsid w:val="00890C79"/>
    <w:rsid w:val="008916C1"/>
    <w:rsid w:val="008978D4"/>
    <w:rsid w:val="008A4A05"/>
    <w:rsid w:val="008A7606"/>
    <w:rsid w:val="008B04A9"/>
    <w:rsid w:val="008B0B0D"/>
    <w:rsid w:val="008B1C15"/>
    <w:rsid w:val="008B304F"/>
    <w:rsid w:val="008B3174"/>
    <w:rsid w:val="008B3547"/>
    <w:rsid w:val="008C4F46"/>
    <w:rsid w:val="008C589A"/>
    <w:rsid w:val="008D601A"/>
    <w:rsid w:val="008D654C"/>
    <w:rsid w:val="008D6EA0"/>
    <w:rsid w:val="008E0B13"/>
    <w:rsid w:val="008E138B"/>
    <w:rsid w:val="008E140C"/>
    <w:rsid w:val="008E27E5"/>
    <w:rsid w:val="008F1AFD"/>
    <w:rsid w:val="008F2594"/>
    <w:rsid w:val="008F5371"/>
    <w:rsid w:val="0090142D"/>
    <w:rsid w:val="00906C28"/>
    <w:rsid w:val="00911172"/>
    <w:rsid w:val="00914A43"/>
    <w:rsid w:val="00921227"/>
    <w:rsid w:val="00927173"/>
    <w:rsid w:val="0092788B"/>
    <w:rsid w:val="00935428"/>
    <w:rsid w:val="00943CEE"/>
    <w:rsid w:val="00945C39"/>
    <w:rsid w:val="00947ADD"/>
    <w:rsid w:val="009540F6"/>
    <w:rsid w:val="00956492"/>
    <w:rsid w:val="00962005"/>
    <w:rsid w:val="009758AD"/>
    <w:rsid w:val="00976133"/>
    <w:rsid w:val="00983467"/>
    <w:rsid w:val="009840EE"/>
    <w:rsid w:val="00984C7A"/>
    <w:rsid w:val="00987D34"/>
    <w:rsid w:val="00990481"/>
    <w:rsid w:val="00990495"/>
    <w:rsid w:val="00993329"/>
    <w:rsid w:val="009949E4"/>
    <w:rsid w:val="00995746"/>
    <w:rsid w:val="009B5C40"/>
    <w:rsid w:val="009B6BF5"/>
    <w:rsid w:val="009C0095"/>
    <w:rsid w:val="009C0313"/>
    <w:rsid w:val="009C2F8B"/>
    <w:rsid w:val="009C301F"/>
    <w:rsid w:val="009D027D"/>
    <w:rsid w:val="009D331E"/>
    <w:rsid w:val="009E518A"/>
    <w:rsid w:val="009E5DD9"/>
    <w:rsid w:val="009E65F7"/>
    <w:rsid w:val="009F1CDA"/>
    <w:rsid w:val="009F44B3"/>
    <w:rsid w:val="009F541A"/>
    <w:rsid w:val="009F7BC4"/>
    <w:rsid w:val="00A01AA0"/>
    <w:rsid w:val="00A040B3"/>
    <w:rsid w:val="00A05BAB"/>
    <w:rsid w:val="00A072A3"/>
    <w:rsid w:val="00A0764F"/>
    <w:rsid w:val="00A12466"/>
    <w:rsid w:val="00A14DD3"/>
    <w:rsid w:val="00A15F24"/>
    <w:rsid w:val="00A2202B"/>
    <w:rsid w:val="00A26486"/>
    <w:rsid w:val="00A320C3"/>
    <w:rsid w:val="00A322A9"/>
    <w:rsid w:val="00A333B7"/>
    <w:rsid w:val="00A36A22"/>
    <w:rsid w:val="00A41758"/>
    <w:rsid w:val="00A41E39"/>
    <w:rsid w:val="00A41EEC"/>
    <w:rsid w:val="00A42994"/>
    <w:rsid w:val="00A43C64"/>
    <w:rsid w:val="00A45344"/>
    <w:rsid w:val="00A46A4A"/>
    <w:rsid w:val="00A473E2"/>
    <w:rsid w:val="00A574DA"/>
    <w:rsid w:val="00A576F2"/>
    <w:rsid w:val="00A57D90"/>
    <w:rsid w:val="00A64481"/>
    <w:rsid w:val="00A6556C"/>
    <w:rsid w:val="00A72924"/>
    <w:rsid w:val="00A759F7"/>
    <w:rsid w:val="00A84312"/>
    <w:rsid w:val="00A8458B"/>
    <w:rsid w:val="00A853B5"/>
    <w:rsid w:val="00A925F3"/>
    <w:rsid w:val="00A93960"/>
    <w:rsid w:val="00A939D8"/>
    <w:rsid w:val="00AA098B"/>
    <w:rsid w:val="00AA1BF8"/>
    <w:rsid w:val="00AA64DB"/>
    <w:rsid w:val="00AB2F5E"/>
    <w:rsid w:val="00AB38B1"/>
    <w:rsid w:val="00AB6072"/>
    <w:rsid w:val="00AC5777"/>
    <w:rsid w:val="00AC5926"/>
    <w:rsid w:val="00AD32FC"/>
    <w:rsid w:val="00AD6AC5"/>
    <w:rsid w:val="00AE1F6D"/>
    <w:rsid w:val="00AE30D6"/>
    <w:rsid w:val="00AE5425"/>
    <w:rsid w:val="00AE6304"/>
    <w:rsid w:val="00AE699B"/>
    <w:rsid w:val="00AF369B"/>
    <w:rsid w:val="00AF46F4"/>
    <w:rsid w:val="00AF7797"/>
    <w:rsid w:val="00B06FA8"/>
    <w:rsid w:val="00B1368E"/>
    <w:rsid w:val="00B17A0A"/>
    <w:rsid w:val="00B23C1B"/>
    <w:rsid w:val="00B23F76"/>
    <w:rsid w:val="00B3186B"/>
    <w:rsid w:val="00B34964"/>
    <w:rsid w:val="00B34AC2"/>
    <w:rsid w:val="00B35569"/>
    <w:rsid w:val="00B4681F"/>
    <w:rsid w:val="00B50D35"/>
    <w:rsid w:val="00B53024"/>
    <w:rsid w:val="00B55EB9"/>
    <w:rsid w:val="00B60FC9"/>
    <w:rsid w:val="00B6250C"/>
    <w:rsid w:val="00B62ED5"/>
    <w:rsid w:val="00B63DF6"/>
    <w:rsid w:val="00B659FE"/>
    <w:rsid w:val="00B65F7E"/>
    <w:rsid w:val="00B7345F"/>
    <w:rsid w:val="00B73FA4"/>
    <w:rsid w:val="00B76F58"/>
    <w:rsid w:val="00B9144D"/>
    <w:rsid w:val="00BA1F21"/>
    <w:rsid w:val="00BC0D41"/>
    <w:rsid w:val="00BC2D70"/>
    <w:rsid w:val="00BC3EA7"/>
    <w:rsid w:val="00BC529A"/>
    <w:rsid w:val="00BD0519"/>
    <w:rsid w:val="00BD1704"/>
    <w:rsid w:val="00BD1738"/>
    <w:rsid w:val="00BD654B"/>
    <w:rsid w:val="00BE06EC"/>
    <w:rsid w:val="00BE2B98"/>
    <w:rsid w:val="00BE4178"/>
    <w:rsid w:val="00BE6AA2"/>
    <w:rsid w:val="00BE7654"/>
    <w:rsid w:val="00BF0C48"/>
    <w:rsid w:val="00BF2416"/>
    <w:rsid w:val="00C057EE"/>
    <w:rsid w:val="00C1388A"/>
    <w:rsid w:val="00C15FE2"/>
    <w:rsid w:val="00C208B0"/>
    <w:rsid w:val="00C21A46"/>
    <w:rsid w:val="00C22F59"/>
    <w:rsid w:val="00C30287"/>
    <w:rsid w:val="00C525EF"/>
    <w:rsid w:val="00C555F6"/>
    <w:rsid w:val="00C577D1"/>
    <w:rsid w:val="00C62CBA"/>
    <w:rsid w:val="00C64CA1"/>
    <w:rsid w:val="00C67F37"/>
    <w:rsid w:val="00C76EED"/>
    <w:rsid w:val="00C77E16"/>
    <w:rsid w:val="00C822EF"/>
    <w:rsid w:val="00C902E9"/>
    <w:rsid w:val="00C93F75"/>
    <w:rsid w:val="00CA3409"/>
    <w:rsid w:val="00CA35A9"/>
    <w:rsid w:val="00CA4728"/>
    <w:rsid w:val="00CA4FC4"/>
    <w:rsid w:val="00CA59F6"/>
    <w:rsid w:val="00CA5FE2"/>
    <w:rsid w:val="00CA6109"/>
    <w:rsid w:val="00CB5DC3"/>
    <w:rsid w:val="00CC24A2"/>
    <w:rsid w:val="00CC3513"/>
    <w:rsid w:val="00CC4677"/>
    <w:rsid w:val="00CC7A98"/>
    <w:rsid w:val="00CD3507"/>
    <w:rsid w:val="00CD5DA8"/>
    <w:rsid w:val="00CE1FEC"/>
    <w:rsid w:val="00CE2071"/>
    <w:rsid w:val="00CE54F5"/>
    <w:rsid w:val="00CE61D3"/>
    <w:rsid w:val="00CE620C"/>
    <w:rsid w:val="00CE660E"/>
    <w:rsid w:val="00CF082A"/>
    <w:rsid w:val="00CF0B3D"/>
    <w:rsid w:val="00CF205C"/>
    <w:rsid w:val="00CF260B"/>
    <w:rsid w:val="00D022AF"/>
    <w:rsid w:val="00D02ED4"/>
    <w:rsid w:val="00D1156B"/>
    <w:rsid w:val="00D15C5B"/>
    <w:rsid w:val="00D20134"/>
    <w:rsid w:val="00D27AD3"/>
    <w:rsid w:val="00D30CED"/>
    <w:rsid w:val="00D345FF"/>
    <w:rsid w:val="00D352D5"/>
    <w:rsid w:val="00D353E3"/>
    <w:rsid w:val="00D365EA"/>
    <w:rsid w:val="00D4085D"/>
    <w:rsid w:val="00D40A45"/>
    <w:rsid w:val="00D41D8F"/>
    <w:rsid w:val="00D45C5B"/>
    <w:rsid w:val="00D45E66"/>
    <w:rsid w:val="00D519CE"/>
    <w:rsid w:val="00D55534"/>
    <w:rsid w:val="00D56050"/>
    <w:rsid w:val="00D5668E"/>
    <w:rsid w:val="00D61864"/>
    <w:rsid w:val="00D70190"/>
    <w:rsid w:val="00D7079C"/>
    <w:rsid w:val="00D73535"/>
    <w:rsid w:val="00D7390D"/>
    <w:rsid w:val="00D75530"/>
    <w:rsid w:val="00D8148B"/>
    <w:rsid w:val="00D87270"/>
    <w:rsid w:val="00D908EB"/>
    <w:rsid w:val="00D9448E"/>
    <w:rsid w:val="00DA10C7"/>
    <w:rsid w:val="00DA69A5"/>
    <w:rsid w:val="00DA7023"/>
    <w:rsid w:val="00DB0719"/>
    <w:rsid w:val="00DB1892"/>
    <w:rsid w:val="00DB4DBD"/>
    <w:rsid w:val="00DC336C"/>
    <w:rsid w:val="00DC6EE4"/>
    <w:rsid w:val="00DC751C"/>
    <w:rsid w:val="00DD11A6"/>
    <w:rsid w:val="00DD25E8"/>
    <w:rsid w:val="00DD4E70"/>
    <w:rsid w:val="00DE75CE"/>
    <w:rsid w:val="00DF134A"/>
    <w:rsid w:val="00DF4787"/>
    <w:rsid w:val="00E01DEC"/>
    <w:rsid w:val="00E02D2A"/>
    <w:rsid w:val="00E07245"/>
    <w:rsid w:val="00E11832"/>
    <w:rsid w:val="00E12E79"/>
    <w:rsid w:val="00E14B23"/>
    <w:rsid w:val="00E2067F"/>
    <w:rsid w:val="00E245C0"/>
    <w:rsid w:val="00E33356"/>
    <w:rsid w:val="00E35326"/>
    <w:rsid w:val="00E41E8F"/>
    <w:rsid w:val="00E422E6"/>
    <w:rsid w:val="00E42C5C"/>
    <w:rsid w:val="00E43D7F"/>
    <w:rsid w:val="00E458C3"/>
    <w:rsid w:val="00E54AAF"/>
    <w:rsid w:val="00E57657"/>
    <w:rsid w:val="00E60A65"/>
    <w:rsid w:val="00E6753F"/>
    <w:rsid w:val="00E71BED"/>
    <w:rsid w:val="00E72735"/>
    <w:rsid w:val="00E729D0"/>
    <w:rsid w:val="00E77B0F"/>
    <w:rsid w:val="00E80186"/>
    <w:rsid w:val="00E81765"/>
    <w:rsid w:val="00E84027"/>
    <w:rsid w:val="00E85743"/>
    <w:rsid w:val="00E86147"/>
    <w:rsid w:val="00E913C9"/>
    <w:rsid w:val="00EA22FD"/>
    <w:rsid w:val="00EA3B51"/>
    <w:rsid w:val="00EA7826"/>
    <w:rsid w:val="00EB02A8"/>
    <w:rsid w:val="00EB3DC0"/>
    <w:rsid w:val="00EC1031"/>
    <w:rsid w:val="00EC50D9"/>
    <w:rsid w:val="00EC694D"/>
    <w:rsid w:val="00ED1C7E"/>
    <w:rsid w:val="00ED2548"/>
    <w:rsid w:val="00ED426E"/>
    <w:rsid w:val="00ED4302"/>
    <w:rsid w:val="00ED467A"/>
    <w:rsid w:val="00ED4B50"/>
    <w:rsid w:val="00ED70A9"/>
    <w:rsid w:val="00ED7E14"/>
    <w:rsid w:val="00EE44E7"/>
    <w:rsid w:val="00EE6B37"/>
    <w:rsid w:val="00EF1251"/>
    <w:rsid w:val="00EF14E1"/>
    <w:rsid w:val="00F00B6C"/>
    <w:rsid w:val="00F01CE5"/>
    <w:rsid w:val="00F0791A"/>
    <w:rsid w:val="00F11C5D"/>
    <w:rsid w:val="00F12AC6"/>
    <w:rsid w:val="00F150DD"/>
    <w:rsid w:val="00F17789"/>
    <w:rsid w:val="00F2086C"/>
    <w:rsid w:val="00F20C1E"/>
    <w:rsid w:val="00F22733"/>
    <w:rsid w:val="00F33C8B"/>
    <w:rsid w:val="00F33E86"/>
    <w:rsid w:val="00F40660"/>
    <w:rsid w:val="00F438E4"/>
    <w:rsid w:val="00F4550D"/>
    <w:rsid w:val="00F5304E"/>
    <w:rsid w:val="00F551BD"/>
    <w:rsid w:val="00F5534C"/>
    <w:rsid w:val="00F601A4"/>
    <w:rsid w:val="00F61BB0"/>
    <w:rsid w:val="00F63E67"/>
    <w:rsid w:val="00F64D15"/>
    <w:rsid w:val="00F703ED"/>
    <w:rsid w:val="00F73C61"/>
    <w:rsid w:val="00F833EE"/>
    <w:rsid w:val="00F84219"/>
    <w:rsid w:val="00F85247"/>
    <w:rsid w:val="00F869B9"/>
    <w:rsid w:val="00F925BB"/>
    <w:rsid w:val="00F959C3"/>
    <w:rsid w:val="00F9600D"/>
    <w:rsid w:val="00F97C5D"/>
    <w:rsid w:val="00F97E67"/>
    <w:rsid w:val="00FA5C58"/>
    <w:rsid w:val="00FB1B1A"/>
    <w:rsid w:val="00FB2973"/>
    <w:rsid w:val="00FB44DA"/>
    <w:rsid w:val="00FB5497"/>
    <w:rsid w:val="00FD1C2F"/>
    <w:rsid w:val="00FD3DF5"/>
    <w:rsid w:val="00FE03FA"/>
    <w:rsid w:val="00FE5144"/>
    <w:rsid w:val="00FE652F"/>
    <w:rsid w:val="00FE6F98"/>
    <w:rsid w:val="00FE7BEE"/>
    <w:rsid w:val="00FF04CF"/>
    <w:rsid w:val="00FF268E"/>
    <w:rsid w:val="00FF5D76"/>
    <w:rsid w:val="00FF6A0F"/>
  </w:rsids>
  <m:mathPr>
    <m:mathFont m:val="Cambria Math"/>
    <m:brkBin m:val="before"/>
    <m:brkBinSub m:val="--"/>
    <m:smallFrac/>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0C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D"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iPriority="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2CBA"/>
    <w:pPr>
      <w:spacing w:after="200" w:line="276" w:lineRule="auto"/>
    </w:pPr>
    <w:rPr>
      <w:sz w:val="22"/>
      <w:szCs w:val="22"/>
      <w:lang w:val="id-ID"/>
    </w:rPr>
  </w:style>
  <w:style w:type="paragraph" w:styleId="Heading1">
    <w:name w:val="heading 1"/>
    <w:basedOn w:val="Normal"/>
    <w:link w:val="Heading1Char"/>
    <w:uiPriority w:val="99"/>
    <w:qFormat/>
    <w:rsid w:val="00FD17CF"/>
    <w:pPr>
      <w:spacing w:before="100" w:beforeAutospacing="1" w:after="100" w:afterAutospacing="1" w:line="240" w:lineRule="auto"/>
      <w:outlineLvl w:val="0"/>
    </w:pPr>
    <w:rPr>
      <w:rFonts w:ascii="Times New Roman" w:hAnsi="Times New Roman"/>
      <w:b/>
      <w:bCs/>
      <w:kern w:val="36"/>
      <w:sz w:val="48"/>
      <w:szCs w:val="48"/>
      <w:lang w:val="en-US" w:eastAsia="x-none"/>
    </w:rPr>
  </w:style>
  <w:style w:type="paragraph" w:styleId="Heading3">
    <w:name w:val="heading 3"/>
    <w:basedOn w:val="Normal"/>
    <w:next w:val="Normal"/>
    <w:link w:val="Heading3Char"/>
    <w:uiPriority w:val="9"/>
    <w:qFormat/>
    <w:rsid w:val="00D365EA"/>
    <w:pPr>
      <w:keepNext/>
      <w:spacing w:before="240" w:after="60"/>
      <w:outlineLvl w:val="2"/>
    </w:pPr>
    <w:rPr>
      <w:rFonts w:ascii="Cambria" w:eastAsia="Times New Roman" w:hAnsi="Cambria" w:cs="Mang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17CF"/>
    <w:rPr>
      <w:rFonts w:ascii="Times New Roman" w:hAnsi="Times New Roman" w:cs="Times New Roman"/>
      <w:b/>
      <w:bCs/>
      <w:kern w:val="36"/>
      <w:sz w:val="48"/>
      <w:szCs w:val="48"/>
      <w:lang w:val="en-US"/>
    </w:rPr>
  </w:style>
  <w:style w:type="paragraph" w:customStyle="1" w:styleId="LightGrid-Accent31">
    <w:name w:val="Light Grid - Accent 31"/>
    <w:basedOn w:val="Normal"/>
    <w:uiPriority w:val="99"/>
    <w:qFormat/>
    <w:rsid w:val="00C62CBA"/>
    <w:pPr>
      <w:ind w:left="720"/>
      <w:contextualSpacing/>
    </w:pPr>
  </w:style>
  <w:style w:type="paragraph" w:customStyle="1" w:styleId="SingleTxtG">
    <w:name w:val="_ Single Txt_G"/>
    <w:basedOn w:val="Normal"/>
    <w:uiPriority w:val="99"/>
    <w:rsid w:val="00C62CBA"/>
    <w:pPr>
      <w:suppressAutoHyphens/>
      <w:spacing w:after="120" w:line="240" w:lineRule="atLeast"/>
      <w:ind w:left="1134" w:right="1134"/>
      <w:jc w:val="both"/>
    </w:pPr>
    <w:rPr>
      <w:rFonts w:ascii="Times New Roman" w:eastAsia="Times New Roman" w:hAnsi="Times New Roman"/>
      <w:sz w:val="20"/>
      <w:szCs w:val="20"/>
      <w:lang w:val="en-GB"/>
    </w:rPr>
  </w:style>
  <w:style w:type="paragraph" w:styleId="NormalWeb">
    <w:name w:val="Normal (Web)"/>
    <w:basedOn w:val="Normal"/>
    <w:uiPriority w:val="99"/>
    <w:rsid w:val="00C62CBA"/>
    <w:pPr>
      <w:spacing w:before="100" w:beforeAutospacing="1" w:after="100" w:afterAutospacing="1" w:line="240" w:lineRule="auto"/>
    </w:pPr>
    <w:rPr>
      <w:rFonts w:ascii="Times New Roman" w:eastAsia="Times New Roman" w:hAnsi="Times New Roman"/>
      <w:sz w:val="24"/>
      <w:szCs w:val="24"/>
      <w:lang w:eastAsia="id-ID"/>
    </w:rPr>
  </w:style>
  <w:style w:type="paragraph" w:styleId="FootnoteText">
    <w:name w:val="footnote text"/>
    <w:aliases w:val="5_G,Footnote Text Char Char,single space,ft,Geneva 9,Font: Geneva 9,Boston 10,f,fn,FOOTNOTES,Footnote Text Char2,Footnote Text Char1 Char,Footnote Text Char Char Char,Char Char Char Char,Char Char1 Char,ft Char1, Char,footnote text,ADB"/>
    <w:basedOn w:val="Normal"/>
    <w:link w:val="FootnoteTextChar1"/>
    <w:uiPriority w:val="99"/>
    <w:qFormat/>
    <w:rsid w:val="00C62CBA"/>
    <w:pPr>
      <w:spacing w:after="0" w:line="240" w:lineRule="auto"/>
    </w:pPr>
    <w:rPr>
      <w:rFonts w:eastAsia="Times New Roman"/>
      <w:sz w:val="20"/>
      <w:szCs w:val="20"/>
      <w:lang w:val="x-none" w:eastAsia="x-none"/>
    </w:rPr>
  </w:style>
  <w:style w:type="character" w:customStyle="1" w:styleId="FootnoteTextChar">
    <w:name w:val="Footnote Text Char"/>
    <w:aliases w:val="5_G Char,Footnote Text Char Char Char1,single space Char,ft Char,Geneva 9 Char,Font: Geneva 9 Char,Boston 10 Char,f Char,fn Char,FOOTNOTES Char,Footnote Text Char2 Char,Footnote Text Char1 Char Char,Footnote Text Char Char Char Char"/>
    <w:uiPriority w:val="99"/>
    <w:rsid w:val="0076413A"/>
    <w:rPr>
      <w:sz w:val="20"/>
      <w:szCs w:val="20"/>
      <w:lang w:val="id-ID"/>
    </w:rPr>
  </w:style>
  <w:style w:type="character" w:customStyle="1" w:styleId="FootnoteTextChar1">
    <w:name w:val="Footnote Text Char1"/>
    <w:aliases w:val="5_G Char1,Footnote Text Char Char Char2,single space Char1,ft Char2,Geneva 9 Char1,Font: Geneva 9 Char1,Boston 10 Char1,f Char1,fn Char1,FOOTNOTES Char1,Footnote Text Char2 Char1,Footnote Text Char1 Char Char1,Char Char1 Char Char"/>
    <w:link w:val="FootnoteText"/>
    <w:uiPriority w:val="99"/>
    <w:locked/>
    <w:rsid w:val="00C62CBA"/>
    <w:rPr>
      <w:rFonts w:ascii="Calibri" w:eastAsia="Times New Roman" w:hAnsi="Calibri" w:cs="Times New Roman"/>
      <w:sz w:val="20"/>
      <w:szCs w:val="20"/>
    </w:rPr>
  </w:style>
  <w:style w:type="character" w:styleId="FootnoteReference">
    <w:name w:val="footnote reference"/>
    <w:aliases w:val="4_G,ftref,Fußnotenzeichen DISS,16 Point,Superscript 6 Point,Footnote,callout,Footnote Refernece,Footnote Reference Number,Fußnotenzeichen_Raxen,BVI fnr,Fago Fußnotenzeichen,4_G Char Char,Footnote Char Char,callout Char Char,fr"/>
    <w:link w:val="4GChar"/>
    <w:uiPriority w:val="99"/>
    <w:qFormat/>
    <w:rsid w:val="00C62CBA"/>
    <w:rPr>
      <w:rFonts w:cs="Times New Roman"/>
      <w:vertAlign w:val="superscript"/>
    </w:rPr>
  </w:style>
  <w:style w:type="character" w:styleId="Hyperlink">
    <w:name w:val="Hyperlink"/>
    <w:uiPriority w:val="99"/>
    <w:rsid w:val="00C62CBA"/>
    <w:rPr>
      <w:rFonts w:cs="Times New Roman"/>
      <w:color w:val="0000FF"/>
      <w:u w:val="single"/>
    </w:rPr>
  </w:style>
  <w:style w:type="paragraph" w:styleId="BodyTextIndent">
    <w:name w:val="Body Text Indent"/>
    <w:basedOn w:val="Normal"/>
    <w:link w:val="BodyTextIndentChar"/>
    <w:uiPriority w:val="99"/>
    <w:rsid w:val="00C62CBA"/>
    <w:pPr>
      <w:autoSpaceDE w:val="0"/>
      <w:autoSpaceDN w:val="0"/>
      <w:spacing w:after="0" w:line="240" w:lineRule="auto"/>
      <w:jc w:val="both"/>
    </w:pPr>
    <w:rPr>
      <w:rFonts w:ascii="Tahoma" w:hAnsi="Tahoma"/>
      <w:sz w:val="28"/>
      <w:szCs w:val="28"/>
      <w:lang w:val="en-US" w:eastAsia="x-none"/>
    </w:rPr>
  </w:style>
  <w:style w:type="character" w:customStyle="1" w:styleId="BodyTextIndentChar">
    <w:name w:val="Body Text Indent Char"/>
    <w:link w:val="BodyTextIndent"/>
    <w:uiPriority w:val="99"/>
    <w:locked/>
    <w:rsid w:val="00C62CBA"/>
    <w:rPr>
      <w:rFonts w:ascii="Tahoma" w:hAnsi="Tahoma" w:cs="Tahoma"/>
      <w:sz w:val="28"/>
      <w:szCs w:val="28"/>
      <w:lang w:val="en-US"/>
    </w:rPr>
  </w:style>
  <w:style w:type="character" w:customStyle="1" w:styleId="hps">
    <w:name w:val="hps"/>
    <w:uiPriority w:val="99"/>
    <w:rsid w:val="00C62CBA"/>
    <w:rPr>
      <w:rFonts w:cs="Times New Roman"/>
    </w:rPr>
  </w:style>
  <w:style w:type="character" w:customStyle="1" w:styleId="A2">
    <w:name w:val="A2"/>
    <w:uiPriority w:val="99"/>
    <w:rsid w:val="00C62CBA"/>
    <w:rPr>
      <w:color w:val="000000"/>
      <w:sz w:val="22"/>
    </w:rPr>
  </w:style>
  <w:style w:type="character" w:styleId="CommentReference">
    <w:name w:val="annotation reference"/>
    <w:rsid w:val="00C62CBA"/>
    <w:rPr>
      <w:rFonts w:cs="Times New Roman"/>
      <w:sz w:val="16"/>
      <w:szCs w:val="16"/>
    </w:rPr>
  </w:style>
  <w:style w:type="paragraph" w:styleId="CommentText">
    <w:name w:val="annotation text"/>
    <w:basedOn w:val="Normal"/>
    <w:link w:val="CommentTextChar"/>
    <w:rsid w:val="00C62CBA"/>
    <w:pPr>
      <w:spacing w:line="240" w:lineRule="auto"/>
    </w:pPr>
    <w:rPr>
      <w:rFonts w:eastAsia="Times New Roman"/>
      <w:sz w:val="20"/>
      <w:szCs w:val="20"/>
      <w:lang w:val="x-none" w:eastAsia="x-none"/>
    </w:rPr>
  </w:style>
  <w:style w:type="character" w:customStyle="1" w:styleId="CommentTextChar">
    <w:name w:val="Comment Text Char"/>
    <w:link w:val="CommentText"/>
    <w:locked/>
    <w:rsid w:val="00C62CBA"/>
    <w:rPr>
      <w:rFonts w:ascii="Calibri" w:eastAsia="Times New Roman" w:hAnsi="Calibri" w:cs="Times New Roman"/>
      <w:sz w:val="20"/>
      <w:szCs w:val="20"/>
    </w:rPr>
  </w:style>
  <w:style w:type="character" w:styleId="Strong">
    <w:name w:val="Strong"/>
    <w:uiPriority w:val="22"/>
    <w:qFormat/>
    <w:rsid w:val="00C62CBA"/>
    <w:rPr>
      <w:rFonts w:cs="Times New Roman"/>
      <w:b/>
      <w:bCs/>
    </w:rPr>
  </w:style>
  <w:style w:type="character" w:styleId="Emphasis">
    <w:name w:val="Emphasis"/>
    <w:uiPriority w:val="99"/>
    <w:qFormat/>
    <w:rsid w:val="00C62CBA"/>
    <w:rPr>
      <w:rFonts w:cs="Times New Roman"/>
      <w:i/>
      <w:iCs/>
    </w:rPr>
  </w:style>
  <w:style w:type="paragraph" w:customStyle="1" w:styleId="MediumGrid2-Accent11">
    <w:name w:val="Medium Grid 2 - Accent 11"/>
    <w:uiPriority w:val="99"/>
    <w:qFormat/>
    <w:rsid w:val="00C62CBA"/>
    <w:rPr>
      <w:sz w:val="22"/>
      <w:szCs w:val="22"/>
      <w:lang w:val="id-ID"/>
    </w:rPr>
  </w:style>
  <w:style w:type="paragraph" w:styleId="BalloonText">
    <w:name w:val="Balloon Text"/>
    <w:basedOn w:val="Normal"/>
    <w:link w:val="BalloonTextChar"/>
    <w:uiPriority w:val="99"/>
    <w:semiHidden/>
    <w:rsid w:val="00C62CBA"/>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locked/>
    <w:rsid w:val="00C62CBA"/>
    <w:rPr>
      <w:rFonts w:ascii="Tahoma" w:eastAsia="Times New Roman" w:hAnsi="Tahoma" w:cs="Tahoma"/>
      <w:sz w:val="16"/>
      <w:szCs w:val="16"/>
    </w:rPr>
  </w:style>
  <w:style w:type="paragraph" w:customStyle="1" w:styleId="H23G">
    <w:name w:val="_ H_2/3_G"/>
    <w:basedOn w:val="Normal"/>
    <w:next w:val="Normal"/>
    <w:uiPriority w:val="99"/>
    <w:rsid w:val="00484439"/>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table" w:styleId="TableGrid">
    <w:name w:val="Table Grid"/>
    <w:basedOn w:val="TableNormal"/>
    <w:uiPriority w:val="99"/>
    <w:rsid w:val="000A5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037D34"/>
    <w:pPr>
      <w:spacing w:after="120"/>
    </w:pPr>
    <w:rPr>
      <w:rFonts w:eastAsia="Times New Roman"/>
      <w:sz w:val="20"/>
      <w:szCs w:val="20"/>
      <w:lang w:val="x-none" w:eastAsia="x-none"/>
    </w:rPr>
  </w:style>
  <w:style w:type="character" w:customStyle="1" w:styleId="BodyTextChar">
    <w:name w:val="Body Text Char"/>
    <w:link w:val="BodyText"/>
    <w:uiPriority w:val="99"/>
    <w:semiHidden/>
    <w:locked/>
    <w:rsid w:val="00037D34"/>
    <w:rPr>
      <w:rFonts w:ascii="Calibri" w:eastAsia="Times New Roman" w:hAnsi="Calibri" w:cs="Times New Roman"/>
    </w:rPr>
  </w:style>
  <w:style w:type="paragraph" w:customStyle="1" w:styleId="NormalWebCharChar">
    <w:name w:val="Normal (Web) Char Char"/>
    <w:basedOn w:val="Normal"/>
    <w:uiPriority w:val="99"/>
    <w:rsid w:val="00BA5D5A"/>
    <w:pPr>
      <w:spacing w:before="100" w:beforeAutospacing="1" w:after="100" w:afterAutospacing="1" w:line="240" w:lineRule="auto"/>
    </w:pPr>
    <w:rPr>
      <w:rFonts w:ascii="Times New Roman" w:hAnsi="Times New Roman"/>
      <w:sz w:val="24"/>
      <w:szCs w:val="24"/>
      <w:lang w:val="en-US"/>
    </w:rPr>
  </w:style>
  <w:style w:type="paragraph" w:styleId="Header">
    <w:name w:val="header"/>
    <w:basedOn w:val="Normal"/>
    <w:link w:val="HeaderChar"/>
    <w:uiPriority w:val="99"/>
    <w:rsid w:val="00E84C25"/>
    <w:pPr>
      <w:tabs>
        <w:tab w:val="center" w:pos="4680"/>
        <w:tab w:val="right" w:pos="9360"/>
      </w:tabs>
      <w:spacing w:after="0" w:line="240" w:lineRule="auto"/>
    </w:pPr>
    <w:rPr>
      <w:rFonts w:eastAsia="Times New Roman"/>
      <w:sz w:val="20"/>
      <w:szCs w:val="20"/>
      <w:lang w:val="x-none" w:eastAsia="x-none"/>
    </w:rPr>
  </w:style>
  <w:style w:type="character" w:customStyle="1" w:styleId="HeaderChar">
    <w:name w:val="Header Char"/>
    <w:link w:val="Header"/>
    <w:uiPriority w:val="99"/>
    <w:locked/>
    <w:rsid w:val="00E84C25"/>
    <w:rPr>
      <w:rFonts w:ascii="Calibri" w:eastAsia="Times New Roman" w:hAnsi="Calibri" w:cs="Times New Roman"/>
    </w:rPr>
  </w:style>
  <w:style w:type="paragraph" w:styleId="Footer">
    <w:name w:val="footer"/>
    <w:basedOn w:val="Normal"/>
    <w:link w:val="FooterChar"/>
    <w:uiPriority w:val="99"/>
    <w:rsid w:val="00E84C25"/>
    <w:pPr>
      <w:tabs>
        <w:tab w:val="center" w:pos="4680"/>
        <w:tab w:val="right" w:pos="9360"/>
      </w:tabs>
      <w:spacing w:after="0" w:line="240" w:lineRule="auto"/>
    </w:pPr>
    <w:rPr>
      <w:rFonts w:eastAsia="Times New Roman"/>
      <w:sz w:val="20"/>
      <w:szCs w:val="20"/>
      <w:lang w:val="x-none" w:eastAsia="x-none"/>
    </w:rPr>
  </w:style>
  <w:style w:type="character" w:customStyle="1" w:styleId="FooterChar">
    <w:name w:val="Footer Char"/>
    <w:link w:val="Footer"/>
    <w:uiPriority w:val="99"/>
    <w:locked/>
    <w:rsid w:val="00E84C25"/>
    <w:rPr>
      <w:rFonts w:ascii="Calibri" w:eastAsia="Times New Roman" w:hAnsi="Calibri" w:cs="Times New Roman"/>
    </w:rPr>
  </w:style>
  <w:style w:type="character" w:styleId="FollowedHyperlink">
    <w:name w:val="FollowedHyperlink"/>
    <w:uiPriority w:val="99"/>
    <w:semiHidden/>
    <w:rsid w:val="00231072"/>
    <w:rPr>
      <w:rFonts w:cs="Times New Roman"/>
      <w:color w:val="800080"/>
      <w:u w:val="single"/>
    </w:rPr>
  </w:style>
  <w:style w:type="paragraph" w:styleId="CommentSubject">
    <w:name w:val="annotation subject"/>
    <w:basedOn w:val="CommentText"/>
    <w:next w:val="CommentText"/>
    <w:link w:val="CommentSubjectChar"/>
    <w:uiPriority w:val="99"/>
    <w:semiHidden/>
    <w:rsid w:val="00F6713F"/>
    <w:rPr>
      <w:b/>
      <w:bCs/>
    </w:rPr>
  </w:style>
  <w:style w:type="character" w:customStyle="1" w:styleId="CommentSubjectChar">
    <w:name w:val="Comment Subject Char"/>
    <w:link w:val="CommentSubject"/>
    <w:uiPriority w:val="99"/>
    <w:semiHidden/>
    <w:locked/>
    <w:rsid w:val="00F6713F"/>
    <w:rPr>
      <w:rFonts w:ascii="Calibri" w:eastAsia="Times New Roman" w:hAnsi="Calibri" w:cs="Times New Roman"/>
      <w:b/>
      <w:bCs/>
      <w:sz w:val="20"/>
      <w:szCs w:val="20"/>
    </w:rPr>
  </w:style>
  <w:style w:type="paragraph" w:customStyle="1" w:styleId="LightList-Accent31">
    <w:name w:val="Light List - Accent 31"/>
    <w:hidden/>
    <w:uiPriority w:val="99"/>
    <w:semiHidden/>
    <w:rsid w:val="005B4810"/>
    <w:rPr>
      <w:sz w:val="22"/>
      <w:szCs w:val="22"/>
      <w:lang w:val="id-ID"/>
    </w:rPr>
  </w:style>
  <w:style w:type="paragraph" w:customStyle="1" w:styleId="Contenudetableau">
    <w:name w:val="Contenu de tableau"/>
    <w:basedOn w:val="Normal"/>
    <w:rsid w:val="00055BA2"/>
    <w:pPr>
      <w:widowControl w:val="0"/>
      <w:suppressLineNumbers/>
      <w:suppressAutoHyphens/>
      <w:spacing w:after="0" w:line="240" w:lineRule="auto"/>
    </w:pPr>
    <w:rPr>
      <w:rFonts w:ascii="Times New Roman" w:eastAsia="Lucida Sans Unicode" w:hAnsi="Times New Roman"/>
      <w:kern w:val="1"/>
      <w:sz w:val="24"/>
      <w:szCs w:val="24"/>
      <w:lang w:val="fr-FR"/>
    </w:rPr>
  </w:style>
  <w:style w:type="character" w:styleId="PageNumber">
    <w:name w:val="page number"/>
    <w:basedOn w:val="DefaultParagraphFont"/>
    <w:uiPriority w:val="99"/>
    <w:semiHidden/>
    <w:unhideWhenUsed/>
    <w:rsid w:val="000E47BB"/>
  </w:style>
  <w:style w:type="character" w:customStyle="1" w:styleId="highlight1">
    <w:name w:val="highlight1"/>
    <w:rsid w:val="006D22AA"/>
    <w:rPr>
      <w:shd w:val="clear" w:color="auto" w:fill="FFCC33"/>
    </w:rPr>
  </w:style>
  <w:style w:type="character" w:customStyle="1" w:styleId="Heading3Char">
    <w:name w:val="Heading 3 Char"/>
    <w:link w:val="Heading3"/>
    <w:uiPriority w:val="9"/>
    <w:rsid w:val="00D365EA"/>
    <w:rPr>
      <w:rFonts w:ascii="Cambria" w:eastAsia="Times New Roman" w:hAnsi="Cambria" w:cs="Mangal"/>
      <w:b/>
      <w:bCs/>
      <w:sz w:val="26"/>
      <w:szCs w:val="26"/>
      <w:lang w:val="id-ID" w:bidi="ar-SA"/>
    </w:rPr>
  </w:style>
  <w:style w:type="character" w:customStyle="1" w:styleId="apple-converted-space">
    <w:name w:val="apple-converted-space"/>
    <w:rsid w:val="00D365EA"/>
  </w:style>
  <w:style w:type="paragraph" w:customStyle="1" w:styleId="MediumShading1-Accent11">
    <w:name w:val="Medium Shading 1 - Accent 11"/>
    <w:uiPriority w:val="1"/>
    <w:qFormat/>
    <w:rsid w:val="00D365EA"/>
    <w:rPr>
      <w:rFonts w:cs="Mangal"/>
      <w:sz w:val="22"/>
      <w:szCs w:val="22"/>
      <w:lang w:val="en-US"/>
    </w:rPr>
  </w:style>
  <w:style w:type="character" w:customStyle="1" w:styleId="normal1">
    <w:name w:val="normal1"/>
    <w:rsid w:val="00D365EA"/>
  </w:style>
  <w:style w:type="character" w:customStyle="1" w:styleId="apple-style-span">
    <w:name w:val="apple-style-span"/>
    <w:rsid w:val="00D365EA"/>
  </w:style>
  <w:style w:type="character" w:customStyle="1" w:styleId="A7">
    <w:name w:val="A7"/>
    <w:uiPriority w:val="99"/>
    <w:rsid w:val="00D4085D"/>
    <w:rPr>
      <w:rFonts w:cs="Adobe Caslon Pro"/>
      <w:color w:val="221E1F"/>
      <w:sz w:val="23"/>
      <w:szCs w:val="23"/>
    </w:rPr>
  </w:style>
  <w:style w:type="paragraph" w:customStyle="1" w:styleId="Pa8">
    <w:name w:val="Pa8"/>
    <w:basedOn w:val="Normal"/>
    <w:next w:val="Normal"/>
    <w:uiPriority w:val="99"/>
    <w:rsid w:val="00E80186"/>
    <w:pPr>
      <w:autoSpaceDE w:val="0"/>
      <w:autoSpaceDN w:val="0"/>
      <w:adjustRightInd w:val="0"/>
      <w:spacing w:after="0" w:line="241" w:lineRule="atLeast"/>
    </w:pPr>
    <w:rPr>
      <w:rFonts w:ascii="Adobe Caslon Pro" w:hAnsi="Adobe Caslon Pro" w:cs="Mangal"/>
      <w:sz w:val="24"/>
      <w:szCs w:val="24"/>
      <w:lang w:val="en-US" w:bidi="ne-NP"/>
    </w:rPr>
  </w:style>
  <w:style w:type="paragraph" w:customStyle="1" w:styleId="ColorfulShading-Accent11">
    <w:name w:val="Colorful Shading - Accent 11"/>
    <w:hidden/>
    <w:rsid w:val="00424376"/>
    <w:rPr>
      <w:sz w:val="22"/>
      <w:szCs w:val="22"/>
      <w:lang w:val="id-ID"/>
    </w:rPr>
  </w:style>
  <w:style w:type="paragraph" w:customStyle="1" w:styleId="4GChar">
    <w:name w:val="4_G Char"/>
    <w:aliases w:val="Footnote Char,callout Char,Footnote Refernece Char,Footnote Reference Number Char,Fußnotenzeichen_Raxen Char,BVI fnr Char,Fago Fußnotenzeichen Char,Footnotes refss Char,Style 10 Char,ftref Char,16 Point Char,Ref Char,BVI fnr Char Car1 Car Char"/>
    <w:basedOn w:val="Normal"/>
    <w:link w:val="FootnoteReference"/>
    <w:uiPriority w:val="99"/>
    <w:rsid w:val="00032EBF"/>
    <w:pPr>
      <w:spacing w:after="160" w:line="240" w:lineRule="exact"/>
    </w:pPr>
    <w:rPr>
      <w:sz w:val="20"/>
      <w:szCs w:val="20"/>
      <w:vertAlign w:val="superscript"/>
      <w:lang w:val="en-ID"/>
    </w:rPr>
  </w:style>
  <w:style w:type="paragraph" w:styleId="ListParagraph">
    <w:name w:val="List Paragraph"/>
    <w:basedOn w:val="Normal"/>
    <w:uiPriority w:val="34"/>
    <w:qFormat/>
    <w:rsid w:val="0039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0445">
      <w:bodyDiv w:val="1"/>
      <w:marLeft w:val="0"/>
      <w:marRight w:val="0"/>
      <w:marTop w:val="0"/>
      <w:marBottom w:val="0"/>
      <w:divBdr>
        <w:top w:val="none" w:sz="0" w:space="0" w:color="auto"/>
        <w:left w:val="none" w:sz="0" w:space="0" w:color="auto"/>
        <w:bottom w:val="none" w:sz="0" w:space="0" w:color="auto"/>
        <w:right w:val="none" w:sz="0" w:space="0" w:color="auto"/>
      </w:divBdr>
    </w:div>
    <w:div w:id="149293399">
      <w:bodyDiv w:val="1"/>
      <w:marLeft w:val="0"/>
      <w:marRight w:val="0"/>
      <w:marTop w:val="0"/>
      <w:marBottom w:val="0"/>
      <w:divBdr>
        <w:top w:val="none" w:sz="0" w:space="0" w:color="auto"/>
        <w:left w:val="none" w:sz="0" w:space="0" w:color="auto"/>
        <w:bottom w:val="none" w:sz="0" w:space="0" w:color="auto"/>
        <w:right w:val="none" w:sz="0" w:space="0" w:color="auto"/>
      </w:divBdr>
    </w:div>
    <w:div w:id="258684602">
      <w:bodyDiv w:val="1"/>
      <w:marLeft w:val="0"/>
      <w:marRight w:val="0"/>
      <w:marTop w:val="0"/>
      <w:marBottom w:val="0"/>
      <w:divBdr>
        <w:top w:val="none" w:sz="0" w:space="0" w:color="auto"/>
        <w:left w:val="none" w:sz="0" w:space="0" w:color="auto"/>
        <w:bottom w:val="none" w:sz="0" w:space="0" w:color="auto"/>
        <w:right w:val="none" w:sz="0" w:space="0" w:color="auto"/>
      </w:divBdr>
    </w:div>
    <w:div w:id="297272715">
      <w:bodyDiv w:val="1"/>
      <w:marLeft w:val="0"/>
      <w:marRight w:val="0"/>
      <w:marTop w:val="0"/>
      <w:marBottom w:val="0"/>
      <w:divBdr>
        <w:top w:val="none" w:sz="0" w:space="0" w:color="auto"/>
        <w:left w:val="none" w:sz="0" w:space="0" w:color="auto"/>
        <w:bottom w:val="none" w:sz="0" w:space="0" w:color="auto"/>
        <w:right w:val="none" w:sz="0" w:space="0" w:color="auto"/>
      </w:divBdr>
    </w:div>
    <w:div w:id="313340147">
      <w:bodyDiv w:val="1"/>
      <w:marLeft w:val="0"/>
      <w:marRight w:val="0"/>
      <w:marTop w:val="0"/>
      <w:marBottom w:val="0"/>
      <w:divBdr>
        <w:top w:val="none" w:sz="0" w:space="0" w:color="auto"/>
        <w:left w:val="none" w:sz="0" w:space="0" w:color="auto"/>
        <w:bottom w:val="none" w:sz="0" w:space="0" w:color="auto"/>
        <w:right w:val="none" w:sz="0" w:space="0" w:color="auto"/>
      </w:divBdr>
    </w:div>
    <w:div w:id="331765670">
      <w:bodyDiv w:val="1"/>
      <w:marLeft w:val="0"/>
      <w:marRight w:val="0"/>
      <w:marTop w:val="0"/>
      <w:marBottom w:val="0"/>
      <w:divBdr>
        <w:top w:val="none" w:sz="0" w:space="0" w:color="auto"/>
        <w:left w:val="none" w:sz="0" w:space="0" w:color="auto"/>
        <w:bottom w:val="none" w:sz="0" w:space="0" w:color="auto"/>
        <w:right w:val="none" w:sz="0" w:space="0" w:color="auto"/>
      </w:divBdr>
    </w:div>
    <w:div w:id="348991041">
      <w:bodyDiv w:val="1"/>
      <w:marLeft w:val="0"/>
      <w:marRight w:val="0"/>
      <w:marTop w:val="0"/>
      <w:marBottom w:val="0"/>
      <w:divBdr>
        <w:top w:val="none" w:sz="0" w:space="0" w:color="auto"/>
        <w:left w:val="none" w:sz="0" w:space="0" w:color="auto"/>
        <w:bottom w:val="none" w:sz="0" w:space="0" w:color="auto"/>
        <w:right w:val="none" w:sz="0" w:space="0" w:color="auto"/>
      </w:divBdr>
    </w:div>
    <w:div w:id="406616668">
      <w:bodyDiv w:val="1"/>
      <w:marLeft w:val="0"/>
      <w:marRight w:val="0"/>
      <w:marTop w:val="0"/>
      <w:marBottom w:val="0"/>
      <w:divBdr>
        <w:top w:val="none" w:sz="0" w:space="0" w:color="auto"/>
        <w:left w:val="none" w:sz="0" w:space="0" w:color="auto"/>
        <w:bottom w:val="none" w:sz="0" w:space="0" w:color="auto"/>
        <w:right w:val="none" w:sz="0" w:space="0" w:color="auto"/>
      </w:divBdr>
    </w:div>
    <w:div w:id="513571644">
      <w:bodyDiv w:val="1"/>
      <w:marLeft w:val="0"/>
      <w:marRight w:val="0"/>
      <w:marTop w:val="0"/>
      <w:marBottom w:val="0"/>
      <w:divBdr>
        <w:top w:val="none" w:sz="0" w:space="0" w:color="auto"/>
        <w:left w:val="none" w:sz="0" w:space="0" w:color="auto"/>
        <w:bottom w:val="none" w:sz="0" w:space="0" w:color="auto"/>
        <w:right w:val="none" w:sz="0" w:space="0" w:color="auto"/>
      </w:divBdr>
    </w:div>
    <w:div w:id="582952254">
      <w:marLeft w:val="0"/>
      <w:marRight w:val="0"/>
      <w:marTop w:val="0"/>
      <w:marBottom w:val="0"/>
      <w:divBdr>
        <w:top w:val="none" w:sz="0" w:space="0" w:color="auto"/>
        <w:left w:val="none" w:sz="0" w:space="0" w:color="auto"/>
        <w:bottom w:val="none" w:sz="0" w:space="0" w:color="auto"/>
        <w:right w:val="none" w:sz="0" w:space="0" w:color="auto"/>
      </w:divBdr>
    </w:div>
    <w:div w:id="582952255">
      <w:marLeft w:val="0"/>
      <w:marRight w:val="0"/>
      <w:marTop w:val="0"/>
      <w:marBottom w:val="0"/>
      <w:divBdr>
        <w:top w:val="none" w:sz="0" w:space="0" w:color="auto"/>
        <w:left w:val="none" w:sz="0" w:space="0" w:color="auto"/>
        <w:bottom w:val="none" w:sz="0" w:space="0" w:color="auto"/>
        <w:right w:val="none" w:sz="0" w:space="0" w:color="auto"/>
      </w:divBdr>
    </w:div>
    <w:div w:id="582952256">
      <w:marLeft w:val="0"/>
      <w:marRight w:val="0"/>
      <w:marTop w:val="0"/>
      <w:marBottom w:val="0"/>
      <w:divBdr>
        <w:top w:val="none" w:sz="0" w:space="0" w:color="auto"/>
        <w:left w:val="none" w:sz="0" w:space="0" w:color="auto"/>
        <w:bottom w:val="none" w:sz="0" w:space="0" w:color="auto"/>
        <w:right w:val="none" w:sz="0" w:space="0" w:color="auto"/>
      </w:divBdr>
    </w:div>
    <w:div w:id="582952257">
      <w:marLeft w:val="0"/>
      <w:marRight w:val="0"/>
      <w:marTop w:val="0"/>
      <w:marBottom w:val="0"/>
      <w:divBdr>
        <w:top w:val="none" w:sz="0" w:space="0" w:color="auto"/>
        <w:left w:val="none" w:sz="0" w:space="0" w:color="auto"/>
        <w:bottom w:val="none" w:sz="0" w:space="0" w:color="auto"/>
        <w:right w:val="none" w:sz="0" w:space="0" w:color="auto"/>
      </w:divBdr>
    </w:div>
    <w:div w:id="582952258">
      <w:marLeft w:val="0"/>
      <w:marRight w:val="0"/>
      <w:marTop w:val="0"/>
      <w:marBottom w:val="0"/>
      <w:divBdr>
        <w:top w:val="none" w:sz="0" w:space="0" w:color="auto"/>
        <w:left w:val="none" w:sz="0" w:space="0" w:color="auto"/>
        <w:bottom w:val="none" w:sz="0" w:space="0" w:color="auto"/>
        <w:right w:val="none" w:sz="0" w:space="0" w:color="auto"/>
      </w:divBdr>
    </w:div>
    <w:div w:id="582952259">
      <w:marLeft w:val="0"/>
      <w:marRight w:val="0"/>
      <w:marTop w:val="0"/>
      <w:marBottom w:val="0"/>
      <w:divBdr>
        <w:top w:val="none" w:sz="0" w:space="0" w:color="auto"/>
        <w:left w:val="none" w:sz="0" w:space="0" w:color="auto"/>
        <w:bottom w:val="none" w:sz="0" w:space="0" w:color="auto"/>
        <w:right w:val="none" w:sz="0" w:space="0" w:color="auto"/>
      </w:divBdr>
    </w:div>
    <w:div w:id="582952260">
      <w:marLeft w:val="0"/>
      <w:marRight w:val="0"/>
      <w:marTop w:val="0"/>
      <w:marBottom w:val="0"/>
      <w:divBdr>
        <w:top w:val="none" w:sz="0" w:space="0" w:color="auto"/>
        <w:left w:val="none" w:sz="0" w:space="0" w:color="auto"/>
        <w:bottom w:val="none" w:sz="0" w:space="0" w:color="auto"/>
        <w:right w:val="none" w:sz="0" w:space="0" w:color="auto"/>
      </w:divBdr>
    </w:div>
    <w:div w:id="582952261">
      <w:marLeft w:val="0"/>
      <w:marRight w:val="0"/>
      <w:marTop w:val="0"/>
      <w:marBottom w:val="0"/>
      <w:divBdr>
        <w:top w:val="none" w:sz="0" w:space="0" w:color="auto"/>
        <w:left w:val="none" w:sz="0" w:space="0" w:color="auto"/>
        <w:bottom w:val="none" w:sz="0" w:space="0" w:color="auto"/>
        <w:right w:val="none" w:sz="0" w:space="0" w:color="auto"/>
      </w:divBdr>
    </w:div>
    <w:div w:id="582952262">
      <w:marLeft w:val="0"/>
      <w:marRight w:val="0"/>
      <w:marTop w:val="0"/>
      <w:marBottom w:val="0"/>
      <w:divBdr>
        <w:top w:val="none" w:sz="0" w:space="0" w:color="auto"/>
        <w:left w:val="none" w:sz="0" w:space="0" w:color="auto"/>
        <w:bottom w:val="none" w:sz="0" w:space="0" w:color="auto"/>
        <w:right w:val="none" w:sz="0" w:space="0" w:color="auto"/>
      </w:divBdr>
    </w:div>
    <w:div w:id="582952263">
      <w:marLeft w:val="0"/>
      <w:marRight w:val="0"/>
      <w:marTop w:val="0"/>
      <w:marBottom w:val="0"/>
      <w:divBdr>
        <w:top w:val="none" w:sz="0" w:space="0" w:color="auto"/>
        <w:left w:val="none" w:sz="0" w:space="0" w:color="auto"/>
        <w:bottom w:val="none" w:sz="0" w:space="0" w:color="auto"/>
        <w:right w:val="none" w:sz="0" w:space="0" w:color="auto"/>
      </w:divBdr>
    </w:div>
    <w:div w:id="653149282">
      <w:bodyDiv w:val="1"/>
      <w:marLeft w:val="0"/>
      <w:marRight w:val="0"/>
      <w:marTop w:val="0"/>
      <w:marBottom w:val="0"/>
      <w:divBdr>
        <w:top w:val="none" w:sz="0" w:space="0" w:color="auto"/>
        <w:left w:val="none" w:sz="0" w:space="0" w:color="auto"/>
        <w:bottom w:val="none" w:sz="0" w:space="0" w:color="auto"/>
        <w:right w:val="none" w:sz="0" w:space="0" w:color="auto"/>
      </w:divBdr>
    </w:div>
    <w:div w:id="737869856">
      <w:bodyDiv w:val="1"/>
      <w:marLeft w:val="0"/>
      <w:marRight w:val="0"/>
      <w:marTop w:val="0"/>
      <w:marBottom w:val="0"/>
      <w:divBdr>
        <w:top w:val="none" w:sz="0" w:space="0" w:color="auto"/>
        <w:left w:val="none" w:sz="0" w:space="0" w:color="auto"/>
        <w:bottom w:val="none" w:sz="0" w:space="0" w:color="auto"/>
        <w:right w:val="none" w:sz="0" w:space="0" w:color="auto"/>
      </w:divBdr>
    </w:div>
    <w:div w:id="852691826">
      <w:bodyDiv w:val="1"/>
      <w:marLeft w:val="0"/>
      <w:marRight w:val="0"/>
      <w:marTop w:val="0"/>
      <w:marBottom w:val="0"/>
      <w:divBdr>
        <w:top w:val="none" w:sz="0" w:space="0" w:color="auto"/>
        <w:left w:val="none" w:sz="0" w:space="0" w:color="auto"/>
        <w:bottom w:val="none" w:sz="0" w:space="0" w:color="auto"/>
        <w:right w:val="none" w:sz="0" w:space="0" w:color="auto"/>
      </w:divBdr>
    </w:div>
    <w:div w:id="855844127">
      <w:bodyDiv w:val="1"/>
      <w:marLeft w:val="0"/>
      <w:marRight w:val="0"/>
      <w:marTop w:val="0"/>
      <w:marBottom w:val="0"/>
      <w:divBdr>
        <w:top w:val="none" w:sz="0" w:space="0" w:color="auto"/>
        <w:left w:val="none" w:sz="0" w:space="0" w:color="auto"/>
        <w:bottom w:val="none" w:sz="0" w:space="0" w:color="auto"/>
        <w:right w:val="none" w:sz="0" w:space="0" w:color="auto"/>
      </w:divBdr>
    </w:div>
    <w:div w:id="976833000">
      <w:bodyDiv w:val="1"/>
      <w:marLeft w:val="0"/>
      <w:marRight w:val="0"/>
      <w:marTop w:val="0"/>
      <w:marBottom w:val="0"/>
      <w:divBdr>
        <w:top w:val="none" w:sz="0" w:space="0" w:color="auto"/>
        <w:left w:val="none" w:sz="0" w:space="0" w:color="auto"/>
        <w:bottom w:val="none" w:sz="0" w:space="0" w:color="auto"/>
        <w:right w:val="none" w:sz="0" w:space="0" w:color="auto"/>
      </w:divBdr>
    </w:div>
    <w:div w:id="1034038472">
      <w:bodyDiv w:val="1"/>
      <w:marLeft w:val="0"/>
      <w:marRight w:val="0"/>
      <w:marTop w:val="0"/>
      <w:marBottom w:val="0"/>
      <w:divBdr>
        <w:top w:val="none" w:sz="0" w:space="0" w:color="auto"/>
        <w:left w:val="none" w:sz="0" w:space="0" w:color="auto"/>
        <w:bottom w:val="none" w:sz="0" w:space="0" w:color="auto"/>
        <w:right w:val="none" w:sz="0" w:space="0" w:color="auto"/>
      </w:divBdr>
    </w:div>
    <w:div w:id="1315524164">
      <w:bodyDiv w:val="1"/>
      <w:marLeft w:val="0"/>
      <w:marRight w:val="0"/>
      <w:marTop w:val="0"/>
      <w:marBottom w:val="0"/>
      <w:divBdr>
        <w:top w:val="none" w:sz="0" w:space="0" w:color="auto"/>
        <w:left w:val="none" w:sz="0" w:space="0" w:color="auto"/>
        <w:bottom w:val="none" w:sz="0" w:space="0" w:color="auto"/>
        <w:right w:val="none" w:sz="0" w:space="0" w:color="auto"/>
      </w:divBdr>
    </w:div>
    <w:div w:id="1354116914">
      <w:bodyDiv w:val="1"/>
      <w:marLeft w:val="0"/>
      <w:marRight w:val="0"/>
      <w:marTop w:val="0"/>
      <w:marBottom w:val="0"/>
      <w:divBdr>
        <w:top w:val="none" w:sz="0" w:space="0" w:color="auto"/>
        <w:left w:val="none" w:sz="0" w:space="0" w:color="auto"/>
        <w:bottom w:val="none" w:sz="0" w:space="0" w:color="auto"/>
        <w:right w:val="none" w:sz="0" w:space="0" w:color="auto"/>
      </w:divBdr>
    </w:div>
    <w:div w:id="1384255051">
      <w:bodyDiv w:val="1"/>
      <w:marLeft w:val="0"/>
      <w:marRight w:val="0"/>
      <w:marTop w:val="0"/>
      <w:marBottom w:val="0"/>
      <w:divBdr>
        <w:top w:val="none" w:sz="0" w:space="0" w:color="auto"/>
        <w:left w:val="none" w:sz="0" w:space="0" w:color="auto"/>
        <w:bottom w:val="none" w:sz="0" w:space="0" w:color="auto"/>
        <w:right w:val="none" w:sz="0" w:space="0" w:color="auto"/>
      </w:divBdr>
    </w:div>
    <w:div w:id="1430466505">
      <w:bodyDiv w:val="1"/>
      <w:marLeft w:val="0"/>
      <w:marRight w:val="0"/>
      <w:marTop w:val="0"/>
      <w:marBottom w:val="0"/>
      <w:divBdr>
        <w:top w:val="none" w:sz="0" w:space="0" w:color="auto"/>
        <w:left w:val="none" w:sz="0" w:space="0" w:color="auto"/>
        <w:bottom w:val="none" w:sz="0" w:space="0" w:color="auto"/>
        <w:right w:val="none" w:sz="0" w:space="0" w:color="auto"/>
      </w:divBdr>
    </w:div>
    <w:div w:id="1457605679">
      <w:bodyDiv w:val="1"/>
      <w:marLeft w:val="0"/>
      <w:marRight w:val="0"/>
      <w:marTop w:val="0"/>
      <w:marBottom w:val="0"/>
      <w:divBdr>
        <w:top w:val="none" w:sz="0" w:space="0" w:color="auto"/>
        <w:left w:val="none" w:sz="0" w:space="0" w:color="auto"/>
        <w:bottom w:val="none" w:sz="0" w:space="0" w:color="auto"/>
        <w:right w:val="none" w:sz="0" w:space="0" w:color="auto"/>
      </w:divBdr>
    </w:div>
    <w:div w:id="1583250523">
      <w:bodyDiv w:val="1"/>
      <w:marLeft w:val="0"/>
      <w:marRight w:val="0"/>
      <w:marTop w:val="0"/>
      <w:marBottom w:val="0"/>
      <w:divBdr>
        <w:top w:val="none" w:sz="0" w:space="0" w:color="auto"/>
        <w:left w:val="none" w:sz="0" w:space="0" w:color="auto"/>
        <w:bottom w:val="none" w:sz="0" w:space="0" w:color="auto"/>
        <w:right w:val="none" w:sz="0" w:space="0" w:color="auto"/>
      </w:divBdr>
    </w:div>
    <w:div w:id="1617100866">
      <w:bodyDiv w:val="1"/>
      <w:marLeft w:val="0"/>
      <w:marRight w:val="0"/>
      <w:marTop w:val="0"/>
      <w:marBottom w:val="0"/>
      <w:divBdr>
        <w:top w:val="none" w:sz="0" w:space="0" w:color="auto"/>
        <w:left w:val="none" w:sz="0" w:space="0" w:color="auto"/>
        <w:bottom w:val="none" w:sz="0" w:space="0" w:color="auto"/>
        <w:right w:val="none" w:sz="0" w:space="0" w:color="auto"/>
      </w:divBdr>
    </w:div>
    <w:div w:id="1643578875">
      <w:bodyDiv w:val="1"/>
      <w:marLeft w:val="0"/>
      <w:marRight w:val="0"/>
      <w:marTop w:val="0"/>
      <w:marBottom w:val="0"/>
      <w:divBdr>
        <w:top w:val="none" w:sz="0" w:space="0" w:color="auto"/>
        <w:left w:val="none" w:sz="0" w:space="0" w:color="auto"/>
        <w:bottom w:val="none" w:sz="0" w:space="0" w:color="auto"/>
        <w:right w:val="none" w:sz="0" w:space="0" w:color="auto"/>
      </w:divBdr>
    </w:div>
    <w:div w:id="1695766322">
      <w:bodyDiv w:val="1"/>
      <w:marLeft w:val="0"/>
      <w:marRight w:val="0"/>
      <w:marTop w:val="0"/>
      <w:marBottom w:val="0"/>
      <w:divBdr>
        <w:top w:val="none" w:sz="0" w:space="0" w:color="auto"/>
        <w:left w:val="none" w:sz="0" w:space="0" w:color="auto"/>
        <w:bottom w:val="none" w:sz="0" w:space="0" w:color="auto"/>
        <w:right w:val="none" w:sz="0" w:space="0" w:color="auto"/>
      </w:divBdr>
    </w:div>
    <w:div w:id="1708336139">
      <w:bodyDiv w:val="1"/>
      <w:marLeft w:val="0"/>
      <w:marRight w:val="0"/>
      <w:marTop w:val="0"/>
      <w:marBottom w:val="0"/>
      <w:divBdr>
        <w:top w:val="none" w:sz="0" w:space="0" w:color="auto"/>
        <w:left w:val="none" w:sz="0" w:space="0" w:color="auto"/>
        <w:bottom w:val="none" w:sz="0" w:space="0" w:color="auto"/>
        <w:right w:val="none" w:sz="0" w:space="0" w:color="auto"/>
      </w:divBdr>
    </w:div>
    <w:div w:id="1714034512">
      <w:bodyDiv w:val="1"/>
      <w:marLeft w:val="0"/>
      <w:marRight w:val="0"/>
      <w:marTop w:val="0"/>
      <w:marBottom w:val="0"/>
      <w:divBdr>
        <w:top w:val="none" w:sz="0" w:space="0" w:color="auto"/>
        <w:left w:val="none" w:sz="0" w:space="0" w:color="auto"/>
        <w:bottom w:val="none" w:sz="0" w:space="0" w:color="auto"/>
        <w:right w:val="none" w:sz="0" w:space="0" w:color="auto"/>
      </w:divBdr>
    </w:div>
    <w:div w:id="1730304603">
      <w:bodyDiv w:val="1"/>
      <w:marLeft w:val="0"/>
      <w:marRight w:val="0"/>
      <w:marTop w:val="0"/>
      <w:marBottom w:val="0"/>
      <w:divBdr>
        <w:top w:val="none" w:sz="0" w:space="0" w:color="auto"/>
        <w:left w:val="none" w:sz="0" w:space="0" w:color="auto"/>
        <w:bottom w:val="none" w:sz="0" w:space="0" w:color="auto"/>
        <w:right w:val="none" w:sz="0" w:space="0" w:color="auto"/>
      </w:divBdr>
    </w:div>
    <w:div w:id="1873153977">
      <w:bodyDiv w:val="1"/>
      <w:marLeft w:val="0"/>
      <w:marRight w:val="0"/>
      <w:marTop w:val="0"/>
      <w:marBottom w:val="0"/>
      <w:divBdr>
        <w:top w:val="none" w:sz="0" w:space="0" w:color="auto"/>
        <w:left w:val="none" w:sz="0" w:space="0" w:color="auto"/>
        <w:bottom w:val="none" w:sz="0" w:space="0" w:color="auto"/>
        <w:right w:val="none" w:sz="0" w:space="0" w:color="auto"/>
      </w:divBdr>
    </w:div>
    <w:div w:id="1913930013">
      <w:bodyDiv w:val="1"/>
      <w:marLeft w:val="0"/>
      <w:marRight w:val="0"/>
      <w:marTop w:val="0"/>
      <w:marBottom w:val="0"/>
      <w:divBdr>
        <w:top w:val="none" w:sz="0" w:space="0" w:color="auto"/>
        <w:left w:val="none" w:sz="0" w:space="0" w:color="auto"/>
        <w:bottom w:val="none" w:sz="0" w:space="0" w:color="auto"/>
        <w:right w:val="none" w:sz="0" w:space="0" w:color="auto"/>
      </w:divBdr>
    </w:div>
    <w:div w:id="1966034172">
      <w:bodyDiv w:val="1"/>
      <w:marLeft w:val="0"/>
      <w:marRight w:val="0"/>
      <w:marTop w:val="0"/>
      <w:marBottom w:val="0"/>
      <w:divBdr>
        <w:top w:val="none" w:sz="0" w:space="0" w:color="auto"/>
        <w:left w:val="none" w:sz="0" w:space="0" w:color="auto"/>
        <w:bottom w:val="none" w:sz="0" w:space="0" w:color="auto"/>
        <w:right w:val="none" w:sz="0" w:space="0" w:color="auto"/>
      </w:divBdr>
    </w:div>
    <w:div w:id="2037999706">
      <w:bodyDiv w:val="1"/>
      <w:marLeft w:val="0"/>
      <w:marRight w:val="0"/>
      <w:marTop w:val="0"/>
      <w:marBottom w:val="0"/>
      <w:divBdr>
        <w:top w:val="none" w:sz="0" w:space="0" w:color="auto"/>
        <w:left w:val="none" w:sz="0" w:space="0" w:color="auto"/>
        <w:bottom w:val="none" w:sz="0" w:space="0" w:color="auto"/>
        <w:right w:val="none" w:sz="0" w:space="0" w:color="auto"/>
      </w:divBdr>
    </w:div>
    <w:div w:id="2061050905">
      <w:bodyDiv w:val="1"/>
      <w:marLeft w:val="0"/>
      <w:marRight w:val="0"/>
      <w:marTop w:val="0"/>
      <w:marBottom w:val="0"/>
      <w:divBdr>
        <w:top w:val="none" w:sz="0" w:space="0" w:color="auto"/>
        <w:left w:val="none" w:sz="0" w:space="0" w:color="auto"/>
        <w:bottom w:val="none" w:sz="0" w:space="0" w:color="auto"/>
        <w:right w:val="none" w:sz="0" w:space="0" w:color="auto"/>
      </w:divBdr>
    </w:div>
    <w:div w:id="21227962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transparency.org/cpi2018" TargetMode="External"/><Relationship Id="rId2" Type="http://schemas.openxmlformats.org/officeDocument/2006/relationships/hyperlink" Target="https://news.tj/ru/news/tajikistan/laworder/20170725/vhod-vospretshen-verhovnii-sud-zakril-svoi-dveri-na-vremya-protsessa-nad-antikorruptsioneram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isukeccpr:Desktop:Daisuke%20Baka%20Shirane%20Wattimena%20Lekahena:CCPR:countries:Thailand:2%20Cycle:Phase%201:Template-NGO%20Reply%20to%20LOI%20T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249B2-B782-EC4F-BD0D-8DEBCE92E317}">
  <ds:schemaRefs>
    <ds:schemaRef ds:uri="http://schemas.openxmlformats.org/officeDocument/2006/bibliography"/>
  </ds:schemaRefs>
</ds:datastoreItem>
</file>

<file path=customXml/itemProps2.xml><?xml version="1.0" encoding="utf-8"?>
<ds:datastoreItem xmlns:ds="http://schemas.openxmlformats.org/officeDocument/2006/customXml" ds:itemID="{FF0F5128-3994-4E69-8C6F-7C3F6BEE0048}"/>
</file>

<file path=customXml/itemProps3.xml><?xml version="1.0" encoding="utf-8"?>
<ds:datastoreItem xmlns:ds="http://schemas.openxmlformats.org/officeDocument/2006/customXml" ds:itemID="{3DED5F0B-D8A6-4AD5-A39E-942EE3A9EED5}"/>
</file>

<file path=customXml/itemProps4.xml><?xml version="1.0" encoding="utf-8"?>
<ds:datastoreItem xmlns:ds="http://schemas.openxmlformats.org/officeDocument/2006/customXml" ds:itemID="{85E57C80-0723-4CC5-8CEB-E2AF8F44BEEA}"/>
</file>

<file path=docProps/app.xml><?xml version="1.0" encoding="utf-8"?>
<Properties xmlns="http://schemas.openxmlformats.org/officeDocument/2006/extended-properties" xmlns:vt="http://schemas.openxmlformats.org/officeDocument/2006/docPropsVTypes">
  <Template>Macintosh HD:Users:daisukeccpr:Desktop:Daisuke Baka Shirane Wattimena Lekahena:CCPR:countries:Thailand:2 Cycle:Phase 1:Template-NGO Reply to LOI THA.dotx</Template>
  <TotalTime>16</TotalTime>
  <Pages>15</Pages>
  <Words>6078</Words>
  <Characters>34651</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RESPONSES FROM LIST OF ISSUE TO BE TAKEN UP IN CONNECTION WITH CONSIDERATION OF THE INITIAL REPORT OF ICCPR – INDONESIA</vt:lpstr>
    </vt:vector>
  </TitlesOfParts>
  <Company>Hewlett-Packard</Company>
  <LinksUpToDate>false</LinksUpToDate>
  <CharactersWithSpaces>40648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FROM LIST OF ISSUE TO BE TAKEN UP IN CONNECTION WITH CONSIDERATION OF THE INITIAL REPORT OF ICCPR – INDONESIA</dc:title>
  <dc:subject/>
  <dc:creator>Daisuke CCPR</dc:creator>
  <cp:keywords/>
  <cp:lastModifiedBy>Patrick Mutzenberg</cp:lastModifiedBy>
  <cp:revision>6</cp:revision>
  <cp:lastPrinted>2018-11-15T08:42:00Z</cp:lastPrinted>
  <dcterms:created xsi:type="dcterms:W3CDTF">2019-06-03T08:40:00Z</dcterms:created>
  <dcterms:modified xsi:type="dcterms:W3CDTF">2019-06-04T07:42:00Z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