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71D" w:rsidRPr="00196736" w:rsidRDefault="006924C9" w:rsidP="00C62320">
      <w:pPr>
        <w:tabs>
          <w:tab w:val="left" w:pos="3585"/>
          <w:tab w:val="left" w:pos="4621"/>
          <w:tab w:val="right" w:pos="9631"/>
        </w:tabs>
        <w:rPr>
          <w:rFonts w:ascii="Times New Roman" w:hAnsi="Times New Roman"/>
          <w:b/>
          <w:sz w:val="24"/>
          <w:szCs w:val="24"/>
          <w:lang w:val="en-GB"/>
        </w:rPr>
      </w:pPr>
      <w:bookmarkStart w:id="0" w:name="_GoBack"/>
      <w:bookmarkEnd w:id="0"/>
      <w:r w:rsidRPr="00196736">
        <w:rPr>
          <w:rFonts w:ascii="Times New Roman" w:hAnsi="Times New Roman"/>
          <w:b/>
          <w:sz w:val="24"/>
          <w:szCs w:val="24"/>
          <w:lang w:val="en-GB"/>
        </w:rPr>
        <w:tab/>
      </w:r>
      <w:r w:rsidRPr="00196736">
        <w:rPr>
          <w:rFonts w:ascii="Times New Roman" w:hAnsi="Times New Roman"/>
          <w:b/>
          <w:sz w:val="24"/>
          <w:szCs w:val="24"/>
          <w:lang w:val="en-GB"/>
        </w:rPr>
        <w:tab/>
      </w:r>
      <w:r>
        <w:rPr>
          <w:rFonts w:ascii="Times New Roman" w:hAnsi="Times New Roman"/>
          <w:b/>
          <w:sz w:val="24"/>
          <w:szCs w:val="24"/>
          <w:lang w:val="en-GB"/>
        </w:rPr>
        <w:tab/>
      </w:r>
      <w:r w:rsidR="000F05A1">
        <w:rPr>
          <w:rFonts w:ascii="Times New Roman" w:hAnsi="Times New Roman"/>
          <w:b/>
          <w:sz w:val="24"/>
          <w:szCs w:val="24"/>
          <w:lang w:val="en-GB"/>
        </w:rPr>
        <w:t>8 June</w:t>
      </w:r>
      <w:r>
        <w:rPr>
          <w:rFonts w:ascii="Times New Roman" w:hAnsi="Times New Roman"/>
          <w:b/>
          <w:sz w:val="24"/>
          <w:szCs w:val="24"/>
          <w:lang w:val="en-GB"/>
        </w:rPr>
        <w:t xml:space="preserve"> 2018</w:t>
      </w:r>
    </w:p>
    <w:p w:rsidR="00131680" w:rsidRDefault="00E94D42" w:rsidP="00AE696A">
      <w:pPr>
        <w:spacing w:after="0"/>
        <w:jc w:val="center"/>
        <w:rPr>
          <w:rFonts w:ascii="Times New Roman" w:hAnsi="Times New Roman"/>
          <w:i/>
          <w:sz w:val="24"/>
          <w:szCs w:val="24"/>
          <w:lang w:val="en-GB"/>
        </w:rPr>
      </w:pPr>
    </w:p>
    <w:p w:rsidR="001F6E4B" w:rsidRDefault="00E94D42" w:rsidP="00AE696A">
      <w:pPr>
        <w:spacing w:after="0"/>
        <w:jc w:val="center"/>
        <w:rPr>
          <w:rFonts w:ascii="Times New Roman" w:hAnsi="Times New Roman"/>
          <w:i/>
          <w:sz w:val="24"/>
          <w:szCs w:val="24"/>
          <w:lang w:val="en-GB"/>
        </w:rPr>
      </w:pPr>
    </w:p>
    <w:p w:rsidR="00C62320" w:rsidRPr="00196736" w:rsidRDefault="006924C9" w:rsidP="00C62320">
      <w:pPr>
        <w:spacing w:before="360" w:after="360"/>
        <w:jc w:val="center"/>
        <w:rPr>
          <w:rFonts w:ascii="Times New Roman" w:hAnsi="Times New Roman"/>
          <w:b/>
          <w:sz w:val="32"/>
          <w:szCs w:val="32"/>
          <w:lang w:val="en-GB"/>
        </w:rPr>
      </w:pPr>
      <w:r w:rsidRPr="00196736">
        <w:rPr>
          <w:rFonts w:ascii="Times New Roman" w:hAnsi="Times New Roman"/>
          <w:b/>
          <w:sz w:val="32"/>
          <w:szCs w:val="32"/>
          <w:lang w:val="en-GB"/>
        </w:rPr>
        <w:t xml:space="preserve">Submission to the UN Human Rights Committee </w:t>
      </w:r>
    </w:p>
    <w:p w:rsidR="003C5D01" w:rsidRDefault="006924C9" w:rsidP="00C62320">
      <w:pPr>
        <w:spacing w:after="0"/>
        <w:jc w:val="center"/>
        <w:rPr>
          <w:rFonts w:ascii="Times New Roman" w:hAnsi="Times New Roman"/>
          <w:b/>
          <w:sz w:val="32"/>
          <w:szCs w:val="32"/>
          <w:lang w:val="en-GB"/>
        </w:rPr>
      </w:pPr>
      <w:r>
        <w:rPr>
          <w:rFonts w:ascii="Times New Roman" w:hAnsi="Times New Roman"/>
          <w:b/>
          <w:sz w:val="32"/>
          <w:szCs w:val="32"/>
          <w:lang w:val="en-GB"/>
        </w:rPr>
        <w:t>Subsequent</w:t>
      </w:r>
      <w:r w:rsidRPr="00196736">
        <w:rPr>
          <w:rFonts w:ascii="Times New Roman" w:hAnsi="Times New Roman"/>
          <w:b/>
          <w:sz w:val="32"/>
          <w:szCs w:val="32"/>
          <w:lang w:val="en-GB"/>
        </w:rPr>
        <w:t xml:space="preserve"> to the Adoption of the List of Issues </w:t>
      </w:r>
    </w:p>
    <w:p w:rsidR="003C5D01" w:rsidRDefault="00E94D42" w:rsidP="00C62320">
      <w:pPr>
        <w:spacing w:after="0"/>
        <w:jc w:val="center"/>
        <w:rPr>
          <w:rFonts w:ascii="Times New Roman" w:hAnsi="Times New Roman"/>
          <w:i/>
          <w:sz w:val="24"/>
          <w:szCs w:val="24"/>
          <w:lang w:val="en-GB"/>
        </w:rPr>
      </w:pPr>
    </w:p>
    <w:p w:rsidR="003C5D01" w:rsidRPr="003C5D01" w:rsidRDefault="006924C9" w:rsidP="003C5D01">
      <w:pPr>
        <w:spacing w:after="0"/>
        <w:jc w:val="center"/>
        <w:rPr>
          <w:rFonts w:ascii="Times New Roman" w:hAnsi="Times New Roman"/>
          <w:i/>
          <w:sz w:val="24"/>
          <w:szCs w:val="24"/>
          <w:lang w:val="en-GB"/>
        </w:rPr>
      </w:pPr>
      <w:r>
        <w:rPr>
          <w:rFonts w:ascii="Times New Roman" w:hAnsi="Times New Roman"/>
          <w:i/>
          <w:sz w:val="24"/>
          <w:szCs w:val="24"/>
          <w:lang w:val="en-GB"/>
        </w:rPr>
        <w:t>(</w:t>
      </w:r>
      <w:r w:rsidRPr="003C5D01">
        <w:rPr>
          <w:rFonts w:ascii="Times New Roman" w:hAnsi="Times New Roman"/>
          <w:i/>
          <w:sz w:val="24"/>
          <w:szCs w:val="24"/>
          <w:lang w:val="en-GB"/>
        </w:rPr>
        <w:t>123</w:t>
      </w:r>
      <w:r w:rsidRPr="003C5D01">
        <w:rPr>
          <w:rFonts w:ascii="Times New Roman" w:hAnsi="Times New Roman"/>
          <w:i/>
          <w:sz w:val="24"/>
          <w:szCs w:val="24"/>
          <w:vertAlign w:val="superscript"/>
          <w:lang w:val="en-GB"/>
        </w:rPr>
        <w:t>rd</w:t>
      </w:r>
      <w:r>
        <w:rPr>
          <w:rFonts w:ascii="Times New Roman" w:hAnsi="Times New Roman"/>
          <w:i/>
          <w:sz w:val="24"/>
          <w:szCs w:val="24"/>
          <w:lang w:val="en-GB"/>
        </w:rPr>
        <w:t xml:space="preserve"> </w:t>
      </w:r>
      <w:r w:rsidRPr="003C5D01">
        <w:rPr>
          <w:rFonts w:ascii="Times New Roman" w:hAnsi="Times New Roman"/>
          <w:i/>
          <w:sz w:val="24"/>
          <w:szCs w:val="24"/>
          <w:lang w:val="en-GB"/>
        </w:rPr>
        <w:t>Session of the UN Human Rights Committee –– 2 to 27 July 2018</w:t>
      </w:r>
      <w:r>
        <w:rPr>
          <w:rFonts w:ascii="Times New Roman" w:hAnsi="Times New Roman"/>
          <w:i/>
          <w:sz w:val="24"/>
          <w:szCs w:val="24"/>
          <w:lang w:val="en-GB"/>
        </w:rPr>
        <w:t>)</w:t>
      </w:r>
    </w:p>
    <w:p w:rsidR="003C5D01" w:rsidRPr="003C5D01" w:rsidRDefault="00E94D42" w:rsidP="00C62320">
      <w:pPr>
        <w:spacing w:after="0"/>
        <w:jc w:val="center"/>
        <w:rPr>
          <w:rFonts w:ascii="Times New Roman" w:hAnsi="Times New Roman"/>
          <w:i/>
          <w:sz w:val="24"/>
          <w:szCs w:val="24"/>
        </w:rPr>
      </w:pPr>
    </w:p>
    <w:p w:rsidR="003C5D01" w:rsidRPr="00AE696A" w:rsidRDefault="00E94D42" w:rsidP="00C62320">
      <w:pPr>
        <w:spacing w:after="0"/>
        <w:jc w:val="center"/>
        <w:rPr>
          <w:rFonts w:ascii="Times New Roman" w:hAnsi="Times New Roman"/>
          <w:i/>
          <w:sz w:val="24"/>
          <w:szCs w:val="24"/>
          <w:lang w:val="en-GB"/>
        </w:rPr>
      </w:pPr>
    </w:p>
    <w:p w:rsidR="00C62320" w:rsidRPr="00196736" w:rsidRDefault="006924C9" w:rsidP="00C62320">
      <w:pPr>
        <w:spacing w:before="360" w:after="360"/>
        <w:jc w:val="center"/>
        <w:rPr>
          <w:rFonts w:ascii="Times New Roman" w:hAnsi="Times New Roman"/>
          <w:b/>
          <w:sz w:val="56"/>
          <w:szCs w:val="56"/>
          <w:lang w:val="en-GB"/>
        </w:rPr>
      </w:pPr>
      <w:r>
        <w:rPr>
          <w:rFonts w:ascii="Times New Roman" w:hAnsi="Times New Roman"/>
          <w:b/>
          <w:spacing w:val="40"/>
          <w:sz w:val="56"/>
          <w:szCs w:val="56"/>
          <w:lang w:val="en-GB"/>
        </w:rPr>
        <w:t>Lithuania</w:t>
      </w:r>
    </w:p>
    <w:p w:rsidR="00131680" w:rsidRPr="00131680" w:rsidRDefault="00E94D42" w:rsidP="00131680">
      <w:pPr>
        <w:spacing w:after="0"/>
        <w:jc w:val="center"/>
        <w:rPr>
          <w:rFonts w:ascii="Times New Roman" w:hAnsi="Times New Roman"/>
          <w:i/>
          <w:sz w:val="24"/>
          <w:szCs w:val="24"/>
          <w:lang w:val="en-GB"/>
        </w:rPr>
      </w:pPr>
    </w:p>
    <w:p w:rsidR="00131680"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B2371D">
      <w:pPr>
        <w:tabs>
          <w:tab w:val="right" w:pos="8363"/>
        </w:tabs>
        <w:spacing w:after="0"/>
        <w:jc w:val="center"/>
        <w:rPr>
          <w:rFonts w:ascii="Times New Roman" w:eastAsiaTheme="minorEastAsia" w:hAnsi="Times New Roman"/>
          <w:i/>
          <w:iCs/>
          <w:color w:val="5F6669"/>
          <w:sz w:val="17"/>
          <w:szCs w:val="17"/>
        </w:rPr>
      </w:pPr>
    </w:p>
    <w:p w:rsidR="002976C5" w:rsidRDefault="00E94D42" w:rsidP="003C5D01">
      <w:pPr>
        <w:tabs>
          <w:tab w:val="right" w:pos="8363"/>
        </w:tabs>
        <w:spacing w:after="0"/>
        <w:rPr>
          <w:rFonts w:ascii="Times New Roman" w:eastAsiaTheme="minorEastAsia" w:hAnsi="Times New Roman"/>
          <w:i/>
          <w:iCs/>
          <w:color w:val="5F6669"/>
          <w:sz w:val="17"/>
          <w:szCs w:val="17"/>
        </w:rPr>
      </w:pPr>
    </w:p>
    <w:p w:rsidR="003C5D01" w:rsidRDefault="00E94D42" w:rsidP="003C5D01">
      <w:pPr>
        <w:tabs>
          <w:tab w:val="right" w:pos="8363"/>
        </w:tabs>
        <w:spacing w:after="0"/>
        <w:rPr>
          <w:rFonts w:ascii="Times New Roman" w:hAnsi="Times New Roman"/>
          <w:b/>
          <w:lang w:val="en-GB"/>
        </w:rPr>
      </w:pPr>
    </w:p>
    <w:p w:rsidR="00131680" w:rsidRDefault="00E94D42" w:rsidP="00B2371D">
      <w:pPr>
        <w:tabs>
          <w:tab w:val="right" w:pos="8363"/>
        </w:tabs>
        <w:spacing w:after="0"/>
        <w:jc w:val="center"/>
        <w:rPr>
          <w:rFonts w:ascii="Times New Roman" w:hAnsi="Times New Roman"/>
          <w:b/>
          <w:lang w:val="en-GB"/>
        </w:rPr>
      </w:pPr>
    </w:p>
    <w:p w:rsidR="00066933" w:rsidRDefault="00E94D42" w:rsidP="00B2371D">
      <w:pPr>
        <w:tabs>
          <w:tab w:val="right" w:pos="8363"/>
        </w:tabs>
        <w:spacing w:after="0"/>
        <w:jc w:val="center"/>
        <w:rPr>
          <w:rFonts w:ascii="Times New Roman" w:hAnsi="Times New Roman"/>
          <w:b/>
          <w:lang w:val="en-GB"/>
        </w:rPr>
      </w:pPr>
    </w:p>
    <w:p w:rsidR="00066933" w:rsidRPr="004B3CDD" w:rsidRDefault="00E94D42" w:rsidP="00B2371D">
      <w:pPr>
        <w:tabs>
          <w:tab w:val="right" w:pos="8363"/>
        </w:tabs>
        <w:spacing w:after="0"/>
        <w:jc w:val="center"/>
        <w:rPr>
          <w:rFonts w:ascii="Times New Roman" w:hAnsi="Times New Roman"/>
          <w:b/>
          <w:lang w:val="en-GB"/>
        </w:rPr>
      </w:pPr>
    </w:p>
    <w:p w:rsidR="00066933" w:rsidRPr="00066933" w:rsidRDefault="006924C9" w:rsidP="00066933">
      <w:pPr>
        <w:tabs>
          <w:tab w:val="right" w:pos="8363"/>
        </w:tabs>
        <w:spacing w:after="0"/>
        <w:jc w:val="center"/>
        <w:rPr>
          <w:rFonts w:ascii="Times New Roman" w:hAnsi="Times New Roman"/>
        </w:rPr>
      </w:pPr>
      <w:r w:rsidRPr="00066933">
        <w:rPr>
          <w:rFonts w:ascii="Times New Roman" w:hAnsi="Times New Roman"/>
        </w:rPr>
        <w:t>Contact address: Rue d'Argile 60, 1950 Kraainem (Brussels), Belgium</w:t>
      </w:r>
    </w:p>
    <w:p w:rsidR="00066933" w:rsidRPr="00066933" w:rsidRDefault="006924C9" w:rsidP="00066933">
      <w:pPr>
        <w:spacing w:after="0"/>
        <w:jc w:val="center"/>
        <w:rPr>
          <w:rStyle w:val="Hyperlink"/>
          <w:rFonts w:ascii="Times New Roman" w:hAnsi="Times New Roman"/>
        </w:rPr>
      </w:pPr>
      <w:r w:rsidRPr="00066933">
        <w:rPr>
          <w:rFonts w:ascii="Times New Roman" w:hAnsi="Times New Roman"/>
        </w:rPr>
        <w:t xml:space="preserve">Tel.: ++ 32-2-782 00 15 - Fax: ++ 32-2-782 05 92 - E-mail: </w:t>
      </w:r>
      <w:hyperlink r:id="rId12" w:history="1">
        <w:r w:rsidRPr="00066933">
          <w:rPr>
            <w:rStyle w:val="Hyperlink"/>
            <w:rFonts w:ascii="Times New Roman" w:hAnsi="Times New Roman"/>
          </w:rPr>
          <w:t>JWitnesses@be.jw.org</w:t>
        </w:r>
      </w:hyperlink>
    </w:p>
    <w:p w:rsidR="00B2371D" w:rsidRPr="004B3CDD" w:rsidRDefault="00E94D42" w:rsidP="00B2371D">
      <w:pPr>
        <w:spacing w:before="60" w:after="0" w:line="240" w:lineRule="auto"/>
        <w:jc w:val="center"/>
        <w:rPr>
          <w:rFonts w:ascii="Times New Roman" w:hAnsi="Times New Roman"/>
          <w:i/>
          <w:color w:val="4F81BD" w:themeColor="accent1"/>
          <w:lang w:val="en-GB"/>
        </w:rPr>
      </w:pPr>
    </w:p>
    <w:p w:rsidR="00B2371D" w:rsidRPr="004B3CDD" w:rsidRDefault="00E94D42" w:rsidP="00B2371D">
      <w:pPr>
        <w:spacing w:before="60" w:after="0" w:line="240" w:lineRule="auto"/>
        <w:jc w:val="center"/>
        <w:rPr>
          <w:rFonts w:ascii="Times New Roman" w:hAnsi="Times New Roman"/>
          <w:i/>
          <w:color w:val="4F81BD" w:themeColor="accent1"/>
          <w:lang w:val="en-GB"/>
        </w:rPr>
        <w:sectPr w:rsidR="00B2371D" w:rsidRPr="004B3CDD" w:rsidSect="00B2371D">
          <w:headerReference w:type="default" r:id="rId13"/>
          <w:footerReference w:type="default" r:id="rId14"/>
          <w:headerReference w:type="first" r:id="rId15"/>
          <w:footerReference w:type="first" r:id="rId16"/>
          <w:pgSz w:w="11899" w:h="16838" w:code="9"/>
          <w:pgMar w:top="238" w:right="1134" w:bottom="250" w:left="1134" w:header="0" w:footer="0" w:gutter="0"/>
          <w:paperSrc w:first="1" w:other="1"/>
          <w:pgNumType w:start="0"/>
          <w:cols w:space="720"/>
          <w:titlePg/>
          <w:docGrid w:linePitch="326"/>
        </w:sectPr>
      </w:pPr>
    </w:p>
    <w:p w:rsidR="00B2371D" w:rsidRPr="000E2FAB" w:rsidRDefault="006924C9" w:rsidP="000E2FAB">
      <w:pPr>
        <w:pStyle w:val="TOCHeading"/>
        <w:spacing w:after="360"/>
        <w:jc w:val="center"/>
        <w:rPr>
          <w:rFonts w:ascii="Times New Roman Bold" w:hAnsi="Times New Roman Bold"/>
          <w:smallCaps/>
          <w:color w:val="auto"/>
          <w:sz w:val="32"/>
          <w:szCs w:val="32"/>
          <w:lang w:val="en-GB"/>
        </w:rPr>
      </w:pPr>
      <w:r w:rsidRPr="000E2FAB">
        <w:rPr>
          <w:rFonts w:ascii="Times New Roman Bold" w:hAnsi="Times New Roman Bold"/>
          <w:smallCaps/>
          <w:color w:val="auto"/>
          <w:sz w:val="32"/>
          <w:szCs w:val="32"/>
          <w:lang w:val="en-GB"/>
        </w:rPr>
        <w:lastRenderedPageBreak/>
        <w:t>Table of Contents</w:t>
      </w:r>
    </w:p>
    <w:p w:rsidR="00740093" w:rsidRDefault="006924C9">
      <w:pPr>
        <w:pStyle w:val="TOC1"/>
        <w:rPr>
          <w:rFonts w:asciiTheme="minorHAnsi" w:eastAsiaTheme="minorEastAsia" w:hAnsiTheme="minorHAnsi" w:cstheme="minorBidi"/>
          <w:b w:val="0"/>
          <w:lang w:val="en-US"/>
        </w:rPr>
      </w:pPr>
      <w:r w:rsidRPr="000E2FAB">
        <w:rPr>
          <w:noProof w:val="0"/>
          <w:sz w:val="24"/>
          <w:szCs w:val="24"/>
        </w:rPr>
        <w:fldChar w:fldCharType="begin"/>
      </w:r>
      <w:r w:rsidRPr="000E2FAB">
        <w:rPr>
          <w:sz w:val="24"/>
          <w:szCs w:val="24"/>
        </w:rPr>
        <w:instrText xml:space="preserve"> TOC \o "1-3" \h \z \u </w:instrText>
      </w:r>
      <w:r w:rsidRPr="000E2FAB">
        <w:rPr>
          <w:noProof w:val="0"/>
          <w:sz w:val="24"/>
          <w:szCs w:val="24"/>
        </w:rPr>
        <w:fldChar w:fldCharType="separate"/>
      </w:r>
      <w:hyperlink w:anchor="_Toc515027014" w:history="1">
        <w:r w:rsidRPr="00FB03E6">
          <w:rPr>
            <w:rStyle w:val="Hyperlink"/>
            <w:rFonts w:eastAsia="Malgun Gothic"/>
            <w:bCs/>
          </w:rPr>
          <w:t>SUMMARY OF THE SUBMISSION</w:t>
        </w:r>
        <w:r>
          <w:rPr>
            <w:webHidden/>
          </w:rPr>
          <w:tab/>
        </w:r>
        <w:r>
          <w:rPr>
            <w:webHidden/>
          </w:rPr>
          <w:fldChar w:fldCharType="begin"/>
        </w:r>
        <w:r>
          <w:rPr>
            <w:webHidden/>
          </w:rPr>
          <w:instrText xml:space="preserve"> PAGEREF _Toc515027014 \h </w:instrText>
        </w:r>
        <w:r>
          <w:rPr>
            <w:webHidden/>
          </w:rPr>
        </w:r>
        <w:r>
          <w:rPr>
            <w:webHidden/>
          </w:rPr>
          <w:fldChar w:fldCharType="separate"/>
        </w:r>
        <w:r>
          <w:rPr>
            <w:webHidden/>
          </w:rPr>
          <w:t>1</w:t>
        </w:r>
        <w:r>
          <w:rPr>
            <w:webHidden/>
          </w:rPr>
          <w:fldChar w:fldCharType="end"/>
        </w:r>
      </w:hyperlink>
    </w:p>
    <w:p w:rsidR="00740093" w:rsidRDefault="00E94D42">
      <w:pPr>
        <w:pStyle w:val="TOC1"/>
        <w:rPr>
          <w:rFonts w:asciiTheme="minorHAnsi" w:eastAsiaTheme="minorEastAsia" w:hAnsiTheme="minorHAnsi" w:cstheme="minorBidi"/>
          <w:b w:val="0"/>
          <w:lang w:val="en-US"/>
        </w:rPr>
      </w:pPr>
      <w:hyperlink w:anchor="_Toc515027015" w:history="1">
        <w:r w:rsidR="006924C9" w:rsidRPr="00FB03E6">
          <w:rPr>
            <w:rStyle w:val="Hyperlink"/>
          </w:rPr>
          <w:t>I. Introduction</w:t>
        </w:r>
        <w:r w:rsidR="006924C9">
          <w:rPr>
            <w:webHidden/>
          </w:rPr>
          <w:tab/>
        </w:r>
        <w:r w:rsidR="006924C9">
          <w:rPr>
            <w:webHidden/>
          </w:rPr>
          <w:fldChar w:fldCharType="begin"/>
        </w:r>
        <w:r w:rsidR="006924C9">
          <w:rPr>
            <w:webHidden/>
          </w:rPr>
          <w:instrText xml:space="preserve"> PAGEREF _Toc515027015 \h </w:instrText>
        </w:r>
        <w:r w:rsidR="006924C9">
          <w:rPr>
            <w:webHidden/>
          </w:rPr>
        </w:r>
        <w:r w:rsidR="006924C9">
          <w:rPr>
            <w:webHidden/>
          </w:rPr>
          <w:fldChar w:fldCharType="separate"/>
        </w:r>
        <w:r w:rsidR="006924C9">
          <w:rPr>
            <w:webHidden/>
          </w:rPr>
          <w:t>2</w:t>
        </w:r>
        <w:r w:rsidR="006924C9">
          <w:rPr>
            <w:webHidden/>
          </w:rPr>
          <w:fldChar w:fldCharType="end"/>
        </w:r>
      </w:hyperlink>
    </w:p>
    <w:p w:rsidR="00740093" w:rsidRDefault="00E94D42">
      <w:pPr>
        <w:pStyle w:val="TOC1"/>
        <w:rPr>
          <w:rFonts w:asciiTheme="minorHAnsi" w:eastAsiaTheme="minorEastAsia" w:hAnsiTheme="minorHAnsi" w:cstheme="minorBidi"/>
          <w:b w:val="0"/>
          <w:lang w:val="en-US"/>
        </w:rPr>
      </w:pPr>
      <w:hyperlink w:anchor="_Toc515027016" w:history="1">
        <w:r w:rsidR="006924C9" w:rsidRPr="00FB03E6">
          <w:rPr>
            <w:rStyle w:val="Hyperlink"/>
          </w:rPr>
          <w:t>II. Alleged Violations of the International Covenant on Civil and Political Rights (ICCPR - Articles 18 and 27)</w:t>
        </w:r>
        <w:r w:rsidR="006924C9">
          <w:rPr>
            <w:webHidden/>
          </w:rPr>
          <w:tab/>
        </w:r>
        <w:r w:rsidR="006924C9">
          <w:rPr>
            <w:webHidden/>
          </w:rPr>
          <w:fldChar w:fldCharType="begin"/>
        </w:r>
        <w:r w:rsidR="006924C9">
          <w:rPr>
            <w:webHidden/>
          </w:rPr>
          <w:instrText xml:space="preserve"> PAGEREF _Toc515027016 \h </w:instrText>
        </w:r>
        <w:r w:rsidR="006924C9">
          <w:rPr>
            <w:webHidden/>
          </w:rPr>
        </w:r>
        <w:r w:rsidR="006924C9">
          <w:rPr>
            <w:webHidden/>
          </w:rPr>
          <w:fldChar w:fldCharType="separate"/>
        </w:r>
        <w:r w:rsidR="006924C9">
          <w:rPr>
            <w:webHidden/>
          </w:rPr>
          <w:t>2</w:t>
        </w:r>
        <w:r w:rsidR="006924C9">
          <w:rPr>
            <w:webHidden/>
          </w:rPr>
          <w:fldChar w:fldCharType="end"/>
        </w:r>
      </w:hyperlink>
    </w:p>
    <w:p w:rsidR="00740093" w:rsidRDefault="00E94D42">
      <w:pPr>
        <w:pStyle w:val="TOC1"/>
        <w:rPr>
          <w:rFonts w:asciiTheme="minorHAnsi" w:eastAsiaTheme="minorEastAsia" w:hAnsiTheme="minorHAnsi" w:cstheme="minorBidi"/>
          <w:b w:val="0"/>
          <w:lang w:val="en-US"/>
        </w:rPr>
      </w:pPr>
      <w:hyperlink w:anchor="_Toc515027017" w:history="1">
        <w:r w:rsidR="006924C9" w:rsidRPr="00FB03E6">
          <w:rPr>
            <w:rStyle w:val="Hyperlink"/>
          </w:rPr>
          <w:t>III. Conclusions and Recommendations</w:t>
        </w:r>
        <w:r w:rsidR="006924C9">
          <w:rPr>
            <w:webHidden/>
          </w:rPr>
          <w:tab/>
        </w:r>
        <w:r w:rsidR="006924C9">
          <w:rPr>
            <w:webHidden/>
          </w:rPr>
          <w:fldChar w:fldCharType="begin"/>
        </w:r>
        <w:r w:rsidR="006924C9">
          <w:rPr>
            <w:webHidden/>
          </w:rPr>
          <w:instrText xml:space="preserve"> PAGEREF _Toc515027017 \h </w:instrText>
        </w:r>
        <w:r w:rsidR="006924C9">
          <w:rPr>
            <w:webHidden/>
          </w:rPr>
        </w:r>
        <w:r w:rsidR="006924C9">
          <w:rPr>
            <w:webHidden/>
          </w:rPr>
          <w:fldChar w:fldCharType="separate"/>
        </w:r>
        <w:r w:rsidR="006924C9">
          <w:rPr>
            <w:webHidden/>
          </w:rPr>
          <w:t>2</w:t>
        </w:r>
        <w:r w:rsidR="006924C9">
          <w:rPr>
            <w:webHidden/>
          </w:rPr>
          <w:fldChar w:fldCharType="end"/>
        </w:r>
      </w:hyperlink>
    </w:p>
    <w:p w:rsidR="00B2371D" w:rsidRDefault="006924C9" w:rsidP="00B2371D">
      <w:pPr>
        <w:jc w:val="both"/>
        <w:rPr>
          <w:rFonts w:ascii="Times New Roman" w:hAnsi="Times New Roman"/>
          <w:b/>
          <w:bCs/>
          <w:noProof/>
          <w:sz w:val="24"/>
          <w:szCs w:val="24"/>
          <w:lang w:val="en-GB"/>
        </w:rPr>
      </w:pPr>
      <w:r w:rsidRPr="000E2FAB">
        <w:rPr>
          <w:rFonts w:ascii="Times New Roman" w:hAnsi="Times New Roman"/>
          <w:b/>
          <w:bCs/>
          <w:noProof/>
          <w:sz w:val="24"/>
          <w:szCs w:val="24"/>
          <w:lang w:val="en-GB"/>
        </w:rPr>
        <w:fldChar w:fldCharType="end"/>
      </w:r>
    </w:p>
    <w:tbl>
      <w:tblPr>
        <w:tblpPr w:leftFromText="180" w:rightFromText="180" w:vertAnchor="page" w:horzAnchor="margin" w:tblpY="6037"/>
        <w:tblW w:w="1049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D92775" w:rsidTr="00574831">
        <w:trPr>
          <w:trHeight w:val="5447"/>
        </w:trPr>
        <w:tc>
          <w:tcPr>
            <w:tcW w:w="10490" w:type="dxa"/>
            <w:shd w:val="clear" w:color="auto" w:fill="D3DFEE"/>
            <w:tcMar>
              <w:top w:w="113" w:type="dxa"/>
              <w:left w:w="397" w:type="dxa"/>
              <w:bottom w:w="397" w:type="dxa"/>
              <w:right w:w="397" w:type="dxa"/>
            </w:tcMar>
          </w:tcPr>
          <w:p w:rsidR="00C62320" w:rsidRPr="004B3CDD" w:rsidRDefault="006924C9" w:rsidP="00C62320">
            <w:pPr>
              <w:pStyle w:val="Heading1"/>
              <w:spacing w:before="360"/>
              <w:jc w:val="center"/>
              <w:rPr>
                <w:rFonts w:ascii="Times New Roman" w:eastAsia="Malgun Gothic" w:hAnsi="Times New Roman"/>
                <w:b w:val="0"/>
                <w:bCs/>
                <w:color w:val="auto"/>
                <w:lang w:val="en-GB"/>
              </w:rPr>
            </w:pPr>
            <w:bookmarkStart w:id="1" w:name="_Toc354402755"/>
            <w:bookmarkStart w:id="2" w:name="_Toc515027014"/>
            <w:r w:rsidRPr="004B3CDD">
              <w:rPr>
                <w:rFonts w:ascii="Times New Roman" w:eastAsia="Malgun Gothic" w:hAnsi="Times New Roman"/>
                <w:b w:val="0"/>
                <w:bCs/>
                <w:color w:val="auto"/>
                <w:lang w:val="en-GB"/>
              </w:rPr>
              <w:t>SUMMARY OF THE SUBMISSION</w:t>
            </w:r>
            <w:bookmarkEnd w:id="1"/>
            <w:bookmarkEnd w:id="2"/>
          </w:p>
          <w:p w:rsidR="00C62320" w:rsidRDefault="006924C9" w:rsidP="00C62320">
            <w:pPr>
              <w:topLinePunct/>
              <w:spacing w:after="240" w:line="240" w:lineRule="auto"/>
              <w:ind w:right="213"/>
              <w:jc w:val="both"/>
              <w:rPr>
                <w:rFonts w:ascii="Times New Roman" w:eastAsia="Malgun Gothic" w:hAnsi="Times New Roman"/>
                <w:bCs/>
                <w:kern w:val="2"/>
                <w:sz w:val="24"/>
                <w:szCs w:val="24"/>
                <w:lang w:val="en-GB"/>
              </w:rPr>
            </w:pPr>
            <w:r w:rsidRPr="004B3CDD">
              <w:rPr>
                <w:rFonts w:ascii="Times New Roman" w:eastAsia="Malgun Gothic" w:hAnsi="Times New Roman"/>
                <w:bCs/>
                <w:kern w:val="2"/>
                <w:sz w:val="24"/>
                <w:szCs w:val="24"/>
                <w:lang w:val="en-GB"/>
              </w:rPr>
              <w:t xml:space="preserve">This </w:t>
            </w:r>
            <w:r w:rsidR="00E94ABC">
              <w:rPr>
                <w:rFonts w:ascii="Times New Roman" w:eastAsia="Malgun Gothic" w:hAnsi="Times New Roman"/>
                <w:bCs/>
                <w:kern w:val="2"/>
                <w:sz w:val="24"/>
                <w:szCs w:val="24"/>
                <w:lang w:val="en-GB"/>
              </w:rPr>
              <w:t>submission</w:t>
            </w:r>
            <w:r>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 xml:space="preserve">to the </w:t>
            </w:r>
            <w:r w:rsidR="00AC1AAA">
              <w:rPr>
                <w:rFonts w:ascii="Times New Roman" w:eastAsia="Malgun Gothic" w:hAnsi="Times New Roman"/>
                <w:bCs/>
                <w:kern w:val="2"/>
                <w:sz w:val="24"/>
                <w:szCs w:val="24"/>
                <w:lang w:val="en-GB"/>
              </w:rPr>
              <w:t xml:space="preserve">UN </w:t>
            </w:r>
            <w:r w:rsidRPr="004B3CDD">
              <w:rPr>
                <w:rFonts w:ascii="Times New Roman" w:eastAsia="Malgun Gothic" w:hAnsi="Times New Roman"/>
                <w:bCs/>
                <w:kern w:val="2"/>
                <w:sz w:val="24"/>
                <w:szCs w:val="24"/>
                <w:lang w:val="en-GB"/>
              </w:rPr>
              <w:t>Human Rights Committee</w:t>
            </w:r>
            <w:r w:rsidR="00E94ABC">
              <w:rPr>
                <w:rFonts w:ascii="Times New Roman" w:eastAsia="Malgun Gothic" w:hAnsi="Times New Roman"/>
                <w:bCs/>
                <w:kern w:val="2"/>
                <w:sz w:val="24"/>
                <w:szCs w:val="24"/>
                <w:lang w:val="en-GB"/>
              </w:rPr>
              <w:t xml:space="preserve"> (Committee)</w:t>
            </w:r>
            <w:r w:rsidR="004735AE">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 xml:space="preserve">on </w:t>
            </w:r>
            <w:r>
              <w:rPr>
                <w:rFonts w:ascii="Times New Roman" w:eastAsia="Malgun Gothic" w:hAnsi="Times New Roman"/>
                <w:bCs/>
                <w:kern w:val="2"/>
                <w:sz w:val="24"/>
                <w:szCs w:val="24"/>
                <w:lang w:val="en-GB"/>
              </w:rPr>
              <w:t>Lithuania</w:t>
            </w:r>
            <w:r w:rsidRPr="004B3CDD">
              <w:rPr>
                <w:rFonts w:ascii="Times New Roman" w:eastAsia="Malgun Gothic" w:hAnsi="Times New Roman"/>
                <w:bCs/>
                <w:kern w:val="2"/>
                <w:sz w:val="24"/>
                <w:szCs w:val="24"/>
                <w:lang w:val="en-GB"/>
              </w:rPr>
              <w:t xml:space="preserve"> </w:t>
            </w:r>
            <w:r>
              <w:rPr>
                <w:rFonts w:ascii="Times New Roman" w:eastAsia="Malgun Gothic" w:hAnsi="Times New Roman"/>
                <w:bCs/>
                <w:kern w:val="2"/>
                <w:sz w:val="24"/>
                <w:szCs w:val="24"/>
                <w:lang w:val="en-GB"/>
              </w:rPr>
              <w:t xml:space="preserve">responds to the questions asked by the </w:t>
            </w:r>
            <w:r w:rsidR="00E94ABC">
              <w:rPr>
                <w:rFonts w:ascii="Times New Roman" w:eastAsia="Malgun Gothic" w:hAnsi="Times New Roman"/>
                <w:bCs/>
                <w:kern w:val="2"/>
                <w:sz w:val="24"/>
                <w:szCs w:val="24"/>
                <w:lang w:val="en-GB"/>
              </w:rPr>
              <w:t>Committee</w:t>
            </w:r>
            <w:r>
              <w:rPr>
                <w:rFonts w:ascii="Times New Roman" w:eastAsia="Malgun Gothic" w:hAnsi="Times New Roman"/>
                <w:bCs/>
                <w:kern w:val="2"/>
                <w:sz w:val="24"/>
                <w:szCs w:val="24"/>
                <w:lang w:val="en-GB"/>
              </w:rPr>
              <w:t xml:space="preserve"> concerning conscientious objection to military service at paragraph 22 of the List of Issues prior to submission of the fourth periodic report of Lithuania. As set out in this </w:t>
            </w:r>
            <w:r w:rsidR="00E94ABC">
              <w:rPr>
                <w:rFonts w:ascii="Times New Roman" w:eastAsia="Malgun Gothic" w:hAnsi="Times New Roman"/>
                <w:bCs/>
                <w:kern w:val="2"/>
                <w:sz w:val="24"/>
                <w:szCs w:val="24"/>
                <w:lang w:val="en-GB"/>
              </w:rPr>
              <w:t>submission</w:t>
            </w:r>
            <w:r>
              <w:rPr>
                <w:rFonts w:ascii="Times New Roman" w:eastAsia="Malgun Gothic" w:hAnsi="Times New Roman"/>
                <w:bCs/>
                <w:kern w:val="2"/>
                <w:sz w:val="24"/>
                <w:szCs w:val="24"/>
                <w:lang w:val="en-GB"/>
              </w:rPr>
              <w:t>, Lithuania does not provide for genuine alternative civilian service.</w:t>
            </w:r>
          </w:p>
          <w:p w:rsidR="00C62320" w:rsidRPr="00472DB9" w:rsidRDefault="006924C9" w:rsidP="00C62320">
            <w:pPr>
              <w:ind w:left="340" w:right="340"/>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 xml:space="preserve">Jehovah’s Witnesses in </w:t>
            </w:r>
            <w:r>
              <w:rPr>
                <w:rFonts w:ascii="Times New Roman" w:eastAsia="Malgun Gothic" w:hAnsi="Times New Roman"/>
                <w:bCs/>
                <w:kern w:val="2"/>
                <w:sz w:val="24"/>
                <w:szCs w:val="24"/>
                <w:lang w:val="en-GB"/>
              </w:rPr>
              <w:t>Lithuania</w:t>
            </w:r>
            <w:r w:rsidRPr="00472DB9">
              <w:rPr>
                <w:rFonts w:ascii="Times New Roman" w:eastAsia="Malgun Gothic" w:hAnsi="Times New Roman"/>
                <w:bCs/>
                <w:kern w:val="2"/>
                <w:sz w:val="24"/>
                <w:szCs w:val="24"/>
                <w:lang w:val="en-GB"/>
              </w:rPr>
              <w:t xml:space="preserve"> and as a worldwide organization respectfully request</w:t>
            </w:r>
            <w:r>
              <w:rPr>
                <w:rFonts w:ascii="Times New Roman" w:eastAsia="Malgun Gothic" w:hAnsi="Times New Roman"/>
                <w:bCs/>
                <w:kern w:val="2"/>
                <w:sz w:val="24"/>
                <w:szCs w:val="24"/>
                <w:lang w:val="en-GB"/>
              </w:rPr>
              <w:t>,</w:t>
            </w:r>
            <w:r w:rsidRPr="00472DB9">
              <w:rPr>
                <w:rFonts w:ascii="Times New Roman" w:eastAsia="Malgun Gothic" w:hAnsi="Times New Roman"/>
                <w:bCs/>
                <w:kern w:val="2"/>
                <w:sz w:val="24"/>
                <w:szCs w:val="24"/>
                <w:lang w:val="en-GB"/>
              </w:rPr>
              <w:t xml:space="preserve"> </w:t>
            </w:r>
            <w:r>
              <w:rPr>
                <w:rFonts w:ascii="Times New Roman" w:eastAsia="Malgun Gothic" w:hAnsi="Times New Roman"/>
                <w:bCs/>
                <w:kern w:val="2"/>
                <w:sz w:val="24"/>
                <w:szCs w:val="24"/>
                <w:lang w:val="en-GB"/>
              </w:rPr>
              <w:t xml:space="preserve">in harmony with the case law of the </w:t>
            </w:r>
            <w:r w:rsidRPr="000F05A1">
              <w:rPr>
                <w:rFonts w:ascii="Times New Roman" w:eastAsia="Malgun Gothic" w:hAnsi="Times New Roman"/>
                <w:bCs/>
                <w:kern w:val="2"/>
                <w:sz w:val="24"/>
                <w:szCs w:val="24"/>
                <w:lang w:val="en-GB"/>
              </w:rPr>
              <w:t>Committee</w:t>
            </w:r>
            <w:r>
              <w:rPr>
                <w:rFonts w:ascii="Times New Roman" w:eastAsia="Malgun Gothic" w:hAnsi="Times New Roman"/>
                <w:bCs/>
                <w:kern w:val="2"/>
                <w:sz w:val="24"/>
                <w:szCs w:val="24"/>
                <w:lang w:val="en-GB"/>
              </w:rPr>
              <w:t xml:space="preserve"> and the European Court of Human Rights, that </w:t>
            </w:r>
            <w:r w:rsidRPr="00472DB9">
              <w:rPr>
                <w:rFonts w:ascii="Times New Roman" w:eastAsia="Malgun Gothic" w:hAnsi="Times New Roman"/>
                <w:bCs/>
                <w:kern w:val="2"/>
                <w:sz w:val="24"/>
                <w:szCs w:val="24"/>
                <w:lang w:val="en-GB"/>
              </w:rPr>
              <w:t xml:space="preserve">the government of </w:t>
            </w:r>
            <w:r>
              <w:rPr>
                <w:rFonts w:ascii="Times New Roman" w:eastAsia="Malgun Gothic" w:hAnsi="Times New Roman"/>
                <w:bCs/>
                <w:kern w:val="2"/>
                <w:sz w:val="24"/>
                <w:szCs w:val="24"/>
                <w:lang w:val="en-GB"/>
              </w:rPr>
              <w:t>Lithuania</w:t>
            </w:r>
            <w:r w:rsidRPr="00472DB9">
              <w:rPr>
                <w:rFonts w:ascii="Times New Roman" w:eastAsia="Malgun Gothic" w:hAnsi="Times New Roman"/>
                <w:bCs/>
                <w:kern w:val="2"/>
                <w:sz w:val="24"/>
                <w:szCs w:val="24"/>
                <w:lang w:val="en-GB"/>
              </w:rPr>
              <w:t>:</w:t>
            </w:r>
          </w:p>
          <w:p w:rsidR="00C62320" w:rsidRPr="00472DB9" w:rsidRDefault="006924C9" w:rsidP="00C62320">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 xml:space="preserve">Provide conscientious objectors to military service with either a complete exemption from military service or with alternative civilian service that is not under military authority, control or direction and that is not deterrent or punitive in character. </w:t>
            </w:r>
          </w:p>
          <w:p w:rsidR="00C62320" w:rsidRPr="00574831" w:rsidRDefault="00E94D42" w:rsidP="00574831">
            <w:pPr>
              <w:topLinePunct/>
              <w:spacing w:after="240" w:line="240" w:lineRule="auto"/>
              <w:ind w:left="360" w:right="227"/>
              <w:jc w:val="both"/>
              <w:rPr>
                <w:rFonts w:ascii="Times New Roman" w:eastAsia="Malgun Gothic" w:hAnsi="Times New Roman"/>
                <w:bCs/>
                <w:kern w:val="2"/>
                <w:sz w:val="24"/>
                <w:szCs w:val="24"/>
                <w:lang w:val="en-GB"/>
              </w:rPr>
            </w:pPr>
          </w:p>
        </w:tc>
      </w:tr>
    </w:tbl>
    <w:p w:rsidR="00231DDA" w:rsidRDefault="00E94D42" w:rsidP="00B2371D">
      <w:pPr>
        <w:jc w:val="both"/>
        <w:rPr>
          <w:rFonts w:ascii="Times New Roman" w:hAnsi="Times New Roman"/>
          <w:b/>
          <w:bCs/>
          <w:noProof/>
          <w:sz w:val="24"/>
          <w:szCs w:val="24"/>
          <w:lang w:val="en-GB"/>
        </w:rPr>
      </w:pPr>
    </w:p>
    <w:p w:rsidR="00C62320" w:rsidRPr="00196736" w:rsidRDefault="00E94D42" w:rsidP="00B2371D">
      <w:pPr>
        <w:jc w:val="both"/>
        <w:rPr>
          <w:rFonts w:ascii="Times New Roman" w:hAnsi="Times New Roman"/>
          <w:b/>
          <w:bCs/>
          <w:noProof/>
          <w:sz w:val="24"/>
          <w:szCs w:val="24"/>
          <w:lang w:val="en-GB"/>
        </w:rPr>
      </w:pPr>
    </w:p>
    <w:p w:rsidR="00501F4E" w:rsidRDefault="00E94D42" w:rsidP="00501F4E">
      <w:pPr>
        <w:rPr>
          <w:lang w:val="en-GB"/>
        </w:rPr>
      </w:pPr>
      <w:bookmarkStart w:id="3" w:name="_Toc354402756"/>
    </w:p>
    <w:p w:rsidR="004658E9" w:rsidRDefault="00E94D42" w:rsidP="00501F4E">
      <w:pPr>
        <w:rPr>
          <w:lang w:val="en-GB"/>
        </w:rPr>
      </w:pPr>
    </w:p>
    <w:p w:rsidR="00C62320" w:rsidRDefault="00E94D42" w:rsidP="00501F4E">
      <w:pPr>
        <w:rPr>
          <w:lang w:val="en-GB"/>
        </w:rPr>
      </w:pPr>
    </w:p>
    <w:p w:rsidR="00C62320" w:rsidRPr="00501F4E" w:rsidRDefault="006924C9" w:rsidP="00501F4E">
      <w:pPr>
        <w:rPr>
          <w:lang w:val="en-GB"/>
        </w:rPr>
      </w:pPr>
      <w:r>
        <w:rPr>
          <w:lang w:val="en-GB"/>
        </w:rPr>
        <w:br w:type="column"/>
      </w:r>
    </w:p>
    <w:p w:rsidR="00B2371D" w:rsidRPr="004B3CDD" w:rsidRDefault="006924C9" w:rsidP="00B2371D">
      <w:pPr>
        <w:pStyle w:val="Heading1"/>
        <w:rPr>
          <w:rFonts w:ascii="Times New Roman" w:hAnsi="Times New Roman"/>
          <w:color w:val="auto"/>
          <w:sz w:val="24"/>
          <w:szCs w:val="24"/>
          <w:lang w:val="en-GB"/>
        </w:rPr>
      </w:pPr>
      <w:bookmarkStart w:id="4" w:name="_Toc515027015"/>
      <w:r w:rsidRPr="004B3CDD">
        <w:rPr>
          <w:rFonts w:ascii="Times New Roman" w:hAnsi="Times New Roman"/>
          <w:color w:val="auto"/>
          <w:sz w:val="24"/>
          <w:szCs w:val="24"/>
          <w:lang w:val="en-GB"/>
        </w:rPr>
        <w:t>I. Introduction</w:t>
      </w:r>
      <w:bookmarkEnd w:id="3"/>
      <w:bookmarkEnd w:id="4"/>
    </w:p>
    <w:p w:rsidR="00234F5F" w:rsidRDefault="006924C9" w:rsidP="00231DDA">
      <w:pPr>
        <w:pStyle w:val="ListParagraph"/>
        <w:numPr>
          <w:ilvl w:val="1"/>
          <w:numId w:val="1"/>
        </w:numPr>
        <w:topLinePunct/>
        <w:spacing w:after="0" w:line="240" w:lineRule="auto"/>
        <w:ind w:right="181"/>
        <w:jc w:val="both"/>
        <w:rPr>
          <w:rFonts w:ascii="Times New Roman" w:hAnsi="Times New Roman"/>
          <w:sz w:val="24"/>
          <w:szCs w:val="24"/>
          <w:lang w:val="en-GB"/>
        </w:rPr>
      </w:pPr>
      <w:r w:rsidRPr="00740093">
        <w:rPr>
          <w:rFonts w:ascii="Times New Roman" w:hAnsi="Times New Roman"/>
          <w:sz w:val="24"/>
          <w:szCs w:val="24"/>
          <w:lang w:val="en-GB"/>
        </w:rPr>
        <w:t>The European Association of Jehovah’s Witnesses</w:t>
      </w:r>
      <w:r w:rsidR="000F05A1">
        <w:rPr>
          <w:rFonts w:ascii="Times New Roman" w:hAnsi="Times New Roman"/>
          <w:sz w:val="24"/>
          <w:szCs w:val="24"/>
          <w:lang w:val="en-GB"/>
        </w:rPr>
        <w:t xml:space="preserve"> </w:t>
      </w:r>
      <w:r w:rsidRPr="00740093">
        <w:rPr>
          <w:rFonts w:ascii="Times New Roman" w:hAnsi="Times New Roman"/>
          <w:sz w:val="24"/>
          <w:szCs w:val="24"/>
          <w:lang w:val="en-GB"/>
        </w:rPr>
        <w:t xml:space="preserve">is a charity registered in the United Kingdom. It assists adherents of the faith of Jehovah’s Witnesses in various areas of the world. </w:t>
      </w:r>
    </w:p>
    <w:p w:rsidR="00740093" w:rsidRPr="00740093" w:rsidRDefault="00E94D42" w:rsidP="00740093">
      <w:pPr>
        <w:pStyle w:val="ListParagraph"/>
        <w:topLinePunct/>
        <w:spacing w:after="0" w:line="240" w:lineRule="auto"/>
        <w:ind w:left="435" w:right="181"/>
        <w:jc w:val="both"/>
        <w:rPr>
          <w:rFonts w:ascii="Times New Roman" w:hAnsi="Times New Roman"/>
          <w:sz w:val="24"/>
          <w:szCs w:val="24"/>
          <w:lang w:val="en-GB"/>
        </w:rPr>
      </w:pPr>
    </w:p>
    <w:p w:rsidR="00136F04" w:rsidRPr="00501F4E"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712964">
        <w:rPr>
          <w:rFonts w:ascii="Times New Roman" w:hAnsi="Times New Roman"/>
          <w:sz w:val="24"/>
          <w:szCs w:val="24"/>
          <w:lang w:val="en-GB"/>
        </w:rPr>
        <w:t xml:space="preserve">This submission focuses on the violations of the rights protected by </w:t>
      </w:r>
      <w:r w:rsidRPr="00712964">
        <w:rPr>
          <w:rFonts w:ascii="Times New Roman" w:eastAsia="Malgun Gothic" w:hAnsi="Times New Roman"/>
          <w:bCs/>
          <w:kern w:val="2"/>
          <w:sz w:val="24"/>
          <w:szCs w:val="24"/>
          <w:lang w:val="en-GB"/>
        </w:rPr>
        <w:t>the International Covenant on Civil and Political Rights (ICCPR).</w:t>
      </w:r>
    </w:p>
    <w:p w:rsidR="00501F4E" w:rsidRPr="007170DB" w:rsidRDefault="006924C9" w:rsidP="00501F4E">
      <w:pPr>
        <w:pStyle w:val="Heading1"/>
        <w:rPr>
          <w:rFonts w:ascii="Times New Roman" w:hAnsi="Times New Roman"/>
          <w:color w:val="auto"/>
          <w:sz w:val="24"/>
          <w:szCs w:val="24"/>
          <w:lang w:val="en-GB"/>
        </w:rPr>
      </w:pPr>
      <w:bookmarkStart w:id="5" w:name="_Toc515027016"/>
      <w:r w:rsidRPr="007170DB">
        <w:rPr>
          <w:rFonts w:ascii="Times New Roman" w:hAnsi="Times New Roman"/>
          <w:color w:val="auto"/>
          <w:sz w:val="24"/>
          <w:szCs w:val="24"/>
          <w:lang w:val="en-GB"/>
        </w:rPr>
        <w:t>II. Alleged Violations of the International Covenant on Civil and Political Rights (ICCPR - Articles 18 and 27)</w:t>
      </w:r>
      <w:bookmarkEnd w:id="5"/>
    </w:p>
    <w:p w:rsidR="008E1456" w:rsidRPr="004B3CDD" w:rsidRDefault="006924C9" w:rsidP="008E1456">
      <w:pPr>
        <w:ind w:left="360"/>
        <w:jc w:val="both"/>
        <w:rPr>
          <w:rFonts w:ascii="Times New Roman" w:hAnsi="Times New Roman"/>
          <w:b/>
          <w:sz w:val="24"/>
          <w:szCs w:val="24"/>
          <w:lang w:val="en-GB"/>
        </w:rPr>
      </w:pPr>
      <w:r w:rsidRPr="004B3CDD">
        <w:rPr>
          <w:rFonts w:ascii="Times New Roman" w:hAnsi="Times New Roman"/>
          <w:b/>
          <w:sz w:val="24"/>
          <w:szCs w:val="24"/>
          <w:lang w:val="en-GB"/>
        </w:rPr>
        <w:t>Freedom of thought, conscience and religion and right to non-discrimination (ICCPR – Articles 18 and 27)</w:t>
      </w:r>
    </w:p>
    <w:p w:rsidR="008E1456" w:rsidRDefault="006924C9" w:rsidP="008E1456">
      <w:pPr>
        <w:topLinePunct/>
        <w:spacing w:after="240" w:line="240" w:lineRule="auto"/>
        <w:ind w:left="360" w:right="181"/>
        <w:jc w:val="both"/>
        <w:rPr>
          <w:rFonts w:ascii="Times New Roman" w:hAnsi="Times New Roman"/>
          <w:sz w:val="24"/>
          <w:szCs w:val="24"/>
          <w:lang w:val="en-GB"/>
        </w:rPr>
      </w:pPr>
      <w:r w:rsidRPr="008E1456">
        <w:rPr>
          <w:rFonts w:ascii="Times New Roman" w:hAnsi="Times New Roman"/>
          <w:b/>
          <w:i/>
          <w:sz w:val="24"/>
          <w:szCs w:val="24"/>
          <w:lang w:val="en-GB"/>
        </w:rPr>
        <w:t>No option for conscientious objectors to military service</w:t>
      </w:r>
      <w:r w:rsidRPr="008E1456">
        <w:rPr>
          <w:rFonts w:ascii="Times New Roman" w:hAnsi="Times New Roman"/>
          <w:sz w:val="24"/>
          <w:szCs w:val="24"/>
          <w:lang w:val="en-GB"/>
        </w:rPr>
        <w:t xml:space="preserve"> </w:t>
      </w:r>
    </w:p>
    <w:p w:rsidR="002F4CF3"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Lithuania has mandatory military conscription for all young men of military age. In most years, more young men volunteer for military service than the required number of conscripts, so the </w:t>
      </w:r>
      <w:r w:rsidR="009D684E">
        <w:rPr>
          <w:rFonts w:ascii="Times New Roman" w:hAnsi="Times New Roman"/>
          <w:sz w:val="24"/>
          <w:szCs w:val="24"/>
          <w:lang w:val="en-GB"/>
        </w:rPr>
        <w:t>call-</w:t>
      </w:r>
      <w:r>
        <w:rPr>
          <w:rFonts w:ascii="Times New Roman" w:hAnsi="Times New Roman"/>
          <w:sz w:val="24"/>
          <w:szCs w:val="24"/>
          <w:lang w:val="en-GB"/>
        </w:rPr>
        <w:t xml:space="preserve">up for most conscientious objectors is usually deferred to the next call-up. </w:t>
      </w:r>
      <w:r w:rsidR="009D684E">
        <w:rPr>
          <w:rFonts w:ascii="Times New Roman" w:hAnsi="Times New Roman"/>
          <w:sz w:val="24"/>
          <w:szCs w:val="24"/>
          <w:lang w:val="en-GB"/>
        </w:rPr>
        <w:t>Of course, t</w:t>
      </w:r>
      <w:r>
        <w:rPr>
          <w:rFonts w:ascii="Times New Roman" w:hAnsi="Times New Roman"/>
          <w:sz w:val="24"/>
          <w:szCs w:val="24"/>
          <w:lang w:val="en-GB"/>
        </w:rPr>
        <w:t xml:space="preserve">his situation could change at any time. </w:t>
      </w:r>
    </w:p>
    <w:p w:rsidR="006320C8" w:rsidRDefault="006924C9" w:rsidP="006320C8">
      <w:pPr>
        <w:pStyle w:val="ListParagraph"/>
        <w:numPr>
          <w:ilvl w:val="1"/>
          <w:numId w:val="1"/>
        </w:numPr>
        <w:topLinePunct/>
        <w:spacing w:after="240" w:line="240" w:lineRule="auto"/>
        <w:ind w:right="181"/>
        <w:jc w:val="both"/>
        <w:rPr>
          <w:rFonts w:ascii="Times New Roman" w:hAnsi="Times New Roman"/>
          <w:sz w:val="24"/>
          <w:szCs w:val="24"/>
          <w:lang w:val="en-GB"/>
        </w:rPr>
      </w:pPr>
      <w:r w:rsidRPr="0006508D">
        <w:rPr>
          <w:rFonts w:ascii="Times New Roman" w:hAnsi="Times New Roman"/>
          <w:sz w:val="24"/>
          <w:szCs w:val="24"/>
          <w:lang w:val="en-GB"/>
        </w:rPr>
        <w:t>Lithuania</w:t>
      </w:r>
      <w:r>
        <w:rPr>
          <w:rFonts w:ascii="Times New Roman" w:hAnsi="Times New Roman"/>
          <w:sz w:val="24"/>
          <w:szCs w:val="24"/>
          <w:lang w:val="en-GB"/>
        </w:rPr>
        <w:t xml:space="preserve">’s law on military service does not provide for alternative civilian service. Instead, the only options are mandatory military service or “alternative national defence service”, which is a form of military service under direct military control and supervision. This is confirmed by the </w:t>
      </w:r>
      <w:r w:rsidRPr="00DF651E">
        <w:rPr>
          <w:rFonts w:ascii="Times New Roman" w:hAnsi="Times New Roman"/>
          <w:sz w:val="24"/>
          <w:szCs w:val="24"/>
          <w:lang w:val="en-GB"/>
        </w:rPr>
        <w:t>Law on Military Conscription</w:t>
      </w:r>
      <w:r>
        <w:rPr>
          <w:rFonts w:ascii="Times New Roman" w:hAnsi="Times New Roman"/>
          <w:sz w:val="24"/>
          <w:szCs w:val="24"/>
          <w:lang w:val="en-GB"/>
        </w:rPr>
        <w:t>,</w:t>
      </w:r>
      <w:r w:rsidRPr="00DF651E">
        <w:rPr>
          <w:rFonts w:ascii="Times New Roman" w:hAnsi="Times New Roman"/>
          <w:sz w:val="24"/>
          <w:szCs w:val="24"/>
          <w:lang w:val="en-GB"/>
        </w:rPr>
        <w:t xml:space="preserve"> which refers to persons pe</w:t>
      </w:r>
      <w:r>
        <w:rPr>
          <w:rFonts w:ascii="Times New Roman" w:hAnsi="Times New Roman"/>
          <w:sz w:val="24"/>
          <w:szCs w:val="24"/>
          <w:lang w:val="en-GB"/>
        </w:rPr>
        <w:t>r</w:t>
      </w:r>
      <w:r w:rsidRPr="00DF651E">
        <w:rPr>
          <w:rFonts w:ascii="Times New Roman" w:hAnsi="Times New Roman"/>
          <w:sz w:val="24"/>
          <w:szCs w:val="24"/>
          <w:lang w:val="en-GB"/>
        </w:rPr>
        <w:t>forming alternative national defence service as “military conscripts”. Furthermore, Government “Regulation for Performing Alternative National Defence Service” No. 206, dated 23 February 2000</w:t>
      </w:r>
      <w:r>
        <w:rPr>
          <w:rFonts w:ascii="Times New Roman" w:hAnsi="Times New Roman"/>
          <w:sz w:val="24"/>
          <w:szCs w:val="24"/>
          <w:lang w:val="en-GB"/>
        </w:rPr>
        <w:t>,</w:t>
      </w:r>
      <w:r w:rsidRPr="00DF651E">
        <w:rPr>
          <w:rFonts w:ascii="Times New Roman" w:hAnsi="Times New Roman"/>
          <w:sz w:val="24"/>
          <w:szCs w:val="24"/>
          <w:lang w:val="en-GB"/>
        </w:rPr>
        <w:t xml:space="preserve"> provides in articles 8, 9, 12, 14, 20.4, </w:t>
      </w:r>
      <w:r>
        <w:rPr>
          <w:rFonts w:ascii="Times New Roman" w:hAnsi="Times New Roman"/>
          <w:sz w:val="24"/>
          <w:szCs w:val="24"/>
          <w:lang w:val="en-GB"/>
        </w:rPr>
        <w:t xml:space="preserve">21.1, </w:t>
      </w:r>
      <w:r w:rsidRPr="00DF651E">
        <w:rPr>
          <w:rFonts w:ascii="Times New Roman" w:hAnsi="Times New Roman"/>
          <w:sz w:val="24"/>
          <w:szCs w:val="24"/>
          <w:lang w:val="en-GB"/>
        </w:rPr>
        <w:t>21.2 and 22 that a “military conscript” performing “alternative national defence service” can be assigned work in “civilian institutions”</w:t>
      </w:r>
      <w:r>
        <w:rPr>
          <w:rFonts w:ascii="Times New Roman" w:hAnsi="Times New Roman"/>
          <w:sz w:val="24"/>
          <w:szCs w:val="24"/>
          <w:lang w:val="en-GB"/>
        </w:rPr>
        <w:t xml:space="preserve"> and that</w:t>
      </w:r>
      <w:r w:rsidRPr="00DF651E">
        <w:rPr>
          <w:rFonts w:ascii="Times New Roman" w:hAnsi="Times New Roman"/>
          <w:sz w:val="24"/>
          <w:szCs w:val="24"/>
          <w:lang w:val="en-GB"/>
        </w:rPr>
        <w:t xml:space="preserve"> his work assignment can at any moment be changed by the mi</w:t>
      </w:r>
      <w:r>
        <w:rPr>
          <w:rFonts w:ascii="Times New Roman" w:hAnsi="Times New Roman"/>
          <w:sz w:val="24"/>
          <w:szCs w:val="24"/>
          <w:lang w:val="en-GB"/>
        </w:rPr>
        <w:t>li</w:t>
      </w:r>
      <w:r w:rsidRPr="00DF651E">
        <w:rPr>
          <w:rFonts w:ascii="Times New Roman" w:hAnsi="Times New Roman"/>
          <w:sz w:val="24"/>
          <w:szCs w:val="24"/>
          <w:lang w:val="en-GB"/>
        </w:rPr>
        <w:t xml:space="preserve">tary authorities who can assign him “to perform an alternative service in the institutions of </w:t>
      </w:r>
      <w:r>
        <w:rPr>
          <w:rFonts w:ascii="Times New Roman" w:hAnsi="Times New Roman"/>
          <w:sz w:val="24"/>
          <w:szCs w:val="24"/>
          <w:lang w:val="en-GB"/>
        </w:rPr>
        <w:t xml:space="preserve">[the] </w:t>
      </w:r>
      <w:r w:rsidRPr="00DF651E">
        <w:rPr>
          <w:rFonts w:ascii="Times New Roman" w:hAnsi="Times New Roman"/>
          <w:sz w:val="24"/>
          <w:szCs w:val="24"/>
          <w:lang w:val="en-GB"/>
        </w:rPr>
        <w:t>national defence system.”</w:t>
      </w:r>
    </w:p>
    <w:p w:rsidR="006320C8"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Additionally, the Law on Military Conscription had for many years exempted ministers of “traditional religions” from mandatory military service. That exemption was denied to ministers of all other religions, including Jehovah’s Witnesses. That provision was amended in 2017 following a decision of the Constitutional Court. Under recent amendments, appointed religious ministers of all religions are deferred from the call-up for military service so that they can perform pastoral care in their religious communities. However, in times of military mobilization, religious ministers are assigned as military chaplains. </w:t>
      </w:r>
      <w:r w:rsidR="00AC1AAA">
        <w:rPr>
          <w:rFonts w:ascii="Times New Roman" w:hAnsi="Times New Roman"/>
          <w:sz w:val="24"/>
          <w:szCs w:val="24"/>
          <w:lang w:val="en-GB"/>
        </w:rPr>
        <w:t xml:space="preserve">As for </w:t>
      </w:r>
      <w:r>
        <w:rPr>
          <w:rFonts w:ascii="Times New Roman" w:hAnsi="Times New Roman"/>
          <w:sz w:val="24"/>
          <w:szCs w:val="24"/>
          <w:lang w:val="en-GB"/>
        </w:rPr>
        <w:t xml:space="preserve">religious ministers who are Jehovah’s Witnesses, their religious conscience does not permit them to serve as military chaplains. Therefore, this amendment is also not in harmony with Lithuania’s international obligations. </w:t>
      </w:r>
    </w:p>
    <w:p w:rsidR="00880C5A"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3D4E5D">
        <w:rPr>
          <w:rFonts w:ascii="Times New Roman" w:hAnsi="Times New Roman"/>
          <w:sz w:val="24"/>
          <w:szCs w:val="24"/>
          <w:lang w:val="en-GB"/>
        </w:rPr>
        <w:t>The</w:t>
      </w:r>
      <w:r>
        <w:rPr>
          <w:rFonts w:ascii="Times New Roman" w:hAnsi="Times New Roman"/>
          <w:sz w:val="24"/>
          <w:szCs w:val="24"/>
          <w:lang w:val="en-GB"/>
        </w:rPr>
        <w:t xml:space="preserve"> jurisprudence of </w:t>
      </w:r>
      <w:r w:rsidRPr="000F05A1">
        <w:rPr>
          <w:rFonts w:ascii="Times New Roman" w:hAnsi="Times New Roman"/>
          <w:sz w:val="24"/>
          <w:szCs w:val="24"/>
          <w:lang w:val="en-GB"/>
        </w:rPr>
        <w:t>the Committee is</w:t>
      </w:r>
      <w:r>
        <w:rPr>
          <w:rFonts w:ascii="Times New Roman" w:hAnsi="Times New Roman"/>
          <w:sz w:val="24"/>
          <w:szCs w:val="24"/>
          <w:lang w:val="en-GB"/>
        </w:rPr>
        <w:t xml:space="preserve"> unequivocal and fully supports a religious conscience exemption from military service and alternative national defence service. </w:t>
      </w:r>
      <w:r w:rsidRPr="003D4E5D">
        <w:rPr>
          <w:rFonts w:ascii="Times New Roman" w:hAnsi="Times New Roman"/>
          <w:sz w:val="24"/>
          <w:szCs w:val="24"/>
          <w:lang w:val="en-GB"/>
        </w:rPr>
        <w:t xml:space="preserve">In the case of </w:t>
      </w:r>
      <w:r w:rsidRPr="000F05A1">
        <w:rPr>
          <w:rFonts w:ascii="Times New Roman" w:hAnsi="Times New Roman"/>
          <w:i/>
          <w:sz w:val="24"/>
          <w:szCs w:val="24"/>
          <w:lang w:val="en-GB"/>
        </w:rPr>
        <w:t>Atasoy and Sarkut v. Turkey</w:t>
      </w:r>
      <w:r w:rsidRPr="003D4E5D">
        <w:rPr>
          <w:rFonts w:ascii="Times New Roman" w:hAnsi="Times New Roman"/>
          <w:sz w:val="24"/>
          <w:szCs w:val="24"/>
          <w:lang w:val="en-GB"/>
        </w:rPr>
        <w:t xml:space="preserve"> (communication nos. 1853/2008 </w:t>
      </w:r>
      <w:r w:rsidRPr="00C3375A">
        <w:rPr>
          <w:rFonts w:ascii="Times New Roman" w:hAnsi="Times New Roman"/>
          <w:sz w:val="24"/>
          <w:szCs w:val="24"/>
          <w:lang w:val="en-GB"/>
        </w:rPr>
        <w:t>and 1854/2008, Views adopted 29 March 2012</w:t>
      </w:r>
      <w:r w:rsidRPr="000F05A1">
        <w:rPr>
          <w:rFonts w:ascii="Times New Roman" w:hAnsi="Times New Roman"/>
          <w:sz w:val="24"/>
          <w:szCs w:val="24"/>
          <w:lang w:val="en-GB"/>
        </w:rPr>
        <w:t>), the Committee</w:t>
      </w:r>
      <w:r w:rsidRPr="00C3375A">
        <w:rPr>
          <w:rFonts w:ascii="Times New Roman" w:hAnsi="Times New Roman"/>
          <w:sz w:val="24"/>
          <w:szCs w:val="24"/>
          <w:lang w:val="en-GB"/>
        </w:rPr>
        <w:t xml:space="preserve"> concluded: </w:t>
      </w:r>
    </w:p>
    <w:p w:rsidR="003D4E5D" w:rsidRPr="00DF651E" w:rsidRDefault="006924C9" w:rsidP="00880C5A">
      <w:pPr>
        <w:pStyle w:val="ListParagraph"/>
        <w:topLinePunct/>
        <w:spacing w:after="240" w:line="240" w:lineRule="auto"/>
        <w:ind w:right="181"/>
        <w:jc w:val="both"/>
        <w:rPr>
          <w:rFonts w:ascii="Times New Roman" w:hAnsi="Times New Roman"/>
          <w:sz w:val="24"/>
          <w:szCs w:val="24"/>
          <w:lang w:val="en-GB"/>
        </w:rPr>
      </w:pPr>
      <w:r>
        <w:rPr>
          <w:rFonts w:ascii="Times New Roman" w:hAnsi="Times New Roman"/>
          <w:i/>
          <w:color w:val="000000"/>
          <w:sz w:val="24"/>
          <w:szCs w:val="24"/>
          <w:lang w:eastAsia="en-GB"/>
        </w:rPr>
        <w:lastRenderedPageBreak/>
        <w:t>10.4 …</w:t>
      </w:r>
      <w:r w:rsidRPr="00C3375A">
        <w:rPr>
          <w:rFonts w:ascii="Times New Roman" w:hAnsi="Times New Roman"/>
          <w:i/>
          <w:color w:val="000000"/>
          <w:sz w:val="24"/>
          <w:szCs w:val="24"/>
          <w:lang w:eastAsia="en-GB"/>
        </w:rPr>
        <w:t>The Committee reiterates that the right to conscientious objection to military service is inherent to the right to freedom of thought, conscience and religion. It entitles any individual to an exemption from compulsory military service if the latter cannot be reconciled with the individual's religion or beliefs. The right must not be impaired by coercion. A State party may, if it wishes, compel the objector to undertake a civilian alternative to military service, outside of the military sphere and not under military command. The alternative service must not be of a punitive nature, but must rather be a real service to the community and compatib</w:t>
      </w:r>
      <w:r>
        <w:rPr>
          <w:rFonts w:ascii="Times New Roman" w:hAnsi="Times New Roman"/>
          <w:i/>
          <w:color w:val="000000"/>
          <w:sz w:val="24"/>
          <w:szCs w:val="24"/>
          <w:lang w:eastAsia="en-GB"/>
        </w:rPr>
        <w:t>le with respect for human rights.</w:t>
      </w:r>
    </w:p>
    <w:p w:rsidR="00C3375A"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F05A1">
        <w:rPr>
          <w:rFonts w:ascii="Times New Roman" w:hAnsi="Times New Roman"/>
          <w:sz w:val="24"/>
          <w:szCs w:val="24"/>
          <w:lang w:val="en-GB"/>
        </w:rPr>
        <w:t>The Committee</w:t>
      </w:r>
      <w:r w:rsidRPr="00C3375A">
        <w:rPr>
          <w:rFonts w:ascii="Times New Roman" w:hAnsi="Times New Roman"/>
          <w:sz w:val="24"/>
          <w:szCs w:val="24"/>
          <w:lang w:val="en-GB"/>
        </w:rPr>
        <w:t xml:space="preserve"> reached the same conclusion in 16 separate decisions against South Korea, Turkey, and Turkmenistan.</w:t>
      </w:r>
    </w:p>
    <w:p w:rsidR="006320C8" w:rsidRPr="006320C8"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The European Court of Human Rights, in the case of </w:t>
      </w:r>
      <w:r w:rsidRPr="000F05A1">
        <w:rPr>
          <w:rFonts w:ascii="Times New Roman" w:hAnsi="Times New Roman"/>
          <w:i/>
          <w:sz w:val="24"/>
          <w:szCs w:val="24"/>
          <w:lang w:val="en-GB"/>
        </w:rPr>
        <w:t>Adyan and Others v. Armenia</w:t>
      </w:r>
      <w:r w:rsidRPr="00DF651E">
        <w:rPr>
          <w:rFonts w:ascii="Times New Roman" w:hAnsi="Times New Roman"/>
          <w:sz w:val="24"/>
          <w:szCs w:val="24"/>
          <w:lang w:val="en-GB"/>
        </w:rPr>
        <w:t xml:space="preserve"> </w:t>
      </w:r>
      <w:r>
        <w:rPr>
          <w:rFonts w:ascii="Times New Roman" w:hAnsi="Times New Roman"/>
          <w:sz w:val="24"/>
          <w:szCs w:val="24"/>
          <w:lang w:val="en-GB"/>
        </w:rPr>
        <w:t>(</w:t>
      </w:r>
      <w:r w:rsidRPr="00DF651E">
        <w:rPr>
          <w:rFonts w:ascii="Times New Roman" w:hAnsi="Times New Roman"/>
          <w:sz w:val="24"/>
          <w:szCs w:val="24"/>
          <w:lang w:val="en-GB"/>
        </w:rPr>
        <w:t>no. 75604/11, 12 October 2017)</w:t>
      </w:r>
      <w:r>
        <w:rPr>
          <w:rFonts w:ascii="Times New Roman" w:hAnsi="Times New Roman"/>
          <w:sz w:val="24"/>
          <w:szCs w:val="24"/>
          <w:lang w:val="en-GB"/>
        </w:rPr>
        <w:t>,</w:t>
      </w:r>
      <w:r w:rsidRPr="00DF651E">
        <w:rPr>
          <w:rFonts w:ascii="Times New Roman" w:hAnsi="Times New Roman"/>
          <w:sz w:val="24"/>
          <w:szCs w:val="24"/>
          <w:lang w:val="en-GB"/>
        </w:rPr>
        <w:t xml:space="preserve"> ruled that conscientious objectors must be provided with genuine alternative civilian service</w:t>
      </w:r>
      <w:r>
        <w:rPr>
          <w:rFonts w:ascii="Times New Roman" w:hAnsi="Times New Roman"/>
          <w:sz w:val="24"/>
          <w:szCs w:val="24"/>
          <w:lang w:val="en-GB"/>
        </w:rPr>
        <w:t>,</w:t>
      </w:r>
      <w:r w:rsidRPr="00DF651E">
        <w:rPr>
          <w:rFonts w:ascii="Times New Roman" w:hAnsi="Times New Roman"/>
          <w:sz w:val="24"/>
          <w:szCs w:val="24"/>
          <w:lang w:val="en-GB"/>
        </w:rPr>
        <w:t xml:space="preserve"> which is not in any way controlled, directed, or supervised by the military and which is not punitive. The ECHR held:</w:t>
      </w:r>
    </w:p>
    <w:p w:rsidR="006320C8" w:rsidRPr="00DF651E" w:rsidRDefault="006924C9" w:rsidP="00DF651E">
      <w:pPr>
        <w:pStyle w:val="ListParagraph"/>
        <w:topLinePunct/>
        <w:spacing w:after="240" w:line="240" w:lineRule="auto"/>
        <w:ind w:right="181"/>
        <w:jc w:val="both"/>
        <w:rPr>
          <w:rFonts w:ascii="Times New Roman" w:hAnsi="Times New Roman"/>
          <w:i/>
          <w:sz w:val="24"/>
          <w:szCs w:val="24"/>
        </w:rPr>
      </w:pPr>
      <w:r w:rsidRPr="00DF651E">
        <w:rPr>
          <w:rFonts w:ascii="Times New Roman" w:hAnsi="Times New Roman"/>
          <w:i/>
        </w:rPr>
        <w:t xml:space="preserve">67 … In this connection, while accepting that the States Parties to the Convention enjoy a certain </w:t>
      </w:r>
      <w:r w:rsidRPr="00DF651E">
        <w:rPr>
          <w:rFonts w:ascii="Times New Roman" w:hAnsi="Times New Roman"/>
          <w:i/>
          <w:sz w:val="24"/>
          <w:szCs w:val="24"/>
        </w:rPr>
        <w:t xml:space="preserve">margin of appreciation regarding the manner in which their systems of alternative service are organised and implemented, the Court considers that the right to conscientious objection guaranteed by Article 9 of the Convention would be illusory if a State were allowed to organise and implement its system of alternative service in a way that would fail to offer – whether in law or in practice – an </w:t>
      </w:r>
      <w:r w:rsidRPr="00DF651E">
        <w:rPr>
          <w:rFonts w:ascii="Times New Roman" w:hAnsi="Times New Roman"/>
          <w:i/>
          <w:color w:val="000000"/>
          <w:sz w:val="24"/>
          <w:szCs w:val="24"/>
          <w:lang w:eastAsia="en-GB"/>
        </w:rPr>
        <w:t>alternative</w:t>
      </w:r>
      <w:r w:rsidRPr="00DF651E">
        <w:rPr>
          <w:rFonts w:ascii="Times New Roman" w:hAnsi="Times New Roman"/>
          <w:i/>
          <w:sz w:val="24"/>
          <w:szCs w:val="24"/>
        </w:rPr>
        <w:t xml:space="preserve"> to military service of a genuinely civilian nature and one which was not deterrent or punitive in character.</w:t>
      </w:r>
    </w:p>
    <w:p w:rsidR="006320C8" w:rsidRPr="00DF651E" w:rsidRDefault="006924C9" w:rsidP="00DF651E">
      <w:pPr>
        <w:pStyle w:val="ListParagraph"/>
        <w:topLinePunct/>
        <w:spacing w:after="240" w:line="240" w:lineRule="auto"/>
        <w:ind w:right="181"/>
        <w:jc w:val="both"/>
        <w:rPr>
          <w:rFonts w:ascii="Times New Roman" w:hAnsi="Times New Roman"/>
          <w:i/>
          <w:sz w:val="24"/>
          <w:szCs w:val="24"/>
        </w:rPr>
      </w:pPr>
      <w:r w:rsidRPr="00DF651E">
        <w:rPr>
          <w:rFonts w:ascii="Times New Roman" w:hAnsi="Times New Roman"/>
          <w:i/>
          <w:sz w:val="24"/>
          <w:szCs w:val="24"/>
        </w:rPr>
        <w:t>69. … The Court therefore considers that the alternative labour service was not hierarchically and institutionally sufficiently separated from the military system at the material time. Furthermore, as regards appearances, the Court notes that alternative civilian servicemen were required to wear a uniform and to stay at their place of service. They also had “the Armed Forces of Armenia” written on the cover of their alternative labour serviceman’s record booklets. Thus, taking into account all the above-mentioned factors, the Court considers that the alternative labour service available to the applicants at the material time was not of a genuinely civilian nature.</w:t>
      </w:r>
    </w:p>
    <w:p w:rsidR="006320C8" w:rsidRPr="006320C8" w:rsidRDefault="006924C9" w:rsidP="006320C8">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Contrary to the above provisions, Lithuania does not have any provision in law that recognizes the right of conscientious objection to military service and the right to substitute mandatory military service with alternative civilian service. This is confirmed by the following cases.</w:t>
      </w:r>
    </w:p>
    <w:p w:rsidR="003D4E5D"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In June 2015, </w:t>
      </w:r>
      <w:r w:rsidRPr="00DF651E">
        <w:rPr>
          <w:rFonts w:ascii="Times New Roman" w:hAnsi="Times New Roman"/>
          <w:b/>
          <w:sz w:val="24"/>
          <w:szCs w:val="24"/>
          <w:lang w:val="en-GB"/>
        </w:rPr>
        <w:t>Erikas Rutkauskas</w:t>
      </w:r>
      <w:r>
        <w:rPr>
          <w:rFonts w:ascii="Times New Roman" w:hAnsi="Times New Roman"/>
          <w:sz w:val="24"/>
          <w:szCs w:val="24"/>
          <w:lang w:val="en-GB"/>
        </w:rPr>
        <w:t xml:space="preserve">, a ministerial servant (deacon), was ordered to appear at </w:t>
      </w:r>
      <w:r w:rsidR="00A36507">
        <w:rPr>
          <w:rFonts w:ascii="Times New Roman" w:hAnsi="Times New Roman"/>
          <w:sz w:val="24"/>
          <w:szCs w:val="24"/>
          <w:lang w:val="en-GB"/>
        </w:rPr>
        <w:t xml:space="preserve">the </w:t>
      </w:r>
      <w:r w:rsidRPr="003D4E5D">
        <w:rPr>
          <w:rFonts w:ascii="Times New Roman" w:hAnsi="Times New Roman"/>
          <w:sz w:val="24"/>
          <w:szCs w:val="24"/>
          <w:lang w:val="en-GB"/>
        </w:rPr>
        <w:t>Regional Military Conscription and Recruitment Division of the 2nd Detachment of Darius and Girėnas Military District of the National Defence Volunteer Forces of the Lithuanian Army</w:t>
      </w:r>
      <w:r>
        <w:rPr>
          <w:rFonts w:ascii="Times New Roman" w:hAnsi="Times New Roman"/>
          <w:sz w:val="24"/>
          <w:szCs w:val="24"/>
          <w:lang w:val="en-GB"/>
        </w:rPr>
        <w:t>. Because his religious conscience does not permit him to accept military service or alternative service that is controlled by the military, Mr. Rutkauskas submitted an application to the military authorities for an exemption from both military service and alternative national defence service. Alternatively, Mr. Rutkauskas requested the opportunity to perform alternative civilian service.</w:t>
      </w:r>
    </w:p>
    <w:p w:rsidR="003D4E5D"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Mr. Rutkauskas’s application was refused. </w:t>
      </w:r>
      <w:r w:rsidRPr="00DF4C36">
        <w:rPr>
          <w:rFonts w:ascii="Times New Roman" w:hAnsi="Times New Roman"/>
          <w:sz w:val="24"/>
          <w:szCs w:val="24"/>
          <w:lang w:val="en-GB"/>
        </w:rPr>
        <w:t xml:space="preserve">In </w:t>
      </w:r>
      <w:r>
        <w:rPr>
          <w:rFonts w:ascii="Times New Roman" w:hAnsi="Times New Roman"/>
          <w:sz w:val="24"/>
          <w:szCs w:val="24"/>
          <w:lang w:val="en-GB"/>
        </w:rPr>
        <w:t xml:space="preserve">a </w:t>
      </w:r>
      <w:r w:rsidRPr="00DF4C36">
        <w:rPr>
          <w:rFonts w:ascii="Times New Roman" w:hAnsi="Times New Roman"/>
          <w:sz w:val="24"/>
          <w:szCs w:val="24"/>
          <w:lang w:val="en-GB"/>
        </w:rPr>
        <w:t>decision dated 10 September 2015, the 2nd Unit of the Lithuania National Defen</w:t>
      </w:r>
      <w:r w:rsidR="000F05A1">
        <w:rPr>
          <w:rFonts w:ascii="Times New Roman" w:hAnsi="Times New Roman"/>
          <w:sz w:val="24"/>
          <w:szCs w:val="24"/>
          <w:lang w:val="en-GB"/>
        </w:rPr>
        <w:t>c</w:t>
      </w:r>
      <w:r w:rsidRPr="00DF4C36">
        <w:rPr>
          <w:rFonts w:ascii="Times New Roman" w:hAnsi="Times New Roman"/>
          <w:sz w:val="24"/>
          <w:szCs w:val="24"/>
          <w:lang w:val="en-GB"/>
        </w:rPr>
        <w:t xml:space="preserve">e Volunteer Services informed </w:t>
      </w:r>
      <w:r>
        <w:rPr>
          <w:rFonts w:ascii="Times New Roman" w:hAnsi="Times New Roman"/>
          <w:sz w:val="24"/>
          <w:szCs w:val="24"/>
          <w:lang w:val="en-GB"/>
        </w:rPr>
        <w:t>Mr. Rutkauskas</w:t>
      </w:r>
      <w:r w:rsidRPr="00DF4C36">
        <w:rPr>
          <w:rFonts w:ascii="Times New Roman" w:hAnsi="Times New Roman"/>
          <w:sz w:val="24"/>
          <w:szCs w:val="24"/>
          <w:lang w:val="en-GB"/>
        </w:rPr>
        <w:t xml:space="preserve"> that his application for an exemption from military service and alternative national defence service was rejected because Jehovah’s Witnesses are not a State-recognized “traditional religion” in Lithuania</w:t>
      </w:r>
      <w:r>
        <w:rPr>
          <w:rFonts w:ascii="Times New Roman" w:hAnsi="Times New Roman"/>
          <w:sz w:val="24"/>
          <w:szCs w:val="24"/>
          <w:lang w:val="en-GB"/>
        </w:rPr>
        <w:t>. Mr. Rutkauskas appealed to the Vilnius Regional Administrative Court (VRAC).</w:t>
      </w:r>
    </w:p>
    <w:p w:rsidR="00DF4C36"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lastRenderedPageBreak/>
        <w:t>During the appeal, the VRAC suspended the case and submitted an inquiry to the Constitutional Court of the Republic of Lithuania asking them to investigate whether the exemption of ministers of “traditional religions” contradicts the constitution. On 4 July 2017, the Constitutional Court declared that the exemption for ministers of “traditional religions” violated the constitution of Lithuania. The Court</w:t>
      </w:r>
      <w:r w:rsidRPr="001A54FC">
        <w:rPr>
          <w:rFonts w:ascii="Times New Roman" w:hAnsi="Times New Roman"/>
          <w:sz w:val="24"/>
          <w:szCs w:val="24"/>
          <w:lang w:val="en-GB"/>
        </w:rPr>
        <w:t xml:space="preserve"> did not address what exemption should be provided to persons</w:t>
      </w:r>
      <w:r>
        <w:rPr>
          <w:rFonts w:ascii="Times New Roman" w:hAnsi="Times New Roman"/>
          <w:sz w:val="24"/>
          <w:szCs w:val="24"/>
          <w:lang w:val="en-GB"/>
        </w:rPr>
        <w:t xml:space="preserve"> who,</w:t>
      </w:r>
      <w:r w:rsidRPr="001A54FC">
        <w:rPr>
          <w:rFonts w:ascii="Times New Roman" w:hAnsi="Times New Roman"/>
          <w:sz w:val="24"/>
          <w:szCs w:val="24"/>
          <w:lang w:val="en-GB"/>
        </w:rPr>
        <w:t xml:space="preserve"> like</w:t>
      </w:r>
      <w:r>
        <w:rPr>
          <w:rFonts w:ascii="Times New Roman" w:hAnsi="Times New Roman"/>
          <w:sz w:val="24"/>
          <w:szCs w:val="24"/>
          <w:lang w:val="en-GB"/>
        </w:rPr>
        <w:t xml:space="preserve"> Mr. Rutkauskas</w:t>
      </w:r>
      <w:r w:rsidRPr="001A54FC">
        <w:rPr>
          <w:rFonts w:ascii="Times New Roman" w:hAnsi="Times New Roman"/>
          <w:sz w:val="24"/>
          <w:szCs w:val="24"/>
          <w:lang w:val="en-GB"/>
        </w:rPr>
        <w:t>, object to military service and alternative national defen</w:t>
      </w:r>
      <w:r w:rsidR="000F05A1">
        <w:rPr>
          <w:rFonts w:ascii="Times New Roman" w:hAnsi="Times New Roman"/>
          <w:sz w:val="24"/>
          <w:szCs w:val="24"/>
          <w:lang w:val="en-GB"/>
        </w:rPr>
        <w:t>c</w:t>
      </w:r>
      <w:r w:rsidRPr="001A54FC">
        <w:rPr>
          <w:rFonts w:ascii="Times New Roman" w:hAnsi="Times New Roman"/>
          <w:sz w:val="24"/>
          <w:szCs w:val="24"/>
          <w:lang w:val="en-GB"/>
        </w:rPr>
        <w:t>e service on the grounds of religious conscience</w:t>
      </w:r>
      <w:r>
        <w:rPr>
          <w:rFonts w:ascii="Times New Roman" w:hAnsi="Times New Roman"/>
          <w:sz w:val="24"/>
          <w:szCs w:val="24"/>
          <w:lang w:val="en-GB"/>
        </w:rPr>
        <w:t>.</w:t>
      </w:r>
    </w:p>
    <w:p w:rsidR="001A54FC"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1A54FC">
        <w:rPr>
          <w:rFonts w:ascii="Times New Roman" w:hAnsi="Times New Roman"/>
          <w:sz w:val="24"/>
          <w:szCs w:val="24"/>
          <w:lang w:val="en-GB"/>
        </w:rPr>
        <w:t xml:space="preserve">In view of the ruling of the Constitutional Court of 4 July 2017, the VRAC concluded that there is no legal basis to </w:t>
      </w:r>
      <w:r>
        <w:rPr>
          <w:rFonts w:ascii="Times New Roman" w:hAnsi="Times New Roman"/>
          <w:sz w:val="24"/>
          <w:szCs w:val="24"/>
          <w:lang w:val="en-GB"/>
        </w:rPr>
        <w:t>exempt Mr. Rutkauskas from military service or national defence service</w:t>
      </w:r>
      <w:r w:rsidRPr="001A54FC">
        <w:rPr>
          <w:rFonts w:ascii="Times New Roman" w:hAnsi="Times New Roman"/>
          <w:sz w:val="24"/>
          <w:szCs w:val="24"/>
          <w:lang w:val="en-GB"/>
        </w:rPr>
        <w:t xml:space="preserve">. The VRAC effectively concluded that the appeal should be </w:t>
      </w:r>
      <w:r>
        <w:rPr>
          <w:rFonts w:ascii="Times New Roman" w:hAnsi="Times New Roman"/>
          <w:sz w:val="24"/>
          <w:szCs w:val="24"/>
          <w:lang w:val="en-GB"/>
        </w:rPr>
        <w:t>rejected</w:t>
      </w:r>
      <w:r w:rsidRPr="001A54FC">
        <w:rPr>
          <w:rFonts w:ascii="Times New Roman" w:hAnsi="Times New Roman"/>
          <w:sz w:val="24"/>
          <w:szCs w:val="24"/>
          <w:lang w:val="en-GB"/>
        </w:rPr>
        <w:t xml:space="preserve"> because no citizen of the Republic of Lithuania should be exempted—for any reason—from military service or alternative national defen</w:t>
      </w:r>
      <w:r>
        <w:rPr>
          <w:rFonts w:ascii="Times New Roman" w:hAnsi="Times New Roman"/>
          <w:sz w:val="24"/>
          <w:szCs w:val="24"/>
          <w:lang w:val="en-GB"/>
        </w:rPr>
        <w:t>c</w:t>
      </w:r>
      <w:r w:rsidRPr="001A54FC">
        <w:rPr>
          <w:rFonts w:ascii="Times New Roman" w:hAnsi="Times New Roman"/>
          <w:sz w:val="24"/>
          <w:szCs w:val="24"/>
          <w:lang w:val="en-GB"/>
        </w:rPr>
        <w:t>e service</w:t>
      </w:r>
      <w:r>
        <w:rPr>
          <w:rFonts w:ascii="Times New Roman" w:hAnsi="Times New Roman"/>
          <w:sz w:val="24"/>
          <w:szCs w:val="24"/>
          <w:lang w:val="en-GB"/>
        </w:rPr>
        <w:t>.</w:t>
      </w:r>
    </w:p>
    <w:p w:rsidR="001A54FC"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Mr. Rutkauskas’s</w:t>
      </w:r>
      <w:r w:rsidRPr="001A54FC">
        <w:rPr>
          <w:rFonts w:ascii="Times New Roman" w:hAnsi="Times New Roman"/>
          <w:sz w:val="24"/>
          <w:szCs w:val="24"/>
          <w:lang w:val="en-GB"/>
        </w:rPr>
        <w:t xml:space="preserve"> request to be exempted </w:t>
      </w:r>
      <w:r>
        <w:rPr>
          <w:rFonts w:ascii="Times New Roman" w:hAnsi="Times New Roman"/>
          <w:sz w:val="24"/>
          <w:szCs w:val="24"/>
          <w:lang w:val="en-GB"/>
        </w:rPr>
        <w:t xml:space="preserve">from </w:t>
      </w:r>
      <w:r w:rsidRPr="001A54FC">
        <w:rPr>
          <w:rFonts w:ascii="Times New Roman" w:hAnsi="Times New Roman"/>
          <w:sz w:val="24"/>
          <w:szCs w:val="24"/>
          <w:lang w:val="en-GB"/>
        </w:rPr>
        <w:t>military service and alternative national defen</w:t>
      </w:r>
      <w:r>
        <w:rPr>
          <w:rFonts w:ascii="Times New Roman" w:hAnsi="Times New Roman"/>
          <w:sz w:val="24"/>
          <w:szCs w:val="24"/>
          <w:lang w:val="en-GB"/>
        </w:rPr>
        <w:t>c</w:t>
      </w:r>
      <w:r w:rsidRPr="001A54FC">
        <w:rPr>
          <w:rFonts w:ascii="Times New Roman" w:hAnsi="Times New Roman"/>
          <w:sz w:val="24"/>
          <w:szCs w:val="24"/>
          <w:lang w:val="en-GB"/>
        </w:rPr>
        <w:t>e service was decided solely by the military authorities. This also violates Article 26 of the Constitution</w:t>
      </w:r>
      <w:r>
        <w:rPr>
          <w:rFonts w:ascii="Times New Roman" w:hAnsi="Times New Roman"/>
          <w:sz w:val="24"/>
          <w:szCs w:val="24"/>
          <w:lang w:val="en-GB"/>
        </w:rPr>
        <w:t xml:space="preserve"> of Lithuania</w:t>
      </w:r>
      <w:r w:rsidRPr="001A54FC">
        <w:rPr>
          <w:rFonts w:ascii="Times New Roman" w:hAnsi="Times New Roman"/>
          <w:sz w:val="24"/>
          <w:szCs w:val="24"/>
          <w:lang w:val="en-GB"/>
        </w:rPr>
        <w:t>, Article 9 of the European Convention, and Article 18 of the ICCPR</w:t>
      </w:r>
      <w:r>
        <w:rPr>
          <w:rFonts w:ascii="Times New Roman" w:hAnsi="Times New Roman"/>
          <w:sz w:val="24"/>
          <w:szCs w:val="24"/>
          <w:lang w:val="en-GB"/>
        </w:rPr>
        <w:t>.</w:t>
      </w:r>
    </w:p>
    <w:p w:rsidR="006320C8"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An appeal in Mr. Ratkauskas’s case is now pending with the Supreme Administrative Court of Lithuania. </w:t>
      </w:r>
    </w:p>
    <w:p w:rsidR="008877C0" w:rsidRDefault="006924C9" w:rsidP="00A06700">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In June 2015, </w:t>
      </w:r>
      <w:r w:rsidRPr="00DF651E">
        <w:rPr>
          <w:rFonts w:ascii="Times New Roman" w:hAnsi="Times New Roman"/>
          <w:b/>
          <w:sz w:val="24"/>
          <w:szCs w:val="24"/>
          <w:lang w:val="en-GB"/>
        </w:rPr>
        <w:t>Stanislav Teliatnikov</w:t>
      </w:r>
      <w:r w:rsidRPr="000F05A1">
        <w:rPr>
          <w:rFonts w:ascii="Times New Roman" w:hAnsi="Times New Roman"/>
          <w:sz w:val="24"/>
          <w:szCs w:val="24"/>
          <w:lang w:val="en-GB"/>
        </w:rPr>
        <w:t>, a ministerial servant (deacon),</w:t>
      </w:r>
      <w:r>
        <w:rPr>
          <w:rFonts w:ascii="Times New Roman" w:hAnsi="Times New Roman"/>
          <w:sz w:val="24"/>
          <w:szCs w:val="24"/>
          <w:lang w:val="en-GB"/>
        </w:rPr>
        <w:t xml:space="preserve"> was summoned to report for military service on 18 June 2015. Because his religious conscience does not permit him to accept military service or alternative service that is controlled by the military, Mr. Teliatnikov submitted an application to the military authorities for an exemption from both military service and alternative national defence service. </w:t>
      </w:r>
      <w:r w:rsidRPr="00A06700">
        <w:rPr>
          <w:rFonts w:ascii="Times New Roman" w:hAnsi="Times New Roman"/>
          <w:sz w:val="24"/>
          <w:szCs w:val="24"/>
          <w:lang w:val="en-GB"/>
        </w:rPr>
        <w:t>Alternatively, Mr.</w:t>
      </w:r>
      <w:r w:rsidR="00A36507">
        <w:rPr>
          <w:rFonts w:ascii="Times New Roman" w:hAnsi="Times New Roman"/>
          <w:sz w:val="24"/>
          <w:szCs w:val="24"/>
          <w:lang w:val="en-GB"/>
        </w:rPr>
        <w:t> </w:t>
      </w:r>
      <w:r>
        <w:rPr>
          <w:rFonts w:ascii="Times New Roman" w:hAnsi="Times New Roman"/>
          <w:sz w:val="24"/>
          <w:szCs w:val="24"/>
          <w:lang w:val="en-GB"/>
        </w:rPr>
        <w:t>Teliatnikov</w:t>
      </w:r>
      <w:r w:rsidRPr="00A06700">
        <w:rPr>
          <w:rFonts w:ascii="Times New Roman" w:hAnsi="Times New Roman"/>
          <w:sz w:val="24"/>
          <w:szCs w:val="24"/>
          <w:lang w:val="en-GB"/>
        </w:rPr>
        <w:t xml:space="preserve"> requested </w:t>
      </w:r>
      <w:r>
        <w:rPr>
          <w:rFonts w:ascii="Times New Roman" w:hAnsi="Times New Roman"/>
          <w:sz w:val="24"/>
          <w:szCs w:val="24"/>
          <w:lang w:val="en-GB"/>
        </w:rPr>
        <w:t>the opportunity to</w:t>
      </w:r>
      <w:r w:rsidRPr="00A06700">
        <w:rPr>
          <w:rFonts w:ascii="Times New Roman" w:hAnsi="Times New Roman"/>
          <w:sz w:val="24"/>
          <w:szCs w:val="24"/>
          <w:lang w:val="en-GB"/>
        </w:rPr>
        <w:t xml:space="preserve"> perform alternative </w:t>
      </w:r>
      <w:r>
        <w:rPr>
          <w:rFonts w:ascii="Times New Roman" w:hAnsi="Times New Roman"/>
          <w:sz w:val="24"/>
          <w:szCs w:val="24"/>
          <w:lang w:val="en-GB"/>
        </w:rPr>
        <w:t xml:space="preserve">civilian </w:t>
      </w:r>
      <w:r w:rsidRPr="00A06700">
        <w:rPr>
          <w:rFonts w:ascii="Times New Roman" w:hAnsi="Times New Roman"/>
          <w:sz w:val="24"/>
          <w:szCs w:val="24"/>
          <w:lang w:val="en-GB"/>
        </w:rPr>
        <w:t>service that is of a genuinely civilian nature.</w:t>
      </w:r>
    </w:p>
    <w:p w:rsidR="008877C0"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sidRPr="008877C0">
        <w:rPr>
          <w:rFonts w:ascii="Times New Roman" w:hAnsi="Times New Roman"/>
          <w:sz w:val="24"/>
          <w:szCs w:val="24"/>
          <w:lang w:val="en-GB"/>
        </w:rPr>
        <w:t xml:space="preserve">In </w:t>
      </w:r>
      <w:r>
        <w:rPr>
          <w:rFonts w:ascii="Times New Roman" w:hAnsi="Times New Roman"/>
          <w:sz w:val="24"/>
          <w:szCs w:val="24"/>
          <w:lang w:val="en-GB"/>
        </w:rPr>
        <w:t xml:space="preserve">a </w:t>
      </w:r>
      <w:r w:rsidRPr="008877C0">
        <w:rPr>
          <w:rFonts w:ascii="Times New Roman" w:hAnsi="Times New Roman"/>
          <w:sz w:val="24"/>
          <w:szCs w:val="24"/>
          <w:lang w:val="en-GB"/>
        </w:rPr>
        <w:t>decision dated 10 September 2015, the 2nd Unit of the Lithuania Na</w:t>
      </w:r>
      <w:r>
        <w:rPr>
          <w:rFonts w:ascii="Times New Roman" w:hAnsi="Times New Roman"/>
          <w:sz w:val="24"/>
          <w:szCs w:val="24"/>
          <w:lang w:val="en-GB"/>
        </w:rPr>
        <w:t>t</w:t>
      </w:r>
      <w:r w:rsidRPr="008877C0">
        <w:rPr>
          <w:rFonts w:ascii="Times New Roman" w:hAnsi="Times New Roman"/>
          <w:sz w:val="24"/>
          <w:szCs w:val="24"/>
          <w:lang w:val="en-GB"/>
        </w:rPr>
        <w:t>ional Defen</w:t>
      </w:r>
      <w:r>
        <w:rPr>
          <w:rFonts w:ascii="Times New Roman" w:hAnsi="Times New Roman"/>
          <w:sz w:val="24"/>
          <w:szCs w:val="24"/>
          <w:lang w:val="en-GB"/>
        </w:rPr>
        <w:t>c</w:t>
      </w:r>
      <w:r w:rsidRPr="008877C0">
        <w:rPr>
          <w:rFonts w:ascii="Times New Roman" w:hAnsi="Times New Roman"/>
          <w:sz w:val="24"/>
          <w:szCs w:val="24"/>
          <w:lang w:val="en-GB"/>
        </w:rPr>
        <w:t xml:space="preserve">e Volunteer Services informed </w:t>
      </w:r>
      <w:r>
        <w:rPr>
          <w:rFonts w:ascii="Times New Roman" w:hAnsi="Times New Roman"/>
          <w:sz w:val="24"/>
          <w:szCs w:val="24"/>
          <w:lang w:val="en-GB"/>
        </w:rPr>
        <w:t>Mr. Teliatnikov</w:t>
      </w:r>
      <w:r w:rsidRPr="008877C0">
        <w:rPr>
          <w:rFonts w:ascii="Times New Roman" w:hAnsi="Times New Roman"/>
          <w:sz w:val="24"/>
          <w:szCs w:val="24"/>
          <w:lang w:val="en-GB"/>
        </w:rPr>
        <w:t xml:space="preserve"> that his application for an exemption from military service and alternative national defence service was rejected because Jehovah’s Witnesses are not a State-recognized “traditional religion” in Lithuania</w:t>
      </w:r>
      <w:r>
        <w:rPr>
          <w:rFonts w:ascii="Times New Roman" w:hAnsi="Times New Roman"/>
          <w:sz w:val="24"/>
          <w:szCs w:val="24"/>
          <w:lang w:val="en-GB"/>
        </w:rPr>
        <w:t>. Mr. Teliatnikov appealed the decision.</w:t>
      </w:r>
    </w:p>
    <w:p w:rsidR="008877C0"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The Vilnius Regional Administrative Court granted Mr. Teliatnikov’s appeal because the military authorities failed to issue a decision on his application in time, and they failed to address all of his requests, including his request for alternative civilian service. The Court also concluded that they could not “oblige” the military authorities to approve Mr. Teliatnikov’s appeal, but they could order that they investigate his requests again.</w:t>
      </w:r>
    </w:p>
    <w:p w:rsidR="008877C0"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On 20 October 2017, the military authorities appealed the VRAC decision based on the decision of the Constitutional Court of </w:t>
      </w:r>
      <w:r w:rsidRPr="008877C0">
        <w:rPr>
          <w:rFonts w:ascii="Times New Roman" w:hAnsi="Times New Roman"/>
          <w:sz w:val="24"/>
          <w:szCs w:val="24"/>
          <w:lang w:val="en-GB"/>
        </w:rPr>
        <w:t>4 July 2017</w:t>
      </w:r>
      <w:r>
        <w:rPr>
          <w:rFonts w:ascii="Times New Roman" w:hAnsi="Times New Roman"/>
          <w:sz w:val="24"/>
          <w:szCs w:val="24"/>
          <w:lang w:val="en-GB"/>
        </w:rPr>
        <w:t>, stating</w:t>
      </w:r>
      <w:r w:rsidRPr="008877C0">
        <w:rPr>
          <w:rFonts w:ascii="Times New Roman" w:hAnsi="Times New Roman"/>
          <w:sz w:val="24"/>
          <w:szCs w:val="24"/>
          <w:lang w:val="en-GB"/>
        </w:rPr>
        <w:t xml:space="preserve"> that no citizen of the Republic of Lithuania should be exempted—for any reason—from military service or alternative national defen</w:t>
      </w:r>
      <w:r w:rsidR="000F05A1">
        <w:rPr>
          <w:rFonts w:ascii="Times New Roman" w:hAnsi="Times New Roman"/>
          <w:sz w:val="24"/>
          <w:szCs w:val="24"/>
          <w:lang w:val="en-GB"/>
        </w:rPr>
        <w:t>c</w:t>
      </w:r>
      <w:r w:rsidRPr="008877C0">
        <w:rPr>
          <w:rFonts w:ascii="Times New Roman" w:hAnsi="Times New Roman"/>
          <w:sz w:val="24"/>
          <w:szCs w:val="24"/>
          <w:lang w:val="en-GB"/>
        </w:rPr>
        <w:t>e service</w:t>
      </w:r>
      <w:r>
        <w:rPr>
          <w:rFonts w:ascii="Times New Roman" w:hAnsi="Times New Roman"/>
          <w:sz w:val="24"/>
          <w:szCs w:val="24"/>
          <w:lang w:val="en-GB"/>
        </w:rPr>
        <w:t xml:space="preserve">. </w:t>
      </w:r>
    </w:p>
    <w:p w:rsidR="00117753"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Mr. Teliatnikov’s</w:t>
      </w:r>
      <w:r w:rsidRPr="001A54FC">
        <w:rPr>
          <w:rFonts w:ascii="Times New Roman" w:hAnsi="Times New Roman"/>
          <w:sz w:val="24"/>
          <w:szCs w:val="24"/>
          <w:lang w:val="en-GB"/>
        </w:rPr>
        <w:t xml:space="preserve"> request to be exempted </w:t>
      </w:r>
      <w:r>
        <w:rPr>
          <w:rFonts w:ascii="Times New Roman" w:hAnsi="Times New Roman"/>
          <w:sz w:val="24"/>
          <w:szCs w:val="24"/>
          <w:lang w:val="en-GB"/>
        </w:rPr>
        <w:t xml:space="preserve">from </w:t>
      </w:r>
      <w:r w:rsidRPr="001A54FC">
        <w:rPr>
          <w:rFonts w:ascii="Times New Roman" w:hAnsi="Times New Roman"/>
          <w:sz w:val="24"/>
          <w:szCs w:val="24"/>
          <w:lang w:val="en-GB"/>
        </w:rPr>
        <w:t>military service and alternative national defen</w:t>
      </w:r>
      <w:r>
        <w:rPr>
          <w:rFonts w:ascii="Times New Roman" w:hAnsi="Times New Roman"/>
          <w:sz w:val="24"/>
          <w:szCs w:val="24"/>
          <w:lang w:val="en-GB"/>
        </w:rPr>
        <w:t>c</w:t>
      </w:r>
      <w:r w:rsidRPr="001A54FC">
        <w:rPr>
          <w:rFonts w:ascii="Times New Roman" w:hAnsi="Times New Roman"/>
          <w:sz w:val="24"/>
          <w:szCs w:val="24"/>
          <w:lang w:val="en-GB"/>
        </w:rPr>
        <w:t>e service was decided solely by the military authorities. This also violates Article 26 of the Constitution</w:t>
      </w:r>
      <w:r>
        <w:rPr>
          <w:rFonts w:ascii="Times New Roman" w:hAnsi="Times New Roman"/>
          <w:sz w:val="24"/>
          <w:szCs w:val="24"/>
          <w:lang w:val="en-GB"/>
        </w:rPr>
        <w:t xml:space="preserve"> of Lithuania</w:t>
      </w:r>
      <w:r w:rsidRPr="001A54FC">
        <w:rPr>
          <w:rFonts w:ascii="Times New Roman" w:hAnsi="Times New Roman"/>
          <w:sz w:val="24"/>
          <w:szCs w:val="24"/>
          <w:lang w:val="en-GB"/>
        </w:rPr>
        <w:t>, Article 9 of the European Convention, and Article 18 of the ICCPR</w:t>
      </w:r>
      <w:r>
        <w:rPr>
          <w:rFonts w:ascii="Times New Roman" w:hAnsi="Times New Roman"/>
          <w:sz w:val="24"/>
          <w:szCs w:val="24"/>
          <w:lang w:val="en-GB"/>
        </w:rPr>
        <w:t>.</w:t>
      </w:r>
    </w:p>
    <w:p w:rsidR="006320C8" w:rsidRDefault="006924C9" w:rsidP="001A54FC">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An appeal by the military authorities in Mr. Teliatnikov’s case is now pending with the Supreme Court of Lithuania. </w:t>
      </w:r>
    </w:p>
    <w:p w:rsidR="006320C8"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DF651E">
        <w:rPr>
          <w:rFonts w:ascii="Times New Roman" w:hAnsi="Times New Roman"/>
          <w:b/>
          <w:sz w:val="24"/>
          <w:szCs w:val="24"/>
          <w:lang w:val="en-GB"/>
        </w:rPr>
        <w:lastRenderedPageBreak/>
        <w:t>Lukas Bajoriunas</w:t>
      </w:r>
      <w:r w:rsidRPr="00117753">
        <w:rPr>
          <w:rFonts w:ascii="Times New Roman" w:hAnsi="Times New Roman"/>
          <w:sz w:val="24"/>
          <w:szCs w:val="24"/>
          <w:lang w:val="en-GB"/>
        </w:rPr>
        <w:t xml:space="preserve">, one of Jehovah’s Witnesses, was denied a deferment </w:t>
      </w:r>
      <w:r>
        <w:rPr>
          <w:rFonts w:ascii="Times New Roman" w:hAnsi="Times New Roman"/>
          <w:sz w:val="24"/>
          <w:szCs w:val="24"/>
          <w:lang w:val="en-GB"/>
        </w:rPr>
        <w:t xml:space="preserve">as a ministerial servant (deacon) </w:t>
      </w:r>
      <w:r w:rsidRPr="00117753">
        <w:rPr>
          <w:rFonts w:ascii="Times New Roman" w:hAnsi="Times New Roman"/>
          <w:sz w:val="24"/>
          <w:szCs w:val="24"/>
          <w:lang w:val="en-GB"/>
        </w:rPr>
        <w:t>by the Panevezys Regional Division of the Military Conscription and Recruitment on 29 March 2018. After Mr. Bajoriunas appealed, the Ministry of Defence stated that under the law, “conscripts may carry out the alternative national defence service by performing community work unrelated to the use of arms, special measures and coercion at the state or municipal institutions / establishments. Therefore, such alternative national defence service (provided that your request is recognised as justified by the special commission) would not violate your convictions as one of Jehovah’s Witnesses.” However, alternative national defence service is not genuine alternative civilian service</w:t>
      </w:r>
      <w:r>
        <w:rPr>
          <w:rFonts w:ascii="Times New Roman" w:hAnsi="Times New Roman"/>
          <w:sz w:val="24"/>
          <w:szCs w:val="24"/>
          <w:lang w:val="en-GB"/>
        </w:rPr>
        <w:t>,</w:t>
      </w:r>
      <w:r w:rsidRPr="00117753">
        <w:rPr>
          <w:rFonts w:ascii="Times New Roman" w:hAnsi="Times New Roman"/>
          <w:sz w:val="24"/>
          <w:szCs w:val="24"/>
          <w:lang w:val="en-GB"/>
        </w:rPr>
        <w:t xml:space="preserve"> as it is under the control of the military. Furthermore, the Ministry of Defence is not in a position to decide what types of service would violate the conscience of its citizens.</w:t>
      </w:r>
      <w:r>
        <w:rPr>
          <w:rFonts w:ascii="Times New Roman" w:hAnsi="Times New Roman"/>
          <w:sz w:val="24"/>
          <w:szCs w:val="24"/>
          <w:lang w:val="en-GB"/>
        </w:rPr>
        <w:t xml:space="preserve"> </w:t>
      </w:r>
    </w:p>
    <w:p w:rsidR="000A04DE" w:rsidRDefault="006924C9"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DF651E">
        <w:rPr>
          <w:rFonts w:ascii="Times New Roman" w:hAnsi="Times New Roman"/>
          <w:sz w:val="24"/>
          <w:szCs w:val="24"/>
          <w:lang w:val="en-GB"/>
        </w:rPr>
        <w:t>An appeal in</w:t>
      </w:r>
      <w:r>
        <w:rPr>
          <w:rFonts w:ascii="Times New Roman" w:hAnsi="Times New Roman"/>
          <w:b/>
          <w:sz w:val="24"/>
          <w:szCs w:val="24"/>
          <w:lang w:val="en-GB"/>
        </w:rPr>
        <w:t xml:space="preserve"> </w:t>
      </w:r>
      <w:r>
        <w:rPr>
          <w:rFonts w:ascii="Times New Roman" w:hAnsi="Times New Roman"/>
          <w:sz w:val="24"/>
          <w:szCs w:val="24"/>
          <w:lang w:val="en-GB"/>
        </w:rPr>
        <w:t xml:space="preserve">Mr. Bajoriunas’s case is now pending with the Administrative Court of Vilnius. </w:t>
      </w:r>
    </w:p>
    <w:p w:rsidR="00B2371D" w:rsidRPr="004B3CDD" w:rsidRDefault="006924C9" w:rsidP="00231DDA">
      <w:pPr>
        <w:pStyle w:val="Heading1"/>
        <w:rPr>
          <w:rFonts w:ascii="Times New Roman" w:hAnsi="Times New Roman"/>
          <w:color w:val="auto"/>
          <w:sz w:val="24"/>
          <w:szCs w:val="24"/>
          <w:lang w:val="en-GB"/>
        </w:rPr>
      </w:pPr>
      <w:bookmarkStart w:id="6" w:name="_Toc515027017"/>
      <w:r w:rsidRPr="004B3CDD">
        <w:rPr>
          <w:rFonts w:ascii="Times New Roman" w:hAnsi="Times New Roman"/>
          <w:color w:val="auto"/>
          <w:sz w:val="24"/>
          <w:szCs w:val="24"/>
          <w:lang w:val="en-GB"/>
        </w:rPr>
        <w:t>I</w:t>
      </w:r>
      <w:r>
        <w:rPr>
          <w:rFonts w:ascii="Times New Roman" w:hAnsi="Times New Roman"/>
          <w:color w:val="auto"/>
          <w:sz w:val="24"/>
          <w:szCs w:val="24"/>
          <w:lang w:val="en-GB"/>
        </w:rPr>
        <w:t>II</w:t>
      </w:r>
      <w:r w:rsidRPr="004B3CDD">
        <w:rPr>
          <w:rFonts w:ascii="Times New Roman" w:hAnsi="Times New Roman"/>
          <w:color w:val="auto"/>
          <w:sz w:val="24"/>
          <w:szCs w:val="24"/>
          <w:lang w:val="en-GB"/>
        </w:rPr>
        <w:t>. Conclusions and Recommendations</w:t>
      </w:r>
      <w:bookmarkEnd w:id="6"/>
    </w:p>
    <w:p w:rsidR="00C62320" w:rsidRPr="00C62320" w:rsidRDefault="006924C9" w:rsidP="00C62320">
      <w:pPr>
        <w:pStyle w:val="ListParagraph"/>
        <w:numPr>
          <w:ilvl w:val="1"/>
          <w:numId w:val="1"/>
        </w:numPr>
        <w:topLinePunct/>
        <w:spacing w:after="240" w:line="240" w:lineRule="auto"/>
        <w:ind w:right="181"/>
        <w:jc w:val="both"/>
        <w:rPr>
          <w:rFonts w:ascii="Times New Roman" w:hAnsi="Times New Roman"/>
          <w:sz w:val="24"/>
          <w:szCs w:val="24"/>
          <w:lang w:val="en-GB"/>
        </w:rPr>
      </w:pPr>
      <w:r w:rsidRPr="009E75F2">
        <w:rPr>
          <w:rFonts w:ascii="Times New Roman" w:hAnsi="Times New Roman"/>
          <w:sz w:val="24"/>
          <w:szCs w:val="24"/>
          <w:lang w:val="en-GB"/>
        </w:rPr>
        <w:t xml:space="preserve">Jehovah’s Witnesses in </w:t>
      </w:r>
      <w:r>
        <w:rPr>
          <w:rFonts w:ascii="Times New Roman" w:hAnsi="Times New Roman"/>
          <w:sz w:val="24"/>
          <w:szCs w:val="24"/>
          <w:lang w:val="en-GB"/>
        </w:rPr>
        <w:t>Lithuania</w:t>
      </w:r>
      <w:r w:rsidRPr="009E75F2">
        <w:rPr>
          <w:rFonts w:ascii="Times New Roman" w:hAnsi="Times New Roman"/>
          <w:sz w:val="24"/>
          <w:szCs w:val="24"/>
          <w:lang w:val="en-GB"/>
        </w:rPr>
        <w:t xml:space="preserve"> and as a worldwide organization respectfully ask </w:t>
      </w:r>
      <w:r>
        <w:rPr>
          <w:rFonts w:ascii="Times New Roman" w:hAnsi="Times New Roman"/>
          <w:sz w:val="24"/>
          <w:szCs w:val="24"/>
          <w:lang w:val="en-GB"/>
        </w:rPr>
        <w:t xml:space="preserve">that </w:t>
      </w:r>
      <w:r w:rsidRPr="000F05A1">
        <w:rPr>
          <w:rFonts w:ascii="Times New Roman" w:hAnsi="Times New Roman"/>
          <w:sz w:val="24"/>
          <w:szCs w:val="24"/>
          <w:lang w:val="en-GB"/>
        </w:rPr>
        <w:t>the Committee</w:t>
      </w:r>
      <w:r w:rsidRPr="009E75F2">
        <w:rPr>
          <w:rFonts w:ascii="Times New Roman" w:hAnsi="Times New Roman"/>
          <w:sz w:val="24"/>
          <w:szCs w:val="24"/>
          <w:lang w:val="en-GB"/>
        </w:rPr>
        <w:t xml:space="preserve"> make the following recommendations to the government of </w:t>
      </w:r>
      <w:r>
        <w:rPr>
          <w:rFonts w:ascii="Times New Roman" w:hAnsi="Times New Roman"/>
          <w:sz w:val="24"/>
          <w:szCs w:val="24"/>
          <w:lang w:val="en-GB"/>
        </w:rPr>
        <w:t>Lithuania:</w:t>
      </w:r>
    </w:p>
    <w:p w:rsidR="00C62320" w:rsidRDefault="006924C9"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Provide conscientious objectors to military service with either a complete exemption from military service or with genuine alternative civilian service that is not under military authority, control or direction and that is not deterrent or punitive in character.</w:t>
      </w:r>
    </w:p>
    <w:p w:rsidR="009E75F2" w:rsidRDefault="006924C9"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All of the above is respectfully submitted by</w:t>
      </w:r>
    </w:p>
    <w:p w:rsidR="009E75F2" w:rsidRPr="00A72E7F" w:rsidRDefault="006924C9"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The European Association of Jehovah’s Witnesses</w:t>
      </w:r>
    </w:p>
    <w:sectPr w:rsidR="009E75F2" w:rsidRPr="00A72E7F" w:rsidSect="00B2371D">
      <w:headerReference w:type="default" r:id="rId17"/>
      <w:footerReference w:type="default" r:id="rId18"/>
      <w:headerReference w:type="first" r:id="rId19"/>
      <w:footerReference w:type="first" r:id="rId20"/>
      <w:pgSz w:w="11909" w:h="16834" w:code="9"/>
      <w:pgMar w:top="850" w:right="1138" w:bottom="850" w:left="1138" w:header="562" w:footer="562"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145" w:rsidRDefault="00787145">
      <w:pPr>
        <w:spacing w:after="0" w:line="240" w:lineRule="auto"/>
      </w:pPr>
      <w:r>
        <w:separator/>
      </w:r>
    </w:p>
  </w:endnote>
  <w:endnote w:type="continuationSeparator" w:id="0">
    <w:p w:rsidR="00787145" w:rsidRDefault="00787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맑은 고딕">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Latha">
    <w:panose1 w:val="00000000000000000000"/>
    <w:charset w:val="01"/>
    <w:family w:val="roman"/>
    <w:notTrueType/>
    <w:pitch w:val="variable"/>
    <w:sig w:usb0="00040000" w:usb1="00000000" w:usb2="00000000" w:usb3="00000000" w:csb0="00000000" w:csb1="00000000"/>
  </w:font>
  <w:font w:name="MEPS Knoll">
    <w:altName w:val="MEPS Knoll"/>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6924C9">
    <w:pPr>
      <w:pStyle w:val="Footer"/>
      <w:ind w:left="-1021"/>
    </w:pPr>
    <w:r>
      <w:rPr>
        <w:noProof/>
        <w:lang w:eastAsia="en-US"/>
      </w:rPr>
      <w:drawing>
        <wp:inline distT="0" distB="0" distL="0" distR="0" wp14:anchorId="24592A84" wp14:editId="0BC0CAFF">
          <wp:extent cx="7559040" cy="1024255"/>
          <wp:effectExtent l="0" t="0" r="3810" b="4445"/>
          <wp:docPr id="1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6924C9" w:rsidP="00B2371D">
    <w:pPr>
      <w:pStyle w:val="Footer"/>
    </w:pPr>
    <w:r>
      <w:rPr>
        <w:noProof/>
        <w:lang w:eastAsia="en-US"/>
      </w:rPr>
      <w:drawing>
        <wp:anchor distT="0" distB="0" distL="114300" distR="114300" simplePos="0" relativeHeight="251658240" behindDoc="1" locked="0" layoutInCell="1" allowOverlap="0" wp14:anchorId="438D9373" wp14:editId="295E7D4B">
          <wp:simplePos x="0" y="0"/>
          <wp:positionH relativeFrom="column">
            <wp:posOffset>-720090</wp:posOffset>
          </wp:positionH>
          <wp:positionV relativeFrom="margin">
            <wp:posOffset>7071995</wp:posOffset>
          </wp:positionV>
          <wp:extent cx="7530465" cy="1017905"/>
          <wp:effectExtent l="0" t="0" r="0" b="0"/>
          <wp:wrapTight wrapText="bothSides">
            <wp:wrapPolygon edited="0">
              <wp:start x="0" y="0"/>
              <wp:lineTo x="0" y="21021"/>
              <wp:lineTo x="21529" y="21021"/>
              <wp:lineTo x="21529" y="0"/>
              <wp:lineTo x="0" y="0"/>
            </wp:wrapPolygon>
          </wp:wrapTight>
          <wp:docPr id="14"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465" cy="1017905"/>
                  </a:xfrm>
                  <a:prstGeom prst="rect">
                    <a:avLst/>
                  </a:prstGeom>
                  <a:noFill/>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317C2F" w:rsidRDefault="006924C9" w:rsidP="00B2371D">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sidR="00E94D42">
      <w:rPr>
        <w:rFonts w:ascii="Calibri" w:hAnsi="Calibri"/>
        <w:noProof/>
        <w:sz w:val="20"/>
      </w:rPr>
      <w:t>4</w:t>
    </w:r>
    <w:r w:rsidRPr="00317C2F">
      <w:rPr>
        <w:rFonts w:ascii="Calibri" w:hAnsi="Calibri"/>
        <w:noProof/>
        <w:sz w:val="2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A35A64" w:rsidRDefault="006924C9" w:rsidP="00B2371D">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E94D42">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145" w:rsidRDefault="00787145">
      <w:pPr>
        <w:spacing w:after="0" w:line="240" w:lineRule="auto"/>
      </w:pPr>
      <w:r>
        <w:separator/>
      </w:r>
    </w:p>
  </w:footnote>
  <w:footnote w:type="continuationSeparator" w:id="0">
    <w:p w:rsidR="00787145" w:rsidRDefault="0078714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E94D42" w:rsidP="00B2371D">
    <w:pPr>
      <w:pStyle w:val="Header"/>
      <w:tabs>
        <w:tab w:val="clear" w:pos="4320"/>
        <w:tab w:val="clear" w:pos="8640"/>
      </w:tabs>
      <w:ind w:left="-1021"/>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E94D42">
    <w:pPr>
      <w:pStyle w:val="Header"/>
      <w:rPr>
        <w:noProof/>
        <w:lang w:eastAsia="ja-JP"/>
      </w:rPr>
    </w:pPr>
  </w:p>
  <w:p w:rsidR="001F6E4B" w:rsidRDefault="00E94D42">
    <w:pPr>
      <w:pStyle w:val="Header"/>
      <w:rPr>
        <w:noProof/>
        <w:lang w:eastAsia="ja-JP"/>
      </w:rPr>
    </w:pPr>
  </w:p>
  <w:p w:rsidR="001F6E4B" w:rsidRDefault="00E94D42">
    <w:pPr>
      <w:pStyle w:val="Header"/>
      <w:rPr>
        <w:noProof/>
        <w:lang w:eastAsia="ja-JP"/>
      </w:rPr>
    </w:pPr>
  </w:p>
  <w:p w:rsidR="001F6E4B" w:rsidRDefault="00E94D42">
    <w:pPr>
      <w:pStyle w:val="Header"/>
      <w:rPr>
        <w:noProof/>
        <w:lang w:eastAsia="ja-JP"/>
      </w:rPr>
    </w:pPr>
  </w:p>
  <w:p w:rsidR="001F6E4B" w:rsidRDefault="00E94D42">
    <w:pPr>
      <w:pStyle w:val="Header"/>
      <w:rPr>
        <w:noProof/>
        <w:lang w:eastAsia="ja-JP"/>
      </w:rPr>
    </w:pPr>
  </w:p>
  <w:p w:rsidR="001F6E4B" w:rsidRDefault="00E94D42">
    <w:pPr>
      <w:pStyle w:val="Header"/>
      <w:rPr>
        <w:noProof/>
        <w:lang w:eastAsia="ja-JP"/>
      </w:rPr>
    </w:pPr>
  </w:p>
  <w:p w:rsidR="001F6E4B" w:rsidRDefault="00E94D42">
    <w:pPr>
      <w:pStyle w:val="Header"/>
    </w:pPr>
  </w:p>
  <w:p w:rsidR="001F6E4B" w:rsidRDefault="00E94D42">
    <w:pPr>
      <w:pStyle w:val="Header"/>
    </w:pPr>
  </w:p>
  <w:p w:rsidR="001F6E4B" w:rsidRDefault="00E94D42" w:rsidP="001F6E4B">
    <w:pPr>
      <w:pStyle w:val="Header"/>
    </w:pPr>
  </w:p>
  <w:p w:rsidR="001F6E4B" w:rsidRDefault="006924C9" w:rsidP="001F6E4B">
    <w:pPr>
      <w:pStyle w:val="Header"/>
    </w:pPr>
    <w:r w:rsidRPr="0093686F">
      <w:rPr>
        <w:noProof/>
        <w:szCs w:val="24"/>
        <w:highlight w:val="cyan"/>
        <w:lang w:eastAsia="en-US"/>
      </w:rPr>
      <w:drawing>
        <wp:anchor distT="0" distB="0" distL="114300" distR="114300" simplePos="0" relativeHeight="251659264" behindDoc="1" locked="1" layoutInCell="1" allowOverlap="0" wp14:anchorId="7E383F39" wp14:editId="4EDE5C73">
          <wp:simplePos x="0" y="0"/>
          <wp:positionH relativeFrom="column">
            <wp:posOffset>-720090</wp:posOffset>
          </wp:positionH>
          <wp:positionV relativeFrom="paragraph">
            <wp:posOffset>-1597660</wp:posOffset>
          </wp:positionV>
          <wp:extent cx="7575550" cy="206121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890"/>
                  <a:stretch>
                    <a:fillRect/>
                  </a:stretch>
                </pic:blipFill>
                <pic:spPr bwMode="auto">
                  <a:xfrm>
                    <a:off x="0" y="0"/>
                    <a:ext cx="7575550" cy="2061210"/>
                  </a:xfrm>
                  <a:prstGeom prst="rect">
                    <a:avLst/>
                  </a:prstGeom>
                  <a:noFill/>
                  <a:ln>
                    <a:noFill/>
                  </a:ln>
                  <a:extLst>
                    <a:ext uri="{53640926-AAD7-44d8-BBD7-CCE9431645EC}">
                      <a14:shadowObscured xmlns:a14="http://schemas.microsoft.com/office/drawing/2010/main"/>
                    </a:ext>
                  </a:extLst>
                </pic:spPr>
              </pic:pic>
            </a:graphicData>
          </a:graphic>
        </wp:anchor>
      </w:drawing>
    </w:r>
  </w:p>
  <w:p w:rsidR="001F6E4B" w:rsidRPr="001F6E4B" w:rsidRDefault="006924C9" w:rsidP="001F6E4B">
    <w:pPr>
      <w:pStyle w:val="Header"/>
      <w:jc w:val="center"/>
      <w:rPr>
        <w:rFonts w:ascii="Constantia" w:hAnsi="Constantia"/>
        <w:smallCaps/>
        <w:spacing w:val="20"/>
        <w:sz w:val="19"/>
        <w:szCs w:val="19"/>
      </w:rPr>
    </w:pPr>
    <w:r w:rsidRPr="004927EB">
      <w:rPr>
        <w:rFonts w:ascii="Constantia" w:hAnsi="Constantia"/>
        <w:smallCaps/>
        <w:spacing w:val="20"/>
        <w:sz w:val="19"/>
        <w:szCs w:val="19"/>
      </w:rPr>
      <w:t>Religious Freedom Subcommittee</w:t>
    </w:r>
    <w:r w:rsidRPr="00AA59AF">
      <w:rPr>
        <w:rFonts w:ascii="Constantia" w:hAnsi="Constantia"/>
        <w:sz w:val="28"/>
        <w:szCs w:val="28"/>
      </w:rPr>
      <w:br/>
    </w:r>
    <w:r w:rsidRPr="0083543A">
      <w:rPr>
        <w:rFonts w:ascii="Constantia" w:hAnsi="Constantia"/>
        <w:sz w:val="14"/>
        <w:szCs w:val="14"/>
      </w:rPr>
      <w:t>Chairman: Tony Brace tbrace@jw.org</w:t>
    </w:r>
  </w:p>
  <w:p w:rsidR="001F6E4B" w:rsidRDefault="006924C9" w:rsidP="001F6E4B">
    <w:pPr>
      <w:pStyle w:val="Header"/>
      <w:jc w:val="center"/>
    </w:pPr>
    <w:r w:rsidRPr="0083543A">
      <w:rPr>
        <w:rFonts w:ascii="Constantia" w:hAnsi="Constantia"/>
        <w:sz w:val="14"/>
        <w:szCs w:val="14"/>
      </w:rPr>
      <w:t>Telephone: + 44 20 8371 3416; Fax: + 44 20 8343 0201</w:t>
    </w:r>
  </w:p>
  <w:p w:rsidR="001F6E4B" w:rsidRDefault="00E94D42" w:rsidP="001F6E4B">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20" w:rsidRPr="00040F89" w:rsidRDefault="006924C9" w:rsidP="00C62320">
    <w:pPr>
      <w:pStyle w:val="Header"/>
      <w:tabs>
        <w:tab w:val="clear" w:pos="4320"/>
        <w:tab w:val="clear" w:pos="8640"/>
      </w:tabs>
      <w:ind w:left="284"/>
      <w:rPr>
        <w:szCs w:val="24"/>
      </w:rPr>
    </w:pPr>
    <w:r w:rsidRPr="00040F89">
      <w:rPr>
        <w:szCs w:val="24"/>
      </w:rPr>
      <w:t>Submission to the</w:t>
    </w:r>
    <w:r>
      <w:rPr>
        <w:szCs w:val="24"/>
      </w:rPr>
      <w:t xml:space="preserve"> UN Human Rights Committee – </w:t>
    </w:r>
    <w:r w:rsidRPr="002A0281">
      <w:rPr>
        <w:szCs w:val="24"/>
      </w:rPr>
      <w:t>1</w:t>
    </w:r>
    <w:r>
      <w:rPr>
        <w:szCs w:val="24"/>
      </w:rPr>
      <w:t>23</w:t>
    </w:r>
    <w:r w:rsidRPr="003C5D01">
      <w:rPr>
        <w:szCs w:val="24"/>
        <w:vertAlign w:val="superscript"/>
      </w:rPr>
      <w:t>rd</w:t>
    </w:r>
    <w:r>
      <w:rPr>
        <w:szCs w:val="24"/>
      </w:rPr>
      <w:t xml:space="preserve"> </w:t>
    </w:r>
    <w:r w:rsidRPr="002A0281">
      <w:rPr>
        <w:szCs w:val="24"/>
      </w:rPr>
      <w:t xml:space="preserve">Session – </w:t>
    </w:r>
    <w:r>
      <w:rPr>
        <w:szCs w:val="24"/>
      </w:rPr>
      <w:t>2 to 27 July 2018</w:t>
    </w:r>
  </w:p>
  <w:p w:rsidR="00234F5F" w:rsidRDefault="006924C9" w:rsidP="00B2371D">
    <w:pPr>
      <w:pStyle w:val="Header"/>
      <w:tabs>
        <w:tab w:val="clear" w:pos="4320"/>
        <w:tab w:val="clear" w:pos="8640"/>
      </w:tabs>
      <w:ind w:left="284"/>
      <w:rPr>
        <w:szCs w:val="24"/>
      </w:rPr>
    </w:pPr>
    <w:r w:rsidRPr="00040F89">
      <w:rPr>
        <w:szCs w:val="24"/>
      </w:rPr>
      <w:t xml:space="preserve">European Association of Jehovah’s </w:t>
    </w:r>
    <w:r>
      <w:rPr>
        <w:szCs w:val="24"/>
      </w:rPr>
      <w:t xml:space="preserve">Witnesses </w:t>
    </w:r>
    <w:r w:rsidRPr="00040F89">
      <w:rPr>
        <w:szCs w:val="24"/>
      </w:rPr>
      <w:t xml:space="preserve">– </w:t>
    </w:r>
    <w:r>
      <w:rPr>
        <w:szCs w:val="24"/>
      </w:rPr>
      <w:t>Lithuania</w:t>
    </w:r>
  </w:p>
  <w:p w:rsidR="00234F5F" w:rsidRPr="00040F89" w:rsidRDefault="00E94D42" w:rsidP="00B2371D">
    <w:pPr>
      <w:pStyle w:val="Header"/>
      <w:tabs>
        <w:tab w:val="clear" w:pos="4320"/>
        <w:tab w:val="clear" w:pos="8640"/>
        <w:tab w:val="left" w:pos="0"/>
      </w:tabs>
      <w:rPr>
        <w:szCs w:val="24"/>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B7131A" w:rsidRDefault="00E94D42" w:rsidP="00B237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BD3976"/>
    <w:multiLevelType w:val="hybridMultilevel"/>
    <w:tmpl w:val="61BA9A6E"/>
    <w:lvl w:ilvl="0" w:tplc="3E48DD0A">
      <w:start w:val="1"/>
      <w:numFmt w:val="decimal"/>
      <w:lvlText w:val="(%1)"/>
      <w:lvlJc w:val="left"/>
      <w:pPr>
        <w:ind w:left="720" w:hanging="360"/>
      </w:pPr>
      <w:rPr>
        <w:rFonts w:hint="default"/>
        <w:b w:val="0"/>
        <w:color w:val="auto"/>
      </w:rPr>
    </w:lvl>
    <w:lvl w:ilvl="1" w:tplc="532AFD52">
      <w:start w:val="1"/>
      <w:numFmt w:val="decimal"/>
      <w:lvlText w:val="%2)"/>
      <w:lvlJc w:val="left"/>
      <w:pPr>
        <w:ind w:left="435" w:hanging="435"/>
      </w:pPr>
      <w:rPr>
        <w:rFonts w:hint="default"/>
        <w:b w:val="0"/>
        <w:color w:val="auto"/>
        <w:sz w:val="24"/>
        <w:szCs w:val="24"/>
      </w:rPr>
    </w:lvl>
    <w:lvl w:ilvl="2" w:tplc="C868FB48">
      <w:start w:val="1"/>
      <w:numFmt w:val="lowerRoman"/>
      <w:lvlText w:val="%3."/>
      <w:lvlJc w:val="right"/>
      <w:pPr>
        <w:ind w:left="2160" w:hanging="180"/>
      </w:pPr>
    </w:lvl>
    <w:lvl w:ilvl="3" w:tplc="AFA8692C" w:tentative="1">
      <w:start w:val="1"/>
      <w:numFmt w:val="decimal"/>
      <w:lvlText w:val="%4."/>
      <w:lvlJc w:val="left"/>
      <w:pPr>
        <w:ind w:left="2880" w:hanging="360"/>
      </w:pPr>
    </w:lvl>
    <w:lvl w:ilvl="4" w:tplc="397A4678" w:tentative="1">
      <w:start w:val="1"/>
      <w:numFmt w:val="lowerLetter"/>
      <w:lvlText w:val="%5."/>
      <w:lvlJc w:val="left"/>
      <w:pPr>
        <w:ind w:left="3600" w:hanging="360"/>
      </w:pPr>
    </w:lvl>
    <w:lvl w:ilvl="5" w:tplc="F36E45FA" w:tentative="1">
      <w:start w:val="1"/>
      <w:numFmt w:val="lowerRoman"/>
      <w:lvlText w:val="%6."/>
      <w:lvlJc w:val="right"/>
      <w:pPr>
        <w:ind w:left="4320" w:hanging="180"/>
      </w:pPr>
    </w:lvl>
    <w:lvl w:ilvl="6" w:tplc="E754181C" w:tentative="1">
      <w:start w:val="1"/>
      <w:numFmt w:val="decimal"/>
      <w:lvlText w:val="%7."/>
      <w:lvlJc w:val="left"/>
      <w:pPr>
        <w:ind w:left="5040" w:hanging="360"/>
      </w:pPr>
    </w:lvl>
    <w:lvl w:ilvl="7" w:tplc="2D160F6A" w:tentative="1">
      <w:start w:val="1"/>
      <w:numFmt w:val="lowerLetter"/>
      <w:lvlText w:val="%8."/>
      <w:lvlJc w:val="left"/>
      <w:pPr>
        <w:ind w:left="5760" w:hanging="360"/>
      </w:pPr>
    </w:lvl>
    <w:lvl w:ilvl="8" w:tplc="C940145E" w:tentative="1">
      <w:start w:val="1"/>
      <w:numFmt w:val="lowerRoman"/>
      <w:lvlText w:val="%9."/>
      <w:lvlJc w:val="right"/>
      <w:pPr>
        <w:ind w:left="6480" w:hanging="180"/>
      </w:pPr>
    </w:lvl>
  </w:abstractNum>
  <w:abstractNum w:abstractNumId="2">
    <w:nsid w:val="073E7D9A"/>
    <w:multiLevelType w:val="hybridMultilevel"/>
    <w:tmpl w:val="8A403D10"/>
    <w:lvl w:ilvl="0" w:tplc="57CC81F2">
      <w:start w:val="1"/>
      <w:numFmt w:val="bullet"/>
      <w:lvlText w:val=""/>
      <w:lvlJc w:val="left"/>
      <w:pPr>
        <w:ind w:left="720" w:hanging="360"/>
      </w:pPr>
      <w:rPr>
        <w:rFonts w:ascii="Symbol" w:hAnsi="Symbol" w:hint="default"/>
      </w:rPr>
    </w:lvl>
    <w:lvl w:ilvl="1" w:tplc="C220C96A" w:tentative="1">
      <w:start w:val="1"/>
      <w:numFmt w:val="bullet"/>
      <w:lvlText w:val="o"/>
      <w:lvlJc w:val="left"/>
      <w:pPr>
        <w:ind w:left="1440" w:hanging="360"/>
      </w:pPr>
      <w:rPr>
        <w:rFonts w:ascii="Courier New" w:hAnsi="Courier New" w:cs="Courier New" w:hint="default"/>
      </w:rPr>
    </w:lvl>
    <w:lvl w:ilvl="2" w:tplc="8E54CE60" w:tentative="1">
      <w:start w:val="1"/>
      <w:numFmt w:val="bullet"/>
      <w:lvlText w:val=""/>
      <w:lvlJc w:val="left"/>
      <w:pPr>
        <w:ind w:left="2160" w:hanging="360"/>
      </w:pPr>
      <w:rPr>
        <w:rFonts w:ascii="Wingdings" w:hAnsi="Wingdings" w:hint="default"/>
      </w:rPr>
    </w:lvl>
    <w:lvl w:ilvl="3" w:tplc="D10AF94C" w:tentative="1">
      <w:start w:val="1"/>
      <w:numFmt w:val="bullet"/>
      <w:lvlText w:val=""/>
      <w:lvlJc w:val="left"/>
      <w:pPr>
        <w:ind w:left="2880" w:hanging="360"/>
      </w:pPr>
      <w:rPr>
        <w:rFonts w:ascii="Symbol" w:hAnsi="Symbol" w:hint="default"/>
      </w:rPr>
    </w:lvl>
    <w:lvl w:ilvl="4" w:tplc="7FA8DFCE" w:tentative="1">
      <w:start w:val="1"/>
      <w:numFmt w:val="bullet"/>
      <w:lvlText w:val="o"/>
      <w:lvlJc w:val="left"/>
      <w:pPr>
        <w:ind w:left="3600" w:hanging="360"/>
      </w:pPr>
      <w:rPr>
        <w:rFonts w:ascii="Courier New" w:hAnsi="Courier New" w:cs="Courier New" w:hint="default"/>
      </w:rPr>
    </w:lvl>
    <w:lvl w:ilvl="5" w:tplc="6EC01346" w:tentative="1">
      <w:start w:val="1"/>
      <w:numFmt w:val="bullet"/>
      <w:lvlText w:val=""/>
      <w:lvlJc w:val="left"/>
      <w:pPr>
        <w:ind w:left="4320" w:hanging="360"/>
      </w:pPr>
      <w:rPr>
        <w:rFonts w:ascii="Wingdings" w:hAnsi="Wingdings" w:hint="default"/>
      </w:rPr>
    </w:lvl>
    <w:lvl w:ilvl="6" w:tplc="E5662C7C" w:tentative="1">
      <w:start w:val="1"/>
      <w:numFmt w:val="bullet"/>
      <w:lvlText w:val=""/>
      <w:lvlJc w:val="left"/>
      <w:pPr>
        <w:ind w:left="5040" w:hanging="360"/>
      </w:pPr>
      <w:rPr>
        <w:rFonts w:ascii="Symbol" w:hAnsi="Symbol" w:hint="default"/>
      </w:rPr>
    </w:lvl>
    <w:lvl w:ilvl="7" w:tplc="FEFC9562" w:tentative="1">
      <w:start w:val="1"/>
      <w:numFmt w:val="bullet"/>
      <w:lvlText w:val="o"/>
      <w:lvlJc w:val="left"/>
      <w:pPr>
        <w:ind w:left="5760" w:hanging="360"/>
      </w:pPr>
      <w:rPr>
        <w:rFonts w:ascii="Courier New" w:hAnsi="Courier New" w:cs="Courier New" w:hint="default"/>
      </w:rPr>
    </w:lvl>
    <w:lvl w:ilvl="8" w:tplc="3FE80D98" w:tentative="1">
      <w:start w:val="1"/>
      <w:numFmt w:val="bullet"/>
      <w:lvlText w:val=""/>
      <w:lvlJc w:val="left"/>
      <w:pPr>
        <w:ind w:left="6480" w:hanging="360"/>
      </w:pPr>
      <w:rPr>
        <w:rFonts w:ascii="Wingdings" w:hAnsi="Wingdings" w:hint="default"/>
      </w:rPr>
    </w:lvl>
  </w:abstractNum>
  <w:abstractNum w:abstractNumId="3">
    <w:nsid w:val="079E7414"/>
    <w:multiLevelType w:val="hybridMultilevel"/>
    <w:tmpl w:val="65722974"/>
    <w:lvl w:ilvl="0" w:tplc="E4D07C78">
      <w:start w:val="1"/>
      <w:numFmt w:val="bullet"/>
      <w:lvlText w:val=""/>
      <w:lvlJc w:val="left"/>
      <w:pPr>
        <w:ind w:left="720" w:hanging="360"/>
      </w:pPr>
      <w:rPr>
        <w:rFonts w:ascii="Symbol" w:hAnsi="Symbol" w:hint="default"/>
      </w:rPr>
    </w:lvl>
    <w:lvl w:ilvl="1" w:tplc="A79C9AC8" w:tentative="1">
      <w:start w:val="1"/>
      <w:numFmt w:val="lowerLetter"/>
      <w:lvlText w:val="%2."/>
      <w:lvlJc w:val="left"/>
      <w:pPr>
        <w:ind w:left="1440" w:hanging="360"/>
      </w:pPr>
    </w:lvl>
    <w:lvl w:ilvl="2" w:tplc="5D841BEE" w:tentative="1">
      <w:start w:val="1"/>
      <w:numFmt w:val="lowerRoman"/>
      <w:lvlText w:val="%3."/>
      <w:lvlJc w:val="right"/>
      <w:pPr>
        <w:ind w:left="2160" w:hanging="180"/>
      </w:pPr>
    </w:lvl>
    <w:lvl w:ilvl="3" w:tplc="F3ACC942" w:tentative="1">
      <w:start w:val="1"/>
      <w:numFmt w:val="decimal"/>
      <w:lvlText w:val="%4."/>
      <w:lvlJc w:val="left"/>
      <w:pPr>
        <w:ind w:left="2880" w:hanging="360"/>
      </w:pPr>
    </w:lvl>
    <w:lvl w:ilvl="4" w:tplc="88D602A8" w:tentative="1">
      <w:start w:val="1"/>
      <w:numFmt w:val="lowerLetter"/>
      <w:lvlText w:val="%5."/>
      <w:lvlJc w:val="left"/>
      <w:pPr>
        <w:ind w:left="3600" w:hanging="360"/>
      </w:pPr>
    </w:lvl>
    <w:lvl w:ilvl="5" w:tplc="3FC24AEC" w:tentative="1">
      <w:start w:val="1"/>
      <w:numFmt w:val="lowerRoman"/>
      <w:lvlText w:val="%6."/>
      <w:lvlJc w:val="right"/>
      <w:pPr>
        <w:ind w:left="4320" w:hanging="180"/>
      </w:pPr>
    </w:lvl>
    <w:lvl w:ilvl="6" w:tplc="9FC2505A" w:tentative="1">
      <w:start w:val="1"/>
      <w:numFmt w:val="decimal"/>
      <w:lvlText w:val="%7."/>
      <w:lvlJc w:val="left"/>
      <w:pPr>
        <w:ind w:left="5040" w:hanging="360"/>
      </w:pPr>
    </w:lvl>
    <w:lvl w:ilvl="7" w:tplc="F7866018" w:tentative="1">
      <w:start w:val="1"/>
      <w:numFmt w:val="lowerLetter"/>
      <w:lvlText w:val="%8."/>
      <w:lvlJc w:val="left"/>
      <w:pPr>
        <w:ind w:left="5760" w:hanging="360"/>
      </w:pPr>
    </w:lvl>
    <w:lvl w:ilvl="8" w:tplc="F8C095D0" w:tentative="1">
      <w:start w:val="1"/>
      <w:numFmt w:val="lowerRoman"/>
      <w:lvlText w:val="%9."/>
      <w:lvlJc w:val="right"/>
      <w:pPr>
        <w:ind w:left="6480" w:hanging="180"/>
      </w:pPr>
    </w:lvl>
  </w:abstractNum>
  <w:abstractNum w:abstractNumId="4">
    <w:nsid w:val="105134E6"/>
    <w:multiLevelType w:val="hybridMultilevel"/>
    <w:tmpl w:val="37762720"/>
    <w:lvl w:ilvl="0" w:tplc="E87A2292">
      <w:start w:val="1"/>
      <w:numFmt w:val="decimal"/>
      <w:lvlText w:val="(%1)"/>
      <w:lvlJc w:val="left"/>
      <w:pPr>
        <w:ind w:left="720" w:hanging="360"/>
      </w:pPr>
      <w:rPr>
        <w:rFonts w:hint="default"/>
        <w:b w:val="0"/>
        <w:color w:val="auto"/>
      </w:rPr>
    </w:lvl>
    <w:lvl w:ilvl="1" w:tplc="9CE46458">
      <w:start w:val="1"/>
      <w:numFmt w:val="bullet"/>
      <w:lvlText w:val=""/>
      <w:lvlJc w:val="left"/>
      <w:pPr>
        <w:ind w:left="435" w:hanging="435"/>
      </w:pPr>
      <w:rPr>
        <w:rFonts w:ascii="Symbol" w:hAnsi="Symbol" w:hint="default"/>
        <w:b w:val="0"/>
        <w:color w:val="auto"/>
        <w:sz w:val="24"/>
        <w:szCs w:val="24"/>
      </w:rPr>
    </w:lvl>
    <w:lvl w:ilvl="2" w:tplc="E5FEF134">
      <w:start w:val="1"/>
      <w:numFmt w:val="lowerRoman"/>
      <w:lvlText w:val="%3."/>
      <w:lvlJc w:val="right"/>
      <w:pPr>
        <w:ind w:left="2160" w:hanging="180"/>
      </w:pPr>
    </w:lvl>
    <w:lvl w:ilvl="3" w:tplc="06F08904" w:tentative="1">
      <w:start w:val="1"/>
      <w:numFmt w:val="decimal"/>
      <w:lvlText w:val="%4."/>
      <w:lvlJc w:val="left"/>
      <w:pPr>
        <w:ind w:left="2880" w:hanging="360"/>
      </w:pPr>
    </w:lvl>
    <w:lvl w:ilvl="4" w:tplc="03DEAD3A" w:tentative="1">
      <w:start w:val="1"/>
      <w:numFmt w:val="lowerLetter"/>
      <w:lvlText w:val="%5."/>
      <w:lvlJc w:val="left"/>
      <w:pPr>
        <w:ind w:left="3600" w:hanging="360"/>
      </w:pPr>
    </w:lvl>
    <w:lvl w:ilvl="5" w:tplc="17823842" w:tentative="1">
      <w:start w:val="1"/>
      <w:numFmt w:val="lowerRoman"/>
      <w:lvlText w:val="%6."/>
      <w:lvlJc w:val="right"/>
      <w:pPr>
        <w:ind w:left="4320" w:hanging="180"/>
      </w:pPr>
    </w:lvl>
    <w:lvl w:ilvl="6" w:tplc="A6D81E58" w:tentative="1">
      <w:start w:val="1"/>
      <w:numFmt w:val="decimal"/>
      <w:lvlText w:val="%7."/>
      <w:lvlJc w:val="left"/>
      <w:pPr>
        <w:ind w:left="5040" w:hanging="360"/>
      </w:pPr>
    </w:lvl>
    <w:lvl w:ilvl="7" w:tplc="7D9C6236" w:tentative="1">
      <w:start w:val="1"/>
      <w:numFmt w:val="lowerLetter"/>
      <w:lvlText w:val="%8."/>
      <w:lvlJc w:val="left"/>
      <w:pPr>
        <w:ind w:left="5760" w:hanging="360"/>
      </w:pPr>
    </w:lvl>
    <w:lvl w:ilvl="8" w:tplc="50369EA2" w:tentative="1">
      <w:start w:val="1"/>
      <w:numFmt w:val="lowerRoman"/>
      <w:lvlText w:val="%9."/>
      <w:lvlJc w:val="right"/>
      <w:pPr>
        <w:ind w:left="6480" w:hanging="180"/>
      </w:pPr>
    </w:lvl>
  </w:abstractNum>
  <w:abstractNum w:abstractNumId="5">
    <w:nsid w:val="107D4910"/>
    <w:multiLevelType w:val="hybridMultilevel"/>
    <w:tmpl w:val="15C0DCCC"/>
    <w:lvl w:ilvl="0" w:tplc="8D14D052">
      <w:start w:val="1"/>
      <w:numFmt w:val="decimal"/>
      <w:lvlText w:val="(%1)"/>
      <w:lvlJc w:val="left"/>
      <w:pPr>
        <w:ind w:left="720" w:hanging="360"/>
      </w:pPr>
      <w:rPr>
        <w:rFonts w:hint="default"/>
        <w:b w:val="0"/>
        <w:color w:val="auto"/>
      </w:rPr>
    </w:lvl>
    <w:lvl w:ilvl="1" w:tplc="5B88E092">
      <w:start w:val="1"/>
      <w:numFmt w:val="decimal"/>
      <w:lvlText w:val="%2."/>
      <w:lvlJc w:val="left"/>
      <w:pPr>
        <w:ind w:left="615" w:hanging="435"/>
      </w:pPr>
      <w:rPr>
        <w:rFonts w:ascii="Times New Roman" w:hAnsi="Times New Roman" w:cs="Times New Roman" w:hint="default"/>
        <w:sz w:val="24"/>
        <w:szCs w:val="24"/>
      </w:rPr>
    </w:lvl>
    <w:lvl w:ilvl="2" w:tplc="FB160B0A" w:tentative="1">
      <w:start w:val="1"/>
      <w:numFmt w:val="lowerRoman"/>
      <w:lvlText w:val="%3."/>
      <w:lvlJc w:val="right"/>
      <w:pPr>
        <w:ind w:left="2160" w:hanging="180"/>
      </w:pPr>
    </w:lvl>
    <w:lvl w:ilvl="3" w:tplc="DB76C8F4" w:tentative="1">
      <w:start w:val="1"/>
      <w:numFmt w:val="decimal"/>
      <w:lvlText w:val="%4."/>
      <w:lvlJc w:val="left"/>
      <w:pPr>
        <w:ind w:left="2880" w:hanging="360"/>
      </w:pPr>
    </w:lvl>
    <w:lvl w:ilvl="4" w:tplc="CA34B3CA" w:tentative="1">
      <w:start w:val="1"/>
      <w:numFmt w:val="lowerLetter"/>
      <w:lvlText w:val="%5."/>
      <w:lvlJc w:val="left"/>
      <w:pPr>
        <w:ind w:left="3600" w:hanging="360"/>
      </w:pPr>
    </w:lvl>
    <w:lvl w:ilvl="5" w:tplc="FAC616DC" w:tentative="1">
      <w:start w:val="1"/>
      <w:numFmt w:val="lowerRoman"/>
      <w:lvlText w:val="%6."/>
      <w:lvlJc w:val="right"/>
      <w:pPr>
        <w:ind w:left="4320" w:hanging="180"/>
      </w:pPr>
    </w:lvl>
    <w:lvl w:ilvl="6" w:tplc="77F2236C" w:tentative="1">
      <w:start w:val="1"/>
      <w:numFmt w:val="decimal"/>
      <w:lvlText w:val="%7."/>
      <w:lvlJc w:val="left"/>
      <w:pPr>
        <w:ind w:left="5040" w:hanging="360"/>
      </w:pPr>
    </w:lvl>
    <w:lvl w:ilvl="7" w:tplc="3B8A67F4" w:tentative="1">
      <w:start w:val="1"/>
      <w:numFmt w:val="lowerLetter"/>
      <w:lvlText w:val="%8."/>
      <w:lvlJc w:val="left"/>
      <w:pPr>
        <w:ind w:left="5760" w:hanging="360"/>
      </w:pPr>
    </w:lvl>
    <w:lvl w:ilvl="8" w:tplc="6CEC0E82" w:tentative="1">
      <w:start w:val="1"/>
      <w:numFmt w:val="lowerRoman"/>
      <w:lvlText w:val="%9."/>
      <w:lvlJc w:val="right"/>
      <w:pPr>
        <w:ind w:left="6480" w:hanging="180"/>
      </w:pPr>
    </w:lvl>
  </w:abstractNum>
  <w:abstractNum w:abstractNumId="6">
    <w:nsid w:val="144C65FA"/>
    <w:multiLevelType w:val="hybridMultilevel"/>
    <w:tmpl w:val="1C6C9A14"/>
    <w:lvl w:ilvl="0" w:tplc="0C8486F0">
      <w:start w:val="1"/>
      <w:numFmt w:val="decimal"/>
      <w:lvlText w:val="(%1)"/>
      <w:lvlJc w:val="left"/>
      <w:pPr>
        <w:ind w:left="720" w:hanging="360"/>
      </w:pPr>
      <w:rPr>
        <w:rFonts w:hint="default"/>
        <w:b w:val="0"/>
        <w:color w:val="auto"/>
      </w:rPr>
    </w:lvl>
    <w:lvl w:ilvl="1" w:tplc="064E3ECA">
      <w:start w:val="1"/>
      <w:numFmt w:val="decimal"/>
      <w:lvlText w:val="%2."/>
      <w:lvlJc w:val="left"/>
      <w:pPr>
        <w:ind w:left="435" w:hanging="435"/>
      </w:pPr>
      <w:rPr>
        <w:rFonts w:ascii="Times New Roman" w:hAnsi="Times New Roman" w:cs="Times New Roman" w:hint="default"/>
        <w:b w:val="0"/>
        <w:color w:val="auto"/>
        <w:sz w:val="24"/>
        <w:szCs w:val="24"/>
      </w:rPr>
    </w:lvl>
    <w:lvl w:ilvl="2" w:tplc="3790DA90">
      <w:start w:val="1"/>
      <w:numFmt w:val="lowerRoman"/>
      <w:lvlText w:val="%3."/>
      <w:lvlJc w:val="right"/>
      <w:pPr>
        <w:ind w:left="2160" w:hanging="180"/>
      </w:pPr>
    </w:lvl>
    <w:lvl w:ilvl="3" w:tplc="4A143B88" w:tentative="1">
      <w:start w:val="1"/>
      <w:numFmt w:val="decimal"/>
      <w:lvlText w:val="%4."/>
      <w:lvlJc w:val="left"/>
      <w:pPr>
        <w:ind w:left="2880" w:hanging="360"/>
      </w:pPr>
    </w:lvl>
    <w:lvl w:ilvl="4" w:tplc="3AB0BF90" w:tentative="1">
      <w:start w:val="1"/>
      <w:numFmt w:val="lowerLetter"/>
      <w:lvlText w:val="%5."/>
      <w:lvlJc w:val="left"/>
      <w:pPr>
        <w:ind w:left="3600" w:hanging="360"/>
      </w:pPr>
    </w:lvl>
    <w:lvl w:ilvl="5" w:tplc="90101F74" w:tentative="1">
      <w:start w:val="1"/>
      <w:numFmt w:val="lowerRoman"/>
      <w:lvlText w:val="%6."/>
      <w:lvlJc w:val="right"/>
      <w:pPr>
        <w:ind w:left="4320" w:hanging="180"/>
      </w:pPr>
    </w:lvl>
    <w:lvl w:ilvl="6" w:tplc="E9786894" w:tentative="1">
      <w:start w:val="1"/>
      <w:numFmt w:val="decimal"/>
      <w:lvlText w:val="%7."/>
      <w:lvlJc w:val="left"/>
      <w:pPr>
        <w:ind w:left="5040" w:hanging="360"/>
      </w:pPr>
    </w:lvl>
    <w:lvl w:ilvl="7" w:tplc="7256E490" w:tentative="1">
      <w:start w:val="1"/>
      <w:numFmt w:val="lowerLetter"/>
      <w:lvlText w:val="%8."/>
      <w:lvlJc w:val="left"/>
      <w:pPr>
        <w:ind w:left="5760" w:hanging="360"/>
      </w:pPr>
    </w:lvl>
    <w:lvl w:ilvl="8" w:tplc="FA52A8EE" w:tentative="1">
      <w:start w:val="1"/>
      <w:numFmt w:val="lowerRoman"/>
      <w:lvlText w:val="%9."/>
      <w:lvlJc w:val="right"/>
      <w:pPr>
        <w:ind w:left="6480" w:hanging="180"/>
      </w:pPr>
    </w:lvl>
  </w:abstractNum>
  <w:abstractNum w:abstractNumId="7">
    <w:nsid w:val="1A0E4C95"/>
    <w:multiLevelType w:val="hybridMultilevel"/>
    <w:tmpl w:val="1C6C9A14"/>
    <w:lvl w:ilvl="0" w:tplc="80524976">
      <w:start w:val="1"/>
      <w:numFmt w:val="decimal"/>
      <w:lvlText w:val="(%1)"/>
      <w:lvlJc w:val="left"/>
      <w:pPr>
        <w:ind w:left="720" w:hanging="360"/>
      </w:pPr>
      <w:rPr>
        <w:rFonts w:hint="default"/>
        <w:b w:val="0"/>
        <w:color w:val="auto"/>
      </w:rPr>
    </w:lvl>
    <w:lvl w:ilvl="1" w:tplc="A1861794">
      <w:start w:val="1"/>
      <w:numFmt w:val="decimal"/>
      <w:lvlText w:val="%2."/>
      <w:lvlJc w:val="left"/>
      <w:pPr>
        <w:ind w:left="435" w:hanging="435"/>
      </w:pPr>
      <w:rPr>
        <w:rFonts w:ascii="Times New Roman" w:hAnsi="Times New Roman" w:cs="Times New Roman" w:hint="default"/>
        <w:b w:val="0"/>
        <w:color w:val="auto"/>
        <w:sz w:val="24"/>
        <w:szCs w:val="24"/>
      </w:rPr>
    </w:lvl>
    <w:lvl w:ilvl="2" w:tplc="F98E4730">
      <w:start w:val="1"/>
      <w:numFmt w:val="lowerRoman"/>
      <w:lvlText w:val="%3."/>
      <w:lvlJc w:val="right"/>
      <w:pPr>
        <w:ind w:left="2160" w:hanging="180"/>
      </w:pPr>
    </w:lvl>
    <w:lvl w:ilvl="3" w:tplc="486A70F8" w:tentative="1">
      <w:start w:val="1"/>
      <w:numFmt w:val="decimal"/>
      <w:lvlText w:val="%4."/>
      <w:lvlJc w:val="left"/>
      <w:pPr>
        <w:ind w:left="2880" w:hanging="360"/>
      </w:pPr>
    </w:lvl>
    <w:lvl w:ilvl="4" w:tplc="48D0DA74" w:tentative="1">
      <w:start w:val="1"/>
      <w:numFmt w:val="lowerLetter"/>
      <w:lvlText w:val="%5."/>
      <w:lvlJc w:val="left"/>
      <w:pPr>
        <w:ind w:left="3600" w:hanging="360"/>
      </w:pPr>
    </w:lvl>
    <w:lvl w:ilvl="5" w:tplc="2AB48888" w:tentative="1">
      <w:start w:val="1"/>
      <w:numFmt w:val="lowerRoman"/>
      <w:lvlText w:val="%6."/>
      <w:lvlJc w:val="right"/>
      <w:pPr>
        <w:ind w:left="4320" w:hanging="180"/>
      </w:pPr>
    </w:lvl>
    <w:lvl w:ilvl="6" w:tplc="3790E374" w:tentative="1">
      <w:start w:val="1"/>
      <w:numFmt w:val="decimal"/>
      <w:lvlText w:val="%7."/>
      <w:lvlJc w:val="left"/>
      <w:pPr>
        <w:ind w:left="5040" w:hanging="360"/>
      </w:pPr>
    </w:lvl>
    <w:lvl w:ilvl="7" w:tplc="85D01210" w:tentative="1">
      <w:start w:val="1"/>
      <w:numFmt w:val="lowerLetter"/>
      <w:lvlText w:val="%8."/>
      <w:lvlJc w:val="left"/>
      <w:pPr>
        <w:ind w:left="5760" w:hanging="360"/>
      </w:pPr>
    </w:lvl>
    <w:lvl w:ilvl="8" w:tplc="457024E0" w:tentative="1">
      <w:start w:val="1"/>
      <w:numFmt w:val="lowerRoman"/>
      <w:lvlText w:val="%9."/>
      <w:lvlJc w:val="right"/>
      <w:pPr>
        <w:ind w:left="6480" w:hanging="180"/>
      </w:pPr>
    </w:lvl>
  </w:abstractNum>
  <w:abstractNum w:abstractNumId="8">
    <w:nsid w:val="32F80163"/>
    <w:multiLevelType w:val="hybridMultilevel"/>
    <w:tmpl w:val="DA84BAD4"/>
    <w:lvl w:ilvl="0" w:tplc="17B014DA">
      <w:start w:val="1"/>
      <w:numFmt w:val="bullet"/>
      <w:lvlText w:val=""/>
      <w:lvlJc w:val="left"/>
      <w:pPr>
        <w:ind w:left="720" w:hanging="360"/>
      </w:pPr>
      <w:rPr>
        <w:rFonts w:ascii="Symbol" w:hAnsi="Symbol" w:hint="default"/>
      </w:rPr>
    </w:lvl>
    <w:lvl w:ilvl="1" w:tplc="69AA1704" w:tentative="1">
      <w:start w:val="1"/>
      <w:numFmt w:val="bullet"/>
      <w:lvlText w:val="o"/>
      <w:lvlJc w:val="left"/>
      <w:pPr>
        <w:ind w:left="1440" w:hanging="360"/>
      </w:pPr>
      <w:rPr>
        <w:rFonts w:ascii="Courier New" w:hAnsi="Courier New" w:cs="Courier New" w:hint="default"/>
      </w:rPr>
    </w:lvl>
    <w:lvl w:ilvl="2" w:tplc="42B0D098" w:tentative="1">
      <w:start w:val="1"/>
      <w:numFmt w:val="bullet"/>
      <w:lvlText w:val=""/>
      <w:lvlJc w:val="left"/>
      <w:pPr>
        <w:ind w:left="2160" w:hanging="360"/>
      </w:pPr>
      <w:rPr>
        <w:rFonts w:ascii="Wingdings" w:hAnsi="Wingdings" w:hint="default"/>
      </w:rPr>
    </w:lvl>
    <w:lvl w:ilvl="3" w:tplc="0EAA16B6" w:tentative="1">
      <w:start w:val="1"/>
      <w:numFmt w:val="bullet"/>
      <w:lvlText w:val=""/>
      <w:lvlJc w:val="left"/>
      <w:pPr>
        <w:ind w:left="2880" w:hanging="360"/>
      </w:pPr>
      <w:rPr>
        <w:rFonts w:ascii="Symbol" w:hAnsi="Symbol" w:hint="default"/>
      </w:rPr>
    </w:lvl>
    <w:lvl w:ilvl="4" w:tplc="812AB520" w:tentative="1">
      <w:start w:val="1"/>
      <w:numFmt w:val="bullet"/>
      <w:lvlText w:val="o"/>
      <w:lvlJc w:val="left"/>
      <w:pPr>
        <w:ind w:left="3600" w:hanging="360"/>
      </w:pPr>
      <w:rPr>
        <w:rFonts w:ascii="Courier New" w:hAnsi="Courier New" w:cs="Courier New" w:hint="default"/>
      </w:rPr>
    </w:lvl>
    <w:lvl w:ilvl="5" w:tplc="05F046EE" w:tentative="1">
      <w:start w:val="1"/>
      <w:numFmt w:val="bullet"/>
      <w:lvlText w:val=""/>
      <w:lvlJc w:val="left"/>
      <w:pPr>
        <w:ind w:left="4320" w:hanging="360"/>
      </w:pPr>
      <w:rPr>
        <w:rFonts w:ascii="Wingdings" w:hAnsi="Wingdings" w:hint="default"/>
      </w:rPr>
    </w:lvl>
    <w:lvl w:ilvl="6" w:tplc="7DD25090" w:tentative="1">
      <w:start w:val="1"/>
      <w:numFmt w:val="bullet"/>
      <w:lvlText w:val=""/>
      <w:lvlJc w:val="left"/>
      <w:pPr>
        <w:ind w:left="5040" w:hanging="360"/>
      </w:pPr>
      <w:rPr>
        <w:rFonts w:ascii="Symbol" w:hAnsi="Symbol" w:hint="default"/>
      </w:rPr>
    </w:lvl>
    <w:lvl w:ilvl="7" w:tplc="26D0776E" w:tentative="1">
      <w:start w:val="1"/>
      <w:numFmt w:val="bullet"/>
      <w:lvlText w:val="o"/>
      <w:lvlJc w:val="left"/>
      <w:pPr>
        <w:ind w:left="5760" w:hanging="360"/>
      </w:pPr>
      <w:rPr>
        <w:rFonts w:ascii="Courier New" w:hAnsi="Courier New" w:cs="Courier New" w:hint="default"/>
      </w:rPr>
    </w:lvl>
    <w:lvl w:ilvl="8" w:tplc="12ACA52E" w:tentative="1">
      <w:start w:val="1"/>
      <w:numFmt w:val="bullet"/>
      <w:lvlText w:val=""/>
      <w:lvlJc w:val="left"/>
      <w:pPr>
        <w:ind w:left="6480" w:hanging="360"/>
      </w:pPr>
      <w:rPr>
        <w:rFonts w:ascii="Wingdings" w:hAnsi="Wingdings" w:hint="default"/>
      </w:rPr>
    </w:lvl>
  </w:abstractNum>
  <w:abstractNum w:abstractNumId="9">
    <w:nsid w:val="386942F6"/>
    <w:multiLevelType w:val="hybridMultilevel"/>
    <w:tmpl w:val="2CAC08BE"/>
    <w:lvl w:ilvl="0" w:tplc="474463AA">
      <w:start w:val="1"/>
      <w:numFmt w:val="bullet"/>
      <w:lvlText w:val=""/>
      <w:lvlJc w:val="left"/>
      <w:pPr>
        <w:ind w:left="720" w:hanging="360"/>
      </w:pPr>
      <w:rPr>
        <w:rFonts w:ascii="Symbol" w:hAnsi="Symbol" w:hint="default"/>
      </w:rPr>
    </w:lvl>
    <w:lvl w:ilvl="1" w:tplc="D2C8D4A2" w:tentative="1">
      <w:start w:val="1"/>
      <w:numFmt w:val="bullet"/>
      <w:lvlText w:val="o"/>
      <w:lvlJc w:val="left"/>
      <w:pPr>
        <w:ind w:left="1440" w:hanging="360"/>
      </w:pPr>
      <w:rPr>
        <w:rFonts w:ascii="Courier New" w:hAnsi="Courier New" w:cs="Courier New" w:hint="default"/>
      </w:rPr>
    </w:lvl>
    <w:lvl w:ilvl="2" w:tplc="CDB299A2" w:tentative="1">
      <w:start w:val="1"/>
      <w:numFmt w:val="bullet"/>
      <w:lvlText w:val=""/>
      <w:lvlJc w:val="left"/>
      <w:pPr>
        <w:ind w:left="2160" w:hanging="360"/>
      </w:pPr>
      <w:rPr>
        <w:rFonts w:ascii="Wingdings" w:hAnsi="Wingdings" w:hint="default"/>
      </w:rPr>
    </w:lvl>
    <w:lvl w:ilvl="3" w:tplc="867CD5EE" w:tentative="1">
      <w:start w:val="1"/>
      <w:numFmt w:val="bullet"/>
      <w:lvlText w:val=""/>
      <w:lvlJc w:val="left"/>
      <w:pPr>
        <w:ind w:left="2880" w:hanging="360"/>
      </w:pPr>
      <w:rPr>
        <w:rFonts w:ascii="Symbol" w:hAnsi="Symbol" w:hint="default"/>
      </w:rPr>
    </w:lvl>
    <w:lvl w:ilvl="4" w:tplc="9460A634" w:tentative="1">
      <w:start w:val="1"/>
      <w:numFmt w:val="bullet"/>
      <w:lvlText w:val="o"/>
      <w:lvlJc w:val="left"/>
      <w:pPr>
        <w:ind w:left="3600" w:hanging="360"/>
      </w:pPr>
      <w:rPr>
        <w:rFonts w:ascii="Courier New" w:hAnsi="Courier New" w:cs="Courier New" w:hint="default"/>
      </w:rPr>
    </w:lvl>
    <w:lvl w:ilvl="5" w:tplc="820A5FC4" w:tentative="1">
      <w:start w:val="1"/>
      <w:numFmt w:val="bullet"/>
      <w:lvlText w:val=""/>
      <w:lvlJc w:val="left"/>
      <w:pPr>
        <w:ind w:left="4320" w:hanging="360"/>
      </w:pPr>
      <w:rPr>
        <w:rFonts w:ascii="Wingdings" w:hAnsi="Wingdings" w:hint="default"/>
      </w:rPr>
    </w:lvl>
    <w:lvl w:ilvl="6" w:tplc="56C41B06" w:tentative="1">
      <w:start w:val="1"/>
      <w:numFmt w:val="bullet"/>
      <w:lvlText w:val=""/>
      <w:lvlJc w:val="left"/>
      <w:pPr>
        <w:ind w:left="5040" w:hanging="360"/>
      </w:pPr>
      <w:rPr>
        <w:rFonts w:ascii="Symbol" w:hAnsi="Symbol" w:hint="default"/>
      </w:rPr>
    </w:lvl>
    <w:lvl w:ilvl="7" w:tplc="280832EC" w:tentative="1">
      <w:start w:val="1"/>
      <w:numFmt w:val="bullet"/>
      <w:lvlText w:val="o"/>
      <w:lvlJc w:val="left"/>
      <w:pPr>
        <w:ind w:left="5760" w:hanging="360"/>
      </w:pPr>
      <w:rPr>
        <w:rFonts w:ascii="Courier New" w:hAnsi="Courier New" w:cs="Courier New" w:hint="default"/>
      </w:rPr>
    </w:lvl>
    <w:lvl w:ilvl="8" w:tplc="F0E2A37A" w:tentative="1">
      <w:start w:val="1"/>
      <w:numFmt w:val="bullet"/>
      <w:lvlText w:val=""/>
      <w:lvlJc w:val="left"/>
      <w:pPr>
        <w:ind w:left="6480" w:hanging="360"/>
      </w:pPr>
      <w:rPr>
        <w:rFonts w:ascii="Wingdings" w:hAnsi="Wingdings" w:hint="default"/>
      </w:rPr>
    </w:lvl>
  </w:abstractNum>
  <w:abstractNum w:abstractNumId="10">
    <w:nsid w:val="3A7D0B83"/>
    <w:multiLevelType w:val="hybridMultilevel"/>
    <w:tmpl w:val="A5B0C750"/>
    <w:lvl w:ilvl="0" w:tplc="C984837E">
      <w:start w:val="1"/>
      <w:numFmt w:val="bullet"/>
      <w:lvlText w:val=""/>
      <w:lvlJc w:val="left"/>
      <w:pPr>
        <w:ind w:left="1080" w:hanging="360"/>
      </w:pPr>
      <w:rPr>
        <w:rFonts w:ascii="Symbol" w:hAnsi="Symbol" w:hint="default"/>
      </w:rPr>
    </w:lvl>
    <w:lvl w:ilvl="1" w:tplc="FC4C7CA4" w:tentative="1">
      <w:start w:val="1"/>
      <w:numFmt w:val="bullet"/>
      <w:lvlText w:val="o"/>
      <w:lvlJc w:val="left"/>
      <w:pPr>
        <w:ind w:left="1800" w:hanging="360"/>
      </w:pPr>
      <w:rPr>
        <w:rFonts w:ascii="Courier New" w:hAnsi="Courier New" w:cs="Courier New" w:hint="default"/>
      </w:rPr>
    </w:lvl>
    <w:lvl w:ilvl="2" w:tplc="1292C50E" w:tentative="1">
      <w:start w:val="1"/>
      <w:numFmt w:val="bullet"/>
      <w:lvlText w:val=""/>
      <w:lvlJc w:val="left"/>
      <w:pPr>
        <w:ind w:left="2520" w:hanging="360"/>
      </w:pPr>
      <w:rPr>
        <w:rFonts w:ascii="Wingdings" w:hAnsi="Wingdings" w:hint="default"/>
      </w:rPr>
    </w:lvl>
    <w:lvl w:ilvl="3" w:tplc="25081682" w:tentative="1">
      <w:start w:val="1"/>
      <w:numFmt w:val="bullet"/>
      <w:lvlText w:val=""/>
      <w:lvlJc w:val="left"/>
      <w:pPr>
        <w:ind w:left="3240" w:hanging="360"/>
      </w:pPr>
      <w:rPr>
        <w:rFonts w:ascii="Symbol" w:hAnsi="Symbol" w:hint="default"/>
      </w:rPr>
    </w:lvl>
    <w:lvl w:ilvl="4" w:tplc="FE6C2624" w:tentative="1">
      <w:start w:val="1"/>
      <w:numFmt w:val="bullet"/>
      <w:lvlText w:val="o"/>
      <w:lvlJc w:val="left"/>
      <w:pPr>
        <w:ind w:left="3960" w:hanging="360"/>
      </w:pPr>
      <w:rPr>
        <w:rFonts w:ascii="Courier New" w:hAnsi="Courier New" w:cs="Courier New" w:hint="default"/>
      </w:rPr>
    </w:lvl>
    <w:lvl w:ilvl="5" w:tplc="AC34BB26" w:tentative="1">
      <w:start w:val="1"/>
      <w:numFmt w:val="bullet"/>
      <w:lvlText w:val=""/>
      <w:lvlJc w:val="left"/>
      <w:pPr>
        <w:ind w:left="4680" w:hanging="360"/>
      </w:pPr>
      <w:rPr>
        <w:rFonts w:ascii="Wingdings" w:hAnsi="Wingdings" w:hint="default"/>
      </w:rPr>
    </w:lvl>
    <w:lvl w:ilvl="6" w:tplc="425E5D64" w:tentative="1">
      <w:start w:val="1"/>
      <w:numFmt w:val="bullet"/>
      <w:lvlText w:val=""/>
      <w:lvlJc w:val="left"/>
      <w:pPr>
        <w:ind w:left="5400" w:hanging="360"/>
      </w:pPr>
      <w:rPr>
        <w:rFonts w:ascii="Symbol" w:hAnsi="Symbol" w:hint="default"/>
      </w:rPr>
    </w:lvl>
    <w:lvl w:ilvl="7" w:tplc="5D5E5942" w:tentative="1">
      <w:start w:val="1"/>
      <w:numFmt w:val="bullet"/>
      <w:lvlText w:val="o"/>
      <w:lvlJc w:val="left"/>
      <w:pPr>
        <w:ind w:left="6120" w:hanging="360"/>
      </w:pPr>
      <w:rPr>
        <w:rFonts w:ascii="Courier New" w:hAnsi="Courier New" w:cs="Courier New" w:hint="default"/>
      </w:rPr>
    </w:lvl>
    <w:lvl w:ilvl="8" w:tplc="BC3869E0" w:tentative="1">
      <w:start w:val="1"/>
      <w:numFmt w:val="bullet"/>
      <w:lvlText w:val=""/>
      <w:lvlJc w:val="left"/>
      <w:pPr>
        <w:ind w:left="6840" w:hanging="360"/>
      </w:pPr>
      <w:rPr>
        <w:rFonts w:ascii="Wingdings" w:hAnsi="Wingdings" w:hint="default"/>
      </w:rPr>
    </w:lvl>
  </w:abstractNum>
  <w:abstractNum w:abstractNumId="11">
    <w:nsid w:val="408B5BC3"/>
    <w:multiLevelType w:val="hybridMultilevel"/>
    <w:tmpl w:val="1C6C9A14"/>
    <w:lvl w:ilvl="0" w:tplc="5A1A0CF0">
      <w:start w:val="1"/>
      <w:numFmt w:val="decimal"/>
      <w:lvlText w:val="(%1)"/>
      <w:lvlJc w:val="left"/>
      <w:pPr>
        <w:ind w:left="720" w:hanging="360"/>
      </w:pPr>
      <w:rPr>
        <w:rFonts w:hint="default"/>
        <w:b w:val="0"/>
        <w:color w:val="auto"/>
      </w:rPr>
    </w:lvl>
    <w:lvl w:ilvl="1" w:tplc="911C4688">
      <w:start w:val="1"/>
      <w:numFmt w:val="decimal"/>
      <w:lvlText w:val="%2."/>
      <w:lvlJc w:val="left"/>
      <w:pPr>
        <w:ind w:left="435" w:hanging="435"/>
      </w:pPr>
      <w:rPr>
        <w:rFonts w:ascii="Times New Roman" w:hAnsi="Times New Roman" w:cs="Times New Roman" w:hint="default"/>
        <w:b w:val="0"/>
        <w:color w:val="auto"/>
        <w:sz w:val="24"/>
        <w:szCs w:val="24"/>
      </w:rPr>
    </w:lvl>
    <w:lvl w:ilvl="2" w:tplc="419C5902">
      <w:start w:val="1"/>
      <w:numFmt w:val="lowerRoman"/>
      <w:lvlText w:val="%3."/>
      <w:lvlJc w:val="right"/>
      <w:pPr>
        <w:ind w:left="2160" w:hanging="180"/>
      </w:pPr>
    </w:lvl>
    <w:lvl w:ilvl="3" w:tplc="F9D4C6BE" w:tentative="1">
      <w:start w:val="1"/>
      <w:numFmt w:val="decimal"/>
      <w:lvlText w:val="%4."/>
      <w:lvlJc w:val="left"/>
      <w:pPr>
        <w:ind w:left="2880" w:hanging="360"/>
      </w:pPr>
    </w:lvl>
    <w:lvl w:ilvl="4" w:tplc="1A5CC4C4" w:tentative="1">
      <w:start w:val="1"/>
      <w:numFmt w:val="lowerLetter"/>
      <w:lvlText w:val="%5."/>
      <w:lvlJc w:val="left"/>
      <w:pPr>
        <w:ind w:left="3600" w:hanging="360"/>
      </w:pPr>
    </w:lvl>
    <w:lvl w:ilvl="5" w:tplc="18BA182C" w:tentative="1">
      <w:start w:val="1"/>
      <w:numFmt w:val="lowerRoman"/>
      <w:lvlText w:val="%6."/>
      <w:lvlJc w:val="right"/>
      <w:pPr>
        <w:ind w:left="4320" w:hanging="180"/>
      </w:pPr>
    </w:lvl>
    <w:lvl w:ilvl="6" w:tplc="96D88722" w:tentative="1">
      <w:start w:val="1"/>
      <w:numFmt w:val="decimal"/>
      <w:lvlText w:val="%7."/>
      <w:lvlJc w:val="left"/>
      <w:pPr>
        <w:ind w:left="5040" w:hanging="360"/>
      </w:pPr>
    </w:lvl>
    <w:lvl w:ilvl="7" w:tplc="B7DE3058" w:tentative="1">
      <w:start w:val="1"/>
      <w:numFmt w:val="lowerLetter"/>
      <w:lvlText w:val="%8."/>
      <w:lvlJc w:val="left"/>
      <w:pPr>
        <w:ind w:left="5760" w:hanging="360"/>
      </w:pPr>
    </w:lvl>
    <w:lvl w:ilvl="8" w:tplc="1A720910" w:tentative="1">
      <w:start w:val="1"/>
      <w:numFmt w:val="lowerRoman"/>
      <w:lvlText w:val="%9."/>
      <w:lvlJc w:val="right"/>
      <w:pPr>
        <w:ind w:left="6480" w:hanging="180"/>
      </w:pPr>
    </w:lvl>
  </w:abstractNum>
  <w:abstractNum w:abstractNumId="12">
    <w:nsid w:val="45643ECD"/>
    <w:multiLevelType w:val="hybridMultilevel"/>
    <w:tmpl w:val="4BB83AAE"/>
    <w:lvl w:ilvl="0" w:tplc="A1444DDC">
      <w:start w:val="1"/>
      <w:numFmt w:val="decimal"/>
      <w:lvlText w:val="(%1)"/>
      <w:lvlJc w:val="left"/>
      <w:pPr>
        <w:ind w:left="720" w:hanging="360"/>
      </w:pPr>
      <w:rPr>
        <w:rFonts w:hint="default"/>
      </w:rPr>
    </w:lvl>
    <w:lvl w:ilvl="1" w:tplc="44363706" w:tentative="1">
      <w:start w:val="1"/>
      <w:numFmt w:val="lowerLetter"/>
      <w:lvlText w:val="%2."/>
      <w:lvlJc w:val="left"/>
      <w:pPr>
        <w:ind w:left="1440" w:hanging="360"/>
      </w:pPr>
    </w:lvl>
    <w:lvl w:ilvl="2" w:tplc="31C482FC" w:tentative="1">
      <w:start w:val="1"/>
      <w:numFmt w:val="lowerRoman"/>
      <w:lvlText w:val="%3."/>
      <w:lvlJc w:val="right"/>
      <w:pPr>
        <w:ind w:left="2160" w:hanging="180"/>
      </w:pPr>
    </w:lvl>
    <w:lvl w:ilvl="3" w:tplc="6D74858E" w:tentative="1">
      <w:start w:val="1"/>
      <w:numFmt w:val="decimal"/>
      <w:lvlText w:val="%4."/>
      <w:lvlJc w:val="left"/>
      <w:pPr>
        <w:ind w:left="2880" w:hanging="360"/>
      </w:pPr>
    </w:lvl>
    <w:lvl w:ilvl="4" w:tplc="0E1EFA84" w:tentative="1">
      <w:start w:val="1"/>
      <w:numFmt w:val="lowerLetter"/>
      <w:lvlText w:val="%5."/>
      <w:lvlJc w:val="left"/>
      <w:pPr>
        <w:ind w:left="3600" w:hanging="360"/>
      </w:pPr>
    </w:lvl>
    <w:lvl w:ilvl="5" w:tplc="518CB69C" w:tentative="1">
      <w:start w:val="1"/>
      <w:numFmt w:val="lowerRoman"/>
      <w:lvlText w:val="%6."/>
      <w:lvlJc w:val="right"/>
      <w:pPr>
        <w:ind w:left="4320" w:hanging="180"/>
      </w:pPr>
    </w:lvl>
    <w:lvl w:ilvl="6" w:tplc="FC98E7D2" w:tentative="1">
      <w:start w:val="1"/>
      <w:numFmt w:val="decimal"/>
      <w:lvlText w:val="%7."/>
      <w:lvlJc w:val="left"/>
      <w:pPr>
        <w:ind w:left="5040" w:hanging="360"/>
      </w:pPr>
    </w:lvl>
    <w:lvl w:ilvl="7" w:tplc="227C430C" w:tentative="1">
      <w:start w:val="1"/>
      <w:numFmt w:val="lowerLetter"/>
      <w:lvlText w:val="%8."/>
      <w:lvlJc w:val="left"/>
      <w:pPr>
        <w:ind w:left="5760" w:hanging="360"/>
      </w:pPr>
    </w:lvl>
    <w:lvl w:ilvl="8" w:tplc="B392A0AE" w:tentative="1">
      <w:start w:val="1"/>
      <w:numFmt w:val="lowerRoman"/>
      <w:lvlText w:val="%9."/>
      <w:lvlJc w:val="right"/>
      <w:pPr>
        <w:ind w:left="6480" w:hanging="180"/>
      </w:pPr>
    </w:lvl>
  </w:abstractNum>
  <w:abstractNum w:abstractNumId="13">
    <w:nsid w:val="46183FB1"/>
    <w:multiLevelType w:val="hybridMultilevel"/>
    <w:tmpl w:val="3FC86808"/>
    <w:lvl w:ilvl="0" w:tplc="0EA2CFFE">
      <w:start w:val="1"/>
      <w:numFmt w:val="bullet"/>
      <w:lvlText w:val=""/>
      <w:lvlJc w:val="left"/>
      <w:pPr>
        <w:ind w:left="720" w:hanging="360"/>
      </w:pPr>
      <w:rPr>
        <w:rFonts w:ascii="Symbol" w:hAnsi="Symbol" w:hint="default"/>
      </w:rPr>
    </w:lvl>
    <w:lvl w:ilvl="1" w:tplc="FB7C58DA" w:tentative="1">
      <w:start w:val="1"/>
      <w:numFmt w:val="bullet"/>
      <w:lvlText w:val="o"/>
      <w:lvlJc w:val="left"/>
      <w:pPr>
        <w:ind w:left="1440" w:hanging="360"/>
      </w:pPr>
      <w:rPr>
        <w:rFonts w:ascii="Courier New" w:hAnsi="Courier New" w:hint="default"/>
      </w:rPr>
    </w:lvl>
    <w:lvl w:ilvl="2" w:tplc="30187054" w:tentative="1">
      <w:start w:val="1"/>
      <w:numFmt w:val="bullet"/>
      <w:lvlText w:val=""/>
      <w:lvlJc w:val="left"/>
      <w:pPr>
        <w:ind w:left="2160" w:hanging="360"/>
      </w:pPr>
      <w:rPr>
        <w:rFonts w:ascii="Wingdings" w:hAnsi="Wingdings" w:hint="default"/>
      </w:rPr>
    </w:lvl>
    <w:lvl w:ilvl="3" w:tplc="B1A23658" w:tentative="1">
      <w:start w:val="1"/>
      <w:numFmt w:val="bullet"/>
      <w:lvlText w:val=""/>
      <w:lvlJc w:val="left"/>
      <w:pPr>
        <w:ind w:left="2880" w:hanging="360"/>
      </w:pPr>
      <w:rPr>
        <w:rFonts w:ascii="Symbol" w:hAnsi="Symbol" w:hint="default"/>
      </w:rPr>
    </w:lvl>
    <w:lvl w:ilvl="4" w:tplc="1CA4408E" w:tentative="1">
      <w:start w:val="1"/>
      <w:numFmt w:val="bullet"/>
      <w:lvlText w:val="o"/>
      <w:lvlJc w:val="left"/>
      <w:pPr>
        <w:ind w:left="3600" w:hanging="360"/>
      </w:pPr>
      <w:rPr>
        <w:rFonts w:ascii="Courier New" w:hAnsi="Courier New" w:hint="default"/>
      </w:rPr>
    </w:lvl>
    <w:lvl w:ilvl="5" w:tplc="17B02C6C" w:tentative="1">
      <w:start w:val="1"/>
      <w:numFmt w:val="bullet"/>
      <w:lvlText w:val=""/>
      <w:lvlJc w:val="left"/>
      <w:pPr>
        <w:ind w:left="4320" w:hanging="360"/>
      </w:pPr>
      <w:rPr>
        <w:rFonts w:ascii="Wingdings" w:hAnsi="Wingdings" w:hint="default"/>
      </w:rPr>
    </w:lvl>
    <w:lvl w:ilvl="6" w:tplc="B2B8DBC8" w:tentative="1">
      <w:start w:val="1"/>
      <w:numFmt w:val="bullet"/>
      <w:lvlText w:val=""/>
      <w:lvlJc w:val="left"/>
      <w:pPr>
        <w:ind w:left="5040" w:hanging="360"/>
      </w:pPr>
      <w:rPr>
        <w:rFonts w:ascii="Symbol" w:hAnsi="Symbol" w:hint="default"/>
      </w:rPr>
    </w:lvl>
    <w:lvl w:ilvl="7" w:tplc="3588F822" w:tentative="1">
      <w:start w:val="1"/>
      <w:numFmt w:val="bullet"/>
      <w:lvlText w:val="o"/>
      <w:lvlJc w:val="left"/>
      <w:pPr>
        <w:ind w:left="5760" w:hanging="360"/>
      </w:pPr>
      <w:rPr>
        <w:rFonts w:ascii="Courier New" w:hAnsi="Courier New" w:hint="default"/>
      </w:rPr>
    </w:lvl>
    <w:lvl w:ilvl="8" w:tplc="D3308856" w:tentative="1">
      <w:start w:val="1"/>
      <w:numFmt w:val="bullet"/>
      <w:lvlText w:val=""/>
      <w:lvlJc w:val="left"/>
      <w:pPr>
        <w:ind w:left="6480" w:hanging="360"/>
      </w:pPr>
      <w:rPr>
        <w:rFonts w:ascii="Wingdings" w:hAnsi="Wingdings" w:hint="default"/>
      </w:rPr>
    </w:lvl>
  </w:abstractNum>
  <w:abstractNum w:abstractNumId="14">
    <w:nsid w:val="574A7299"/>
    <w:multiLevelType w:val="hybridMultilevel"/>
    <w:tmpl w:val="4E66386C"/>
    <w:lvl w:ilvl="0" w:tplc="466E7DB8">
      <w:start w:val="1"/>
      <w:numFmt w:val="upperLetter"/>
      <w:lvlText w:val="%1."/>
      <w:lvlJc w:val="left"/>
      <w:pPr>
        <w:ind w:left="720" w:hanging="360"/>
      </w:pPr>
      <w:rPr>
        <w:rFonts w:hint="default"/>
      </w:rPr>
    </w:lvl>
    <w:lvl w:ilvl="1" w:tplc="8966A702">
      <w:start w:val="1"/>
      <w:numFmt w:val="lowerLetter"/>
      <w:lvlText w:val="%2."/>
      <w:lvlJc w:val="left"/>
      <w:pPr>
        <w:ind w:left="1440" w:hanging="360"/>
      </w:pPr>
    </w:lvl>
    <w:lvl w:ilvl="2" w:tplc="A8601128" w:tentative="1">
      <w:start w:val="1"/>
      <w:numFmt w:val="lowerRoman"/>
      <w:lvlText w:val="%3."/>
      <w:lvlJc w:val="right"/>
      <w:pPr>
        <w:ind w:left="2160" w:hanging="180"/>
      </w:pPr>
    </w:lvl>
    <w:lvl w:ilvl="3" w:tplc="A4E43A98" w:tentative="1">
      <w:start w:val="1"/>
      <w:numFmt w:val="decimal"/>
      <w:lvlText w:val="%4."/>
      <w:lvlJc w:val="left"/>
      <w:pPr>
        <w:ind w:left="2880" w:hanging="360"/>
      </w:pPr>
    </w:lvl>
    <w:lvl w:ilvl="4" w:tplc="320073DA" w:tentative="1">
      <w:start w:val="1"/>
      <w:numFmt w:val="lowerLetter"/>
      <w:lvlText w:val="%5."/>
      <w:lvlJc w:val="left"/>
      <w:pPr>
        <w:ind w:left="3600" w:hanging="360"/>
      </w:pPr>
    </w:lvl>
    <w:lvl w:ilvl="5" w:tplc="DFF076DE" w:tentative="1">
      <w:start w:val="1"/>
      <w:numFmt w:val="lowerRoman"/>
      <w:lvlText w:val="%6."/>
      <w:lvlJc w:val="right"/>
      <w:pPr>
        <w:ind w:left="4320" w:hanging="180"/>
      </w:pPr>
    </w:lvl>
    <w:lvl w:ilvl="6" w:tplc="7E12E8B8" w:tentative="1">
      <w:start w:val="1"/>
      <w:numFmt w:val="decimal"/>
      <w:lvlText w:val="%7."/>
      <w:lvlJc w:val="left"/>
      <w:pPr>
        <w:ind w:left="5040" w:hanging="360"/>
      </w:pPr>
    </w:lvl>
    <w:lvl w:ilvl="7" w:tplc="95682344" w:tentative="1">
      <w:start w:val="1"/>
      <w:numFmt w:val="lowerLetter"/>
      <w:lvlText w:val="%8."/>
      <w:lvlJc w:val="left"/>
      <w:pPr>
        <w:ind w:left="5760" w:hanging="360"/>
      </w:pPr>
    </w:lvl>
    <w:lvl w:ilvl="8" w:tplc="3BA821C2" w:tentative="1">
      <w:start w:val="1"/>
      <w:numFmt w:val="lowerRoman"/>
      <w:lvlText w:val="%9."/>
      <w:lvlJc w:val="right"/>
      <w:pPr>
        <w:ind w:left="6480" w:hanging="180"/>
      </w:pPr>
    </w:lvl>
  </w:abstractNum>
  <w:abstractNum w:abstractNumId="15">
    <w:nsid w:val="5A610FC7"/>
    <w:multiLevelType w:val="hybridMultilevel"/>
    <w:tmpl w:val="04C2CEAE"/>
    <w:lvl w:ilvl="0" w:tplc="8DEC4346">
      <w:start w:val="1"/>
      <w:numFmt w:val="upperLetter"/>
      <w:lvlText w:val="%1."/>
      <w:lvlJc w:val="left"/>
      <w:pPr>
        <w:ind w:left="720" w:hanging="360"/>
      </w:pPr>
      <w:rPr>
        <w:rFonts w:hint="default"/>
      </w:rPr>
    </w:lvl>
    <w:lvl w:ilvl="1" w:tplc="575CD78C" w:tentative="1">
      <w:start w:val="1"/>
      <w:numFmt w:val="lowerLetter"/>
      <w:lvlText w:val="%2."/>
      <w:lvlJc w:val="left"/>
      <w:pPr>
        <w:ind w:left="1440" w:hanging="360"/>
      </w:pPr>
    </w:lvl>
    <w:lvl w:ilvl="2" w:tplc="B9708C10" w:tentative="1">
      <w:start w:val="1"/>
      <w:numFmt w:val="lowerRoman"/>
      <w:lvlText w:val="%3."/>
      <w:lvlJc w:val="right"/>
      <w:pPr>
        <w:ind w:left="2160" w:hanging="180"/>
      </w:pPr>
    </w:lvl>
    <w:lvl w:ilvl="3" w:tplc="A838EF8C" w:tentative="1">
      <w:start w:val="1"/>
      <w:numFmt w:val="decimal"/>
      <w:lvlText w:val="%4."/>
      <w:lvlJc w:val="left"/>
      <w:pPr>
        <w:ind w:left="2880" w:hanging="360"/>
      </w:pPr>
    </w:lvl>
    <w:lvl w:ilvl="4" w:tplc="5E0C744A" w:tentative="1">
      <w:start w:val="1"/>
      <w:numFmt w:val="lowerLetter"/>
      <w:lvlText w:val="%5."/>
      <w:lvlJc w:val="left"/>
      <w:pPr>
        <w:ind w:left="3600" w:hanging="360"/>
      </w:pPr>
    </w:lvl>
    <w:lvl w:ilvl="5" w:tplc="D7022878" w:tentative="1">
      <w:start w:val="1"/>
      <w:numFmt w:val="lowerRoman"/>
      <w:lvlText w:val="%6."/>
      <w:lvlJc w:val="right"/>
      <w:pPr>
        <w:ind w:left="4320" w:hanging="180"/>
      </w:pPr>
    </w:lvl>
    <w:lvl w:ilvl="6" w:tplc="D4403176" w:tentative="1">
      <w:start w:val="1"/>
      <w:numFmt w:val="decimal"/>
      <w:lvlText w:val="%7."/>
      <w:lvlJc w:val="left"/>
      <w:pPr>
        <w:ind w:left="5040" w:hanging="360"/>
      </w:pPr>
    </w:lvl>
    <w:lvl w:ilvl="7" w:tplc="01F6965C" w:tentative="1">
      <w:start w:val="1"/>
      <w:numFmt w:val="lowerLetter"/>
      <w:lvlText w:val="%8."/>
      <w:lvlJc w:val="left"/>
      <w:pPr>
        <w:ind w:left="5760" w:hanging="360"/>
      </w:pPr>
    </w:lvl>
    <w:lvl w:ilvl="8" w:tplc="E0D2557E" w:tentative="1">
      <w:start w:val="1"/>
      <w:numFmt w:val="lowerRoman"/>
      <w:lvlText w:val="%9."/>
      <w:lvlJc w:val="right"/>
      <w:pPr>
        <w:ind w:left="6480" w:hanging="180"/>
      </w:pPr>
    </w:lvl>
  </w:abstractNum>
  <w:abstractNum w:abstractNumId="16">
    <w:nsid w:val="6EC4229C"/>
    <w:multiLevelType w:val="hybridMultilevel"/>
    <w:tmpl w:val="FFAE7F08"/>
    <w:lvl w:ilvl="0" w:tplc="ADC4D468">
      <w:start w:val="1"/>
      <w:numFmt w:val="bullet"/>
      <w:lvlText w:val=""/>
      <w:lvlJc w:val="left"/>
      <w:pPr>
        <w:ind w:left="720" w:hanging="360"/>
      </w:pPr>
      <w:rPr>
        <w:rFonts w:ascii="Symbol" w:hAnsi="Symbol" w:hint="default"/>
      </w:rPr>
    </w:lvl>
    <w:lvl w:ilvl="1" w:tplc="1F36CDBE" w:tentative="1">
      <w:start w:val="1"/>
      <w:numFmt w:val="bullet"/>
      <w:lvlText w:val="o"/>
      <w:lvlJc w:val="left"/>
      <w:pPr>
        <w:ind w:left="1440" w:hanging="360"/>
      </w:pPr>
      <w:rPr>
        <w:rFonts w:ascii="Courier New" w:hAnsi="Courier New" w:cs="Courier New" w:hint="default"/>
      </w:rPr>
    </w:lvl>
    <w:lvl w:ilvl="2" w:tplc="7D2C6CCE" w:tentative="1">
      <w:start w:val="1"/>
      <w:numFmt w:val="bullet"/>
      <w:lvlText w:val=""/>
      <w:lvlJc w:val="left"/>
      <w:pPr>
        <w:ind w:left="2160" w:hanging="360"/>
      </w:pPr>
      <w:rPr>
        <w:rFonts w:ascii="Wingdings" w:hAnsi="Wingdings" w:hint="default"/>
      </w:rPr>
    </w:lvl>
    <w:lvl w:ilvl="3" w:tplc="7E88B538" w:tentative="1">
      <w:start w:val="1"/>
      <w:numFmt w:val="bullet"/>
      <w:lvlText w:val=""/>
      <w:lvlJc w:val="left"/>
      <w:pPr>
        <w:ind w:left="2880" w:hanging="360"/>
      </w:pPr>
      <w:rPr>
        <w:rFonts w:ascii="Symbol" w:hAnsi="Symbol" w:hint="default"/>
      </w:rPr>
    </w:lvl>
    <w:lvl w:ilvl="4" w:tplc="9D1EEECA" w:tentative="1">
      <w:start w:val="1"/>
      <w:numFmt w:val="bullet"/>
      <w:lvlText w:val="o"/>
      <w:lvlJc w:val="left"/>
      <w:pPr>
        <w:ind w:left="3600" w:hanging="360"/>
      </w:pPr>
      <w:rPr>
        <w:rFonts w:ascii="Courier New" w:hAnsi="Courier New" w:cs="Courier New" w:hint="default"/>
      </w:rPr>
    </w:lvl>
    <w:lvl w:ilvl="5" w:tplc="71E01848" w:tentative="1">
      <w:start w:val="1"/>
      <w:numFmt w:val="bullet"/>
      <w:lvlText w:val=""/>
      <w:lvlJc w:val="left"/>
      <w:pPr>
        <w:ind w:left="4320" w:hanging="360"/>
      </w:pPr>
      <w:rPr>
        <w:rFonts w:ascii="Wingdings" w:hAnsi="Wingdings" w:hint="default"/>
      </w:rPr>
    </w:lvl>
    <w:lvl w:ilvl="6" w:tplc="EE6C2698" w:tentative="1">
      <w:start w:val="1"/>
      <w:numFmt w:val="bullet"/>
      <w:lvlText w:val=""/>
      <w:lvlJc w:val="left"/>
      <w:pPr>
        <w:ind w:left="5040" w:hanging="360"/>
      </w:pPr>
      <w:rPr>
        <w:rFonts w:ascii="Symbol" w:hAnsi="Symbol" w:hint="default"/>
      </w:rPr>
    </w:lvl>
    <w:lvl w:ilvl="7" w:tplc="028273AC" w:tentative="1">
      <w:start w:val="1"/>
      <w:numFmt w:val="bullet"/>
      <w:lvlText w:val="o"/>
      <w:lvlJc w:val="left"/>
      <w:pPr>
        <w:ind w:left="5760" w:hanging="360"/>
      </w:pPr>
      <w:rPr>
        <w:rFonts w:ascii="Courier New" w:hAnsi="Courier New" w:cs="Courier New" w:hint="default"/>
      </w:rPr>
    </w:lvl>
    <w:lvl w:ilvl="8" w:tplc="FCACEF6E" w:tentative="1">
      <w:start w:val="1"/>
      <w:numFmt w:val="bullet"/>
      <w:lvlText w:val=""/>
      <w:lvlJc w:val="left"/>
      <w:pPr>
        <w:ind w:left="6480" w:hanging="360"/>
      </w:pPr>
      <w:rPr>
        <w:rFonts w:ascii="Wingdings" w:hAnsi="Wingdings" w:hint="default"/>
      </w:rPr>
    </w:lvl>
  </w:abstractNum>
  <w:abstractNum w:abstractNumId="17">
    <w:nsid w:val="70332AD7"/>
    <w:multiLevelType w:val="hybridMultilevel"/>
    <w:tmpl w:val="4BB83AAE"/>
    <w:lvl w:ilvl="0" w:tplc="F842C92C">
      <w:start w:val="1"/>
      <w:numFmt w:val="decimal"/>
      <w:lvlText w:val="(%1)"/>
      <w:lvlJc w:val="left"/>
      <w:pPr>
        <w:ind w:left="720" w:hanging="360"/>
      </w:pPr>
      <w:rPr>
        <w:rFonts w:hint="default"/>
      </w:rPr>
    </w:lvl>
    <w:lvl w:ilvl="1" w:tplc="4E0219EC" w:tentative="1">
      <w:start w:val="1"/>
      <w:numFmt w:val="lowerLetter"/>
      <w:lvlText w:val="%2."/>
      <w:lvlJc w:val="left"/>
      <w:pPr>
        <w:ind w:left="1440" w:hanging="360"/>
      </w:pPr>
    </w:lvl>
    <w:lvl w:ilvl="2" w:tplc="D5F49944" w:tentative="1">
      <w:start w:val="1"/>
      <w:numFmt w:val="lowerRoman"/>
      <w:lvlText w:val="%3."/>
      <w:lvlJc w:val="right"/>
      <w:pPr>
        <w:ind w:left="2160" w:hanging="180"/>
      </w:pPr>
    </w:lvl>
    <w:lvl w:ilvl="3" w:tplc="69F8EAA0" w:tentative="1">
      <w:start w:val="1"/>
      <w:numFmt w:val="decimal"/>
      <w:lvlText w:val="%4."/>
      <w:lvlJc w:val="left"/>
      <w:pPr>
        <w:ind w:left="2880" w:hanging="360"/>
      </w:pPr>
    </w:lvl>
    <w:lvl w:ilvl="4" w:tplc="AAC02B82" w:tentative="1">
      <w:start w:val="1"/>
      <w:numFmt w:val="lowerLetter"/>
      <w:lvlText w:val="%5."/>
      <w:lvlJc w:val="left"/>
      <w:pPr>
        <w:ind w:left="3600" w:hanging="360"/>
      </w:pPr>
    </w:lvl>
    <w:lvl w:ilvl="5" w:tplc="74204B1C" w:tentative="1">
      <w:start w:val="1"/>
      <w:numFmt w:val="lowerRoman"/>
      <w:lvlText w:val="%6."/>
      <w:lvlJc w:val="right"/>
      <w:pPr>
        <w:ind w:left="4320" w:hanging="180"/>
      </w:pPr>
    </w:lvl>
    <w:lvl w:ilvl="6" w:tplc="D8165090" w:tentative="1">
      <w:start w:val="1"/>
      <w:numFmt w:val="decimal"/>
      <w:lvlText w:val="%7."/>
      <w:lvlJc w:val="left"/>
      <w:pPr>
        <w:ind w:left="5040" w:hanging="360"/>
      </w:pPr>
    </w:lvl>
    <w:lvl w:ilvl="7" w:tplc="15CA2CB2" w:tentative="1">
      <w:start w:val="1"/>
      <w:numFmt w:val="lowerLetter"/>
      <w:lvlText w:val="%8."/>
      <w:lvlJc w:val="left"/>
      <w:pPr>
        <w:ind w:left="5760" w:hanging="360"/>
      </w:pPr>
    </w:lvl>
    <w:lvl w:ilvl="8" w:tplc="000AF306" w:tentative="1">
      <w:start w:val="1"/>
      <w:numFmt w:val="lowerRoman"/>
      <w:lvlText w:val="%9."/>
      <w:lvlJc w:val="right"/>
      <w:pPr>
        <w:ind w:left="6480" w:hanging="180"/>
      </w:pPr>
    </w:lvl>
  </w:abstractNum>
  <w:abstractNum w:abstractNumId="18">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19">
    <w:nsid w:val="7D585AC1"/>
    <w:multiLevelType w:val="hybridMultilevel"/>
    <w:tmpl w:val="45CE6E98"/>
    <w:lvl w:ilvl="0" w:tplc="CCFA07BA">
      <w:start w:val="1"/>
      <w:numFmt w:val="decimal"/>
      <w:lvlText w:val="(%1)"/>
      <w:lvlJc w:val="left"/>
      <w:pPr>
        <w:ind w:left="720" w:hanging="360"/>
      </w:pPr>
      <w:rPr>
        <w:rFonts w:hint="default"/>
        <w:b w:val="0"/>
        <w:color w:val="auto"/>
      </w:rPr>
    </w:lvl>
    <w:lvl w:ilvl="1" w:tplc="D812E438">
      <w:start w:val="1"/>
      <w:numFmt w:val="upperLetter"/>
      <w:lvlText w:val="%2."/>
      <w:lvlJc w:val="left"/>
      <w:pPr>
        <w:ind w:left="435" w:hanging="435"/>
      </w:pPr>
      <w:rPr>
        <w:rFonts w:hint="default"/>
        <w:b/>
        <w:color w:val="auto"/>
        <w:sz w:val="24"/>
        <w:szCs w:val="24"/>
      </w:rPr>
    </w:lvl>
    <w:lvl w:ilvl="2" w:tplc="D78CB828">
      <w:start w:val="1"/>
      <w:numFmt w:val="lowerRoman"/>
      <w:lvlText w:val="%3."/>
      <w:lvlJc w:val="right"/>
      <w:pPr>
        <w:ind w:left="2160" w:hanging="180"/>
      </w:pPr>
    </w:lvl>
    <w:lvl w:ilvl="3" w:tplc="4EEE74E6" w:tentative="1">
      <w:start w:val="1"/>
      <w:numFmt w:val="decimal"/>
      <w:lvlText w:val="%4."/>
      <w:lvlJc w:val="left"/>
      <w:pPr>
        <w:ind w:left="2880" w:hanging="360"/>
      </w:pPr>
    </w:lvl>
    <w:lvl w:ilvl="4" w:tplc="17CC4538" w:tentative="1">
      <w:start w:val="1"/>
      <w:numFmt w:val="lowerLetter"/>
      <w:lvlText w:val="%5."/>
      <w:lvlJc w:val="left"/>
      <w:pPr>
        <w:ind w:left="3600" w:hanging="360"/>
      </w:pPr>
    </w:lvl>
    <w:lvl w:ilvl="5" w:tplc="00BEC702">
      <w:start w:val="1"/>
      <w:numFmt w:val="lowerRoman"/>
      <w:lvlText w:val="%6."/>
      <w:lvlJc w:val="right"/>
      <w:pPr>
        <w:ind w:left="4320" w:hanging="180"/>
      </w:pPr>
    </w:lvl>
    <w:lvl w:ilvl="6" w:tplc="4D122EF4" w:tentative="1">
      <w:start w:val="1"/>
      <w:numFmt w:val="decimal"/>
      <w:lvlText w:val="%7."/>
      <w:lvlJc w:val="left"/>
      <w:pPr>
        <w:ind w:left="5040" w:hanging="360"/>
      </w:pPr>
    </w:lvl>
    <w:lvl w:ilvl="7" w:tplc="9AFAE0BE" w:tentative="1">
      <w:start w:val="1"/>
      <w:numFmt w:val="lowerLetter"/>
      <w:lvlText w:val="%8."/>
      <w:lvlJc w:val="left"/>
      <w:pPr>
        <w:ind w:left="5760" w:hanging="360"/>
      </w:pPr>
    </w:lvl>
    <w:lvl w:ilvl="8" w:tplc="5E2AC9D2" w:tentative="1">
      <w:start w:val="1"/>
      <w:numFmt w:val="lowerRoman"/>
      <w:lvlText w:val="%9."/>
      <w:lvlJc w:val="right"/>
      <w:pPr>
        <w:ind w:left="6480" w:hanging="180"/>
      </w:pPr>
    </w:lvl>
  </w:abstractNum>
  <w:num w:numId="1">
    <w:abstractNumId w:val="7"/>
  </w:num>
  <w:num w:numId="2">
    <w:abstractNumId w:val="18"/>
  </w:num>
  <w:num w:numId="3">
    <w:abstractNumId w:val="5"/>
  </w:num>
  <w:num w:numId="4">
    <w:abstractNumId w:val="10"/>
  </w:num>
  <w:num w:numId="5">
    <w:abstractNumId w:val="17"/>
  </w:num>
  <w:num w:numId="6">
    <w:abstractNumId w:val="13"/>
  </w:num>
  <w:num w:numId="7">
    <w:abstractNumId w:val="2"/>
  </w:num>
  <w:num w:numId="8">
    <w:abstractNumId w:val="4"/>
  </w:num>
  <w:num w:numId="9">
    <w:abstractNumId w:val="8"/>
  </w:num>
  <w:num w:numId="10">
    <w:abstractNumId w:val="3"/>
  </w:num>
  <w:num w:numId="11">
    <w:abstractNumId w:val="16"/>
  </w:num>
  <w:num w:numId="12">
    <w:abstractNumId w:val="9"/>
  </w:num>
  <w:num w:numId="13">
    <w:abstractNumId w:val="12"/>
  </w:num>
  <w:num w:numId="14">
    <w:abstractNumId w:val="1"/>
  </w:num>
  <w:num w:numId="15">
    <w:abstractNumId w:val="11"/>
  </w:num>
  <w:num w:numId="16">
    <w:abstractNumId w:val="19"/>
  </w:num>
  <w:num w:numId="1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removePersonalInformation/>
  <w:bordersDoNotSurroundHeader/>
  <w:bordersDoNotSurroundFooter/>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75"/>
    <w:rsid w:val="000F05A1"/>
    <w:rsid w:val="00461051"/>
    <w:rsid w:val="004735AE"/>
    <w:rsid w:val="006924C9"/>
    <w:rsid w:val="00787145"/>
    <w:rsid w:val="00880C5A"/>
    <w:rsid w:val="009D684E"/>
    <w:rsid w:val="00A36507"/>
    <w:rsid w:val="00AC1AAA"/>
    <w:rsid w:val="00CC2C83"/>
    <w:rsid w:val="00D911A9"/>
    <w:rsid w:val="00D92775"/>
    <w:rsid w:val="00E94ABC"/>
    <w:rsid w:val="00E94D42"/>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JWitnesses@be.jw.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D2A25-24F9-4606-A441-9AF9892502C5}">
  <ds:schemaRefs>
    <ds:schemaRef ds:uri="http://schemas.microsoft.com/sharepoint/v3/contenttype/forms"/>
  </ds:schemaRefs>
</ds:datastoreItem>
</file>

<file path=customXml/itemProps2.xml><?xml version="1.0" encoding="utf-8"?>
<ds:datastoreItem xmlns:ds="http://schemas.openxmlformats.org/officeDocument/2006/customXml" ds:itemID="{8FB34BF2-9EEB-4C07-940C-567861B94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6B3D45E-45F9-4D32-A5B3-64929F7C16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042353-164C-1749-8235-55081B5C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2046</Words>
  <Characters>11664</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2018-06-25T09:03:00Z</dcterms:created>
  <dcterms:modified xsi:type="dcterms:W3CDTF">2018-06-25T09:03:00Z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d">
    <vt:lpwstr>1257024</vt:lpwstr>
  </property>
  <property fmtid="{D5CDD505-2E9C-101B-9397-08002B2CF9AE}" pid="3" name="ContentTypeId">
    <vt:lpwstr>0x010100D94DC6E63E0E4C40BB58A92BBDBC479C</vt:lpwstr>
  </property>
</Properties>
</file>