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121F" w:rsidRDefault="009E4E97">
      <w:pPr>
        <w:rPr>
          <w:b/>
          <w:bCs/>
        </w:rPr>
      </w:pPr>
      <w:r>
        <w:rPr>
          <w:b/>
          <w:bCs/>
        </w:rPr>
        <w:t>Informe sobre el cumplimiento del Pacto Internacional de Derechos Civiles y Políticos en Guatemala:</w:t>
      </w:r>
      <w:r w:rsidR="000C0DAC">
        <w:rPr>
          <w:b/>
          <w:bCs/>
        </w:rPr>
        <w:t xml:space="preserve"> El Derecho a la </w:t>
      </w:r>
      <w:r>
        <w:rPr>
          <w:b/>
          <w:bCs/>
        </w:rPr>
        <w:t>TIERRA</w:t>
      </w:r>
      <w:r w:rsidR="000C0DAC">
        <w:rPr>
          <w:b/>
          <w:bCs/>
        </w:rPr>
        <w:t xml:space="preserve"> en Guatemala</w:t>
      </w:r>
      <w:r w:rsidR="00F83D71">
        <w:rPr>
          <w:rStyle w:val="Refdenotaalpie"/>
          <w:b/>
          <w:bCs/>
        </w:rPr>
        <w:footnoteReference w:id="1"/>
      </w:r>
    </w:p>
    <w:p w:rsidR="00B6121F" w:rsidRDefault="009E4E97">
      <w:pPr>
        <w:rPr>
          <w:b/>
        </w:rPr>
      </w:pPr>
      <w:r>
        <w:rPr>
          <w:b/>
        </w:rPr>
        <w:t>--------</w:t>
      </w:r>
    </w:p>
    <w:p w:rsidR="00B6121F" w:rsidRDefault="009E4E97">
      <w:r>
        <w:rPr>
          <w:b/>
        </w:rPr>
        <w:t xml:space="preserve">Situación agraria en Guatemala: conflictividad </w:t>
      </w:r>
      <w:r w:rsidR="00D871A4">
        <w:rPr>
          <w:b/>
        </w:rPr>
        <w:t>territorial, precariedad</w:t>
      </w:r>
      <w:r>
        <w:rPr>
          <w:b/>
        </w:rPr>
        <w:t xml:space="preserve"> institucional</w:t>
      </w:r>
      <w:r w:rsidR="000C0DAC">
        <w:rPr>
          <w:b/>
        </w:rPr>
        <w:t xml:space="preserve"> e impunidad</w:t>
      </w:r>
    </w:p>
    <w:p w:rsidR="0074558C" w:rsidRPr="0074558C" w:rsidRDefault="007046C0" w:rsidP="0074558C">
      <w:pPr>
        <w:rPr>
          <w:color w:val="00000A"/>
        </w:rPr>
      </w:pPr>
      <w:r>
        <w:t xml:space="preserve">1.- </w:t>
      </w:r>
      <w:r w:rsidR="009E4E97">
        <w:t xml:space="preserve">Comparando los censos agropecuarios de 1950 (fecha del primer censo oficial) y </w:t>
      </w:r>
      <w:r w:rsidR="009E4E97">
        <w:rPr>
          <w:color w:val="00000A"/>
        </w:rPr>
        <w:t xml:space="preserve">2003 (último censo), se observa una fragmentación cada vez mayor de las tierras campesinas, así como una mayor concentración de los latifundios. Esto se traduce en una de las más altas </w:t>
      </w:r>
      <w:r w:rsidR="009E4E97" w:rsidRPr="007046C0">
        <w:rPr>
          <w:b/>
          <w:color w:val="00000A"/>
        </w:rPr>
        <w:t>desigualdades</w:t>
      </w:r>
      <w:r w:rsidR="009E4E97">
        <w:rPr>
          <w:color w:val="00000A"/>
        </w:rPr>
        <w:t xml:space="preserve"> de acceso a la tierra en América Latina: el coeficiente GINI es de 0.84</w:t>
      </w:r>
      <w:r w:rsidR="009E4E97">
        <w:rPr>
          <w:rStyle w:val="Ancladenotafinal"/>
          <w:color w:val="00000A"/>
        </w:rPr>
        <w:endnoteReference w:id="1"/>
      </w:r>
      <w:r w:rsidR="009E4E97">
        <w:rPr>
          <w:color w:val="00000A"/>
        </w:rPr>
        <w:t>. Las fincas menores de una manzana</w:t>
      </w:r>
      <w:r w:rsidR="009E4E97">
        <w:rPr>
          <w:rStyle w:val="Ancladenotafinal"/>
          <w:color w:val="00000A"/>
        </w:rPr>
        <w:endnoteReference w:id="2"/>
      </w:r>
      <w:r w:rsidR="009E4E97">
        <w:rPr>
          <w:color w:val="00000A"/>
        </w:rPr>
        <w:t xml:space="preserve"> pasaron de constituir el 21.2% del total en 1950 al 45.2% en 2003. Es decir, casi la mitad de los productores posee sólo el 3.2% de las tierras cultivables, mientras que el 1.8% de fincas con más de una caballería</w:t>
      </w:r>
      <w:r w:rsidR="009E4E97">
        <w:rPr>
          <w:rStyle w:val="Ancladenotafinal"/>
          <w:color w:val="00000A"/>
        </w:rPr>
        <w:endnoteReference w:id="3"/>
      </w:r>
      <w:r w:rsidR="009E4E97">
        <w:rPr>
          <w:color w:val="00000A"/>
        </w:rPr>
        <w:t xml:space="preserve"> sostienen más de la mitad de todas las tierras (56.5%)</w:t>
      </w:r>
      <w:r w:rsidR="009E4E97">
        <w:rPr>
          <w:rStyle w:val="Ancladenotafinal"/>
          <w:color w:val="00000A"/>
        </w:rPr>
        <w:endnoteReference w:id="4"/>
      </w:r>
      <w:r w:rsidR="009E4E97">
        <w:rPr>
          <w:color w:val="00000A"/>
        </w:rPr>
        <w:t xml:space="preserve">. Casi 15 años después, </w:t>
      </w:r>
      <w:r w:rsidR="00F83D71" w:rsidRPr="0074558C">
        <w:rPr>
          <w:b/>
          <w:color w:val="00000A"/>
        </w:rPr>
        <w:t xml:space="preserve">la </w:t>
      </w:r>
      <w:r w:rsidR="009E4E97" w:rsidRPr="0074558C">
        <w:rPr>
          <w:b/>
          <w:color w:val="00000A"/>
        </w:rPr>
        <w:t>concentración de la tierra</w:t>
      </w:r>
      <w:r w:rsidR="00F83D71">
        <w:rPr>
          <w:color w:val="00000A"/>
        </w:rPr>
        <w:t>, en lugar de disminuir, va en aumento.</w:t>
      </w:r>
      <w:r w:rsidR="0074558C">
        <w:rPr>
          <w:color w:val="00000A"/>
        </w:rPr>
        <w:t xml:space="preserve"> </w:t>
      </w:r>
      <w:r w:rsidR="0074558C" w:rsidRPr="0074558C">
        <w:rPr>
          <w:color w:val="00000A"/>
        </w:rPr>
        <w:t xml:space="preserve">La </w:t>
      </w:r>
      <w:r w:rsidR="0074558C" w:rsidRPr="0074558C">
        <w:rPr>
          <w:b/>
          <w:color w:val="00000A"/>
        </w:rPr>
        <w:t>nula disponibilidad</w:t>
      </w:r>
      <w:r w:rsidR="0074558C" w:rsidRPr="0074558C">
        <w:rPr>
          <w:color w:val="00000A"/>
        </w:rPr>
        <w:t xml:space="preserve"> de tierras para familias campesinas se debe sobre todo a la expansión de las plantaciones de monocultivos como la palma aceitera y la caña de azúcar</w:t>
      </w:r>
      <w:r w:rsidR="0074558C">
        <w:rPr>
          <w:color w:val="00000A"/>
        </w:rPr>
        <w:t>, el banano y el hule</w:t>
      </w:r>
      <w:r w:rsidR="0074558C" w:rsidRPr="0074558C">
        <w:rPr>
          <w:color w:val="00000A"/>
        </w:rPr>
        <w:t>. Mientras que el ritmo de conversión o cambio de uso de la tierra en el caso de la palma aceitera se calcula cerca del 400%</w:t>
      </w:r>
      <w:r w:rsidR="0074558C" w:rsidRPr="0074558C">
        <w:rPr>
          <w:color w:val="00000A"/>
          <w:vertAlign w:val="superscript"/>
        </w:rPr>
        <w:endnoteReference w:id="5"/>
      </w:r>
      <w:r w:rsidR="0074558C" w:rsidRPr="0074558C">
        <w:rPr>
          <w:color w:val="00000A"/>
        </w:rPr>
        <w:t xml:space="preserve">, el cambio de cultivos varios a caña de </w:t>
      </w:r>
      <w:r w:rsidR="00D871A4" w:rsidRPr="0074558C">
        <w:rPr>
          <w:color w:val="00000A"/>
        </w:rPr>
        <w:t>azúcar</w:t>
      </w:r>
      <w:r w:rsidR="0074558C" w:rsidRPr="0074558C">
        <w:rPr>
          <w:color w:val="00000A"/>
        </w:rPr>
        <w:t xml:space="preserve"> se estima en cerca del 100%</w:t>
      </w:r>
      <w:r w:rsidR="00D30875">
        <w:rPr>
          <w:rStyle w:val="Refdenotaalfinal"/>
          <w:color w:val="00000A"/>
        </w:rPr>
        <w:endnoteReference w:id="6"/>
      </w:r>
      <w:r w:rsidR="0074558C" w:rsidRPr="0074558C">
        <w:rPr>
          <w:color w:val="00000A"/>
        </w:rPr>
        <w:t>, la producción del hule en 280%</w:t>
      </w:r>
      <w:r w:rsidR="0074558C" w:rsidRPr="0074558C">
        <w:rPr>
          <w:color w:val="00000A"/>
          <w:vertAlign w:val="superscript"/>
        </w:rPr>
        <w:endnoteReference w:id="7"/>
      </w:r>
      <w:r w:rsidR="0074558C" w:rsidRPr="0074558C">
        <w:rPr>
          <w:color w:val="00000A"/>
        </w:rPr>
        <w:t xml:space="preserve">. </w:t>
      </w:r>
    </w:p>
    <w:p w:rsidR="00F83D71" w:rsidRDefault="009E4E97">
      <w:pPr>
        <w:rPr>
          <w:color w:val="00000A"/>
        </w:rPr>
      </w:pPr>
      <w:r>
        <w:t>2.</w:t>
      </w:r>
      <w:r w:rsidR="007046C0">
        <w:t>-</w:t>
      </w:r>
      <w:r>
        <w:t xml:space="preserve">Con la firma de los Acuerdos de Paz en 1996 se pretendía fortalecer la </w:t>
      </w:r>
      <w:r w:rsidRPr="0074558C">
        <w:rPr>
          <w:b/>
        </w:rPr>
        <w:t>institucionalidad</w:t>
      </w:r>
      <w:r>
        <w:t xml:space="preserve"> estatal para el acceso a tierra con la creación de varias entidades, de las cuales sólo queda el Fondo de Tierras (FONTIERRAS)</w:t>
      </w:r>
      <w:r>
        <w:rPr>
          <w:rStyle w:val="Ancladenotafinal"/>
        </w:rPr>
        <w:endnoteReference w:id="8"/>
      </w:r>
      <w:r>
        <w:t xml:space="preserve">. </w:t>
      </w:r>
      <w:r>
        <w:rPr>
          <w:color w:val="00000A"/>
        </w:rPr>
        <w:t>Desde su inicio, funcionó como mecanismo estatal a través del cual el campesinado pudiese acceder a la propiedad o arrendamiento de tierras a través de créditos, pero nunca se llevaron a cabo procesos de adjudicación previstos en la ley</w:t>
      </w:r>
      <w:r>
        <w:rPr>
          <w:rStyle w:val="Ancladenotafinal"/>
          <w:color w:val="00000A"/>
        </w:rPr>
        <w:endnoteReference w:id="9"/>
      </w:r>
      <w:r>
        <w:rPr>
          <w:color w:val="00000A"/>
        </w:rPr>
        <w:t>, ya que se priorizaron mecanismos de mercado y no donaciones. Del año 1998 al 2013, ingresaron 1,740 solicitudes (1,110 colectivas y 640 individuales) de acceso a tierra. De estas, han sido entregadas únicamente 265 finc</w:t>
      </w:r>
      <w:r>
        <w:t>as (95,878.56 hectáreas para 20,187 familias por un monto de crédito de Q.713,107,618), correspondientes al 15% de la demanda</w:t>
      </w:r>
      <w:r>
        <w:rPr>
          <w:rStyle w:val="Ancladenotafinal"/>
        </w:rPr>
        <w:endnoteReference w:id="10"/>
      </w:r>
      <w:r>
        <w:t>. En el periodo que va de 2004 a 2013, fueron beneficiadas 460,370 familias con el programa de arrendamiento de tierras (área de 301,734 hectáreas y monto de crédito de Q.868,396,000)</w:t>
      </w:r>
      <w:r>
        <w:rPr>
          <w:rStyle w:val="Ancladenotafinal"/>
        </w:rPr>
        <w:endnoteReference w:id="11"/>
      </w:r>
      <w:r>
        <w:t>. Sin embargo, se evidencia un estancamiento en la labor de FONTIERRAS, ya que, si hasta 2009, 242 comunidades rurales (19,236 familias) fueron beneficiadas</w:t>
      </w:r>
      <w:r>
        <w:rPr>
          <w:rStyle w:val="Ancladenotafinal"/>
        </w:rPr>
        <w:endnoteReference w:id="12"/>
      </w:r>
      <w:r>
        <w:t>, de 2009 a 2013, se transfirieron únicamente 23 fincas</w:t>
      </w:r>
      <w:r>
        <w:rPr>
          <w:rStyle w:val="Ancladenotafinal"/>
        </w:rPr>
        <w:endnoteReference w:id="13"/>
      </w:r>
      <w:r>
        <w:t xml:space="preserve">. </w:t>
      </w:r>
      <w:r w:rsidR="00F83D71">
        <w:t xml:space="preserve">Se puede afirmar, </w:t>
      </w:r>
      <w:r w:rsidR="00D871A4">
        <w:t>que,</w:t>
      </w:r>
      <w:r w:rsidR="00F83D71">
        <w:t xml:space="preserve"> a través de este mecanismo, </w:t>
      </w:r>
      <w:r>
        <w:rPr>
          <w:color w:val="00000A"/>
        </w:rPr>
        <w:t xml:space="preserve">no </w:t>
      </w:r>
      <w:r w:rsidR="00F83D71">
        <w:rPr>
          <w:color w:val="00000A"/>
        </w:rPr>
        <w:t xml:space="preserve">se </w:t>
      </w:r>
      <w:r>
        <w:rPr>
          <w:color w:val="00000A"/>
        </w:rPr>
        <w:t xml:space="preserve">ha logrado concretar </w:t>
      </w:r>
      <w:r w:rsidR="00F83D71">
        <w:rPr>
          <w:color w:val="00000A"/>
        </w:rPr>
        <w:t>el</w:t>
      </w:r>
      <w:r>
        <w:rPr>
          <w:color w:val="00000A"/>
        </w:rPr>
        <w:t xml:space="preserve"> acceso formal a tierra, además de perpetuar una práctica feudal establecida desde la época colonial. </w:t>
      </w:r>
    </w:p>
    <w:p w:rsidR="00B6121F" w:rsidRDefault="007046C0">
      <w:r>
        <w:rPr>
          <w:color w:val="00000A"/>
        </w:rPr>
        <w:t>3.-</w:t>
      </w:r>
      <w:r w:rsidR="009E4E97">
        <w:rPr>
          <w:color w:val="00000A"/>
        </w:rPr>
        <w:t>El resultado es que el 62.9% de los casos</w:t>
      </w:r>
      <w:r w:rsidR="009E4E97">
        <w:rPr>
          <w:rStyle w:val="Ancladenotafinal"/>
          <w:color w:val="00000A"/>
        </w:rPr>
        <w:endnoteReference w:id="14"/>
      </w:r>
      <w:r w:rsidR="009E4E97">
        <w:rPr>
          <w:color w:val="00000A"/>
        </w:rPr>
        <w:t xml:space="preserve"> no logra una mejora significativa de la calidad de vida, poca o nula autonomía en la toma de decisiones sobre incentivos y ausencia de liquidez para acceder a medios de producción complementarios. Estos créditos se vuelven de alto riesgo y una fuente suplementaria de adeudamiento, la llamada “</w:t>
      </w:r>
      <w:r w:rsidR="009E4E97">
        <w:rPr>
          <w:b/>
          <w:color w:val="00000A"/>
        </w:rPr>
        <w:t>Deuda Agraria</w:t>
      </w:r>
      <w:r w:rsidR="009E4E97">
        <w:rPr>
          <w:color w:val="00000A"/>
        </w:rPr>
        <w:t>”. Para 2011, el monto total de la deuda alcanzó Q.333,914,835.00 para 139 fincas que fueron atribuidas a 14,820 familias</w:t>
      </w:r>
      <w:r w:rsidR="009E4E97">
        <w:rPr>
          <w:rStyle w:val="Ancladenotafinal"/>
          <w:color w:val="00000A"/>
        </w:rPr>
        <w:endnoteReference w:id="15"/>
      </w:r>
      <w:r w:rsidR="009E4E97">
        <w:rPr>
          <w:color w:val="00000A"/>
        </w:rPr>
        <w:t>. Después de un proceso de demanda de solución</w:t>
      </w:r>
      <w:r w:rsidR="009E4E97">
        <w:rPr>
          <w:rStyle w:val="Ancladenotafinal"/>
          <w:color w:val="00000A"/>
        </w:rPr>
        <w:endnoteReference w:id="16"/>
      </w:r>
      <w:r w:rsidR="009E4E97">
        <w:rPr>
          <w:color w:val="00000A"/>
        </w:rPr>
        <w:t>, se logra en 2012 la instauración de la “Política de Reestructuración de la Deuda Agraria”</w:t>
      </w:r>
      <w:r w:rsidR="009E4E97">
        <w:rPr>
          <w:rStyle w:val="Ancladenotafinal"/>
          <w:color w:val="00000A"/>
        </w:rPr>
        <w:endnoteReference w:id="17"/>
      </w:r>
      <w:r w:rsidR="009E4E97">
        <w:rPr>
          <w:color w:val="00000A"/>
        </w:rPr>
        <w:t xml:space="preserve">. Lamentablemente, los puntos </w:t>
      </w:r>
      <w:r w:rsidR="009E4E97">
        <w:t>resolutivos han sido emitidos para 83 casos presentados, quedan 47 casos pendientes y a finales de 2014, 270 casos sumaban una deuda total de Q.152,374,479.76</w:t>
      </w:r>
      <w:r w:rsidR="009E4E97">
        <w:rPr>
          <w:rStyle w:val="Ancladenotafinal"/>
        </w:rPr>
        <w:endnoteReference w:id="18"/>
      </w:r>
      <w:r w:rsidR="009E4E97">
        <w:t xml:space="preserve">. </w:t>
      </w:r>
      <w:r w:rsidR="009E4E97">
        <w:rPr>
          <w:color w:val="00000A"/>
        </w:rPr>
        <w:t xml:space="preserve">6.Los mecanismos de FONTIERRA se prestan a la corrupción y dos casos están bajo investigación del Ministerio Público y de la Comisión Internacional contra la Impunidad en Guatemala (CICIG) </w:t>
      </w:r>
      <w:r w:rsidR="009E4E97">
        <w:rPr>
          <w:rStyle w:val="Ancladenotafinal"/>
          <w:color w:val="00000A"/>
        </w:rPr>
        <w:endnoteReference w:id="19"/>
      </w:r>
      <w:r w:rsidR="009E4E97">
        <w:rPr>
          <w:color w:val="00000A"/>
        </w:rPr>
        <w:t>.</w:t>
      </w:r>
    </w:p>
    <w:p w:rsidR="007046C0" w:rsidRDefault="007046C0">
      <w:pPr>
        <w:rPr>
          <w:color w:val="00000A"/>
        </w:rPr>
      </w:pPr>
      <w:r>
        <w:rPr>
          <w:color w:val="00000A"/>
        </w:rPr>
        <w:lastRenderedPageBreak/>
        <w:t>4.-</w:t>
      </w:r>
      <w:r w:rsidR="009E4E97">
        <w:rPr>
          <w:color w:val="00000A"/>
        </w:rPr>
        <w:t xml:space="preserve">Las políticas agrícolas no se enfocan en el cambio estructural para solucionar la problemática agraria. El presupuesto para el año </w:t>
      </w:r>
      <w:r w:rsidR="00D871A4">
        <w:rPr>
          <w:color w:val="00000A"/>
        </w:rPr>
        <w:t>2016 del</w:t>
      </w:r>
      <w:r w:rsidR="009E4E97">
        <w:rPr>
          <w:color w:val="00000A"/>
        </w:rPr>
        <w:t xml:space="preserve"> Ministerio de Agricultura, Ganadería y Alimentación (MAGA) fue de Q1,265 millones y sufrió una sub-ejecución en general, y particularmente en el programa de apoyo a la agricultura familiar (86.47%</w:t>
      </w:r>
      <w:r w:rsidR="009E4E97">
        <w:rPr>
          <w:rStyle w:val="Ancladenotafinal"/>
          <w:color w:val="00000A"/>
        </w:rPr>
        <w:endnoteReference w:id="20"/>
      </w:r>
      <w:r w:rsidR="009E4E97">
        <w:rPr>
          <w:color w:val="00000A"/>
        </w:rPr>
        <w:t>). Se rebajó a Q1,085.3 millones</w:t>
      </w:r>
      <w:r w:rsidR="009E4E97">
        <w:rPr>
          <w:rStyle w:val="Ancladenotafinal"/>
          <w:color w:val="00000A"/>
        </w:rPr>
        <w:endnoteReference w:id="21"/>
      </w:r>
      <w:r w:rsidR="009E4E97">
        <w:rPr>
          <w:color w:val="00000A"/>
        </w:rPr>
        <w:t xml:space="preserve"> para 2017, </w:t>
      </w:r>
      <w:r w:rsidR="00F62EC2">
        <w:rPr>
          <w:color w:val="00000A"/>
        </w:rPr>
        <w:t xml:space="preserve">el presupuesto </w:t>
      </w:r>
      <w:r w:rsidR="009E4E97">
        <w:rPr>
          <w:color w:val="00000A"/>
        </w:rPr>
        <w:t>represent</w:t>
      </w:r>
      <w:r w:rsidR="00F62EC2">
        <w:rPr>
          <w:color w:val="00000A"/>
        </w:rPr>
        <w:t>a</w:t>
      </w:r>
      <w:r w:rsidR="009E4E97">
        <w:rPr>
          <w:color w:val="00000A"/>
        </w:rPr>
        <w:t xml:space="preserve"> sólo el 1.4% del presupuesto total de la nación. Las políticas y programas que se ejecutan son medidas paliativas que se prestan a la corrupción (como se demuestra con el caso El Bodegón</w:t>
      </w:r>
      <w:r w:rsidR="009E4E97">
        <w:rPr>
          <w:rStyle w:val="Ancladenotafinal"/>
          <w:color w:val="00000A"/>
        </w:rPr>
        <w:endnoteReference w:id="22"/>
      </w:r>
      <w:r w:rsidR="009E4E97">
        <w:rPr>
          <w:color w:val="00000A"/>
        </w:rPr>
        <w:t xml:space="preserve">) o asistencialista (programa de apoyo al consumo adecuado de alimentos con principalmente entrega de bolsas de alimentos o programa de asistencia para el mejoramiento de ingresos familiares basado en la entrega de subvenciones). </w:t>
      </w:r>
    </w:p>
    <w:p w:rsidR="00B6121F" w:rsidRDefault="007046C0">
      <w:pPr>
        <w:rPr>
          <w:color w:val="00000A"/>
        </w:rPr>
      </w:pPr>
      <w:r>
        <w:rPr>
          <w:color w:val="00000A"/>
        </w:rPr>
        <w:t>5.-E</w:t>
      </w:r>
      <w:r w:rsidR="009E4E97">
        <w:rPr>
          <w:color w:val="00000A"/>
        </w:rPr>
        <w:t>l Registro de Información Catastral (RIC) se crea en 2005</w:t>
      </w:r>
      <w:r w:rsidR="009E4E97">
        <w:rPr>
          <w:rStyle w:val="Ancladenotafinal"/>
          <w:color w:val="00000A"/>
        </w:rPr>
        <w:endnoteReference w:id="23"/>
      </w:r>
      <w:r w:rsidR="009E4E97">
        <w:rPr>
          <w:color w:val="00000A"/>
        </w:rPr>
        <w:t xml:space="preserve"> como ente rector en materia catastral, lejos de lograr establecer un inventario de tierras adecuado para la contribución tributaria. Según la ley, la regularización y la titulación de predios no debe ser llevada a cabo por el RIC, ya que no provee un marco legal para ello. El proyecto RIC únicamente se ve en condiciones de regularizar predios bajo las dos modalidades excepcionales, que son la </w:t>
      </w:r>
      <w:r w:rsidR="009E4E97">
        <w:rPr>
          <w:i/>
          <w:color w:val="00000A"/>
        </w:rPr>
        <w:t>Titulación especial</w:t>
      </w:r>
      <w:r w:rsidR="009E4E97">
        <w:rPr>
          <w:color w:val="00000A"/>
        </w:rPr>
        <w:t>, por un lado, y la regularización y titulación de áreas nacionales relacionadas con el FONTIERRAS</w:t>
      </w:r>
      <w:r w:rsidR="009E4E97">
        <w:rPr>
          <w:rStyle w:val="Ancladenotafinal"/>
          <w:color w:val="00000A"/>
        </w:rPr>
        <w:endnoteReference w:id="24"/>
      </w:r>
      <w:r w:rsidR="009E4E97">
        <w:rPr>
          <w:color w:val="00000A"/>
        </w:rPr>
        <w:t>. En casos de conflicto, el RIC deberá notificar a los “tribunales correspondientes”, los cuales son inadecuados.</w:t>
      </w:r>
    </w:p>
    <w:p w:rsidR="00B6121F" w:rsidRDefault="007046C0">
      <w:pPr>
        <w:rPr>
          <w:color w:val="00000A"/>
        </w:rPr>
      </w:pPr>
      <w:r>
        <w:rPr>
          <w:color w:val="00000A"/>
        </w:rPr>
        <w:t>6</w:t>
      </w:r>
      <w:r w:rsidR="009E4E97">
        <w:rPr>
          <w:color w:val="00000A"/>
        </w:rPr>
        <w:t>.</w:t>
      </w:r>
      <w:r>
        <w:rPr>
          <w:color w:val="00000A"/>
        </w:rPr>
        <w:t>-</w:t>
      </w:r>
      <w:r w:rsidR="009E4E97">
        <w:rPr>
          <w:color w:val="00000A"/>
        </w:rPr>
        <w:t>El proyecto RIC ha resultado ser una maquinaria burocrática costosa, la cual hasta la fecha no ha logrado catastrar más que una mínima parte (41 de los 340 municipios en el país)</w:t>
      </w:r>
      <w:r w:rsidR="009E4E97">
        <w:rPr>
          <w:rStyle w:val="Ancladenotafinal"/>
          <w:color w:val="00000A"/>
        </w:rPr>
        <w:endnoteReference w:id="25"/>
      </w:r>
      <w:r w:rsidR="009E4E97">
        <w:rPr>
          <w:color w:val="00000A"/>
        </w:rPr>
        <w:t>. Su prioridad ha sido aquellos municipios de la Franja Transversal del Norte, y los cuales responden a intereses agroindustriales y privados</w:t>
      </w:r>
      <w:r w:rsidR="009E4E97">
        <w:rPr>
          <w:rStyle w:val="Ancladenotafinal"/>
          <w:color w:val="00000A"/>
        </w:rPr>
        <w:endnoteReference w:id="26"/>
      </w:r>
      <w:r w:rsidR="009E4E97">
        <w:rPr>
          <w:color w:val="00000A"/>
        </w:rPr>
        <w:t>. Las proyecciones, completamente rebasadas para el período 2008-2014, coinciden con las grandes zonas de inversión de capitales para la producción de agrocombustibles, tales como la producción del monocultivo expansivo de la palma africana en el valle del río Polochic en los departamentos de Alta Verapaz e Izabal, así como el aprovechamiento y expansión de los grandes monocultivos de caña de azúcar en la Costa Sur.</w:t>
      </w:r>
    </w:p>
    <w:p w:rsidR="00B6121F" w:rsidRDefault="007046C0">
      <w:pPr>
        <w:rPr>
          <w:color w:val="00000A"/>
        </w:rPr>
      </w:pPr>
      <w:r>
        <w:rPr>
          <w:color w:val="00000A"/>
        </w:rPr>
        <w:t>7</w:t>
      </w:r>
      <w:r w:rsidR="009E4E97">
        <w:rPr>
          <w:color w:val="00000A"/>
        </w:rPr>
        <w:t>.</w:t>
      </w:r>
      <w:r>
        <w:rPr>
          <w:color w:val="00000A"/>
        </w:rPr>
        <w:t xml:space="preserve">-Como parte de las tierras escasamente reconocidas por la institucionalidad agraria y nacional en general, figuran las </w:t>
      </w:r>
      <w:r w:rsidR="009E4E97">
        <w:rPr>
          <w:b/>
          <w:bCs/>
          <w:color w:val="00000A"/>
        </w:rPr>
        <w:t>tierras comunales</w:t>
      </w:r>
      <w:r>
        <w:rPr>
          <w:b/>
          <w:bCs/>
          <w:color w:val="00000A"/>
        </w:rPr>
        <w:t>,</w:t>
      </w:r>
      <w:r w:rsidR="009E4E97">
        <w:rPr>
          <w:color w:val="00000A"/>
        </w:rPr>
        <w:t xml:space="preserve"> que cuentan con un enorme inventario existente y una superficie de más de 1,5 millón de hectáreas</w:t>
      </w:r>
      <w:r w:rsidR="009E4E97">
        <w:rPr>
          <w:rStyle w:val="Ancladenotafinal"/>
          <w:color w:val="00000A"/>
        </w:rPr>
        <w:endnoteReference w:id="27"/>
      </w:r>
      <w:r w:rsidR="009E4E97">
        <w:rPr>
          <w:color w:val="00000A"/>
        </w:rPr>
        <w:t xml:space="preserve"> que, en su mayoría, coinciden con áreas boscosas en territorios indígenas. Existe una negativa estatal para titular estas tierras y reconocer legalmente sus formas de administración territorial propia. Esto se da por distintas vías, tales como la imposición de Áreas Protegidas, de las cuales incluso son desalojadas o condicionadas las comunidades; bajo amenaza de proyectos extractivos; mediante problemas de registro y clasificación, que comienza por la básica definición de lo “comunitario” o de lo “indígena”; la negación de las formas de manejo consuetudinarias o ancestrales de tierras y territorios, la cual desemboca en el candente debate actual por la viabilidad o no del derecho indígena en el marco del derecho positivo. Lo que está en juego es precisamente la validez de formas distintas de propiedad y derechos. El vacío legal para el manejo de las tierras comunales ha puesto a las comunidades en desventaja frente a los intereses corporativos sobre sus recursos. Por otro lado, la certificación y el registro de </w:t>
      </w:r>
      <w:r w:rsidR="009E4E97">
        <w:rPr>
          <w:iCs/>
          <w:color w:val="00000A"/>
        </w:rPr>
        <w:t xml:space="preserve">tierras comunales </w:t>
      </w:r>
      <w:r w:rsidR="009E4E97">
        <w:rPr>
          <w:color w:val="00000A"/>
        </w:rPr>
        <w:t>deben constar de una declaratoria administrativa, que sean identificadas durante el catastro y el análisis legal, es decir, el RIC define, si se trata de tierras comunales o no de acuerdo a sus propios criterios institucionales</w:t>
      </w:r>
      <w:r w:rsidR="009E4E97">
        <w:rPr>
          <w:rStyle w:val="Ancladenotafinal"/>
          <w:color w:val="00000A"/>
        </w:rPr>
        <w:endnoteReference w:id="28"/>
      </w:r>
      <w:r w:rsidR="009E4E97">
        <w:rPr>
          <w:color w:val="00000A"/>
        </w:rPr>
        <w:t>. Este certificado de ser tierra comunal supuestamente se inscribiría en el RGP.</w:t>
      </w:r>
    </w:p>
    <w:p w:rsidR="007046C0" w:rsidRPr="007046C0" w:rsidRDefault="007046C0" w:rsidP="007046C0">
      <w:r>
        <w:t>8</w:t>
      </w:r>
      <w:r w:rsidRPr="007046C0">
        <w:t xml:space="preserve">.-Sin embargo, existen algunas ventanas y logros importantes que han sentado </w:t>
      </w:r>
      <w:r w:rsidRPr="007046C0">
        <w:rPr>
          <w:b/>
        </w:rPr>
        <w:t>jurisprudencia</w:t>
      </w:r>
      <w:r w:rsidRPr="007046C0">
        <w:t xml:space="preserve"> como: el reconocimiento jurídico a la Comunidad Indígena Maya Q’eqchi’ Santa Cruz y a la Comunidad Indígena Pocomam El Chilar, Palín; la restitución de derechos, tales como los de la Municipalidad Indígena de Chichicastenango vs. la empresa GUATEL/TELGUA; la Comunidad Indígena de Chuarrancho vs. proyectos mineros e hidroeléctricos; la adjudicación de tierras comunales mediante el Código Municipal (8 comunidades Ch’orti’ por parte de la Municipalidad </w:t>
      </w:r>
      <w:r w:rsidRPr="007046C0">
        <w:lastRenderedPageBreak/>
        <w:t>de la Unión, Zacapa); el reconocimiento de derechos históricos de los pueblos indígenas sobre sus tierras comunales (Santa María Xalapan contra la Minera San Rafael).</w:t>
      </w:r>
    </w:p>
    <w:p w:rsidR="00B6121F" w:rsidRDefault="007046C0">
      <w:pPr>
        <w:rPr>
          <w:color w:val="00000A"/>
        </w:rPr>
      </w:pPr>
      <w:r>
        <w:rPr>
          <w:color w:val="00000A"/>
        </w:rPr>
        <w:t>9.-</w:t>
      </w:r>
      <w:r w:rsidR="009E4E97">
        <w:rPr>
          <w:color w:val="00000A"/>
        </w:rPr>
        <w:t xml:space="preserve">Sumado a la institucionalidad agraria ineficiente, los </w:t>
      </w:r>
      <w:r w:rsidR="009E4E97" w:rsidRPr="00210D0B">
        <w:rPr>
          <w:b/>
          <w:color w:val="00000A"/>
        </w:rPr>
        <w:t>conflictos agrarios</w:t>
      </w:r>
      <w:r w:rsidR="009E4E97">
        <w:rPr>
          <w:color w:val="00000A"/>
        </w:rPr>
        <w:t xml:space="preserve"> se han tenido que resolver por la vía del </w:t>
      </w:r>
      <w:r w:rsidR="009E4E97">
        <w:rPr>
          <w:i/>
          <w:color w:val="00000A"/>
        </w:rPr>
        <w:t>código civil</w:t>
      </w:r>
      <w:r w:rsidR="009E4E97">
        <w:rPr>
          <w:rStyle w:val="Ancladenotafinal"/>
          <w:i/>
          <w:color w:val="00000A"/>
        </w:rPr>
        <w:endnoteReference w:id="29"/>
      </w:r>
      <w:r w:rsidR="009E4E97">
        <w:rPr>
          <w:color w:val="00000A"/>
        </w:rPr>
        <w:t xml:space="preserve">, ya que en materia de propiedad únicamente se reconoce la propiedad privada (ya sea colectiva o individual) y la propiedad pública o estatal. No existe aún un reconocimiento legal explícito de la tenencia colectiva de tierras comunitarias y/o ancestrales, las cuales se rigen por normas comunitarias diversas. La Coordinadora, Nacional de Organizaciones Campesinas (CNOC) ha demandado al Estado por ser inconstitucional la omisión de dicha legislación en relación al tipo de </w:t>
      </w:r>
      <w:r w:rsidR="009E4E97" w:rsidRPr="00210D0B">
        <w:rPr>
          <w:b/>
          <w:color w:val="00000A"/>
        </w:rPr>
        <w:t>propiedad colectiva</w:t>
      </w:r>
      <w:r w:rsidR="009E4E97">
        <w:rPr>
          <w:color w:val="00000A"/>
        </w:rPr>
        <w:t>. El fallo de la Corte de Constitucionalidad en 2013 ha resultado negativo, aun cuando la misma reconoce el vacío legal</w:t>
      </w:r>
      <w:r w:rsidR="009E4E97">
        <w:rPr>
          <w:rStyle w:val="Ancladenotafinal"/>
          <w:color w:val="00000A"/>
        </w:rPr>
        <w:endnoteReference w:id="30"/>
      </w:r>
      <w:r w:rsidR="009E4E97">
        <w:rPr>
          <w:color w:val="00000A"/>
        </w:rPr>
        <w:t>.</w:t>
      </w:r>
      <w:r w:rsidR="009E4E97">
        <w:rPr>
          <w:color w:val="FF0000"/>
        </w:rPr>
        <w:t xml:space="preserve"> </w:t>
      </w:r>
      <w:r w:rsidR="009E4E97">
        <w:rPr>
          <w:color w:val="00000A"/>
        </w:rPr>
        <w:t>No existe una judicatura, tribunales agrarios, ni una legislación agraria adecuada a las circunstancias socio-culturales del país, ni tampoco fiscalías de investigación especializada en el tema agrario que puedan resolver los múltiples conflictos históricos sobre la propiedad de la Tierra</w:t>
      </w:r>
      <w:r w:rsidR="009E4E97">
        <w:rPr>
          <w:rStyle w:val="Ancladenotafinal"/>
          <w:color w:val="00000A"/>
        </w:rPr>
        <w:endnoteReference w:id="31"/>
      </w:r>
      <w:r w:rsidR="009E4E97">
        <w:rPr>
          <w:color w:val="00000A"/>
        </w:rPr>
        <w:t>.</w:t>
      </w:r>
    </w:p>
    <w:p w:rsidR="00B6121F" w:rsidRDefault="007046C0">
      <w:r>
        <w:rPr>
          <w:color w:val="00000A"/>
        </w:rPr>
        <w:t>10</w:t>
      </w:r>
      <w:r w:rsidR="009E4E97">
        <w:rPr>
          <w:color w:val="00000A"/>
        </w:rPr>
        <w:t>.</w:t>
      </w:r>
      <w:r>
        <w:rPr>
          <w:color w:val="00000A"/>
        </w:rPr>
        <w:t>-</w:t>
      </w:r>
      <w:r w:rsidR="009E4E97">
        <w:rPr>
          <w:color w:val="00000A"/>
        </w:rPr>
        <w:t>En 2002 se establece la Secretaría de Asuntos Agrarios (SAA)</w:t>
      </w:r>
      <w:r w:rsidR="009E4E97">
        <w:rPr>
          <w:rStyle w:val="Ancladenotafinal"/>
          <w:color w:val="00000A"/>
        </w:rPr>
        <w:endnoteReference w:id="32"/>
      </w:r>
      <w:r w:rsidR="009E4E97">
        <w:rPr>
          <w:color w:val="00000A"/>
        </w:rPr>
        <w:t xml:space="preserve"> y se complementa con la creación de la Unidad Presidencial para la Resolución de Conflictos</w:t>
      </w:r>
      <w:r w:rsidR="009E4E97">
        <w:rPr>
          <w:rStyle w:val="Ancladenotafinal"/>
          <w:color w:val="00000A"/>
        </w:rPr>
        <w:endnoteReference w:id="33"/>
      </w:r>
      <w:r w:rsidR="009E4E97">
        <w:rPr>
          <w:color w:val="00000A"/>
        </w:rPr>
        <w:t xml:space="preserve">. </w:t>
      </w:r>
      <w:r w:rsidR="00F83D71">
        <w:rPr>
          <w:color w:val="00000A"/>
        </w:rPr>
        <w:t>Sin embargo, e</w:t>
      </w:r>
      <w:r w:rsidR="009E4E97">
        <w:rPr>
          <w:color w:val="00000A"/>
        </w:rPr>
        <w:t xml:space="preserve">ntre 1997 y 2013, se registraron 6,482 casos de conflictividad agraria en términos acumulativos. En diciembre de 2015, todavía hay 1,476 casos de conflictos agrarios en proceso (según glosario institucional, cuya tipología propicia que sean engavetados los casos y sean </w:t>
      </w:r>
      <w:r w:rsidR="009E4E97" w:rsidRPr="0074558C">
        <w:rPr>
          <w:b/>
          <w:color w:val="00000A"/>
        </w:rPr>
        <w:t>reducidas las estadísticas</w:t>
      </w:r>
      <w:r w:rsidR="009E4E97">
        <w:rPr>
          <w:rStyle w:val="Ancladenotafinal"/>
          <w:color w:val="00000A"/>
        </w:rPr>
        <w:endnoteReference w:id="34"/>
      </w:r>
      <w:r w:rsidR="009E4E97">
        <w:rPr>
          <w:color w:val="00000A"/>
        </w:rPr>
        <w:t xml:space="preserve"> y con casos que cuentan con más de 60 años de reivindicación de su derecho de acceso a tierra y derechos laborales, como es el caso de la Finca San Luis Malacatán, departamento de San Marcos</w:t>
      </w:r>
      <w:r w:rsidR="009E4E97">
        <w:rPr>
          <w:rStyle w:val="Ancladenotafinal"/>
          <w:color w:val="00000A"/>
        </w:rPr>
        <w:endnoteReference w:id="35"/>
      </w:r>
      <w:r w:rsidR="009E4E97">
        <w:rPr>
          <w:color w:val="00000A"/>
        </w:rPr>
        <w:t xml:space="preserve">), ubicados prácticamente en todo el país, pero principalmente en la Franja Transversal del Norte (Petén, Huehuetenango, Quiché y Alta Verapaz). </w:t>
      </w:r>
    </w:p>
    <w:p w:rsidR="00B6121F" w:rsidRDefault="009E4E97">
      <w:r>
        <w:t>1</w:t>
      </w:r>
      <w:r w:rsidR="007046C0">
        <w:t>1</w:t>
      </w:r>
      <w:r>
        <w:t>.</w:t>
      </w:r>
      <w:r w:rsidR="007046C0">
        <w:t>-</w:t>
      </w:r>
      <w:r>
        <w:t>Ante la ineficiencia de la institucionalidad para el acceso a tierra, familias campesinas e indígenas se ven obligadas a vivir en zonas de alto riesgo ambiental</w:t>
      </w:r>
      <w:r>
        <w:rPr>
          <w:rStyle w:val="Ancladenotafinal"/>
        </w:rPr>
        <w:endnoteReference w:id="36"/>
      </w:r>
      <w:r>
        <w:t xml:space="preserve"> u ocupar tierra, exponiéndose a posibles </w:t>
      </w:r>
      <w:r w:rsidRPr="00F83D71">
        <w:rPr>
          <w:b/>
        </w:rPr>
        <w:t>desalojos</w:t>
      </w:r>
      <w:r>
        <w:t xml:space="preserve"> que </w:t>
      </w:r>
      <w:r>
        <w:rPr>
          <w:color w:val="00000A"/>
        </w:rPr>
        <w:t>generalmente resultan ser violentos, y la mayoría de carácter extra-judicial</w:t>
      </w:r>
      <w:r>
        <w:rPr>
          <w:rStyle w:val="Ancladenotafinal"/>
          <w:color w:val="00000A"/>
        </w:rPr>
        <w:endnoteReference w:id="37"/>
      </w:r>
      <w:r>
        <w:rPr>
          <w:color w:val="00000A"/>
        </w:rPr>
        <w:t>. La oficina en Guatemala de la OACNUDH “</w:t>
      </w:r>
      <w:r>
        <w:rPr>
          <w:i/>
          <w:iCs/>
          <w:color w:val="00000A"/>
        </w:rPr>
        <w:t>observó acciones inconsistentes con los estándares internacionales de derechos humanos en el modo en que los desalojos tuvieron lugar, incluyendo la falta de notificación previa y la oportunidad de ejercer su derecho a la defensa y al debido proceso; la participación de agentes no estatales (guardias de seguridad y grupos de trabajadores); la violación de su derecho a la vivienda y a la alimentación por la destrucción y quema de sus casas y cosechas; la falta de un plan de reubicación de las comunidades a un lugar alternativo; y elementos que sugieren un uso excesivo de la fuerza por parte de la policía</w:t>
      </w:r>
      <w:r>
        <w:rPr>
          <w:color w:val="00000A"/>
        </w:rPr>
        <w:t>”</w:t>
      </w:r>
      <w:r>
        <w:rPr>
          <w:rStyle w:val="Ancladenotafinal"/>
          <w:color w:val="00000A"/>
        </w:rPr>
        <w:endnoteReference w:id="38"/>
      </w:r>
      <w:r>
        <w:rPr>
          <w:color w:val="00000A"/>
        </w:rPr>
        <w:t>. Los desalojos desde entonces no han cesado, pero actualmente es difícil acceder a datos de este tipo desde el derecho de acceso a la información pública. El resarcimiento de las familias sigue siendo una lucha constante en la cual sólo a una mínima parte se le ha dado seguimiento o cumplimiento. Un ejemplo son las 769 familias del valle del río Polochic que cuentan con medidas cautelares</w:t>
      </w:r>
      <w:r>
        <w:rPr>
          <w:rStyle w:val="Ancladenotafinal"/>
          <w:color w:val="00000A"/>
        </w:rPr>
        <w:endnoteReference w:id="39"/>
      </w:r>
      <w:r>
        <w:rPr>
          <w:color w:val="00000A"/>
        </w:rPr>
        <w:t xml:space="preserve"> después de los desalojos violentos que sufrieron en el Valle del Polochic en marzo de 2011 para la imposición del ingenio azucarero Chabil Utzaj. Sólo 221 familias lograron ser resarcidas con tierra gracias a la presión sostenida por parte de la sociedad civil. Además, dada esta insuficiencia en tierras y atención a las familias afectadas, nuevamente se dieron ocupaciones de tierras, que a su vez han llevado a desalojos violentos, así como a detenciones arbitrarias, tal como es el caso de Abelino Chub Caal</w:t>
      </w:r>
      <w:r>
        <w:rPr>
          <w:rStyle w:val="Ancladenotafinal"/>
          <w:color w:val="00000A"/>
        </w:rPr>
        <w:endnoteReference w:id="40"/>
      </w:r>
      <w:r>
        <w:rPr>
          <w:color w:val="00000A"/>
        </w:rPr>
        <w:t>.</w:t>
      </w:r>
    </w:p>
    <w:p w:rsidR="00AC6EF6" w:rsidRPr="00AC6EF6" w:rsidRDefault="007046C0" w:rsidP="00AC6EF6">
      <w:pPr>
        <w:rPr>
          <w:color w:val="00000A"/>
        </w:rPr>
      </w:pPr>
      <w:r>
        <w:rPr>
          <w:color w:val="00000A"/>
        </w:rPr>
        <w:t>12.-</w:t>
      </w:r>
      <w:r w:rsidR="0074558C" w:rsidRPr="0074558C">
        <w:rPr>
          <w:color w:val="00000A"/>
        </w:rPr>
        <w:t xml:space="preserve">Las agroindustrias no sólo están generando una reconcentración de la tierra, por medio de la compra, alquiler, concesión o especulación de tierras, sino que también generan </w:t>
      </w:r>
      <w:r w:rsidR="0074558C" w:rsidRPr="0074558C">
        <w:rPr>
          <w:b/>
          <w:color w:val="00000A"/>
        </w:rPr>
        <w:t>condiciones laborales infrahumanas</w:t>
      </w:r>
      <w:r w:rsidR="0074558C" w:rsidRPr="0074558C">
        <w:rPr>
          <w:color w:val="00000A"/>
        </w:rPr>
        <w:t>.</w:t>
      </w:r>
      <w:r w:rsidR="0074558C">
        <w:rPr>
          <w:color w:val="00000A"/>
        </w:rPr>
        <w:t xml:space="preserve"> </w:t>
      </w:r>
      <w:r w:rsidR="00AC6EF6" w:rsidRPr="00AC6EF6">
        <w:rPr>
          <w:color w:val="00000A"/>
        </w:rPr>
        <w:t xml:space="preserve">Los agronegocios suelen destacar la generación de </w:t>
      </w:r>
      <w:r w:rsidR="00AC6EF6" w:rsidRPr="00AC6EF6">
        <w:rPr>
          <w:b/>
          <w:color w:val="00000A"/>
        </w:rPr>
        <w:t>empleo</w:t>
      </w:r>
      <w:r w:rsidR="00AC6EF6" w:rsidRPr="00AC6EF6">
        <w:rPr>
          <w:color w:val="00000A"/>
        </w:rPr>
        <w:t xml:space="preserve"> del sector como parte de la responsabilidad social empresarial hacia el país. No obstante, el empleo que proclama el sector </w:t>
      </w:r>
      <w:proofErr w:type="gramStart"/>
      <w:r w:rsidR="00AC6EF6" w:rsidRPr="00AC6EF6">
        <w:rPr>
          <w:color w:val="00000A"/>
        </w:rPr>
        <w:t>cañero</w:t>
      </w:r>
      <w:proofErr w:type="gramEnd"/>
      <w:r w:rsidR="00D30875">
        <w:rPr>
          <w:color w:val="00000A"/>
        </w:rPr>
        <w:t xml:space="preserve"> por ejemplo,</w:t>
      </w:r>
      <w:r w:rsidR="00AC6EF6" w:rsidRPr="00AC6EF6">
        <w:rPr>
          <w:color w:val="00000A"/>
        </w:rPr>
        <w:t xml:space="preserve"> no es significativo para las comunidades. De los </w:t>
      </w:r>
      <w:r w:rsidR="008D5FDF">
        <w:rPr>
          <w:color w:val="00000A"/>
        </w:rPr>
        <w:t>410 mil</w:t>
      </w:r>
      <w:r w:rsidR="00AC6EF6" w:rsidRPr="00AC6EF6">
        <w:rPr>
          <w:color w:val="00000A"/>
        </w:rPr>
        <w:t xml:space="preserve"> empleos que supuestamente genera el sector azucarero, la mayoría son indirectos, es decir, no </w:t>
      </w:r>
      <w:r w:rsidR="00AC6EF6" w:rsidRPr="00AC6EF6">
        <w:rPr>
          <w:color w:val="00000A"/>
        </w:rPr>
        <w:lastRenderedPageBreak/>
        <w:t>implican responsabilidad alguna para la empresa</w:t>
      </w:r>
      <w:r w:rsidR="008D5FDF">
        <w:rPr>
          <w:color w:val="00000A"/>
        </w:rPr>
        <w:t xml:space="preserve"> y se generan por la dinamización económica local</w:t>
      </w:r>
      <w:r w:rsidR="00AC6EF6" w:rsidRPr="00AC6EF6">
        <w:rPr>
          <w:color w:val="00000A"/>
        </w:rPr>
        <w:t>.</w:t>
      </w:r>
      <w:r w:rsidR="008D5FDF">
        <w:rPr>
          <w:color w:val="00000A"/>
        </w:rPr>
        <w:t xml:space="preserve"> De los 82 mil empleos directos</w:t>
      </w:r>
      <w:r w:rsidR="008D5FDF">
        <w:rPr>
          <w:rStyle w:val="Refdenotaalfinal"/>
          <w:color w:val="00000A"/>
        </w:rPr>
        <w:endnoteReference w:id="41"/>
      </w:r>
      <w:r w:rsidR="008D5FDF">
        <w:rPr>
          <w:color w:val="00000A"/>
        </w:rPr>
        <w:t>, la mayor parte son c</w:t>
      </w:r>
      <w:r w:rsidR="00AC6EF6" w:rsidRPr="00AC6EF6">
        <w:rPr>
          <w:color w:val="00000A"/>
        </w:rPr>
        <w:t>ortadores anuales</w:t>
      </w:r>
      <w:r w:rsidR="008D5FDF">
        <w:rPr>
          <w:color w:val="00000A"/>
        </w:rPr>
        <w:t xml:space="preserve"> de caña</w:t>
      </w:r>
      <w:r w:rsidR="00AC6EF6" w:rsidRPr="00AC6EF6">
        <w:rPr>
          <w:color w:val="00000A"/>
        </w:rPr>
        <w:t xml:space="preserve"> que se contratan bajo condiciones precarias</w:t>
      </w:r>
      <w:r w:rsidR="008D5FDF">
        <w:rPr>
          <w:color w:val="00000A"/>
        </w:rPr>
        <w:t>. Los trabajadores v</w:t>
      </w:r>
      <w:r w:rsidR="00AC6EF6" w:rsidRPr="00AC6EF6">
        <w:rPr>
          <w:color w:val="00000A"/>
        </w:rPr>
        <w:t>ienen tanto de la zona misma de los ingenios, como también de la población más alejada de estas zonas, y se ven obligados a ingresar al trabajo temporal asalariado en las fincas cañeras por la falta de acceso a tierras cultivables y su estado de dependencia económica. Las llamadas cuadrillas de aproximadamente 40 personas, reunidas por intermediarios, son acarreados ya sea en transportes del mismo ingenio, o bien, a cuenta propia. Varias camionadas de trabajadores agrícolas sin tierra, o con tierra insuficiente, trabajan durante los meses de la zafra de sol a sol (6 am a 6 pm), sin días de descanso.</w:t>
      </w:r>
    </w:p>
    <w:p w:rsidR="00AC6EF6" w:rsidRPr="00AC6EF6" w:rsidRDefault="007046C0" w:rsidP="00AC6EF6">
      <w:pPr>
        <w:rPr>
          <w:color w:val="00000A"/>
        </w:rPr>
      </w:pPr>
      <w:r>
        <w:rPr>
          <w:color w:val="00000A"/>
        </w:rPr>
        <w:t>13.-</w:t>
      </w:r>
      <w:r w:rsidR="00AC6EF6" w:rsidRPr="00AC6EF6">
        <w:rPr>
          <w:color w:val="00000A"/>
        </w:rPr>
        <w:t>Las modalidades de pago</w:t>
      </w:r>
      <w:r w:rsidR="00AC6EF6">
        <w:rPr>
          <w:color w:val="00000A"/>
        </w:rPr>
        <w:t xml:space="preserve"> de los </w:t>
      </w:r>
      <w:r w:rsidR="00AC6EF6" w:rsidRPr="00AC6EF6">
        <w:rPr>
          <w:b/>
          <w:color w:val="00000A"/>
        </w:rPr>
        <w:t>salarios</w:t>
      </w:r>
      <w:r w:rsidR="00AC6EF6" w:rsidRPr="00AC6EF6">
        <w:rPr>
          <w:color w:val="00000A"/>
        </w:rPr>
        <w:t xml:space="preserve"> van desde el pago por quincena hasta el jornal por productividad. La capacidad de producción de los trabajadores es clasificada por las empresas en A,B,C y otras categorías. Si logran mantener el </w:t>
      </w:r>
      <w:r w:rsidR="00AF365F" w:rsidRPr="00AC6EF6">
        <w:rPr>
          <w:color w:val="00000A"/>
        </w:rPr>
        <w:t>récord</w:t>
      </w:r>
      <w:r w:rsidR="00AC6EF6" w:rsidRPr="00AC6EF6">
        <w:rPr>
          <w:color w:val="00000A"/>
        </w:rPr>
        <w:t xml:space="preserve"> diario de aproximadamente 7 toneladas cosechadas, mantienen su trabajo. De lo contrario, son despedidos. De esta manera, para el trabajador, la zafra implica aceptar el trabajo de esclavitud moderna de 12 horas por 185 </w:t>
      </w:r>
      <w:r w:rsidR="00AF365F" w:rsidRPr="00AC6EF6">
        <w:rPr>
          <w:color w:val="00000A"/>
        </w:rPr>
        <w:t>días</w:t>
      </w:r>
      <w:r w:rsidR="00AC6EF6" w:rsidRPr="00AC6EF6">
        <w:rPr>
          <w:color w:val="00000A"/>
        </w:rPr>
        <w:t xml:space="preserve"> sin descanso.</w:t>
      </w:r>
      <w:r w:rsidR="00AC6EF6">
        <w:rPr>
          <w:color w:val="00000A"/>
        </w:rPr>
        <w:t xml:space="preserve"> </w:t>
      </w:r>
      <w:r w:rsidR="00AC6EF6" w:rsidRPr="00AC6EF6">
        <w:rPr>
          <w:color w:val="00000A"/>
        </w:rPr>
        <w:t xml:space="preserve">En la mayoría de fincas no hay medidas de prevención, requisitos o contrato laboral. No se emplean estándares de protección, sino que depende de las posibilidades de cada quien, </w:t>
      </w:r>
      <w:r w:rsidR="00AF365F" w:rsidRPr="00AC6EF6">
        <w:rPr>
          <w:color w:val="00000A"/>
        </w:rPr>
        <w:t>así</w:t>
      </w:r>
      <w:r w:rsidR="00AC6EF6" w:rsidRPr="00AC6EF6">
        <w:rPr>
          <w:color w:val="00000A"/>
        </w:rPr>
        <w:t xml:space="preserve"> como de la capacidad de aguante de las altas temperaturas por la constante exposición al sol y la deshidratación inherente. Siendo que el 26% de las fincas que contratan fuerza laboral temporal son fincas cañeras, el 69% de los y las trabajadores agrícolas pertenecen a la población maya. De esta población, predominantemente indígena, el 64% de ellos consiste en población masculina frente a un 25% de jornaleras mujeres y un 11% de población infantil.</w:t>
      </w:r>
      <w:r w:rsidR="009E4E97">
        <w:rPr>
          <w:rStyle w:val="Refdenotaalfinal"/>
          <w:color w:val="00000A"/>
        </w:rPr>
        <w:endnoteReference w:id="42"/>
      </w:r>
      <w:r w:rsidR="00AC6EF6" w:rsidRPr="00AC6EF6">
        <w:rPr>
          <w:color w:val="00000A"/>
        </w:rPr>
        <w:t xml:space="preserve"> Más de la mitad de la población infantil (56.2%) de 10 años participa en la economía nacional, siendo la informalidad del trabajo en la población infantil ocupada del 73.4%, entre ellos casi un tercio (27.3%) sin remuneración.</w:t>
      </w:r>
      <w:r w:rsidR="009E4E97">
        <w:rPr>
          <w:rStyle w:val="Refdenotaalfinal"/>
          <w:color w:val="00000A"/>
        </w:rPr>
        <w:endnoteReference w:id="43"/>
      </w:r>
      <w:r w:rsidR="00AC6EF6">
        <w:rPr>
          <w:color w:val="00000A"/>
        </w:rPr>
        <w:t xml:space="preserve"> </w:t>
      </w:r>
      <w:r w:rsidR="00AC6EF6" w:rsidRPr="00AC6EF6">
        <w:rPr>
          <w:color w:val="00000A"/>
        </w:rPr>
        <w:t>Siendo que antes los ingenios se responsabilizaban de los alimentos, generalmente en estado insalubre, actualmente raras veces se incluye la comida en la jornada laboral. El agua que ingieren los cortadores de caña corre a cuenta propia, y debido a los grandes volúmenes requeridos para resistir el corte bajo el sol a altas temperaturas, algunas veces se administra por parte de los ingenios con aditivos anfetamínicos. Otra opción son los complejos vitamínicos inyectables que corren a cuenta propia.</w:t>
      </w:r>
    </w:p>
    <w:p w:rsidR="00AC6EF6" w:rsidRPr="00AC6EF6" w:rsidRDefault="007046C0" w:rsidP="00AC6EF6">
      <w:pPr>
        <w:rPr>
          <w:color w:val="00000A"/>
        </w:rPr>
      </w:pPr>
      <w:r>
        <w:rPr>
          <w:color w:val="00000A"/>
        </w:rPr>
        <w:t>14.-</w:t>
      </w:r>
      <w:r w:rsidR="00AC6EF6" w:rsidRPr="00AC6EF6">
        <w:rPr>
          <w:color w:val="00000A"/>
        </w:rPr>
        <w:t xml:space="preserve">Las </w:t>
      </w:r>
      <w:r w:rsidR="00AC6EF6" w:rsidRPr="00AC6EF6">
        <w:rPr>
          <w:b/>
          <w:color w:val="00000A"/>
        </w:rPr>
        <w:t>edades</w:t>
      </w:r>
      <w:r w:rsidR="00AC6EF6" w:rsidRPr="00AC6EF6">
        <w:rPr>
          <w:color w:val="00000A"/>
        </w:rPr>
        <w:t xml:space="preserve"> laborales aceptables para las fincas generalmente, y con contadas excepciones, son hasta los 40 años. Con estos preceptos discriminativos, procede que el 55% no conoce a los dueños para los cuales trabaja. Con la mayoría bajo contratos verbales (76%), el período de contratación no es mayor a 60 días. Esto se ha convertido en una práctica generalizada para evadir el cumplimiento de los derechos laborales a las y los jornaleros.</w:t>
      </w:r>
      <w:r w:rsidR="009E4E97">
        <w:rPr>
          <w:rStyle w:val="Refdenotaalfinal"/>
          <w:color w:val="00000A"/>
        </w:rPr>
        <w:endnoteReference w:id="44"/>
      </w:r>
      <w:r w:rsidR="00AC6EF6" w:rsidRPr="00AC6EF6">
        <w:rPr>
          <w:color w:val="00000A"/>
        </w:rPr>
        <w:t xml:space="preserve"> Las condiciones laborales de los cortadores de caña generalmente no se apegan al código de trabajo, ni a diversos decretos relacionados con las normas laborales, ni a las convenciones internacionales tales como la convención sobre los derechos del niño, ni a varios Convenios internacionales de la OIT127: Se ha convertido en lugar común el </w:t>
      </w:r>
      <w:r w:rsidR="00AC6EF6" w:rsidRPr="00AC6EF6">
        <w:rPr>
          <w:b/>
          <w:color w:val="00000A"/>
        </w:rPr>
        <w:t>trabajo infantil</w:t>
      </w:r>
      <w:r w:rsidR="00AC6EF6" w:rsidRPr="00AC6EF6">
        <w:rPr>
          <w:color w:val="00000A"/>
        </w:rPr>
        <w:t xml:space="preserve"> en las fincas azucareras. De los y las trabajadores agrícolas, el 61% de los niños en edad escolar realizan trabajo en las fincas. De igual forma, existen anomalías en la contratación, las condiciones de salud, salariales y de accidentes, generalmente por picaduras de serpientes y otros animales venenosos, intoxicación por agro-químicos, y accidentes con herramientas como cortaduras de machete. </w:t>
      </w:r>
    </w:p>
    <w:p w:rsidR="00F62EC2" w:rsidRDefault="007046C0" w:rsidP="00AC6EF6">
      <w:pPr>
        <w:rPr>
          <w:color w:val="00000A"/>
        </w:rPr>
      </w:pPr>
      <w:r>
        <w:rPr>
          <w:color w:val="00000A"/>
        </w:rPr>
        <w:t>15.-</w:t>
      </w:r>
      <w:r w:rsidR="00AC6EF6" w:rsidRPr="00AC6EF6">
        <w:rPr>
          <w:color w:val="00000A"/>
        </w:rPr>
        <w:t xml:space="preserve">La </w:t>
      </w:r>
      <w:r w:rsidR="00AC6EF6" w:rsidRPr="00AC6EF6">
        <w:rPr>
          <w:b/>
          <w:color w:val="00000A"/>
        </w:rPr>
        <w:t>jornada laboral</w:t>
      </w:r>
      <w:r w:rsidR="00AC6EF6" w:rsidRPr="00AC6EF6">
        <w:rPr>
          <w:color w:val="00000A"/>
        </w:rPr>
        <w:t xml:space="preserve"> para la mayoría de los encuestados por CODECA</w:t>
      </w:r>
      <w:r w:rsidR="009E4E97">
        <w:rPr>
          <w:rStyle w:val="Refdenotaalfinal"/>
          <w:color w:val="00000A"/>
        </w:rPr>
        <w:endnoteReference w:id="45"/>
      </w:r>
      <w:r w:rsidR="00AC6EF6" w:rsidRPr="00AC6EF6">
        <w:rPr>
          <w:color w:val="00000A"/>
        </w:rPr>
        <w:t xml:space="preserve"> es de 9-10 horas (38%), mientras que un 32% trabaja entre 11 y 12 horas, y el 14% más de 12 horas diarias. Esto no sólo viola los derechos laborales, sino que además desintegra a las familias de las y los trabajadores por la poca presencia que estos tienen para apoyar a sus hijos. Además de muchas horas extras a la jornada, el trabajo se realiza sin vacaciones ni aguinaldo, en ausencia del salario mínimo. Sólo el 10% de los encuestados gozan de un salario cercano al mínimo, de Q2,324 en adelante. La mayoría </w:t>
      </w:r>
      <w:r w:rsidR="00AC6EF6" w:rsidRPr="00AC6EF6">
        <w:rPr>
          <w:color w:val="00000A"/>
        </w:rPr>
        <w:lastRenderedPageBreak/>
        <w:t xml:space="preserve">(66%) reciben salarios de Q750 – Q1,500, o sea, casi la mitad del salario mínimo legal. Cabe mencionar, que las mujeres jornaleras ganan menos que los varones, en un 60%, su jornal se reduce a Q26-Q50.- diarios, sin goce de maternidad. La </w:t>
      </w:r>
      <w:r w:rsidR="00AC6EF6" w:rsidRPr="0074558C">
        <w:rPr>
          <w:b/>
          <w:color w:val="00000A"/>
        </w:rPr>
        <w:t>sindicalización</w:t>
      </w:r>
      <w:r w:rsidR="00AC6EF6" w:rsidRPr="00AC6EF6">
        <w:rPr>
          <w:color w:val="00000A"/>
        </w:rPr>
        <w:t xml:space="preserve"> en las fincas está censurada. Con contadas excepciones, en las fincas azucareras existe una práctica antisindical generalizada, que comienza por una larga lista de trabajadores despedidos, que evita que en otras fincas se les de trabajo.</w:t>
      </w:r>
      <w:r w:rsidR="00F62EC2">
        <w:rPr>
          <w:rStyle w:val="Refdenotaalfinal"/>
          <w:color w:val="00000A"/>
        </w:rPr>
        <w:endnoteReference w:id="46"/>
      </w:r>
      <w:r w:rsidR="009E4E97">
        <w:rPr>
          <w:color w:val="00000A"/>
        </w:rPr>
        <w:t xml:space="preserve"> </w:t>
      </w:r>
    </w:p>
    <w:p w:rsidR="00AC6EF6" w:rsidRPr="00AC6EF6" w:rsidRDefault="007046C0" w:rsidP="00AC6EF6">
      <w:pPr>
        <w:rPr>
          <w:color w:val="00000A"/>
        </w:rPr>
      </w:pPr>
      <w:r>
        <w:rPr>
          <w:color w:val="00000A"/>
        </w:rPr>
        <w:t>16.-</w:t>
      </w:r>
      <w:r w:rsidR="00AC6EF6" w:rsidRPr="00AC6EF6">
        <w:rPr>
          <w:color w:val="00000A"/>
        </w:rPr>
        <w:t xml:space="preserve">Por ultimo cabe destacar, que de estas </w:t>
      </w:r>
      <w:r w:rsidR="00AF365F" w:rsidRPr="00AC6EF6">
        <w:rPr>
          <w:color w:val="00000A"/>
        </w:rPr>
        <w:t>prácticas</w:t>
      </w:r>
      <w:r w:rsidR="00AC6EF6" w:rsidRPr="00AC6EF6">
        <w:rPr>
          <w:color w:val="00000A"/>
        </w:rPr>
        <w:t xml:space="preserve"> precarias generalizadas sobre las cuales descansa la acumulación de las empresas agrícolas, los compradores mayoritarios de aceite de palma en el mundo, tales como Cargill y Wilmar, quienes han sido mencionados por </w:t>
      </w:r>
      <w:r w:rsidR="00AF365F" w:rsidRPr="00AC6EF6">
        <w:rPr>
          <w:i/>
          <w:color w:val="00000A"/>
        </w:rPr>
        <w:t>Amnistía</w:t>
      </w:r>
      <w:r w:rsidR="00AC6EF6" w:rsidRPr="00AC6EF6">
        <w:rPr>
          <w:i/>
          <w:color w:val="00000A"/>
        </w:rPr>
        <w:t xml:space="preserve"> Internacional</w:t>
      </w:r>
      <w:r w:rsidR="00AC6EF6" w:rsidRPr="00AC6EF6">
        <w:rPr>
          <w:color w:val="00000A"/>
        </w:rPr>
        <w:t xml:space="preserve"> por violar los derechos laborales en Indonesia y a nivel mundial por la contratación de menores</w:t>
      </w:r>
      <w:r w:rsidR="00F62EC2">
        <w:rPr>
          <w:rStyle w:val="Refdenotaalfinal"/>
          <w:color w:val="00000A"/>
        </w:rPr>
        <w:endnoteReference w:id="47"/>
      </w:r>
      <w:r w:rsidR="00AC6EF6" w:rsidRPr="00AC6EF6">
        <w:rPr>
          <w:color w:val="00000A"/>
        </w:rPr>
        <w:t>, a su vez,</w:t>
      </w:r>
      <w:r w:rsidR="00AC6EF6">
        <w:rPr>
          <w:color w:val="00000A"/>
        </w:rPr>
        <w:t xml:space="preserve"> y aplicando sus medidas internas de </w:t>
      </w:r>
      <w:r w:rsidR="00AC6EF6" w:rsidRPr="00AC6EF6">
        <w:rPr>
          <w:b/>
          <w:color w:val="00000A"/>
        </w:rPr>
        <w:t>responsabilidad social empresarial</w:t>
      </w:r>
      <w:r w:rsidR="00AC6EF6">
        <w:rPr>
          <w:color w:val="00000A"/>
        </w:rPr>
        <w:t>,</w:t>
      </w:r>
      <w:r w:rsidR="00AC6EF6" w:rsidRPr="00AC6EF6">
        <w:rPr>
          <w:color w:val="00000A"/>
        </w:rPr>
        <w:t xml:space="preserve"> recientemente han cancelado la futura compra de volúmenes de aceite la empresa guatemalteca </w:t>
      </w:r>
      <w:r w:rsidR="00AC6EF6" w:rsidRPr="00AC6EF6">
        <w:rPr>
          <w:i/>
          <w:color w:val="00000A"/>
        </w:rPr>
        <w:t>REPSA</w:t>
      </w:r>
      <w:r w:rsidR="00AC6EF6" w:rsidRPr="00AC6EF6">
        <w:rPr>
          <w:color w:val="00000A"/>
        </w:rPr>
        <w:t xml:space="preserve"> por violar leyes ambientales y laborales. Junto con dos de los ingenios azucareros </w:t>
      </w:r>
      <w:r w:rsidR="00AF365F" w:rsidRPr="00AC6EF6">
        <w:rPr>
          <w:color w:val="00000A"/>
        </w:rPr>
        <w:t>más</w:t>
      </w:r>
      <w:r w:rsidR="00AC6EF6" w:rsidRPr="00AC6EF6">
        <w:rPr>
          <w:color w:val="00000A"/>
        </w:rPr>
        <w:t xml:space="preserve"> grandes del país, </w:t>
      </w:r>
      <w:r w:rsidR="00AC6EF6" w:rsidRPr="00AC6EF6">
        <w:rPr>
          <w:i/>
          <w:color w:val="00000A"/>
        </w:rPr>
        <w:t>Magdalena</w:t>
      </w:r>
      <w:r w:rsidR="00AC6EF6" w:rsidRPr="00AC6EF6">
        <w:rPr>
          <w:color w:val="00000A"/>
        </w:rPr>
        <w:t xml:space="preserve"> y </w:t>
      </w:r>
      <w:r w:rsidR="00AC6EF6" w:rsidRPr="00AC6EF6">
        <w:rPr>
          <w:i/>
          <w:color w:val="00000A"/>
        </w:rPr>
        <w:t>Palo Gordo</w:t>
      </w:r>
      <w:r w:rsidR="00AC6EF6" w:rsidRPr="00AC6EF6">
        <w:rPr>
          <w:color w:val="00000A"/>
        </w:rPr>
        <w:t>, estas empresas están vinculadas a escándalos de corrupción.</w:t>
      </w:r>
      <w:r w:rsidR="00F62EC2">
        <w:rPr>
          <w:rStyle w:val="Refdenotaalfinal"/>
          <w:color w:val="00000A"/>
        </w:rPr>
        <w:endnoteReference w:id="48"/>
      </w:r>
    </w:p>
    <w:p w:rsidR="000C0DAC" w:rsidRDefault="007046C0" w:rsidP="000C0DAC">
      <w:r>
        <w:rPr>
          <w:color w:val="00000A"/>
        </w:rPr>
        <w:t>17.-</w:t>
      </w:r>
      <w:r w:rsidR="00AC6EF6">
        <w:rPr>
          <w:color w:val="00000A"/>
        </w:rPr>
        <w:t>El acaparamiento de tierras, que como fenómeno mundial</w:t>
      </w:r>
      <w:r w:rsidR="00AC6EF6">
        <w:rPr>
          <w:rStyle w:val="Refdenotaalfinal"/>
          <w:color w:val="00000A"/>
        </w:rPr>
        <w:endnoteReference w:id="49"/>
      </w:r>
      <w:r w:rsidR="00AC6EF6">
        <w:rPr>
          <w:color w:val="00000A"/>
        </w:rPr>
        <w:t xml:space="preserve"> aterriza en Guatemala, </w:t>
      </w:r>
      <w:r w:rsidR="009E4E97">
        <w:rPr>
          <w:color w:val="00000A"/>
        </w:rPr>
        <w:t xml:space="preserve">además </w:t>
      </w:r>
      <w:r w:rsidR="00AC6EF6">
        <w:rPr>
          <w:color w:val="00000A"/>
        </w:rPr>
        <w:t xml:space="preserve">usurpa y contamina </w:t>
      </w:r>
      <w:r w:rsidR="009E4E97">
        <w:t xml:space="preserve">el </w:t>
      </w:r>
      <w:r w:rsidR="009E4E97" w:rsidRPr="000C0DAC">
        <w:rPr>
          <w:b/>
        </w:rPr>
        <w:t>agua</w:t>
      </w:r>
      <w:r w:rsidR="009E4E97">
        <w:t xml:space="preserve">. </w:t>
      </w:r>
      <w:r w:rsidR="000C0DAC" w:rsidRPr="000C0DAC">
        <w:t xml:space="preserve">Además del consumo de agroquímicos nocivos para la salud humana y agro-ecológica, resulta preocupante el </w:t>
      </w:r>
      <w:r w:rsidR="000C0DAC" w:rsidRPr="000C0DAC">
        <w:rPr>
          <w:b/>
        </w:rPr>
        <w:t>consumo de agua</w:t>
      </w:r>
      <w:r w:rsidR="000C0DAC" w:rsidRPr="000C0DAC">
        <w:t xml:space="preserve"> que requieren los monocultivos, especialmente la caña de azúcar y el banano. Los mismos ocasionan que la demanda agrícola cañera y bananera determine el control del agua a nivel nacional con un consumo de 1,886 millones de m3 anuales. </w:t>
      </w:r>
      <w:r w:rsidR="009E4E97">
        <w:rPr>
          <w:rStyle w:val="Refdenotaalfinal"/>
        </w:rPr>
        <w:endnoteReference w:id="50"/>
      </w:r>
      <w:r w:rsidR="000C0DAC" w:rsidRPr="000C0DAC">
        <w:t xml:space="preserve"> La contaminación de prácticamente la totalidad de los mantos acuíferos superficiales gracias a las actividades extractivas, y la ausencia de institucionalidad y de regulación de su uso, enmarcan las perspectivas actuales de la oferta y la demanda en función de monopolios nacionales y empresas transnacionales. </w:t>
      </w:r>
      <w:r w:rsidR="000C0DAC">
        <w:t>El requerimiento de</w:t>
      </w:r>
      <w:r w:rsidR="000C0DAC" w:rsidRPr="000C0DAC">
        <w:t xml:space="preserve"> grandes volúmenes de agua</w:t>
      </w:r>
      <w:r w:rsidR="000C0DAC">
        <w:t xml:space="preserve"> para la producción de caña de </w:t>
      </w:r>
      <w:r w:rsidR="00AF365F">
        <w:t>azúcar,</w:t>
      </w:r>
      <w:r w:rsidR="000C0DAC">
        <w:t xml:space="preserve"> por ejemplo, ocasiona que l</w:t>
      </w:r>
      <w:r w:rsidR="000C0DAC" w:rsidRPr="000C0DAC">
        <w:t>as empresas productoras de caña dispon</w:t>
      </w:r>
      <w:r w:rsidR="000C0DAC">
        <w:t>ga</w:t>
      </w:r>
      <w:r w:rsidR="000C0DAC" w:rsidRPr="000C0DAC">
        <w:t>n de las aguas públicas de manera casi irrestricta</w:t>
      </w:r>
      <w:r w:rsidR="000C0DAC">
        <w:t>.</w:t>
      </w:r>
      <w:r w:rsidR="000C0DAC" w:rsidRPr="000C0DAC">
        <w:t xml:space="preserve"> A pesar de que Guatemala cuenta con 93 mil millones de metros cúbicos anuales de agua, lo cual supone siete mil metros cúbicos por cada habitante</w:t>
      </w:r>
      <w:r w:rsidR="00F62EC2">
        <w:rPr>
          <w:rStyle w:val="Refdenotaalfinal"/>
        </w:rPr>
        <w:endnoteReference w:id="51"/>
      </w:r>
      <w:r w:rsidR="000C0DAC" w:rsidRPr="000C0DAC">
        <w:t xml:space="preserve">, la mayoría de la población no goza de acceso a agua potable ni entubada. A pesar de la supuesta </w:t>
      </w:r>
      <w:r w:rsidR="000C0DAC" w:rsidRPr="000C0DAC">
        <w:rPr>
          <w:b/>
        </w:rPr>
        <w:t>disponibilidad</w:t>
      </w:r>
      <w:r w:rsidR="000C0DAC" w:rsidRPr="000C0DAC">
        <w:t xml:space="preserve">, el mal manejo del agua y </w:t>
      </w:r>
      <w:r w:rsidR="000C0DAC">
        <w:t xml:space="preserve">la ausencia de regulación permiten una total impunidad en su uso. </w:t>
      </w:r>
    </w:p>
    <w:p w:rsidR="000C0DAC" w:rsidRPr="000C0DAC" w:rsidRDefault="007046C0" w:rsidP="000C0DAC">
      <w:r>
        <w:t>18.-</w:t>
      </w:r>
      <w:r w:rsidR="000C0DAC" w:rsidRPr="000C0DAC">
        <w:t xml:space="preserve">Especialmente la caña de azúcar </w:t>
      </w:r>
      <w:r w:rsidR="00D871A4">
        <w:t>recién sembrada</w:t>
      </w:r>
      <w:r w:rsidR="000C0DAC" w:rsidRPr="000C0DAC">
        <w:t xml:space="preserve"> requiere de distintos medios de riego, principalmente el riego por aspersión, el cual </w:t>
      </w:r>
      <w:r w:rsidR="00D871A4">
        <w:t>utiliza</w:t>
      </w:r>
      <w:r w:rsidR="000C0DAC" w:rsidRPr="000C0DAC">
        <w:t xml:space="preserve"> bombas que jalan agua del caudal de los ríos hacia pozos en los cañaverales, y dependiendo de su cercanía a los mismos, también de moto-bombas, capaces de regar 2,000 galones por segundo. Siendo que una moto-bomba alcanza tan sólo para el cultivo de 32 hectáreas de caña de azúcar, da una idea del gran consumo de agua a nivel nacional de esta agroindustria, la cual está estimada oficialmente en 235 000 ha cultivadas.</w:t>
      </w:r>
      <w:r w:rsidR="000C0DAC">
        <w:t xml:space="preserve"> </w:t>
      </w:r>
      <w:r w:rsidR="000C0DAC" w:rsidRPr="000C0DAC">
        <w:t xml:space="preserve">Resultado del uso desmedido del vital líquido de uso público por parte de las agro-empresas azucareras, cuya alta productividad depende de una irrigación del cultivo durante 24 horas en un período de mínimamente seis meses del año, con tendencias en aumento por el cambio climático y los inviernos atrasados, es la sequía de los ríos principales del país: Ocho ríos han sido declarados como cauces con pérdidas del 74%, previendo el INSIVUMEH una </w:t>
      </w:r>
      <w:r w:rsidR="000C0DAC" w:rsidRPr="0074558C">
        <w:rPr>
          <w:b/>
        </w:rPr>
        <w:t>crisis por escasez</w:t>
      </w:r>
      <w:r w:rsidR="000C0DAC" w:rsidRPr="000C0DAC">
        <w:t xml:space="preserve"> del vital líquido a nivel nacional.</w:t>
      </w:r>
      <w:r w:rsidR="00F62EC2">
        <w:rPr>
          <w:rStyle w:val="Refdenotaalfinal"/>
        </w:rPr>
        <w:endnoteReference w:id="52"/>
      </w:r>
      <w:r w:rsidR="000C0DAC" w:rsidRPr="000C0DAC">
        <w:t xml:space="preserve"> </w:t>
      </w:r>
    </w:p>
    <w:p w:rsidR="00212E55" w:rsidRPr="00212E55" w:rsidRDefault="007046C0" w:rsidP="00212E55">
      <w:pPr>
        <w:rPr>
          <w:color w:val="00000A"/>
        </w:rPr>
      </w:pPr>
      <w:r>
        <w:t>19.-</w:t>
      </w:r>
      <w:r w:rsidR="009E4E97">
        <w:t xml:space="preserve">Se observa en estos últimos dos años un repunte de </w:t>
      </w:r>
      <w:r w:rsidR="009E4E97" w:rsidRPr="00212E55">
        <w:rPr>
          <w:b/>
        </w:rPr>
        <w:t>denuncias ciudadanas</w:t>
      </w:r>
      <w:r w:rsidR="009E4E97">
        <w:t xml:space="preserve"> de desvío y contaminación de ríos</w:t>
      </w:r>
      <w:r w:rsidR="009E4E97">
        <w:rPr>
          <w:rStyle w:val="Ancladenotafinal"/>
        </w:rPr>
        <w:endnoteReference w:id="53"/>
      </w:r>
      <w:r w:rsidR="009E4E97">
        <w:t xml:space="preserve">. </w:t>
      </w:r>
      <w:r w:rsidR="00D871A4">
        <w:t>Un</w:t>
      </w:r>
      <w:r w:rsidR="008D5FDF">
        <w:t>a</w:t>
      </w:r>
      <w:r w:rsidR="00D871A4">
        <w:t xml:space="preserve"> de ellas ante tribunales internacionales, tales como el tribunal Latinoamericano del Agua, de carácter ético. Cabe mencionar, que los veredictos de dicho tribunal ante los monocultivos de caña de </w:t>
      </w:r>
      <w:r w:rsidR="008D5FDF">
        <w:t xml:space="preserve">azúcar, </w:t>
      </w:r>
      <w:r w:rsidR="00D871A4">
        <w:t>palma aceitera</w:t>
      </w:r>
      <w:r w:rsidR="008D5FDF">
        <w:t xml:space="preserve"> y banano</w:t>
      </w:r>
      <w:r w:rsidR="00D871A4">
        <w:t xml:space="preserve"> en Guatemala, hacen énfasis en la necesidad de regulación del agua y en una mora de las empresas por el principio precautorio.</w:t>
      </w:r>
      <w:r w:rsidR="00D871A4">
        <w:rPr>
          <w:rStyle w:val="Refdenotaalfinal"/>
        </w:rPr>
        <w:endnoteReference w:id="54"/>
      </w:r>
      <w:r w:rsidR="00D871A4">
        <w:t xml:space="preserve"> </w:t>
      </w:r>
      <w:r w:rsidR="009E4E97">
        <w:rPr>
          <w:color w:val="00000A"/>
        </w:rPr>
        <w:t xml:space="preserve">En seguimiento a la Marcha por el </w:t>
      </w:r>
      <w:r w:rsidR="009E4E97" w:rsidRPr="000C0DAC">
        <w:rPr>
          <w:color w:val="00000A"/>
        </w:rPr>
        <w:t>Agua</w:t>
      </w:r>
      <w:r w:rsidR="009E4E97" w:rsidRPr="006E7FD2">
        <w:rPr>
          <w:b/>
          <w:color w:val="00000A"/>
        </w:rPr>
        <w:t xml:space="preserve"> </w:t>
      </w:r>
      <w:r w:rsidR="009E4E97">
        <w:rPr>
          <w:color w:val="00000A"/>
        </w:rPr>
        <w:t xml:space="preserve">se conformó una Comisión Parlamentaria </w:t>
      </w:r>
      <w:r w:rsidR="009E4E97">
        <w:rPr>
          <w:color w:val="00000A"/>
        </w:rPr>
        <w:lastRenderedPageBreak/>
        <w:t>que se dio la tarea de inspeccionar e informar acerca de los desvíos de ríos. La comisión hace constar</w:t>
      </w:r>
      <w:r w:rsidR="009E4E97">
        <w:rPr>
          <w:rStyle w:val="Ancladenotafinal"/>
          <w:color w:val="00000A"/>
        </w:rPr>
        <w:endnoteReference w:id="55"/>
      </w:r>
      <w:r w:rsidR="009E4E97">
        <w:rPr>
          <w:color w:val="00000A"/>
        </w:rPr>
        <w:t xml:space="preserve"> que tuvo que incurrir en órdenes de allanamiento para poder ingresar a fincas privadas y lograr verificar e inspeccionar los ríos que pasan por ellas, y cuyo personal no identificado ni uniformado se encontraba fuertemente armado. Confirma el informe el desvío de varios ríos, por </w:t>
      </w:r>
      <w:r w:rsidR="00D871A4">
        <w:rPr>
          <w:color w:val="00000A"/>
        </w:rPr>
        <w:t>lo cual</w:t>
      </w:r>
      <w:r w:rsidR="009E4E97">
        <w:rPr>
          <w:color w:val="00000A"/>
        </w:rPr>
        <w:t xml:space="preserve"> se levantaron actas en las alcaldías municipales, así como se realizaron diez denuncias al Ministerio Público </w:t>
      </w:r>
      <w:r w:rsidR="009E4E97">
        <w:t xml:space="preserve">(por orden del </w:t>
      </w:r>
      <w:r w:rsidR="00D871A4">
        <w:t>presidente</w:t>
      </w:r>
      <w:r w:rsidR="009E4E97">
        <w:t xml:space="preserve"> de la República, no se realizaron más denuncias)</w:t>
      </w:r>
      <w:r w:rsidR="009E4E97">
        <w:rPr>
          <w:color w:val="00000A"/>
        </w:rPr>
        <w:t xml:space="preserve"> y se trasladaron al Ministerio de Ambiente y Recursos Naturales (MARN) para que dé el trámite de procedimiento administrativo (proceso rencoroso que en general tarda años y, si no se lleva seguimiento, puede resultar en engaveta</w:t>
      </w:r>
      <w:r w:rsidR="00AF365F">
        <w:rPr>
          <w:color w:val="00000A"/>
        </w:rPr>
        <w:t xml:space="preserve">r </w:t>
      </w:r>
      <w:r w:rsidR="009E4E97">
        <w:rPr>
          <w:color w:val="00000A"/>
        </w:rPr>
        <w:t>las denuncias</w:t>
      </w:r>
      <w:r w:rsidR="009E4E97">
        <w:rPr>
          <w:rStyle w:val="Ancladenotafinal"/>
          <w:color w:val="00000A"/>
        </w:rPr>
        <w:endnoteReference w:id="56"/>
      </w:r>
      <w:r w:rsidR="009E4E97">
        <w:rPr>
          <w:color w:val="00000A"/>
        </w:rPr>
        <w:t>).</w:t>
      </w:r>
      <w:r w:rsidR="00212E55">
        <w:rPr>
          <w:color w:val="00000A"/>
        </w:rPr>
        <w:t xml:space="preserve"> L</w:t>
      </w:r>
      <w:r w:rsidR="00212E55" w:rsidRPr="00212E55">
        <w:rPr>
          <w:color w:val="00000A"/>
        </w:rPr>
        <w:t>a contaminación de las aguas queda impune a pesar de las denuncias hechas a nivel nacional e internacional, tal como en el caso del</w:t>
      </w:r>
      <w:r w:rsidR="00210D0B">
        <w:rPr>
          <w:color w:val="00000A"/>
        </w:rPr>
        <w:t xml:space="preserve"> ecocidio del</w:t>
      </w:r>
      <w:r w:rsidR="00212E55" w:rsidRPr="00212E55">
        <w:rPr>
          <w:color w:val="00000A"/>
        </w:rPr>
        <w:t xml:space="preserve"> Río la Pasión</w:t>
      </w:r>
      <w:r w:rsidR="00210D0B" w:rsidRPr="00210D0B">
        <w:rPr>
          <w:color w:val="00000A"/>
          <w:vertAlign w:val="superscript"/>
        </w:rPr>
        <w:endnoteReference w:id="57"/>
      </w:r>
      <w:r w:rsidR="00210D0B">
        <w:rPr>
          <w:color w:val="00000A"/>
        </w:rPr>
        <w:t>, tal y como muestran los eventos subsiguientes de mortandad de peces en el mismo municipio.</w:t>
      </w:r>
      <w:r w:rsidR="00210D0B" w:rsidRPr="00210D0B">
        <w:rPr>
          <w:vertAlign w:val="superscript"/>
        </w:rPr>
        <w:t xml:space="preserve"> </w:t>
      </w:r>
      <w:r w:rsidR="00210D0B" w:rsidRPr="00210D0B">
        <w:rPr>
          <w:color w:val="00000A"/>
          <w:vertAlign w:val="superscript"/>
        </w:rPr>
        <w:endnoteReference w:id="58"/>
      </w:r>
    </w:p>
    <w:p w:rsidR="00B6121F" w:rsidRDefault="007046C0">
      <w:pPr>
        <w:rPr>
          <w:color w:val="00000A"/>
        </w:rPr>
      </w:pPr>
      <w:r>
        <w:t>20.-</w:t>
      </w:r>
      <w:r w:rsidR="009E4E97">
        <w:t xml:space="preserve">A raíz de la movilización social, se retomó en la agenda legislativa la promulgación de una </w:t>
      </w:r>
      <w:r w:rsidR="009E4E97" w:rsidRPr="006E7FD2">
        <w:rPr>
          <w:b/>
        </w:rPr>
        <w:t>ley de aguas</w:t>
      </w:r>
      <w:r w:rsidR="009E4E97">
        <w:t xml:space="preserve">, la cual estaba contemplada desde 1985 </w:t>
      </w:r>
      <w:r w:rsidR="009E4E97">
        <w:rPr>
          <w:color w:val="00000A"/>
        </w:rPr>
        <w:t>por la Constitución Política (artículo 127). En 2016, la Comisión parlamentaria Extraordinaria de Recurso Hídrico recibió otras 29 iniciativas y propuestas de ley en el Congreso de la República</w:t>
      </w:r>
      <w:r w:rsidR="009E4E97">
        <w:rPr>
          <w:rStyle w:val="Ancladenotafinal"/>
          <w:color w:val="00000A"/>
        </w:rPr>
        <w:endnoteReference w:id="59"/>
      </w:r>
      <w:r w:rsidR="009E4E97">
        <w:rPr>
          <w:color w:val="00000A"/>
        </w:rPr>
        <w:t>, entre las cuales la iniciativa 5070 que está consensuada con amplios sectores de la población</w:t>
      </w:r>
      <w:r w:rsidR="009E4E97">
        <w:rPr>
          <w:rStyle w:val="Ancladenotafinal"/>
          <w:color w:val="00000A"/>
        </w:rPr>
        <w:endnoteReference w:id="60"/>
      </w:r>
      <w:r w:rsidR="009E4E97">
        <w:rPr>
          <w:color w:val="00000A"/>
        </w:rPr>
        <w:t>. La discusión para la promulgación de una ley en el Congreso parece haberse entrampado en la creación o no de una entidad rectora, reconocimiento como bien común, respeto a los derechos humanos y a la propiedad y otros tipos de propuestas técnico-jurídicas. Ninguna propuesta ha logrado ser conocida en el seno del congreso aún.</w:t>
      </w:r>
    </w:p>
    <w:p w:rsidR="006E7FD2" w:rsidRPr="005977B0" w:rsidRDefault="007046C0" w:rsidP="006E7FD2">
      <w:r>
        <w:t>21.-</w:t>
      </w:r>
      <w:r w:rsidR="005977B0" w:rsidRPr="005977B0">
        <w:t xml:space="preserve">No está demás mencionar que la alta productividad que caracteriza la producción agroindustrial del país, especialmente de la caña de azúcar, está relacionada con la cantidad de </w:t>
      </w:r>
      <w:r w:rsidR="005977B0" w:rsidRPr="005977B0">
        <w:rPr>
          <w:b/>
        </w:rPr>
        <w:t>agroquímicos</w:t>
      </w:r>
      <w:r w:rsidR="005977B0" w:rsidRPr="005977B0">
        <w:t xml:space="preserve"> utilizados. Las importaciones totales de plaguicidas durante el 2011 fueron de 161.4 millones de dólares, un 4% más en comparación al 2010 y un 17% más respecto al 2009.</w:t>
      </w:r>
      <w:r w:rsidR="009E4E97">
        <w:rPr>
          <w:rStyle w:val="Refdenotaalfinal"/>
        </w:rPr>
        <w:endnoteReference w:id="61"/>
      </w:r>
      <w:r w:rsidR="005977B0" w:rsidRPr="005977B0">
        <w:t xml:space="preserve"> Esto es congruente con la precaria legislación en materia de uso de agroquímicos en el país.</w:t>
      </w:r>
      <w:r w:rsidR="005977B0">
        <w:t xml:space="preserve"> </w:t>
      </w:r>
      <w:r w:rsidR="009E4E97">
        <w:rPr>
          <w:color w:val="00000A"/>
        </w:rPr>
        <w:t>Los agroquímicos en la producción de caña, el banano y la palma aceitera son empleados por vía aérea y terrestre (mecanizada o manual y sin protección).</w:t>
      </w:r>
      <w:r w:rsidR="00F62EC2">
        <w:rPr>
          <w:rStyle w:val="Refdenotaalfinal"/>
          <w:color w:val="00000A"/>
        </w:rPr>
        <w:endnoteReference w:id="62"/>
      </w:r>
      <w:r w:rsidR="009E4E97">
        <w:rPr>
          <w:color w:val="00000A"/>
        </w:rPr>
        <w:t xml:space="preserve"> Se ha podido evidenciar que no existen instrumentos de evaluación ambiental para fumigaciones aéreas, aunque sea un requisito legal</w:t>
      </w:r>
      <w:r w:rsidR="009E4E97">
        <w:rPr>
          <w:rStyle w:val="Ancladenotafinal"/>
          <w:color w:val="00000A"/>
        </w:rPr>
        <w:endnoteReference w:id="63"/>
      </w:r>
      <w:r w:rsidR="009E4E97">
        <w:rPr>
          <w:color w:val="00000A"/>
        </w:rPr>
        <w:t xml:space="preserve">. El </w:t>
      </w:r>
      <w:r w:rsidR="009E4E97">
        <w:rPr>
          <w:i/>
          <w:iCs/>
          <w:color w:val="00000A"/>
        </w:rPr>
        <w:t>glifosato</w:t>
      </w:r>
      <w:r w:rsidR="009E4E97">
        <w:rPr>
          <w:color w:val="00000A"/>
        </w:rPr>
        <w:t xml:space="preserve"> es uno de los agroquímicos más utilizados, igual que los madurantes</w:t>
      </w:r>
      <w:r w:rsidR="006E7FD2">
        <w:rPr>
          <w:color w:val="00000A"/>
        </w:rPr>
        <w:t xml:space="preserve">, </w:t>
      </w:r>
      <w:r w:rsidR="009E4E97">
        <w:rPr>
          <w:color w:val="00000A"/>
        </w:rPr>
        <w:t>inhibidores de flor,</w:t>
      </w:r>
      <w:r w:rsidR="006E7FD2">
        <w:rPr>
          <w:color w:val="00000A"/>
        </w:rPr>
        <w:t xml:space="preserve"> fertilizantes y pesticidas</w:t>
      </w:r>
      <w:r w:rsidR="009E4E97">
        <w:rPr>
          <w:color w:val="00000A"/>
        </w:rPr>
        <w:t xml:space="preserve"> empleados en las agroindustrias azucarera, de palma aceitera y de banano.</w:t>
      </w:r>
      <w:r w:rsidR="00F62EC2">
        <w:rPr>
          <w:rStyle w:val="Refdenotaalfinal"/>
          <w:color w:val="00000A"/>
        </w:rPr>
        <w:endnoteReference w:id="64"/>
      </w:r>
      <w:r w:rsidR="009E4E97">
        <w:rPr>
          <w:color w:val="00000A"/>
        </w:rPr>
        <w:t xml:space="preserve"> El riesgo implícito es el esparcimiento hacia otros cultivos y hacia zonas habitacionales, con impactos en la salud humana, principalmente evidenciados en las enfermedades renales crónicas</w:t>
      </w:r>
      <w:r w:rsidR="009E4E97">
        <w:rPr>
          <w:rStyle w:val="Ancladenotafinal"/>
          <w:color w:val="00000A"/>
        </w:rPr>
        <w:endnoteReference w:id="65"/>
      </w:r>
      <w:r w:rsidR="009E4E97">
        <w:rPr>
          <w:color w:val="00000A"/>
        </w:rPr>
        <w:t>. La reglamentación nacional en cuanto al uso de agroquímicos es muy limitada</w:t>
      </w:r>
      <w:r w:rsidR="006E7FD2">
        <w:rPr>
          <w:color w:val="00000A"/>
        </w:rPr>
        <w:t>,</w:t>
      </w:r>
      <w:r w:rsidR="009E4E97">
        <w:rPr>
          <w:color w:val="00000A"/>
        </w:rPr>
        <w:t xml:space="preserve"> ya que sólo registra los productos y no toma en cuenta</w:t>
      </w:r>
      <w:r w:rsidR="006E7FD2">
        <w:rPr>
          <w:color w:val="00000A"/>
        </w:rPr>
        <w:t xml:space="preserve"> las precauciones y riesgos de su </w:t>
      </w:r>
      <w:r w:rsidR="00AF365F">
        <w:rPr>
          <w:color w:val="00000A"/>
        </w:rPr>
        <w:t>aplicación</w:t>
      </w:r>
      <w:r w:rsidR="009E4E97">
        <w:rPr>
          <w:rStyle w:val="Ancladenotafinal"/>
          <w:color w:val="00000A"/>
        </w:rPr>
        <w:endnoteReference w:id="66"/>
      </w:r>
      <w:r w:rsidR="009E4E97">
        <w:rPr>
          <w:color w:val="00000A"/>
        </w:rPr>
        <w:t>.</w:t>
      </w:r>
      <w:r w:rsidR="006E7FD2">
        <w:rPr>
          <w:color w:val="00000A"/>
        </w:rPr>
        <w:t xml:space="preserve"> </w:t>
      </w:r>
    </w:p>
    <w:p w:rsidR="00D30875" w:rsidRDefault="007046C0" w:rsidP="001B6A29">
      <w:pPr>
        <w:rPr>
          <w:highlight w:val="magenta"/>
        </w:rPr>
      </w:pPr>
      <w:r>
        <w:t>22.-</w:t>
      </w:r>
      <w:r w:rsidR="009E4E97">
        <w:t>En respuesta a la organización de movimientos pacíficos de denuncia de imposición de proyectos agro-extractivos, las comunidades se enfrentan al divisionismo, a estructuras paramilitares, instalación de campamentos militares y subestaciones de policía, intimidaciones, campañas de difamación</w:t>
      </w:r>
      <w:r w:rsidR="009E4E97" w:rsidRPr="00210D0B">
        <w:rPr>
          <w:b/>
        </w:rPr>
        <w:t>, criminalización</w:t>
      </w:r>
      <w:r w:rsidR="009E4E97">
        <w:t xml:space="preserve">, encarcelamiento y asesinato de líderes. </w:t>
      </w:r>
      <w:r w:rsidR="00D30875">
        <w:t xml:space="preserve">En agosto de 2017, </w:t>
      </w:r>
      <w:r w:rsidR="00D30875" w:rsidRPr="00D30875">
        <w:t>la CIDH constató que la mayoría de los casos de violencia, ataques, detenciones, criminalización y asesinatos contra defensores y defensoras, está relacionada con la defensa del ambiente y con la demanda del derecho de los pueblos indígenas a ser consultados antes de la implementación de proyectos extractivos.</w:t>
      </w:r>
      <w:r w:rsidR="001B6A29">
        <w:rPr>
          <w:rStyle w:val="Refdenotaalfinal"/>
        </w:rPr>
        <w:endnoteReference w:id="67"/>
      </w:r>
      <w:r w:rsidR="00D30875" w:rsidRPr="00D30875">
        <w:t xml:space="preserve"> </w:t>
      </w:r>
      <w:r w:rsidR="001B6A29">
        <w:t xml:space="preserve">Esta situación se agrava, a pesar de que </w:t>
      </w:r>
      <w:r w:rsidR="00D30875" w:rsidRPr="00D30875">
        <w:t xml:space="preserve">a inicios de 2017, </w:t>
      </w:r>
      <w:r w:rsidR="001B6A29">
        <w:t xml:space="preserve">el Estado de Guatemala ha iniciado </w:t>
      </w:r>
      <w:r w:rsidR="00D30875" w:rsidRPr="00D30875">
        <w:t>un proceso de creación de una Política Pública para la Protección de Defensoras y Defensores de Derechos Humanos</w:t>
      </w:r>
      <w:r w:rsidR="001B6A29">
        <w:t xml:space="preserve">, </w:t>
      </w:r>
      <w:proofErr w:type="spellStart"/>
      <w:r w:rsidR="001B6A29">
        <w:t>asi</w:t>
      </w:r>
      <w:proofErr w:type="spellEnd"/>
      <w:r w:rsidR="001B6A29">
        <w:t xml:space="preserve"> como la </w:t>
      </w:r>
      <w:r w:rsidR="00D30875" w:rsidRPr="00D30875">
        <w:t>Instancia de Análisis de Ataques contra Defensores y la Unidad de Delitos contra Activistas de Derechos Humanos</w:t>
      </w:r>
      <w:r w:rsidR="001B6A29">
        <w:t xml:space="preserve">. Sin embargo, estas </w:t>
      </w:r>
      <w:r w:rsidR="00D30875" w:rsidRPr="00D30875">
        <w:t>entidades no han sido fortalecidas</w:t>
      </w:r>
      <w:r w:rsidR="001B6A29">
        <w:t xml:space="preserve">, como hace constar el reciente comunicado de la </w:t>
      </w:r>
      <w:proofErr w:type="spellStart"/>
      <w:r w:rsidR="000C6C26" w:rsidRPr="000C6C26">
        <w:t>La</w:t>
      </w:r>
      <w:proofErr w:type="spellEnd"/>
      <w:r w:rsidR="000C6C26" w:rsidRPr="000C6C26">
        <w:t xml:space="preserve"> Unidad de Protección a Defensoras y Defensores de Derechos Humanos – Guatemala –</w:t>
      </w:r>
      <w:r w:rsidR="000C6C26" w:rsidRPr="000C6C26">
        <w:lastRenderedPageBreak/>
        <w:t xml:space="preserve">UDEFEGUA- </w:t>
      </w:r>
      <w:r w:rsidR="001B6A29">
        <w:t xml:space="preserve">que alerta sobre el reciente avance de iniciativas de ley que criminalizan la defensa de los derechos humanos y </w:t>
      </w:r>
      <w:r w:rsidR="001B6A29" w:rsidRPr="001B6A29">
        <w:t>pretenden cerrar los espacios para la acción de la sociedad civil en la lucha contra la impunidad.</w:t>
      </w:r>
      <w:r w:rsidR="001B6A29">
        <w:rPr>
          <w:rStyle w:val="Refdenotaalfinal"/>
        </w:rPr>
        <w:endnoteReference w:id="68"/>
      </w:r>
    </w:p>
    <w:p w:rsidR="00B6121F" w:rsidRDefault="007046C0">
      <w:r>
        <w:t>23.-</w:t>
      </w:r>
      <w:r w:rsidR="009E4E97">
        <w:t xml:space="preserve">Como forma de expresión para la autodeterminación, se han realizado 93 </w:t>
      </w:r>
      <w:r w:rsidR="009E4E97" w:rsidRPr="0074558C">
        <w:rPr>
          <w:b/>
        </w:rPr>
        <w:t>consultas</w:t>
      </w:r>
      <w:r w:rsidR="009E4E97">
        <w:t xml:space="preserve"> desde 2004 que sean de Buena Fe o según los lineamientos del Código Municipal, mayormente para rechazar proyectos extractivos tales como la minería metálica o hidroeléctricas. </w:t>
      </w:r>
      <w:r w:rsidR="0074558C">
        <w:t>Frente a ello, la iniciativa privada, a través del Estado</w:t>
      </w:r>
      <w:r w:rsidR="00F62EC2">
        <w:rPr>
          <w:rStyle w:val="Refdenotaalfinal"/>
        </w:rPr>
        <w:endnoteReference w:id="69"/>
      </w:r>
      <w:r w:rsidR="0074558C">
        <w:t xml:space="preserve">, ha intentado frenar estas </w:t>
      </w:r>
      <w:r w:rsidR="000C6C26">
        <w:t>expresiones</w:t>
      </w:r>
      <w:r w:rsidR="0074558C">
        <w:t xml:space="preserve"> ciudadanas mediante el esbozo de reglamentaciones estrictas para las consultas. </w:t>
      </w:r>
      <w:r w:rsidR="000C6C26" w:rsidRPr="000C6C26">
        <w:t xml:space="preserve">A pesar de la insistencia de las autoridades indígenas y ancestrales, así como de otras organizaciones indígenas y ambientalistas, de que el Convenio 169 de la Organización Internacional de Trabajo (OIT) es suficiente para la regulación de la consulta, </w:t>
      </w:r>
      <w:r w:rsidR="000C6C26">
        <w:t xml:space="preserve">diversas entidades instan </w:t>
      </w:r>
      <w:r w:rsidR="000C6C26" w:rsidRPr="000C6C26">
        <w:t>al Congreso de la República elaborar una Ley de Consulta Previa que cumpla con los estándares interamericanos en la materia</w:t>
      </w:r>
      <w:r w:rsidR="000C6C26">
        <w:t>. H</w:t>
      </w:r>
      <w:r w:rsidR="0074558C">
        <w:t>asta ahora, los movimientos sociales y organizaciones de base han externado su expreso desacuerdo con dichos reglamentos</w:t>
      </w:r>
      <w:r w:rsidR="00666A72">
        <w:t>, dado que atentan contra las formas y normativas propias de los pueblos indígenas.</w:t>
      </w:r>
    </w:p>
    <w:p w:rsidR="007046C0" w:rsidRDefault="007046C0">
      <w:pPr>
        <w:rPr>
          <w:b/>
        </w:rPr>
      </w:pPr>
    </w:p>
    <w:p w:rsidR="00B6121F" w:rsidRDefault="009E4E97">
      <w:r>
        <w:rPr>
          <w:b/>
        </w:rPr>
        <w:t>Recomendaciones</w:t>
      </w:r>
    </w:p>
    <w:p w:rsidR="00666A72" w:rsidRDefault="00666A72">
      <w:pPr>
        <w:spacing w:after="0"/>
        <w:rPr>
          <w:color w:val="00000A"/>
        </w:rPr>
      </w:pPr>
    </w:p>
    <w:p w:rsidR="00666A72" w:rsidRPr="00666A72" w:rsidRDefault="00666A72" w:rsidP="007046C0">
      <w:pPr>
        <w:pStyle w:val="Prrafodelista"/>
        <w:numPr>
          <w:ilvl w:val="0"/>
          <w:numId w:val="1"/>
        </w:numPr>
        <w:spacing w:after="0"/>
        <w:rPr>
          <w:color w:val="00000A"/>
        </w:rPr>
      </w:pPr>
      <w:r>
        <w:rPr>
          <w:color w:val="00000A"/>
        </w:rPr>
        <w:t xml:space="preserve">Para frenar el acaparamiento de tierras para el control de bosques, agua, </w:t>
      </w:r>
      <w:r w:rsidR="00AF365F">
        <w:rPr>
          <w:color w:val="00000A"/>
        </w:rPr>
        <w:t>energía</w:t>
      </w:r>
      <w:r>
        <w:rPr>
          <w:color w:val="00000A"/>
        </w:rPr>
        <w:t xml:space="preserve"> y alimentos, la </w:t>
      </w:r>
      <w:r w:rsidRPr="00666A72">
        <w:rPr>
          <w:color w:val="00000A"/>
        </w:rPr>
        <w:t>expansión de los monocultivos</w:t>
      </w:r>
      <w:r w:rsidR="00122953">
        <w:rPr>
          <w:color w:val="00000A"/>
        </w:rPr>
        <w:t xml:space="preserve"> y de la agricultura extensiva,</w:t>
      </w:r>
      <w:r w:rsidRPr="00666A72">
        <w:rPr>
          <w:color w:val="00000A"/>
        </w:rPr>
        <w:t xml:space="preserve"> debe </w:t>
      </w:r>
      <w:r>
        <w:rPr>
          <w:color w:val="00000A"/>
        </w:rPr>
        <w:t xml:space="preserve">estar supeditada a una regulación nacional que establezca extensiones </w:t>
      </w:r>
      <w:r w:rsidR="00AF365F">
        <w:rPr>
          <w:color w:val="00000A"/>
        </w:rPr>
        <w:t>máximas</w:t>
      </w:r>
      <w:r>
        <w:rPr>
          <w:color w:val="00000A"/>
        </w:rPr>
        <w:t xml:space="preserve"> de la propiedad.</w:t>
      </w:r>
    </w:p>
    <w:p w:rsidR="00666A72" w:rsidRPr="00666A72" w:rsidRDefault="00666A72" w:rsidP="007046C0">
      <w:pPr>
        <w:pStyle w:val="Prrafodelista"/>
        <w:numPr>
          <w:ilvl w:val="0"/>
          <w:numId w:val="1"/>
        </w:numPr>
        <w:spacing w:after="0"/>
        <w:rPr>
          <w:color w:val="00000A"/>
        </w:rPr>
      </w:pPr>
      <w:r>
        <w:rPr>
          <w:color w:val="00000A"/>
        </w:rPr>
        <w:t xml:space="preserve">Es indispensable la fiscalización, tanto de la tributación debida de las empresas, como también y sobre todo de los </w:t>
      </w:r>
      <w:r w:rsidRPr="00666A72">
        <w:rPr>
          <w:color w:val="00000A"/>
        </w:rPr>
        <w:t>derechos laborales</w:t>
      </w:r>
      <w:r>
        <w:rPr>
          <w:color w:val="00000A"/>
        </w:rPr>
        <w:t xml:space="preserve"> en la agroindustria. </w:t>
      </w:r>
    </w:p>
    <w:p w:rsidR="00666A72" w:rsidRDefault="00666A72" w:rsidP="007046C0">
      <w:pPr>
        <w:pStyle w:val="Prrafodelista"/>
        <w:numPr>
          <w:ilvl w:val="0"/>
          <w:numId w:val="1"/>
        </w:numPr>
        <w:spacing w:after="0"/>
        <w:rPr>
          <w:color w:val="00000A"/>
        </w:rPr>
      </w:pPr>
      <w:r>
        <w:rPr>
          <w:color w:val="00000A"/>
        </w:rPr>
        <w:t xml:space="preserve">La </w:t>
      </w:r>
      <w:r w:rsidR="00AF365F" w:rsidRPr="00666A72">
        <w:rPr>
          <w:color w:val="00000A"/>
        </w:rPr>
        <w:t>criminalización</w:t>
      </w:r>
      <w:r w:rsidRPr="00666A72">
        <w:rPr>
          <w:color w:val="00000A"/>
        </w:rPr>
        <w:t xml:space="preserve"> de defensores</w:t>
      </w:r>
      <w:r>
        <w:rPr>
          <w:color w:val="00000A"/>
        </w:rPr>
        <w:t xml:space="preserve"> y defensoras de derechos humanos</w:t>
      </w:r>
      <w:r w:rsidRPr="00666A72">
        <w:rPr>
          <w:color w:val="00000A"/>
        </w:rPr>
        <w:t xml:space="preserve"> debe parar</w:t>
      </w:r>
      <w:r>
        <w:rPr>
          <w:color w:val="00000A"/>
        </w:rPr>
        <w:t xml:space="preserve">, garantizando </w:t>
      </w:r>
      <w:r w:rsidRPr="00666A72">
        <w:rPr>
          <w:color w:val="00000A"/>
        </w:rPr>
        <w:t xml:space="preserve">el acompañamiento de </w:t>
      </w:r>
      <w:r>
        <w:rPr>
          <w:color w:val="00000A"/>
        </w:rPr>
        <w:t>l</w:t>
      </w:r>
      <w:r w:rsidRPr="00666A72">
        <w:rPr>
          <w:color w:val="00000A"/>
        </w:rPr>
        <w:t>íderes</w:t>
      </w:r>
      <w:r>
        <w:rPr>
          <w:color w:val="00000A"/>
        </w:rPr>
        <w:t xml:space="preserve"> y lideresas comunitarias.</w:t>
      </w:r>
    </w:p>
    <w:p w:rsidR="00666A72" w:rsidRPr="00666A72" w:rsidRDefault="00666A72" w:rsidP="007046C0">
      <w:pPr>
        <w:pStyle w:val="Prrafodelista"/>
        <w:numPr>
          <w:ilvl w:val="0"/>
          <w:numId w:val="1"/>
        </w:numPr>
        <w:spacing w:after="0"/>
        <w:rPr>
          <w:color w:val="00000A"/>
        </w:rPr>
      </w:pPr>
      <w:r>
        <w:rPr>
          <w:color w:val="00000A"/>
        </w:rPr>
        <w:t>Fortalecer la i</w:t>
      </w:r>
      <w:r w:rsidRPr="00666A72">
        <w:rPr>
          <w:color w:val="00000A"/>
        </w:rPr>
        <w:t>nstitucionalidad</w:t>
      </w:r>
      <w:r>
        <w:rPr>
          <w:color w:val="00000A"/>
        </w:rPr>
        <w:t xml:space="preserve"> agraria mediante la coordinación interinstitucional y priorizando en todo momento </w:t>
      </w:r>
      <w:r w:rsidRPr="00666A72">
        <w:rPr>
          <w:color w:val="00000A"/>
        </w:rPr>
        <w:t>al campesinado</w:t>
      </w:r>
      <w:r>
        <w:rPr>
          <w:color w:val="00000A"/>
        </w:rPr>
        <w:t xml:space="preserve"> en políticas, programas y proyectos.</w:t>
      </w:r>
    </w:p>
    <w:p w:rsidR="00B6121F" w:rsidRDefault="00122953" w:rsidP="007046C0">
      <w:pPr>
        <w:pStyle w:val="Prrafodelista"/>
        <w:numPr>
          <w:ilvl w:val="0"/>
          <w:numId w:val="1"/>
        </w:numPr>
        <w:spacing w:after="0"/>
      </w:pPr>
      <w:r>
        <w:rPr>
          <w:color w:val="00000A"/>
        </w:rPr>
        <w:t>Para poder enfrentar debidamente la conflictividad agraria, e</w:t>
      </w:r>
      <w:r w:rsidR="00666A72">
        <w:rPr>
          <w:color w:val="00000A"/>
        </w:rPr>
        <w:t xml:space="preserve">s necesario que </w:t>
      </w:r>
      <w:r>
        <w:rPr>
          <w:color w:val="00000A"/>
        </w:rPr>
        <w:t xml:space="preserve">esta </w:t>
      </w:r>
      <w:r w:rsidR="00666A72">
        <w:rPr>
          <w:color w:val="00000A"/>
        </w:rPr>
        <w:t xml:space="preserve">sea </w:t>
      </w:r>
      <w:r w:rsidR="00666A72" w:rsidRPr="00666A72">
        <w:rPr>
          <w:color w:val="00000A"/>
        </w:rPr>
        <w:t xml:space="preserve">debidamente tipificada y </w:t>
      </w:r>
      <w:r w:rsidR="009E4E97" w:rsidRPr="00666A72">
        <w:rPr>
          <w:color w:val="00000A"/>
        </w:rPr>
        <w:t>atendida</w:t>
      </w:r>
      <w:r>
        <w:rPr>
          <w:color w:val="00000A"/>
        </w:rPr>
        <w:t xml:space="preserve"> por parte de las instituciones.</w:t>
      </w:r>
    </w:p>
    <w:p w:rsidR="00B6121F" w:rsidRDefault="00122953" w:rsidP="007046C0">
      <w:pPr>
        <w:pStyle w:val="Prrafodelista"/>
        <w:numPr>
          <w:ilvl w:val="0"/>
          <w:numId w:val="1"/>
        </w:numPr>
        <w:spacing w:after="0"/>
      </w:pPr>
      <w:r>
        <w:rPr>
          <w:color w:val="00000A"/>
        </w:rPr>
        <w:t xml:space="preserve">Condenar los desalojos extrajudiciales y promover que </w:t>
      </w:r>
      <w:r w:rsidR="009E4E97" w:rsidRPr="00666A72">
        <w:rPr>
          <w:color w:val="00000A"/>
        </w:rPr>
        <w:t>los</w:t>
      </w:r>
      <w:r>
        <w:rPr>
          <w:color w:val="00000A"/>
        </w:rPr>
        <w:t xml:space="preserve"> desalojos </w:t>
      </w:r>
      <w:r w:rsidR="009E4E97" w:rsidRPr="00666A72">
        <w:rPr>
          <w:color w:val="00000A"/>
        </w:rPr>
        <w:t>sigan procedimientos judiciales que cumplan con los estándares de derechos humanos internacionales, específicamente la reubicación y el resguardo de integridad física y psicológica de la población, garantizando en todo momento el derecho a la alimentación.</w:t>
      </w:r>
    </w:p>
    <w:p w:rsidR="00B6121F" w:rsidRDefault="009E4E97" w:rsidP="007046C0">
      <w:pPr>
        <w:pStyle w:val="Prrafodelista"/>
        <w:numPr>
          <w:ilvl w:val="0"/>
          <w:numId w:val="1"/>
        </w:numPr>
      </w:pPr>
      <w:r>
        <w:t>Favorecer la plena integración de la población campesina e indígena a la economía nacional con la Aprobación de la Iniciativa de Ley del Sistema Nacional del Desarrollo Rural Integral “4084”.</w:t>
      </w:r>
    </w:p>
    <w:p w:rsidR="00B6121F" w:rsidRDefault="009E4E97" w:rsidP="007046C0">
      <w:pPr>
        <w:pStyle w:val="Prrafodelista"/>
        <w:numPr>
          <w:ilvl w:val="0"/>
          <w:numId w:val="1"/>
        </w:numPr>
      </w:pPr>
      <w:r w:rsidRPr="00122953">
        <w:rPr>
          <w:color w:val="00000A"/>
        </w:rPr>
        <w:t xml:space="preserve">Apoyar la reforma constitucional para la vigencia del pluralismo jurídico, de manera que los pueblos indígenas sean facultados </w:t>
      </w:r>
      <w:r w:rsidR="00122953">
        <w:rPr>
          <w:color w:val="00000A"/>
        </w:rPr>
        <w:t>para</w:t>
      </w:r>
      <w:r w:rsidRPr="00122953">
        <w:rPr>
          <w:color w:val="00000A"/>
        </w:rPr>
        <w:t xml:space="preserve"> administrar y regular sus territorios socio-culturales y económicos, incluyendo los recursos naturales públicos bajo su jurisdicción.</w:t>
      </w:r>
    </w:p>
    <w:p w:rsidR="00B6121F" w:rsidRPr="00122953" w:rsidRDefault="009E4E97" w:rsidP="007046C0">
      <w:pPr>
        <w:pStyle w:val="Prrafodelista"/>
        <w:numPr>
          <w:ilvl w:val="0"/>
          <w:numId w:val="1"/>
        </w:numPr>
        <w:rPr>
          <w:color w:val="00000A"/>
        </w:rPr>
      </w:pPr>
      <w:r>
        <w:t xml:space="preserve">Reconocer el </w:t>
      </w:r>
      <w:r w:rsidR="00122953">
        <w:t>D</w:t>
      </w:r>
      <w:r>
        <w:t xml:space="preserve">erecho a la </w:t>
      </w:r>
      <w:r w:rsidR="00122953">
        <w:t>C</w:t>
      </w:r>
      <w:r>
        <w:t xml:space="preserve">onsulta </w:t>
      </w:r>
      <w:r w:rsidR="00122953">
        <w:t>de manera vinculante en el marco del C</w:t>
      </w:r>
      <w:r>
        <w:t>onvenio 169 de la OIT,</w:t>
      </w:r>
      <w:r w:rsidR="00122953">
        <w:t xml:space="preserve"> el</w:t>
      </w:r>
      <w:r>
        <w:t xml:space="preserve"> Código Municipal y por cualquier bien natural en cuestión, debate o disputa.</w:t>
      </w:r>
    </w:p>
    <w:p w:rsidR="00122953" w:rsidRDefault="009E4E97" w:rsidP="007046C0">
      <w:pPr>
        <w:pStyle w:val="Prrafodelista"/>
        <w:numPr>
          <w:ilvl w:val="0"/>
          <w:numId w:val="1"/>
        </w:numPr>
      </w:pPr>
      <w:r w:rsidRPr="00122953">
        <w:rPr>
          <w:color w:val="00000A"/>
        </w:rPr>
        <w:t>Apoyar la a</w:t>
      </w:r>
      <w:r>
        <w:t>probación de una ley de Agua</w:t>
      </w:r>
      <w:r w:rsidR="00122953">
        <w:t>s</w:t>
      </w:r>
      <w:r w:rsidRPr="00122953">
        <w:rPr>
          <w:color w:val="00000A"/>
        </w:rPr>
        <w:t xml:space="preserve"> consensuada por amplios sectores de la población, especialmente los pueblos indígenas y sus formas jurídicas, </w:t>
      </w:r>
      <w:r>
        <w:t xml:space="preserve">con enfoque al derecho humano al agua y visión del agua como bien común. </w:t>
      </w:r>
    </w:p>
    <w:p w:rsidR="001B6A29" w:rsidRDefault="009E4E97" w:rsidP="001B6A29">
      <w:pPr>
        <w:pStyle w:val="Prrafodelista"/>
        <w:numPr>
          <w:ilvl w:val="0"/>
          <w:numId w:val="1"/>
        </w:numPr>
      </w:pPr>
      <w:r>
        <w:t xml:space="preserve">Aprobar </w:t>
      </w:r>
      <w:r w:rsidR="001B6A29">
        <w:t xml:space="preserve">e implementar </w:t>
      </w:r>
      <w:r>
        <w:t>la política de protección de los defensores y las defensoras de derechos humanos</w:t>
      </w:r>
      <w:r w:rsidR="001B6A29">
        <w:t xml:space="preserve"> con el debido sustento jurídico</w:t>
      </w:r>
      <w:r>
        <w:t>.</w:t>
      </w:r>
      <w:r w:rsidR="001B6A29" w:rsidRPr="001B6A29">
        <w:t xml:space="preserve"> </w:t>
      </w:r>
    </w:p>
    <w:p w:rsidR="00666A72" w:rsidRDefault="001B6A29" w:rsidP="007046C0">
      <w:pPr>
        <w:pStyle w:val="Prrafodelista"/>
        <w:numPr>
          <w:ilvl w:val="0"/>
          <w:numId w:val="1"/>
        </w:numPr>
        <w:spacing w:after="0"/>
      </w:pPr>
      <w:r>
        <w:lastRenderedPageBreak/>
        <w:t>F</w:t>
      </w:r>
      <w:r w:rsidR="009E4E97">
        <w:t>ortalecer la fiscalía de ambiente del Ministerio Público</w:t>
      </w:r>
      <w:bookmarkStart w:id="1" w:name="_gjdgxs"/>
      <w:bookmarkEnd w:id="1"/>
    </w:p>
    <w:p w:rsidR="00B6121F" w:rsidRDefault="009E4E97" w:rsidP="007046C0">
      <w:pPr>
        <w:pStyle w:val="Prrafodelista"/>
        <w:numPr>
          <w:ilvl w:val="0"/>
          <w:numId w:val="1"/>
        </w:numPr>
        <w:spacing w:after="0"/>
      </w:pPr>
      <w:r>
        <w:t xml:space="preserve">Establecer una moratoria sobre transacciones relacionadas con los monocultivos. </w:t>
      </w:r>
    </w:p>
    <w:p w:rsidR="00B6121F" w:rsidRDefault="00122953" w:rsidP="007046C0">
      <w:pPr>
        <w:pStyle w:val="Prrafodelista"/>
        <w:numPr>
          <w:ilvl w:val="0"/>
          <w:numId w:val="1"/>
        </w:numPr>
        <w:spacing w:after="0"/>
      </w:pPr>
      <w:r>
        <w:t xml:space="preserve">Regular </w:t>
      </w:r>
      <w:r w:rsidR="009E4E97">
        <w:t>el uso de agroquímicos en concordancia con lineamientos internacionales</w:t>
      </w:r>
    </w:p>
    <w:p w:rsidR="00666A72" w:rsidRPr="00122953" w:rsidRDefault="009E4E97" w:rsidP="007046C0">
      <w:pPr>
        <w:pStyle w:val="Prrafodelista"/>
        <w:numPr>
          <w:ilvl w:val="0"/>
          <w:numId w:val="1"/>
        </w:numPr>
        <w:spacing w:after="0"/>
        <w:rPr>
          <w:color w:val="00000A"/>
        </w:rPr>
      </w:pPr>
      <w:r>
        <w:t>Realizar evaluaciones ambientales estratégicas para conocer la factibilidad ambiental, social, cultural, económica de actividades agro-extractivistas</w:t>
      </w:r>
      <w:r w:rsidR="00122953">
        <w:t>.</w:t>
      </w:r>
    </w:p>
    <w:p w:rsidR="00B6121F" w:rsidRDefault="009E4E97" w:rsidP="007046C0">
      <w:pPr>
        <w:pStyle w:val="Prrafodelista"/>
        <w:numPr>
          <w:ilvl w:val="0"/>
          <w:numId w:val="1"/>
        </w:numPr>
        <w:spacing w:after="0"/>
      </w:pPr>
      <w:r>
        <w:t xml:space="preserve">Fortalecer las capacidades técnicas del MARN para la revisión de la evaluación, control y seguimiento ambiental, </w:t>
      </w:r>
      <w:r w:rsidR="00666A72">
        <w:t>respetando</w:t>
      </w:r>
      <w:r>
        <w:t xml:space="preserve"> los procesos de consulta previa a la implementación de proyectos.</w:t>
      </w:r>
    </w:p>
    <w:p w:rsidR="00B6121F" w:rsidRDefault="00B6121F" w:rsidP="007046C0"/>
    <w:p w:rsidR="00B6121F" w:rsidRDefault="00122953">
      <w:r>
        <w:rPr>
          <w:b/>
        </w:rPr>
        <w:t xml:space="preserve">Listado de </w:t>
      </w:r>
      <w:r w:rsidR="009E4E97">
        <w:rPr>
          <w:b/>
        </w:rPr>
        <w:t>ACRÓNIMOS</w:t>
      </w:r>
    </w:p>
    <w:tbl>
      <w:tblPr>
        <w:tblStyle w:val="Tablaconcuadrcula"/>
        <w:tblW w:w="8295" w:type="dxa"/>
        <w:tblInd w:w="-5" w:type="dxa"/>
        <w:tblCellMar>
          <w:left w:w="103" w:type="dxa"/>
        </w:tblCellMar>
        <w:tblLook w:val="04A0" w:firstRow="1" w:lastRow="0" w:firstColumn="1" w:lastColumn="0" w:noHBand="0" w:noVBand="1"/>
      </w:tblPr>
      <w:tblGrid>
        <w:gridCol w:w="1605"/>
        <w:gridCol w:w="6690"/>
      </w:tblGrid>
      <w:tr w:rsidR="00B6121F">
        <w:tc>
          <w:tcPr>
            <w:tcW w:w="1605" w:type="dxa"/>
            <w:shd w:val="clear" w:color="auto" w:fill="auto"/>
            <w:tcMar>
              <w:left w:w="103" w:type="dxa"/>
            </w:tcMar>
          </w:tcPr>
          <w:p w:rsidR="00B6121F" w:rsidRDefault="009E4E97">
            <w:pPr>
              <w:spacing w:after="0" w:line="240" w:lineRule="auto"/>
            </w:pPr>
            <w:r>
              <w:t>ADRI</w:t>
            </w:r>
          </w:p>
        </w:tc>
        <w:tc>
          <w:tcPr>
            <w:tcW w:w="6689" w:type="dxa"/>
            <w:shd w:val="clear" w:color="auto" w:fill="auto"/>
            <w:tcMar>
              <w:left w:w="103" w:type="dxa"/>
            </w:tcMar>
          </w:tcPr>
          <w:p w:rsidR="00B6121F" w:rsidRDefault="009E4E97">
            <w:pPr>
              <w:spacing w:after="0" w:line="240" w:lineRule="auto"/>
            </w:pPr>
            <w:r>
              <w:t>Alianza Desarrollo Rural Integral. Alianza de organizaciones con interés en la promulgación de la Iniciativa 4084, Propuesta de Ley para el Desarrollo Rural Integral.</w:t>
            </w:r>
          </w:p>
        </w:tc>
      </w:tr>
      <w:tr w:rsidR="00B6121F">
        <w:tc>
          <w:tcPr>
            <w:tcW w:w="1605" w:type="dxa"/>
            <w:shd w:val="clear" w:color="auto" w:fill="auto"/>
            <w:tcMar>
              <w:left w:w="103" w:type="dxa"/>
            </w:tcMar>
          </w:tcPr>
          <w:p w:rsidR="00B6121F" w:rsidRDefault="009E4E97">
            <w:pPr>
              <w:spacing w:after="0" w:line="240" w:lineRule="auto"/>
            </w:pPr>
            <w:r>
              <w:t>CICIG</w:t>
            </w:r>
          </w:p>
        </w:tc>
        <w:tc>
          <w:tcPr>
            <w:tcW w:w="6689" w:type="dxa"/>
            <w:shd w:val="clear" w:color="auto" w:fill="auto"/>
            <w:tcMar>
              <w:left w:w="103" w:type="dxa"/>
            </w:tcMar>
          </w:tcPr>
          <w:p w:rsidR="00B6121F" w:rsidRDefault="009E4E97">
            <w:pPr>
              <w:spacing w:after="0" w:line="240" w:lineRule="auto"/>
            </w:pPr>
            <w:r>
              <w:t>Comisión Internacional contra la Impunidad en Guatemala</w:t>
            </w:r>
          </w:p>
        </w:tc>
      </w:tr>
      <w:tr w:rsidR="00B6121F">
        <w:tc>
          <w:tcPr>
            <w:tcW w:w="1605" w:type="dxa"/>
            <w:shd w:val="clear" w:color="auto" w:fill="auto"/>
            <w:tcMar>
              <w:left w:w="103" w:type="dxa"/>
            </w:tcMar>
          </w:tcPr>
          <w:p w:rsidR="00B6121F" w:rsidRDefault="009E4E97">
            <w:pPr>
              <w:spacing w:after="0" w:line="240" w:lineRule="auto"/>
            </w:pPr>
            <w:r>
              <w:t>CNOC</w:t>
            </w:r>
          </w:p>
        </w:tc>
        <w:tc>
          <w:tcPr>
            <w:tcW w:w="6689" w:type="dxa"/>
            <w:shd w:val="clear" w:color="auto" w:fill="auto"/>
            <w:tcMar>
              <w:left w:w="103" w:type="dxa"/>
            </w:tcMar>
          </w:tcPr>
          <w:p w:rsidR="00B6121F" w:rsidRDefault="009E4E97">
            <w:pPr>
              <w:spacing w:after="0" w:line="240" w:lineRule="auto"/>
            </w:pPr>
            <w:r>
              <w:t>Coordinadora Nacional de Organizaciones Campesinas. Organización campesina.</w:t>
            </w:r>
          </w:p>
        </w:tc>
      </w:tr>
      <w:tr w:rsidR="00B6121F">
        <w:tc>
          <w:tcPr>
            <w:tcW w:w="1605" w:type="dxa"/>
            <w:shd w:val="clear" w:color="auto" w:fill="auto"/>
            <w:tcMar>
              <w:left w:w="103" w:type="dxa"/>
            </w:tcMar>
          </w:tcPr>
          <w:p w:rsidR="00B6121F" w:rsidRDefault="009E4E97">
            <w:pPr>
              <w:spacing w:after="0" w:line="240" w:lineRule="auto"/>
            </w:pPr>
            <w:r>
              <w:t>CODECA</w:t>
            </w:r>
          </w:p>
        </w:tc>
        <w:tc>
          <w:tcPr>
            <w:tcW w:w="6689" w:type="dxa"/>
            <w:shd w:val="clear" w:color="auto" w:fill="auto"/>
            <w:tcMar>
              <w:left w:w="103" w:type="dxa"/>
            </w:tcMar>
          </w:tcPr>
          <w:p w:rsidR="00B6121F" w:rsidRDefault="009E4E97">
            <w:pPr>
              <w:spacing w:after="0" w:line="240" w:lineRule="auto"/>
            </w:pPr>
            <w:r>
              <w:t>Comité de Desarrollo Campesino. Organización campesina.</w:t>
            </w:r>
          </w:p>
        </w:tc>
      </w:tr>
      <w:tr w:rsidR="00B6121F">
        <w:trPr>
          <w:trHeight w:val="508"/>
        </w:trPr>
        <w:tc>
          <w:tcPr>
            <w:tcW w:w="1605" w:type="dxa"/>
            <w:shd w:val="clear" w:color="auto" w:fill="auto"/>
            <w:tcMar>
              <w:left w:w="103" w:type="dxa"/>
            </w:tcMar>
          </w:tcPr>
          <w:p w:rsidR="00B6121F" w:rsidRDefault="009E4E97">
            <w:pPr>
              <w:spacing w:after="0" w:line="240" w:lineRule="auto"/>
            </w:pPr>
            <w:r>
              <w:t>CONIC</w:t>
            </w:r>
          </w:p>
        </w:tc>
        <w:tc>
          <w:tcPr>
            <w:tcW w:w="6689" w:type="dxa"/>
            <w:shd w:val="clear" w:color="auto" w:fill="auto"/>
            <w:tcMar>
              <w:left w:w="103" w:type="dxa"/>
            </w:tcMar>
          </w:tcPr>
          <w:p w:rsidR="00B6121F" w:rsidRDefault="009E4E97">
            <w:pPr>
              <w:spacing w:after="0" w:line="240" w:lineRule="auto"/>
            </w:pPr>
            <w:r>
              <w:t>Coordinadora Nacional Indígena y Campesina. Organización campesina.</w:t>
            </w:r>
          </w:p>
        </w:tc>
      </w:tr>
      <w:tr w:rsidR="00B6121F">
        <w:tc>
          <w:tcPr>
            <w:tcW w:w="1605" w:type="dxa"/>
            <w:shd w:val="clear" w:color="auto" w:fill="auto"/>
            <w:tcMar>
              <w:left w:w="103" w:type="dxa"/>
            </w:tcMar>
          </w:tcPr>
          <w:p w:rsidR="00B6121F" w:rsidRDefault="009E4E97">
            <w:pPr>
              <w:spacing w:after="0" w:line="240" w:lineRule="auto"/>
            </w:pPr>
            <w:r>
              <w:t>CONRED</w:t>
            </w:r>
          </w:p>
        </w:tc>
        <w:tc>
          <w:tcPr>
            <w:tcW w:w="6689" w:type="dxa"/>
            <w:shd w:val="clear" w:color="auto" w:fill="auto"/>
            <w:tcMar>
              <w:left w:w="103" w:type="dxa"/>
            </w:tcMar>
          </w:tcPr>
          <w:p w:rsidR="00B6121F" w:rsidRDefault="009E4E97">
            <w:pPr>
              <w:spacing w:after="0" w:line="240" w:lineRule="auto"/>
            </w:pPr>
            <w:r>
              <w:t>Coordinación Nacional de Reducción de Riesgos. entidad del gobierno de Guatemala, creada para prevenir los desastres o reducir su impacto en la sociedad, y para coordinar esfuerzos de rescate, atender y participar en la rehabilitación y reconstrucción de los daños causados por los desastres.</w:t>
            </w:r>
          </w:p>
        </w:tc>
      </w:tr>
      <w:tr w:rsidR="00B6121F">
        <w:tc>
          <w:tcPr>
            <w:tcW w:w="1605" w:type="dxa"/>
            <w:shd w:val="clear" w:color="auto" w:fill="auto"/>
            <w:tcMar>
              <w:left w:w="103" w:type="dxa"/>
            </w:tcMar>
          </w:tcPr>
          <w:p w:rsidR="00B6121F" w:rsidRDefault="009E4E97">
            <w:pPr>
              <w:spacing w:after="0" w:line="240" w:lineRule="auto"/>
            </w:pPr>
            <w:r>
              <w:t>CUC</w:t>
            </w:r>
          </w:p>
        </w:tc>
        <w:tc>
          <w:tcPr>
            <w:tcW w:w="6689" w:type="dxa"/>
            <w:shd w:val="clear" w:color="auto" w:fill="auto"/>
            <w:tcMar>
              <w:left w:w="103" w:type="dxa"/>
            </w:tcMar>
          </w:tcPr>
          <w:p w:rsidR="00B6121F" w:rsidRDefault="009E4E97">
            <w:pPr>
              <w:spacing w:after="0" w:line="240" w:lineRule="auto"/>
            </w:pPr>
            <w:r>
              <w:t>Comité de Unidad Campesina. Organización campesina.</w:t>
            </w:r>
          </w:p>
        </w:tc>
      </w:tr>
      <w:tr w:rsidR="00B6121F">
        <w:tc>
          <w:tcPr>
            <w:tcW w:w="1605" w:type="dxa"/>
            <w:shd w:val="clear" w:color="auto" w:fill="auto"/>
            <w:tcMar>
              <w:left w:w="103" w:type="dxa"/>
            </w:tcMar>
          </w:tcPr>
          <w:p w:rsidR="00B6121F" w:rsidRDefault="009E4E97">
            <w:pPr>
              <w:spacing w:after="0" w:line="240" w:lineRule="auto"/>
            </w:pPr>
            <w:r>
              <w:t xml:space="preserve">FONTIERRAS </w:t>
            </w:r>
          </w:p>
        </w:tc>
        <w:tc>
          <w:tcPr>
            <w:tcW w:w="6689" w:type="dxa"/>
            <w:shd w:val="clear" w:color="auto" w:fill="auto"/>
            <w:tcMar>
              <w:left w:w="103" w:type="dxa"/>
            </w:tcMar>
          </w:tcPr>
          <w:p w:rsidR="00B6121F" w:rsidRDefault="009E4E97">
            <w:pPr>
              <w:spacing w:after="0" w:line="240" w:lineRule="auto"/>
              <w:rPr>
                <w:b/>
              </w:rPr>
            </w:pPr>
            <w:r>
              <w:t>Fondo de Tierras. Institución descentralizada del Estado, encargada del acceso a la tierra para el desarrollo integral y sostenible, de la regularización de procesos de adjudicación de tierras del Estado y del desarrollo de Comunidades Agrarias Sostenible.</w:t>
            </w:r>
          </w:p>
        </w:tc>
      </w:tr>
      <w:tr w:rsidR="00B6121F">
        <w:tc>
          <w:tcPr>
            <w:tcW w:w="1605" w:type="dxa"/>
            <w:shd w:val="clear" w:color="auto" w:fill="auto"/>
            <w:tcMar>
              <w:left w:w="103" w:type="dxa"/>
            </w:tcMar>
          </w:tcPr>
          <w:p w:rsidR="00B6121F" w:rsidRDefault="009E4E97">
            <w:pPr>
              <w:spacing w:after="0" w:line="240" w:lineRule="auto"/>
              <w:rPr>
                <w:b/>
              </w:rPr>
            </w:pPr>
            <w:r>
              <w:t>INE</w:t>
            </w:r>
          </w:p>
        </w:tc>
        <w:tc>
          <w:tcPr>
            <w:tcW w:w="6689" w:type="dxa"/>
            <w:shd w:val="clear" w:color="auto" w:fill="auto"/>
            <w:tcMar>
              <w:left w:w="103" w:type="dxa"/>
            </w:tcMar>
          </w:tcPr>
          <w:p w:rsidR="00B6121F" w:rsidRDefault="009E4E97">
            <w:pPr>
              <w:spacing w:after="0" w:line="240" w:lineRule="auto"/>
            </w:pPr>
            <w:r>
              <w:t>Instituto Nacional de Estadística</w:t>
            </w:r>
          </w:p>
        </w:tc>
      </w:tr>
      <w:tr w:rsidR="00B6121F">
        <w:tc>
          <w:tcPr>
            <w:tcW w:w="1605" w:type="dxa"/>
            <w:shd w:val="clear" w:color="auto" w:fill="auto"/>
            <w:tcMar>
              <w:left w:w="103" w:type="dxa"/>
            </w:tcMar>
          </w:tcPr>
          <w:p w:rsidR="00B6121F" w:rsidRDefault="009E4E97">
            <w:pPr>
              <w:spacing w:after="0" w:line="240" w:lineRule="auto"/>
            </w:pPr>
            <w:r>
              <w:t>MAGA</w:t>
            </w:r>
          </w:p>
        </w:tc>
        <w:tc>
          <w:tcPr>
            <w:tcW w:w="6689" w:type="dxa"/>
            <w:shd w:val="clear" w:color="auto" w:fill="auto"/>
            <w:tcMar>
              <w:left w:w="103" w:type="dxa"/>
            </w:tcMar>
          </w:tcPr>
          <w:p w:rsidR="00B6121F" w:rsidRDefault="009E4E97">
            <w:pPr>
              <w:spacing w:after="0" w:line="240" w:lineRule="auto"/>
            </w:pPr>
            <w:r>
              <w:t>Ministerio de Agricultura, Ganadería y Alimentación</w:t>
            </w:r>
          </w:p>
        </w:tc>
      </w:tr>
      <w:tr w:rsidR="00B6121F">
        <w:tc>
          <w:tcPr>
            <w:tcW w:w="1605" w:type="dxa"/>
            <w:shd w:val="clear" w:color="auto" w:fill="auto"/>
            <w:tcMar>
              <w:left w:w="103" w:type="dxa"/>
            </w:tcMar>
          </w:tcPr>
          <w:p w:rsidR="00B6121F" w:rsidRDefault="009E4E97">
            <w:pPr>
              <w:spacing w:after="0" w:line="240" w:lineRule="auto"/>
            </w:pPr>
            <w:r>
              <w:t>MARN</w:t>
            </w:r>
          </w:p>
        </w:tc>
        <w:tc>
          <w:tcPr>
            <w:tcW w:w="6689" w:type="dxa"/>
            <w:shd w:val="clear" w:color="auto" w:fill="auto"/>
            <w:tcMar>
              <w:left w:w="103" w:type="dxa"/>
            </w:tcMar>
          </w:tcPr>
          <w:p w:rsidR="00B6121F" w:rsidRDefault="009E4E97">
            <w:pPr>
              <w:spacing w:after="0" w:line="240" w:lineRule="auto"/>
            </w:pPr>
            <w:r>
              <w:t>Ministerio de Ambiente y Recursos Naturales</w:t>
            </w:r>
          </w:p>
        </w:tc>
      </w:tr>
      <w:tr w:rsidR="00B6121F">
        <w:tc>
          <w:tcPr>
            <w:tcW w:w="1605" w:type="dxa"/>
            <w:shd w:val="clear" w:color="auto" w:fill="auto"/>
            <w:tcMar>
              <w:left w:w="103" w:type="dxa"/>
            </w:tcMar>
          </w:tcPr>
          <w:p w:rsidR="00B6121F" w:rsidRDefault="009E4E97">
            <w:pPr>
              <w:spacing w:after="0" w:line="240" w:lineRule="auto"/>
            </w:pPr>
            <w:r>
              <w:t>IGSS</w:t>
            </w:r>
          </w:p>
        </w:tc>
        <w:tc>
          <w:tcPr>
            <w:tcW w:w="6689" w:type="dxa"/>
            <w:shd w:val="clear" w:color="auto" w:fill="auto"/>
            <w:tcMar>
              <w:left w:w="103" w:type="dxa"/>
            </w:tcMar>
          </w:tcPr>
          <w:p w:rsidR="00B6121F" w:rsidRDefault="009E4E97">
            <w:pPr>
              <w:spacing w:after="0" w:line="240" w:lineRule="auto"/>
            </w:pPr>
            <w:r>
              <w:t>Instituto Guatemalteco de Seguridad Social. Institución gubernamental, autónoma, dedicada a brindar servicios de salud y seguridad social a la población que cuente con afiliación al instituto, llamada entonces asegurado o derechohabiente.</w:t>
            </w:r>
          </w:p>
        </w:tc>
      </w:tr>
      <w:tr w:rsidR="00B6121F">
        <w:tc>
          <w:tcPr>
            <w:tcW w:w="1605" w:type="dxa"/>
            <w:shd w:val="clear" w:color="auto" w:fill="auto"/>
            <w:tcMar>
              <w:left w:w="103" w:type="dxa"/>
            </w:tcMar>
          </w:tcPr>
          <w:p w:rsidR="00B6121F" w:rsidRDefault="009E4E97">
            <w:pPr>
              <w:spacing w:after="0" w:line="240" w:lineRule="auto"/>
            </w:pPr>
            <w:r>
              <w:t>RGP</w:t>
            </w:r>
          </w:p>
        </w:tc>
        <w:tc>
          <w:tcPr>
            <w:tcW w:w="6689" w:type="dxa"/>
            <w:shd w:val="clear" w:color="auto" w:fill="auto"/>
            <w:tcMar>
              <w:left w:w="103" w:type="dxa"/>
            </w:tcMar>
          </w:tcPr>
          <w:p w:rsidR="00B6121F" w:rsidRDefault="009E4E97">
            <w:pPr>
              <w:spacing w:after="0" w:line="240" w:lineRule="auto"/>
            </w:pPr>
            <w:r>
              <w:rPr>
                <w:color w:val="00000A"/>
              </w:rPr>
              <w:t>Registro General de la Propiedad. Institución pública que tiene por objeto la inscripción, anotación y cancelación de los actos y contratos relativos al dominio y demás derechos reales sobre bienes inmuebles y muebles identificables</w:t>
            </w:r>
          </w:p>
        </w:tc>
      </w:tr>
      <w:tr w:rsidR="00B6121F">
        <w:tc>
          <w:tcPr>
            <w:tcW w:w="1605" w:type="dxa"/>
            <w:shd w:val="clear" w:color="auto" w:fill="auto"/>
            <w:tcMar>
              <w:left w:w="103" w:type="dxa"/>
            </w:tcMar>
          </w:tcPr>
          <w:p w:rsidR="00B6121F" w:rsidRDefault="009E4E97">
            <w:pPr>
              <w:spacing w:after="0" w:line="240" w:lineRule="auto"/>
            </w:pPr>
            <w:r>
              <w:t>RIC</w:t>
            </w:r>
          </w:p>
        </w:tc>
        <w:tc>
          <w:tcPr>
            <w:tcW w:w="6689" w:type="dxa"/>
            <w:shd w:val="clear" w:color="auto" w:fill="auto"/>
            <w:tcMar>
              <w:left w:w="103" w:type="dxa"/>
            </w:tcMar>
          </w:tcPr>
          <w:p w:rsidR="00B6121F" w:rsidRDefault="009E4E97">
            <w:pPr>
              <w:spacing w:after="0" w:line="240" w:lineRule="auto"/>
            </w:pPr>
            <w:r>
              <w:rPr>
                <w:color w:val="00000A"/>
              </w:rPr>
              <w:t>Registro de Información Catastral. Autoridad competente en materia catastral en el país.</w:t>
            </w:r>
          </w:p>
        </w:tc>
      </w:tr>
      <w:tr w:rsidR="00B6121F">
        <w:tc>
          <w:tcPr>
            <w:tcW w:w="1605" w:type="dxa"/>
            <w:shd w:val="clear" w:color="auto" w:fill="auto"/>
            <w:tcMar>
              <w:left w:w="103" w:type="dxa"/>
            </w:tcMar>
          </w:tcPr>
          <w:p w:rsidR="00B6121F" w:rsidRDefault="009E4E97">
            <w:pPr>
              <w:spacing w:after="0" w:line="240" w:lineRule="auto"/>
            </w:pPr>
            <w:r>
              <w:t>SAA</w:t>
            </w:r>
          </w:p>
        </w:tc>
        <w:tc>
          <w:tcPr>
            <w:tcW w:w="6689" w:type="dxa"/>
            <w:shd w:val="clear" w:color="auto" w:fill="auto"/>
            <w:tcMar>
              <w:left w:w="103" w:type="dxa"/>
            </w:tcMar>
          </w:tcPr>
          <w:p w:rsidR="00B6121F" w:rsidRDefault="009E4E97">
            <w:pPr>
              <w:spacing w:after="0" w:line="240" w:lineRule="auto"/>
            </w:pPr>
            <w:r>
              <w:t>Secretaría de Asuntos Agrarios. Órgano responsable de la dirección y coordinación de las actividades que se requieren para el cumplimiento de los compromisos del Organismo Ejecutivo en el tema agrario y el desarrollo rural del país.</w:t>
            </w:r>
          </w:p>
        </w:tc>
      </w:tr>
      <w:tr w:rsidR="00B6121F">
        <w:tc>
          <w:tcPr>
            <w:tcW w:w="1605" w:type="dxa"/>
            <w:shd w:val="clear" w:color="auto" w:fill="auto"/>
            <w:tcMar>
              <w:left w:w="103" w:type="dxa"/>
            </w:tcMar>
          </w:tcPr>
          <w:p w:rsidR="00B6121F" w:rsidRDefault="009E4E97">
            <w:pPr>
              <w:spacing w:after="0" w:line="240" w:lineRule="auto"/>
            </w:pPr>
            <w:r>
              <w:t>TLA</w:t>
            </w:r>
          </w:p>
        </w:tc>
        <w:tc>
          <w:tcPr>
            <w:tcW w:w="6689" w:type="dxa"/>
            <w:shd w:val="clear" w:color="auto" w:fill="auto"/>
            <w:tcMar>
              <w:left w:w="103" w:type="dxa"/>
            </w:tcMar>
          </w:tcPr>
          <w:p w:rsidR="00B6121F" w:rsidRDefault="009E4E97">
            <w:pPr>
              <w:spacing w:after="0" w:line="240" w:lineRule="auto"/>
            </w:pPr>
            <w:r>
              <w:t>Tribunal Latinoamericano del Agua. instancia internacional, autónoma e independiente, de justicia ambiental, creada con el fin de contribuir a la solución de controversias relacionadas con los sistemas hídricos en América Latina.</w:t>
            </w:r>
          </w:p>
        </w:tc>
      </w:tr>
      <w:tr w:rsidR="00B6121F">
        <w:tc>
          <w:tcPr>
            <w:tcW w:w="1605" w:type="dxa"/>
            <w:shd w:val="clear" w:color="auto" w:fill="auto"/>
            <w:tcMar>
              <w:left w:w="103" w:type="dxa"/>
            </w:tcMar>
          </w:tcPr>
          <w:p w:rsidR="00B6121F" w:rsidRDefault="009E4E97">
            <w:pPr>
              <w:spacing w:after="0" w:line="240" w:lineRule="auto"/>
            </w:pPr>
            <w:r>
              <w:t>UNAC</w:t>
            </w:r>
          </w:p>
        </w:tc>
        <w:tc>
          <w:tcPr>
            <w:tcW w:w="6689" w:type="dxa"/>
            <w:shd w:val="clear" w:color="auto" w:fill="auto"/>
            <w:tcMar>
              <w:left w:w="103" w:type="dxa"/>
            </w:tcMar>
          </w:tcPr>
          <w:p w:rsidR="00B6121F" w:rsidRDefault="009E4E97">
            <w:pPr>
              <w:spacing w:after="0" w:line="240" w:lineRule="auto"/>
            </w:pPr>
            <w:r>
              <w:t>Unión Nacional Campesina. Organización campesina.</w:t>
            </w:r>
          </w:p>
        </w:tc>
      </w:tr>
      <w:tr w:rsidR="00B6121F">
        <w:tc>
          <w:tcPr>
            <w:tcW w:w="1605" w:type="dxa"/>
            <w:shd w:val="clear" w:color="auto" w:fill="auto"/>
            <w:tcMar>
              <w:left w:w="103" w:type="dxa"/>
            </w:tcMar>
          </w:tcPr>
          <w:p w:rsidR="00B6121F" w:rsidRDefault="009E4E97">
            <w:pPr>
              <w:spacing w:after="0" w:line="240" w:lineRule="auto"/>
            </w:pPr>
            <w:r>
              <w:t>URNG</w:t>
            </w:r>
          </w:p>
        </w:tc>
        <w:tc>
          <w:tcPr>
            <w:tcW w:w="6689" w:type="dxa"/>
            <w:shd w:val="clear" w:color="auto" w:fill="auto"/>
            <w:tcMar>
              <w:left w:w="103" w:type="dxa"/>
            </w:tcMar>
          </w:tcPr>
          <w:p w:rsidR="00B6121F" w:rsidRDefault="009E4E97">
            <w:pPr>
              <w:spacing w:after="0" w:line="240" w:lineRule="auto"/>
            </w:pPr>
            <w:r>
              <w:t>Unidad Revolucionaria Nacional Guatemalteca. Partido político.</w:t>
            </w:r>
          </w:p>
        </w:tc>
      </w:tr>
    </w:tbl>
    <w:p w:rsidR="00B6121F" w:rsidRDefault="00B6121F">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Pr="00122953" w:rsidRDefault="00122953">
      <w:pPr>
        <w:rPr>
          <w:b/>
          <w:sz w:val="96"/>
          <w:szCs w:val="96"/>
        </w:rPr>
      </w:pPr>
      <w:r w:rsidRPr="00122953">
        <w:rPr>
          <w:b/>
          <w:sz w:val="96"/>
          <w:szCs w:val="96"/>
        </w:rPr>
        <w:t>ANEXOS</w:t>
      </w: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122953" w:rsidRDefault="00122953">
      <w:pPr>
        <w:rPr>
          <w:b/>
        </w:rPr>
      </w:pPr>
    </w:p>
    <w:p w:rsidR="00B6121F" w:rsidRDefault="009E4E97">
      <w:r>
        <w:rPr>
          <w:b/>
          <w:bCs/>
        </w:rPr>
        <w:t>Anexo 1: Listado de desalojos que se han podido recopilar</w:t>
      </w:r>
    </w:p>
    <w:tbl>
      <w:tblPr>
        <w:tblStyle w:val="Tablaconcuadrcula"/>
        <w:tblW w:w="8522" w:type="dxa"/>
        <w:tblLook w:val="04A0" w:firstRow="1" w:lastRow="0" w:firstColumn="1" w:lastColumn="0" w:noHBand="0" w:noVBand="1"/>
      </w:tblPr>
      <w:tblGrid>
        <w:gridCol w:w="1834"/>
        <w:gridCol w:w="6688"/>
      </w:tblGrid>
      <w:tr w:rsidR="00B6121F">
        <w:tc>
          <w:tcPr>
            <w:tcW w:w="1834" w:type="dxa"/>
            <w:shd w:val="clear" w:color="auto" w:fill="auto"/>
            <w:tcMar>
              <w:left w:w="108" w:type="dxa"/>
            </w:tcMar>
          </w:tcPr>
          <w:p w:rsidR="00B6121F" w:rsidRDefault="009E4E97">
            <w:pPr>
              <w:spacing w:after="0"/>
              <w:jc w:val="center"/>
              <w:rPr>
                <w:rFonts w:ascii="Arial Narrow" w:hAnsi="Arial Narrow"/>
                <w:b/>
                <w:bCs/>
                <w:sz w:val="18"/>
                <w:szCs w:val="18"/>
              </w:rPr>
            </w:pPr>
            <w:r>
              <w:rPr>
                <w:rFonts w:ascii="Arial Narrow" w:hAnsi="Arial Narrow"/>
                <w:b/>
                <w:bCs/>
                <w:sz w:val="18"/>
                <w:szCs w:val="18"/>
              </w:rPr>
              <w:t>Fecha</w:t>
            </w:r>
          </w:p>
        </w:tc>
        <w:tc>
          <w:tcPr>
            <w:tcW w:w="6687" w:type="dxa"/>
            <w:shd w:val="clear" w:color="auto" w:fill="auto"/>
            <w:tcMar>
              <w:left w:w="108" w:type="dxa"/>
            </w:tcMar>
          </w:tcPr>
          <w:p w:rsidR="00B6121F" w:rsidRDefault="009E4E97">
            <w:pPr>
              <w:spacing w:after="0"/>
              <w:jc w:val="center"/>
              <w:rPr>
                <w:rFonts w:ascii="Arial Narrow" w:hAnsi="Arial Narrow"/>
                <w:b/>
                <w:bCs/>
                <w:sz w:val="18"/>
                <w:szCs w:val="18"/>
              </w:rPr>
            </w:pPr>
            <w:r>
              <w:rPr>
                <w:rFonts w:ascii="Arial Narrow" w:hAnsi="Arial Narrow"/>
                <w:b/>
                <w:bCs/>
                <w:sz w:val="18"/>
                <w:szCs w:val="18"/>
              </w:rPr>
              <w:t>Desalojos</w:t>
            </w:r>
          </w:p>
        </w:tc>
      </w:tr>
      <w:tr w:rsidR="00B6121F">
        <w:tc>
          <w:tcPr>
            <w:tcW w:w="1834" w:type="dxa"/>
            <w:shd w:val="clear" w:color="auto" w:fill="auto"/>
            <w:tcMar>
              <w:left w:w="108" w:type="dxa"/>
            </w:tcMar>
          </w:tcPr>
          <w:p w:rsidR="00B6121F" w:rsidRDefault="009E4E97">
            <w:pPr>
              <w:spacing w:after="0"/>
              <w:rPr>
                <w:rFonts w:ascii="Arial Narrow" w:hAnsi="Arial Narrow"/>
                <w:sz w:val="18"/>
                <w:szCs w:val="18"/>
              </w:rPr>
            </w:pPr>
            <w:r>
              <w:rPr>
                <w:rFonts w:ascii="Arial Narrow" w:hAnsi="Arial Narrow"/>
                <w:sz w:val="18"/>
                <w:szCs w:val="18"/>
              </w:rPr>
              <w:t>23 de mayo 2014</w:t>
            </w:r>
          </w:p>
        </w:tc>
        <w:tc>
          <w:tcPr>
            <w:tcW w:w="6687" w:type="dxa"/>
            <w:shd w:val="clear" w:color="auto" w:fill="auto"/>
            <w:tcMar>
              <w:left w:w="108" w:type="dxa"/>
            </w:tcMar>
          </w:tcPr>
          <w:p w:rsidR="00B6121F" w:rsidRDefault="009E4E97">
            <w:pPr>
              <w:spacing w:after="0"/>
              <w:rPr>
                <w:rFonts w:ascii="Arial Narrow" w:hAnsi="Arial Narrow"/>
                <w:sz w:val="18"/>
                <w:szCs w:val="18"/>
              </w:rPr>
            </w:pPr>
            <w:r>
              <w:rPr>
                <w:rFonts w:ascii="Arial Narrow" w:hAnsi="Arial Narrow"/>
                <w:sz w:val="18"/>
                <w:szCs w:val="18"/>
              </w:rPr>
              <w:t xml:space="preserve">La policía desalojó la Resistencia Pacífica de La Puya que pretendía evitar por medios pacíficos el ingreso de maquinaria de una empresa minera en el municipio San José del Golfo, departamento de </w:t>
            </w:r>
            <w:r w:rsidR="00AF365F">
              <w:rPr>
                <w:rFonts w:ascii="Arial Narrow" w:hAnsi="Arial Narrow"/>
                <w:sz w:val="18"/>
                <w:szCs w:val="18"/>
              </w:rPr>
              <w:t>Guatemala</w:t>
            </w:r>
            <w:r>
              <w:rPr>
                <w:rFonts w:ascii="Arial Narrow" w:hAnsi="Arial Narrow"/>
                <w:sz w:val="18"/>
                <w:szCs w:val="18"/>
              </w:rPr>
              <w:t>. El uso de fuerza y bombas lacrimógenas dejó un saldo de 26 personas heridas, cuatro capturados y cancelación de visa a dos personas voluntarias de las Brigadas Internacionales de Paz (PBI) que fue revocada hasta la última hora.</w:t>
            </w:r>
          </w:p>
        </w:tc>
      </w:tr>
      <w:tr w:rsidR="00B6121F">
        <w:tc>
          <w:tcPr>
            <w:tcW w:w="1834"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14 y 15 de agosto 2014</w:t>
            </w:r>
          </w:p>
        </w:tc>
        <w:tc>
          <w:tcPr>
            <w:tcW w:w="6687" w:type="dxa"/>
            <w:shd w:val="clear" w:color="auto" w:fill="auto"/>
            <w:tcMar>
              <w:left w:w="108" w:type="dxa"/>
            </w:tcMar>
          </w:tcPr>
          <w:p w:rsidR="00B6121F" w:rsidRDefault="009E4E97">
            <w:pPr>
              <w:spacing w:after="0"/>
            </w:pPr>
            <w:r>
              <w:rPr>
                <w:rFonts w:ascii="Arial Narrow" w:hAnsi="Arial Narrow"/>
                <w:sz w:val="18"/>
                <w:szCs w:val="18"/>
              </w:rPr>
              <w:t xml:space="preserve">Comunidades Nueve de Febrero y Monte Olivo (que cuenta con títulos de las tierras en las cuales </w:t>
            </w:r>
            <w:r w:rsidR="00AF365F">
              <w:rPr>
                <w:rFonts w:ascii="Arial Narrow" w:hAnsi="Arial Narrow"/>
                <w:sz w:val="18"/>
                <w:szCs w:val="18"/>
              </w:rPr>
              <w:t>bien</w:t>
            </w:r>
            <w:r>
              <w:rPr>
                <w:rFonts w:ascii="Arial Narrow" w:hAnsi="Arial Narrow"/>
                <w:sz w:val="18"/>
                <w:szCs w:val="18"/>
              </w:rPr>
              <w:t xml:space="preserve"> las familias afectadas), Cobán, Alta Verapaz, con más de 1500 agentes policiacos y 19 policías están actualmente procesados por los hechos violentos que se vivieron en Samococh, incluyendo el asesinato de tres hombres (Luciano Can Cujub, Oscar Chen Quej y Sebastian Rax Caal). ., en respuesta a una manifestaciones que se realizaron en varios puntos de la región para manifestar la oposición a los desalojos y el arresto ilegal de dos activistas de CODECA. Durante estos días de disturbios, se detuvieron arbitrariamente a cinco personas, más de 60 personas resultaron heridas, se destruyeron casas y </w:t>
            </w:r>
            <w:r w:rsidR="00AF365F">
              <w:rPr>
                <w:rFonts w:ascii="Arial Narrow" w:hAnsi="Arial Narrow"/>
                <w:sz w:val="18"/>
                <w:szCs w:val="18"/>
              </w:rPr>
              <w:t>cultivos</w:t>
            </w:r>
            <w:r>
              <w:rPr>
                <w:rFonts w:ascii="Arial Narrow" w:hAnsi="Arial Narrow"/>
                <w:sz w:val="18"/>
                <w:szCs w:val="18"/>
              </w:rPr>
              <w:t xml:space="preserve"> entre otras acciones ilegales por parte de la policía [Fuentes: </w:t>
            </w:r>
            <w:hyperlink r:id="rId9">
              <w:r>
                <w:rPr>
                  <w:rStyle w:val="EnlacedeInternet"/>
                  <w:rFonts w:ascii="Arial Narrow" w:hAnsi="Arial Narrow"/>
                  <w:sz w:val="18"/>
                  <w:szCs w:val="18"/>
                </w:rPr>
                <w:t>http://www.prensacomunitaria.org/samococh-criminalizacion-y-judicalizacion-contra-doce-personas-qeqchi/].</w:t>
              </w:r>
            </w:hyperlink>
            <w:r>
              <w:rPr>
                <w:rFonts w:ascii="Arial Narrow" w:hAnsi="Arial Narrow"/>
                <w:sz w:val="18"/>
                <w:szCs w:val="18"/>
              </w:rPr>
              <w:t>.</w:t>
            </w:r>
          </w:p>
        </w:tc>
      </w:tr>
      <w:tr w:rsidR="00B6121F">
        <w:tc>
          <w:tcPr>
            <w:tcW w:w="1834" w:type="dxa"/>
            <w:shd w:val="clear" w:color="auto" w:fill="auto"/>
            <w:tcMar>
              <w:left w:w="108" w:type="dxa"/>
            </w:tcMar>
          </w:tcPr>
          <w:p w:rsidR="00B6121F" w:rsidRDefault="009E4E97">
            <w:pPr>
              <w:spacing w:after="0"/>
              <w:jc w:val="left"/>
              <w:rPr>
                <w:rFonts w:ascii="Arial Narrow" w:hAnsi="Arial Narrow"/>
                <w:b/>
                <w:bCs/>
                <w:sz w:val="18"/>
                <w:szCs w:val="18"/>
              </w:rPr>
            </w:pPr>
            <w:r>
              <w:rPr>
                <w:rFonts w:ascii="Arial Narrow" w:hAnsi="Arial Narrow"/>
                <w:sz w:val="18"/>
                <w:szCs w:val="18"/>
              </w:rPr>
              <w:t>9 de septiembre de 2016</w:t>
            </w:r>
          </w:p>
        </w:tc>
        <w:tc>
          <w:tcPr>
            <w:tcW w:w="6687" w:type="dxa"/>
            <w:shd w:val="clear" w:color="auto" w:fill="auto"/>
            <w:tcMar>
              <w:left w:w="108" w:type="dxa"/>
            </w:tcMar>
          </w:tcPr>
          <w:p w:rsidR="00B6121F" w:rsidRDefault="009E4E97">
            <w:pPr>
              <w:spacing w:after="0"/>
              <w:jc w:val="left"/>
              <w:rPr>
                <w:rFonts w:ascii="Arial Narrow" w:hAnsi="Arial Narrow"/>
                <w:b/>
                <w:bCs/>
                <w:sz w:val="18"/>
                <w:szCs w:val="18"/>
              </w:rPr>
            </w:pPr>
            <w:r>
              <w:rPr>
                <w:rFonts w:ascii="Arial Narrow" w:hAnsi="Arial Narrow"/>
                <w:sz w:val="18"/>
                <w:szCs w:val="18"/>
              </w:rPr>
              <w:t>Comunidad del CUC asentada en el municipio de Catarina, departamento de San Marcos; fueron detenidos dos hombres y una mujer. [Fuente: https://cucguatemala.wordpress.com/2016/10/26/el-comite-de-unidad-campesina-cuc-rechaza-y-condena-la-represion-en-comunidades-campesinas-de-el-estor-izabal/]</w:t>
            </w:r>
          </w:p>
        </w:tc>
      </w:tr>
      <w:tr w:rsidR="00B6121F">
        <w:tc>
          <w:tcPr>
            <w:tcW w:w="1834"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26 de octubre de 2016</w:t>
            </w:r>
          </w:p>
        </w:tc>
        <w:tc>
          <w:tcPr>
            <w:tcW w:w="6687"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 xml:space="preserve">Comunidad Agraria El Esfuerzo Túnico, organizada con el CUC, </w:t>
            </w:r>
            <w:r w:rsidR="00AF365F">
              <w:rPr>
                <w:rFonts w:ascii="Arial Narrow" w:hAnsi="Arial Narrow"/>
                <w:sz w:val="18"/>
                <w:szCs w:val="18"/>
              </w:rPr>
              <w:t>municipio</w:t>
            </w:r>
            <w:r>
              <w:rPr>
                <w:rFonts w:ascii="Arial Narrow" w:hAnsi="Arial Narrow"/>
                <w:sz w:val="18"/>
                <w:szCs w:val="18"/>
              </w:rPr>
              <w:t xml:space="preserve"> de El Estor, departamento de Izabal, 88 familias [Fuente: </w:t>
            </w:r>
            <w:proofErr w:type="spellStart"/>
            <w:r w:rsidRPr="00AF365F">
              <w:rPr>
                <w:rFonts w:ascii="Arial Narrow" w:hAnsi="Arial Narrow"/>
                <w:i/>
                <w:sz w:val="18"/>
                <w:szCs w:val="18"/>
              </w:rPr>
              <w:t>Op.Cit</w:t>
            </w:r>
            <w:proofErr w:type="spellEnd"/>
            <w:r>
              <w:rPr>
                <w:rFonts w:ascii="Arial Narrow" w:hAnsi="Arial Narrow"/>
                <w:sz w:val="18"/>
                <w:szCs w:val="18"/>
              </w:rPr>
              <w:t>.]</w:t>
            </w:r>
          </w:p>
        </w:tc>
      </w:tr>
      <w:tr w:rsidR="00B6121F">
        <w:tc>
          <w:tcPr>
            <w:tcW w:w="1834"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9 de enero de 2017</w:t>
            </w:r>
          </w:p>
        </w:tc>
        <w:tc>
          <w:tcPr>
            <w:tcW w:w="6687"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Comunidad Nueva Seamay, miembro de la UVOC, en el departamento de Alta Verapaz, 5 familias afectadas. [Fuente: https://es.scribd.com/document/337858214/Comunicado-Urgente-el-desalojo-de-seamay].</w:t>
            </w:r>
          </w:p>
        </w:tc>
      </w:tr>
      <w:tr w:rsidR="00B6121F">
        <w:tc>
          <w:tcPr>
            <w:tcW w:w="1834"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25 de enero de 2017</w:t>
            </w:r>
          </w:p>
        </w:tc>
        <w:tc>
          <w:tcPr>
            <w:tcW w:w="6687" w:type="dxa"/>
            <w:shd w:val="clear" w:color="auto" w:fill="auto"/>
            <w:tcMar>
              <w:left w:w="108" w:type="dxa"/>
            </w:tcMar>
          </w:tcPr>
          <w:p w:rsidR="00B6121F" w:rsidRDefault="009E4E97">
            <w:pPr>
              <w:spacing w:after="0"/>
              <w:rPr>
                <w:rFonts w:ascii="Arial Narrow" w:hAnsi="Arial Narrow"/>
                <w:b/>
                <w:bCs/>
                <w:sz w:val="18"/>
                <w:szCs w:val="18"/>
              </w:rPr>
            </w:pPr>
            <w:r>
              <w:rPr>
                <w:rFonts w:ascii="Arial Narrow" w:hAnsi="Arial Narrow"/>
                <w:sz w:val="18"/>
                <w:szCs w:val="18"/>
              </w:rPr>
              <w:t xml:space="preserve">Comunidad Q’eqxib’al, miembro de la UVOC, </w:t>
            </w:r>
            <w:r w:rsidR="00AF365F">
              <w:rPr>
                <w:rFonts w:ascii="Arial Narrow" w:hAnsi="Arial Narrow"/>
                <w:sz w:val="18"/>
                <w:szCs w:val="18"/>
              </w:rPr>
              <w:t>municipio</w:t>
            </w:r>
            <w:r>
              <w:rPr>
                <w:rFonts w:ascii="Arial Narrow" w:hAnsi="Arial Narrow"/>
                <w:sz w:val="18"/>
                <w:szCs w:val="18"/>
              </w:rPr>
              <w:t xml:space="preserve"> de San Juan Chamelco, departamento de Alta Verapaz, intento de desalojo ilegal de 37 familias afectadas. [Fuente: http://www.prensacomunitaria.org/comunidad-qeqxibal-desde-nuestra-memoria-colectiva-somos-legitimos-duenos-de-la-tierra/; http://www.prensacomunitaria.org/conferencia-no-al-desalojo-en-qeqxibal-san-juan-chamelco/].</w:t>
            </w:r>
          </w:p>
        </w:tc>
      </w:tr>
    </w:tbl>
    <w:p w:rsidR="00B6121F" w:rsidRDefault="00B6121F">
      <w:pPr>
        <w:rPr>
          <w:color w:val="00000A"/>
        </w:rPr>
      </w:pPr>
    </w:p>
    <w:p w:rsidR="00B6121F" w:rsidRDefault="00122953">
      <w:pPr>
        <w:rPr>
          <w:color w:val="00000A"/>
        </w:rPr>
      </w:pPr>
      <w:r>
        <w:rPr>
          <w:color w:val="00000A"/>
        </w:rPr>
        <w:t>En estos momentos e</w:t>
      </w:r>
      <w:r w:rsidR="009E4E97">
        <w:rPr>
          <w:color w:val="00000A"/>
        </w:rPr>
        <w:t>xisten por lo menos cuatro amenazas de desalojo en el Valle del Polochic, departamentos de Izabal y Alta Verapaz.</w:t>
      </w:r>
    </w:p>
    <w:p w:rsidR="00B6121F" w:rsidRDefault="009E4E97">
      <w:pPr>
        <w:rPr>
          <w:b/>
        </w:rPr>
      </w:pPr>
      <w:r>
        <w:br w:type="page"/>
      </w:r>
    </w:p>
    <w:p w:rsidR="00B6121F" w:rsidRDefault="009E4E97">
      <w:r>
        <w:rPr>
          <w:b/>
          <w:bCs/>
          <w:color w:val="00000A"/>
        </w:rPr>
        <w:lastRenderedPageBreak/>
        <w:t>Anexo 2: Expansión de los monocultivos en Guatemala</w:t>
      </w:r>
    </w:p>
    <w:p w:rsidR="00B6121F" w:rsidRDefault="009E4E97">
      <w:pPr>
        <w:jc w:val="center"/>
      </w:pPr>
      <w:r>
        <w:rPr>
          <w:noProof/>
        </w:rPr>
        <w:drawing>
          <wp:inline distT="0" distB="16510" distL="0" distR="0">
            <wp:extent cx="4533900" cy="3583940"/>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pic:cNvPicPr>
                      <a:picLocks noChangeAspect="1" noChangeArrowheads="1"/>
                    </pic:cNvPicPr>
                  </pic:nvPicPr>
                  <pic:blipFill>
                    <a:blip r:embed="rId10"/>
                    <a:srcRect b="7417"/>
                    <a:stretch>
                      <a:fillRect/>
                    </a:stretch>
                  </pic:blipFill>
                  <pic:spPr bwMode="auto">
                    <a:xfrm>
                      <a:off x="0" y="0"/>
                      <a:ext cx="4533900" cy="3583940"/>
                    </a:xfrm>
                    <a:prstGeom prst="rect">
                      <a:avLst/>
                    </a:prstGeom>
                  </pic:spPr>
                </pic:pic>
              </a:graphicData>
            </a:graphic>
          </wp:inline>
        </w:drawing>
      </w:r>
    </w:p>
    <w:p w:rsidR="00B6121F" w:rsidRDefault="009E4E97">
      <w:pPr>
        <w:rPr>
          <w:color w:val="00000A"/>
        </w:rPr>
      </w:pPr>
      <w:r>
        <w:rPr>
          <w:color w:val="00000A"/>
        </w:rPr>
        <w:t>Fuente: INE, 2015.</w:t>
      </w:r>
    </w:p>
    <w:p w:rsidR="00B6121F" w:rsidRDefault="00B6121F">
      <w:pPr>
        <w:jc w:val="center"/>
      </w:pPr>
    </w:p>
    <w:p w:rsidR="00B6121F" w:rsidRDefault="009E4E97">
      <w:pPr>
        <w:rPr>
          <w:color w:val="00000A"/>
        </w:rPr>
      </w:pPr>
      <w:r>
        <w:rPr>
          <w:color w:val="00000A"/>
        </w:rPr>
        <w:t>Fuente: INE, 2015. Figura que muestra el ritmo de crecimiento del cultivo de la caña de azúcar en un 39% entre 2003 y 2013, y 7% entre 2013 y 2014. Cabe notar, que otras fuentes mencionan un ritmo de 89%</w:t>
      </w:r>
      <w:r>
        <w:rPr>
          <w:rStyle w:val="Ancladenotaalpie"/>
          <w:color w:val="00000A"/>
        </w:rPr>
        <w:footnoteReference w:id="2"/>
      </w:r>
      <w:r>
        <w:rPr>
          <w:color w:val="00000A"/>
        </w:rPr>
        <w:t>.</w:t>
      </w:r>
    </w:p>
    <w:p w:rsidR="00B6121F" w:rsidRDefault="00B6121F">
      <w:pPr>
        <w:jc w:val="center"/>
      </w:pPr>
    </w:p>
    <w:p w:rsidR="00B6121F" w:rsidRDefault="009E4E97">
      <w:r>
        <w:rPr>
          <w:color w:val="00000A"/>
        </w:rPr>
        <w:t>Fuente: INE 2015. Tabla que muestra que el ritmo de crecimiento de la palma aceitera es de 271% en la década 2003-2013 pero 33% para el año 2013-2014. Otras fuentes identifican este crecimiento en un 417%</w:t>
      </w:r>
      <w:r>
        <w:rPr>
          <w:rStyle w:val="Ancladenotaalpie"/>
          <w:color w:val="00000A"/>
        </w:rPr>
        <w:footnoteReference w:id="3"/>
      </w:r>
      <w:r>
        <w:rPr>
          <w:color w:val="00000A"/>
        </w:rPr>
        <w:t>.</w:t>
      </w:r>
    </w:p>
    <w:p w:rsidR="00B6121F" w:rsidRDefault="00B6121F">
      <w:pPr>
        <w:rPr>
          <w:b/>
        </w:rPr>
      </w:pPr>
    </w:p>
    <w:p w:rsidR="00B6121F" w:rsidRDefault="009E4E97">
      <w:pPr>
        <w:rPr>
          <w:b/>
        </w:rPr>
      </w:pPr>
      <w:r>
        <w:br w:type="page"/>
      </w:r>
    </w:p>
    <w:p w:rsidR="00B6121F" w:rsidRDefault="009E4E97">
      <w:r>
        <w:rPr>
          <w:b/>
          <w:bCs/>
        </w:rPr>
        <w:lastRenderedPageBreak/>
        <w:t>Anexo 3: Agroquímicos utilizados en monocultivos y sus impactos en el ambiente y ser humano</w:t>
      </w:r>
    </w:p>
    <w:p w:rsidR="00B6121F" w:rsidRDefault="009E4E97">
      <w:r>
        <w:rPr>
          <w:b/>
          <w:bCs/>
          <w:i/>
          <w:iCs/>
        </w:rPr>
        <w:t xml:space="preserve">3.1. Funciones de los agroquímicos más utilizados por la agroindustria azucarera: </w:t>
      </w:r>
    </w:p>
    <w:p w:rsidR="00B6121F" w:rsidRDefault="00AF365F">
      <w:r>
        <w:t>Ácido</w:t>
      </w:r>
      <w:r w:rsidR="009E4E97">
        <w:t xml:space="preserve"> ariloxi-fenoxialcanoicos: inhibidores de floración</w:t>
      </w:r>
    </w:p>
    <w:p w:rsidR="00B6121F" w:rsidRDefault="00AF365F">
      <w:r>
        <w:t>Ácido</w:t>
      </w:r>
      <w:r w:rsidR="009E4E97">
        <w:t xml:space="preserve"> </w:t>
      </w:r>
      <w:r>
        <w:t>fosfórico</w:t>
      </w:r>
      <w:r w:rsidR="009E4E97">
        <w:t>: inhibe la síntesis de la glutamina</w:t>
      </w:r>
    </w:p>
    <w:p w:rsidR="00B6121F" w:rsidRDefault="009E4E97">
      <w:r>
        <w:t>Arsenical: síntomas de necrosis y muerte</w:t>
      </w:r>
    </w:p>
    <w:p w:rsidR="00B6121F" w:rsidRDefault="009E4E97">
      <w:r>
        <w:t>Benzoico: síntomas de fitotoxicidad</w:t>
      </w:r>
    </w:p>
    <w:p w:rsidR="00B6121F" w:rsidRDefault="009E4E97">
      <w:r>
        <w:t>Bipiridilos: inhibe fotosíntesis</w:t>
      </w:r>
    </w:p>
    <w:p w:rsidR="00B6121F" w:rsidRDefault="009E4E97">
      <w:r>
        <w:t>Ciclohexadiona: inhibidores acetil CoA carboxilasa</w:t>
      </w:r>
    </w:p>
    <w:p w:rsidR="00B6121F" w:rsidRDefault="009E4E97">
      <w:r>
        <w:t>Cloroacetamidas: inhibición de VLCFAs.</w:t>
      </w:r>
    </w:p>
    <w:p w:rsidR="00B6121F" w:rsidRDefault="009E4E97">
      <w:r>
        <w:t>Dinitroanilinas: inhibe división celular</w:t>
      </w:r>
    </w:p>
    <w:p w:rsidR="00B6121F" w:rsidRDefault="009E4E97">
      <w:r>
        <w:t xml:space="preserve">Triazinas: inhibe un transportador de </w:t>
      </w:r>
      <w:r w:rsidR="00D871A4">
        <w:t>electrones</w:t>
      </w:r>
    </w:p>
    <w:p w:rsidR="00B6121F" w:rsidRDefault="00B6121F"/>
    <w:p w:rsidR="00B6121F" w:rsidRDefault="009E4E97">
      <w:r>
        <w:rPr>
          <w:b/>
          <w:bCs/>
          <w:i/>
          <w:iCs/>
        </w:rPr>
        <w:t>3.2. Agroquímicos en Fumigaciones aéreas</w:t>
      </w:r>
      <w:r w:rsidR="005977B0">
        <w:rPr>
          <w:b/>
          <w:bCs/>
          <w:i/>
          <w:iCs/>
        </w:rPr>
        <w:t xml:space="preserve"> </w:t>
      </w:r>
      <w:r>
        <w:rPr>
          <w:b/>
          <w:bCs/>
          <w:i/>
          <w:iCs/>
        </w:rPr>
        <w:t>para el cultivo del banano:</w:t>
      </w:r>
    </w:p>
    <w:tbl>
      <w:tblPr>
        <w:tblW w:w="8304" w:type="dxa"/>
        <w:tblInd w:w="17" w:type="dxa"/>
        <w:tblBorders>
          <w:top w:val="single" w:sz="6" w:space="0" w:color="000001"/>
          <w:left w:val="single" w:sz="6" w:space="0" w:color="000001"/>
          <w:bottom w:val="single" w:sz="4" w:space="0" w:color="auto"/>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1038"/>
        <w:gridCol w:w="30609"/>
      </w:tblGrid>
      <w:tr w:rsidR="00B6121F" w:rsidTr="00640024">
        <w:trPr>
          <w:trHeight w:val="2112"/>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r>
              <w:rPr>
                <w:rFonts w:ascii="Arial Narrow" w:hAnsi="Arial Narrow" w:cs="Calibri"/>
                <w:sz w:val="18"/>
                <w:szCs w:val="18"/>
              </w:rPr>
              <w:t>Mancozeb</w:t>
            </w:r>
          </w:p>
        </w:tc>
        <w:tc>
          <w:tcPr>
            <w:tcW w:w="7091" w:type="dxa"/>
            <w:shd w:val="clear" w:color="auto" w:fill="auto"/>
            <w:tcMar>
              <w:left w:w="-7" w:type="dxa"/>
            </w:tcMar>
            <w:vAlign w:val="center"/>
          </w:tcPr>
          <w:p w:rsidR="00B6121F" w:rsidRDefault="00D871A4" w:rsidP="00640024">
            <w:pPr>
              <w:pStyle w:val="NormalWeb"/>
              <w:spacing w:before="100" w:after="100" w:line="240" w:lineRule="auto"/>
              <w:rPr>
                <w:rFonts w:ascii="Arial Narrow" w:hAnsi="Arial Narrow" w:hint="eastAsia"/>
                <w:sz w:val="18"/>
                <w:szCs w:val="18"/>
              </w:rPr>
            </w:pPr>
            <w:r>
              <w:rPr>
                <w:rFonts w:ascii="Arial Narrow" w:hAnsi="Arial Narrow" w:cs="Calibri"/>
                <w:sz w:val="18"/>
                <w:szCs w:val="18"/>
                <w:lang w:val="es-GT"/>
              </w:rPr>
              <w:t>Un breve contacto podría causar una leve irritación</w:t>
            </w:r>
            <w:r w:rsidR="009E4E97">
              <w:rPr>
                <w:rFonts w:ascii="Arial Narrow" w:hAnsi="Arial Narrow" w:cs="Calibri"/>
                <w:sz w:val="18"/>
                <w:szCs w:val="18"/>
                <w:lang w:val="es-GT"/>
              </w:rPr>
              <w:t> </w:t>
            </w:r>
            <w:r>
              <w:rPr>
                <w:rFonts w:ascii="Arial Narrow" w:hAnsi="Arial Narrow" w:cs="Calibri"/>
                <w:sz w:val="18"/>
                <w:szCs w:val="18"/>
                <w:lang w:val="es-GT"/>
              </w:rPr>
              <w:t>de la piel, con enrojecimiento local</w:t>
            </w:r>
            <w:r w:rsidR="009E4E97">
              <w:rPr>
                <w:rFonts w:ascii="Arial Narrow" w:hAnsi="Arial Narrow" w:cs="Calibri"/>
                <w:sz w:val="18"/>
                <w:szCs w:val="18"/>
                <w:lang w:val="es-GT"/>
              </w:rPr>
              <w:t>.  </w:t>
            </w:r>
            <w:r>
              <w:rPr>
                <w:rFonts w:ascii="Arial Narrow" w:hAnsi="Arial Narrow" w:cs="Calibri"/>
                <w:sz w:val="18"/>
                <w:szCs w:val="18"/>
                <w:lang w:val="es-GT"/>
              </w:rPr>
              <w:t>El contacto</w:t>
            </w:r>
            <w:r w:rsidR="009E4E97">
              <w:rPr>
                <w:rFonts w:ascii="Arial Narrow" w:hAnsi="Arial Narrow" w:cs="Calibri"/>
                <w:sz w:val="18"/>
                <w:szCs w:val="18"/>
                <w:lang w:val="es-GT"/>
              </w:rPr>
              <w:t> directo con la piel podría causar una reacción alérgica de la piel en una pequeña porción de los individuos. No es común que el contacto prolongado con el producto provoque la absorción de cantidades dañinas.  </w:t>
            </w:r>
            <w:r>
              <w:rPr>
                <w:rFonts w:ascii="Arial Narrow" w:hAnsi="Arial Narrow" w:cs="Calibri"/>
                <w:sz w:val="18"/>
                <w:szCs w:val="18"/>
                <w:lang w:val="es-GT"/>
              </w:rPr>
              <w:t>De muy baja toxicidad si es ingerido</w:t>
            </w:r>
            <w:r w:rsidR="009E4E97">
              <w:rPr>
                <w:rFonts w:ascii="Arial Narrow" w:hAnsi="Arial Narrow" w:cs="Calibri"/>
                <w:sz w:val="18"/>
                <w:szCs w:val="18"/>
                <w:lang w:val="es-GT"/>
              </w:rPr>
              <w:t>.  </w:t>
            </w:r>
            <w:r>
              <w:rPr>
                <w:rFonts w:ascii="Arial Narrow" w:hAnsi="Arial Narrow" w:cs="Calibri"/>
                <w:sz w:val="18"/>
                <w:szCs w:val="18"/>
                <w:lang w:val="es-GT"/>
              </w:rPr>
              <w:t>No se anticipan efectos adversos producto de la</w:t>
            </w:r>
            <w:r w:rsidR="009E4E97">
              <w:rPr>
                <w:rFonts w:ascii="Arial Narrow" w:hAnsi="Arial Narrow" w:cs="Calibri"/>
                <w:sz w:val="18"/>
                <w:szCs w:val="18"/>
                <w:lang w:val="es-GT"/>
              </w:rPr>
              <w:t> ingestión de pequeñas cantidades.  La inhalación del polvo o la aplicación, puede causar irritación del tracto respiratorio superior (nariz y garganta) y pulmones. El </w:t>
            </w:r>
            <w:r>
              <w:rPr>
                <w:rFonts w:ascii="Arial Narrow" w:hAnsi="Arial Narrow" w:cs="Calibri"/>
                <w:sz w:val="18"/>
                <w:szCs w:val="18"/>
                <w:lang w:val="es-GT"/>
              </w:rPr>
              <w:t>Mancozeb ha</w:t>
            </w:r>
            <w:r>
              <w:rPr>
                <w:rFonts w:ascii="Arial Narrow" w:hAnsi="Arial Narrow" w:cs="Calibri"/>
                <w:b/>
                <w:sz w:val="18"/>
                <w:szCs w:val="18"/>
                <w:lang w:val="es-GT"/>
              </w:rPr>
              <w:t> causado cáncer en animales de</w:t>
            </w:r>
            <w:r w:rsidR="009E4E97">
              <w:rPr>
                <w:rFonts w:ascii="Arial Narrow" w:hAnsi="Arial Narrow" w:cs="Calibri"/>
                <w:b/>
                <w:sz w:val="18"/>
                <w:szCs w:val="18"/>
                <w:lang w:val="es-GT"/>
              </w:rPr>
              <w:t> laboratorio. </w:t>
            </w:r>
            <w:r>
              <w:rPr>
                <w:rFonts w:ascii="Arial Narrow" w:hAnsi="Arial Narrow" w:cs="Calibri"/>
                <w:sz w:val="18"/>
                <w:szCs w:val="18"/>
                <w:lang w:val="es-GT"/>
              </w:rPr>
              <w:t>Los tumores</w:t>
            </w:r>
            <w:r w:rsidR="009E4E97">
              <w:rPr>
                <w:rFonts w:ascii="Arial Narrow" w:hAnsi="Arial Narrow" w:cs="Calibri"/>
                <w:sz w:val="18"/>
                <w:szCs w:val="18"/>
                <w:lang w:val="es-GT"/>
              </w:rPr>
              <w:t> observados en los estudios a altas dosis son considerados secundarios a la </w:t>
            </w:r>
            <w:r w:rsidR="009E4E97">
              <w:rPr>
                <w:rFonts w:ascii="Arial Narrow" w:hAnsi="Arial Narrow" w:cs="Calibri"/>
                <w:b/>
                <w:sz w:val="18"/>
                <w:szCs w:val="18"/>
                <w:lang w:val="es-GT"/>
              </w:rPr>
              <w:t xml:space="preserve">inhibición de la síntesis de la tiroides y la ruptura del balance hormonal. </w:t>
            </w:r>
            <w:r>
              <w:rPr>
                <w:rFonts w:ascii="Arial Narrow" w:hAnsi="Arial Narrow" w:cs="Calibri"/>
                <w:b/>
                <w:sz w:val="18"/>
                <w:szCs w:val="18"/>
              </w:rPr>
              <w:t>Altamonte</w:t>
            </w:r>
            <w:r w:rsidR="009E4E97">
              <w:rPr>
                <w:rFonts w:ascii="Arial Narrow" w:hAnsi="Arial Narrow" w:cs="Calibri"/>
                <w:b/>
                <w:sz w:val="18"/>
                <w:szCs w:val="18"/>
              </w:rPr>
              <w:t> </w:t>
            </w:r>
            <w:proofErr w:type="spellStart"/>
            <w:r w:rsidR="009E4E97">
              <w:rPr>
                <w:rFonts w:ascii="Arial Narrow" w:hAnsi="Arial Narrow" w:cs="Calibri"/>
                <w:b/>
                <w:sz w:val="18"/>
                <w:szCs w:val="18"/>
              </w:rPr>
              <w:t>tóxico</w:t>
            </w:r>
            <w:proofErr w:type="spellEnd"/>
            <w:r w:rsidR="009E4E97">
              <w:rPr>
                <w:rFonts w:ascii="Arial Narrow" w:hAnsi="Arial Narrow" w:cs="Calibri"/>
                <w:b/>
                <w:sz w:val="18"/>
                <w:szCs w:val="18"/>
              </w:rPr>
              <w:t> para </w:t>
            </w:r>
            <w:proofErr w:type="spellStart"/>
            <w:r w:rsidR="009E4E97">
              <w:rPr>
                <w:rFonts w:ascii="Arial Narrow" w:hAnsi="Arial Narrow" w:cs="Calibri"/>
                <w:b/>
                <w:sz w:val="18"/>
                <w:szCs w:val="18"/>
              </w:rPr>
              <w:t>organismos</w:t>
            </w:r>
            <w:proofErr w:type="spellEnd"/>
            <w:r w:rsidR="009E4E97">
              <w:rPr>
                <w:rFonts w:ascii="Arial Narrow" w:hAnsi="Arial Narrow" w:cs="Calibri"/>
                <w:b/>
                <w:sz w:val="18"/>
                <w:szCs w:val="18"/>
              </w:rPr>
              <w:t> </w:t>
            </w:r>
            <w:proofErr w:type="spellStart"/>
            <w:r w:rsidR="009E4E97">
              <w:rPr>
                <w:rFonts w:ascii="Arial Narrow" w:hAnsi="Arial Narrow" w:cs="Calibri"/>
                <w:b/>
                <w:sz w:val="18"/>
                <w:szCs w:val="18"/>
              </w:rPr>
              <w:t>acuáticos</w:t>
            </w:r>
            <w:proofErr w:type="spellEnd"/>
            <w:r w:rsidR="009E4E97">
              <w:rPr>
                <w:rFonts w:ascii="Arial Narrow" w:hAnsi="Arial Narrow" w:cs="Calibri"/>
                <w:b/>
                <w:sz w:val="18"/>
                <w:szCs w:val="18"/>
              </w:rPr>
              <w:t>. </w:t>
            </w:r>
          </w:p>
        </w:tc>
      </w:tr>
      <w:tr w:rsidR="00B6121F" w:rsidTr="00640024">
        <w:trPr>
          <w:trHeight w:val="1340"/>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proofErr w:type="spellStart"/>
            <w:r>
              <w:rPr>
                <w:rFonts w:ascii="Arial Narrow" w:hAnsi="Arial Narrow" w:cs="Calibri"/>
                <w:sz w:val="18"/>
                <w:szCs w:val="18"/>
              </w:rPr>
              <w:t>Morfolina</w:t>
            </w:r>
            <w:proofErr w:type="spellEnd"/>
          </w:p>
        </w:tc>
        <w:tc>
          <w:tcPr>
            <w:tcW w:w="7091"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r>
              <w:rPr>
                <w:rFonts w:ascii="Arial Narrow" w:hAnsi="Arial Narrow" w:cs="Calibri"/>
                <w:sz w:val="18"/>
                <w:szCs w:val="18"/>
                <w:lang w:val="es-GT"/>
              </w:rPr>
              <w:t>Toxicidad aguda por inhalación, ingesta y dérmica. Provoca </w:t>
            </w:r>
            <w:r>
              <w:rPr>
                <w:rFonts w:ascii="Arial Narrow" w:hAnsi="Arial Narrow" w:cs="Calibri"/>
                <w:b/>
                <w:sz w:val="18"/>
                <w:szCs w:val="18"/>
                <w:lang w:val="es-GT"/>
              </w:rPr>
              <w:t>graves quemaduras en la piel, lesiones oculares y es corrosivo para las vías respiratorias</w:t>
            </w:r>
            <w:r>
              <w:rPr>
                <w:rFonts w:ascii="Arial Narrow" w:hAnsi="Arial Narrow" w:cs="Calibri"/>
                <w:sz w:val="18"/>
                <w:szCs w:val="18"/>
                <w:lang w:val="es-GT"/>
              </w:rPr>
              <w:t>. En caso de aplicación frecuente, </w:t>
            </w:r>
            <w:r>
              <w:rPr>
                <w:rFonts w:ascii="Arial Narrow" w:hAnsi="Arial Narrow" w:cs="Calibri"/>
                <w:b/>
                <w:sz w:val="18"/>
                <w:szCs w:val="18"/>
                <w:lang w:val="es-GT"/>
              </w:rPr>
              <w:t>puede causar daño pulmonar </w:t>
            </w:r>
            <w:r>
              <w:rPr>
                <w:rFonts w:ascii="Arial Narrow" w:hAnsi="Arial Narrow" w:cs="Calibri"/>
                <w:sz w:val="18"/>
                <w:szCs w:val="18"/>
                <w:lang w:val="es-GT"/>
              </w:rPr>
              <w:t>después de repetidas inhalaciones y</w:t>
            </w:r>
            <w:r>
              <w:rPr>
                <w:rFonts w:ascii="Arial Narrow" w:hAnsi="Arial Narrow" w:cs="Calibri"/>
                <w:b/>
                <w:sz w:val="18"/>
                <w:szCs w:val="18"/>
                <w:lang w:val="es-GT"/>
              </w:rPr>
              <w:t> puede afectar el hígado y riñones </w:t>
            </w:r>
            <w:r>
              <w:rPr>
                <w:rFonts w:ascii="Arial Narrow" w:hAnsi="Arial Narrow" w:cs="Calibri"/>
                <w:sz w:val="18"/>
                <w:szCs w:val="18"/>
                <w:lang w:val="es-GT"/>
              </w:rPr>
              <w:t>como indican los estudios en animales. </w:t>
            </w:r>
            <w:proofErr w:type="spellStart"/>
            <w:r>
              <w:rPr>
                <w:rFonts w:ascii="Arial Narrow" w:hAnsi="Arial Narrow" w:cs="Calibri"/>
                <w:b/>
                <w:sz w:val="18"/>
                <w:szCs w:val="18"/>
              </w:rPr>
              <w:t>Peligroso</w:t>
            </w:r>
            <w:proofErr w:type="spellEnd"/>
            <w:r>
              <w:rPr>
                <w:rFonts w:ascii="Arial Narrow" w:hAnsi="Arial Narrow" w:cs="Calibri"/>
                <w:b/>
                <w:sz w:val="18"/>
                <w:szCs w:val="18"/>
              </w:rPr>
              <w:t> para el medio </w:t>
            </w:r>
            <w:proofErr w:type="spellStart"/>
            <w:r>
              <w:rPr>
                <w:rFonts w:ascii="Arial Narrow" w:hAnsi="Arial Narrow" w:cs="Calibri"/>
                <w:b/>
                <w:sz w:val="18"/>
                <w:szCs w:val="18"/>
              </w:rPr>
              <w:t>ambiente</w:t>
            </w:r>
            <w:proofErr w:type="spellEnd"/>
            <w:r>
              <w:rPr>
                <w:rFonts w:ascii="Arial Narrow" w:hAnsi="Arial Narrow" w:cs="Calibri"/>
                <w:b/>
                <w:sz w:val="18"/>
                <w:szCs w:val="18"/>
              </w:rPr>
              <w:t> </w:t>
            </w:r>
            <w:proofErr w:type="spellStart"/>
            <w:r>
              <w:rPr>
                <w:rFonts w:ascii="Arial Narrow" w:hAnsi="Arial Narrow" w:cs="Calibri"/>
                <w:b/>
                <w:sz w:val="18"/>
                <w:szCs w:val="18"/>
              </w:rPr>
              <w:t>acuático</w:t>
            </w:r>
            <w:proofErr w:type="spellEnd"/>
          </w:p>
        </w:tc>
      </w:tr>
      <w:tr w:rsidR="00B6121F" w:rsidTr="00640024">
        <w:trPr>
          <w:trHeight w:val="158"/>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proofErr w:type="spellStart"/>
            <w:r>
              <w:rPr>
                <w:rFonts w:ascii="Arial Narrow" w:hAnsi="Arial Narrow" w:cs="Calibri"/>
                <w:sz w:val="18"/>
                <w:szCs w:val="18"/>
              </w:rPr>
              <w:t>Estrobilurina</w:t>
            </w:r>
            <w:proofErr w:type="spellEnd"/>
          </w:p>
        </w:tc>
        <w:tc>
          <w:tcPr>
            <w:tcW w:w="7091"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lang w:val="es-GT"/>
              </w:rPr>
            </w:pPr>
            <w:r>
              <w:rPr>
                <w:rFonts w:ascii="Arial Narrow" w:hAnsi="Arial Narrow" w:cs="Calibri"/>
                <w:sz w:val="18"/>
                <w:szCs w:val="18"/>
                <w:lang w:val="es-GT"/>
              </w:rPr>
              <w:t>Es un grupo químico, se necesita más información para definir los impactos que pueda tener.</w:t>
            </w:r>
          </w:p>
        </w:tc>
      </w:tr>
      <w:tr w:rsidR="00B6121F" w:rsidTr="00640024">
        <w:trPr>
          <w:trHeight w:val="460"/>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proofErr w:type="spellStart"/>
            <w:r>
              <w:rPr>
                <w:rFonts w:ascii="Arial Narrow" w:hAnsi="Arial Narrow" w:cs="Calibri"/>
                <w:sz w:val="18"/>
                <w:szCs w:val="18"/>
              </w:rPr>
              <w:t>Tebucanozole</w:t>
            </w:r>
            <w:proofErr w:type="spellEnd"/>
            <w:r>
              <w:rPr>
                <w:rFonts w:ascii="Arial Narrow" w:hAnsi="Arial Narrow" w:cs="Calibri"/>
                <w:sz w:val="18"/>
                <w:szCs w:val="18"/>
              </w:rPr>
              <w:t> </w:t>
            </w:r>
          </w:p>
        </w:tc>
        <w:tc>
          <w:tcPr>
            <w:tcW w:w="7091"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r>
              <w:rPr>
                <w:rFonts w:ascii="Arial Narrow" w:hAnsi="Arial Narrow" w:cs="Calibri"/>
                <w:sz w:val="18"/>
                <w:szCs w:val="18"/>
                <w:lang w:val="es-GT"/>
              </w:rPr>
              <w:t>Clase IV.  Puede resultar ser irritante local cuando entra en contacto con mucosas. El contacto con los ojos provoca irritación, lagrimeo. Puede causar irritación a la piel. </w:t>
            </w:r>
            <w:proofErr w:type="spellStart"/>
            <w:r>
              <w:rPr>
                <w:rFonts w:ascii="Arial Narrow" w:hAnsi="Arial Narrow" w:cs="Calibri"/>
                <w:sz w:val="18"/>
                <w:szCs w:val="18"/>
              </w:rPr>
              <w:t>Producto</w:t>
            </w:r>
            <w:proofErr w:type="spellEnd"/>
            <w:r>
              <w:rPr>
                <w:rFonts w:ascii="Arial Narrow" w:hAnsi="Arial Narrow" w:cs="Calibri"/>
                <w:sz w:val="18"/>
                <w:szCs w:val="18"/>
              </w:rPr>
              <w:t> </w:t>
            </w:r>
            <w:proofErr w:type="spellStart"/>
            <w:r>
              <w:rPr>
                <w:rFonts w:ascii="Arial Narrow" w:hAnsi="Arial Narrow" w:cs="Calibri"/>
                <w:sz w:val="18"/>
                <w:szCs w:val="18"/>
              </w:rPr>
              <w:t>moderadamente</w:t>
            </w:r>
            <w:proofErr w:type="spellEnd"/>
            <w:r>
              <w:rPr>
                <w:rFonts w:ascii="Arial Narrow" w:hAnsi="Arial Narrow" w:cs="Calibri"/>
                <w:sz w:val="18"/>
                <w:szCs w:val="18"/>
              </w:rPr>
              <w:t> </w:t>
            </w:r>
            <w:proofErr w:type="spellStart"/>
            <w:r>
              <w:rPr>
                <w:rFonts w:ascii="Arial Narrow" w:hAnsi="Arial Narrow" w:cs="Calibri"/>
                <w:sz w:val="18"/>
                <w:szCs w:val="18"/>
              </w:rPr>
              <w:t>tóxico</w:t>
            </w:r>
            <w:proofErr w:type="spellEnd"/>
            <w:r>
              <w:rPr>
                <w:rFonts w:ascii="Arial Narrow" w:hAnsi="Arial Narrow" w:cs="Calibri"/>
                <w:sz w:val="18"/>
                <w:szCs w:val="18"/>
              </w:rPr>
              <w:t> para </w:t>
            </w:r>
            <w:proofErr w:type="spellStart"/>
            <w:r>
              <w:rPr>
                <w:rFonts w:ascii="Arial Narrow" w:hAnsi="Arial Narrow" w:cs="Calibri"/>
                <w:sz w:val="18"/>
                <w:szCs w:val="18"/>
              </w:rPr>
              <w:t>organizmos</w:t>
            </w:r>
            <w:proofErr w:type="spellEnd"/>
            <w:r>
              <w:rPr>
                <w:rFonts w:ascii="Arial Narrow" w:hAnsi="Arial Narrow" w:cs="Calibri"/>
                <w:sz w:val="18"/>
                <w:szCs w:val="18"/>
              </w:rPr>
              <w:t> </w:t>
            </w:r>
            <w:proofErr w:type="spellStart"/>
            <w:r>
              <w:rPr>
                <w:rFonts w:ascii="Arial Narrow" w:hAnsi="Arial Narrow" w:cs="Calibri"/>
                <w:sz w:val="18"/>
                <w:szCs w:val="18"/>
              </w:rPr>
              <w:t>acuáticos</w:t>
            </w:r>
            <w:proofErr w:type="spellEnd"/>
            <w:r>
              <w:rPr>
                <w:rFonts w:ascii="Arial Narrow" w:hAnsi="Arial Narrow" w:cs="Calibri"/>
                <w:sz w:val="18"/>
                <w:szCs w:val="18"/>
              </w:rPr>
              <w:t>.</w:t>
            </w:r>
          </w:p>
        </w:tc>
      </w:tr>
      <w:tr w:rsidR="00B6121F" w:rsidTr="00640024">
        <w:trPr>
          <w:trHeight w:val="456"/>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r>
              <w:rPr>
                <w:rFonts w:ascii="Arial Narrow" w:hAnsi="Arial Narrow" w:cs="Calibri"/>
                <w:sz w:val="18"/>
                <w:szCs w:val="18"/>
              </w:rPr>
              <w:t>Difenoconazole </w:t>
            </w:r>
          </w:p>
        </w:tc>
        <w:tc>
          <w:tcPr>
            <w:tcW w:w="7091"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lang w:val="es-GT"/>
              </w:rPr>
            </w:pPr>
            <w:r>
              <w:rPr>
                <w:rFonts w:ascii="Arial Narrow" w:hAnsi="Arial Narrow" w:cs="Calibri"/>
                <w:sz w:val="18"/>
                <w:szCs w:val="18"/>
                <w:lang w:val="es-GT"/>
              </w:rPr>
              <w:t>Clase III. Irritante a la piel. </w:t>
            </w:r>
            <w:r>
              <w:rPr>
                <w:rFonts w:ascii="Arial Narrow" w:hAnsi="Arial Narrow" w:cs="Calibri"/>
                <w:b/>
                <w:sz w:val="18"/>
                <w:szCs w:val="18"/>
                <w:lang w:val="es-GT"/>
              </w:rPr>
              <w:t>Riesgo de daños serios a los ojos</w:t>
            </w:r>
            <w:r>
              <w:rPr>
                <w:rFonts w:ascii="Arial Narrow" w:hAnsi="Arial Narrow" w:cs="Calibri"/>
                <w:sz w:val="18"/>
                <w:szCs w:val="18"/>
                <w:lang w:val="es-GT"/>
              </w:rPr>
              <w:t>. Puede causar sensibilización al contacto con la piel. </w:t>
            </w:r>
            <w:r>
              <w:rPr>
                <w:rFonts w:ascii="Arial Narrow" w:hAnsi="Arial Narrow" w:cs="Calibri"/>
                <w:b/>
                <w:sz w:val="18"/>
                <w:szCs w:val="18"/>
                <w:lang w:val="es-GT"/>
              </w:rPr>
              <w:t>Tóxico para organismos acuáticos</w:t>
            </w:r>
            <w:r>
              <w:rPr>
                <w:rFonts w:ascii="Arial Narrow" w:hAnsi="Arial Narrow" w:cs="Calibri"/>
                <w:sz w:val="18"/>
                <w:szCs w:val="18"/>
                <w:lang w:val="es-GT"/>
              </w:rPr>
              <w:t>. Puede causar efectos adversos de largo plazo en medioambientes acuáticos.</w:t>
            </w:r>
          </w:p>
        </w:tc>
      </w:tr>
      <w:tr w:rsidR="00B6121F" w:rsidTr="00640024">
        <w:trPr>
          <w:trHeight w:val="437"/>
        </w:trPr>
        <w:tc>
          <w:tcPr>
            <w:tcW w:w="1212"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rPr>
            </w:pPr>
            <w:proofErr w:type="spellStart"/>
            <w:r>
              <w:rPr>
                <w:rFonts w:ascii="Arial Narrow" w:hAnsi="Arial Narrow" w:cs="Calibri"/>
                <w:sz w:val="18"/>
                <w:szCs w:val="18"/>
              </w:rPr>
              <w:t>Carboxamidas</w:t>
            </w:r>
            <w:proofErr w:type="spellEnd"/>
          </w:p>
        </w:tc>
        <w:tc>
          <w:tcPr>
            <w:tcW w:w="7091" w:type="dxa"/>
            <w:shd w:val="clear" w:color="auto" w:fill="auto"/>
            <w:tcMar>
              <w:left w:w="-7" w:type="dxa"/>
            </w:tcMar>
            <w:vAlign w:val="center"/>
          </w:tcPr>
          <w:p w:rsidR="00B6121F" w:rsidRDefault="009E4E97" w:rsidP="00640024">
            <w:pPr>
              <w:pStyle w:val="NormalWeb"/>
              <w:spacing w:before="100" w:after="100" w:line="240" w:lineRule="auto"/>
              <w:rPr>
                <w:rFonts w:ascii="Arial Narrow" w:hAnsi="Arial Narrow" w:hint="eastAsia"/>
                <w:sz w:val="18"/>
                <w:szCs w:val="18"/>
                <w:lang w:val="es-GT"/>
              </w:rPr>
            </w:pPr>
            <w:r>
              <w:rPr>
                <w:rFonts w:ascii="Arial Narrow" w:hAnsi="Arial Narrow" w:cs="Calibri"/>
                <w:sz w:val="18"/>
                <w:szCs w:val="18"/>
                <w:lang w:val="es-GT"/>
              </w:rPr>
              <w:t>Es un grupo químico, se necesita más información para definir los impactos que pueda tener.</w:t>
            </w:r>
          </w:p>
        </w:tc>
      </w:tr>
    </w:tbl>
    <w:p w:rsidR="00B6121F" w:rsidRDefault="009E4E97">
      <w:r>
        <w:t>Fuente: instrumentos ambientales de explotaciones bananeras en los departamentos de San Marcos, Quetzaltenango y Retalhuleu (información recopilada para el TLA)</w:t>
      </w:r>
    </w:p>
    <w:p w:rsidR="00B6121F" w:rsidRDefault="009E4E97">
      <w:r>
        <w:rPr>
          <w:b/>
          <w:bCs/>
          <w:i/>
          <w:iCs/>
        </w:rPr>
        <w:t>3.3. Otros químicos en el cultivo del banano</w:t>
      </w:r>
    </w:p>
    <w:tbl>
      <w:tblPr>
        <w:tblW w:w="8304" w:type="dxa"/>
        <w:tblInd w:w="17" w:type="dxa"/>
        <w:tblBorders>
          <w:top w:val="single" w:sz="6" w:space="0" w:color="4D4D4D"/>
          <w:left w:val="single" w:sz="6" w:space="0" w:color="4D4D4D"/>
          <w:bottom w:val="single" w:sz="6" w:space="0" w:color="4D4D4D"/>
          <w:right w:val="single" w:sz="6" w:space="0" w:color="4D4D4D"/>
          <w:insideH w:val="single" w:sz="6" w:space="0" w:color="4D4D4D"/>
          <w:insideV w:val="single" w:sz="6" w:space="0" w:color="4D4D4D"/>
        </w:tblBorders>
        <w:tblCellMar>
          <w:left w:w="-7" w:type="dxa"/>
          <w:right w:w="0" w:type="dxa"/>
        </w:tblCellMar>
        <w:tblLook w:val="04A0" w:firstRow="1" w:lastRow="0" w:firstColumn="1" w:lastColumn="0" w:noHBand="0" w:noVBand="1"/>
      </w:tblPr>
      <w:tblGrid>
        <w:gridCol w:w="3119"/>
        <w:gridCol w:w="28528"/>
      </w:tblGrid>
      <w:tr w:rsidR="00B6121F">
        <w:trPr>
          <w:trHeight w:val="3095"/>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proofErr w:type="spellStart"/>
            <w:r>
              <w:rPr>
                <w:rFonts w:ascii="Arial Narrow" w:hAnsi="Arial Narrow" w:cs="Calibri"/>
                <w:sz w:val="20"/>
                <w:szCs w:val="20"/>
              </w:rPr>
              <w:lastRenderedPageBreak/>
              <w:t>Nitrato</w:t>
            </w:r>
            <w:proofErr w:type="spellEnd"/>
            <w:r>
              <w:rPr>
                <w:rFonts w:ascii="Arial Narrow" w:hAnsi="Arial Narrow" w:cs="Calibri"/>
                <w:sz w:val="20"/>
                <w:szCs w:val="20"/>
              </w:rPr>
              <w:t> de calcio - </w:t>
            </w:r>
            <w:proofErr w:type="spellStart"/>
            <w:r>
              <w:rPr>
                <w:rFonts w:ascii="Arial Narrow" w:hAnsi="Arial Narrow" w:cs="Calibri"/>
                <w:sz w:val="20"/>
                <w:szCs w:val="20"/>
              </w:rPr>
              <w:t>Fertilizante</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beforeAutospacing="0" w:after="280" w:afterAutospacing="0" w:line="240" w:lineRule="auto"/>
              <w:rPr>
                <w:rFonts w:ascii="Arial Narrow" w:hAnsi="Arial Narrow" w:cs="Calibri" w:hint="eastAsia"/>
                <w:sz w:val="20"/>
                <w:szCs w:val="20"/>
                <w:lang w:val="es-GT"/>
              </w:rPr>
            </w:pPr>
            <w:r>
              <w:rPr>
                <w:rFonts w:ascii="Arial Narrow" w:hAnsi="Arial Narrow" w:cs="Calibri"/>
                <w:sz w:val="20"/>
                <w:szCs w:val="20"/>
                <w:lang w:val="es-GT"/>
              </w:rPr>
              <w:t>Es </w:t>
            </w:r>
            <w:r>
              <w:rPr>
                <w:rFonts w:ascii="Arial Narrow" w:hAnsi="Arial Narrow" w:cs="Calibri"/>
                <w:b/>
                <w:sz w:val="20"/>
                <w:szCs w:val="20"/>
                <w:lang w:val="es-GT"/>
              </w:rPr>
              <w:t>altamente tóxico</w:t>
            </w:r>
            <w:r>
              <w:rPr>
                <w:rFonts w:ascii="Arial Narrow" w:hAnsi="Arial Narrow" w:cs="Calibri"/>
                <w:sz w:val="20"/>
                <w:szCs w:val="20"/>
                <w:lang w:val="es-GT"/>
              </w:rPr>
              <w:t> para los seres humanos y los organismos acuáticos. Puede provocar coloración amarilla de los dientes y garganta, quemaduras en </w:t>
            </w:r>
            <w:proofErr w:type="gramStart"/>
            <w:r>
              <w:rPr>
                <w:rFonts w:ascii="Arial Narrow" w:hAnsi="Arial Narrow" w:cs="Calibri"/>
                <w:sz w:val="20"/>
                <w:szCs w:val="20"/>
                <w:lang w:val="es-GT"/>
              </w:rPr>
              <w:t>la  boca</w:t>
            </w:r>
            <w:proofErr w:type="gramEnd"/>
            <w:r>
              <w:rPr>
                <w:rFonts w:ascii="Arial Narrow" w:hAnsi="Arial Narrow" w:cs="Calibri"/>
                <w:sz w:val="20"/>
                <w:szCs w:val="20"/>
                <w:lang w:val="es-GT"/>
              </w:rPr>
              <w:t>  y esófago  y náuseas.  </w:t>
            </w:r>
            <w:proofErr w:type="gramStart"/>
            <w:r>
              <w:rPr>
                <w:rFonts w:ascii="Arial Narrow" w:hAnsi="Arial Narrow" w:cs="Calibri"/>
                <w:sz w:val="20"/>
                <w:szCs w:val="20"/>
                <w:lang w:val="es-GT"/>
              </w:rPr>
              <w:t>Grandes  cantidades</w:t>
            </w:r>
            <w:proofErr w:type="gramEnd"/>
            <w:r>
              <w:rPr>
                <w:rFonts w:ascii="Arial Narrow" w:hAnsi="Arial Narrow" w:cs="Calibri"/>
                <w:sz w:val="20"/>
                <w:szCs w:val="20"/>
                <w:lang w:val="es-GT"/>
              </w:rPr>
              <w:t>  causan  debilidad,  dolor  abdominal,  vértigo,  calambres, diarrea,  vómitos  de  sangre,  posible  perforación  del  estómago  y  los  intestinos,  oliguria,  anuria,  colapso circulatorio y acidosis. Las altas concentraciones de vapor pueden provocar quemaduras graves en los ojos, con daños permanentes. También puede provocar conjuntivitis y ulcera de la córnea.</w:t>
            </w:r>
          </w:p>
          <w:p w:rsidR="00B6121F" w:rsidRDefault="009E4E97">
            <w:pPr>
              <w:pStyle w:val="NormalWeb"/>
              <w:spacing w:line="240" w:lineRule="auto"/>
              <w:rPr>
                <w:rFonts w:ascii="Arial Narrow" w:hAnsi="Arial Narrow" w:hint="eastAsia"/>
                <w:sz w:val="20"/>
                <w:szCs w:val="20"/>
                <w:lang w:val="es-GT"/>
              </w:rPr>
            </w:pPr>
            <w:proofErr w:type="gramStart"/>
            <w:r>
              <w:rPr>
                <w:rFonts w:ascii="Arial Narrow" w:hAnsi="Arial Narrow" w:cs="Calibri"/>
                <w:sz w:val="20"/>
                <w:szCs w:val="20"/>
                <w:lang w:val="es-GT"/>
              </w:rPr>
              <w:t>Líquido  o</w:t>
            </w:r>
            <w:proofErr w:type="gramEnd"/>
            <w:r>
              <w:rPr>
                <w:rFonts w:ascii="Arial Narrow" w:hAnsi="Arial Narrow" w:cs="Calibri"/>
                <w:sz w:val="20"/>
                <w:szCs w:val="20"/>
                <w:lang w:val="es-GT"/>
              </w:rPr>
              <w:t>  las  altas  concentraciones  de  vapor  pueden producir irritación, quemaduras severas con necrosis y ulceras en la piel. Los óxidos nitrosos pueden dar a la piel una coloración amarillenta.</w:t>
            </w:r>
          </w:p>
          <w:p w:rsidR="00B6121F" w:rsidRDefault="009E4E97">
            <w:pPr>
              <w:pStyle w:val="NormalWeb"/>
              <w:spacing w:line="240" w:lineRule="auto"/>
              <w:rPr>
                <w:rFonts w:ascii="Arial Narrow" w:hAnsi="Arial Narrow" w:hint="eastAsia"/>
                <w:sz w:val="20"/>
                <w:szCs w:val="20"/>
                <w:lang w:val="es-GT"/>
              </w:rPr>
            </w:pPr>
            <w:proofErr w:type="gramStart"/>
            <w:r>
              <w:rPr>
                <w:rFonts w:ascii="Arial Narrow" w:hAnsi="Arial Narrow" w:cs="Calibri"/>
                <w:sz w:val="20"/>
                <w:szCs w:val="20"/>
                <w:lang w:val="es-GT"/>
              </w:rPr>
              <w:t>La  exposición</w:t>
            </w:r>
            <w:proofErr w:type="gramEnd"/>
            <w:r>
              <w:rPr>
                <w:rFonts w:ascii="Arial Narrow" w:hAnsi="Arial Narrow" w:cs="Calibri"/>
                <w:sz w:val="20"/>
                <w:szCs w:val="20"/>
                <w:lang w:val="es-GT"/>
              </w:rPr>
              <w:t>  a  altas  concentraciones  de  vapores  de  óxidos  de  nitrógeno  puede  provocar irritación  de  la  nariz  y  garganta,  dificultades  graves  para  respirar  al  principio,  y  luego  provocar  edema, neumonía  y  congestión  pulmonar  severa.  </w:t>
            </w:r>
            <w:proofErr w:type="gramStart"/>
            <w:r>
              <w:rPr>
                <w:rFonts w:ascii="Arial Narrow" w:hAnsi="Arial Narrow" w:cs="Calibri"/>
                <w:sz w:val="20"/>
                <w:szCs w:val="20"/>
                <w:lang w:val="es-GT"/>
              </w:rPr>
              <w:t>Los  síntomas</w:t>
            </w:r>
            <w:proofErr w:type="gramEnd"/>
            <w:r>
              <w:rPr>
                <w:rFonts w:ascii="Arial Narrow" w:hAnsi="Arial Narrow" w:cs="Calibri"/>
                <w:sz w:val="20"/>
                <w:szCs w:val="20"/>
                <w:lang w:val="es-GT"/>
              </w:rPr>
              <w:t>  pueden  aparecer  entre  4  y  30  horas  después  de  la exposición.</w:t>
            </w:r>
          </w:p>
          <w:p w:rsidR="00B6121F" w:rsidRDefault="009E4E97">
            <w:pPr>
              <w:pStyle w:val="NormalWeb"/>
              <w:spacing w:before="280" w:beforeAutospacing="0" w:after="280" w:afterAutospacing="0" w:line="240" w:lineRule="auto"/>
              <w:rPr>
                <w:rFonts w:ascii="Arial Narrow" w:hAnsi="Arial Narrow" w:hint="eastAsia"/>
                <w:sz w:val="20"/>
                <w:szCs w:val="20"/>
                <w:lang w:val="es-GT"/>
              </w:rPr>
            </w:pPr>
            <w:proofErr w:type="gramStart"/>
            <w:r>
              <w:rPr>
                <w:rFonts w:ascii="Arial Narrow" w:hAnsi="Arial Narrow" w:cs="Calibri"/>
                <w:sz w:val="20"/>
                <w:szCs w:val="20"/>
                <w:lang w:val="es-GT"/>
              </w:rPr>
              <w:t>Los  nitratos</w:t>
            </w:r>
            <w:proofErr w:type="gramEnd"/>
            <w:r>
              <w:rPr>
                <w:rFonts w:ascii="Arial Narrow" w:hAnsi="Arial Narrow" w:cs="Calibri"/>
                <w:sz w:val="20"/>
                <w:szCs w:val="20"/>
                <w:lang w:val="es-GT"/>
              </w:rPr>
              <w:t> pueden favorecer la eutrofia.</w:t>
            </w:r>
          </w:p>
        </w:tc>
      </w:tr>
      <w:tr w:rsidR="00B6121F">
        <w:trPr>
          <w:trHeight w:val="28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proofErr w:type="spellStart"/>
            <w:r>
              <w:rPr>
                <w:rFonts w:ascii="Arial Narrow" w:hAnsi="Arial Narrow" w:cs="Calibri"/>
                <w:sz w:val="20"/>
                <w:szCs w:val="20"/>
              </w:rPr>
              <w:t>Sulfato</w:t>
            </w:r>
            <w:proofErr w:type="spellEnd"/>
            <w:r>
              <w:rPr>
                <w:rFonts w:ascii="Arial Narrow" w:hAnsi="Arial Narrow" w:cs="Calibri"/>
                <w:sz w:val="20"/>
                <w:szCs w:val="20"/>
              </w:rPr>
              <w:t> de </w:t>
            </w:r>
            <w:proofErr w:type="spellStart"/>
            <w:r>
              <w:rPr>
                <w:rFonts w:ascii="Arial Narrow" w:hAnsi="Arial Narrow" w:cs="Calibri"/>
                <w:sz w:val="20"/>
                <w:szCs w:val="20"/>
              </w:rPr>
              <w:t>Amonio</w:t>
            </w:r>
            <w:proofErr w:type="spellEnd"/>
            <w:r>
              <w:rPr>
                <w:rFonts w:ascii="Arial Narrow" w:hAnsi="Arial Narrow" w:cs="Calibri"/>
                <w:sz w:val="20"/>
                <w:szCs w:val="20"/>
              </w:rPr>
              <w:t> - </w:t>
            </w:r>
            <w:proofErr w:type="spellStart"/>
            <w:r>
              <w:rPr>
                <w:rFonts w:ascii="Arial Narrow" w:hAnsi="Arial Narrow" w:cs="Calibri"/>
                <w:sz w:val="20"/>
                <w:szCs w:val="20"/>
              </w:rPr>
              <w:t>Fertilizante</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sz w:val="20"/>
                <w:szCs w:val="20"/>
                <w:lang w:val="es-GT"/>
              </w:rPr>
              <w:t>El producto en sí mismo y sus productos de degradación no son tóxicos bajo condiciones normales de uso. El amoníaco es un </w:t>
            </w:r>
            <w:r>
              <w:rPr>
                <w:rFonts w:ascii="Arial Narrow" w:hAnsi="Arial Narrow" w:cs="Calibri"/>
                <w:b/>
                <w:sz w:val="20"/>
                <w:szCs w:val="20"/>
                <w:lang w:val="es-GT"/>
              </w:rPr>
              <w:t>tóxico para los peces. Puede ser dañino para el ganado y la fauna si es ingerido</w:t>
            </w:r>
            <w:r>
              <w:rPr>
                <w:rFonts w:ascii="Arial Narrow" w:hAnsi="Arial Narrow" w:cs="Calibri"/>
                <w:sz w:val="20"/>
                <w:szCs w:val="20"/>
                <w:lang w:val="es-GT"/>
              </w:rPr>
              <w:t>. </w:t>
            </w:r>
          </w:p>
        </w:tc>
      </w:tr>
      <w:tr w:rsidR="00B6121F">
        <w:trPr>
          <w:trHeight w:val="28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proofErr w:type="spellStart"/>
            <w:r>
              <w:rPr>
                <w:rFonts w:ascii="Arial Narrow" w:hAnsi="Arial Narrow" w:cs="Calibri"/>
                <w:sz w:val="20"/>
                <w:szCs w:val="20"/>
              </w:rPr>
              <w:t>Bankit</w:t>
            </w:r>
            <w:proofErr w:type="spellEnd"/>
            <w:r>
              <w:rPr>
                <w:rFonts w:ascii="Arial Narrow" w:hAnsi="Arial Narrow" w:cs="Calibri"/>
                <w:sz w:val="20"/>
                <w:szCs w:val="20"/>
              </w:rPr>
              <w:t> - </w:t>
            </w:r>
            <w:proofErr w:type="spellStart"/>
            <w:r>
              <w:rPr>
                <w:rFonts w:ascii="Arial Narrow" w:hAnsi="Arial Narrow" w:cs="Calibri"/>
                <w:sz w:val="20"/>
                <w:szCs w:val="20"/>
              </w:rPr>
              <w:t>Fungicida</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b/>
                <w:sz w:val="20"/>
                <w:szCs w:val="20"/>
                <w:lang w:val="es-GT"/>
              </w:rPr>
              <w:t>Muy tóxico a organismos </w:t>
            </w:r>
            <w:proofErr w:type="gramStart"/>
            <w:r>
              <w:rPr>
                <w:rFonts w:ascii="Arial Narrow" w:hAnsi="Arial Narrow" w:cs="Calibri"/>
                <w:b/>
                <w:sz w:val="20"/>
                <w:szCs w:val="20"/>
                <w:lang w:val="es-GT"/>
              </w:rPr>
              <w:t>acuáticos </w:t>
            </w:r>
            <w:r>
              <w:rPr>
                <w:rFonts w:ascii="Arial Narrow" w:hAnsi="Arial Narrow" w:cs="Calibri"/>
                <w:sz w:val="20"/>
                <w:szCs w:val="20"/>
                <w:lang w:val="es-GT"/>
              </w:rPr>
              <w:t>,</w:t>
            </w:r>
            <w:proofErr w:type="gramEnd"/>
            <w:r>
              <w:rPr>
                <w:rFonts w:ascii="Arial Narrow" w:hAnsi="Arial Narrow" w:cs="Calibri"/>
                <w:sz w:val="20"/>
                <w:szCs w:val="20"/>
                <w:lang w:val="es-GT"/>
              </w:rPr>
              <w:t> puede causar efectos adversos en el medio ambiente a largo plazo.</w:t>
            </w:r>
          </w:p>
        </w:tc>
      </w:tr>
      <w:tr w:rsidR="00B6121F">
        <w:trPr>
          <w:trHeight w:val="52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r>
              <w:rPr>
                <w:rFonts w:ascii="Arial Narrow" w:hAnsi="Arial Narrow" w:cs="Calibri"/>
                <w:sz w:val="20"/>
                <w:szCs w:val="20"/>
              </w:rPr>
              <w:t>Imidacloprid (Jade) - </w:t>
            </w:r>
            <w:proofErr w:type="spellStart"/>
            <w:r>
              <w:rPr>
                <w:rFonts w:ascii="Arial Narrow" w:hAnsi="Arial Narrow" w:cs="Calibri"/>
                <w:sz w:val="20"/>
                <w:szCs w:val="20"/>
              </w:rPr>
              <w:t>Insecticida</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sz w:val="20"/>
                <w:szCs w:val="20"/>
                <w:lang w:val="es-GT"/>
              </w:rPr>
              <w:t>Categoría II. </w:t>
            </w:r>
            <w:r>
              <w:rPr>
                <w:rFonts w:ascii="Arial Narrow" w:hAnsi="Arial Narrow" w:cs="Calibri"/>
                <w:b/>
                <w:sz w:val="20"/>
                <w:szCs w:val="20"/>
                <w:lang w:val="es-GT"/>
              </w:rPr>
              <w:t>Nocivo por ingestión. Muy tóxico para organismos acuáticos,</w:t>
            </w:r>
            <w:r>
              <w:rPr>
                <w:rFonts w:ascii="Arial Narrow" w:hAnsi="Arial Narrow" w:cs="Calibri"/>
                <w:sz w:val="20"/>
                <w:szCs w:val="20"/>
                <w:lang w:val="es-GT"/>
              </w:rPr>
              <w:t> puede provocar a largo plazo efectos negativos en el medioambiente acuático.</w:t>
            </w:r>
          </w:p>
        </w:tc>
      </w:tr>
      <w:tr w:rsidR="00B6121F">
        <w:trPr>
          <w:trHeight w:val="96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proofErr w:type="spellStart"/>
            <w:r>
              <w:rPr>
                <w:rFonts w:ascii="Arial Narrow" w:hAnsi="Arial Narrow" w:cs="Calibri"/>
                <w:sz w:val="20"/>
                <w:szCs w:val="20"/>
              </w:rPr>
              <w:t>Glifosato</w:t>
            </w:r>
            <w:proofErr w:type="spellEnd"/>
            <w:r>
              <w:rPr>
                <w:rFonts w:ascii="Arial Narrow" w:hAnsi="Arial Narrow" w:cs="Calibri"/>
                <w:sz w:val="20"/>
                <w:szCs w:val="20"/>
              </w:rPr>
              <w:t> </w:t>
            </w:r>
            <w:r>
              <w:rPr>
                <w:rFonts w:ascii="Arial Narrow" w:hAnsi="Arial Narrow" w:cs="SimSun"/>
                <w:sz w:val="20"/>
                <w:szCs w:val="20"/>
              </w:rPr>
              <w:t>(Roundup)-</w:t>
            </w:r>
            <w:proofErr w:type="spellStart"/>
            <w:r>
              <w:rPr>
                <w:rFonts w:ascii="Arial Narrow" w:hAnsi="Arial Narrow" w:cs="SimSun"/>
                <w:sz w:val="20"/>
                <w:szCs w:val="20"/>
              </w:rPr>
              <w:t>Herbicida</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sz w:val="20"/>
                <w:szCs w:val="20"/>
                <w:lang w:val="es-GT"/>
              </w:rPr>
              <w:t>Toxicidad   clase II. OMS declara “</w:t>
            </w:r>
            <w:r>
              <w:rPr>
                <w:rFonts w:ascii="Arial Narrow" w:hAnsi="Arial Narrow" w:cs="Calibri"/>
                <w:b/>
                <w:sz w:val="20"/>
                <w:szCs w:val="20"/>
                <w:lang w:val="es-GT"/>
              </w:rPr>
              <w:t>un probable carcinógeno para los seres humanos</w:t>
            </w:r>
            <w:r>
              <w:rPr>
                <w:rFonts w:ascii="Arial Narrow" w:hAnsi="Arial Narrow" w:cs="Calibri"/>
                <w:sz w:val="20"/>
                <w:szCs w:val="20"/>
                <w:lang w:val="es-GT"/>
              </w:rPr>
              <w:t>” en 2015. En el organismo humano puede   causar   toxicidad en células placentarias   y </w:t>
            </w:r>
            <w:proofErr w:type="gramStart"/>
            <w:r>
              <w:rPr>
                <w:rFonts w:ascii="Arial Narrow" w:hAnsi="Arial Narrow" w:cs="Calibri"/>
                <w:sz w:val="20"/>
                <w:szCs w:val="20"/>
                <w:lang w:val="es-GT"/>
              </w:rPr>
              <w:t>del  hígado</w:t>
            </w:r>
            <w:proofErr w:type="gramEnd"/>
            <w:r>
              <w:rPr>
                <w:rFonts w:ascii="Arial Narrow" w:hAnsi="Arial Narrow" w:cs="Calibri"/>
                <w:sz w:val="20"/>
                <w:szCs w:val="20"/>
                <w:lang w:val="es-GT"/>
              </w:rPr>
              <w:t>, actuar  como un disruptor  endocrino, generar    afecciones  respiratorias, gastrointestinales, dermatológicas y neurológicas,  así como  fragmentación del material genético. En </w:t>
            </w:r>
            <w:proofErr w:type="gramStart"/>
            <w:r>
              <w:rPr>
                <w:rFonts w:ascii="Arial Narrow" w:hAnsi="Arial Narrow" w:cs="Calibri"/>
                <w:sz w:val="20"/>
                <w:szCs w:val="20"/>
                <w:lang w:val="es-GT"/>
              </w:rPr>
              <w:t>los  sistemas</w:t>
            </w:r>
            <w:proofErr w:type="gramEnd"/>
            <w:r>
              <w:rPr>
                <w:rFonts w:ascii="Arial Narrow" w:hAnsi="Arial Narrow" w:cs="Calibri"/>
                <w:sz w:val="20"/>
                <w:szCs w:val="20"/>
                <w:lang w:val="es-GT"/>
              </w:rPr>
              <w:t>  acuáticos  pueden  provocar  retardo en el  crecimiento  de  organismos  como  algas y peces, cambios histopatológicos, alteraciones de parámetros enzimáticos,   disminución   de   la   actividad   sexual   y cambios bioquímicos.</w:t>
            </w:r>
          </w:p>
        </w:tc>
      </w:tr>
      <w:tr w:rsidR="00B6121F">
        <w:trPr>
          <w:trHeight w:val="50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rPr>
            </w:pPr>
            <w:proofErr w:type="spellStart"/>
            <w:r>
              <w:rPr>
                <w:rFonts w:ascii="Arial Narrow" w:hAnsi="Arial Narrow" w:cs="Calibri"/>
                <w:sz w:val="20"/>
                <w:szCs w:val="20"/>
              </w:rPr>
              <w:t>Imazalil</w:t>
            </w:r>
            <w:r>
              <w:rPr>
                <w:rFonts w:ascii="Arial Narrow" w:hAnsi="Arial Narrow" w:cs="SimSun"/>
                <w:sz w:val="20"/>
                <w:szCs w:val="20"/>
              </w:rPr>
              <w:t>-Fungicida</w:t>
            </w:r>
            <w:proofErr w:type="spellEnd"/>
            <w:r>
              <w:rPr>
                <w:rFonts w:ascii="Arial Narrow" w:hAnsi="Arial Narrow" w:cs="SimSun"/>
                <w:sz w:val="20"/>
                <w:szCs w:val="20"/>
              </w:rPr>
              <w:t> </w:t>
            </w:r>
            <w:proofErr w:type="spellStart"/>
            <w:r>
              <w:rPr>
                <w:rFonts w:ascii="Arial Narrow" w:hAnsi="Arial Narrow" w:cs="SimSun"/>
                <w:sz w:val="20"/>
                <w:szCs w:val="20"/>
              </w:rPr>
              <w:t>postcosecha</w:t>
            </w:r>
            <w:proofErr w:type="spellEnd"/>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sz w:val="20"/>
                <w:szCs w:val="20"/>
                <w:lang w:val="es-GT"/>
              </w:rPr>
              <w:t>Irritante para los ojos. </w:t>
            </w:r>
            <w:r>
              <w:rPr>
                <w:rFonts w:ascii="Arial Narrow" w:hAnsi="Arial Narrow" w:cs="Calibri"/>
                <w:b/>
                <w:sz w:val="20"/>
                <w:szCs w:val="20"/>
                <w:lang w:val="es-GT"/>
              </w:rPr>
              <w:t>Nocivo para los organismos acuáticos,</w:t>
            </w:r>
            <w:r>
              <w:rPr>
                <w:rFonts w:ascii="Arial Narrow" w:hAnsi="Arial Narrow" w:cs="Calibri"/>
                <w:sz w:val="20"/>
                <w:szCs w:val="20"/>
                <w:lang w:val="es-GT"/>
              </w:rPr>
              <w:t> puede provocar a largo plazo efectos negativos en el medio ambiente acuático. </w:t>
            </w:r>
          </w:p>
        </w:tc>
      </w:tr>
      <w:tr w:rsidR="00B6121F">
        <w:trPr>
          <w:trHeight w:val="2040"/>
        </w:trPr>
        <w:tc>
          <w:tcPr>
            <w:tcW w:w="1376"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after="280" w:line="240" w:lineRule="auto"/>
              <w:rPr>
                <w:rFonts w:ascii="Arial Narrow" w:hAnsi="Arial Narrow" w:hint="eastAsia"/>
                <w:sz w:val="20"/>
                <w:szCs w:val="20"/>
                <w:lang w:val="es-GT"/>
              </w:rPr>
            </w:pPr>
            <w:r>
              <w:rPr>
                <w:rFonts w:ascii="Arial Narrow" w:hAnsi="Arial Narrow" w:cs="Calibri"/>
                <w:sz w:val="20"/>
                <w:szCs w:val="20"/>
                <w:lang w:val="es-GT"/>
              </w:rPr>
              <w:t>Clorpirifós </w:t>
            </w:r>
            <w:r>
              <w:rPr>
                <w:rFonts w:ascii="Arial Narrow" w:hAnsi="Arial Narrow" w:cs="SimSun"/>
                <w:sz w:val="20"/>
                <w:szCs w:val="20"/>
                <w:lang w:val="es-GT"/>
              </w:rPr>
              <w:t>(Dursban y Lorsban) -Insecticida en la bolsa de protección del racimo</w:t>
            </w:r>
          </w:p>
        </w:tc>
        <w:tc>
          <w:tcPr>
            <w:tcW w:w="6927" w:type="dxa"/>
            <w:tcBorders>
              <w:top w:val="single" w:sz="6" w:space="0" w:color="4D4D4D"/>
              <w:left w:val="single" w:sz="6" w:space="0" w:color="4D4D4D"/>
              <w:bottom w:val="single" w:sz="6" w:space="0" w:color="4D4D4D"/>
              <w:right w:val="single" w:sz="6" w:space="0" w:color="4D4D4D"/>
            </w:tcBorders>
            <w:shd w:val="clear" w:color="auto" w:fill="auto"/>
            <w:tcMar>
              <w:left w:w="-7" w:type="dxa"/>
            </w:tcMar>
            <w:vAlign w:val="center"/>
          </w:tcPr>
          <w:p w:rsidR="00B6121F" w:rsidRDefault="009E4E97">
            <w:pPr>
              <w:pStyle w:val="NormalWeb"/>
              <w:spacing w:before="280" w:beforeAutospacing="0" w:after="280" w:afterAutospacing="0" w:line="240" w:lineRule="auto"/>
              <w:rPr>
                <w:rFonts w:ascii="Arial Narrow" w:hAnsi="Arial Narrow" w:hint="eastAsia"/>
                <w:sz w:val="20"/>
                <w:szCs w:val="20"/>
                <w:lang w:val="es-GT"/>
              </w:rPr>
            </w:pPr>
            <w:r>
              <w:rPr>
                <w:rFonts w:ascii="Arial Narrow" w:hAnsi="Arial Narrow" w:cs="Calibri"/>
                <w:sz w:val="20"/>
                <w:szCs w:val="20"/>
                <w:lang w:val="es-GT"/>
              </w:rPr>
              <w:t>Tóxico de nivel II. </w:t>
            </w:r>
            <w:proofErr w:type="gramStart"/>
            <w:r>
              <w:rPr>
                <w:rFonts w:ascii="Arial Narrow" w:hAnsi="Arial Narrow" w:cs="Calibri"/>
                <w:sz w:val="20"/>
                <w:szCs w:val="20"/>
                <w:lang w:val="es-GT"/>
              </w:rPr>
              <w:t>Puede  causar</w:t>
            </w:r>
            <w:proofErr w:type="gramEnd"/>
            <w:r>
              <w:rPr>
                <w:rFonts w:ascii="Arial Narrow" w:hAnsi="Arial Narrow" w:cs="Calibri"/>
                <w:sz w:val="20"/>
                <w:szCs w:val="20"/>
                <w:lang w:val="es-GT"/>
              </w:rPr>
              <w:t>  moderada  irritación  con  daño  temporal de  la  córnea.  </w:t>
            </w:r>
            <w:proofErr w:type="gramStart"/>
            <w:r>
              <w:rPr>
                <w:rFonts w:ascii="Arial Narrow" w:hAnsi="Arial Narrow" w:cs="Calibri"/>
                <w:sz w:val="20"/>
                <w:szCs w:val="20"/>
                <w:lang w:val="es-GT"/>
              </w:rPr>
              <w:t>Los  vapores</w:t>
            </w:r>
            <w:proofErr w:type="gramEnd"/>
            <w:r>
              <w:rPr>
                <w:rFonts w:ascii="Arial Narrow" w:hAnsi="Arial Narrow" w:cs="Calibri"/>
                <w:sz w:val="20"/>
                <w:szCs w:val="20"/>
                <w:lang w:val="es-GT"/>
              </w:rPr>
              <w:t>  pueden ser irritantes a los ojos. </w:t>
            </w:r>
            <w:proofErr w:type="gramStart"/>
            <w:r>
              <w:rPr>
                <w:rFonts w:ascii="Arial Narrow" w:hAnsi="Arial Narrow" w:cs="Calibri"/>
                <w:sz w:val="20"/>
                <w:szCs w:val="20"/>
                <w:lang w:val="es-GT"/>
              </w:rPr>
              <w:t>El  contacto</w:t>
            </w:r>
            <w:proofErr w:type="gramEnd"/>
            <w:r>
              <w:rPr>
                <w:rFonts w:ascii="Arial Narrow" w:hAnsi="Arial Narrow" w:cs="Calibri"/>
                <w:sz w:val="20"/>
                <w:szCs w:val="20"/>
                <w:lang w:val="es-GT"/>
              </w:rPr>
              <w:t>  prolongado  o  repetido  puede  causar  irritación,  resecamiento  y descamación de la piel. Puede absorberse a través de la piel, aunque no se esperan efectos adversos después de una sola exposición. No produce sensibilización dermal. Pequeñas cantidades ingeridas accidentalmente, no es probable que causen daño. </w:t>
            </w:r>
            <w:proofErr w:type="gramStart"/>
            <w:r>
              <w:rPr>
                <w:rFonts w:ascii="Arial Narrow" w:hAnsi="Arial Narrow" w:cs="Calibri"/>
                <w:sz w:val="20"/>
                <w:szCs w:val="20"/>
                <w:lang w:val="es-GT"/>
              </w:rPr>
              <w:t>La  ingestión</w:t>
            </w:r>
            <w:proofErr w:type="gramEnd"/>
            <w:r>
              <w:rPr>
                <w:rFonts w:ascii="Arial Narrow" w:hAnsi="Arial Narrow" w:cs="Calibri"/>
                <w:sz w:val="20"/>
                <w:szCs w:val="20"/>
                <w:lang w:val="es-GT"/>
              </w:rPr>
              <w:t>  de  cantidades  importantes  puede  causar  serios  daños,  </w:t>
            </w:r>
            <w:r>
              <w:rPr>
                <w:rFonts w:ascii="Arial Narrow" w:hAnsi="Arial Narrow" w:cs="Calibri"/>
                <w:b/>
                <w:sz w:val="20"/>
                <w:szCs w:val="20"/>
                <w:lang w:val="es-GT"/>
              </w:rPr>
              <w:t>incluso  la  muerte.</w:t>
            </w:r>
            <w:r>
              <w:rPr>
                <w:rFonts w:ascii="Arial Narrow" w:hAnsi="Arial Narrow" w:cs="Calibri"/>
                <w:sz w:val="20"/>
                <w:szCs w:val="20"/>
                <w:lang w:val="es-GT"/>
              </w:rPr>
              <w:t>  </w:t>
            </w:r>
            <w:proofErr w:type="gramStart"/>
            <w:r>
              <w:rPr>
                <w:rFonts w:ascii="Arial Narrow" w:hAnsi="Arial Narrow" w:cs="Calibri"/>
                <w:sz w:val="20"/>
                <w:szCs w:val="20"/>
                <w:lang w:val="es-GT"/>
              </w:rPr>
              <w:t>Si  es</w:t>
            </w:r>
            <w:proofErr w:type="gramEnd"/>
            <w:r>
              <w:rPr>
                <w:rFonts w:ascii="Arial Narrow" w:hAnsi="Arial Narrow" w:cs="Calibri"/>
                <w:sz w:val="20"/>
                <w:szCs w:val="20"/>
                <w:lang w:val="es-GT"/>
              </w:rPr>
              <w:t> aspirado  (entrada  de  líquido  a  los  pulmones),  puede  provocar  daño  a  los  mismos  e  incluso  la muerte por neumonitis química. </w:t>
            </w:r>
          </w:p>
          <w:p w:rsidR="00B6121F" w:rsidRDefault="009E4E97">
            <w:pPr>
              <w:pStyle w:val="NormalWeb"/>
              <w:spacing w:line="240" w:lineRule="auto"/>
              <w:rPr>
                <w:rFonts w:ascii="Arial Narrow" w:hAnsi="Arial Narrow" w:hint="eastAsia"/>
                <w:sz w:val="20"/>
                <w:szCs w:val="20"/>
                <w:lang w:val="es-GT"/>
              </w:rPr>
            </w:pPr>
            <w:proofErr w:type="gramStart"/>
            <w:r>
              <w:rPr>
                <w:rFonts w:ascii="Arial Narrow" w:hAnsi="Arial Narrow" w:cs="Calibri"/>
                <w:sz w:val="20"/>
                <w:szCs w:val="20"/>
                <w:lang w:val="es-GT"/>
              </w:rPr>
              <w:t>Una  sola</w:t>
            </w:r>
            <w:proofErr w:type="gramEnd"/>
            <w:r>
              <w:rPr>
                <w:rFonts w:ascii="Arial Narrow" w:hAnsi="Arial Narrow" w:cs="Calibri"/>
                <w:sz w:val="20"/>
                <w:szCs w:val="20"/>
                <w:lang w:val="es-GT"/>
              </w:rPr>
              <w:t>  exposición  a  altas  concentraciones  de  vapores  puede  ser  peligrosa (irritación  de  las  vías  respiratorias  y  depresión  del  sistema  nervioso  central).</w:t>
            </w:r>
          </w:p>
          <w:p w:rsidR="00B6121F" w:rsidRDefault="009E4E97">
            <w:pPr>
              <w:pStyle w:val="NormalWeb"/>
              <w:spacing w:before="280" w:beforeAutospacing="0" w:after="280" w:afterAutospacing="0" w:line="240" w:lineRule="auto"/>
              <w:rPr>
                <w:rFonts w:ascii="Arial Narrow" w:hAnsi="Arial Narrow" w:hint="eastAsia"/>
                <w:sz w:val="20"/>
                <w:szCs w:val="20"/>
                <w:lang w:val="es-GT"/>
              </w:rPr>
            </w:pPr>
            <w:r>
              <w:rPr>
                <w:rFonts w:ascii="Arial Narrow" w:hAnsi="Arial Narrow" w:cs="Calibri"/>
                <w:sz w:val="20"/>
                <w:szCs w:val="20"/>
                <w:lang w:val="es-GT"/>
              </w:rPr>
              <w:t>Es moderadamente tóxico para organismos acuáticos y peces y </w:t>
            </w:r>
            <w:proofErr w:type="gramStart"/>
            <w:r>
              <w:rPr>
                <w:rFonts w:ascii="Arial Narrow" w:hAnsi="Arial Narrow" w:cs="Calibri"/>
                <w:sz w:val="20"/>
                <w:szCs w:val="20"/>
                <w:lang w:val="es-GT"/>
              </w:rPr>
              <w:t>aves</w:t>
            </w:r>
            <w:proofErr w:type="gramEnd"/>
            <w:r>
              <w:rPr>
                <w:rFonts w:ascii="Arial Narrow" w:hAnsi="Arial Narrow" w:cs="Calibri"/>
                <w:sz w:val="20"/>
                <w:szCs w:val="20"/>
                <w:lang w:val="es-GT"/>
              </w:rPr>
              <w:t> pero altamente para abejas.</w:t>
            </w:r>
          </w:p>
        </w:tc>
      </w:tr>
    </w:tbl>
    <w:p w:rsidR="00B6121F" w:rsidRDefault="009E4E97">
      <w:r>
        <w:t>Fuente: instrumentos ambientales de explotaciones bananeras en los departamentos de San Marcos, Quetzaltenango y Retalhuleu (información recopilada para el TLA)</w:t>
      </w:r>
    </w:p>
    <w:p w:rsidR="00B6121F" w:rsidRDefault="009E4E97">
      <w:r>
        <w:rPr>
          <w:b/>
          <w:bCs/>
          <w:i/>
          <w:iCs/>
        </w:rPr>
        <w:t>3.4. Agroquímicos en el cultivo de la palma aceitera</w:t>
      </w:r>
    </w:p>
    <w:tbl>
      <w:tblPr>
        <w:tblW w:w="8304" w:type="dxa"/>
        <w:tblInd w:w="1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648"/>
        <w:gridCol w:w="28999"/>
      </w:tblGrid>
      <w:tr w:rsidR="00B6121F">
        <w:trPr>
          <w:trHeight w:val="66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Amistar</w:t>
            </w:r>
            <w:proofErr w:type="spellEnd"/>
            <w:r>
              <w:rPr>
                <w:rFonts w:ascii="Arial Narrow" w:hAnsi="Arial Narrow" w:cs="Calibri"/>
                <w:sz w:val="20"/>
                <w:szCs w:val="20"/>
              </w:rPr>
              <w:t> 50 WG</w:t>
            </w:r>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2011</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Es un producto levemente peligroso, de clase III. Es dañino para la salud humana si es inhalado o ingerido e irritante para los ojos.</w:t>
            </w:r>
          </w:p>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Es </w:t>
            </w:r>
            <w:r>
              <w:rPr>
                <w:rFonts w:ascii="Arial Narrow" w:hAnsi="Arial Narrow" w:cs="Calibri"/>
                <w:b/>
                <w:sz w:val="20"/>
                <w:szCs w:val="20"/>
                <w:lang w:val="es-GT"/>
              </w:rPr>
              <w:t>muy tóxico para organismos acuáticos</w:t>
            </w:r>
            <w:r>
              <w:rPr>
                <w:rFonts w:ascii="Arial Narrow" w:hAnsi="Arial Narrow" w:cs="Calibri"/>
                <w:sz w:val="20"/>
                <w:szCs w:val="20"/>
                <w:lang w:val="es-GT"/>
              </w:rPr>
              <w:t>; puede causar efectos adversos a largo plazo en el ambiente acuático.</w:t>
            </w:r>
          </w:p>
        </w:tc>
      </w:tr>
      <w:tr w:rsidR="00B6121F">
        <w:trPr>
          <w:trHeight w:val="30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Benomil</w:t>
            </w:r>
            <w:proofErr w:type="spellEnd"/>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2004</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Efectos sobre la salud por inhalación e ingestión, también por contacto con la piel. Puede </w:t>
            </w:r>
            <w:proofErr w:type="gramStart"/>
            <w:r>
              <w:rPr>
                <w:rFonts w:ascii="Arial Narrow" w:hAnsi="Arial Narrow" w:cs="Calibri"/>
                <w:sz w:val="20"/>
                <w:szCs w:val="20"/>
                <w:lang w:val="es-GT"/>
              </w:rPr>
              <w:t>producir  disfunciones</w:t>
            </w:r>
            <w:proofErr w:type="gramEnd"/>
            <w:r>
              <w:rPr>
                <w:rFonts w:ascii="Arial Narrow" w:hAnsi="Arial Narrow" w:cs="Calibri"/>
                <w:sz w:val="20"/>
                <w:szCs w:val="20"/>
                <w:lang w:val="es-GT"/>
              </w:rPr>
              <w:t> en la fertilidad. Puede originar </w:t>
            </w:r>
            <w:proofErr w:type="gramStart"/>
            <w:r>
              <w:rPr>
                <w:rFonts w:ascii="Arial Narrow" w:hAnsi="Arial Narrow" w:cs="Calibri"/>
                <w:sz w:val="20"/>
                <w:szCs w:val="20"/>
                <w:lang w:val="es-GT"/>
              </w:rPr>
              <w:t>defectos  congénitos</w:t>
            </w:r>
            <w:proofErr w:type="gramEnd"/>
            <w:r>
              <w:rPr>
                <w:rFonts w:ascii="Arial Narrow" w:hAnsi="Arial Narrow" w:cs="Calibri"/>
                <w:sz w:val="20"/>
                <w:szCs w:val="20"/>
                <w:lang w:val="es-GT"/>
              </w:rPr>
              <w:t>. Es </w:t>
            </w:r>
            <w:r>
              <w:rPr>
                <w:rFonts w:ascii="Arial Narrow" w:hAnsi="Arial Narrow" w:cs="Calibri"/>
                <w:b/>
                <w:sz w:val="20"/>
                <w:szCs w:val="20"/>
                <w:lang w:val="es-GT"/>
              </w:rPr>
              <w:t>cancerígeno</w:t>
            </w:r>
            <w:r>
              <w:rPr>
                <w:rFonts w:ascii="Arial Narrow" w:hAnsi="Arial Narrow" w:cs="Calibri"/>
                <w:sz w:val="20"/>
                <w:szCs w:val="20"/>
                <w:lang w:val="es-GT"/>
              </w:rPr>
              <w:t>. Esta sustancia puede ser peligrosa para el ambiente; debería prestarse atención especial a los peces.  </w:t>
            </w:r>
          </w:p>
        </w:tc>
      </w:tr>
      <w:tr w:rsidR="00B6121F">
        <w:trPr>
          <w:trHeight w:val="42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Carbendazim</w:t>
            </w:r>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2011</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Este producto normalmente no produce peligro (es de categoría IV). Es </w:t>
            </w:r>
            <w:r>
              <w:rPr>
                <w:rFonts w:ascii="Arial Narrow" w:hAnsi="Arial Narrow" w:cs="Calibri"/>
                <w:b/>
                <w:sz w:val="20"/>
                <w:szCs w:val="20"/>
                <w:lang w:val="es-GT"/>
              </w:rPr>
              <w:t>muy tóxico a organismos acuáticos.</w:t>
            </w:r>
            <w:r>
              <w:rPr>
                <w:rFonts w:ascii="Arial Narrow" w:hAnsi="Arial Narrow" w:cs="Calibri"/>
                <w:sz w:val="20"/>
                <w:szCs w:val="20"/>
                <w:lang w:val="es-GT"/>
              </w:rPr>
              <w:t> Prohibido en la Unión Europea y EUA por efectos en la esterilidad e hígado en animales de laboratorio</w:t>
            </w:r>
          </w:p>
        </w:tc>
      </w:tr>
      <w:tr w:rsidR="00B6121F">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Cobra 1,8 EC</w:t>
            </w:r>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lastRenderedPageBreak/>
              <w:t>2011</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lastRenderedPageBreak/>
              <w:t>Es un producto moderadamente peligroso, dañino. Es </w:t>
            </w:r>
            <w:r>
              <w:rPr>
                <w:rFonts w:ascii="Arial Narrow" w:hAnsi="Arial Narrow" w:cs="Calibri"/>
                <w:b/>
                <w:sz w:val="20"/>
                <w:szCs w:val="20"/>
                <w:lang w:val="es-GT"/>
              </w:rPr>
              <w:t>nocivo si es ingerido</w:t>
            </w:r>
            <w:r>
              <w:rPr>
                <w:rFonts w:ascii="Arial Narrow" w:hAnsi="Arial Narrow" w:cs="Calibri"/>
                <w:sz w:val="20"/>
                <w:szCs w:val="20"/>
                <w:lang w:val="es-GT"/>
              </w:rPr>
              <w:t>. Riesgo de daño severo para la salud en caso de exposición prolongada por ingestión. Tóxico por inhalado. Es </w:t>
            </w:r>
            <w:r>
              <w:rPr>
                <w:rFonts w:ascii="Arial Narrow" w:hAnsi="Arial Narrow" w:cs="Calibri"/>
                <w:b/>
                <w:sz w:val="20"/>
                <w:szCs w:val="20"/>
                <w:lang w:val="es-GT"/>
              </w:rPr>
              <w:t>peligroso para los organismos acuáticos, los animales domésticos, fauna y flora silvestres</w:t>
            </w:r>
            <w:r>
              <w:rPr>
                <w:rFonts w:ascii="Arial Narrow" w:hAnsi="Arial Narrow" w:cs="Calibri"/>
                <w:sz w:val="20"/>
                <w:szCs w:val="20"/>
                <w:lang w:val="es-GT"/>
              </w:rPr>
              <w:t>.</w:t>
            </w:r>
          </w:p>
        </w:tc>
      </w:tr>
      <w:tr w:rsidR="00B6121F">
        <w:trPr>
          <w:trHeight w:val="28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Diazinon</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La mayoría de los casos de intoxicación accidental en las personas han sido causados por exposiciones breves a concentraciones muy altas de esta sustancia. Estos niveles muy altos a veces </w:t>
            </w:r>
            <w:r>
              <w:rPr>
                <w:rFonts w:ascii="Arial Narrow" w:hAnsi="Arial Narrow" w:cs="Calibri"/>
                <w:b/>
                <w:sz w:val="20"/>
                <w:szCs w:val="20"/>
                <w:lang w:val="es-GT"/>
              </w:rPr>
              <w:t>han causado la muerte</w:t>
            </w:r>
            <w:r>
              <w:rPr>
                <w:rFonts w:ascii="Arial Narrow" w:hAnsi="Arial Narrow" w:cs="Calibri"/>
                <w:sz w:val="20"/>
                <w:szCs w:val="20"/>
                <w:lang w:val="es-GT"/>
              </w:rPr>
              <w:t>. Afecta principalmente al </w:t>
            </w:r>
            <w:r>
              <w:rPr>
                <w:rFonts w:ascii="Arial Narrow" w:hAnsi="Arial Narrow" w:cs="Calibri"/>
                <w:b/>
                <w:sz w:val="20"/>
                <w:szCs w:val="20"/>
                <w:lang w:val="es-GT"/>
              </w:rPr>
              <w:t>sistema nervioso</w:t>
            </w:r>
            <w:r>
              <w:rPr>
                <w:rFonts w:ascii="Arial Narrow" w:hAnsi="Arial Narrow" w:cs="Calibri"/>
                <w:sz w:val="20"/>
                <w:szCs w:val="20"/>
                <w:lang w:val="es-GT"/>
              </w:rPr>
              <w:t> independientemente de la ruta de exposición.</w:t>
            </w:r>
          </w:p>
        </w:tc>
      </w:tr>
      <w:tr w:rsidR="00B6121F">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Diuron</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En caso de envenenamiento, se sufre de irritación local y</w:t>
            </w:r>
            <w:r>
              <w:rPr>
                <w:rFonts w:ascii="Arial Narrow" w:hAnsi="Arial Narrow" w:cs="Calibri"/>
                <w:b/>
                <w:sz w:val="20"/>
                <w:szCs w:val="20"/>
                <w:lang w:val="es-GT"/>
              </w:rPr>
              <w:t> depresión en el sistema nervioso centra</w:t>
            </w:r>
            <w:r>
              <w:rPr>
                <w:rFonts w:ascii="Arial Narrow" w:hAnsi="Arial Narrow" w:cs="Calibri"/>
                <w:sz w:val="20"/>
                <w:szCs w:val="20"/>
                <w:lang w:val="es-GT"/>
              </w:rPr>
              <w:t>l. Se presenta náuseas, dolor   abdominal, tos, vértigo, vómito, disnea, confusión, salivación, contracciones estomacales y diarrea.</w:t>
            </w:r>
          </w:p>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Es inestable expuesto a llama directa, puede generar gases tóxicos en caso de incendio.</w:t>
            </w:r>
          </w:p>
        </w:tc>
      </w:tr>
      <w:tr w:rsidR="00B6121F">
        <w:trPr>
          <w:trHeight w:val="2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Fosetil</w:t>
            </w:r>
            <w:proofErr w:type="spellEnd"/>
            <w:r>
              <w:rPr>
                <w:rFonts w:ascii="Arial Narrow" w:hAnsi="Arial Narrow" w:cs="Calibri"/>
                <w:sz w:val="20"/>
                <w:szCs w:val="20"/>
              </w:rPr>
              <w:t> </w:t>
            </w:r>
            <w:proofErr w:type="spellStart"/>
            <w:r>
              <w:rPr>
                <w:rFonts w:ascii="Arial Narrow" w:hAnsi="Arial Narrow" w:cs="Calibri"/>
                <w:sz w:val="20"/>
                <w:szCs w:val="20"/>
              </w:rPr>
              <w:t>Aluminio</w:t>
            </w:r>
            <w:proofErr w:type="spellEnd"/>
            <w:r>
              <w:rPr>
                <w:rFonts w:ascii="Arial Narrow" w:hAnsi="Arial Narrow" w:cs="Calibri"/>
                <w:sz w:val="20"/>
                <w:szCs w:val="20"/>
              </w:rPr>
              <w:t> (</w:t>
            </w:r>
            <w:proofErr w:type="spellStart"/>
            <w:r>
              <w:rPr>
                <w:rFonts w:ascii="Arial Narrow" w:hAnsi="Arial Narrow" w:cs="Calibri"/>
                <w:sz w:val="20"/>
                <w:szCs w:val="20"/>
              </w:rPr>
              <w:t>Aliette</w:t>
            </w:r>
            <w:proofErr w:type="spellEnd"/>
            <w:r>
              <w:rPr>
                <w:rFonts w:ascii="Arial Narrow" w:hAnsi="Arial Narrow" w:cs="Calibri"/>
                <w:sz w:val="20"/>
                <w:szCs w:val="20"/>
              </w:rPr>
              <w:t>)</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Categoría IV.</w:t>
            </w:r>
            <w:r>
              <w:rPr>
                <w:rFonts w:ascii="Arial Narrow" w:hAnsi="Arial Narrow" w:cs="Calibri"/>
                <w:b/>
                <w:sz w:val="20"/>
                <w:szCs w:val="20"/>
                <w:lang w:val="es-GT"/>
              </w:rPr>
              <w:t> Tóxico a peces, organismos acuáticos y algas.</w:t>
            </w:r>
          </w:p>
        </w:tc>
      </w:tr>
      <w:tr w:rsidR="00B6121F">
        <w:trPr>
          <w:trHeight w:val="82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Paraquat (</w:t>
            </w:r>
            <w:proofErr w:type="spellStart"/>
            <w:r>
              <w:rPr>
                <w:rFonts w:ascii="Arial Narrow" w:hAnsi="Arial Narrow" w:cs="Calibri"/>
                <w:sz w:val="20"/>
                <w:szCs w:val="20"/>
              </w:rPr>
              <w:t>Gramoxone</w:t>
            </w:r>
            <w:proofErr w:type="spellEnd"/>
            <w:r>
              <w:rPr>
                <w:rFonts w:ascii="Arial Narrow" w:hAnsi="Arial Narrow" w:cs="Calibri"/>
                <w:sz w:val="20"/>
                <w:szCs w:val="20"/>
              </w:rPr>
              <w:t>) 2004</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eastAsia="Arial Narrow" w:hAnsi="Arial Narrow" w:cs="Arial Narrow"/>
                <w:sz w:val="20"/>
                <w:szCs w:val="20"/>
                <w:lang w:val="es-GT"/>
              </w:rPr>
              <w:t>Puede ser corrosivo a metales. Nocivo si se ingiere. Tóxico al contacto con la piel. Causa irritación a la piel. Causa serios daños a los ojos. Mortal si se inhala. Puede causar irritación al tracto respiratorio. Causa daño s a órganos por exposición prolongada o repetida. </w:t>
            </w:r>
          </w:p>
        </w:tc>
      </w:tr>
      <w:tr w:rsidR="00B6121F">
        <w:trPr>
          <w:trHeight w:val="14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Malathion</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Inflamable. Nocivo en contacto con la piel y por ingestión.  La sustancia puede causar efectos en el sistema nervioso por inhibición de la colinesterasa, dando </w:t>
            </w:r>
            <w:proofErr w:type="gramStart"/>
            <w:r>
              <w:rPr>
                <w:rFonts w:ascii="Arial Narrow" w:hAnsi="Arial Narrow" w:cs="Calibri"/>
                <w:sz w:val="20"/>
                <w:szCs w:val="20"/>
                <w:lang w:val="es-GT"/>
              </w:rPr>
              <w:t>lugar  a</w:t>
            </w:r>
            <w:proofErr w:type="gramEnd"/>
            <w:r>
              <w:rPr>
                <w:rFonts w:ascii="Arial Narrow" w:hAnsi="Arial Narrow" w:cs="Calibri"/>
                <w:sz w:val="20"/>
                <w:szCs w:val="20"/>
                <w:lang w:val="es-GT"/>
              </w:rPr>
              <w:t> convulsiones, fallo respiratorio y hasta muerte. </w:t>
            </w:r>
            <w:r>
              <w:rPr>
                <w:rFonts w:ascii="Arial Narrow" w:hAnsi="Arial Narrow" w:cs="Calibri"/>
                <w:b/>
                <w:sz w:val="20"/>
                <w:szCs w:val="20"/>
                <w:lang w:val="es-GT"/>
              </w:rPr>
              <w:t>Muy tóxico para los organismos acuáticos, </w:t>
            </w:r>
            <w:r>
              <w:rPr>
                <w:rFonts w:ascii="Arial Narrow" w:hAnsi="Arial Narrow" w:cs="Calibri"/>
                <w:sz w:val="20"/>
                <w:szCs w:val="20"/>
                <w:lang w:val="es-GT"/>
              </w:rPr>
              <w:t>puede provocar a largo plazo efectos negativos en el medio ambiente acuático. Esta sustancia puede ser peligrosa para el ambiente; debería prestarse atención especial a las abejas.</w:t>
            </w:r>
          </w:p>
        </w:tc>
      </w:tr>
      <w:tr w:rsidR="00B6121F">
        <w:trPr>
          <w:trHeight w:val="28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Mirex</w:t>
            </w:r>
            <w:proofErr w:type="spellEnd"/>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La producción es limitada a los países permitidos en el Registro y su uso restringido a termiticida por el convenio de Estocolmo.</w:t>
            </w:r>
          </w:p>
        </w:tc>
      </w:tr>
      <w:tr w:rsidR="00B6121F">
        <w:trPr>
          <w:trHeight w:val="104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Rhodax</w:t>
            </w:r>
            <w:proofErr w:type="spellEnd"/>
            <w:r>
              <w:rPr>
                <w:rFonts w:ascii="Arial Narrow" w:hAnsi="Arial Narrow" w:cs="Calibri"/>
                <w:sz w:val="20"/>
                <w:szCs w:val="20"/>
              </w:rPr>
              <w:t> 70 WP (</w:t>
            </w:r>
            <w:proofErr w:type="spellStart"/>
            <w:r>
              <w:rPr>
                <w:rFonts w:ascii="Arial Narrow" w:hAnsi="Arial Narrow" w:cs="Calibri"/>
                <w:sz w:val="20"/>
                <w:szCs w:val="20"/>
              </w:rPr>
              <w:t>Fosetil</w:t>
            </w:r>
            <w:proofErr w:type="spellEnd"/>
            <w:r>
              <w:rPr>
                <w:rFonts w:ascii="Arial Narrow" w:hAnsi="Arial Narrow" w:cs="Calibri"/>
                <w:sz w:val="20"/>
                <w:szCs w:val="20"/>
              </w:rPr>
              <w:t> Al + Mancozeb)</w:t>
            </w:r>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2011</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Irrita las vías respiratorias, posibilidad de sensibilización en contacto con la piel. </w:t>
            </w:r>
            <w:proofErr w:type="gramStart"/>
            <w:r>
              <w:rPr>
                <w:rFonts w:ascii="Arial Narrow" w:hAnsi="Arial Narrow" w:cs="Calibri"/>
                <w:sz w:val="20"/>
                <w:szCs w:val="20"/>
                <w:lang w:val="es-GT"/>
              </w:rPr>
              <w:t>No  se</w:t>
            </w:r>
            <w:proofErr w:type="gramEnd"/>
            <w:r>
              <w:rPr>
                <w:rFonts w:ascii="Arial Narrow" w:hAnsi="Arial Narrow" w:cs="Calibri"/>
                <w:sz w:val="20"/>
                <w:szCs w:val="20"/>
                <w:lang w:val="es-GT"/>
              </w:rPr>
              <w:t>  han  reportado  efectos  tóxicos  tras  la  exposición  ocupacional  al  fosetil aluminio  o mancozeb.</w:t>
            </w:r>
          </w:p>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b/>
                <w:sz w:val="20"/>
                <w:szCs w:val="20"/>
                <w:lang w:val="es-GT"/>
              </w:rPr>
              <w:t>Muy toxico para los organismos acuáticos,</w:t>
            </w:r>
            <w:r>
              <w:rPr>
                <w:rFonts w:ascii="Arial Narrow" w:hAnsi="Arial Narrow" w:cs="Calibri"/>
                <w:sz w:val="20"/>
                <w:szCs w:val="20"/>
                <w:lang w:val="es-GT"/>
              </w:rPr>
              <w:t> puede causar efectos irreversibles a largo plazo en el medio ambiente acuático.</w:t>
            </w:r>
          </w:p>
        </w:tc>
      </w:tr>
      <w:tr w:rsidR="00B6121F">
        <w:trPr>
          <w:trHeight w:val="40"/>
        </w:trPr>
        <w:tc>
          <w:tcPr>
            <w:tcW w:w="145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rPr>
            </w:pPr>
            <w:proofErr w:type="spellStart"/>
            <w:r>
              <w:rPr>
                <w:rFonts w:ascii="Arial Narrow" w:hAnsi="Arial Narrow" w:cs="Calibri"/>
                <w:sz w:val="20"/>
                <w:szCs w:val="20"/>
              </w:rPr>
              <w:t>Ridomil</w:t>
            </w:r>
            <w:proofErr w:type="spellEnd"/>
          </w:p>
          <w:p w:rsidR="00B6121F" w:rsidRDefault="009E4E97">
            <w:pPr>
              <w:pStyle w:val="NormalWeb"/>
              <w:spacing w:before="280" w:beforeAutospacing="0" w:after="280" w:afterAutospacing="0"/>
              <w:rPr>
                <w:rFonts w:ascii="Arial Narrow" w:hAnsi="Arial Narrow" w:hint="eastAsia"/>
                <w:sz w:val="20"/>
                <w:szCs w:val="20"/>
              </w:rPr>
            </w:pPr>
            <w:r>
              <w:rPr>
                <w:rFonts w:ascii="Arial Narrow" w:hAnsi="Arial Narrow" w:cs="Calibri"/>
                <w:sz w:val="20"/>
                <w:szCs w:val="20"/>
              </w:rPr>
              <w:t>2011</w:t>
            </w:r>
          </w:p>
        </w:tc>
        <w:tc>
          <w:tcPr>
            <w:tcW w:w="685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B6121F" w:rsidRDefault="009E4E97">
            <w:pPr>
              <w:pStyle w:val="NormalWeb"/>
              <w:spacing w:before="280" w:beforeAutospacing="0" w:after="280" w:afterAutospacing="0"/>
              <w:rPr>
                <w:rFonts w:ascii="Arial Narrow" w:hAnsi="Arial Narrow" w:hint="eastAsia"/>
                <w:sz w:val="20"/>
                <w:szCs w:val="20"/>
                <w:lang w:val="es-GT"/>
              </w:rPr>
            </w:pPr>
            <w:r>
              <w:rPr>
                <w:rFonts w:ascii="Arial Narrow" w:hAnsi="Arial Narrow" w:cs="Calibri"/>
                <w:sz w:val="20"/>
                <w:szCs w:val="20"/>
                <w:lang w:val="es-GT"/>
              </w:rPr>
              <w:t>Clase III. Producto moderadamente peligroso. </w:t>
            </w:r>
            <w:r>
              <w:rPr>
                <w:rFonts w:ascii="Arial Narrow" w:hAnsi="Arial Narrow" w:cs="Calibri"/>
                <w:b/>
                <w:sz w:val="20"/>
                <w:szCs w:val="20"/>
                <w:lang w:val="es-GT"/>
              </w:rPr>
              <w:t>Peligroso para la salud si es ingerido. </w:t>
            </w:r>
          </w:p>
          <w:p w:rsidR="00B6121F" w:rsidRDefault="009E4E97">
            <w:pPr>
              <w:pStyle w:val="NormalWeb"/>
              <w:spacing w:before="280" w:beforeAutospacing="0" w:after="280" w:afterAutospacing="0"/>
              <w:rPr>
                <w:rFonts w:ascii="Arial Narrow" w:hAnsi="Arial Narrow" w:hint="eastAsia"/>
                <w:sz w:val="20"/>
                <w:szCs w:val="20"/>
                <w:lang w:val="es-GT"/>
              </w:rPr>
            </w:pPr>
            <w:proofErr w:type="gramStart"/>
            <w:r>
              <w:rPr>
                <w:rFonts w:ascii="Arial Narrow" w:hAnsi="Arial Narrow" w:cs="Calibri"/>
                <w:b/>
                <w:sz w:val="20"/>
                <w:szCs w:val="20"/>
                <w:lang w:val="es-GT"/>
              </w:rPr>
              <w:t>Peligroso  para</w:t>
            </w:r>
            <w:proofErr w:type="gramEnd"/>
            <w:r>
              <w:rPr>
                <w:rFonts w:ascii="Arial Narrow" w:hAnsi="Arial Narrow" w:cs="Calibri"/>
                <w:b/>
                <w:sz w:val="20"/>
                <w:szCs w:val="20"/>
                <w:lang w:val="es-GT"/>
              </w:rPr>
              <w:t>  organismos  acuáticos</w:t>
            </w:r>
            <w:r>
              <w:rPr>
                <w:rFonts w:ascii="Arial Narrow" w:hAnsi="Arial Narrow" w:cs="Calibri"/>
                <w:sz w:val="20"/>
                <w:szCs w:val="20"/>
                <w:lang w:val="es-GT"/>
              </w:rPr>
              <w:t>,  puede  causar  efectos  adversos  a  largo  plazo  en  organismos acuáticos. Relativamente no tóxico para peces, aves, abejas, ligeramente tóxico para </w:t>
            </w:r>
            <w:proofErr w:type="gramStart"/>
            <w:r>
              <w:rPr>
                <w:rFonts w:ascii="Arial Narrow" w:hAnsi="Arial Narrow" w:cs="Calibri"/>
                <w:sz w:val="20"/>
                <w:szCs w:val="20"/>
                <w:lang w:val="es-GT"/>
              </w:rPr>
              <w:t>mamíferos..</w:t>
            </w:r>
            <w:proofErr w:type="gramEnd"/>
          </w:p>
        </w:tc>
      </w:tr>
    </w:tbl>
    <w:p w:rsidR="00B6121F" w:rsidRDefault="009E4E97">
      <w:r>
        <w:t>Fuente: instrumentos ambientales de explotaciones de palma de aceite en los departamentos de San Marcos, Quetzaltenango y Retalhuleu (información recopilada para el TLA)</w:t>
      </w:r>
    </w:p>
    <w:p w:rsidR="00B6121F" w:rsidRDefault="00B6121F"/>
    <w:p w:rsidR="00B6121F" w:rsidRDefault="00B6121F">
      <w:pPr>
        <w:rPr>
          <w:b/>
          <w:bCs/>
        </w:rPr>
      </w:pPr>
    </w:p>
    <w:p w:rsidR="009E4E97" w:rsidRDefault="009E4E97">
      <w:pPr>
        <w:rPr>
          <w:b/>
          <w:bCs/>
        </w:rPr>
      </w:pPr>
    </w:p>
    <w:p w:rsidR="009E4E97" w:rsidRDefault="009E4E97">
      <w:pPr>
        <w:rPr>
          <w:b/>
          <w:bCs/>
        </w:rPr>
      </w:pPr>
    </w:p>
    <w:p w:rsidR="009E4E97" w:rsidRDefault="009E4E97">
      <w:pPr>
        <w:rPr>
          <w:b/>
          <w:bCs/>
        </w:rPr>
      </w:pPr>
    </w:p>
    <w:p w:rsidR="009E4E97" w:rsidRDefault="009E4E97">
      <w:pPr>
        <w:rPr>
          <w:b/>
          <w:bCs/>
        </w:rPr>
      </w:pPr>
    </w:p>
    <w:p w:rsidR="009E4E97" w:rsidRDefault="009E4E97">
      <w:pPr>
        <w:rPr>
          <w:b/>
          <w:bCs/>
        </w:rPr>
      </w:pPr>
    </w:p>
    <w:p w:rsidR="009E4E97" w:rsidRDefault="009E4E97">
      <w:pPr>
        <w:rPr>
          <w:b/>
          <w:bCs/>
        </w:rPr>
      </w:pPr>
    </w:p>
    <w:p w:rsidR="009E4E97" w:rsidRDefault="009E4E97">
      <w:pPr>
        <w:rPr>
          <w:b/>
          <w:bCs/>
        </w:rPr>
      </w:pPr>
    </w:p>
    <w:p w:rsidR="00B6121F" w:rsidRDefault="009E4E97">
      <w:r>
        <w:rPr>
          <w:b/>
          <w:bCs/>
        </w:rPr>
        <w:lastRenderedPageBreak/>
        <w:t>Anexo 4: Asesinatos, amenazas y encarcelamiento de defensores de derechos humanos</w:t>
      </w:r>
    </w:p>
    <w:p w:rsidR="00B6121F" w:rsidRDefault="009E4E97">
      <w:pPr>
        <w:spacing w:after="0"/>
      </w:pPr>
      <w:r>
        <w:rPr>
          <w:noProof/>
        </w:rPr>
        <w:drawing>
          <wp:inline distT="0" distB="4445" distL="0" distR="9525">
            <wp:extent cx="5267325" cy="390080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1"/>
                    <a:stretch>
                      <a:fillRect/>
                    </a:stretch>
                  </pic:blipFill>
                  <pic:spPr bwMode="auto">
                    <a:xfrm>
                      <a:off x="0" y="0"/>
                      <a:ext cx="5267325" cy="3900805"/>
                    </a:xfrm>
                    <a:prstGeom prst="rect">
                      <a:avLst/>
                    </a:prstGeom>
                  </pic:spPr>
                </pic:pic>
              </a:graphicData>
            </a:graphic>
          </wp:inline>
        </w:drawing>
      </w:r>
    </w:p>
    <w:p w:rsidR="00B6121F" w:rsidRDefault="009E4E97">
      <w:r>
        <w:t xml:space="preserve">Fuente: </w:t>
      </w:r>
      <w:proofErr w:type="spellStart"/>
      <w:r>
        <w:t>Udefegua</w:t>
      </w:r>
      <w:proofErr w:type="spellEnd"/>
      <w:r>
        <w:t>, enero de 2015</w:t>
      </w:r>
    </w:p>
    <w:p w:rsidR="00B6121F" w:rsidRDefault="009E4E97">
      <w:r>
        <w:t>En 2016 se registraron 223 agresiones contra defensores y 14 asesinatos, de los cuales la mayoría quedaron en la impunidad</w:t>
      </w:r>
      <w:r>
        <w:rPr>
          <w:rStyle w:val="Ancladenotaalpie"/>
        </w:rPr>
        <w:footnoteReference w:id="4"/>
      </w:r>
      <w:r>
        <w:t>.</w:t>
      </w:r>
    </w:p>
    <w:p w:rsidR="00B6121F" w:rsidRDefault="00B6121F">
      <w:pPr>
        <w:keepNext/>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B6121F">
      <w:pPr>
        <w:overflowPunct w:val="0"/>
        <w:spacing w:after="0"/>
        <w:rPr>
          <w:b/>
          <w:bCs/>
        </w:rPr>
      </w:pPr>
    </w:p>
    <w:p w:rsidR="00B6121F" w:rsidRDefault="00640024">
      <w:pPr>
        <w:overflowPunct w:val="0"/>
        <w:spacing w:after="0"/>
        <w:rPr>
          <w:b/>
          <w:bCs/>
        </w:rPr>
      </w:pPr>
      <w:r>
        <w:rPr>
          <w:b/>
          <w:bCs/>
        </w:rPr>
        <w:lastRenderedPageBreak/>
        <w:t>NOTAS</w:t>
      </w:r>
    </w:p>
    <w:sectPr w:rsidR="00B6121F">
      <w:pgSz w:w="11906" w:h="16838"/>
      <w:pgMar w:top="1440" w:right="1800" w:bottom="1440" w:left="1800"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C89" w:rsidRDefault="00D80C89">
      <w:r>
        <w:separator/>
      </w:r>
    </w:p>
  </w:endnote>
  <w:endnote w:type="continuationSeparator" w:id="0">
    <w:p w:rsidR="00D80C89" w:rsidRDefault="00D80C89">
      <w:r>
        <w:continuationSeparator/>
      </w:r>
    </w:p>
  </w:endnote>
  <w:endnote w:id="1">
    <w:p w:rsidR="009E4E97" w:rsidRDefault="009E4E97">
      <w:pPr>
        <w:pStyle w:val="Textonotaalfinal"/>
      </w:pPr>
      <w:r>
        <w:rPr>
          <w:rStyle w:val="Refdenotaalfinal"/>
        </w:rPr>
        <w:endnoteRef/>
      </w:r>
      <w:r>
        <w:rPr>
          <w:rStyle w:val="Refdenotaalfinal"/>
        </w:rPr>
        <w:tab/>
      </w:r>
      <w:r>
        <w:t xml:space="preserve"> Acuerdo Gubernativo 372-2014 Política Agraria, SAA. Guatemala, 2014.</w:t>
      </w:r>
    </w:p>
  </w:endnote>
  <w:endnote w:id="2">
    <w:p w:rsidR="009E4E97" w:rsidRDefault="009E4E97">
      <w:pPr>
        <w:pStyle w:val="Textonotaalfinal"/>
      </w:pPr>
      <w:r>
        <w:rPr>
          <w:rStyle w:val="Refdenotaalfinal"/>
        </w:rPr>
        <w:endnoteRef/>
      </w:r>
      <w:r>
        <w:rPr>
          <w:rStyle w:val="Refdenotaalfinal"/>
        </w:rPr>
        <w:tab/>
      </w:r>
      <w:r>
        <w:t xml:space="preserve"> 1 manzana = 7,056 m</w:t>
      </w:r>
      <w:r>
        <w:rPr>
          <w:vertAlign w:val="superscript"/>
        </w:rPr>
        <w:t>2</w:t>
      </w:r>
    </w:p>
  </w:endnote>
  <w:endnote w:id="3">
    <w:p w:rsidR="009E4E97" w:rsidRDefault="009E4E97">
      <w:pPr>
        <w:pStyle w:val="Textonotaalfinal"/>
      </w:pPr>
      <w:r>
        <w:rPr>
          <w:rStyle w:val="Refdenotaalfinal"/>
        </w:rPr>
        <w:endnoteRef/>
      </w:r>
      <w:r>
        <w:rPr>
          <w:rStyle w:val="Refdenotaalfinal"/>
        </w:rPr>
        <w:tab/>
      </w:r>
      <w:r>
        <w:t xml:space="preserve"> 1 caballería = 441,000 m</w:t>
      </w:r>
      <w:r>
        <w:rPr>
          <w:vertAlign w:val="superscript"/>
        </w:rPr>
        <w:t>2</w:t>
      </w:r>
    </w:p>
  </w:endnote>
  <w:endnote w:id="4">
    <w:p w:rsidR="009E4E97" w:rsidRDefault="009E4E97">
      <w:pPr>
        <w:pStyle w:val="Textonotaalfinal"/>
      </w:pPr>
      <w:r>
        <w:rPr>
          <w:rStyle w:val="Refdenotaalfinal"/>
          <w:color w:val="00000A"/>
        </w:rPr>
        <w:endnoteRef/>
      </w:r>
      <w:r>
        <w:rPr>
          <w:rStyle w:val="Refdenotaalfinal"/>
          <w:color w:val="00000A"/>
        </w:rPr>
        <w:tab/>
      </w:r>
      <w:r>
        <w:rPr>
          <w:color w:val="00000A"/>
          <w:sz w:val="20"/>
          <w:szCs w:val="20"/>
        </w:rPr>
        <w:t xml:space="preserve"> </w:t>
      </w:r>
      <w:r>
        <w:t>Instituto nacional de estadística. IV Censo Nacional Agropecuario. 2003</w:t>
      </w:r>
      <w:r>
        <w:rPr>
          <w:color w:val="00000A"/>
        </w:rPr>
        <w:t>; PNUD. Más allá del conflicto, luchas por el Bienestar - Informe Nacional de Desarrollo Humano 2015/2016. 2016.</w:t>
      </w:r>
    </w:p>
  </w:endnote>
  <w:endnote w:id="5">
    <w:p w:rsidR="009E4E97" w:rsidRDefault="009E4E97" w:rsidP="0074558C">
      <w:pPr>
        <w:pStyle w:val="Textonotaalfinal"/>
      </w:pPr>
      <w:r>
        <w:endnoteRef/>
      </w:r>
      <w:r>
        <w:tab/>
        <w:t xml:space="preserve"> </w:t>
      </w:r>
      <w:r>
        <w:rPr>
          <w:color w:val="00000A"/>
        </w:rPr>
        <w:t xml:space="preserve">Mikkelsen, V. 2013 </w:t>
      </w:r>
      <w:r>
        <w:rPr>
          <w:i/>
          <w:color w:val="00000A"/>
        </w:rPr>
        <w:t>Guatemala: Comercio Exterior, Productividad Agrícola y Seguridad Alimentaria</w:t>
      </w:r>
      <w:r>
        <w:rPr>
          <w:color w:val="00000A"/>
        </w:rPr>
        <w:t>, documento de trabajo, Guatemala. Agosto 2013</w:t>
      </w:r>
    </w:p>
  </w:endnote>
  <w:endnote w:id="6">
    <w:p w:rsidR="00D30875" w:rsidRDefault="00D30875">
      <w:pPr>
        <w:pStyle w:val="Textonotaalfinal"/>
      </w:pPr>
      <w:r>
        <w:rPr>
          <w:rStyle w:val="Refdenotaalfinal"/>
        </w:rPr>
        <w:endnoteRef/>
      </w:r>
      <w:r>
        <w:t xml:space="preserve">  La producción de azúcar ocupa el 2° lugar de agroexportación en América Latina, y el 4° lugar a nivel mundial.</w:t>
      </w:r>
    </w:p>
  </w:endnote>
  <w:endnote w:id="7">
    <w:p w:rsidR="009E4E97" w:rsidRDefault="009E4E97" w:rsidP="0074558C">
      <w:r>
        <w:rPr>
          <w:rStyle w:val="Refdenotaalfinal"/>
        </w:rPr>
        <w:endnoteRef/>
      </w:r>
      <w:r>
        <w:rPr>
          <w:rStyle w:val="Refdenotaalfinal"/>
        </w:rPr>
        <w:tab/>
      </w:r>
      <w:r>
        <w:t xml:space="preserve"> Instituto nacional de estadística. República de Guatemala: Encuesta Nacional Agropecuaria 2014. </w:t>
      </w:r>
      <w:r>
        <w:rPr>
          <w:lang w:val="en-US"/>
        </w:rPr>
        <w:t>2015.</w:t>
      </w:r>
      <w:r>
        <w:t xml:space="preserve"> Ver también Anexo 4.</w:t>
      </w:r>
    </w:p>
  </w:endnote>
  <w:endnote w:id="8">
    <w:p w:rsidR="009E4E97" w:rsidRDefault="009E4E97">
      <w:pPr>
        <w:pStyle w:val="Textonotaalfinal"/>
      </w:pPr>
      <w:r>
        <w:rPr>
          <w:rStyle w:val="Refdenotaalfinal"/>
        </w:rPr>
        <w:endnoteRef/>
      </w:r>
      <w:r>
        <w:rPr>
          <w:rStyle w:val="Refdenotaalfinal"/>
        </w:rPr>
        <w:tab/>
      </w:r>
      <w:r>
        <w:t xml:space="preserve"> Decreto Ley 24-99, Ley del Fondo de Tierras. 8 de junio de 1999; se establece FONTIERRAS para “</w:t>
      </w:r>
      <w:r>
        <w:rPr>
          <w:i/>
        </w:rPr>
        <w:t>facilitar el acceso a la tierra y generar condiciones para el desarrollo rural integral y sostenible</w:t>
      </w:r>
      <w:r>
        <w:t>”.</w:t>
      </w:r>
    </w:p>
  </w:endnote>
  <w:endnote w:id="9">
    <w:p w:rsidR="009E4E97" w:rsidRDefault="009E4E97">
      <w:pPr>
        <w:pStyle w:val="Textonotaalfinal"/>
      </w:pPr>
      <w:r>
        <w:rPr>
          <w:rStyle w:val="Refdenotaalfinal"/>
        </w:rPr>
        <w:endnoteRef/>
      </w:r>
      <w:r>
        <w:rPr>
          <w:rStyle w:val="Refdenotaalfinal"/>
        </w:rPr>
        <w:tab/>
      </w:r>
      <w:r>
        <w:t xml:space="preserve"> A</w:t>
      </w:r>
      <w:r>
        <w:rPr>
          <w:color w:val="00000A"/>
        </w:rPr>
        <w:t xml:space="preserve">rtículo 25 del </w:t>
      </w:r>
      <w:r>
        <w:t>Acuerdo Gobernativo 199-2000, Reglamento de la Ley del Fondo de Tierras.</w:t>
      </w:r>
    </w:p>
  </w:endnote>
  <w:endnote w:id="10">
    <w:p w:rsidR="009E4E97" w:rsidRDefault="009E4E97">
      <w:pPr>
        <w:pStyle w:val="Textonotaalfinal"/>
      </w:pPr>
      <w:r>
        <w:rPr>
          <w:rStyle w:val="Refdenotaalfinal"/>
        </w:rPr>
        <w:endnoteRef/>
      </w:r>
      <w:r>
        <w:rPr>
          <w:rStyle w:val="Refdenotaalfinal"/>
        </w:rPr>
        <w:tab/>
      </w:r>
      <w:r>
        <w:t xml:space="preserve"> Datos FONTIERRAS.</w:t>
      </w:r>
    </w:p>
  </w:endnote>
  <w:endnote w:id="11">
    <w:p w:rsidR="009E4E97" w:rsidRDefault="009E4E97">
      <w:pPr>
        <w:pStyle w:val="Textonotaalfinal"/>
      </w:pPr>
      <w:r>
        <w:rPr>
          <w:rStyle w:val="Refdenotaalfinal"/>
        </w:rPr>
        <w:endnoteRef/>
      </w:r>
      <w:r>
        <w:rPr>
          <w:rStyle w:val="Refdenotaalfinal"/>
        </w:rPr>
        <w:tab/>
      </w:r>
      <w:r>
        <w:t xml:space="preserve"> Datos FONTIERRAS.</w:t>
      </w:r>
    </w:p>
  </w:endnote>
  <w:endnote w:id="12">
    <w:p w:rsidR="009E4E97" w:rsidRDefault="009E4E97">
      <w:pPr>
        <w:jc w:val="left"/>
      </w:pPr>
      <w:r>
        <w:rPr>
          <w:rStyle w:val="Refdenotaalfinal"/>
        </w:rPr>
        <w:endnoteRef/>
      </w:r>
      <w:r>
        <w:rPr>
          <w:rStyle w:val="Refdenotaalfinal"/>
        </w:rPr>
        <w:tab/>
      </w:r>
      <w:r>
        <w:t xml:space="preserve"> Granovski-Larsen, S. Entre las balas y el banco: Conflictos agrarios y acceso a la tierra en la Guatemala Neoliberal. Artículo publicado en Journal of Peasant Studies, pp. 325-350. 2013. Recuperado en http://www.academia.edu/8568027/Entre_las_balas_y_el_banco_Conflictos_agrarios_y_acceso_a_la_tierra_en_la_Guatemala_neoliberal</w:t>
      </w:r>
    </w:p>
  </w:endnote>
  <w:endnote w:id="13">
    <w:p w:rsidR="009E4E97" w:rsidRDefault="009E4E97">
      <w:pPr>
        <w:pStyle w:val="Textonotaalfinal"/>
      </w:pPr>
      <w:r>
        <w:rPr>
          <w:rStyle w:val="Refdenotaalfinal"/>
        </w:rPr>
        <w:endnoteRef/>
      </w:r>
      <w:r>
        <w:rPr>
          <w:rStyle w:val="Refdenotaalfinal"/>
        </w:rPr>
        <w:tab/>
      </w:r>
      <w:r>
        <w:t xml:space="preserve"> Datos FONTIERRAS.</w:t>
      </w:r>
    </w:p>
  </w:endnote>
  <w:endnote w:id="14">
    <w:p w:rsidR="009E4E97" w:rsidRDefault="009E4E97">
      <w:pPr>
        <w:pStyle w:val="Textonotaalfinal"/>
      </w:pPr>
      <w:r>
        <w:rPr>
          <w:rStyle w:val="Refdenotaalfinal"/>
        </w:rPr>
        <w:endnoteRef/>
      </w:r>
      <w:r>
        <w:rPr>
          <w:rStyle w:val="Refdenotaalfinal"/>
        </w:rPr>
        <w:tab/>
      </w:r>
      <w:r>
        <w:t xml:space="preserve"> Krishnamurthy, A., 2007.</w:t>
      </w:r>
    </w:p>
  </w:endnote>
  <w:endnote w:id="15">
    <w:p w:rsidR="009E4E97" w:rsidRDefault="009E4E97">
      <w:pPr>
        <w:pStyle w:val="Textonotaalfinal"/>
      </w:pPr>
      <w:r>
        <w:rPr>
          <w:rStyle w:val="Refdenotaalfinal"/>
        </w:rPr>
        <w:endnoteRef/>
      </w:r>
      <w:r>
        <w:rPr>
          <w:rStyle w:val="Refdenotaalfinal"/>
        </w:rPr>
        <w:tab/>
      </w:r>
      <w:r>
        <w:t xml:space="preserve"> CNOC, 2011 “Plan de actividades en favor de la Deuda Agraria”, documento de trabajo, Ciudad de Guatemala.</w:t>
      </w:r>
    </w:p>
  </w:endnote>
  <w:endnote w:id="16">
    <w:p w:rsidR="009E4E97" w:rsidRDefault="009E4E97">
      <w:pPr>
        <w:pStyle w:val="Textonotaalfinal"/>
      </w:pPr>
      <w:r>
        <w:rPr>
          <w:rStyle w:val="Refdenotaalfinal"/>
        </w:rPr>
        <w:endnoteRef/>
      </w:r>
      <w:r>
        <w:rPr>
          <w:rStyle w:val="Refdenotaalfinal"/>
        </w:rPr>
        <w:tab/>
      </w:r>
      <w:r>
        <w:t xml:space="preserve">  Ver Anexo 2.</w:t>
      </w:r>
    </w:p>
  </w:endnote>
  <w:endnote w:id="17">
    <w:p w:rsidR="009E4E97" w:rsidRDefault="009E4E97">
      <w:pPr>
        <w:pStyle w:val="Textonotaalfinal"/>
      </w:pPr>
      <w:r>
        <w:rPr>
          <w:rStyle w:val="Refdenotaalfinal"/>
        </w:rPr>
        <w:endnoteRef/>
      </w:r>
      <w:r>
        <w:rPr>
          <w:rStyle w:val="Refdenotaalfinal"/>
        </w:rPr>
        <w:tab/>
      </w:r>
      <w:r>
        <w:t xml:space="preserve"> Punto Resolutivo No.104-2012 del Consejo Directivo del FONTIERRAS.</w:t>
      </w:r>
    </w:p>
  </w:endnote>
  <w:endnote w:id="18">
    <w:p w:rsidR="009E4E97" w:rsidRDefault="009E4E97">
      <w:pPr>
        <w:pStyle w:val="Textonotaalfinal"/>
      </w:pPr>
      <w:r>
        <w:rPr>
          <w:rStyle w:val="Refdenotaalfinal"/>
        </w:rPr>
        <w:endnoteRef/>
      </w:r>
      <w:r>
        <w:rPr>
          <w:rStyle w:val="Refdenotaalfinal"/>
        </w:rPr>
        <w:tab/>
      </w:r>
      <w:r>
        <w:t xml:space="preserve"> Colectivo Social para el Derecho a la Alimentación. Informe alternativo del derecho a la alimentación en Guatemala - Monitoreo de las Directrices Voluntarias para el Derecho a la Alimentación 2014 - 2015. 2015.</w:t>
      </w:r>
    </w:p>
  </w:endnote>
  <w:endnote w:id="19">
    <w:p w:rsidR="009E4E97" w:rsidRDefault="009E4E97">
      <w:pPr>
        <w:pStyle w:val="Textonotaalfinal"/>
      </w:pPr>
      <w:r>
        <w:rPr>
          <w:rStyle w:val="Refdenotaalfinal"/>
        </w:rPr>
        <w:endnoteRef/>
      </w:r>
      <w:r>
        <w:rPr>
          <w:rStyle w:val="Refdenotaalfinal"/>
        </w:rPr>
        <w:tab/>
      </w:r>
      <w:r>
        <w:rPr>
          <w:lang w:val="en-US"/>
        </w:rPr>
        <w:t xml:space="preserve"> </w:t>
      </w:r>
      <w:r>
        <w:t xml:space="preserve">Los dos casos investigados son: </w:t>
      </w:r>
      <w:r>
        <w:rPr>
          <w:color w:val="00000A"/>
        </w:rPr>
        <w:t>14 expedientes de adjudicación de tierras tramitadas en el municipio de Morales, departamento de Izabal (https://www.fontierras.gob.gt/) y el despojo de al menos 28 fincas en el departamento de Petén por una estructura criminal con el apoyo de notarios y funcionarios de FONTIERRA (h</w:t>
      </w:r>
      <w:r>
        <w:rPr>
          <w:lang w:val="en-US"/>
        </w:rPr>
        <w:t>ttp://www.cicig.org/index.php?mact=News,cntnt01,detail,0&amp;cntnt01articleid=697&amp;cntnt01returnid=67</w:t>
      </w:r>
      <w:r>
        <w:t>)</w:t>
      </w:r>
    </w:p>
  </w:endnote>
  <w:endnote w:id="20">
    <w:p w:rsidR="009E4E97" w:rsidRDefault="009E4E97">
      <w:pPr>
        <w:pStyle w:val="Textonotaalfinal"/>
      </w:pPr>
      <w:r>
        <w:rPr>
          <w:rStyle w:val="Refdenotaalfinal"/>
        </w:rPr>
        <w:endnoteRef/>
      </w:r>
      <w:r>
        <w:rPr>
          <w:rStyle w:val="Refdenotaalfinal"/>
        </w:rPr>
        <w:tab/>
      </w:r>
      <w:r w:rsidRPr="00D871A4">
        <w:rPr>
          <w:i/>
        </w:rPr>
        <w:t xml:space="preserve"> Op. </w:t>
      </w:r>
      <w:proofErr w:type="spellStart"/>
      <w:r w:rsidRPr="00D871A4">
        <w:rPr>
          <w:i/>
        </w:rPr>
        <w:t>Cit</w:t>
      </w:r>
      <w:proofErr w:type="spellEnd"/>
      <w:r>
        <w:t xml:space="preserve"> ID-CONGCOOP 2016. Informe de monitoreo al presupuesto del MAGA. Enero-</w:t>
      </w:r>
      <w:r w:rsidR="00D871A4">
        <w:t>diciembre</w:t>
      </w:r>
      <w:r>
        <w:t xml:space="preserve"> 2016.Serviprensa. Ciudad de Guatemala.</w:t>
      </w:r>
    </w:p>
  </w:endnote>
  <w:endnote w:id="21">
    <w:p w:rsidR="009E4E97" w:rsidRDefault="009E4E97">
      <w:r>
        <w:rPr>
          <w:rStyle w:val="Refdenotaalfinal"/>
          <w:color w:val="00000A"/>
        </w:rPr>
        <w:endnoteRef/>
      </w:r>
      <w:r>
        <w:rPr>
          <w:rStyle w:val="Refdenotaalfinal"/>
          <w:color w:val="00000A"/>
        </w:rPr>
        <w:tab/>
      </w:r>
      <w:r>
        <w:rPr>
          <w:color w:val="00000A"/>
        </w:rPr>
        <w:t xml:space="preserve"> Decreto 50-2016, </w:t>
      </w:r>
      <w:r>
        <w:t>Ley de Presupuesto General de Ingresos y Egresos del Estado para el Ejercicio Fiscal 2017.</w:t>
      </w:r>
    </w:p>
  </w:endnote>
  <w:endnote w:id="22">
    <w:p w:rsidR="009E4E97" w:rsidRDefault="009E4E97">
      <w:pPr>
        <w:pStyle w:val="Textonotaalfinal"/>
      </w:pPr>
      <w:r>
        <w:rPr>
          <w:rStyle w:val="Refdenotaalfinal"/>
        </w:rPr>
        <w:endnoteRef/>
      </w:r>
      <w:r>
        <w:rPr>
          <w:rStyle w:val="Refdenotaalfinal"/>
        </w:rPr>
        <w:tab/>
      </w:r>
      <w:r>
        <w:t xml:space="preserve"> El caso del Bodegón se refiere a la compra </w:t>
      </w:r>
      <w:r>
        <w:rPr>
          <w:color w:val="00000A"/>
        </w:rPr>
        <w:t>de granos básicos de contrabando aduanero (</w:t>
      </w:r>
      <w:r>
        <w:t>https://www.youtube.com/watch?v=ITn_BAyJAsI; https://es.wikipedia.org/wiki/Caso_El_Bodeg%C3%B3n_en_Guatemala)</w:t>
      </w:r>
    </w:p>
  </w:endnote>
  <w:endnote w:id="23">
    <w:p w:rsidR="009E4E97" w:rsidRDefault="009E4E97">
      <w:pPr>
        <w:pStyle w:val="Textonotaalfinal"/>
      </w:pPr>
      <w:r>
        <w:rPr>
          <w:rStyle w:val="Refdenotaalfinal"/>
        </w:rPr>
        <w:endnoteRef/>
      </w:r>
      <w:r>
        <w:rPr>
          <w:rStyle w:val="Refdenotaalfinal"/>
        </w:rPr>
        <w:tab/>
      </w:r>
      <w:r>
        <w:t xml:space="preserve"> Decreto No. 41-2005, Ley del Registro de Información Catastral. 15 de junio de 2005.</w:t>
      </w:r>
    </w:p>
  </w:endnote>
  <w:endnote w:id="24">
    <w:p w:rsidR="009E4E97" w:rsidRDefault="009E4E97">
      <w:pPr>
        <w:pStyle w:val="Textonotaalfinal"/>
        <w:snapToGrid w:val="0"/>
      </w:pPr>
      <w:r>
        <w:rPr>
          <w:rStyle w:val="Refdenotaalfinal"/>
        </w:rPr>
        <w:endnoteRef/>
      </w:r>
      <w:r>
        <w:rPr>
          <w:rStyle w:val="Refdenotaalfinal"/>
        </w:rPr>
        <w:tab/>
      </w:r>
      <w:r>
        <w:t xml:space="preserve"> </w:t>
      </w:r>
      <w:r>
        <w:rPr>
          <w:color w:val="00000A"/>
        </w:rPr>
        <w:t>La titulación especial hace referencia a aquellas propiedades cuya única irregularidad presentada se refiere a no haber sido inscritas en el Registro General de la Propiedad (RGP), y no aplica en casos en los que una parcela está cubierta con un registro existente. En el primer caso, el RIC debe reunir la documentación para la inscripción en el RGP, y su publicación en el Diario de Centroamérica, para indicar que el proceso de registro se encuentra en marcha.</w:t>
      </w:r>
    </w:p>
  </w:endnote>
  <w:endnote w:id="25">
    <w:p w:rsidR="009E4E97" w:rsidRDefault="009E4E97">
      <w:pPr>
        <w:pStyle w:val="Textonotaalfinal"/>
      </w:pPr>
      <w:r>
        <w:rPr>
          <w:rStyle w:val="Refdenotaalfinal"/>
        </w:rPr>
        <w:endnoteRef/>
      </w:r>
      <w:r>
        <w:rPr>
          <w:rStyle w:val="Refdenotaalfinal"/>
        </w:rPr>
        <w:tab/>
      </w:r>
      <w:r>
        <w:t xml:space="preserve"> Para la fase I en el 2009, únicamente 20 municipios habían sido declarados zonas catastrales, o sea, no habían sido catastradas aún y para la fase II, http://www.ric.gob.gt/proyectos/programa-de-administracion-de-tierras-fase-ii-pat-ii</w:t>
      </w:r>
    </w:p>
  </w:endnote>
  <w:endnote w:id="26">
    <w:p w:rsidR="009E4E97" w:rsidRDefault="009E4E97">
      <w:pPr>
        <w:pStyle w:val="Textonotaalfinal"/>
      </w:pPr>
      <w:r>
        <w:rPr>
          <w:rStyle w:val="Refdenotaalfinal"/>
        </w:rPr>
        <w:endnoteRef/>
      </w:r>
      <w:r>
        <w:rPr>
          <w:rStyle w:val="Refdenotaalfinal"/>
        </w:rPr>
        <w:tab/>
      </w:r>
      <w:r>
        <w:t xml:space="preserve"> </w:t>
      </w:r>
      <w:proofErr w:type="spellStart"/>
      <w:r>
        <w:t>Winkler</w:t>
      </w:r>
      <w:proofErr w:type="spellEnd"/>
      <w:r>
        <w:t>, K. Estudio de seguimiento al proceso de implementación del Registro de Información Catastral (RIC); documento de trabajo, CONGCOOP. 2009.</w:t>
      </w:r>
    </w:p>
  </w:endnote>
  <w:endnote w:id="27">
    <w:p w:rsidR="009E4E97" w:rsidRDefault="009E4E97">
      <w:pPr>
        <w:pStyle w:val="Textonotaalfinal"/>
      </w:pPr>
      <w:r>
        <w:rPr>
          <w:rStyle w:val="Refdenotaalfinal"/>
        </w:rPr>
        <w:endnoteRef/>
      </w:r>
      <w:r>
        <w:rPr>
          <w:rStyle w:val="Refdenotaalfinal"/>
        </w:rPr>
        <w:tab/>
      </w:r>
      <w:r>
        <w:t xml:space="preserve"> PERT-FAUSAC. Importancia del catastro en las tierras comunales (Presentación en el marco de la iniciativa de Derechos y Recursos-RRI-). 2012.</w:t>
      </w:r>
    </w:p>
  </w:endnote>
  <w:endnote w:id="28">
    <w:p w:rsidR="009E4E97" w:rsidRDefault="009E4E97">
      <w:pPr>
        <w:pStyle w:val="Textonotaalfinal"/>
      </w:pPr>
      <w:r>
        <w:rPr>
          <w:rStyle w:val="Refdenotaalfinal"/>
        </w:rPr>
        <w:endnoteRef/>
      </w:r>
      <w:r>
        <w:rPr>
          <w:rStyle w:val="Refdenotaalfinal"/>
        </w:rPr>
        <w:tab/>
      </w:r>
      <w:r>
        <w:t xml:space="preserve"> Resolución 123-001-2009, Reglamento Específico para Reconocimiento y Declaración de Tierras Comunales. 18 de mayo de 2009.</w:t>
      </w:r>
    </w:p>
  </w:endnote>
  <w:endnote w:id="29">
    <w:p w:rsidR="009E4E97" w:rsidRDefault="009E4E97">
      <w:pPr>
        <w:pStyle w:val="Textonotaalfinal"/>
      </w:pPr>
      <w:r>
        <w:rPr>
          <w:rStyle w:val="Refdenotaalfinal"/>
        </w:rPr>
        <w:endnoteRef/>
      </w:r>
      <w:r>
        <w:rPr>
          <w:rStyle w:val="Refdenotaalfinal"/>
        </w:rPr>
        <w:tab/>
      </w:r>
      <w:r>
        <w:t xml:space="preserve"> Decreto Ley Número 106 del 14 de septiembre de1963 y sus reformas.</w:t>
      </w:r>
    </w:p>
  </w:endnote>
  <w:endnote w:id="30">
    <w:p w:rsidR="009E4E97" w:rsidRDefault="009E4E97">
      <w:pPr>
        <w:pStyle w:val="Textonotaalfinal"/>
      </w:pPr>
      <w:r>
        <w:rPr>
          <w:rStyle w:val="Refdenotaalfinal"/>
        </w:rPr>
        <w:endnoteRef/>
      </w:r>
      <w:r>
        <w:rPr>
          <w:rStyle w:val="Refdenotaalfinal"/>
        </w:rPr>
        <w:tab/>
      </w:r>
      <w:r>
        <w:t xml:space="preserve">  CNOC. Inconstitucionalidad parcial de ley de carácter general por omisión nueva, Guatemala, presentada el 26 de enero 2012.</w:t>
      </w:r>
    </w:p>
  </w:endnote>
  <w:endnote w:id="31">
    <w:p w:rsidR="009E4E97" w:rsidRDefault="009E4E97">
      <w:pPr>
        <w:pStyle w:val="Textonotaalfinal"/>
      </w:pPr>
      <w:r>
        <w:rPr>
          <w:rStyle w:val="Refdenotaalfinal"/>
        </w:rPr>
        <w:endnoteRef/>
      </w:r>
      <w:r>
        <w:rPr>
          <w:rStyle w:val="Refdenotaalfinal"/>
        </w:rPr>
        <w:tab/>
      </w:r>
      <w:r>
        <w:t xml:space="preserve"> CNP-Tierra y CONGCOOP (Peralta, O. </w:t>
      </w:r>
      <w:proofErr w:type="spellStart"/>
      <w:r>
        <w:t>comp.</w:t>
      </w:r>
      <w:proofErr w:type="spellEnd"/>
      <w:r>
        <w:t xml:space="preserve">). Compendio de propuestas de ley para la solución de la problemática agraria en Guatemala, </w:t>
      </w:r>
      <w:proofErr w:type="spellStart"/>
      <w:r>
        <w:t>MagnaTerra</w:t>
      </w:r>
      <w:proofErr w:type="spellEnd"/>
      <w:r>
        <w:t xml:space="preserve"> Editores, Ciudad de Guatemala. 2005.</w:t>
      </w:r>
    </w:p>
  </w:endnote>
  <w:endnote w:id="32">
    <w:p w:rsidR="009E4E97" w:rsidRDefault="009E4E97">
      <w:pPr>
        <w:pStyle w:val="Textonotaalfinal"/>
      </w:pPr>
      <w:r>
        <w:rPr>
          <w:rStyle w:val="Refdenotaalfinal"/>
        </w:rPr>
        <w:endnoteRef/>
      </w:r>
      <w:r>
        <w:rPr>
          <w:rStyle w:val="Refdenotaalfinal"/>
        </w:rPr>
        <w:tab/>
      </w:r>
      <w:r>
        <w:t xml:space="preserve"> Acuerdo Gubernativo 136-2002, creación de la Secretaría de Asuntos Agrarios de la Presidencia de la República. 29 de abril de 2002.</w:t>
      </w:r>
    </w:p>
  </w:endnote>
  <w:endnote w:id="33">
    <w:p w:rsidR="009E4E97" w:rsidRDefault="009E4E97">
      <w:r>
        <w:rPr>
          <w:rStyle w:val="Refdenotaalfinal"/>
        </w:rPr>
        <w:endnoteRef/>
      </w:r>
      <w:r>
        <w:rPr>
          <w:rStyle w:val="Refdenotaalfinal"/>
        </w:rPr>
        <w:tab/>
      </w:r>
      <w:r>
        <w:t xml:space="preserve"> Acuerdo Gubernativo 32-2003, creación de la Unidad Presidencial para la Resolución de Conflictos (UPRECO). 10 de febrero de 2003.</w:t>
      </w:r>
    </w:p>
  </w:endnote>
  <w:endnote w:id="34">
    <w:p w:rsidR="009E4E97" w:rsidRDefault="009E4E97">
      <w:pPr>
        <w:pStyle w:val="Textonotaalfinal"/>
      </w:pPr>
      <w:r>
        <w:rPr>
          <w:rStyle w:val="Refdenotaalfinal"/>
        </w:rPr>
        <w:endnoteRef/>
      </w:r>
      <w:r>
        <w:rPr>
          <w:rStyle w:val="Refdenotaalfinal"/>
        </w:rPr>
        <w:tab/>
      </w:r>
      <w:r>
        <w:t xml:space="preserve"> Estadísticas y datos proporcionados por la SAA.</w:t>
      </w:r>
    </w:p>
  </w:endnote>
  <w:endnote w:id="35">
    <w:p w:rsidR="009E4E97" w:rsidRDefault="009E4E97">
      <w:pPr>
        <w:pStyle w:val="Textonotaalfinal"/>
      </w:pPr>
      <w:r>
        <w:rPr>
          <w:rStyle w:val="Refdenotaalfinal"/>
        </w:rPr>
        <w:endnoteRef/>
      </w:r>
      <w:r>
        <w:rPr>
          <w:rStyle w:val="Refdenotaalfinal"/>
        </w:rPr>
        <w:tab/>
      </w:r>
      <w:r>
        <w:t xml:space="preserve"> Pastoral Social de la Diócesis de San Marcos. Conflictividad Agraria, Ambiental y Laboral - una mirada desde el campesinado, en la Revista Hacia </w:t>
      </w:r>
      <w:proofErr w:type="spellStart"/>
      <w:r>
        <w:t>donde</w:t>
      </w:r>
      <w:proofErr w:type="spellEnd"/>
      <w:r>
        <w:t xml:space="preserve"> Vamos. 2012.</w:t>
      </w:r>
    </w:p>
  </w:endnote>
  <w:endnote w:id="36">
    <w:p w:rsidR="009E4E97" w:rsidRDefault="009E4E97">
      <w:pPr>
        <w:pStyle w:val="Textonotaalfinal"/>
        <w:snapToGrid w:val="0"/>
      </w:pPr>
      <w:r>
        <w:rPr>
          <w:rStyle w:val="Refdenotaalfinal"/>
        </w:rPr>
        <w:endnoteRef/>
      </w:r>
      <w:r>
        <w:rPr>
          <w:rStyle w:val="Refdenotaalfinal"/>
        </w:rPr>
        <w:tab/>
      </w:r>
      <w:r>
        <w:t xml:space="preserve"> La presión sobre el recurso tierra ha obligado a la población más desfavorecida a vivir en zonas de alto riesgo ambiental que se amplifican en un país como Guatemala sujeto a terremotos y eventos climáticos extremos, cuyos efectos se amplifican con el riesgo construido por la falta de planificación y ordenamiento territorial. A pesar de que puedan existir estudios de habilitad por parte de la Coordinadora Nacional para la Reducción de Desastres (CONRED) y que sea obligación de las entidades de gobierno de cooperar  para anticipar desastres, ejemplos como la tragedia del Cambray II (https://www.plazapublica.com.gt/content/el-cambray-ii-el-luto-eterno) o las demandas realizadas por las comunidades de Carrizales, Italia y </w:t>
      </w:r>
      <w:proofErr w:type="spellStart"/>
      <w:r>
        <w:t>Yalú</w:t>
      </w:r>
      <w:proofErr w:type="spellEnd"/>
      <w:r>
        <w:t xml:space="preserve"> del departamento de San Marcos muestran la imposibilidad de encontrar soluciones previas a desastres.</w:t>
      </w:r>
    </w:p>
  </w:endnote>
  <w:endnote w:id="37">
    <w:p w:rsidR="009E4E97" w:rsidRDefault="009E4E97">
      <w:pPr>
        <w:pStyle w:val="Textonotaalfinal"/>
      </w:pPr>
      <w:r>
        <w:rPr>
          <w:rStyle w:val="Refdenotaalfinal"/>
        </w:rPr>
        <w:endnoteRef/>
      </w:r>
      <w:r>
        <w:rPr>
          <w:rStyle w:val="Refdenotaalfinal"/>
        </w:rPr>
        <w:tab/>
      </w:r>
      <w:r>
        <w:t xml:space="preserve"> URNG. </w:t>
      </w:r>
      <w:proofErr w:type="gramStart"/>
      <w:r>
        <w:t>Interpelación  a</w:t>
      </w:r>
      <w:proofErr w:type="gramEnd"/>
      <w:r>
        <w:t xml:space="preserve"> Registro de Información Catastral, Ministerio Público, Ministerio de Defensa, Ministerio de Gobernación, Secretaría de Asuntos Agrario y la Comisión Presidencial coordinadora de la Política del Ejecutivo en materia de Derechos Humanos;  en el Boletín informativo URNG-MAIZ. 22 marzo 2011. Ver también: https://www.youtube.com/watch?v=rgpEvC94OM0.</w:t>
      </w:r>
    </w:p>
  </w:endnote>
  <w:endnote w:id="38">
    <w:p w:rsidR="009E4E97" w:rsidRDefault="009E4E97" w:rsidP="00D871A4">
      <w:pPr>
        <w:jc w:val="left"/>
      </w:pPr>
      <w:r>
        <w:rPr>
          <w:rStyle w:val="Refdenotaalfinal"/>
        </w:rPr>
        <w:endnoteRef/>
      </w:r>
      <w:r>
        <w:rPr>
          <w:rStyle w:val="Refdenotaalfinal"/>
        </w:rPr>
        <w:tab/>
      </w:r>
      <w:r>
        <w:t xml:space="preserve"> ACNUDH. Informe anual de la Alta Comisionada de las Naciones Unidas para los Derechos Humanos sobre las actividades de su oficina en Guatemala; en A/HRC/19/21/Add.1, 2012, consultado en </w:t>
      </w:r>
      <w:hyperlink r:id="rId1">
        <w:r>
          <w:rPr>
            <w:rStyle w:val="EnlacedeInternet"/>
          </w:rPr>
          <w:t>http://www.ohchr.org/Documents/HRBodies/HRCouncil/RegularSession/Session19/A.HRC.19.21.Add.1_sp.pdf.</w:t>
        </w:r>
      </w:hyperlink>
      <w:r>
        <w:t xml:space="preserve"> </w:t>
      </w:r>
    </w:p>
  </w:endnote>
  <w:endnote w:id="39">
    <w:p w:rsidR="009E4E97" w:rsidRDefault="009E4E97">
      <w:pPr>
        <w:pStyle w:val="Textonotaalfinal"/>
      </w:pPr>
      <w:r>
        <w:rPr>
          <w:rStyle w:val="Refdenotaalfinal"/>
        </w:rPr>
        <w:endnoteRef/>
      </w:r>
      <w:r>
        <w:rPr>
          <w:rStyle w:val="Refdenotaalfinal"/>
        </w:rPr>
        <w:tab/>
      </w:r>
      <w:r>
        <w:t xml:space="preserve"> Medidas Cautelares 121-11 otorgadas por la Comisión Interamericana de Derechos Humanos</w:t>
      </w:r>
    </w:p>
  </w:endnote>
  <w:endnote w:id="40">
    <w:p w:rsidR="009E4E97" w:rsidRDefault="009E4E97">
      <w:pPr>
        <w:pStyle w:val="Textonotaalfinal"/>
      </w:pPr>
      <w:r>
        <w:rPr>
          <w:rStyle w:val="Refdenotaalfinal"/>
        </w:rPr>
        <w:endnoteRef/>
      </w:r>
      <w:r>
        <w:rPr>
          <w:rStyle w:val="Refdenotaalfinal"/>
        </w:rPr>
        <w:tab/>
      </w:r>
      <w:r>
        <w:t xml:space="preserve"> Comunicado http://www.fgtoriello.org.gt/detencion-de-abelino-chub-caal/</w:t>
      </w:r>
    </w:p>
  </w:endnote>
  <w:endnote w:id="41">
    <w:p w:rsidR="008D5FDF" w:rsidRDefault="008D5FDF">
      <w:pPr>
        <w:pStyle w:val="Textonotaalfinal"/>
      </w:pPr>
      <w:r>
        <w:rPr>
          <w:rStyle w:val="Refdenotaalfinal"/>
        </w:rPr>
        <w:endnoteRef/>
      </w:r>
      <w:r>
        <w:t xml:space="preserve"> </w:t>
      </w:r>
      <w:hyperlink r:id="rId2" w:history="1">
        <w:r w:rsidRPr="008C7B73">
          <w:rPr>
            <w:rStyle w:val="Hipervnculo"/>
          </w:rPr>
          <w:t>http://www.azucar.com.gt/azucar-de-guatemala-en-el-mundo</w:t>
        </w:r>
      </w:hyperlink>
      <w:r>
        <w:t xml:space="preserve">. Es importante mencionar, que esta cifra </w:t>
      </w:r>
      <w:r w:rsidR="00D30875">
        <w:t xml:space="preserve">se ha más que duplicado </w:t>
      </w:r>
      <w:r>
        <w:t>recientemente: de 35,000 empleos directos en 2013 a 82,000 en 2018.</w:t>
      </w:r>
    </w:p>
  </w:endnote>
  <w:endnote w:id="42">
    <w:p w:rsidR="009E4E97" w:rsidRDefault="009E4E97">
      <w:pPr>
        <w:pStyle w:val="Textonotaalfinal"/>
      </w:pPr>
      <w:r>
        <w:rPr>
          <w:rStyle w:val="Refdenotaalfinal"/>
        </w:rPr>
        <w:endnoteRef/>
      </w:r>
      <w:r>
        <w:t xml:space="preserve"> </w:t>
      </w:r>
      <w:r w:rsidRPr="009E4E97">
        <w:t xml:space="preserve">CODECA 2013 (Quispe, J.: Gudiel A., M.; Vay G., L.) 2013 </w:t>
      </w:r>
      <w:r w:rsidR="00D30875" w:rsidRPr="009E4E97">
        <w:t>Situación</w:t>
      </w:r>
      <w:r w:rsidRPr="009E4E97">
        <w:t xml:space="preserve"> laboral de trabajadores agrícolas en Guatemala, </w:t>
      </w:r>
      <w:proofErr w:type="spellStart"/>
      <w:r w:rsidRPr="009E4E97">
        <w:rPr>
          <w:i/>
        </w:rPr>
        <w:t>Rukemik</w:t>
      </w:r>
      <w:proofErr w:type="spellEnd"/>
      <w:r w:rsidRPr="009E4E97">
        <w:rPr>
          <w:i/>
        </w:rPr>
        <w:t xml:space="preserve"> </w:t>
      </w:r>
      <w:proofErr w:type="spellStart"/>
      <w:r w:rsidRPr="009E4E97">
        <w:rPr>
          <w:i/>
        </w:rPr>
        <w:t>Na’ojil</w:t>
      </w:r>
      <w:proofErr w:type="spellEnd"/>
      <w:r w:rsidRPr="009E4E97">
        <w:t>, Guatemala.</w:t>
      </w:r>
    </w:p>
  </w:endnote>
  <w:endnote w:id="43">
    <w:p w:rsidR="009E4E97" w:rsidRDefault="009E4E97">
      <w:pPr>
        <w:pStyle w:val="Textonotaalfinal"/>
      </w:pPr>
      <w:r>
        <w:rPr>
          <w:rStyle w:val="Refdenotaalfinal"/>
        </w:rPr>
        <w:endnoteRef/>
      </w:r>
      <w:r>
        <w:t xml:space="preserve"> </w:t>
      </w:r>
      <w:r w:rsidRPr="009E4E97">
        <w:t>Programa</w:t>
      </w:r>
      <w:r w:rsidRPr="009E4E97">
        <w:tab/>
        <w:t>de</w:t>
      </w:r>
      <w:r w:rsidRPr="009E4E97">
        <w:tab/>
        <w:t>las</w:t>
      </w:r>
      <w:r w:rsidRPr="009E4E97">
        <w:tab/>
        <w:t>Naciones</w:t>
      </w:r>
      <w:r w:rsidRPr="009E4E97">
        <w:tab/>
        <w:t>Unidas</w:t>
      </w:r>
      <w:r w:rsidRPr="009E4E97">
        <w:tab/>
        <w:t>para</w:t>
      </w:r>
      <w:r w:rsidRPr="009E4E97">
        <w:tab/>
        <w:t>el</w:t>
      </w:r>
      <w:r w:rsidRPr="009E4E97">
        <w:tab/>
        <w:t>Desarrollo</w:t>
      </w:r>
      <w:r w:rsidRPr="009E4E97">
        <w:tab/>
        <w:t>(PNUD) 2012.</w:t>
      </w:r>
      <w:r w:rsidRPr="009E4E97">
        <w:tab/>
        <w:t>Informe</w:t>
      </w:r>
      <w:r w:rsidRPr="009E4E97">
        <w:tab/>
        <w:t>Nacional</w:t>
      </w:r>
      <w:r w:rsidRPr="009E4E97">
        <w:tab/>
        <w:t>de</w:t>
      </w:r>
      <w:r w:rsidRPr="009E4E97">
        <w:tab/>
        <w:t>Desarrollo</w:t>
      </w:r>
      <w:r w:rsidRPr="009E4E97">
        <w:tab/>
        <w:t>Humano</w:t>
      </w:r>
      <w:r w:rsidRPr="009E4E97">
        <w:tab/>
        <w:t>2011/2012:</w:t>
      </w:r>
      <w:r w:rsidRPr="009E4E97">
        <w:tab/>
        <w:t>Guatemala,</w:t>
      </w:r>
      <w:r w:rsidRPr="009E4E97">
        <w:tab/>
        <w:t>¿un</w:t>
      </w:r>
      <w:r w:rsidRPr="009E4E97">
        <w:tab/>
        <w:t>país</w:t>
      </w:r>
      <w:r w:rsidRPr="009E4E97">
        <w:tab/>
        <w:t>de</w:t>
      </w:r>
      <w:r w:rsidRPr="009E4E97">
        <w:tab/>
        <w:t>oportunidades</w:t>
      </w:r>
      <w:r w:rsidRPr="009E4E97">
        <w:tab/>
        <w:t>para</w:t>
      </w:r>
      <w:r w:rsidRPr="009E4E97">
        <w:tab/>
        <w:t>la</w:t>
      </w:r>
      <w:r w:rsidRPr="009E4E97">
        <w:tab/>
        <w:t>juventud?,</w:t>
      </w:r>
      <w:r w:rsidRPr="009E4E97">
        <w:tab/>
        <w:t>Guatemala</w:t>
      </w:r>
      <w:r w:rsidR="00D871A4">
        <w:t>.</w:t>
      </w:r>
    </w:p>
  </w:endnote>
  <w:endnote w:id="44">
    <w:p w:rsidR="009E4E97" w:rsidRDefault="009E4E97">
      <w:pPr>
        <w:pStyle w:val="Textonotaalfinal"/>
      </w:pPr>
      <w:r>
        <w:rPr>
          <w:rStyle w:val="Refdenotaalfinal"/>
        </w:rPr>
        <w:endnoteRef/>
      </w:r>
      <w:r>
        <w:t xml:space="preserve"> </w:t>
      </w:r>
      <w:proofErr w:type="spellStart"/>
      <w:r w:rsidRPr="009E4E97">
        <w:rPr>
          <w:i/>
        </w:rPr>
        <w:t>Op.Cit</w:t>
      </w:r>
      <w:proofErr w:type="spellEnd"/>
      <w:r w:rsidRPr="009E4E97">
        <w:rPr>
          <w:i/>
        </w:rPr>
        <w:t>.</w:t>
      </w:r>
      <w:r w:rsidRPr="009E4E97">
        <w:t xml:space="preserve"> 2013</w:t>
      </w:r>
    </w:p>
  </w:endnote>
  <w:endnote w:id="45">
    <w:p w:rsidR="009E4E97" w:rsidRDefault="009E4E97">
      <w:pPr>
        <w:pStyle w:val="Textonotaalfinal"/>
      </w:pPr>
      <w:r>
        <w:rPr>
          <w:rStyle w:val="Refdenotaalfinal"/>
        </w:rPr>
        <w:endnoteRef/>
      </w:r>
      <w:r>
        <w:t xml:space="preserve"> </w:t>
      </w:r>
      <w:r w:rsidRPr="009E4E97">
        <w:rPr>
          <w:i/>
        </w:rPr>
        <w:t>Ibid</w:t>
      </w:r>
      <w:r w:rsidRPr="009E4E97">
        <w:t>. 2013</w:t>
      </w:r>
    </w:p>
  </w:endnote>
  <w:endnote w:id="46">
    <w:p w:rsidR="00F62EC2" w:rsidRDefault="00F62EC2">
      <w:pPr>
        <w:pStyle w:val="Textonotaalfinal"/>
      </w:pPr>
      <w:r>
        <w:rPr>
          <w:rStyle w:val="Refdenotaalfinal"/>
        </w:rPr>
        <w:endnoteRef/>
      </w:r>
      <w:r>
        <w:t xml:space="preserve"> </w:t>
      </w:r>
      <w:r w:rsidRPr="00F62EC2">
        <w:rPr>
          <w:i/>
        </w:rPr>
        <w:t>Ibid</w:t>
      </w:r>
      <w:r w:rsidRPr="00F62EC2">
        <w:t xml:space="preserve">. 2013; </w:t>
      </w:r>
      <w:proofErr w:type="spellStart"/>
      <w:r w:rsidRPr="00F62EC2">
        <w:t>Winkler</w:t>
      </w:r>
      <w:proofErr w:type="spellEnd"/>
      <w:r w:rsidRPr="00F62EC2">
        <w:t>, K. 2013</w:t>
      </w:r>
      <w:r w:rsidR="00D871A4">
        <w:t xml:space="preserve"> </w:t>
      </w:r>
      <w:proofErr w:type="spellStart"/>
      <w:r w:rsidR="00D871A4" w:rsidRPr="00D871A4">
        <w:rPr>
          <w:i/>
        </w:rPr>
        <w:t>Op.Cit</w:t>
      </w:r>
      <w:proofErr w:type="spellEnd"/>
      <w:r w:rsidR="00D871A4" w:rsidRPr="00D871A4">
        <w:rPr>
          <w:i/>
        </w:rPr>
        <w:t>.</w:t>
      </w:r>
    </w:p>
  </w:endnote>
  <w:endnote w:id="47">
    <w:p w:rsidR="00F62EC2" w:rsidRDefault="00F62EC2">
      <w:pPr>
        <w:pStyle w:val="Textonotaalfinal"/>
      </w:pPr>
      <w:r>
        <w:rPr>
          <w:rStyle w:val="Refdenotaalfinal"/>
        </w:rPr>
        <w:endnoteRef/>
      </w:r>
      <w:r>
        <w:t xml:space="preserve"> </w:t>
      </w:r>
      <w:r w:rsidRPr="00F62EC2">
        <w:t>https://www.amnesty.org/en/latest/news/2016/11/palm-oil-global-brands-profiting-from-child-and-forced-labour/</w:t>
      </w:r>
    </w:p>
  </w:endnote>
  <w:endnote w:id="48">
    <w:p w:rsidR="00F62EC2" w:rsidRDefault="00F62EC2">
      <w:pPr>
        <w:pStyle w:val="Textonotaalfinal"/>
      </w:pPr>
      <w:r>
        <w:rPr>
          <w:rStyle w:val="Refdenotaalfinal"/>
        </w:rPr>
        <w:endnoteRef/>
      </w:r>
      <w:r>
        <w:t xml:space="preserve"> </w:t>
      </w:r>
      <w:hyperlink r:id="rId3" w:history="1">
        <w:r w:rsidRPr="00F62EC2">
          <w:rPr>
            <w:rStyle w:val="Hipervnculo"/>
          </w:rPr>
          <w:t>https://medium.com/@foe_us/guatemalan-palm-oil-supplier-repsa-caught-up-in-corruption-and-bribery-scandal-bc5234be384d</w:t>
        </w:r>
      </w:hyperlink>
      <w:r w:rsidRPr="00F62EC2">
        <w:t>;  http://www.cicig.org/index.php?mact=News,cntnt01,detail,0&amp;cntnt01articleid=864&amp;cntnt01returnid=67</w:t>
      </w:r>
    </w:p>
  </w:endnote>
  <w:endnote w:id="49">
    <w:p w:rsidR="009E4E97" w:rsidRDefault="009E4E97">
      <w:pPr>
        <w:pStyle w:val="Textonotaalfinal"/>
      </w:pPr>
      <w:r>
        <w:rPr>
          <w:rStyle w:val="Refdenotaalfinal"/>
        </w:rPr>
        <w:endnoteRef/>
      </w:r>
      <w:r>
        <w:t xml:space="preserve">  </w:t>
      </w:r>
      <w:proofErr w:type="spellStart"/>
      <w:r w:rsidR="00640024" w:rsidRPr="00640024">
        <w:t>Anseeuw</w:t>
      </w:r>
      <w:proofErr w:type="spellEnd"/>
      <w:r w:rsidR="00640024" w:rsidRPr="00640024">
        <w:t xml:space="preserve">, W., L. </w:t>
      </w:r>
      <w:proofErr w:type="spellStart"/>
      <w:r w:rsidR="00640024" w:rsidRPr="00640024">
        <w:t>Alden</w:t>
      </w:r>
      <w:proofErr w:type="spellEnd"/>
      <w:r w:rsidR="00640024" w:rsidRPr="00640024">
        <w:t xml:space="preserve"> </w:t>
      </w:r>
      <w:proofErr w:type="spellStart"/>
      <w:r w:rsidR="00640024" w:rsidRPr="00640024">
        <w:t>Wily</w:t>
      </w:r>
      <w:proofErr w:type="spellEnd"/>
      <w:r w:rsidR="00640024" w:rsidRPr="00640024">
        <w:t xml:space="preserve">, L. </w:t>
      </w:r>
      <w:proofErr w:type="spellStart"/>
      <w:r w:rsidR="00640024" w:rsidRPr="00640024">
        <w:t>Cotula</w:t>
      </w:r>
      <w:proofErr w:type="spellEnd"/>
      <w:r w:rsidR="00640024" w:rsidRPr="00640024">
        <w:t>, y M. Taylor. 2012. Los derechos a la tierra y la fiebre por ella: h</w:t>
      </w:r>
      <w:bookmarkStart w:id="0" w:name="_GoBack"/>
      <w:bookmarkEnd w:id="0"/>
      <w:r w:rsidR="00640024" w:rsidRPr="00640024">
        <w:t>allazgos del Proyecto de Investigación Global Presiones Comerciales sobre la Tierra. ILC, Roma.</w:t>
      </w:r>
    </w:p>
  </w:endnote>
  <w:endnote w:id="50">
    <w:p w:rsidR="009E4E97" w:rsidRDefault="009E4E97">
      <w:pPr>
        <w:pStyle w:val="Textonotaalfinal"/>
      </w:pPr>
      <w:r>
        <w:rPr>
          <w:rStyle w:val="Refdenotaalfinal"/>
        </w:rPr>
        <w:endnoteRef/>
      </w:r>
      <w:r>
        <w:t xml:space="preserve"> </w:t>
      </w:r>
      <w:r w:rsidRPr="009E4E97">
        <w:t>IARNA  2006 Perfil Ambiental de Guatemala 2006. URL, IARNA, FCAA, IIA, Ciudad de Guatemala.</w:t>
      </w:r>
    </w:p>
  </w:endnote>
  <w:endnote w:id="51">
    <w:p w:rsidR="00F62EC2" w:rsidRDefault="00F62EC2">
      <w:pPr>
        <w:pStyle w:val="Textonotaalfinal"/>
      </w:pPr>
      <w:r>
        <w:rPr>
          <w:rStyle w:val="Refdenotaalfinal"/>
        </w:rPr>
        <w:endnoteRef/>
      </w:r>
      <w:r>
        <w:t xml:space="preserve"> </w:t>
      </w:r>
      <w:r w:rsidRPr="00F62EC2">
        <w:t>Prensa Libre 22/02/2013</w:t>
      </w:r>
    </w:p>
  </w:endnote>
  <w:endnote w:id="52">
    <w:p w:rsidR="00F62EC2" w:rsidRDefault="00F62EC2">
      <w:pPr>
        <w:pStyle w:val="Textonotaalfinal"/>
      </w:pPr>
      <w:r>
        <w:rPr>
          <w:rStyle w:val="Refdenotaalfinal"/>
        </w:rPr>
        <w:endnoteRef/>
      </w:r>
      <w:r>
        <w:t xml:space="preserve"> </w:t>
      </w:r>
      <w:r w:rsidRPr="00F62EC2">
        <w:t>Prensa Libre 21/02/2013; 22/02/2013</w:t>
      </w:r>
      <w:r w:rsidRPr="00F62EC2">
        <w:rPr>
          <w:i/>
        </w:rPr>
        <w:t xml:space="preserve"> Ibid</w:t>
      </w:r>
      <w:r w:rsidRPr="00F62EC2">
        <w:t>.</w:t>
      </w:r>
    </w:p>
  </w:endnote>
  <w:endnote w:id="53">
    <w:p w:rsidR="009E4E97" w:rsidRDefault="009E4E97">
      <w:pPr>
        <w:pStyle w:val="Textonotaalfinal"/>
      </w:pPr>
      <w:r>
        <w:rPr>
          <w:rStyle w:val="Refdenotaalfinal"/>
        </w:rPr>
        <w:endnoteRef/>
      </w:r>
      <w:r>
        <w:rPr>
          <w:rStyle w:val="Refdenotaalfinal"/>
        </w:rPr>
        <w:tab/>
      </w:r>
      <w:r>
        <w:t xml:space="preserve">  Marcha del Agua en abril 2016: https://www.facebook.com/marchaporelagua/?fref=ts; Tribunal Latinoamericano del Agua con denuncias contra el Estado por los impactos de los monocultivos de caña de azúcar en la Costa Sur, palma aceitera a nivel nacional, banano y palma aceitera en la costa del departamento de San Marcos y sistema nacional de interconexión eléctrica, caso TRECSA: </w:t>
      </w:r>
      <w:hyperlink r:id="rId4">
        <w:r>
          <w:rPr>
            <w:rStyle w:val="EnlacedeInternet"/>
          </w:rPr>
          <w:t>http://tragua.com/2016/04/veredictos-vii-audiencia-el-salvador/</w:t>
        </w:r>
      </w:hyperlink>
      <w:r>
        <w:t xml:space="preserve"> y </w:t>
      </w:r>
      <w:hyperlink r:id="rId5">
        <w:r>
          <w:rPr>
            <w:rStyle w:val="EnlacedeInternet"/>
          </w:rPr>
          <w:t>http://tragua.com/wp-content/uploads/2016/10/Veredictos_2016_Guatemala.-Version-final.pdf</w:t>
        </w:r>
      </w:hyperlink>
      <w:r>
        <w:t xml:space="preserve">; Audiencia temática de monocultivo y violación de derechos humanos de los pueblos originarios en la Corte Interamericana de Derechos Humanos: </w:t>
      </w:r>
      <w:hyperlink r:id="rId6">
        <w:r>
          <w:rPr>
            <w:rStyle w:val="EnlacedeInternet"/>
          </w:rPr>
          <w:t>https://www.youtube.com/watch?v=QzXqc6H23kU</w:t>
        </w:r>
      </w:hyperlink>
      <w:r>
        <w:t xml:space="preserve"> y </w:t>
      </w:r>
      <w:hyperlink r:id="rId7">
        <w:r>
          <w:rPr>
            <w:rStyle w:val="EnlacedeInternet"/>
          </w:rPr>
          <w:t>http://www.congcoop.org.gt/images/palma_aceitera_LTIMA_VERSIN.pdf</w:t>
        </w:r>
      </w:hyperlink>
      <w:r>
        <w:t>, prensa, Procuraduría de los Derechos Humanos, etc.</w:t>
      </w:r>
    </w:p>
  </w:endnote>
  <w:endnote w:id="54">
    <w:p w:rsidR="00D871A4" w:rsidRDefault="00D871A4">
      <w:pPr>
        <w:pStyle w:val="Textonotaalfinal"/>
      </w:pPr>
      <w:r>
        <w:rPr>
          <w:rStyle w:val="Refdenotaalfinal"/>
        </w:rPr>
        <w:endnoteRef/>
      </w:r>
      <w:r>
        <w:t xml:space="preserve"> </w:t>
      </w:r>
      <w:r>
        <w:tab/>
      </w:r>
      <w:r w:rsidR="008D5FDF">
        <w:t>Tribunal Latinoamericano del Agua (</w:t>
      </w:r>
      <w:r>
        <w:t>TLA</w:t>
      </w:r>
      <w:r w:rsidR="008D5FDF">
        <w:t>)</w:t>
      </w:r>
      <w:r>
        <w:t xml:space="preserve"> </w:t>
      </w:r>
      <w:r w:rsidR="008D5FDF">
        <w:t xml:space="preserve">2016 </w:t>
      </w:r>
      <w:r w:rsidR="008D5FDF" w:rsidRPr="008D5FDF">
        <w:t xml:space="preserve">VIII Audiencia Pública TLA – Casos sobre Controversias Hídricas </w:t>
      </w:r>
      <w:proofErr w:type="gramStart"/>
      <w:r w:rsidR="008D5FDF" w:rsidRPr="008D5FDF">
        <w:t>en  El</w:t>
      </w:r>
      <w:proofErr w:type="gramEnd"/>
      <w:r w:rsidR="008D5FDF" w:rsidRPr="008D5FDF">
        <w:t xml:space="preserve"> Salvador, Nicaragua y Guatemala San Salvador– 04- 08 de abril 2016</w:t>
      </w:r>
      <w:r w:rsidR="008D5FDF">
        <w:t xml:space="preserve">. </w:t>
      </w:r>
    </w:p>
  </w:endnote>
  <w:endnote w:id="55">
    <w:p w:rsidR="009E4E97" w:rsidRDefault="009E4E97">
      <w:pPr>
        <w:pStyle w:val="Textonotaalfinal"/>
      </w:pPr>
      <w:r>
        <w:rPr>
          <w:rStyle w:val="Refdenotaalfinal"/>
        </w:rPr>
        <w:endnoteRef/>
      </w:r>
      <w:r>
        <w:rPr>
          <w:rStyle w:val="Refdenotaalfinal"/>
        </w:rPr>
        <w:tab/>
      </w:r>
      <w:r>
        <w:t xml:space="preserve"> Comisión específica para la Paz y el Diseminado/ Comisión Parlamentaria de Seguimiento a las Marchas por el Agua. Informe preliminar Ref. </w:t>
      </w:r>
      <w:proofErr w:type="spellStart"/>
      <w:r>
        <w:t>Of</w:t>
      </w:r>
      <w:proofErr w:type="spellEnd"/>
      <w:r>
        <w:t>. No. 0401/10/2016 EL/</w:t>
      </w:r>
      <w:proofErr w:type="spellStart"/>
      <w:r>
        <w:t>wm</w:t>
      </w:r>
      <w:proofErr w:type="spellEnd"/>
      <w:r>
        <w:t xml:space="preserve">. 14 de </w:t>
      </w:r>
      <w:proofErr w:type="gramStart"/>
      <w:r>
        <w:t>Octubre</w:t>
      </w:r>
      <w:proofErr w:type="gramEnd"/>
      <w:r>
        <w:t xml:space="preserve"> 2016.</w:t>
      </w:r>
    </w:p>
  </w:endnote>
  <w:endnote w:id="56">
    <w:p w:rsidR="009E4E97" w:rsidRDefault="009E4E97">
      <w:pPr>
        <w:pStyle w:val="Textonotaalfinal"/>
        <w:snapToGrid w:val="0"/>
      </w:pPr>
      <w:r>
        <w:rPr>
          <w:rStyle w:val="Refdenotaalfinal"/>
        </w:rPr>
        <w:endnoteRef/>
      </w:r>
      <w:r>
        <w:rPr>
          <w:rStyle w:val="Refdenotaalfinal"/>
        </w:rPr>
        <w:tab/>
      </w:r>
      <w:r>
        <w:t xml:space="preserve"> En 2012, la Pastoral de la Tierra de San Marcos y CUC denunciaron, ante el Ministerio Público y el MARN, obras de dragado del Río </w:t>
      </w:r>
      <w:proofErr w:type="spellStart"/>
      <w:r>
        <w:t>Pacayá</w:t>
      </w:r>
      <w:proofErr w:type="spellEnd"/>
      <w:r>
        <w:t xml:space="preserve"> que realizó la empresa HAME en el municipio de La Blanca, San Marcos. La sentencia quedó firme hasta finales de 2016 pero la ineficiencia de la institucionalidad no ha permitido parar el daño causado por el dragado que permitió el secamiento de la pampa del </w:t>
      </w:r>
      <w:proofErr w:type="spellStart"/>
      <w:r>
        <w:t>Guamuchal</w:t>
      </w:r>
      <w:proofErr w:type="spellEnd"/>
      <w:r>
        <w:t xml:space="preserve"> para la siembra de palma aceitera, sin la elaboración de un instrumento ambiental.</w:t>
      </w:r>
    </w:p>
  </w:endnote>
  <w:endnote w:id="57">
    <w:p w:rsidR="009E4E97" w:rsidRDefault="009E4E97" w:rsidP="00210D0B">
      <w:pPr>
        <w:pStyle w:val="Textonotaalfinal"/>
      </w:pPr>
      <w:r>
        <w:rPr>
          <w:rStyle w:val="Refdenotaalfinal"/>
        </w:rPr>
        <w:endnoteRef/>
      </w:r>
      <w:r>
        <w:rPr>
          <w:rStyle w:val="Refdenotaalfinal"/>
        </w:rPr>
        <w:tab/>
      </w:r>
      <w:r>
        <w:t xml:space="preserve"> </w:t>
      </w:r>
      <w:hyperlink r:id="rId8">
        <w:r>
          <w:rPr>
            <w:rStyle w:val="EnlacedeInternet"/>
          </w:rPr>
          <w:t>http://conred.gob.gt/site/Mapa-Rio-la-Pasion-de-Sayaxche-Peten</w:t>
        </w:r>
      </w:hyperlink>
      <w:r>
        <w:t xml:space="preserve">, </w:t>
      </w:r>
      <w:hyperlink r:id="rId9">
        <w:r>
          <w:rPr>
            <w:rStyle w:val="EnlacedeInternet"/>
          </w:rPr>
          <w:t>https://www.plazapublica.com.gt/content/habia-una-vez-un-rio</w:t>
        </w:r>
      </w:hyperlink>
      <w:r>
        <w:t xml:space="preserve">, </w:t>
      </w:r>
      <w:hyperlink r:id="rId10">
        <w:r>
          <w:rPr>
            <w:rStyle w:val="EnlacedeInternet"/>
          </w:rPr>
          <w:t>https://cmiguate.org/la-pasion-desastre-ecologico-y-social/</w:t>
        </w:r>
      </w:hyperlink>
      <w:r>
        <w:t xml:space="preserve"> </w:t>
      </w:r>
    </w:p>
  </w:endnote>
  <w:endnote w:id="58">
    <w:p w:rsidR="009E4E97" w:rsidRDefault="009E4E97" w:rsidP="00210D0B">
      <w:pPr>
        <w:pStyle w:val="Textonotaalfinal"/>
        <w:snapToGrid w:val="0"/>
      </w:pPr>
      <w:r>
        <w:rPr>
          <w:rStyle w:val="Refdenotaalfinal"/>
        </w:rPr>
        <w:endnoteRef/>
      </w:r>
      <w:r>
        <w:rPr>
          <w:rStyle w:val="Refdenotaalfinal"/>
        </w:rPr>
        <w:tab/>
      </w:r>
      <w:r>
        <w:t xml:space="preserve"> </w:t>
      </w:r>
      <w:hyperlink r:id="rId11">
        <w:r>
          <w:rPr>
            <w:rStyle w:val="EnlacedeInternet"/>
          </w:rPr>
          <w:t>https://cmiguate.org/otro-ecocidio-en-sayaxche/</w:t>
        </w:r>
      </w:hyperlink>
      <w:r>
        <w:t xml:space="preserve"> </w:t>
      </w:r>
    </w:p>
  </w:endnote>
  <w:endnote w:id="59">
    <w:p w:rsidR="009E4E97" w:rsidRDefault="009E4E97">
      <w:pPr>
        <w:pStyle w:val="Textonotaalfinal"/>
      </w:pPr>
      <w:r>
        <w:rPr>
          <w:rStyle w:val="Refdenotaalfinal"/>
        </w:rPr>
        <w:endnoteRef/>
      </w:r>
      <w:r>
        <w:rPr>
          <w:rStyle w:val="Refdenotaalfinal"/>
        </w:rPr>
        <w:tab/>
      </w:r>
      <w:r>
        <w:t xml:space="preserve"> Desde 1991, trece iniciativas fueron </w:t>
      </w:r>
      <w:proofErr w:type="gramStart"/>
      <w:r>
        <w:t>presentadas</w:t>
      </w:r>
      <w:proofErr w:type="gramEnd"/>
      <w:r>
        <w:t xml:space="preserve"> pero sólo la iniciativa de ley 2865 fue conocida en el Congreso en el 2004 y abandonada frente a la abierta oposición planteada por el Comité Coordinador de Asociaciones Agrícolas, Comerciales, Industriales y Financieras (CACIF) y, en particular, la Asociación de Azucareros de Guatemala (ASAZGUA). Ver Anexo 5 y </w:t>
      </w:r>
      <w:proofErr w:type="spellStart"/>
      <w:r w:rsidRPr="00D871A4">
        <w:rPr>
          <w:i/>
        </w:rPr>
        <w:t>Op</w:t>
      </w:r>
      <w:proofErr w:type="spellEnd"/>
      <w:r w:rsidRPr="00D871A4">
        <w:rPr>
          <w:i/>
        </w:rPr>
        <w:t>. Cit</w:t>
      </w:r>
      <w:r>
        <w:t>. Comisión específica para la Paz y el D</w:t>
      </w:r>
      <w:r w:rsidR="00D871A4">
        <w:t>e</w:t>
      </w:r>
      <w:r>
        <w:t>sm</w:t>
      </w:r>
      <w:r w:rsidR="00D871A4">
        <w:t>i</w:t>
      </w:r>
      <w:r>
        <w:t>nado, 2016.</w:t>
      </w:r>
    </w:p>
  </w:endnote>
  <w:endnote w:id="60">
    <w:p w:rsidR="009E4E97" w:rsidRDefault="009E4E97">
      <w:pPr>
        <w:pStyle w:val="Textonotaalfinal"/>
      </w:pPr>
      <w:r>
        <w:rPr>
          <w:rStyle w:val="Refdenotaalfinal"/>
        </w:rPr>
        <w:endnoteRef/>
      </w:r>
      <w:r>
        <w:rPr>
          <w:rStyle w:val="Refdenotaalfinal"/>
        </w:rPr>
        <w:tab/>
      </w:r>
      <w:r>
        <w:t xml:space="preserve"> Ver Anexo 6.</w:t>
      </w:r>
    </w:p>
  </w:endnote>
  <w:endnote w:id="61">
    <w:p w:rsidR="009E4E97" w:rsidRDefault="009E4E97">
      <w:pPr>
        <w:pStyle w:val="Textonotaalfinal"/>
      </w:pPr>
      <w:r>
        <w:rPr>
          <w:rStyle w:val="Refdenotaalfinal"/>
        </w:rPr>
        <w:endnoteRef/>
      </w:r>
      <w:r>
        <w:t xml:space="preserve">  </w:t>
      </w:r>
      <w:proofErr w:type="spellStart"/>
      <w:r w:rsidRPr="009E4E97">
        <w:t>Arequima</w:t>
      </w:r>
      <w:proofErr w:type="spellEnd"/>
      <w:r w:rsidRPr="009E4E97">
        <w:t xml:space="preserve"> 2012 Impacto social y económico del sector agrícola guatemalteco sobre la economía nacional. Documento electrónico. Guatemala.</w:t>
      </w:r>
    </w:p>
  </w:endnote>
  <w:endnote w:id="62">
    <w:p w:rsidR="00F62EC2" w:rsidRDefault="00F62EC2">
      <w:pPr>
        <w:pStyle w:val="Textonotaalfinal"/>
      </w:pPr>
      <w:r>
        <w:rPr>
          <w:rStyle w:val="Refdenotaalfinal"/>
        </w:rPr>
        <w:endnoteRef/>
      </w:r>
      <w:r>
        <w:t xml:space="preserve"> </w:t>
      </w:r>
      <w:r w:rsidRPr="00F62EC2">
        <w:t>De agosto a octubre sigue la aplicación de fertilizantes en grandes cantidades, generalmente un producto mezclado con nitrógeno. Tan solo un piloto agrícola aplica cerca de 1000 quintales diarios. (Entrevista a Piloto agrícola, 06/12/2012)</w:t>
      </w:r>
    </w:p>
  </w:endnote>
  <w:endnote w:id="63">
    <w:p w:rsidR="009E4E97" w:rsidRDefault="009E4E97">
      <w:pPr>
        <w:pStyle w:val="Textonotaalfinal"/>
      </w:pPr>
      <w:r>
        <w:rPr>
          <w:rStyle w:val="Refdenotaalfinal"/>
        </w:rPr>
        <w:endnoteRef/>
      </w:r>
      <w:r>
        <w:rPr>
          <w:rStyle w:val="Refdenotaalfinal"/>
        </w:rPr>
        <w:tab/>
      </w:r>
      <w:r>
        <w:t xml:space="preserve"> </w:t>
      </w:r>
      <w:r>
        <w:rPr>
          <w:color w:val="00000A"/>
        </w:rPr>
        <w:t xml:space="preserve"> Sólo se presentó el diagnóstico </w:t>
      </w:r>
      <w:r>
        <w:t xml:space="preserve">DA-0096-2016, diagnóstico ambiental Trento: Fumigación aérea de cultivos de banano, que </w:t>
      </w:r>
      <w:r>
        <w:rPr>
          <w:color w:val="00000A"/>
        </w:rPr>
        <w:t>ha sido rechazado, pero la actividad sigue.</w:t>
      </w:r>
    </w:p>
  </w:endnote>
  <w:endnote w:id="64">
    <w:p w:rsidR="00F62EC2" w:rsidRDefault="00F62EC2">
      <w:pPr>
        <w:pStyle w:val="Textonotaalfinal"/>
      </w:pPr>
      <w:r>
        <w:rPr>
          <w:rStyle w:val="Refdenotaalfinal"/>
        </w:rPr>
        <w:endnoteRef/>
      </w:r>
      <w:r>
        <w:t xml:space="preserve"> </w:t>
      </w:r>
      <w:r w:rsidRPr="00F62EC2">
        <w:t xml:space="preserve">Los productos </w:t>
      </w:r>
      <w:proofErr w:type="spellStart"/>
      <w:r w:rsidRPr="00F62EC2">
        <w:t>mas</w:t>
      </w:r>
      <w:proofErr w:type="spellEnd"/>
      <w:r w:rsidRPr="00F62EC2">
        <w:t xml:space="preserve"> mencionados por parte de los trabajadores cortadores de caña de azúcar son productos que contienen Glifosato, tales como ROUNDUP, producto de MONSANTO.</w:t>
      </w:r>
    </w:p>
  </w:endnote>
  <w:endnote w:id="65">
    <w:p w:rsidR="009E4E97" w:rsidRDefault="009E4E97">
      <w:pPr>
        <w:pStyle w:val="Textonotaalfinal"/>
      </w:pPr>
      <w:r>
        <w:rPr>
          <w:rStyle w:val="Refdenotaalfinal"/>
        </w:rPr>
        <w:endnoteRef/>
      </w:r>
      <w:r>
        <w:rPr>
          <w:rStyle w:val="Refdenotaalfinal"/>
        </w:rPr>
        <w:tab/>
      </w:r>
      <w:r>
        <w:t xml:space="preserve"> Según datos que arroja el reporte técnico de la Universidad de Boston (BU), Universidad de Lund, Universidad de Umea, así como la OPS (disponible en: </w:t>
      </w:r>
      <w:hyperlink r:id="rId12">
        <w:r>
          <w:rPr>
            <w:rStyle w:val="EnlacedeInternet"/>
          </w:rPr>
          <w:t>http://www.regionalnephropathy.org/wp-content/uploads/2013/04/Technical-Report-for-Website-Final.pdf</w:t>
        </w:r>
      </w:hyperlink>
      <w:r>
        <w:t xml:space="preserve">); </w:t>
      </w:r>
      <w:hyperlink r:id="rId13" w:history="1">
        <w:r w:rsidRPr="005977B0">
          <w:t>http://www.sucre-ethique.org</w:t>
        </w:r>
      </w:hyperlink>
      <w:r w:rsidRPr="005977B0">
        <w:t>; Correa-</w:t>
      </w:r>
      <w:proofErr w:type="spellStart"/>
      <w:r w:rsidRPr="005977B0">
        <w:t>Rotter</w:t>
      </w:r>
      <w:proofErr w:type="spellEnd"/>
      <w:r w:rsidRPr="005977B0">
        <w:t xml:space="preserve"> R., Wesseling C, Johnson R.J. 2013 CKD of unknown origin in Central America: the case for a Mesoamerican nephropathy. Am j Kidney Dis 2014, 63 (3): 506-520. Resumen disponible en: http://dx.doi.org/10.1053/j.ajkd.2013.10.062</w:t>
      </w:r>
      <w:r>
        <w:t xml:space="preserve">  </w:t>
      </w:r>
    </w:p>
  </w:endnote>
  <w:endnote w:id="66">
    <w:p w:rsidR="009E4E97" w:rsidRDefault="009E4E97">
      <w:pPr>
        <w:pStyle w:val="Textonotaalfinal"/>
      </w:pPr>
      <w:r>
        <w:rPr>
          <w:rStyle w:val="Refdenotaalfinal"/>
        </w:rPr>
        <w:endnoteRef/>
      </w:r>
      <w:r>
        <w:rPr>
          <w:rStyle w:val="Refdenotaalfinal"/>
        </w:rPr>
        <w:tab/>
      </w:r>
      <w:r>
        <w:t xml:space="preserve"> Decreto número 5-2010, Ley de Registro de Productos Agroquímicos y Acuerdo Gubernativo número 377-90, Reglamento para el Registro, Renovación, Endoso (Autorización de Uso) y Cesión de Sustancias Afines a Plaguicidas; Plaguicidas Microbianos; Plaguicidas Bioquímicos; Artrópodos, Predadores, Parásitos, Parasitoides; Los Requisitos para su Importación, Exportación y Retorno; Así como el Registro de Personas Individuales y Jurídicas Relacionadas a estos Insumos, ante el Ministerio de Agricultura, Ganadería y Alimentación.</w:t>
      </w:r>
    </w:p>
  </w:endnote>
  <w:endnote w:id="67">
    <w:p w:rsidR="001B6A29" w:rsidRDefault="001B6A29">
      <w:pPr>
        <w:pStyle w:val="Textonotaalfinal"/>
      </w:pPr>
      <w:r>
        <w:rPr>
          <w:rStyle w:val="Refdenotaalfinal"/>
        </w:rPr>
        <w:endnoteRef/>
      </w:r>
      <w:r>
        <w:t xml:space="preserve"> </w:t>
      </w:r>
      <w:proofErr w:type="spellStart"/>
      <w:r>
        <w:t>Peace</w:t>
      </w:r>
      <w:proofErr w:type="spellEnd"/>
      <w:r>
        <w:t xml:space="preserve"> </w:t>
      </w:r>
      <w:proofErr w:type="spellStart"/>
      <w:r>
        <w:t>Brigades</w:t>
      </w:r>
      <w:proofErr w:type="spellEnd"/>
      <w:r>
        <w:t xml:space="preserve"> International 2017 </w:t>
      </w:r>
      <w:r w:rsidRPr="001B6A29">
        <w:rPr>
          <w:i/>
        </w:rPr>
        <w:t>Paquete de información mensual de Guatemala</w:t>
      </w:r>
      <w:r>
        <w:t xml:space="preserve">. </w:t>
      </w:r>
      <w:r w:rsidRPr="001B6A29">
        <w:t xml:space="preserve">Número 167 – </w:t>
      </w:r>
      <w:proofErr w:type="gramStart"/>
      <w:r w:rsidRPr="001B6A29">
        <w:t>Agosto</w:t>
      </w:r>
      <w:proofErr w:type="gramEnd"/>
      <w:r w:rsidRPr="001B6A29">
        <w:t xml:space="preserve"> de 2017</w:t>
      </w:r>
      <w:r>
        <w:t xml:space="preserve">. </w:t>
      </w:r>
    </w:p>
  </w:endnote>
  <w:endnote w:id="68">
    <w:p w:rsidR="001B6A29" w:rsidRDefault="001B6A29">
      <w:pPr>
        <w:pStyle w:val="Textonotaalfinal"/>
      </w:pPr>
      <w:r>
        <w:rPr>
          <w:rStyle w:val="Refdenotaalfinal"/>
        </w:rPr>
        <w:endnoteRef/>
      </w:r>
      <w:r>
        <w:t xml:space="preserve"> </w:t>
      </w:r>
      <w:r w:rsidR="000C6C26" w:rsidRPr="000C6C26">
        <w:t>La Unidad de Protección a Defensoras y Defensores de Derechos Humanos – Guatemala –UDEFEGUA-</w:t>
      </w:r>
      <w:r w:rsidR="000C6C26">
        <w:t>2018 Comunicado 13/02/2018.</w:t>
      </w:r>
    </w:p>
  </w:endnote>
  <w:endnote w:id="69">
    <w:p w:rsidR="00F62EC2" w:rsidRDefault="00F62EC2">
      <w:pPr>
        <w:pStyle w:val="Textonotaalfinal"/>
      </w:pPr>
      <w:r>
        <w:rPr>
          <w:rStyle w:val="Refdenotaalfinal"/>
        </w:rPr>
        <w:endnoteRef/>
      </w:r>
      <w:r>
        <w:t xml:space="preserve"> </w:t>
      </w:r>
      <w:r w:rsidRPr="00F62EC2">
        <w:t>Incluyendo la colaboración de la cooperación internacional bilateral.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charset w:val="01"/>
    <w:family w:val="swiss"/>
    <w:pitch w:val="variable"/>
  </w:font>
  <w:font w:name="Liberation Serif">
    <w:altName w:val="Times New Roman"/>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C89" w:rsidRDefault="00D80C89"/>
  </w:footnote>
  <w:footnote w:type="continuationSeparator" w:id="0">
    <w:p w:rsidR="00D80C89" w:rsidRDefault="00D80C89">
      <w:r>
        <w:continuationSeparator/>
      </w:r>
    </w:p>
  </w:footnote>
  <w:footnote w:id="1">
    <w:p w:rsidR="009E4E97" w:rsidRDefault="009E4E97">
      <w:pPr>
        <w:pStyle w:val="Textonotapie"/>
      </w:pPr>
      <w:r>
        <w:rPr>
          <w:rStyle w:val="Refdenotaalpie"/>
        </w:rPr>
        <w:footnoteRef/>
      </w:r>
      <w:r>
        <w:t xml:space="preserve"> Elaborado por el Instituto de Estudios Agrarios y Rurales de CONGCOOP</w:t>
      </w:r>
    </w:p>
  </w:footnote>
  <w:footnote w:id="2">
    <w:p w:rsidR="009E4E97" w:rsidRDefault="009E4E97">
      <w:pPr>
        <w:spacing w:after="0" w:line="240" w:lineRule="auto"/>
      </w:pPr>
      <w:r>
        <w:rPr>
          <w:color w:val="00000A"/>
          <w:vertAlign w:val="superscript"/>
        </w:rPr>
        <w:footnoteRef/>
      </w:r>
      <w:r>
        <w:rPr>
          <w:color w:val="00000A"/>
          <w:vertAlign w:val="superscript"/>
        </w:rPr>
        <w:tab/>
      </w:r>
      <w:r>
        <w:rPr>
          <w:color w:val="00000A"/>
          <w:sz w:val="18"/>
          <w:szCs w:val="18"/>
        </w:rPr>
        <w:t xml:space="preserve"> Datos elaborados por </w:t>
      </w:r>
      <w:proofErr w:type="spellStart"/>
      <w:r>
        <w:rPr>
          <w:color w:val="00000A"/>
          <w:sz w:val="18"/>
          <w:szCs w:val="18"/>
        </w:rPr>
        <w:t>Mikkelsen</w:t>
      </w:r>
      <w:proofErr w:type="spellEnd"/>
      <w:r>
        <w:rPr>
          <w:color w:val="00000A"/>
          <w:sz w:val="18"/>
          <w:szCs w:val="18"/>
        </w:rPr>
        <w:t xml:space="preserve">, V. 2013 con base en datos de </w:t>
      </w:r>
      <w:proofErr w:type="spellStart"/>
      <w:r>
        <w:rPr>
          <w:color w:val="00000A"/>
          <w:sz w:val="18"/>
          <w:szCs w:val="18"/>
        </w:rPr>
        <w:t>Faostat</w:t>
      </w:r>
      <w:proofErr w:type="spellEnd"/>
      <w:r>
        <w:rPr>
          <w:color w:val="00000A"/>
          <w:sz w:val="18"/>
          <w:szCs w:val="18"/>
        </w:rPr>
        <w:t>; Banco de Guatemala; Departamento de Estadísticas Nacionales; años 2001-2013, a junio 2013. (</w:t>
      </w:r>
      <w:bookmarkStart w:id="2" w:name="__DdeLink__3516_292856104"/>
      <w:proofErr w:type="spellStart"/>
      <w:r>
        <w:rPr>
          <w:color w:val="00000A"/>
          <w:sz w:val="18"/>
          <w:szCs w:val="18"/>
        </w:rPr>
        <w:t>Mikkelsen</w:t>
      </w:r>
      <w:proofErr w:type="spellEnd"/>
      <w:r>
        <w:rPr>
          <w:color w:val="00000A"/>
          <w:sz w:val="18"/>
          <w:szCs w:val="18"/>
        </w:rPr>
        <w:t xml:space="preserve">, V. 2013 </w:t>
      </w:r>
      <w:r>
        <w:rPr>
          <w:i/>
          <w:color w:val="00000A"/>
          <w:sz w:val="18"/>
          <w:szCs w:val="18"/>
        </w:rPr>
        <w:t>Guatemala: Comercio Exterior, Productividad Agrícola y Seguridad Alimentaria</w:t>
      </w:r>
      <w:r>
        <w:rPr>
          <w:color w:val="00000A"/>
          <w:sz w:val="18"/>
          <w:szCs w:val="18"/>
        </w:rPr>
        <w:t>, documento de trabajo, Guatemala. Agosto 2013</w:t>
      </w:r>
      <w:bookmarkEnd w:id="2"/>
      <w:r>
        <w:rPr>
          <w:color w:val="00000A"/>
          <w:sz w:val="18"/>
          <w:szCs w:val="18"/>
        </w:rPr>
        <w:t>).</w:t>
      </w:r>
    </w:p>
  </w:footnote>
  <w:footnote w:id="3">
    <w:p w:rsidR="009E4E97" w:rsidRDefault="009E4E97">
      <w:pPr>
        <w:spacing w:after="0" w:line="240" w:lineRule="auto"/>
      </w:pPr>
      <w:r>
        <w:rPr>
          <w:color w:val="00000A"/>
          <w:vertAlign w:val="superscript"/>
        </w:rPr>
        <w:footnoteRef/>
      </w:r>
      <w:r>
        <w:rPr>
          <w:color w:val="00000A"/>
          <w:vertAlign w:val="superscript"/>
        </w:rPr>
        <w:tab/>
      </w:r>
      <w:r>
        <w:rPr>
          <w:color w:val="00000A"/>
          <w:sz w:val="20"/>
          <w:szCs w:val="20"/>
        </w:rPr>
        <w:t xml:space="preserve"> </w:t>
      </w:r>
      <w:r>
        <w:rPr>
          <w:i/>
          <w:color w:val="00000A"/>
          <w:sz w:val="20"/>
          <w:szCs w:val="20"/>
        </w:rPr>
        <w:t>Ibid</w:t>
      </w:r>
      <w:r>
        <w:rPr>
          <w:color w:val="00000A"/>
          <w:sz w:val="20"/>
          <w:szCs w:val="20"/>
        </w:rPr>
        <w:t>.</w:t>
      </w:r>
    </w:p>
  </w:footnote>
  <w:footnote w:id="4">
    <w:p w:rsidR="009E4E97" w:rsidRDefault="009E4E97">
      <w:pPr>
        <w:pStyle w:val="Textonotapie"/>
        <w:snapToGrid w:val="0"/>
      </w:pPr>
      <w:r>
        <w:rPr>
          <w:rStyle w:val="Refdenotaalpie"/>
        </w:rPr>
        <w:footnoteRef/>
      </w:r>
      <w:r>
        <w:rPr>
          <w:rStyle w:val="Refdenotaalpie"/>
        </w:rPr>
        <w:tab/>
      </w:r>
      <w:r>
        <w:t xml:space="preserve"> http://www.pbi-ee.org/country-groups/estado-espanol/noticias/noticias-pagina/?L=psjrvnmoe&amp;tx_ttnews%5Btt_news%5D=5053&amp;cHash=6e08f0a5708ff14b9b45f2256139a635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346B7"/>
    <w:multiLevelType w:val="hybridMultilevel"/>
    <w:tmpl w:val="D5D4D6A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1F"/>
    <w:rsid w:val="000C0DAC"/>
    <w:rsid w:val="000C6C26"/>
    <w:rsid w:val="00122953"/>
    <w:rsid w:val="001B6A29"/>
    <w:rsid w:val="00210D0B"/>
    <w:rsid w:val="00212E55"/>
    <w:rsid w:val="00330A66"/>
    <w:rsid w:val="005977B0"/>
    <w:rsid w:val="00640024"/>
    <w:rsid w:val="00666A72"/>
    <w:rsid w:val="006E7FD2"/>
    <w:rsid w:val="007046C0"/>
    <w:rsid w:val="0074558C"/>
    <w:rsid w:val="00824660"/>
    <w:rsid w:val="008D5FDF"/>
    <w:rsid w:val="009E4E97"/>
    <w:rsid w:val="00AC6EF6"/>
    <w:rsid w:val="00AF365F"/>
    <w:rsid w:val="00B6121F"/>
    <w:rsid w:val="00D30875"/>
    <w:rsid w:val="00D80C89"/>
    <w:rsid w:val="00D871A4"/>
    <w:rsid w:val="00F62EC2"/>
    <w:rsid w:val="00F83D71"/>
  </w:rsids>
  <m:mathPr>
    <m:mathFont m:val="Cambria Math"/>
    <m:brkBin m:val="before"/>
    <m:brkBinSub m:val="--"/>
    <m:smallFrac m:val="0"/>
    <m:dispDef/>
    <m:lMargin m:val="0"/>
    <m:rMargin m:val="0"/>
    <m:defJc m:val="centerGroup"/>
    <m:wrapIndent m:val="1440"/>
    <m:intLim m:val="subSup"/>
    <m:naryLim m:val="undOvr"/>
  </m:mathPr>
  <w:themeFontLang w:val="es-G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3024"/>
  <w15:docId w15:val="{46A97D1C-4147-400A-AC58-26DF9798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GT"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Calibri" w:eastAsia="Calibri" w:hAnsi="Calibri" w:cs="Calibri"/>
      <w:color w:val="000000"/>
      <w:sz w:val="21"/>
      <w:szCs w:val="21"/>
      <w:lang w:eastAsia="es-GT" w:bidi="ar-SA"/>
    </w:rPr>
  </w:style>
  <w:style w:type="paragraph" w:styleId="Ttulo1">
    <w:name w:val="heading 1"/>
    <w:basedOn w:val="Encabezado"/>
    <w:qFormat/>
    <w:pPr>
      <w:widowControl/>
      <w:spacing w:beforeAutospacing="1" w:afterAutospacing="1" w:line="259" w:lineRule="auto"/>
      <w:jc w:val="left"/>
      <w:outlineLvl w:val="0"/>
    </w:pPr>
    <w:rPr>
      <w:rFonts w:ascii="SimSun" w:eastAsia="SimSun" w:hAnsi="SimSun" w:cs="Times New Roman"/>
      <w:b/>
      <w:bCs/>
      <w:sz w:val="48"/>
      <w:szCs w:val="48"/>
      <w:lang w:val="en-US" w:eastAsia="zh-CN"/>
    </w:rPr>
  </w:style>
  <w:style w:type="paragraph" w:styleId="Ttulo3">
    <w:name w:val="heading 3"/>
    <w:basedOn w:val="Normal"/>
    <w:qFormat/>
    <w:pPr>
      <w:keepNext/>
      <w:keepLines/>
      <w:spacing w:before="280" w:after="80"/>
      <w:contextualSpacing/>
      <w:outlineLvl w:val="2"/>
    </w:pPr>
    <w:rPr>
      <w:b/>
      <w:sz w:val="28"/>
      <w:szCs w:val="28"/>
    </w:rPr>
  </w:style>
  <w:style w:type="paragraph" w:styleId="Ttulo4">
    <w:name w:val="heading 4"/>
    <w:basedOn w:val="Normal"/>
    <w:qFormat/>
    <w:pPr>
      <w:keepNext/>
      <w:keepLines/>
      <w:spacing w:before="240" w:after="40"/>
      <w:contextualSpacing/>
      <w:outlineLvl w:val="3"/>
    </w:pPr>
    <w:rPr>
      <w:b/>
      <w:sz w:val="24"/>
      <w:szCs w:val="24"/>
    </w:rPr>
  </w:style>
  <w:style w:type="paragraph" w:styleId="Ttulo5">
    <w:name w:val="heading 5"/>
    <w:basedOn w:val="Normal"/>
    <w:qFormat/>
    <w:pPr>
      <w:keepNext/>
      <w:keepLines/>
      <w:spacing w:before="220" w:after="40"/>
      <w:contextualSpacing/>
      <w:outlineLvl w:val="4"/>
    </w:pPr>
    <w:rPr>
      <w:b/>
      <w:sz w:val="22"/>
      <w:szCs w:val="22"/>
    </w:rPr>
  </w:style>
  <w:style w:type="paragraph" w:styleId="Ttulo6">
    <w:name w:val="heading 6"/>
    <w:basedOn w:val="Normal"/>
    <w:qFormat/>
    <w:pPr>
      <w:keepNext/>
      <w:keepLines/>
      <w:spacing w:before="200" w:after="40"/>
      <w:contextualSpacing/>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qFormat/>
    <w:rPr>
      <w:sz w:val="16"/>
      <w:szCs w:val="16"/>
    </w:rPr>
  </w:style>
  <w:style w:type="character" w:customStyle="1" w:styleId="Destacado">
    <w:name w:val="Destacado"/>
    <w:basedOn w:val="Fuentedeprrafopredeter"/>
    <w:uiPriority w:val="20"/>
    <w:qFormat/>
    <w:rPr>
      <w:i/>
      <w:iCs/>
    </w:rPr>
  </w:style>
  <w:style w:type="character" w:styleId="Refdenotaalfinal">
    <w:name w:val="endnote reference"/>
    <w:basedOn w:val="Fuentedeprrafopredeter"/>
    <w:uiPriority w:val="99"/>
    <w:unhideWhenUsed/>
    <w:qFormat/>
    <w:rPr>
      <w:vertAlign w:val="superscript"/>
    </w:rPr>
  </w:style>
  <w:style w:type="character" w:styleId="Refdenotaalpie">
    <w:name w:val="footnote reference"/>
    <w:basedOn w:val="Fuentedeprrafopredeter"/>
    <w:uiPriority w:val="99"/>
    <w:unhideWhenUsed/>
    <w:qFormat/>
    <w:rPr>
      <w:vertAlign w:val="superscript"/>
    </w:rPr>
  </w:style>
  <w:style w:type="character" w:customStyle="1" w:styleId="EnlacedeInternet">
    <w:name w:val="Enlace de Internet"/>
    <w:basedOn w:val="Fuentedeprrafopredeter"/>
    <w:uiPriority w:val="99"/>
    <w:unhideWhenUsed/>
    <w:qFormat/>
    <w:rPr>
      <w:color w:val="0563C1" w:themeColor="hyperlink"/>
      <w:u w:val="single"/>
    </w:rPr>
  </w:style>
  <w:style w:type="character" w:customStyle="1" w:styleId="TextocomentarioCar">
    <w:name w:val="Texto comentario Car"/>
    <w:basedOn w:val="Fuentedeprrafopredeter"/>
    <w:uiPriority w:val="99"/>
    <w:semiHidden/>
    <w:qFormat/>
    <w:rPr>
      <w:sz w:val="20"/>
      <w:szCs w:val="20"/>
    </w:rPr>
  </w:style>
  <w:style w:type="character" w:customStyle="1" w:styleId="TextodegloboCar">
    <w:name w:val="Texto de globo Car"/>
    <w:basedOn w:val="Fuentedeprrafopredeter"/>
    <w:uiPriority w:val="99"/>
    <w:semiHidden/>
    <w:qFormat/>
    <w:rPr>
      <w:rFonts w:ascii="Segoe UI" w:hAnsi="Segoe UI" w:cs="Segoe UI"/>
      <w:sz w:val="18"/>
      <w:szCs w:val="18"/>
    </w:rPr>
  </w:style>
  <w:style w:type="character" w:customStyle="1" w:styleId="AsuntodelcomentarioCar">
    <w:name w:val="Asunto del comentario Car"/>
    <w:basedOn w:val="TextocomentarioCar"/>
    <w:uiPriority w:val="99"/>
    <w:semiHidden/>
    <w:qFormat/>
    <w:rPr>
      <w:b/>
      <w:bCs/>
      <w:sz w:val="20"/>
      <w:szCs w:val="20"/>
    </w:rPr>
  </w:style>
  <w:style w:type="character" w:customStyle="1" w:styleId="TextonotapieCar">
    <w:name w:val="Texto nota pie Car"/>
    <w:basedOn w:val="Fuentedeprrafopredeter"/>
    <w:uiPriority w:val="99"/>
    <w:semiHidden/>
    <w:qFormat/>
    <w:rPr>
      <w:sz w:val="20"/>
      <w:szCs w:val="20"/>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Caracteresdenotaalpie">
    <w:name w:val="Caracteres de nota al pie"/>
    <w:qFormat/>
  </w:style>
  <w:style w:type="character" w:customStyle="1" w:styleId="Ancladenotaalpie">
    <w:name w:val="Ancla de nota al pie"/>
    <w:qFormat/>
    <w:rPr>
      <w:vertAlign w:val="superscript"/>
    </w:rPr>
  </w:style>
  <w:style w:type="character" w:customStyle="1" w:styleId="Ancladenotafinal">
    <w:name w:val="Ancla de nota final"/>
    <w:qFormat/>
    <w:rPr>
      <w:vertAlign w:val="superscript"/>
    </w:rPr>
  </w:style>
  <w:style w:type="character" w:customStyle="1" w:styleId="Caracteresdenotafinal">
    <w:name w:val="Caracteres de nota final"/>
    <w:qFormat/>
  </w:style>
  <w:style w:type="character" w:customStyle="1" w:styleId="EncabezadoCar">
    <w:name w:val="Encabezado Car"/>
    <w:basedOn w:val="Fuentedeprrafopredeter"/>
    <w:uiPriority w:val="99"/>
    <w:qFormat/>
    <w:rPr>
      <w:rFonts w:ascii="Calibri" w:eastAsia="Calibri" w:hAnsi="Calibri" w:cs="Calibri"/>
      <w:color w:val="000000"/>
      <w:sz w:val="21"/>
      <w:szCs w:val="21"/>
    </w:rPr>
  </w:style>
  <w:style w:type="character" w:customStyle="1" w:styleId="PiedepginaCar">
    <w:name w:val="Pie de página Car"/>
    <w:basedOn w:val="Fuentedeprrafopredeter"/>
    <w:uiPriority w:val="99"/>
    <w:qFormat/>
    <w:rPr>
      <w:rFonts w:ascii="Calibri" w:eastAsia="Calibri" w:hAnsi="Calibri" w:cs="Calibri"/>
      <w:color w:val="000000"/>
      <w:sz w:val="21"/>
      <w:szCs w:val="21"/>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paragraph" w:styleId="Encabezado">
    <w:name w:val="header"/>
    <w:basedOn w:val="Normal"/>
    <w:next w:val="Textoindependiente"/>
    <w:uiPriority w:val="99"/>
    <w:unhideWhenUsed/>
    <w:qFormat/>
    <w:pPr>
      <w:tabs>
        <w:tab w:val="center" w:pos="4419"/>
        <w:tab w:val="right" w:pos="8838"/>
      </w:tabs>
      <w:spacing w:after="0" w:line="240" w:lineRule="auto"/>
    </w:pPr>
  </w:style>
  <w:style w:type="paragraph" w:styleId="Textoindependiente">
    <w:name w:val="Body Text"/>
    <w:basedOn w:val="Normal"/>
    <w:qFormat/>
    <w:pPr>
      <w:spacing w:after="140" w:line="288" w:lineRule="auto"/>
    </w:pPr>
  </w:style>
  <w:style w:type="paragraph" w:styleId="Lista">
    <w:name w:val="List"/>
    <w:basedOn w:val="Textoindependiente"/>
    <w:qFormat/>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globo">
    <w:name w:val="Balloon Text"/>
    <w:basedOn w:val="Normal"/>
    <w:uiPriority w:val="99"/>
    <w:unhideWhenUsed/>
    <w:qFormat/>
    <w:pPr>
      <w:spacing w:after="0" w:line="240" w:lineRule="auto"/>
    </w:pPr>
    <w:rPr>
      <w:rFonts w:ascii="Segoe UI" w:hAnsi="Segoe UI" w:cs="Segoe UI"/>
      <w:sz w:val="18"/>
      <w:szCs w:val="18"/>
    </w:rPr>
  </w:style>
  <w:style w:type="paragraph" w:styleId="Textocomentario">
    <w:name w:val="annotation text"/>
    <w:basedOn w:val="Normal"/>
    <w:uiPriority w:val="99"/>
    <w:unhideWhenUsed/>
    <w:qFormat/>
    <w:pPr>
      <w:spacing w:line="240" w:lineRule="auto"/>
    </w:pPr>
    <w:rPr>
      <w:sz w:val="20"/>
      <w:szCs w:val="20"/>
    </w:rPr>
  </w:style>
  <w:style w:type="paragraph" w:styleId="Asuntodelcomentario">
    <w:name w:val="annotation subject"/>
    <w:basedOn w:val="Textocomentario"/>
    <w:uiPriority w:val="99"/>
    <w:unhideWhenUsed/>
    <w:qFormat/>
    <w:rPr>
      <w:b/>
      <w:bCs/>
    </w:rPr>
  </w:style>
  <w:style w:type="paragraph" w:styleId="Textonotaalfinal">
    <w:name w:val="endnote text"/>
    <w:basedOn w:val="Normal"/>
  </w:style>
  <w:style w:type="paragraph" w:styleId="Piedepgina">
    <w:name w:val="footer"/>
    <w:basedOn w:val="Normal"/>
    <w:uiPriority w:val="99"/>
    <w:unhideWhenUsed/>
    <w:qFormat/>
    <w:pPr>
      <w:tabs>
        <w:tab w:val="center" w:pos="4419"/>
        <w:tab w:val="right" w:pos="8838"/>
      </w:tabs>
      <w:spacing w:after="0" w:line="240" w:lineRule="auto"/>
    </w:pPr>
  </w:style>
  <w:style w:type="paragraph" w:styleId="Textonotapie">
    <w:name w:val="footnote text"/>
    <w:basedOn w:val="Normal"/>
  </w:style>
  <w:style w:type="paragraph" w:styleId="NormalWeb">
    <w:name w:val="Normal (Web)"/>
    <w:uiPriority w:val="99"/>
    <w:unhideWhenUsed/>
    <w:qFormat/>
    <w:pPr>
      <w:spacing w:beforeAutospacing="1" w:afterAutospacing="1" w:line="259" w:lineRule="auto"/>
    </w:pPr>
    <w:rPr>
      <w:sz w:val="24"/>
      <w:szCs w:val="24"/>
      <w:lang w:val="en-US" w:bidi="ar-SA"/>
    </w:rPr>
  </w:style>
  <w:style w:type="paragraph" w:styleId="Subttulo">
    <w:name w:val="Subtitle"/>
    <w:basedOn w:val="Normal"/>
    <w:qFormat/>
    <w:pPr>
      <w:jc w:val="center"/>
    </w:pPr>
    <w:rPr>
      <w:rFonts w:ascii="FreeSans" w:eastAsia="FreeSans" w:hAnsi="FreeSans" w:cs="FreeSans"/>
      <w:sz w:val="64"/>
      <w:szCs w:val="64"/>
    </w:rPr>
  </w:style>
  <w:style w:type="paragraph" w:styleId="Ttulo">
    <w:name w:val="Title"/>
    <w:basedOn w:val="Encabezado"/>
    <w:qFormat/>
    <w:pPr>
      <w:spacing w:before="240" w:after="160" w:line="259" w:lineRule="auto"/>
      <w:jc w:val="left"/>
    </w:pPr>
    <w:rPr>
      <w:rFonts w:ascii="FreeSans" w:eastAsia="FreeSans" w:hAnsi="FreeSans" w:cs="FreeSans"/>
      <w:sz w:val="36"/>
      <w:szCs w:val="36"/>
      <w:lang w:eastAsia="zh-CN" w:bidi="hi-IN"/>
    </w:rPr>
  </w:style>
  <w:style w:type="paragraph" w:customStyle="1" w:styleId="Ttulo11">
    <w:name w:val="Título 11"/>
    <w:uiPriority w:val="99"/>
    <w:unhideWhenUsed/>
    <w:qFormat/>
    <w:pPr>
      <w:widowControl w:val="0"/>
      <w:spacing w:before="238" w:after="119"/>
    </w:pPr>
    <w:rPr>
      <w:sz w:val="21"/>
    </w:rPr>
  </w:style>
  <w:style w:type="paragraph" w:customStyle="1" w:styleId="Default">
    <w:name w:val="Default"/>
    <w:uiPriority w:val="99"/>
    <w:unhideWhenUsed/>
    <w:qFormat/>
    <w:pPr>
      <w:widowControl w:val="0"/>
      <w:spacing w:after="160" w:line="200" w:lineRule="atLeast"/>
    </w:pPr>
    <w:rPr>
      <w:rFonts w:ascii="FreeSans" w:eastAsia="FreeSans" w:hAnsi="FreeSans"/>
      <w:color w:val="00000A"/>
      <w:sz w:val="36"/>
    </w:rPr>
  </w:style>
  <w:style w:type="paragraph" w:customStyle="1" w:styleId="Ttulo21">
    <w:name w:val="Título 21"/>
    <w:basedOn w:val="Default"/>
    <w:uiPriority w:val="99"/>
    <w:unhideWhenUsed/>
    <w:qFormat/>
    <w:pPr>
      <w:spacing w:before="238" w:after="119"/>
    </w:pPr>
  </w:style>
  <w:style w:type="paragraph" w:customStyle="1" w:styleId="Encabezado1">
    <w:name w:val="Encabezado1"/>
    <w:basedOn w:val="Default"/>
    <w:uiPriority w:val="99"/>
    <w:unhideWhenUsed/>
    <w:qFormat/>
    <w:pPr>
      <w:spacing w:before="238" w:after="119"/>
    </w:pPr>
  </w:style>
  <w:style w:type="paragraph" w:customStyle="1" w:styleId="Objectwitharrow">
    <w:name w:val="Object with arrow"/>
    <w:basedOn w:val="Default"/>
    <w:uiPriority w:val="99"/>
    <w:unhideWhenUsed/>
    <w:qFormat/>
  </w:style>
  <w:style w:type="paragraph" w:customStyle="1" w:styleId="Objectwithshadow">
    <w:name w:val="Object with shadow"/>
    <w:basedOn w:val="Default"/>
    <w:uiPriority w:val="99"/>
    <w:unhideWhenUsed/>
    <w:qFormat/>
  </w:style>
  <w:style w:type="paragraph" w:customStyle="1" w:styleId="Objectwithoutfill">
    <w:name w:val="Object without fill"/>
    <w:basedOn w:val="Default"/>
    <w:uiPriority w:val="99"/>
    <w:unhideWhenUsed/>
    <w:qFormat/>
  </w:style>
  <w:style w:type="paragraph" w:customStyle="1" w:styleId="Objectwithnofillandnoline">
    <w:name w:val="Object with no fill and no line"/>
    <w:basedOn w:val="Default"/>
    <w:uiPriority w:val="99"/>
    <w:unhideWhenUsed/>
    <w:qFormat/>
  </w:style>
  <w:style w:type="paragraph" w:customStyle="1" w:styleId="Texto">
    <w:name w:val="Texto"/>
    <w:basedOn w:val="Default"/>
    <w:uiPriority w:val="99"/>
    <w:unhideWhenUsed/>
    <w:qFormat/>
  </w:style>
  <w:style w:type="paragraph" w:customStyle="1" w:styleId="Textbody">
    <w:name w:val="Text body"/>
    <w:basedOn w:val="Default"/>
    <w:uiPriority w:val="99"/>
    <w:unhideWhenUsed/>
    <w:qFormat/>
  </w:style>
  <w:style w:type="paragraph" w:customStyle="1" w:styleId="Textbodyjustified">
    <w:name w:val="Text body justified"/>
    <w:basedOn w:val="Default"/>
    <w:uiPriority w:val="99"/>
    <w:unhideWhenUsed/>
    <w:qFormat/>
  </w:style>
  <w:style w:type="paragraph" w:customStyle="1" w:styleId="Textoindependienteprimerasangra1">
    <w:name w:val="Texto independiente primera sangría1"/>
    <w:basedOn w:val="Default"/>
    <w:uiPriority w:val="99"/>
    <w:unhideWhenUsed/>
    <w:qFormat/>
    <w:pPr>
      <w:ind w:firstLine="340"/>
    </w:pPr>
  </w:style>
  <w:style w:type="paragraph" w:customStyle="1" w:styleId="Title1">
    <w:name w:val="Title1"/>
    <w:basedOn w:val="Default"/>
    <w:uiPriority w:val="99"/>
    <w:unhideWhenUsed/>
    <w:qFormat/>
    <w:pPr>
      <w:jc w:val="center"/>
    </w:pPr>
  </w:style>
  <w:style w:type="paragraph" w:customStyle="1" w:styleId="Title2">
    <w:name w:val="Title2"/>
    <w:basedOn w:val="Default"/>
    <w:uiPriority w:val="99"/>
    <w:unhideWhenUsed/>
    <w:qFormat/>
    <w:pPr>
      <w:spacing w:before="57" w:after="57"/>
      <w:ind w:right="113"/>
      <w:jc w:val="center"/>
    </w:pPr>
  </w:style>
  <w:style w:type="paragraph" w:customStyle="1" w:styleId="DimensionLine">
    <w:name w:val="Dimension Line"/>
    <w:basedOn w:val="Default"/>
    <w:uiPriority w:val="99"/>
    <w:unhideWhenUsed/>
    <w:qFormat/>
  </w:style>
  <w:style w:type="paragraph" w:customStyle="1" w:styleId="TitleSlideLTGliederung1">
    <w:name w:val="Title Slide~LT~Gliederung 1"/>
    <w:uiPriority w:val="99"/>
    <w:unhideWhenUsed/>
    <w:qFormat/>
    <w:pPr>
      <w:widowControl w:val="0"/>
      <w:spacing w:after="283" w:line="216" w:lineRule="auto"/>
    </w:pPr>
    <w:rPr>
      <w:rFonts w:ascii="FreeSans" w:eastAsia="FreeSans" w:hAnsi="FreeSans"/>
      <w:color w:val="000000"/>
      <w:sz w:val="56"/>
    </w:rPr>
  </w:style>
  <w:style w:type="paragraph" w:customStyle="1" w:styleId="TitleSlideLTGliederung2">
    <w:name w:val="Title Slide~LT~Gliederung 2"/>
    <w:basedOn w:val="TitleSlideLTGliederung1"/>
    <w:uiPriority w:val="99"/>
    <w:unhideWhenUsed/>
    <w:qFormat/>
    <w:pPr>
      <w:spacing w:after="227"/>
    </w:pPr>
    <w:rPr>
      <w:sz w:val="40"/>
    </w:rPr>
  </w:style>
  <w:style w:type="paragraph" w:customStyle="1" w:styleId="TitleSlideLTGliederung3">
    <w:name w:val="Title Slide~LT~Gliederung 3"/>
    <w:basedOn w:val="TitleSlideLTGliederung2"/>
    <w:uiPriority w:val="99"/>
    <w:unhideWhenUsed/>
    <w:qFormat/>
    <w:pPr>
      <w:spacing w:after="170"/>
    </w:pPr>
    <w:rPr>
      <w:sz w:val="36"/>
    </w:rPr>
  </w:style>
  <w:style w:type="paragraph" w:customStyle="1" w:styleId="TitleSlideLTGliederung4">
    <w:name w:val="Title Slide~LT~Gliederung 4"/>
    <w:basedOn w:val="TitleSlideLTGliederung3"/>
    <w:uiPriority w:val="99"/>
    <w:unhideWhenUsed/>
    <w:qFormat/>
    <w:pPr>
      <w:spacing w:after="113"/>
    </w:pPr>
  </w:style>
  <w:style w:type="paragraph" w:customStyle="1" w:styleId="TitleSlideLTGliederung5">
    <w:name w:val="Title Slide~LT~Gliederung 5"/>
    <w:basedOn w:val="TitleSlideLTGliederung4"/>
    <w:uiPriority w:val="99"/>
    <w:unhideWhenUsed/>
    <w:qFormat/>
    <w:pPr>
      <w:spacing w:after="57"/>
    </w:pPr>
    <w:rPr>
      <w:sz w:val="40"/>
    </w:rPr>
  </w:style>
  <w:style w:type="paragraph" w:customStyle="1" w:styleId="TitleSlideLTGliederung6">
    <w:name w:val="Title Slide~LT~Gliederung 6"/>
    <w:basedOn w:val="TitleSlideLTGliederung5"/>
    <w:uiPriority w:val="99"/>
    <w:unhideWhenUsed/>
    <w:qFormat/>
    <w:pPr>
      <w:spacing w:after="0"/>
    </w:pPr>
  </w:style>
  <w:style w:type="paragraph" w:customStyle="1" w:styleId="TitleSlideLTGliederung7">
    <w:name w:val="Title Slide~LT~Gliederung 7"/>
    <w:basedOn w:val="TitleSlideLTGliederung6"/>
    <w:uiPriority w:val="99"/>
    <w:unhideWhenUsed/>
    <w:qFormat/>
  </w:style>
  <w:style w:type="paragraph" w:customStyle="1" w:styleId="TitleSlideLTGliederung8">
    <w:name w:val="Title Slide~LT~Gliederung 8"/>
    <w:basedOn w:val="TitleSlideLTGliederung7"/>
    <w:uiPriority w:val="99"/>
    <w:unhideWhenUsed/>
    <w:qFormat/>
  </w:style>
  <w:style w:type="paragraph" w:customStyle="1" w:styleId="TitleSlideLTGliederung9">
    <w:name w:val="Title Slide~LT~Gliederung 9"/>
    <w:basedOn w:val="TitleSlideLTGliederung8"/>
    <w:uiPriority w:val="99"/>
    <w:unhideWhenUsed/>
    <w:qFormat/>
  </w:style>
  <w:style w:type="paragraph" w:customStyle="1" w:styleId="TitleSlideLTTitel">
    <w:name w:val="Title Slide~LT~Titel"/>
    <w:uiPriority w:val="99"/>
    <w:unhideWhenUsed/>
    <w:qFormat/>
    <w:pPr>
      <w:widowControl w:val="0"/>
      <w:spacing w:after="160" w:line="200" w:lineRule="atLeast"/>
    </w:pPr>
    <w:rPr>
      <w:rFonts w:ascii="FreeSans" w:eastAsia="FreeSans" w:hAnsi="FreeSans"/>
      <w:color w:val="000000"/>
      <w:sz w:val="36"/>
    </w:rPr>
  </w:style>
  <w:style w:type="paragraph" w:customStyle="1" w:styleId="TitleSlideLTUntertitel">
    <w:name w:val="Title Slide~LT~Untertitel"/>
    <w:uiPriority w:val="99"/>
    <w:unhideWhenUsed/>
    <w:qFormat/>
    <w:pPr>
      <w:widowControl w:val="0"/>
      <w:spacing w:after="160" w:line="259" w:lineRule="auto"/>
      <w:jc w:val="center"/>
    </w:pPr>
    <w:rPr>
      <w:rFonts w:ascii="FreeSans" w:eastAsia="FreeSans" w:hAnsi="FreeSans"/>
      <w:color w:val="00000A"/>
      <w:sz w:val="64"/>
    </w:rPr>
  </w:style>
  <w:style w:type="paragraph" w:customStyle="1" w:styleId="TitleSlideLTNotizen">
    <w:name w:val="Title Slide~LT~Notizen"/>
    <w:uiPriority w:val="99"/>
    <w:unhideWhenUsed/>
    <w:qFormat/>
    <w:pPr>
      <w:widowControl w:val="0"/>
      <w:spacing w:after="160" w:line="259" w:lineRule="auto"/>
      <w:ind w:left="340" w:hanging="340"/>
    </w:pPr>
    <w:rPr>
      <w:rFonts w:ascii="FreeSans" w:eastAsia="FreeSans" w:hAnsi="FreeSans"/>
      <w:color w:val="00000A"/>
      <w:sz w:val="40"/>
    </w:rPr>
  </w:style>
  <w:style w:type="paragraph" w:customStyle="1" w:styleId="TitleSlideLTHintergrundobjekte">
    <w:name w:val="Title Slide~LT~Hintergrundobjekte"/>
    <w:uiPriority w:val="99"/>
    <w:unhideWhenUsed/>
    <w:qFormat/>
    <w:pPr>
      <w:widowControl w:val="0"/>
      <w:spacing w:after="160" w:line="259" w:lineRule="auto"/>
    </w:pPr>
    <w:rPr>
      <w:sz w:val="24"/>
    </w:rPr>
  </w:style>
  <w:style w:type="paragraph" w:customStyle="1" w:styleId="TitleSlideLTHintergrund">
    <w:name w:val="Title Slide~LT~Hintergrund"/>
    <w:uiPriority w:val="99"/>
    <w:unhideWhenUsed/>
    <w:qFormat/>
    <w:pPr>
      <w:widowControl w:val="0"/>
      <w:spacing w:after="160" w:line="259" w:lineRule="auto"/>
    </w:pPr>
    <w:rPr>
      <w:sz w:val="24"/>
    </w:rPr>
  </w:style>
  <w:style w:type="paragraph" w:customStyle="1" w:styleId="default0">
    <w:name w:val="default"/>
    <w:uiPriority w:val="99"/>
    <w:unhideWhenUsed/>
    <w:qFormat/>
    <w:pPr>
      <w:widowControl w:val="0"/>
      <w:spacing w:after="160" w:line="200" w:lineRule="atLeast"/>
    </w:pPr>
    <w:rPr>
      <w:rFonts w:ascii="FreeSans" w:eastAsia="FreeSans" w:hAnsi="FreeSans"/>
      <w:color w:val="00000A"/>
      <w:sz w:val="36"/>
    </w:rPr>
  </w:style>
  <w:style w:type="paragraph" w:customStyle="1" w:styleId="gray1">
    <w:name w:val="gray1"/>
    <w:basedOn w:val="default0"/>
    <w:uiPriority w:val="99"/>
    <w:unhideWhenUsed/>
    <w:qFormat/>
  </w:style>
  <w:style w:type="paragraph" w:customStyle="1" w:styleId="gray2">
    <w:name w:val="gray2"/>
    <w:basedOn w:val="default0"/>
    <w:uiPriority w:val="99"/>
    <w:unhideWhenUsed/>
    <w:qFormat/>
  </w:style>
  <w:style w:type="paragraph" w:customStyle="1" w:styleId="gray3">
    <w:name w:val="gray3"/>
    <w:basedOn w:val="default0"/>
    <w:uiPriority w:val="99"/>
    <w:unhideWhenUsed/>
    <w:qFormat/>
  </w:style>
  <w:style w:type="paragraph" w:customStyle="1" w:styleId="bw1">
    <w:name w:val="bw1"/>
    <w:basedOn w:val="default0"/>
    <w:uiPriority w:val="99"/>
    <w:unhideWhenUsed/>
    <w:qFormat/>
  </w:style>
  <w:style w:type="paragraph" w:customStyle="1" w:styleId="bw2">
    <w:name w:val="bw2"/>
    <w:basedOn w:val="default0"/>
    <w:uiPriority w:val="99"/>
    <w:unhideWhenUsed/>
    <w:qFormat/>
  </w:style>
  <w:style w:type="paragraph" w:customStyle="1" w:styleId="bw3">
    <w:name w:val="bw3"/>
    <w:basedOn w:val="default0"/>
    <w:uiPriority w:val="99"/>
    <w:unhideWhenUsed/>
    <w:qFormat/>
  </w:style>
  <w:style w:type="paragraph" w:customStyle="1" w:styleId="orange1">
    <w:name w:val="orange1"/>
    <w:basedOn w:val="default0"/>
    <w:uiPriority w:val="99"/>
    <w:unhideWhenUsed/>
    <w:qFormat/>
  </w:style>
  <w:style w:type="paragraph" w:customStyle="1" w:styleId="orange2">
    <w:name w:val="orange2"/>
    <w:basedOn w:val="default0"/>
    <w:uiPriority w:val="99"/>
    <w:unhideWhenUsed/>
    <w:qFormat/>
  </w:style>
  <w:style w:type="paragraph" w:customStyle="1" w:styleId="orange3">
    <w:name w:val="orange3"/>
    <w:basedOn w:val="default0"/>
    <w:uiPriority w:val="99"/>
    <w:unhideWhenUsed/>
    <w:qFormat/>
  </w:style>
  <w:style w:type="paragraph" w:customStyle="1" w:styleId="turquoise1">
    <w:name w:val="turquoise1"/>
    <w:basedOn w:val="default0"/>
    <w:uiPriority w:val="99"/>
    <w:unhideWhenUsed/>
    <w:qFormat/>
  </w:style>
  <w:style w:type="paragraph" w:customStyle="1" w:styleId="turquoise2">
    <w:name w:val="turquoise2"/>
    <w:basedOn w:val="default0"/>
    <w:uiPriority w:val="99"/>
    <w:unhideWhenUsed/>
    <w:qFormat/>
  </w:style>
  <w:style w:type="paragraph" w:customStyle="1" w:styleId="turquoise3">
    <w:name w:val="turquoise3"/>
    <w:basedOn w:val="default0"/>
    <w:uiPriority w:val="99"/>
    <w:unhideWhenUsed/>
    <w:qFormat/>
  </w:style>
  <w:style w:type="paragraph" w:customStyle="1" w:styleId="blue1">
    <w:name w:val="blue1"/>
    <w:basedOn w:val="default0"/>
    <w:uiPriority w:val="99"/>
    <w:unhideWhenUsed/>
    <w:qFormat/>
  </w:style>
  <w:style w:type="paragraph" w:customStyle="1" w:styleId="blue2">
    <w:name w:val="blue2"/>
    <w:basedOn w:val="default0"/>
    <w:uiPriority w:val="99"/>
    <w:unhideWhenUsed/>
    <w:qFormat/>
  </w:style>
  <w:style w:type="paragraph" w:customStyle="1" w:styleId="blue3">
    <w:name w:val="blue3"/>
    <w:basedOn w:val="default0"/>
    <w:uiPriority w:val="99"/>
    <w:unhideWhenUsed/>
    <w:qFormat/>
  </w:style>
  <w:style w:type="paragraph" w:customStyle="1" w:styleId="sun1">
    <w:name w:val="sun1"/>
    <w:basedOn w:val="default0"/>
    <w:uiPriority w:val="99"/>
    <w:unhideWhenUsed/>
    <w:qFormat/>
  </w:style>
  <w:style w:type="paragraph" w:customStyle="1" w:styleId="sun2">
    <w:name w:val="sun2"/>
    <w:basedOn w:val="default0"/>
    <w:uiPriority w:val="99"/>
    <w:unhideWhenUsed/>
    <w:qFormat/>
  </w:style>
  <w:style w:type="paragraph" w:customStyle="1" w:styleId="sun3">
    <w:name w:val="sun3"/>
    <w:basedOn w:val="default0"/>
    <w:uiPriority w:val="99"/>
    <w:unhideWhenUsed/>
    <w:qFormat/>
  </w:style>
  <w:style w:type="paragraph" w:customStyle="1" w:styleId="earth1">
    <w:name w:val="earth1"/>
    <w:basedOn w:val="default0"/>
    <w:uiPriority w:val="99"/>
    <w:unhideWhenUsed/>
    <w:qFormat/>
  </w:style>
  <w:style w:type="paragraph" w:customStyle="1" w:styleId="earth2">
    <w:name w:val="earth2"/>
    <w:basedOn w:val="default0"/>
    <w:uiPriority w:val="99"/>
    <w:unhideWhenUsed/>
    <w:qFormat/>
  </w:style>
  <w:style w:type="paragraph" w:customStyle="1" w:styleId="earth3">
    <w:name w:val="earth3"/>
    <w:basedOn w:val="default0"/>
    <w:uiPriority w:val="99"/>
    <w:unhideWhenUsed/>
    <w:qFormat/>
  </w:style>
  <w:style w:type="paragraph" w:customStyle="1" w:styleId="green1">
    <w:name w:val="green1"/>
    <w:basedOn w:val="default0"/>
    <w:uiPriority w:val="99"/>
    <w:unhideWhenUsed/>
    <w:qFormat/>
  </w:style>
  <w:style w:type="paragraph" w:customStyle="1" w:styleId="green2">
    <w:name w:val="green2"/>
    <w:basedOn w:val="default0"/>
    <w:uiPriority w:val="99"/>
    <w:unhideWhenUsed/>
    <w:qFormat/>
  </w:style>
  <w:style w:type="paragraph" w:customStyle="1" w:styleId="green3">
    <w:name w:val="green3"/>
    <w:basedOn w:val="default0"/>
    <w:uiPriority w:val="99"/>
    <w:unhideWhenUsed/>
    <w:qFormat/>
  </w:style>
  <w:style w:type="paragraph" w:customStyle="1" w:styleId="seetang1">
    <w:name w:val="seetang1"/>
    <w:basedOn w:val="default0"/>
    <w:uiPriority w:val="99"/>
    <w:unhideWhenUsed/>
    <w:qFormat/>
  </w:style>
  <w:style w:type="paragraph" w:customStyle="1" w:styleId="seetang2">
    <w:name w:val="seetang2"/>
    <w:basedOn w:val="default0"/>
    <w:uiPriority w:val="99"/>
    <w:unhideWhenUsed/>
    <w:qFormat/>
  </w:style>
  <w:style w:type="paragraph" w:customStyle="1" w:styleId="seetang3">
    <w:name w:val="seetang3"/>
    <w:basedOn w:val="default0"/>
    <w:uiPriority w:val="99"/>
    <w:unhideWhenUsed/>
    <w:qFormat/>
  </w:style>
  <w:style w:type="paragraph" w:customStyle="1" w:styleId="lightblue1">
    <w:name w:val="lightblue1"/>
    <w:basedOn w:val="default0"/>
    <w:uiPriority w:val="99"/>
    <w:unhideWhenUsed/>
    <w:qFormat/>
  </w:style>
  <w:style w:type="paragraph" w:customStyle="1" w:styleId="lightblue2">
    <w:name w:val="lightblue2"/>
    <w:basedOn w:val="default0"/>
    <w:uiPriority w:val="99"/>
    <w:unhideWhenUsed/>
    <w:qFormat/>
  </w:style>
  <w:style w:type="paragraph" w:customStyle="1" w:styleId="lightblue3">
    <w:name w:val="lightblue3"/>
    <w:basedOn w:val="default0"/>
    <w:uiPriority w:val="99"/>
    <w:unhideWhenUsed/>
    <w:qFormat/>
  </w:style>
  <w:style w:type="paragraph" w:customStyle="1" w:styleId="yellow1">
    <w:name w:val="yellow1"/>
    <w:basedOn w:val="default0"/>
    <w:uiPriority w:val="99"/>
    <w:unhideWhenUsed/>
    <w:qFormat/>
  </w:style>
  <w:style w:type="paragraph" w:customStyle="1" w:styleId="yellow2">
    <w:name w:val="yellow2"/>
    <w:basedOn w:val="default0"/>
    <w:uiPriority w:val="99"/>
    <w:unhideWhenUsed/>
    <w:qFormat/>
  </w:style>
  <w:style w:type="paragraph" w:customStyle="1" w:styleId="yellow3">
    <w:name w:val="yellow3"/>
    <w:basedOn w:val="default0"/>
    <w:uiPriority w:val="99"/>
    <w:unhideWhenUsed/>
    <w:qFormat/>
  </w:style>
  <w:style w:type="paragraph" w:customStyle="1" w:styleId="Backgroundobjects">
    <w:name w:val="Background objects"/>
    <w:uiPriority w:val="99"/>
    <w:unhideWhenUsed/>
    <w:qFormat/>
    <w:pPr>
      <w:widowControl w:val="0"/>
      <w:spacing w:after="160" w:line="259" w:lineRule="auto"/>
    </w:pPr>
    <w:rPr>
      <w:sz w:val="24"/>
    </w:rPr>
  </w:style>
  <w:style w:type="paragraph" w:customStyle="1" w:styleId="Background">
    <w:name w:val="Background"/>
    <w:uiPriority w:val="99"/>
    <w:unhideWhenUsed/>
    <w:qFormat/>
    <w:pPr>
      <w:widowControl w:val="0"/>
      <w:spacing w:after="160" w:line="259" w:lineRule="auto"/>
    </w:pPr>
    <w:rPr>
      <w:sz w:val="24"/>
    </w:rPr>
  </w:style>
  <w:style w:type="paragraph" w:customStyle="1" w:styleId="Notes">
    <w:name w:val="Notes"/>
    <w:uiPriority w:val="99"/>
    <w:unhideWhenUsed/>
    <w:qFormat/>
    <w:pPr>
      <w:widowControl w:val="0"/>
      <w:spacing w:after="160" w:line="259" w:lineRule="auto"/>
      <w:ind w:left="340" w:hanging="340"/>
    </w:pPr>
    <w:rPr>
      <w:rFonts w:ascii="FreeSans" w:eastAsia="FreeSans" w:hAnsi="FreeSans"/>
      <w:color w:val="00000A"/>
      <w:sz w:val="40"/>
    </w:rPr>
  </w:style>
  <w:style w:type="paragraph" w:customStyle="1" w:styleId="Outline1">
    <w:name w:val="Outline 1"/>
    <w:uiPriority w:val="99"/>
    <w:unhideWhenUsed/>
    <w:qFormat/>
    <w:pPr>
      <w:widowControl w:val="0"/>
      <w:spacing w:after="283" w:line="216" w:lineRule="auto"/>
    </w:pPr>
    <w:rPr>
      <w:rFonts w:ascii="FreeSans" w:eastAsia="FreeSans" w:hAnsi="FreeSans"/>
      <w:color w:val="000000"/>
      <w:sz w:val="56"/>
    </w:rPr>
  </w:style>
  <w:style w:type="paragraph" w:customStyle="1" w:styleId="Outline2">
    <w:name w:val="Outline 2"/>
    <w:basedOn w:val="Outline1"/>
    <w:uiPriority w:val="99"/>
    <w:unhideWhenUsed/>
    <w:qFormat/>
    <w:pPr>
      <w:spacing w:after="227"/>
    </w:pPr>
    <w:rPr>
      <w:sz w:val="40"/>
    </w:rPr>
  </w:style>
  <w:style w:type="paragraph" w:customStyle="1" w:styleId="Outline3">
    <w:name w:val="Outline 3"/>
    <w:basedOn w:val="Outline2"/>
    <w:uiPriority w:val="99"/>
    <w:unhideWhenUsed/>
    <w:qFormat/>
    <w:pPr>
      <w:spacing w:after="170"/>
    </w:pPr>
    <w:rPr>
      <w:sz w:val="36"/>
    </w:rPr>
  </w:style>
  <w:style w:type="paragraph" w:customStyle="1" w:styleId="Outline4">
    <w:name w:val="Outline 4"/>
    <w:basedOn w:val="Outline3"/>
    <w:uiPriority w:val="99"/>
    <w:unhideWhenUsed/>
    <w:qFormat/>
    <w:pPr>
      <w:spacing w:after="113"/>
    </w:pPr>
  </w:style>
  <w:style w:type="paragraph" w:customStyle="1" w:styleId="Outline5">
    <w:name w:val="Outline 5"/>
    <w:basedOn w:val="Outline4"/>
    <w:uiPriority w:val="99"/>
    <w:unhideWhenUsed/>
    <w:qFormat/>
    <w:pPr>
      <w:spacing w:after="57"/>
    </w:pPr>
    <w:rPr>
      <w:sz w:val="40"/>
    </w:rPr>
  </w:style>
  <w:style w:type="paragraph" w:customStyle="1" w:styleId="Outline6">
    <w:name w:val="Outline 6"/>
    <w:basedOn w:val="Outline5"/>
    <w:uiPriority w:val="99"/>
    <w:unhideWhenUsed/>
    <w:qFormat/>
    <w:pPr>
      <w:spacing w:after="0"/>
    </w:pPr>
  </w:style>
  <w:style w:type="paragraph" w:customStyle="1" w:styleId="Outline7">
    <w:name w:val="Outline 7"/>
    <w:basedOn w:val="Outline6"/>
    <w:uiPriority w:val="99"/>
    <w:unhideWhenUsed/>
    <w:qFormat/>
  </w:style>
  <w:style w:type="paragraph" w:customStyle="1" w:styleId="Outline8">
    <w:name w:val="Outline 8"/>
    <w:basedOn w:val="Outline7"/>
    <w:uiPriority w:val="99"/>
    <w:unhideWhenUsed/>
    <w:qFormat/>
  </w:style>
  <w:style w:type="paragraph" w:customStyle="1" w:styleId="Outline9">
    <w:name w:val="Outline 9"/>
    <w:basedOn w:val="Outline8"/>
    <w:uiPriority w:val="99"/>
    <w:unhideWhenUsed/>
    <w:qFormat/>
  </w:style>
  <w:style w:type="paragraph" w:customStyle="1" w:styleId="TitleandContentLTGliederung1">
    <w:name w:val="Title and Content~LT~Gliederung 1"/>
    <w:uiPriority w:val="99"/>
    <w:unhideWhenUsed/>
    <w:qFormat/>
    <w:pPr>
      <w:widowControl w:val="0"/>
      <w:spacing w:after="283" w:line="216" w:lineRule="auto"/>
    </w:pPr>
    <w:rPr>
      <w:rFonts w:ascii="FreeSans" w:eastAsia="FreeSans" w:hAnsi="FreeSans"/>
      <w:color w:val="000000"/>
      <w:sz w:val="56"/>
    </w:rPr>
  </w:style>
  <w:style w:type="paragraph" w:customStyle="1" w:styleId="TitleandContentLTGliederung2">
    <w:name w:val="Title and Content~LT~Gliederung 2"/>
    <w:basedOn w:val="TitleandContentLTGliederung1"/>
    <w:uiPriority w:val="99"/>
    <w:unhideWhenUsed/>
    <w:qFormat/>
    <w:pPr>
      <w:spacing w:after="227"/>
    </w:pPr>
    <w:rPr>
      <w:sz w:val="40"/>
    </w:rPr>
  </w:style>
  <w:style w:type="paragraph" w:customStyle="1" w:styleId="TitleandContentLTGliederung3">
    <w:name w:val="Title and Content~LT~Gliederung 3"/>
    <w:basedOn w:val="TitleandContentLTGliederung2"/>
    <w:uiPriority w:val="99"/>
    <w:unhideWhenUsed/>
    <w:qFormat/>
    <w:pPr>
      <w:spacing w:after="170"/>
    </w:pPr>
    <w:rPr>
      <w:sz w:val="36"/>
    </w:rPr>
  </w:style>
  <w:style w:type="paragraph" w:customStyle="1" w:styleId="TitleandContentLTGliederung4">
    <w:name w:val="Title and Content~LT~Gliederung 4"/>
    <w:basedOn w:val="TitleandContentLTGliederung3"/>
    <w:uiPriority w:val="99"/>
    <w:unhideWhenUsed/>
    <w:qFormat/>
    <w:pPr>
      <w:spacing w:after="113"/>
    </w:pPr>
  </w:style>
  <w:style w:type="paragraph" w:customStyle="1" w:styleId="TitleandContentLTGliederung5">
    <w:name w:val="Title and Content~LT~Gliederung 5"/>
    <w:basedOn w:val="TitleandContentLTGliederung4"/>
    <w:uiPriority w:val="99"/>
    <w:unhideWhenUsed/>
    <w:qFormat/>
    <w:pPr>
      <w:spacing w:after="57"/>
    </w:pPr>
    <w:rPr>
      <w:sz w:val="40"/>
    </w:rPr>
  </w:style>
  <w:style w:type="paragraph" w:customStyle="1" w:styleId="TitleandContentLTGliederung6">
    <w:name w:val="Title and Content~LT~Gliederung 6"/>
    <w:basedOn w:val="TitleandContentLTGliederung5"/>
    <w:uiPriority w:val="99"/>
    <w:unhideWhenUsed/>
    <w:qFormat/>
    <w:pPr>
      <w:spacing w:after="0"/>
    </w:pPr>
  </w:style>
  <w:style w:type="paragraph" w:customStyle="1" w:styleId="TitleandContentLTGliederung7">
    <w:name w:val="Title and Content~LT~Gliederung 7"/>
    <w:basedOn w:val="TitleandContentLTGliederung6"/>
    <w:uiPriority w:val="99"/>
    <w:unhideWhenUsed/>
    <w:qFormat/>
  </w:style>
  <w:style w:type="paragraph" w:customStyle="1" w:styleId="TitleandContentLTGliederung8">
    <w:name w:val="Title and Content~LT~Gliederung 8"/>
    <w:basedOn w:val="TitleandContentLTGliederung7"/>
    <w:uiPriority w:val="99"/>
    <w:unhideWhenUsed/>
    <w:qFormat/>
  </w:style>
  <w:style w:type="paragraph" w:customStyle="1" w:styleId="TitleandContentLTGliederung9">
    <w:name w:val="Title and Content~LT~Gliederung 9"/>
    <w:basedOn w:val="TitleandContentLTGliederung8"/>
    <w:uiPriority w:val="99"/>
    <w:unhideWhenUsed/>
    <w:qFormat/>
  </w:style>
  <w:style w:type="paragraph" w:customStyle="1" w:styleId="TitleandContentLTTitel">
    <w:name w:val="Title and Content~LT~Titel"/>
    <w:uiPriority w:val="99"/>
    <w:unhideWhenUsed/>
    <w:qFormat/>
    <w:pPr>
      <w:widowControl w:val="0"/>
      <w:spacing w:after="160" w:line="200" w:lineRule="atLeast"/>
    </w:pPr>
    <w:rPr>
      <w:rFonts w:ascii="FreeSans" w:eastAsia="FreeSans" w:hAnsi="FreeSans"/>
      <w:color w:val="000000"/>
      <w:sz w:val="36"/>
    </w:rPr>
  </w:style>
  <w:style w:type="paragraph" w:customStyle="1" w:styleId="TitleandContentLTUntertitel">
    <w:name w:val="Title and Content~LT~Untertitel"/>
    <w:uiPriority w:val="99"/>
    <w:unhideWhenUsed/>
    <w:qFormat/>
    <w:pPr>
      <w:widowControl w:val="0"/>
      <w:spacing w:after="160" w:line="259" w:lineRule="auto"/>
      <w:jc w:val="center"/>
    </w:pPr>
    <w:rPr>
      <w:rFonts w:ascii="FreeSans" w:eastAsia="FreeSans" w:hAnsi="FreeSans"/>
      <w:color w:val="00000A"/>
      <w:sz w:val="64"/>
    </w:rPr>
  </w:style>
  <w:style w:type="paragraph" w:customStyle="1" w:styleId="TitleandContentLTNotizen">
    <w:name w:val="Title and Content~LT~Notizen"/>
    <w:uiPriority w:val="99"/>
    <w:unhideWhenUsed/>
    <w:qFormat/>
    <w:pPr>
      <w:widowControl w:val="0"/>
      <w:spacing w:after="160" w:line="259" w:lineRule="auto"/>
      <w:ind w:left="340" w:hanging="340"/>
    </w:pPr>
    <w:rPr>
      <w:rFonts w:ascii="FreeSans" w:eastAsia="FreeSans" w:hAnsi="FreeSans"/>
      <w:color w:val="00000A"/>
      <w:sz w:val="40"/>
    </w:rPr>
  </w:style>
  <w:style w:type="paragraph" w:customStyle="1" w:styleId="TitleandContentLTHintergrundobjekte">
    <w:name w:val="Title and Content~LT~Hintergrundobjekte"/>
    <w:uiPriority w:val="99"/>
    <w:unhideWhenUsed/>
    <w:qFormat/>
    <w:pPr>
      <w:widowControl w:val="0"/>
      <w:spacing w:after="160" w:line="259" w:lineRule="auto"/>
    </w:pPr>
    <w:rPr>
      <w:sz w:val="24"/>
    </w:rPr>
  </w:style>
  <w:style w:type="paragraph" w:customStyle="1" w:styleId="TitleandContentLTHintergrund">
    <w:name w:val="Title and Content~LT~Hintergrund"/>
    <w:uiPriority w:val="99"/>
    <w:unhideWhenUsed/>
    <w:qFormat/>
    <w:pPr>
      <w:widowControl w:val="0"/>
      <w:spacing w:after="160" w:line="259" w:lineRule="auto"/>
    </w:pPr>
    <w:rPr>
      <w:sz w:val="24"/>
    </w:rPr>
  </w:style>
  <w:style w:type="paragraph" w:customStyle="1" w:styleId="western">
    <w:name w:val="western"/>
    <w:qFormat/>
    <w:pPr>
      <w:spacing w:after="160" w:line="259" w:lineRule="auto"/>
    </w:pPr>
    <w:rPr>
      <w:rFonts w:ascii="Liberation Serif" w:eastAsia="Liberation Serif" w:hAnsi="Liberation Serif"/>
      <w:sz w:val="24"/>
      <w:szCs w:val="24"/>
      <w:lang w:val="en-US" w:bidi="ar-SA"/>
    </w:rPr>
  </w:style>
  <w:style w:type="paragraph" w:customStyle="1" w:styleId="Contenidodelmarco">
    <w:name w:val="Contenido del marco"/>
    <w:basedOn w:val="Normal"/>
    <w:qFormat/>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style>
  <w:style w:type="character" w:styleId="Hipervnculo">
    <w:name w:val="Hyperlink"/>
    <w:basedOn w:val="Fuentedeprrafopredeter"/>
    <w:uiPriority w:val="99"/>
    <w:unhideWhenUsed/>
    <w:rsid w:val="00AC6EF6"/>
    <w:rPr>
      <w:color w:val="0563C1" w:themeColor="hyperlink"/>
      <w:u w:val="single"/>
    </w:rPr>
  </w:style>
  <w:style w:type="character" w:styleId="Mencinsinresolver">
    <w:name w:val="Unresolved Mention"/>
    <w:basedOn w:val="Fuentedeprrafopredeter"/>
    <w:uiPriority w:val="99"/>
    <w:semiHidden/>
    <w:unhideWhenUsed/>
    <w:rsid w:val="005977B0"/>
    <w:rPr>
      <w:color w:val="808080"/>
      <w:shd w:val="clear" w:color="auto" w:fill="E6E6E6"/>
    </w:rPr>
  </w:style>
  <w:style w:type="paragraph" w:styleId="Prrafodelista">
    <w:name w:val="List Paragraph"/>
    <w:basedOn w:val="Normal"/>
    <w:uiPriority w:val="99"/>
    <w:rsid w:val="00666A72"/>
    <w:pPr>
      <w:ind w:left="720"/>
      <w:contextualSpacing/>
    </w:pPr>
  </w:style>
  <w:style w:type="paragraph" w:styleId="Sinespaciado">
    <w:name w:val="No Spacing"/>
    <w:uiPriority w:val="1"/>
    <w:qFormat/>
    <w:rsid w:val="009E4E97"/>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rensacomunitaria.org/samococh-criminalizacion-y-judicalizacion-contra-doce-personas-qeqchi/%5D."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conred.gob.gt/site/Mapa-Rio-la-Pasion-de-Sayaxche-Peten" TargetMode="External"/><Relationship Id="rId13" Type="http://schemas.openxmlformats.org/officeDocument/2006/relationships/hyperlink" Target="http://www.sucre-ethique.org" TargetMode="External"/><Relationship Id="rId3" Type="http://schemas.openxmlformats.org/officeDocument/2006/relationships/hyperlink" Target="https://medium.com/@foe_us/guatemalan-palm-oil-supplier-repsa-caught-up-in-corruption-and-bribery-scandal-bc5234be384d" TargetMode="External"/><Relationship Id="rId7" Type="http://schemas.openxmlformats.org/officeDocument/2006/relationships/hyperlink" Target="http://www.congcoop.org.gt/images/palma_aceitera_LTIMA_VERSIN.pdf" TargetMode="External"/><Relationship Id="rId12" Type="http://schemas.openxmlformats.org/officeDocument/2006/relationships/hyperlink" Target="http://www.regionalnephropathy.org/wp-content/uploads/2013/04/Technical-Report-for-Website-Final.pdf" TargetMode="External"/><Relationship Id="rId2" Type="http://schemas.openxmlformats.org/officeDocument/2006/relationships/hyperlink" Target="http://www.azucar.com.gt/azucar-de-guatemala-en-el-mundo" TargetMode="External"/><Relationship Id="rId1" Type="http://schemas.openxmlformats.org/officeDocument/2006/relationships/hyperlink" Target="http://www.ohchr.org/Documents/HRBodies/HRCouncil/RegularSession/Session19/A.HRC.19.21.Add.1_sp.pdf." TargetMode="External"/><Relationship Id="rId6" Type="http://schemas.openxmlformats.org/officeDocument/2006/relationships/hyperlink" Target="https://www.youtube.com/watch?v=QzXqc6H23kU" TargetMode="External"/><Relationship Id="rId11" Type="http://schemas.openxmlformats.org/officeDocument/2006/relationships/hyperlink" Target="https://cmiguate.org/otro-ecocidio-en-sayaxche/" TargetMode="External"/><Relationship Id="rId5" Type="http://schemas.openxmlformats.org/officeDocument/2006/relationships/hyperlink" Target="http://tragua.com/wp-content/uploads/2016/10/Veredictos_2016_Guatemala.-Version-final.pdf" TargetMode="External"/><Relationship Id="rId10" Type="http://schemas.openxmlformats.org/officeDocument/2006/relationships/hyperlink" Target="https://cmiguate.org/la-pasion-desastre-ecologico-y-social/" TargetMode="External"/><Relationship Id="rId4" Type="http://schemas.openxmlformats.org/officeDocument/2006/relationships/hyperlink" Target="http://tragua.com/2016/04/veredictos-vii-audiencia-el-salvador/" TargetMode="External"/><Relationship Id="rId9" Type="http://schemas.openxmlformats.org/officeDocument/2006/relationships/hyperlink" Target="https://www.plazapublica.com.gt/content/habia-una-vez-un-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DBAB8E0-B714-46E0-BAD0-4708E04D99AE}"/>
</file>

<file path=customXml/itemProps3.xml><?xml version="1.0" encoding="utf-8"?>
<ds:datastoreItem xmlns:ds="http://schemas.openxmlformats.org/officeDocument/2006/customXml" ds:itemID="{56CA9197-527C-4ED1-A135-715A538B769C}"/>
</file>

<file path=customXml/itemProps4.xml><?xml version="1.0" encoding="utf-8"?>
<ds:datastoreItem xmlns:ds="http://schemas.openxmlformats.org/officeDocument/2006/customXml" ds:itemID="{E663B2E1-439C-4AFE-8676-DFECDDC4D728}"/>
</file>

<file path=customXml/itemProps5.xml><?xml version="1.0" encoding="utf-8"?>
<ds:datastoreItem xmlns:ds="http://schemas.openxmlformats.org/officeDocument/2006/customXml" ds:itemID="{0EF0EEB6-7147-475E-ABE4-8029A1E5E93F}"/>
</file>

<file path=docProps/app.xml><?xml version="1.0" encoding="utf-8"?>
<Properties xmlns="http://schemas.openxmlformats.org/officeDocument/2006/extended-properties" xmlns:vt="http://schemas.openxmlformats.org/officeDocument/2006/docPropsVTypes">
  <Template>Normal</Template>
  <TotalTime>1</TotalTime>
  <Pages>20</Pages>
  <Words>7068</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CONGCOOP</cp:lastModifiedBy>
  <cp:revision>2</cp:revision>
  <cp:lastPrinted>2017-03-08T16:56:00Z</cp:lastPrinted>
  <dcterms:created xsi:type="dcterms:W3CDTF">2018-02-14T21:19:00Z</dcterms:created>
  <dcterms:modified xsi:type="dcterms:W3CDTF">2018-02-14T21:19:00Z</dcterms:modified>
  <dc:language>es-GT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3082-10.1.0.5503</vt:lpwstr>
  </property>
  <property fmtid="{D5CDD505-2E9C-101B-9397-08002B2CF9AE}" pid="4" name="LinksUpToDate">
    <vt:bool>false</vt:bool>
  </property>
  <property fmtid="{D5CDD505-2E9C-101B-9397-08002B2CF9AE}" pid="5" name="ScaleCrop">
    <vt:bool>false</vt:bool>
  </property>
  <property fmtid="{D5CDD505-2E9C-101B-9397-08002B2CF9AE}" pid="6" name="ContentTypeId">
    <vt:lpwstr>0x010100D94DC6E63E0E4C40BB58A92BBDBC479C</vt:lpwstr>
  </property>
</Properties>
</file>