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8E8" w:rsidRDefault="00DC58E8" w:rsidP="00DC58E8">
      <w:pPr>
        <w:jc w:val="both"/>
        <w:rPr>
          <w:rFonts w:ascii="Times New Roman" w:hAnsi="Times New Roman" w:cs="Times New Roman"/>
          <w:sz w:val="24"/>
          <w:szCs w:val="24"/>
        </w:rPr>
      </w:pPr>
    </w:p>
    <w:p w:rsidR="00DC58E8" w:rsidRDefault="00D555BE" w:rsidP="00DC58E8">
      <w:pPr>
        <w:pStyle w:val="Textoindependiente2"/>
        <w:autoSpaceDE w:val="0"/>
        <w:autoSpaceDN w:val="0"/>
        <w:adjustRightInd w:val="0"/>
        <w:spacing w:after="0" w:line="240" w:lineRule="auto"/>
        <w:ind w:right="707"/>
        <w:jc w:val="both"/>
        <w:rPr>
          <w:rFonts w:ascii="Helvetica" w:hAnsi="Helvetica" w:cs="Helvetica"/>
          <w:b/>
          <w:sz w:val="20"/>
          <w:szCs w:val="20"/>
        </w:rPr>
      </w:pPr>
      <w:r>
        <w:rPr>
          <w:rFonts w:ascii="Helvetica" w:hAnsi="Helvetica" w:cs="Helvetica"/>
          <w:b/>
          <w:sz w:val="20"/>
          <w:szCs w:val="20"/>
        </w:rPr>
        <w:t>Anexo 21</w:t>
      </w:r>
      <w:r w:rsidR="00DC58E8">
        <w:rPr>
          <w:rFonts w:ascii="Helvetica" w:hAnsi="Helvetica" w:cs="Helvetica"/>
          <w:b/>
          <w:sz w:val="20"/>
          <w:szCs w:val="20"/>
        </w:rPr>
        <w:t>- Medidas Adoptadas sobre Migración</w:t>
      </w:r>
      <w:bookmarkStart w:id="0" w:name="_GoBack"/>
      <w:bookmarkEnd w:id="0"/>
    </w:p>
    <w:p w:rsidR="00DC58E8" w:rsidRPr="005269B6" w:rsidRDefault="00DC58E8" w:rsidP="00DC58E8">
      <w:pPr>
        <w:pStyle w:val="Textoindependiente2"/>
        <w:autoSpaceDE w:val="0"/>
        <w:autoSpaceDN w:val="0"/>
        <w:adjustRightInd w:val="0"/>
        <w:spacing w:after="0" w:line="240" w:lineRule="auto"/>
        <w:ind w:right="707"/>
        <w:jc w:val="both"/>
        <w:rPr>
          <w:rFonts w:ascii="Helvetica" w:hAnsi="Helvetica" w:cs="Helvetica"/>
          <w:b/>
          <w:sz w:val="20"/>
          <w:szCs w:val="20"/>
        </w:rPr>
      </w:pPr>
    </w:p>
    <w:p w:rsidR="00BC0807" w:rsidRDefault="00DC58E8" w:rsidP="00BC0807">
      <w:pPr>
        <w:jc w:val="both"/>
        <w:rPr>
          <w:rFonts w:ascii="Times New Roman" w:hAnsi="Times New Roman" w:cs="Times New Roman"/>
          <w:sz w:val="24"/>
          <w:szCs w:val="24"/>
          <w:lang w:val="es-ES_tradnl"/>
        </w:rPr>
      </w:pPr>
      <w:r>
        <w:rPr>
          <w:rFonts w:ascii="Times New Roman" w:hAnsi="Times New Roman" w:cs="Times New Roman"/>
          <w:sz w:val="24"/>
          <w:szCs w:val="24"/>
          <w:lang w:val="es-ES"/>
        </w:rPr>
        <w:t xml:space="preserve"> </w:t>
      </w:r>
      <w:r w:rsidR="00BC0807">
        <w:rPr>
          <w:rFonts w:ascii="Times New Roman" w:hAnsi="Times New Roman" w:cs="Times New Roman"/>
          <w:sz w:val="24"/>
          <w:szCs w:val="24"/>
          <w:lang w:val="es-ES_tradnl"/>
        </w:rPr>
        <w:t xml:space="preserve">La Ley de Migración promulgada en 2011 </w:t>
      </w:r>
      <w:r w:rsidR="00BC0807" w:rsidRPr="0082292E">
        <w:rPr>
          <w:rFonts w:ascii="Times New Roman" w:hAnsi="Times New Roman" w:cs="Times New Roman"/>
          <w:sz w:val="24"/>
          <w:szCs w:val="24"/>
          <w:lang w:val="es-ES_tradnl"/>
        </w:rPr>
        <w:t>representa un cambio paradigmático en el respeto y garantía de los de</w:t>
      </w:r>
      <w:r w:rsidR="00BC0807">
        <w:rPr>
          <w:rFonts w:ascii="Times New Roman" w:hAnsi="Times New Roman" w:cs="Times New Roman"/>
          <w:sz w:val="24"/>
          <w:szCs w:val="24"/>
          <w:lang w:val="es-ES_tradnl"/>
        </w:rPr>
        <w:t>rechos humanos de los migrantes. Garantiza que en ningún caso una situación migratoria irregular preconfigurará por sí misma la comisión de un delito ni se prejuzgará la comisión de ilícitos por parte de un migrante por el hecho de encontrarse en condición no documentada</w:t>
      </w:r>
      <w:r w:rsidR="00BC0807" w:rsidRPr="0082292E">
        <w:rPr>
          <w:rFonts w:ascii="Times New Roman" w:hAnsi="Times New Roman" w:cs="Times New Roman"/>
          <w:sz w:val="24"/>
          <w:szCs w:val="24"/>
          <w:lang w:val="es-ES_tradnl"/>
        </w:rPr>
        <w:t>.</w:t>
      </w:r>
      <w:r w:rsidR="00BC0807">
        <w:rPr>
          <w:rFonts w:ascii="Times New Roman" w:hAnsi="Times New Roman" w:cs="Times New Roman"/>
          <w:sz w:val="24"/>
          <w:szCs w:val="24"/>
          <w:lang w:val="es-ES_tradnl"/>
        </w:rPr>
        <w:t xml:space="preserve"> </w:t>
      </w:r>
      <w:r w:rsidR="00BC0807" w:rsidRPr="0082292E">
        <w:rPr>
          <w:rFonts w:ascii="Times New Roman" w:hAnsi="Times New Roman" w:cs="Times New Roman"/>
          <w:sz w:val="24"/>
          <w:szCs w:val="24"/>
          <w:lang w:val="es-ES_tradnl"/>
        </w:rPr>
        <w:t>La Ley de Migración tiene como objetivos fundamentales garantizar la protección de los derechos y la seguridad de los migrantes nacionales y de los extranjeros independientem</w:t>
      </w:r>
      <w:r w:rsidR="00BC0807">
        <w:rPr>
          <w:rFonts w:ascii="Times New Roman" w:hAnsi="Times New Roman" w:cs="Times New Roman"/>
          <w:sz w:val="24"/>
          <w:szCs w:val="24"/>
          <w:lang w:val="es-ES_tradnl"/>
        </w:rPr>
        <w:t>ente de su situación migratoria;</w:t>
      </w:r>
      <w:r w:rsidR="00BC0807" w:rsidRPr="0082292E">
        <w:rPr>
          <w:rFonts w:ascii="Times New Roman" w:hAnsi="Times New Roman" w:cs="Times New Roman"/>
          <w:sz w:val="24"/>
          <w:szCs w:val="24"/>
          <w:lang w:val="es-ES_tradnl"/>
        </w:rPr>
        <w:t xml:space="preserve"> así como dotar de atribuciones a todas las autoridades vinculadas con el tema migratorio y establecer obligaciones de coordinación para la prevención, persecución y asistencia a migrantes víctimas de delitos.</w:t>
      </w:r>
    </w:p>
    <w:p w:rsidR="00BC0807" w:rsidRDefault="00BC0807" w:rsidP="00BC0807">
      <w:pPr>
        <w:jc w:val="both"/>
        <w:rPr>
          <w:rFonts w:ascii="Times New Roman" w:hAnsi="Times New Roman" w:cs="Times New Roman"/>
          <w:sz w:val="24"/>
          <w:szCs w:val="24"/>
          <w:lang w:val="es-ES_tradnl"/>
        </w:rPr>
      </w:pPr>
    </w:p>
    <w:p w:rsidR="00BC0807" w:rsidRPr="0082292E" w:rsidRDefault="00BC0807" w:rsidP="00BC0807">
      <w:pPr>
        <w:jc w:val="both"/>
        <w:rPr>
          <w:rFonts w:ascii="Times New Roman" w:hAnsi="Times New Roman" w:cs="Times New Roman"/>
          <w:sz w:val="24"/>
          <w:szCs w:val="24"/>
          <w:lang w:val="es-ES_tradnl"/>
        </w:rPr>
      </w:pPr>
      <w:r w:rsidRPr="00B115C1">
        <w:rPr>
          <w:rFonts w:ascii="Times New Roman" w:hAnsi="Times New Roman" w:cs="Times New Roman"/>
          <w:sz w:val="24"/>
          <w:szCs w:val="24"/>
          <w:lang w:val="es-ES_tradnl"/>
        </w:rPr>
        <w:t xml:space="preserve">De manera adicional, entre 2011 y 2016 </w:t>
      </w:r>
      <w:r w:rsidRPr="00B115C1">
        <w:rPr>
          <w:rFonts w:ascii="Times New Roman" w:hAnsi="Times New Roman" w:cs="Times New Roman"/>
          <w:sz w:val="24"/>
          <w:szCs w:val="24"/>
        </w:rPr>
        <w:t>se han publicado diversos instrumentos jurídicos con objeto de garantizar el pleno respeto a los derechos humanos de</w:t>
      </w:r>
      <w:r>
        <w:rPr>
          <w:rFonts w:ascii="Times New Roman" w:hAnsi="Times New Roman" w:cs="Times New Roman"/>
          <w:sz w:val="24"/>
          <w:szCs w:val="24"/>
        </w:rPr>
        <w:t xml:space="preserve"> los migrantes, tales como </w:t>
      </w:r>
      <w:r w:rsidRPr="00D6071B">
        <w:rPr>
          <w:rFonts w:ascii="Times New Roman" w:hAnsi="Times New Roman" w:cs="Times New Roman"/>
          <w:sz w:val="24"/>
          <w:szCs w:val="24"/>
        </w:rPr>
        <w:t>el Acuerdo por el que se emiten las Normas para el funcionamiento de las Estaciones Migratorias y Estancias Provisionales del INM; el Acuerdo por el que se emiten los Lineamentos en materia de Protección a Migrantes del INM, y</w:t>
      </w:r>
      <w:r>
        <w:rPr>
          <w:rFonts w:ascii="Times New Roman" w:hAnsi="Times New Roman" w:cs="Times New Roman"/>
          <w:sz w:val="24"/>
          <w:szCs w:val="24"/>
        </w:rPr>
        <w:t xml:space="preserve"> la</w:t>
      </w:r>
      <w:r w:rsidRPr="00D6071B">
        <w:rPr>
          <w:rFonts w:ascii="Times New Roman" w:hAnsi="Times New Roman" w:cs="Times New Roman"/>
          <w:sz w:val="24"/>
          <w:szCs w:val="24"/>
        </w:rPr>
        <w:t xml:space="preserve"> Ley General de los Derechos de Niñas, Niños y Adolescentes</w:t>
      </w:r>
      <w:r>
        <w:rPr>
          <w:rFonts w:ascii="Times New Roman" w:hAnsi="Times New Roman" w:cs="Times New Roman"/>
          <w:sz w:val="24"/>
          <w:szCs w:val="24"/>
        </w:rPr>
        <w:t xml:space="preserve"> y su Reglamento.</w:t>
      </w:r>
    </w:p>
    <w:p w:rsidR="00BC0807" w:rsidRDefault="00BC0807" w:rsidP="00BC0807">
      <w:pPr>
        <w:jc w:val="both"/>
        <w:rPr>
          <w:rFonts w:ascii="Times New Roman" w:hAnsi="Times New Roman" w:cs="Times New Roman"/>
          <w:color w:val="FF0000"/>
          <w:sz w:val="24"/>
          <w:szCs w:val="24"/>
        </w:rPr>
      </w:pPr>
    </w:p>
    <w:p w:rsidR="00BC0807" w:rsidRPr="001E33EC" w:rsidRDefault="00BC0807" w:rsidP="00BC0807">
      <w:pPr>
        <w:jc w:val="both"/>
        <w:rPr>
          <w:rFonts w:ascii="Times New Roman" w:eastAsia="Calibri" w:hAnsi="Times New Roman" w:cs="Times New Roman"/>
          <w:sz w:val="24"/>
          <w:szCs w:val="24"/>
        </w:rPr>
      </w:pPr>
      <w:r w:rsidRPr="00CF58B8">
        <w:rPr>
          <w:rFonts w:ascii="Times New Roman" w:hAnsi="Times New Roman" w:cs="Times New Roman"/>
          <w:sz w:val="24"/>
          <w:szCs w:val="24"/>
        </w:rPr>
        <w:t xml:space="preserve">De conformidad con el artículo 11 de la Ley de Migración, </w:t>
      </w:r>
      <w:r>
        <w:rPr>
          <w:rFonts w:ascii="Times New Roman" w:hAnsi="Times New Roman" w:cs="Times New Roman"/>
          <w:sz w:val="24"/>
          <w:szCs w:val="24"/>
        </w:rPr>
        <w:t xml:space="preserve">en cualquier caso, </w:t>
      </w:r>
      <w:r w:rsidRPr="00CF58B8">
        <w:rPr>
          <w:rFonts w:ascii="Times New Roman" w:hAnsi="Times New Roman" w:cs="Times New Roman"/>
          <w:sz w:val="24"/>
          <w:szCs w:val="24"/>
        </w:rPr>
        <w:t>independientemente de su situación migratoria, los migrantes tendrán derecho a la procura</w:t>
      </w:r>
      <w:r>
        <w:rPr>
          <w:rFonts w:ascii="Times New Roman" w:hAnsi="Times New Roman" w:cs="Times New Roman"/>
          <w:sz w:val="24"/>
          <w:szCs w:val="24"/>
        </w:rPr>
        <w:t>ción e impartición de justicia, r</w:t>
      </w:r>
      <w:r w:rsidRPr="00CF58B8">
        <w:rPr>
          <w:rFonts w:ascii="Times New Roman" w:hAnsi="Times New Roman" w:cs="Times New Roman"/>
          <w:sz w:val="24"/>
          <w:szCs w:val="24"/>
        </w:rPr>
        <w:t xml:space="preserve">espetando en todo momento el derecho al debido proceso, así como </w:t>
      </w:r>
      <w:r>
        <w:rPr>
          <w:rFonts w:ascii="Times New Roman" w:hAnsi="Times New Roman" w:cs="Times New Roman"/>
          <w:sz w:val="24"/>
          <w:szCs w:val="24"/>
        </w:rPr>
        <w:t>a presentar quejas en materia de derechos h</w:t>
      </w:r>
      <w:r w:rsidRPr="00CF58B8">
        <w:rPr>
          <w:rFonts w:ascii="Times New Roman" w:hAnsi="Times New Roman" w:cs="Times New Roman"/>
          <w:sz w:val="24"/>
          <w:szCs w:val="24"/>
        </w:rPr>
        <w:t>umanos, de conformidad con las disposiciones contenidas en la Constitución y demás leyes aplicables.</w:t>
      </w:r>
      <w:r>
        <w:rPr>
          <w:rFonts w:ascii="Times New Roman" w:hAnsi="Times New Roman" w:cs="Times New Roman"/>
          <w:sz w:val="24"/>
          <w:szCs w:val="24"/>
        </w:rPr>
        <w:t xml:space="preserve"> </w:t>
      </w:r>
      <w:r w:rsidRPr="00CF58B8">
        <w:rPr>
          <w:rFonts w:ascii="Times New Roman" w:hAnsi="Times New Roman" w:cs="Times New Roman"/>
          <w:sz w:val="24"/>
          <w:szCs w:val="24"/>
        </w:rPr>
        <w:t>Si durante el otorgamiento de su garantía de audiencia, el extranjero manifiesta haber sido víctima de la presunta comisión de algún delito, la autoridad migratoria estará obligada a proporcionar las facilidades necesarias a efecto de que el migrante realice la respectiva denuncia ante autoridad competente.</w:t>
      </w:r>
      <w:r>
        <w:rPr>
          <w:rFonts w:ascii="Times New Roman" w:hAnsi="Times New Roman" w:cs="Times New Roman"/>
          <w:sz w:val="24"/>
          <w:szCs w:val="24"/>
        </w:rPr>
        <w:t xml:space="preserve"> </w:t>
      </w:r>
      <w:r w:rsidRPr="001E33EC">
        <w:rPr>
          <w:rFonts w:ascii="Times New Roman" w:eastAsia="Calibri" w:hAnsi="Times New Roman" w:cs="Times New Roman"/>
          <w:sz w:val="24"/>
          <w:szCs w:val="24"/>
        </w:rPr>
        <w:t xml:space="preserve">En los procedimientos aplicables a niñas, niños y adolescentes migrantes, se tendrá en cuenta su edad y se privilegiará el </w:t>
      </w:r>
      <w:r>
        <w:rPr>
          <w:rFonts w:ascii="Times New Roman" w:eastAsia="Calibri" w:hAnsi="Times New Roman" w:cs="Times New Roman"/>
          <w:sz w:val="24"/>
          <w:szCs w:val="24"/>
        </w:rPr>
        <w:t>interés superior de los mismos y la unidad familiar.</w:t>
      </w:r>
    </w:p>
    <w:p w:rsidR="00BC0807" w:rsidRDefault="00BC0807" w:rsidP="00BC0807">
      <w:pPr>
        <w:jc w:val="both"/>
        <w:rPr>
          <w:rFonts w:ascii="Times New Roman" w:hAnsi="Times New Roman" w:cs="Times New Roman"/>
          <w:sz w:val="24"/>
          <w:szCs w:val="24"/>
        </w:rPr>
      </w:pPr>
    </w:p>
    <w:p w:rsidR="00BC0807" w:rsidRDefault="00BC0807" w:rsidP="00BC0807">
      <w:pPr>
        <w:jc w:val="both"/>
        <w:rPr>
          <w:rFonts w:ascii="Times New Roman" w:hAnsi="Times New Roman" w:cs="Times New Roman"/>
          <w:sz w:val="24"/>
          <w:szCs w:val="24"/>
        </w:rPr>
      </w:pPr>
      <w:r w:rsidRPr="00CF58B8">
        <w:rPr>
          <w:rFonts w:ascii="Times New Roman" w:hAnsi="Times New Roman" w:cs="Times New Roman"/>
          <w:sz w:val="24"/>
          <w:szCs w:val="24"/>
        </w:rPr>
        <w:t>El artículo 181 del Reglamento de la Ley de Migración señala que en ningún caso la autoridad migratoria podrá obligar a la persona extranjera a denunciar los hechos posiblemente constitutivos de delito</w:t>
      </w:r>
      <w:r>
        <w:rPr>
          <w:rFonts w:ascii="Times New Roman" w:hAnsi="Times New Roman" w:cs="Times New Roman"/>
          <w:sz w:val="24"/>
          <w:szCs w:val="24"/>
        </w:rPr>
        <w:t>,</w:t>
      </w:r>
      <w:r w:rsidRPr="00CF58B8">
        <w:rPr>
          <w:rFonts w:ascii="Times New Roman" w:hAnsi="Times New Roman" w:cs="Times New Roman"/>
          <w:sz w:val="24"/>
          <w:szCs w:val="24"/>
        </w:rPr>
        <w:t xml:space="preserve"> ni se podrá ejercer ningún tipo de presión ni forzarlo a realizar cualquier diligencia de carácter ministerial o judicial. Si la persona extranjera decide denunciar los hechos ante el Agente del Ministerio Público</w:t>
      </w:r>
      <w:r>
        <w:rPr>
          <w:rFonts w:ascii="Times New Roman" w:hAnsi="Times New Roman" w:cs="Times New Roman"/>
          <w:sz w:val="24"/>
          <w:szCs w:val="24"/>
        </w:rPr>
        <w:t>,</w:t>
      </w:r>
      <w:r w:rsidRPr="00CF58B8">
        <w:rPr>
          <w:rFonts w:ascii="Times New Roman" w:hAnsi="Times New Roman" w:cs="Times New Roman"/>
          <w:sz w:val="24"/>
          <w:szCs w:val="24"/>
        </w:rPr>
        <w:t xml:space="preserve"> se deberá garantizar su acceso inmediato a la administración de justicia, facilitando todos los medios con los que se cuente para tal fin.</w:t>
      </w:r>
    </w:p>
    <w:p w:rsidR="00BC0807" w:rsidRDefault="00BC0807" w:rsidP="00BC0807">
      <w:pPr>
        <w:jc w:val="both"/>
        <w:rPr>
          <w:rFonts w:ascii="Times New Roman" w:hAnsi="Times New Roman" w:cs="Times New Roman"/>
          <w:sz w:val="24"/>
          <w:szCs w:val="24"/>
        </w:rPr>
      </w:pPr>
    </w:p>
    <w:p w:rsidR="00BC0807" w:rsidRPr="00586764" w:rsidRDefault="00BC0807" w:rsidP="00BC0807">
      <w:pPr>
        <w:jc w:val="both"/>
        <w:rPr>
          <w:rFonts w:ascii="Times New Roman" w:eastAsia="Calibri" w:hAnsi="Times New Roman" w:cs="Times New Roman"/>
          <w:sz w:val="24"/>
          <w:szCs w:val="24"/>
          <w:lang w:val="es-ES_tradnl"/>
        </w:rPr>
      </w:pPr>
      <w:r w:rsidRPr="001E33EC">
        <w:rPr>
          <w:rFonts w:ascii="Times New Roman" w:eastAsia="Calibri" w:hAnsi="Times New Roman" w:cs="Times New Roman"/>
          <w:sz w:val="24"/>
          <w:szCs w:val="24"/>
        </w:rPr>
        <w:t>Si se trata de un niño, niña o adolescente migrante extranjero no acompañado y es su voluntad denunciar los hechos ante la autoridad ministerial, el Instituto deberá garantizar su acompañamiento ante el Agente del Ministerio Público por parte de su representación consular, excepto en los casos de solicitantes del reconocimiento de la condición de refugiado o de asilo, así como la asistencia por personal del I</w:t>
      </w:r>
      <w:r>
        <w:rPr>
          <w:rFonts w:ascii="Times New Roman" w:eastAsia="Calibri" w:hAnsi="Times New Roman" w:cs="Times New Roman"/>
          <w:sz w:val="24"/>
          <w:szCs w:val="24"/>
        </w:rPr>
        <w:t xml:space="preserve">NM </w:t>
      </w:r>
      <w:r w:rsidRPr="001E33EC">
        <w:rPr>
          <w:rFonts w:ascii="Times New Roman" w:eastAsia="Calibri" w:hAnsi="Times New Roman" w:cs="Times New Roman"/>
          <w:sz w:val="24"/>
          <w:szCs w:val="24"/>
        </w:rPr>
        <w:t xml:space="preserve">especializado en la protección a la infancia y capacitado en los derechos de niñas, niños y adolescentes. </w:t>
      </w:r>
      <w:r w:rsidRPr="00C04C44">
        <w:rPr>
          <w:rFonts w:ascii="Times New Roman" w:eastAsiaTheme="minorEastAsia" w:hAnsi="Times New Roman" w:cs="Times New Roman"/>
          <w:sz w:val="24"/>
          <w:szCs w:val="24"/>
          <w:lang w:val="es-ES_tradnl" w:eastAsia="es-ES"/>
        </w:rPr>
        <w:t xml:space="preserve">Los </w:t>
      </w:r>
      <w:r>
        <w:rPr>
          <w:rFonts w:ascii="Times New Roman" w:eastAsiaTheme="minorEastAsia" w:hAnsi="Times New Roman" w:cs="Times New Roman"/>
          <w:sz w:val="24"/>
          <w:szCs w:val="24"/>
          <w:lang w:val="es-ES_tradnl" w:eastAsia="es-ES"/>
        </w:rPr>
        <w:t>Oficiales de Protección de la Infancia (OPIS)</w:t>
      </w:r>
      <w:r w:rsidRPr="00C04C44">
        <w:rPr>
          <w:rFonts w:ascii="Times New Roman" w:eastAsiaTheme="minorEastAsia" w:hAnsi="Times New Roman" w:cs="Times New Roman"/>
          <w:sz w:val="24"/>
          <w:szCs w:val="24"/>
          <w:lang w:val="es-ES_tradnl" w:eastAsia="es-ES"/>
        </w:rPr>
        <w:t xml:space="preserve"> son</w:t>
      </w:r>
      <w:r>
        <w:rPr>
          <w:rFonts w:ascii="Times New Roman" w:eastAsiaTheme="minorEastAsia" w:hAnsi="Times New Roman" w:cs="Times New Roman"/>
          <w:sz w:val="24"/>
          <w:szCs w:val="24"/>
          <w:lang w:val="es-ES_tradnl" w:eastAsia="es-ES"/>
        </w:rPr>
        <w:t xml:space="preserve"> Agentes Federales de Migración</w:t>
      </w:r>
      <w:r w:rsidRPr="00C04C44">
        <w:rPr>
          <w:rFonts w:ascii="Times New Roman" w:eastAsiaTheme="minorEastAsia" w:hAnsi="Times New Roman" w:cs="Times New Roman"/>
          <w:sz w:val="24"/>
          <w:szCs w:val="24"/>
          <w:lang w:val="es-ES_tradnl" w:eastAsia="es-ES"/>
        </w:rPr>
        <w:t xml:space="preserve"> a quienes el INM ha </w:t>
      </w:r>
      <w:r w:rsidRPr="00C04C44">
        <w:rPr>
          <w:rFonts w:ascii="Times New Roman" w:eastAsiaTheme="minorEastAsia" w:hAnsi="Times New Roman" w:cs="Times New Roman"/>
          <w:sz w:val="24"/>
          <w:szCs w:val="24"/>
          <w:lang w:val="es-ES_tradnl" w:eastAsia="es-ES"/>
        </w:rPr>
        <w:lastRenderedPageBreak/>
        <w:t>designado para resguardar los derechos humanos de niños, niñas y adolescentes migrantes acompañados y no acompañados, llevando a cabo las siguientes acciones durante el acompañamiento de NNA migrantes:</w:t>
      </w:r>
    </w:p>
    <w:p w:rsidR="00BC0807" w:rsidRPr="00C04C44" w:rsidRDefault="00BC0807" w:rsidP="00BC0807">
      <w:pPr>
        <w:pStyle w:val="Prrafodelista"/>
        <w:numPr>
          <w:ilvl w:val="0"/>
          <w:numId w:val="1"/>
        </w:numPr>
        <w:autoSpaceDE w:val="0"/>
        <w:autoSpaceDN w:val="0"/>
        <w:adjustRightInd w:val="0"/>
        <w:spacing w:after="241"/>
        <w:jc w:val="both"/>
        <w:rPr>
          <w:rFonts w:ascii="Times New Roman" w:eastAsiaTheme="minorEastAsia" w:hAnsi="Times New Roman" w:cs="Times New Roman"/>
          <w:sz w:val="24"/>
          <w:szCs w:val="24"/>
          <w:lang w:val="es-ES_tradnl" w:eastAsia="es-ES"/>
        </w:rPr>
      </w:pPr>
      <w:r w:rsidRPr="00C04C44">
        <w:rPr>
          <w:rFonts w:ascii="Times New Roman" w:eastAsiaTheme="minorEastAsia" w:hAnsi="Times New Roman" w:cs="Times New Roman"/>
          <w:sz w:val="24"/>
          <w:szCs w:val="24"/>
          <w:lang w:val="es-ES_tradnl" w:eastAsia="es-ES"/>
        </w:rPr>
        <w:t xml:space="preserve">Salvaguardar su integridad física y psicológica; </w:t>
      </w:r>
    </w:p>
    <w:p w:rsidR="00BC0807" w:rsidRPr="00C04C44" w:rsidRDefault="00BC0807" w:rsidP="00BC0807">
      <w:pPr>
        <w:pStyle w:val="Prrafodelista"/>
        <w:numPr>
          <w:ilvl w:val="0"/>
          <w:numId w:val="1"/>
        </w:numPr>
        <w:autoSpaceDE w:val="0"/>
        <w:autoSpaceDN w:val="0"/>
        <w:adjustRightInd w:val="0"/>
        <w:spacing w:after="241"/>
        <w:jc w:val="both"/>
        <w:rPr>
          <w:rFonts w:ascii="Times New Roman" w:eastAsiaTheme="minorEastAsia" w:hAnsi="Times New Roman" w:cs="Times New Roman"/>
          <w:sz w:val="24"/>
          <w:szCs w:val="24"/>
          <w:lang w:val="es-ES_tradnl" w:eastAsia="es-ES"/>
        </w:rPr>
      </w:pPr>
      <w:r w:rsidRPr="00C04C44">
        <w:rPr>
          <w:rFonts w:ascii="Times New Roman" w:eastAsiaTheme="minorEastAsia" w:hAnsi="Times New Roman" w:cs="Times New Roman"/>
          <w:sz w:val="24"/>
          <w:szCs w:val="24"/>
          <w:lang w:val="es-ES_tradnl" w:eastAsia="es-ES"/>
        </w:rPr>
        <w:t xml:space="preserve">Brindarles  de manera inmediata los servicios de salud, alimentación, vestido y descanso; </w:t>
      </w:r>
    </w:p>
    <w:p w:rsidR="00BC0807" w:rsidRPr="00C04C44" w:rsidRDefault="00BC0807" w:rsidP="00BC0807">
      <w:pPr>
        <w:pStyle w:val="Prrafodelista"/>
        <w:numPr>
          <w:ilvl w:val="0"/>
          <w:numId w:val="1"/>
        </w:numPr>
        <w:autoSpaceDE w:val="0"/>
        <w:autoSpaceDN w:val="0"/>
        <w:adjustRightInd w:val="0"/>
        <w:jc w:val="both"/>
        <w:rPr>
          <w:rFonts w:ascii="Times New Roman" w:eastAsiaTheme="minorEastAsia" w:hAnsi="Times New Roman" w:cs="Times New Roman"/>
          <w:sz w:val="24"/>
          <w:szCs w:val="24"/>
          <w:lang w:val="es-ES_tradnl" w:eastAsia="es-ES"/>
        </w:rPr>
      </w:pPr>
      <w:r w:rsidRPr="00C04C44">
        <w:rPr>
          <w:rFonts w:ascii="Times New Roman" w:eastAsiaTheme="minorEastAsia" w:hAnsi="Times New Roman" w:cs="Times New Roman"/>
          <w:sz w:val="24"/>
          <w:szCs w:val="24"/>
          <w:lang w:val="es-ES_tradnl" w:eastAsia="es-ES"/>
        </w:rPr>
        <w:t xml:space="preserve">Facilitarles la comunicación con sus familiares a través de llamadas gratuitas; </w:t>
      </w:r>
    </w:p>
    <w:p w:rsidR="00BC0807" w:rsidRPr="00C04C44" w:rsidRDefault="00BC0807" w:rsidP="00BC0807">
      <w:pPr>
        <w:pStyle w:val="Prrafodelista"/>
        <w:numPr>
          <w:ilvl w:val="0"/>
          <w:numId w:val="1"/>
        </w:numPr>
        <w:autoSpaceDE w:val="0"/>
        <w:autoSpaceDN w:val="0"/>
        <w:adjustRightInd w:val="0"/>
        <w:spacing w:after="241"/>
        <w:jc w:val="both"/>
        <w:rPr>
          <w:rFonts w:ascii="Times New Roman" w:eastAsiaTheme="minorEastAsia" w:hAnsi="Times New Roman" w:cs="Times New Roman"/>
          <w:sz w:val="24"/>
          <w:szCs w:val="24"/>
          <w:lang w:val="es-ES_tradnl" w:eastAsia="es-ES"/>
        </w:rPr>
      </w:pPr>
      <w:r w:rsidRPr="00C04C44">
        <w:rPr>
          <w:rFonts w:ascii="Times New Roman" w:eastAsiaTheme="minorEastAsia" w:hAnsi="Times New Roman" w:cs="Times New Roman"/>
          <w:sz w:val="24"/>
          <w:szCs w:val="24"/>
          <w:lang w:val="es-ES_tradnl" w:eastAsia="es-ES"/>
        </w:rPr>
        <w:t>Durante todo el Procedimiento Administrativo Migratorio, mantenerlos informados sobre su situación migratoria, utilizando un lenguaje respetuoso, amable y de acuerdo a su edad, y</w:t>
      </w:r>
    </w:p>
    <w:p w:rsidR="00BC0807" w:rsidRPr="00C04C44" w:rsidRDefault="00BC0807" w:rsidP="00BC0807">
      <w:pPr>
        <w:pStyle w:val="Prrafodelista"/>
        <w:numPr>
          <w:ilvl w:val="0"/>
          <w:numId w:val="1"/>
        </w:numPr>
        <w:autoSpaceDE w:val="0"/>
        <w:autoSpaceDN w:val="0"/>
        <w:adjustRightInd w:val="0"/>
        <w:jc w:val="both"/>
        <w:rPr>
          <w:rFonts w:ascii="Times New Roman" w:eastAsiaTheme="minorEastAsia" w:hAnsi="Times New Roman" w:cs="Times New Roman"/>
          <w:sz w:val="24"/>
          <w:szCs w:val="24"/>
          <w:lang w:val="es-ES_tradnl" w:eastAsia="es-ES"/>
        </w:rPr>
      </w:pPr>
      <w:r w:rsidRPr="00C04C44">
        <w:rPr>
          <w:rFonts w:ascii="Times New Roman" w:eastAsiaTheme="minorEastAsia" w:hAnsi="Times New Roman" w:cs="Times New Roman"/>
          <w:sz w:val="24"/>
          <w:szCs w:val="24"/>
          <w:lang w:val="es-ES_tradnl" w:eastAsia="es-ES"/>
        </w:rPr>
        <w:t>Acompañarles durante todo el proceso de retorno asistido a su país de origen o residencia.</w:t>
      </w:r>
    </w:p>
    <w:p w:rsidR="00BC0807" w:rsidRPr="00C04C44" w:rsidRDefault="00BC0807" w:rsidP="00BC0807">
      <w:pPr>
        <w:rPr>
          <w:rFonts w:ascii="Times New Roman" w:eastAsiaTheme="minorEastAsia" w:hAnsi="Times New Roman" w:cs="Times New Roman"/>
          <w:sz w:val="24"/>
          <w:szCs w:val="24"/>
          <w:lang w:eastAsia="es-ES"/>
        </w:rPr>
      </w:pPr>
    </w:p>
    <w:p w:rsidR="00BC0807" w:rsidRPr="00C04C44" w:rsidRDefault="00BC0807" w:rsidP="00BC0807">
      <w:pPr>
        <w:jc w:val="both"/>
        <w:rPr>
          <w:rFonts w:ascii="Times New Roman" w:eastAsiaTheme="minorEastAsia" w:hAnsi="Times New Roman" w:cs="Times New Roman"/>
          <w:sz w:val="24"/>
          <w:szCs w:val="24"/>
          <w:lang w:val="es-ES_tradnl" w:eastAsia="es-ES"/>
        </w:rPr>
      </w:pPr>
      <w:r w:rsidRPr="00C04C44">
        <w:rPr>
          <w:rFonts w:ascii="Times New Roman" w:eastAsiaTheme="minorEastAsia" w:hAnsi="Times New Roman" w:cs="Times New Roman"/>
          <w:sz w:val="24"/>
          <w:szCs w:val="24"/>
          <w:lang w:val="es-ES_tradnl" w:eastAsia="es-ES"/>
        </w:rPr>
        <w:t>Actualmente, el INM cuenta con 377 OPIS distribuidos en las 32 Delegaciones Federales, y reciben capacitación continua, especializada e integral, impartida por las siguientes dependencias y organismos: Alto Comisionado de las Naciones Unidas para Refugiados (ACNUR), Organización Internacional para las Migraciones (OIM), Fondo de las Naciones Unidas para la Infancia (UNICEF), Comisión Mexicana de Ayuda a Refugiados (COMAR), Comisión Nacional de los Derechos Humanos (CNDH), y del Sistema Nacional para el Desarrollo Integral de la Familia (SNDIF).</w:t>
      </w:r>
    </w:p>
    <w:p w:rsidR="00BC0807" w:rsidRPr="00C04C44" w:rsidRDefault="00BC0807" w:rsidP="00BC0807">
      <w:pPr>
        <w:jc w:val="both"/>
        <w:rPr>
          <w:rFonts w:ascii="Times New Roman" w:eastAsiaTheme="minorEastAsia" w:hAnsi="Times New Roman" w:cs="Times New Roman"/>
          <w:sz w:val="24"/>
          <w:szCs w:val="24"/>
          <w:lang w:val="es-ES_tradnl" w:eastAsia="es-ES"/>
        </w:rPr>
      </w:pPr>
    </w:p>
    <w:p w:rsidR="00BC0807" w:rsidRPr="00C04C44" w:rsidRDefault="00BC0807" w:rsidP="00BC0807">
      <w:pPr>
        <w:jc w:val="both"/>
        <w:rPr>
          <w:rFonts w:ascii="Times New Roman" w:eastAsiaTheme="minorEastAsia" w:hAnsi="Times New Roman" w:cs="Times New Roman"/>
          <w:sz w:val="24"/>
          <w:szCs w:val="24"/>
          <w:lang w:val="es-ES_tradnl" w:eastAsia="es-ES"/>
        </w:rPr>
      </w:pPr>
      <w:r w:rsidRPr="00C04C44">
        <w:rPr>
          <w:rFonts w:ascii="Times New Roman" w:eastAsiaTheme="minorEastAsia" w:hAnsi="Times New Roman" w:cs="Times New Roman"/>
          <w:sz w:val="24"/>
          <w:szCs w:val="24"/>
          <w:lang w:val="es-ES_tradnl" w:eastAsia="es-ES"/>
        </w:rPr>
        <w:t>Adicionalmente, el INM cuenta con dos procedimientos diferenciados para las atenciones de los niños, niñas y adolescentes (NNA) migrantes no acompañados, uno enfocado a los mexicanos y otro a los extranjeros. En ellos se describen de manera general los caminos que se deben seguir para garantizar los derechos de los NNA migrantes.</w:t>
      </w:r>
    </w:p>
    <w:p w:rsidR="00BC0807" w:rsidRDefault="00BC0807" w:rsidP="00BC0807">
      <w:pPr>
        <w:jc w:val="both"/>
        <w:rPr>
          <w:rFonts w:ascii="Times New Roman" w:eastAsia="Calibri" w:hAnsi="Times New Roman" w:cs="Times New Roman"/>
          <w:sz w:val="24"/>
          <w:szCs w:val="24"/>
        </w:rPr>
      </w:pPr>
    </w:p>
    <w:p w:rsidR="00BC0807" w:rsidRPr="001E33EC" w:rsidRDefault="00BC0807" w:rsidP="00BC0807">
      <w:pPr>
        <w:jc w:val="both"/>
        <w:rPr>
          <w:rFonts w:ascii="Times New Roman" w:eastAsia="Calibri" w:hAnsi="Times New Roman" w:cs="Times New Roman"/>
          <w:sz w:val="24"/>
          <w:szCs w:val="24"/>
        </w:rPr>
      </w:pPr>
      <w:r w:rsidRPr="001E33EC">
        <w:rPr>
          <w:rFonts w:ascii="Times New Roman" w:eastAsia="Calibri" w:hAnsi="Times New Roman" w:cs="Times New Roman"/>
          <w:sz w:val="24"/>
          <w:szCs w:val="24"/>
        </w:rPr>
        <w:t xml:space="preserve">En el caso de personas extranjeras puestos a disposición del Instituto, que se encuentren alojadas en alguna institución y sean requeridos por autoridad distinta a la migratoria, el traslado correspondiente deberá ser realizado por el Instituto. </w:t>
      </w:r>
    </w:p>
    <w:p w:rsidR="00DC58E8" w:rsidRPr="008A2FF1" w:rsidRDefault="00DC58E8" w:rsidP="00DC58E8">
      <w:pPr>
        <w:pStyle w:val="Textoindependiente2"/>
        <w:autoSpaceDE w:val="0"/>
        <w:autoSpaceDN w:val="0"/>
        <w:adjustRightInd w:val="0"/>
        <w:spacing w:after="0" w:line="240" w:lineRule="auto"/>
        <w:ind w:right="707"/>
        <w:jc w:val="both"/>
        <w:rPr>
          <w:rFonts w:ascii="Helvetica" w:hAnsi="Helvetica" w:cs="Helvetica"/>
          <w:b/>
          <w:sz w:val="20"/>
          <w:szCs w:val="20"/>
        </w:rPr>
      </w:pPr>
    </w:p>
    <w:tbl>
      <w:tblPr>
        <w:tblpPr w:leftFromText="141" w:rightFromText="141" w:vertAnchor="text" w:horzAnchor="margin" w:tblpY="71"/>
        <w:tblW w:w="2503" w:type="dxa"/>
        <w:tblCellMar>
          <w:left w:w="70" w:type="dxa"/>
          <w:right w:w="70" w:type="dxa"/>
        </w:tblCellMar>
        <w:tblLook w:val="04A0" w:firstRow="1" w:lastRow="0" w:firstColumn="1" w:lastColumn="0" w:noHBand="0" w:noVBand="1"/>
      </w:tblPr>
      <w:tblGrid>
        <w:gridCol w:w="1019"/>
        <w:gridCol w:w="1484"/>
      </w:tblGrid>
      <w:tr w:rsidR="00DC58E8" w:rsidRPr="008A2FF1" w:rsidTr="00D46504">
        <w:trPr>
          <w:trHeight w:val="393"/>
        </w:trPr>
        <w:tc>
          <w:tcPr>
            <w:tcW w:w="2503" w:type="dxa"/>
            <w:gridSpan w:val="2"/>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NNA Presentados</w:t>
            </w:r>
          </w:p>
        </w:tc>
      </w:tr>
      <w:tr w:rsidR="00DC58E8" w:rsidRPr="008A2FF1" w:rsidTr="00D46504">
        <w:trPr>
          <w:trHeight w:val="197"/>
        </w:trPr>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DC58E8" w:rsidRPr="008A2FF1" w:rsidRDefault="00DC58E8" w:rsidP="00D46504">
            <w:pPr>
              <w:jc w:val="center"/>
              <w:rPr>
                <w:rFonts w:ascii="Helvetica" w:hAnsi="Helvetica" w:cs="Helvetica"/>
                <w:color w:val="000000"/>
                <w:sz w:val="20"/>
                <w:szCs w:val="20"/>
                <w:lang w:eastAsia="es-MX"/>
              </w:rPr>
            </w:pPr>
            <w:r w:rsidRPr="008A2FF1">
              <w:rPr>
                <w:rFonts w:ascii="Helvetica" w:hAnsi="Helvetica" w:cs="Helvetica"/>
                <w:color w:val="000000"/>
                <w:sz w:val="20"/>
                <w:szCs w:val="20"/>
                <w:lang w:eastAsia="es-MX"/>
              </w:rPr>
              <w:t>2015</w:t>
            </w:r>
          </w:p>
        </w:tc>
        <w:tc>
          <w:tcPr>
            <w:tcW w:w="1484" w:type="dxa"/>
            <w:tcBorders>
              <w:top w:val="nil"/>
              <w:left w:val="nil"/>
              <w:bottom w:val="single" w:sz="4" w:space="0" w:color="auto"/>
              <w:right w:val="single" w:sz="4" w:space="0" w:color="auto"/>
            </w:tcBorders>
            <w:shd w:val="clear" w:color="auto" w:fill="auto"/>
            <w:noWrap/>
            <w:vAlign w:val="center"/>
            <w:hideMark/>
          </w:tcPr>
          <w:p w:rsidR="00DC58E8" w:rsidRPr="008A2FF1" w:rsidRDefault="00DC58E8" w:rsidP="00D46504">
            <w:pPr>
              <w:jc w:val="center"/>
              <w:rPr>
                <w:rFonts w:ascii="Helvetica" w:hAnsi="Helvetica" w:cs="Helvetica"/>
                <w:color w:val="000000"/>
                <w:sz w:val="20"/>
                <w:szCs w:val="20"/>
                <w:lang w:eastAsia="es-MX"/>
              </w:rPr>
            </w:pPr>
            <w:r w:rsidRPr="008A2FF1">
              <w:rPr>
                <w:rFonts w:ascii="Helvetica" w:hAnsi="Helvetica" w:cs="Helvetica"/>
                <w:color w:val="000000"/>
                <w:sz w:val="20"/>
                <w:szCs w:val="20"/>
                <w:lang w:eastAsia="es-MX"/>
              </w:rPr>
              <w:t>36</w:t>
            </w:r>
            <w:r>
              <w:rPr>
                <w:rFonts w:ascii="Helvetica" w:hAnsi="Helvetica" w:cs="Helvetica"/>
                <w:color w:val="000000"/>
                <w:sz w:val="20"/>
                <w:szCs w:val="20"/>
                <w:lang w:eastAsia="es-MX"/>
              </w:rPr>
              <w:t>,</w:t>
            </w:r>
            <w:r w:rsidRPr="008A2FF1">
              <w:rPr>
                <w:rFonts w:ascii="Helvetica" w:hAnsi="Helvetica" w:cs="Helvetica"/>
                <w:color w:val="000000"/>
                <w:sz w:val="20"/>
                <w:szCs w:val="20"/>
                <w:lang w:eastAsia="es-MX"/>
              </w:rPr>
              <w:t>149</w:t>
            </w:r>
          </w:p>
        </w:tc>
      </w:tr>
      <w:tr w:rsidR="00DC58E8" w:rsidRPr="008A2FF1" w:rsidTr="00D46504">
        <w:trPr>
          <w:trHeight w:val="197"/>
        </w:trPr>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DC58E8" w:rsidRPr="008A2FF1" w:rsidRDefault="00DC58E8" w:rsidP="00D46504">
            <w:pPr>
              <w:jc w:val="center"/>
              <w:rPr>
                <w:rFonts w:ascii="Helvetica" w:hAnsi="Helvetica" w:cs="Helvetica"/>
                <w:color w:val="000000"/>
                <w:sz w:val="20"/>
                <w:szCs w:val="20"/>
                <w:lang w:eastAsia="es-MX"/>
              </w:rPr>
            </w:pPr>
            <w:r w:rsidRPr="008A2FF1">
              <w:rPr>
                <w:rFonts w:ascii="Helvetica" w:hAnsi="Helvetica" w:cs="Helvetica"/>
                <w:color w:val="000000"/>
                <w:sz w:val="20"/>
                <w:szCs w:val="20"/>
                <w:lang w:eastAsia="es-MX"/>
              </w:rPr>
              <w:t>2016</w:t>
            </w:r>
          </w:p>
        </w:tc>
        <w:tc>
          <w:tcPr>
            <w:tcW w:w="1484" w:type="dxa"/>
            <w:tcBorders>
              <w:top w:val="nil"/>
              <w:left w:val="nil"/>
              <w:bottom w:val="single" w:sz="4" w:space="0" w:color="auto"/>
              <w:right w:val="single" w:sz="4" w:space="0" w:color="auto"/>
            </w:tcBorders>
            <w:shd w:val="clear" w:color="auto" w:fill="auto"/>
            <w:noWrap/>
            <w:vAlign w:val="center"/>
            <w:hideMark/>
          </w:tcPr>
          <w:p w:rsidR="00DC58E8" w:rsidRPr="008A2FF1" w:rsidRDefault="00DC58E8" w:rsidP="00D46504">
            <w:pPr>
              <w:jc w:val="center"/>
              <w:rPr>
                <w:rFonts w:ascii="Helvetica" w:hAnsi="Helvetica" w:cs="Helvetica"/>
                <w:color w:val="000000"/>
                <w:sz w:val="20"/>
                <w:szCs w:val="20"/>
                <w:lang w:eastAsia="es-MX"/>
              </w:rPr>
            </w:pPr>
            <w:r w:rsidRPr="008A2FF1">
              <w:rPr>
                <w:rFonts w:ascii="Helvetica" w:hAnsi="Helvetica" w:cs="Helvetica"/>
                <w:color w:val="000000"/>
                <w:sz w:val="20"/>
                <w:szCs w:val="20"/>
                <w:lang w:eastAsia="es-MX"/>
              </w:rPr>
              <w:t>37</w:t>
            </w:r>
            <w:r>
              <w:rPr>
                <w:rFonts w:ascii="Helvetica" w:hAnsi="Helvetica" w:cs="Helvetica"/>
                <w:color w:val="000000"/>
                <w:sz w:val="20"/>
                <w:szCs w:val="20"/>
                <w:lang w:eastAsia="es-MX"/>
              </w:rPr>
              <w:t>,</w:t>
            </w:r>
            <w:r w:rsidRPr="008A2FF1">
              <w:rPr>
                <w:rFonts w:ascii="Helvetica" w:hAnsi="Helvetica" w:cs="Helvetica"/>
                <w:color w:val="000000"/>
                <w:sz w:val="20"/>
                <w:szCs w:val="20"/>
                <w:lang w:eastAsia="es-MX"/>
              </w:rPr>
              <w:t>934</w:t>
            </w:r>
          </w:p>
        </w:tc>
      </w:tr>
      <w:tr w:rsidR="00DC58E8" w:rsidRPr="008A2FF1" w:rsidTr="00D46504">
        <w:trPr>
          <w:trHeight w:val="236"/>
        </w:trPr>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Total</w:t>
            </w:r>
          </w:p>
        </w:tc>
        <w:tc>
          <w:tcPr>
            <w:tcW w:w="1484" w:type="dxa"/>
            <w:tcBorders>
              <w:top w:val="nil"/>
              <w:left w:val="nil"/>
              <w:bottom w:val="single" w:sz="4" w:space="0" w:color="auto"/>
              <w:right w:val="single" w:sz="4" w:space="0" w:color="auto"/>
            </w:tcBorders>
            <w:shd w:val="clear" w:color="auto" w:fill="auto"/>
            <w:noWrap/>
            <w:vAlign w:val="center"/>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74</w:t>
            </w:r>
            <w:r>
              <w:rPr>
                <w:rFonts w:ascii="Helvetica" w:hAnsi="Helvetica" w:cs="Helvetica"/>
                <w:b/>
                <w:bCs/>
                <w:color w:val="000000"/>
                <w:sz w:val="20"/>
                <w:szCs w:val="20"/>
                <w:lang w:eastAsia="es-MX"/>
              </w:rPr>
              <w:t>,</w:t>
            </w:r>
            <w:r w:rsidRPr="008A2FF1">
              <w:rPr>
                <w:rFonts w:ascii="Helvetica" w:hAnsi="Helvetica" w:cs="Helvetica"/>
                <w:b/>
                <w:bCs/>
                <w:color w:val="000000"/>
                <w:sz w:val="20"/>
                <w:szCs w:val="20"/>
                <w:lang w:eastAsia="es-MX"/>
              </w:rPr>
              <w:t>083</w:t>
            </w:r>
          </w:p>
        </w:tc>
      </w:tr>
    </w:tbl>
    <w:p w:rsidR="00DC58E8" w:rsidRDefault="00DC58E8" w:rsidP="00DC58E8">
      <w:pPr>
        <w:pStyle w:val="Textoindependiente2"/>
        <w:autoSpaceDE w:val="0"/>
        <w:autoSpaceDN w:val="0"/>
        <w:adjustRightInd w:val="0"/>
        <w:spacing w:after="0" w:line="240" w:lineRule="auto"/>
        <w:ind w:right="707"/>
        <w:jc w:val="both"/>
        <w:rPr>
          <w:rFonts w:ascii="Helvetica" w:hAnsi="Helvetica"/>
          <w:b/>
          <w:sz w:val="20"/>
          <w:szCs w:val="20"/>
        </w:rPr>
      </w:pPr>
    </w:p>
    <w:p w:rsidR="00DC58E8" w:rsidRDefault="00DC58E8" w:rsidP="00DC58E8">
      <w:pPr>
        <w:pStyle w:val="Textoindependiente2"/>
        <w:autoSpaceDE w:val="0"/>
        <w:autoSpaceDN w:val="0"/>
        <w:adjustRightInd w:val="0"/>
        <w:spacing w:after="0" w:line="240" w:lineRule="auto"/>
        <w:ind w:right="707"/>
        <w:jc w:val="both"/>
        <w:rPr>
          <w:rFonts w:ascii="Helvetica" w:hAnsi="Helvetica"/>
          <w:b/>
          <w:sz w:val="20"/>
          <w:szCs w:val="20"/>
        </w:rPr>
      </w:pPr>
    </w:p>
    <w:p w:rsidR="00DC58E8" w:rsidRDefault="00DC58E8" w:rsidP="00DC58E8">
      <w:pPr>
        <w:pStyle w:val="Textoindependiente2"/>
        <w:autoSpaceDE w:val="0"/>
        <w:autoSpaceDN w:val="0"/>
        <w:adjustRightInd w:val="0"/>
        <w:spacing w:after="0" w:line="240" w:lineRule="auto"/>
        <w:ind w:left="708" w:right="707"/>
        <w:jc w:val="both"/>
        <w:rPr>
          <w:rFonts w:ascii="Helvetica" w:hAnsi="Helvetica"/>
          <w:b/>
          <w:sz w:val="20"/>
          <w:szCs w:val="20"/>
        </w:rPr>
      </w:pPr>
    </w:p>
    <w:p w:rsidR="00DC58E8" w:rsidRDefault="00DC58E8" w:rsidP="00DC58E8">
      <w:pPr>
        <w:pStyle w:val="Textoindependiente2"/>
        <w:autoSpaceDE w:val="0"/>
        <w:autoSpaceDN w:val="0"/>
        <w:adjustRightInd w:val="0"/>
        <w:spacing w:after="0" w:line="240" w:lineRule="auto"/>
        <w:ind w:left="708" w:right="707"/>
        <w:jc w:val="both"/>
        <w:rPr>
          <w:rFonts w:ascii="Helvetica" w:hAnsi="Helvetica"/>
          <w:b/>
          <w:sz w:val="20"/>
          <w:szCs w:val="20"/>
        </w:rPr>
      </w:pPr>
    </w:p>
    <w:p w:rsidR="00DC58E8" w:rsidRDefault="00DC58E8" w:rsidP="00DC58E8">
      <w:pPr>
        <w:pStyle w:val="Textoindependiente2"/>
        <w:autoSpaceDE w:val="0"/>
        <w:autoSpaceDN w:val="0"/>
        <w:adjustRightInd w:val="0"/>
        <w:spacing w:after="0" w:line="240" w:lineRule="auto"/>
        <w:ind w:left="708" w:right="707"/>
        <w:jc w:val="both"/>
        <w:rPr>
          <w:rFonts w:ascii="Helvetica" w:hAnsi="Helvetica"/>
          <w:b/>
          <w:sz w:val="20"/>
          <w:szCs w:val="20"/>
        </w:rPr>
      </w:pPr>
    </w:p>
    <w:p w:rsidR="00DC58E8" w:rsidRDefault="00DC58E8" w:rsidP="00DC58E8">
      <w:pPr>
        <w:pStyle w:val="Textoindependiente2"/>
        <w:autoSpaceDE w:val="0"/>
        <w:autoSpaceDN w:val="0"/>
        <w:adjustRightInd w:val="0"/>
        <w:spacing w:after="0" w:line="240" w:lineRule="auto"/>
        <w:ind w:left="708" w:right="707"/>
        <w:jc w:val="both"/>
        <w:rPr>
          <w:rFonts w:ascii="Helvetica" w:hAnsi="Helvetica"/>
          <w:b/>
          <w:sz w:val="20"/>
          <w:szCs w:val="20"/>
        </w:rPr>
      </w:pPr>
    </w:p>
    <w:p w:rsidR="00DC58E8" w:rsidRPr="008A2FF1" w:rsidRDefault="00DC58E8" w:rsidP="00DC58E8">
      <w:pPr>
        <w:pStyle w:val="Textoindependiente2"/>
        <w:autoSpaceDE w:val="0"/>
        <w:autoSpaceDN w:val="0"/>
        <w:adjustRightInd w:val="0"/>
        <w:spacing w:after="0" w:line="240" w:lineRule="auto"/>
        <w:ind w:left="708" w:right="707"/>
        <w:jc w:val="both"/>
        <w:rPr>
          <w:rFonts w:ascii="Helvetica" w:hAnsi="Helvetica" w:cs="Helvetica"/>
          <w:b/>
          <w:sz w:val="20"/>
          <w:szCs w:val="20"/>
        </w:rPr>
      </w:pPr>
    </w:p>
    <w:tbl>
      <w:tblPr>
        <w:tblpPr w:leftFromText="141" w:rightFromText="141" w:vertAnchor="text" w:horzAnchor="margin" w:tblpY="10"/>
        <w:tblOverlap w:val="never"/>
        <w:tblW w:w="3760" w:type="dxa"/>
        <w:tblCellMar>
          <w:left w:w="70" w:type="dxa"/>
          <w:right w:w="70" w:type="dxa"/>
        </w:tblCellMar>
        <w:tblLook w:val="04A0" w:firstRow="1" w:lastRow="0" w:firstColumn="1" w:lastColumn="0" w:noHBand="0" w:noVBand="1"/>
      </w:tblPr>
      <w:tblGrid>
        <w:gridCol w:w="1235"/>
        <w:gridCol w:w="1254"/>
        <w:gridCol w:w="1271"/>
      </w:tblGrid>
      <w:tr w:rsidR="00DC58E8" w:rsidRPr="008A2FF1" w:rsidTr="00D46504">
        <w:trPr>
          <w:trHeight w:val="496"/>
        </w:trPr>
        <w:tc>
          <w:tcPr>
            <w:tcW w:w="123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Género</w:t>
            </w:r>
          </w:p>
        </w:tc>
        <w:tc>
          <w:tcPr>
            <w:tcW w:w="1254"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Niñas</w:t>
            </w:r>
          </w:p>
        </w:tc>
        <w:tc>
          <w:tcPr>
            <w:tcW w:w="127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Niños</w:t>
            </w:r>
          </w:p>
        </w:tc>
      </w:tr>
      <w:tr w:rsidR="00DC58E8" w:rsidRPr="008A2FF1" w:rsidTr="00D46504">
        <w:trPr>
          <w:trHeight w:val="248"/>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DC58E8" w:rsidRPr="008A2FF1" w:rsidRDefault="00DC58E8" w:rsidP="00D46504">
            <w:pPr>
              <w:jc w:val="center"/>
              <w:rPr>
                <w:rFonts w:ascii="Helvetica" w:hAnsi="Helvetica" w:cs="Helvetica"/>
                <w:color w:val="000000"/>
                <w:sz w:val="20"/>
                <w:szCs w:val="20"/>
                <w:lang w:eastAsia="es-MX"/>
              </w:rPr>
            </w:pPr>
            <w:r w:rsidRPr="008A2FF1">
              <w:rPr>
                <w:rFonts w:ascii="Helvetica" w:hAnsi="Helvetica" w:cs="Helvetica"/>
                <w:color w:val="000000"/>
                <w:sz w:val="20"/>
                <w:szCs w:val="20"/>
                <w:lang w:eastAsia="es-MX"/>
              </w:rPr>
              <w:t xml:space="preserve">   2015</w:t>
            </w:r>
          </w:p>
        </w:tc>
        <w:tc>
          <w:tcPr>
            <w:tcW w:w="1254" w:type="dxa"/>
            <w:tcBorders>
              <w:top w:val="nil"/>
              <w:left w:val="nil"/>
              <w:bottom w:val="single" w:sz="4" w:space="0" w:color="auto"/>
              <w:right w:val="single" w:sz="4" w:space="0" w:color="auto"/>
            </w:tcBorders>
            <w:shd w:val="clear" w:color="auto" w:fill="auto"/>
            <w:noWrap/>
            <w:vAlign w:val="center"/>
            <w:hideMark/>
          </w:tcPr>
          <w:p w:rsidR="00DC58E8" w:rsidRPr="008A2FF1" w:rsidRDefault="00DC58E8" w:rsidP="00D46504">
            <w:pPr>
              <w:jc w:val="center"/>
              <w:rPr>
                <w:rFonts w:ascii="Helvetica" w:hAnsi="Helvetica" w:cs="Helvetica"/>
                <w:color w:val="000000"/>
                <w:sz w:val="20"/>
                <w:szCs w:val="20"/>
                <w:lang w:eastAsia="es-MX"/>
              </w:rPr>
            </w:pPr>
            <w:r w:rsidRPr="008A2FF1">
              <w:rPr>
                <w:rFonts w:ascii="Helvetica" w:hAnsi="Helvetica" w:cs="Helvetica"/>
                <w:color w:val="000000"/>
                <w:sz w:val="20"/>
                <w:szCs w:val="20"/>
                <w:lang w:eastAsia="es-MX"/>
              </w:rPr>
              <w:t>12</w:t>
            </w:r>
            <w:r>
              <w:rPr>
                <w:rFonts w:ascii="Helvetica" w:hAnsi="Helvetica" w:cs="Helvetica"/>
                <w:color w:val="000000"/>
                <w:sz w:val="20"/>
                <w:szCs w:val="20"/>
                <w:lang w:eastAsia="es-MX"/>
              </w:rPr>
              <w:t>,</w:t>
            </w:r>
            <w:r w:rsidRPr="008A2FF1">
              <w:rPr>
                <w:rFonts w:ascii="Helvetica" w:hAnsi="Helvetica" w:cs="Helvetica"/>
                <w:color w:val="000000"/>
                <w:sz w:val="20"/>
                <w:szCs w:val="20"/>
                <w:lang w:eastAsia="es-MX"/>
              </w:rPr>
              <w:t>260</w:t>
            </w:r>
          </w:p>
        </w:tc>
        <w:tc>
          <w:tcPr>
            <w:tcW w:w="1271" w:type="dxa"/>
            <w:tcBorders>
              <w:top w:val="nil"/>
              <w:left w:val="nil"/>
              <w:bottom w:val="single" w:sz="4" w:space="0" w:color="auto"/>
              <w:right w:val="single" w:sz="4" w:space="0" w:color="auto"/>
            </w:tcBorders>
            <w:shd w:val="clear" w:color="auto" w:fill="auto"/>
            <w:noWrap/>
            <w:vAlign w:val="center"/>
            <w:hideMark/>
          </w:tcPr>
          <w:p w:rsidR="00DC58E8" w:rsidRPr="008A2FF1" w:rsidRDefault="00DC58E8" w:rsidP="00D46504">
            <w:pPr>
              <w:jc w:val="center"/>
              <w:rPr>
                <w:rFonts w:ascii="Helvetica" w:hAnsi="Helvetica" w:cs="Helvetica"/>
                <w:color w:val="000000"/>
                <w:sz w:val="20"/>
                <w:szCs w:val="20"/>
                <w:lang w:eastAsia="es-MX"/>
              </w:rPr>
            </w:pPr>
            <w:r w:rsidRPr="008A2FF1">
              <w:rPr>
                <w:rFonts w:ascii="Helvetica" w:hAnsi="Helvetica" w:cs="Helvetica"/>
                <w:color w:val="000000"/>
                <w:sz w:val="20"/>
                <w:szCs w:val="20"/>
                <w:lang w:eastAsia="es-MX"/>
              </w:rPr>
              <w:t>23</w:t>
            </w:r>
            <w:r>
              <w:rPr>
                <w:rFonts w:ascii="Helvetica" w:hAnsi="Helvetica" w:cs="Helvetica"/>
                <w:color w:val="000000"/>
                <w:sz w:val="20"/>
                <w:szCs w:val="20"/>
                <w:lang w:eastAsia="es-MX"/>
              </w:rPr>
              <w:t>,</w:t>
            </w:r>
            <w:r w:rsidRPr="008A2FF1">
              <w:rPr>
                <w:rFonts w:ascii="Helvetica" w:hAnsi="Helvetica" w:cs="Helvetica"/>
                <w:color w:val="000000"/>
                <w:sz w:val="20"/>
                <w:szCs w:val="20"/>
                <w:lang w:eastAsia="es-MX"/>
              </w:rPr>
              <w:t>889</w:t>
            </w:r>
          </w:p>
        </w:tc>
      </w:tr>
      <w:tr w:rsidR="00DC58E8" w:rsidRPr="008A2FF1" w:rsidTr="00D46504">
        <w:trPr>
          <w:trHeight w:val="248"/>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DC58E8" w:rsidRPr="008A2FF1" w:rsidRDefault="00DC58E8" w:rsidP="00D46504">
            <w:pPr>
              <w:jc w:val="center"/>
              <w:rPr>
                <w:rFonts w:ascii="Helvetica" w:hAnsi="Helvetica" w:cs="Helvetica"/>
                <w:color w:val="000000"/>
                <w:sz w:val="20"/>
                <w:szCs w:val="20"/>
                <w:lang w:eastAsia="es-MX"/>
              </w:rPr>
            </w:pPr>
            <w:r w:rsidRPr="008A2FF1">
              <w:rPr>
                <w:rFonts w:ascii="Helvetica" w:hAnsi="Helvetica" w:cs="Helvetica"/>
                <w:color w:val="000000"/>
                <w:sz w:val="20"/>
                <w:szCs w:val="20"/>
                <w:lang w:eastAsia="es-MX"/>
              </w:rPr>
              <w:t xml:space="preserve">   2016</w:t>
            </w:r>
          </w:p>
        </w:tc>
        <w:tc>
          <w:tcPr>
            <w:tcW w:w="1254" w:type="dxa"/>
            <w:tcBorders>
              <w:top w:val="nil"/>
              <w:left w:val="nil"/>
              <w:bottom w:val="single" w:sz="4" w:space="0" w:color="auto"/>
              <w:right w:val="single" w:sz="4" w:space="0" w:color="auto"/>
            </w:tcBorders>
            <w:shd w:val="clear" w:color="auto" w:fill="auto"/>
            <w:noWrap/>
            <w:vAlign w:val="center"/>
            <w:hideMark/>
          </w:tcPr>
          <w:p w:rsidR="00DC58E8" w:rsidRPr="008A2FF1" w:rsidRDefault="00DC58E8" w:rsidP="00D46504">
            <w:pPr>
              <w:jc w:val="center"/>
              <w:rPr>
                <w:rFonts w:ascii="Helvetica" w:hAnsi="Helvetica" w:cs="Helvetica"/>
                <w:color w:val="000000"/>
                <w:sz w:val="20"/>
                <w:szCs w:val="20"/>
                <w:lang w:eastAsia="es-MX"/>
              </w:rPr>
            </w:pPr>
            <w:r w:rsidRPr="008A2FF1">
              <w:rPr>
                <w:rFonts w:ascii="Helvetica" w:hAnsi="Helvetica" w:cs="Helvetica"/>
                <w:color w:val="000000"/>
                <w:sz w:val="20"/>
                <w:szCs w:val="20"/>
                <w:lang w:eastAsia="es-MX"/>
              </w:rPr>
              <w:t>13</w:t>
            </w:r>
            <w:r>
              <w:rPr>
                <w:rFonts w:ascii="Helvetica" w:hAnsi="Helvetica" w:cs="Helvetica"/>
                <w:color w:val="000000"/>
                <w:sz w:val="20"/>
                <w:szCs w:val="20"/>
                <w:lang w:eastAsia="es-MX"/>
              </w:rPr>
              <w:t>,</w:t>
            </w:r>
            <w:r w:rsidRPr="008A2FF1">
              <w:rPr>
                <w:rFonts w:ascii="Helvetica" w:hAnsi="Helvetica" w:cs="Helvetica"/>
                <w:color w:val="000000"/>
                <w:sz w:val="20"/>
                <w:szCs w:val="20"/>
                <w:lang w:eastAsia="es-MX"/>
              </w:rPr>
              <w:t>130</w:t>
            </w:r>
          </w:p>
        </w:tc>
        <w:tc>
          <w:tcPr>
            <w:tcW w:w="1271" w:type="dxa"/>
            <w:tcBorders>
              <w:top w:val="nil"/>
              <w:left w:val="nil"/>
              <w:bottom w:val="single" w:sz="4" w:space="0" w:color="auto"/>
              <w:right w:val="single" w:sz="4" w:space="0" w:color="auto"/>
            </w:tcBorders>
            <w:shd w:val="clear" w:color="auto" w:fill="auto"/>
            <w:noWrap/>
            <w:vAlign w:val="center"/>
            <w:hideMark/>
          </w:tcPr>
          <w:p w:rsidR="00DC58E8" w:rsidRPr="008A2FF1" w:rsidRDefault="00DC58E8" w:rsidP="00D46504">
            <w:pPr>
              <w:jc w:val="center"/>
              <w:rPr>
                <w:rFonts w:ascii="Helvetica" w:hAnsi="Helvetica" w:cs="Helvetica"/>
                <w:color w:val="000000"/>
                <w:sz w:val="20"/>
                <w:szCs w:val="20"/>
                <w:lang w:eastAsia="es-MX"/>
              </w:rPr>
            </w:pPr>
            <w:r w:rsidRPr="008A2FF1">
              <w:rPr>
                <w:rFonts w:ascii="Helvetica" w:hAnsi="Helvetica" w:cs="Helvetica"/>
                <w:color w:val="000000"/>
                <w:sz w:val="20"/>
                <w:szCs w:val="20"/>
                <w:lang w:eastAsia="es-MX"/>
              </w:rPr>
              <w:t>24</w:t>
            </w:r>
            <w:r>
              <w:rPr>
                <w:rFonts w:ascii="Helvetica" w:hAnsi="Helvetica" w:cs="Helvetica"/>
                <w:color w:val="000000"/>
                <w:sz w:val="20"/>
                <w:szCs w:val="20"/>
                <w:lang w:eastAsia="es-MX"/>
              </w:rPr>
              <w:t>,</w:t>
            </w:r>
            <w:r w:rsidRPr="008A2FF1">
              <w:rPr>
                <w:rFonts w:ascii="Helvetica" w:hAnsi="Helvetica" w:cs="Helvetica"/>
                <w:color w:val="000000"/>
                <w:sz w:val="20"/>
                <w:szCs w:val="20"/>
                <w:lang w:eastAsia="es-MX"/>
              </w:rPr>
              <w:t>804</w:t>
            </w:r>
          </w:p>
        </w:tc>
      </w:tr>
      <w:tr w:rsidR="00DC58E8" w:rsidRPr="008A2FF1" w:rsidTr="00D46504">
        <w:trPr>
          <w:trHeight w:val="297"/>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Total</w:t>
            </w:r>
          </w:p>
        </w:tc>
        <w:tc>
          <w:tcPr>
            <w:tcW w:w="1254" w:type="dxa"/>
            <w:tcBorders>
              <w:top w:val="nil"/>
              <w:left w:val="nil"/>
              <w:bottom w:val="single" w:sz="4" w:space="0" w:color="auto"/>
              <w:right w:val="single" w:sz="4" w:space="0" w:color="auto"/>
            </w:tcBorders>
            <w:shd w:val="clear" w:color="auto" w:fill="auto"/>
            <w:noWrap/>
            <w:vAlign w:val="center"/>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25</w:t>
            </w:r>
            <w:r>
              <w:rPr>
                <w:rFonts w:ascii="Helvetica" w:hAnsi="Helvetica" w:cs="Helvetica"/>
                <w:b/>
                <w:bCs/>
                <w:color w:val="000000"/>
                <w:sz w:val="20"/>
                <w:szCs w:val="20"/>
                <w:lang w:eastAsia="es-MX"/>
              </w:rPr>
              <w:t>,</w:t>
            </w:r>
            <w:r w:rsidRPr="008A2FF1">
              <w:rPr>
                <w:rFonts w:ascii="Helvetica" w:hAnsi="Helvetica" w:cs="Helvetica"/>
                <w:b/>
                <w:bCs/>
                <w:color w:val="000000"/>
                <w:sz w:val="20"/>
                <w:szCs w:val="20"/>
                <w:lang w:eastAsia="es-MX"/>
              </w:rPr>
              <w:t>390</w:t>
            </w:r>
          </w:p>
        </w:tc>
        <w:tc>
          <w:tcPr>
            <w:tcW w:w="1271" w:type="dxa"/>
            <w:tcBorders>
              <w:top w:val="nil"/>
              <w:left w:val="nil"/>
              <w:bottom w:val="single" w:sz="4" w:space="0" w:color="auto"/>
              <w:right w:val="single" w:sz="4" w:space="0" w:color="auto"/>
            </w:tcBorders>
            <w:shd w:val="clear" w:color="auto" w:fill="auto"/>
            <w:noWrap/>
            <w:vAlign w:val="center"/>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48</w:t>
            </w:r>
            <w:r>
              <w:rPr>
                <w:rFonts w:ascii="Helvetica" w:hAnsi="Helvetica" w:cs="Helvetica"/>
                <w:b/>
                <w:bCs/>
                <w:color w:val="000000"/>
                <w:sz w:val="20"/>
                <w:szCs w:val="20"/>
                <w:lang w:eastAsia="es-MX"/>
              </w:rPr>
              <w:t>,</w:t>
            </w:r>
            <w:r w:rsidRPr="008A2FF1">
              <w:rPr>
                <w:rFonts w:ascii="Helvetica" w:hAnsi="Helvetica" w:cs="Helvetica"/>
                <w:b/>
                <w:bCs/>
                <w:color w:val="000000"/>
                <w:sz w:val="20"/>
                <w:szCs w:val="20"/>
                <w:lang w:eastAsia="es-MX"/>
              </w:rPr>
              <w:t>693</w:t>
            </w:r>
          </w:p>
        </w:tc>
      </w:tr>
    </w:tbl>
    <w:tbl>
      <w:tblPr>
        <w:tblW w:w="3481" w:type="dxa"/>
        <w:jc w:val="center"/>
        <w:tblCellMar>
          <w:left w:w="70" w:type="dxa"/>
          <w:right w:w="70" w:type="dxa"/>
        </w:tblCellMar>
        <w:tblLook w:val="04A0" w:firstRow="1" w:lastRow="0" w:firstColumn="1" w:lastColumn="0" w:noHBand="0" w:noVBand="1"/>
      </w:tblPr>
      <w:tblGrid>
        <w:gridCol w:w="1571"/>
        <w:gridCol w:w="955"/>
        <w:gridCol w:w="955"/>
      </w:tblGrid>
      <w:tr w:rsidR="00DC58E8" w:rsidRPr="008A2FF1" w:rsidTr="00D46504">
        <w:trPr>
          <w:trHeight w:val="124"/>
          <w:jc w:val="center"/>
        </w:trPr>
        <w:tc>
          <w:tcPr>
            <w:tcW w:w="157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C58E8" w:rsidRPr="008A2FF1" w:rsidRDefault="00DC58E8" w:rsidP="00D46504">
            <w:pPr>
              <w:jc w:val="center"/>
              <w:rPr>
                <w:rFonts w:ascii="Helvetica" w:hAnsi="Helvetica" w:cs="Helvetica"/>
                <w:b/>
                <w:bCs/>
                <w:color w:val="000000"/>
                <w:lang w:eastAsia="es-MX"/>
              </w:rPr>
            </w:pPr>
            <w:r w:rsidRPr="008A2FF1">
              <w:rPr>
                <w:rFonts w:ascii="Helvetica" w:hAnsi="Helvetica" w:cs="Helvetica"/>
                <w:b/>
                <w:bCs/>
                <w:color w:val="000000"/>
                <w:lang w:eastAsia="es-MX"/>
              </w:rPr>
              <w:t>Año</w:t>
            </w:r>
          </w:p>
        </w:tc>
        <w:tc>
          <w:tcPr>
            <w:tcW w:w="955"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DC58E8" w:rsidRPr="008A2FF1" w:rsidRDefault="00DC58E8" w:rsidP="00D46504">
            <w:pPr>
              <w:jc w:val="center"/>
              <w:rPr>
                <w:rFonts w:ascii="Helvetica" w:hAnsi="Helvetica" w:cs="Helvetica"/>
                <w:b/>
                <w:bCs/>
                <w:color w:val="000000"/>
                <w:lang w:eastAsia="es-MX"/>
              </w:rPr>
            </w:pPr>
            <w:r w:rsidRPr="008A2FF1">
              <w:rPr>
                <w:rFonts w:ascii="Helvetica" w:hAnsi="Helvetica" w:cs="Helvetica"/>
                <w:b/>
                <w:bCs/>
                <w:color w:val="000000"/>
                <w:lang w:eastAsia="es-MX"/>
              </w:rPr>
              <w:t>2015</w:t>
            </w:r>
          </w:p>
        </w:tc>
        <w:tc>
          <w:tcPr>
            <w:tcW w:w="955"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DC58E8" w:rsidRPr="008A2FF1" w:rsidRDefault="00DC58E8" w:rsidP="00D46504">
            <w:pPr>
              <w:jc w:val="center"/>
              <w:rPr>
                <w:rFonts w:ascii="Helvetica" w:hAnsi="Helvetica" w:cs="Helvetica"/>
                <w:b/>
                <w:bCs/>
                <w:color w:val="000000"/>
                <w:lang w:eastAsia="es-MX"/>
              </w:rPr>
            </w:pPr>
            <w:r w:rsidRPr="008A2FF1">
              <w:rPr>
                <w:rFonts w:ascii="Helvetica" w:hAnsi="Helvetica" w:cs="Helvetica"/>
                <w:b/>
                <w:bCs/>
                <w:color w:val="000000"/>
                <w:lang w:eastAsia="es-MX"/>
              </w:rPr>
              <w:t>2016</w:t>
            </w:r>
          </w:p>
        </w:tc>
      </w:tr>
      <w:tr w:rsidR="00DC58E8" w:rsidRPr="008A2FF1" w:rsidTr="00D46504">
        <w:trPr>
          <w:trHeight w:val="253"/>
          <w:jc w:val="center"/>
        </w:trPr>
        <w:tc>
          <w:tcPr>
            <w:tcW w:w="1571" w:type="dxa"/>
            <w:vMerge w:val="restart"/>
            <w:tcBorders>
              <w:top w:val="nil"/>
              <w:left w:val="single" w:sz="4" w:space="0" w:color="auto"/>
              <w:bottom w:val="single" w:sz="4" w:space="0" w:color="000000"/>
              <w:right w:val="single" w:sz="4" w:space="0" w:color="auto"/>
            </w:tcBorders>
            <w:shd w:val="clear" w:color="auto" w:fill="auto"/>
            <w:vAlign w:val="center"/>
            <w:hideMark/>
          </w:tcPr>
          <w:p w:rsidR="00DC58E8" w:rsidRPr="008A2FF1" w:rsidRDefault="00DC58E8" w:rsidP="00D46504">
            <w:pPr>
              <w:jc w:val="center"/>
              <w:rPr>
                <w:rFonts w:ascii="Helvetica" w:hAnsi="Helvetica" w:cs="Helvetica"/>
                <w:b/>
                <w:bCs/>
                <w:color w:val="000000"/>
                <w:lang w:eastAsia="es-MX"/>
              </w:rPr>
            </w:pPr>
            <w:r w:rsidRPr="008A2FF1">
              <w:rPr>
                <w:rFonts w:ascii="Helvetica" w:hAnsi="Helvetica" w:cs="Helvetica"/>
                <w:b/>
                <w:bCs/>
                <w:color w:val="000000"/>
                <w:lang w:eastAsia="es-MX"/>
              </w:rPr>
              <w:t>Niñas, Niños y Adolescentes retornados vía aérea.</w:t>
            </w:r>
          </w:p>
        </w:tc>
        <w:tc>
          <w:tcPr>
            <w:tcW w:w="9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C58E8" w:rsidRPr="008A2FF1" w:rsidRDefault="00DC58E8" w:rsidP="00D46504">
            <w:pPr>
              <w:jc w:val="center"/>
              <w:rPr>
                <w:rFonts w:ascii="Helvetica" w:hAnsi="Helvetica" w:cs="Helvetica"/>
                <w:color w:val="000000"/>
                <w:lang w:eastAsia="es-MX"/>
              </w:rPr>
            </w:pPr>
            <w:r w:rsidRPr="008A2FF1">
              <w:rPr>
                <w:rFonts w:ascii="Helvetica" w:hAnsi="Helvetica" w:cs="Helvetica"/>
                <w:color w:val="000000"/>
                <w:lang w:eastAsia="es-MX"/>
              </w:rPr>
              <w:t>5,502</w:t>
            </w:r>
          </w:p>
        </w:tc>
        <w:tc>
          <w:tcPr>
            <w:tcW w:w="9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C58E8" w:rsidRPr="008A2FF1" w:rsidRDefault="00DC58E8" w:rsidP="00D46504">
            <w:pPr>
              <w:jc w:val="center"/>
              <w:rPr>
                <w:rFonts w:ascii="Helvetica" w:hAnsi="Helvetica" w:cs="Helvetica"/>
                <w:color w:val="000000"/>
                <w:lang w:eastAsia="es-MX"/>
              </w:rPr>
            </w:pPr>
            <w:r w:rsidRPr="008A2FF1">
              <w:rPr>
                <w:rFonts w:ascii="Helvetica" w:hAnsi="Helvetica" w:cs="Helvetica"/>
                <w:color w:val="000000"/>
                <w:lang w:eastAsia="es-MX"/>
              </w:rPr>
              <w:t>5,744</w:t>
            </w:r>
          </w:p>
        </w:tc>
      </w:tr>
      <w:tr w:rsidR="00DC58E8" w:rsidRPr="006E6DAE" w:rsidTr="00D46504">
        <w:trPr>
          <w:trHeight w:val="253"/>
          <w:jc w:val="center"/>
        </w:trPr>
        <w:tc>
          <w:tcPr>
            <w:tcW w:w="1571" w:type="dxa"/>
            <w:vMerge/>
            <w:tcBorders>
              <w:top w:val="nil"/>
              <w:left w:val="single" w:sz="4" w:space="0" w:color="auto"/>
              <w:bottom w:val="single" w:sz="4" w:space="0" w:color="000000"/>
              <w:right w:val="single" w:sz="4" w:space="0" w:color="auto"/>
            </w:tcBorders>
            <w:vAlign w:val="center"/>
            <w:hideMark/>
          </w:tcPr>
          <w:p w:rsidR="00DC58E8" w:rsidRPr="006E6DAE" w:rsidRDefault="00DC58E8" w:rsidP="00D46504">
            <w:pPr>
              <w:rPr>
                <w:rFonts w:ascii="Arial" w:hAnsi="Arial" w:cs="Arial"/>
                <w:b/>
                <w:bCs/>
                <w:color w:val="000000"/>
                <w:lang w:eastAsia="es-MX"/>
              </w:rPr>
            </w:pPr>
          </w:p>
        </w:tc>
        <w:tc>
          <w:tcPr>
            <w:tcW w:w="955" w:type="dxa"/>
            <w:vMerge/>
            <w:tcBorders>
              <w:top w:val="nil"/>
              <w:left w:val="single" w:sz="4" w:space="0" w:color="auto"/>
              <w:bottom w:val="single" w:sz="4" w:space="0" w:color="000000"/>
              <w:right w:val="single" w:sz="4" w:space="0" w:color="auto"/>
            </w:tcBorders>
            <w:vAlign w:val="center"/>
            <w:hideMark/>
          </w:tcPr>
          <w:p w:rsidR="00DC58E8" w:rsidRPr="006E6DAE" w:rsidRDefault="00DC58E8" w:rsidP="00D46504">
            <w:pPr>
              <w:rPr>
                <w:rFonts w:ascii="Arial" w:hAnsi="Arial" w:cs="Arial"/>
                <w:color w:val="000000"/>
                <w:lang w:eastAsia="es-MX"/>
              </w:rPr>
            </w:pPr>
          </w:p>
        </w:tc>
        <w:tc>
          <w:tcPr>
            <w:tcW w:w="955" w:type="dxa"/>
            <w:vMerge/>
            <w:tcBorders>
              <w:top w:val="nil"/>
              <w:left w:val="single" w:sz="4" w:space="0" w:color="auto"/>
              <w:bottom w:val="single" w:sz="4" w:space="0" w:color="000000"/>
              <w:right w:val="single" w:sz="4" w:space="0" w:color="auto"/>
            </w:tcBorders>
            <w:vAlign w:val="center"/>
            <w:hideMark/>
          </w:tcPr>
          <w:p w:rsidR="00DC58E8" w:rsidRPr="006E6DAE" w:rsidRDefault="00DC58E8" w:rsidP="00D46504">
            <w:pPr>
              <w:rPr>
                <w:rFonts w:ascii="Arial" w:hAnsi="Arial" w:cs="Arial"/>
                <w:color w:val="000000"/>
                <w:lang w:eastAsia="es-MX"/>
              </w:rPr>
            </w:pPr>
          </w:p>
        </w:tc>
      </w:tr>
      <w:tr w:rsidR="00DC58E8" w:rsidRPr="006E6DAE" w:rsidTr="00D46504">
        <w:trPr>
          <w:trHeight w:val="253"/>
          <w:jc w:val="center"/>
        </w:trPr>
        <w:tc>
          <w:tcPr>
            <w:tcW w:w="1571" w:type="dxa"/>
            <w:vMerge/>
            <w:tcBorders>
              <w:top w:val="nil"/>
              <w:left w:val="single" w:sz="4" w:space="0" w:color="auto"/>
              <w:bottom w:val="single" w:sz="4" w:space="0" w:color="000000"/>
              <w:right w:val="single" w:sz="4" w:space="0" w:color="auto"/>
            </w:tcBorders>
            <w:vAlign w:val="center"/>
            <w:hideMark/>
          </w:tcPr>
          <w:p w:rsidR="00DC58E8" w:rsidRPr="006E6DAE" w:rsidRDefault="00DC58E8" w:rsidP="00D46504">
            <w:pPr>
              <w:rPr>
                <w:rFonts w:ascii="Arial" w:hAnsi="Arial" w:cs="Arial"/>
                <w:b/>
                <w:bCs/>
                <w:color w:val="000000"/>
                <w:lang w:eastAsia="es-MX"/>
              </w:rPr>
            </w:pPr>
          </w:p>
        </w:tc>
        <w:tc>
          <w:tcPr>
            <w:tcW w:w="955" w:type="dxa"/>
            <w:vMerge/>
            <w:tcBorders>
              <w:top w:val="nil"/>
              <w:left w:val="single" w:sz="4" w:space="0" w:color="auto"/>
              <w:bottom w:val="single" w:sz="4" w:space="0" w:color="000000"/>
              <w:right w:val="single" w:sz="4" w:space="0" w:color="auto"/>
            </w:tcBorders>
            <w:vAlign w:val="center"/>
            <w:hideMark/>
          </w:tcPr>
          <w:p w:rsidR="00DC58E8" w:rsidRPr="006E6DAE" w:rsidRDefault="00DC58E8" w:rsidP="00D46504">
            <w:pPr>
              <w:rPr>
                <w:rFonts w:ascii="Arial" w:hAnsi="Arial" w:cs="Arial"/>
                <w:color w:val="000000"/>
                <w:lang w:eastAsia="es-MX"/>
              </w:rPr>
            </w:pPr>
          </w:p>
        </w:tc>
        <w:tc>
          <w:tcPr>
            <w:tcW w:w="955" w:type="dxa"/>
            <w:vMerge/>
            <w:tcBorders>
              <w:top w:val="nil"/>
              <w:left w:val="single" w:sz="4" w:space="0" w:color="auto"/>
              <w:bottom w:val="single" w:sz="4" w:space="0" w:color="000000"/>
              <w:right w:val="single" w:sz="4" w:space="0" w:color="auto"/>
            </w:tcBorders>
            <w:vAlign w:val="center"/>
            <w:hideMark/>
          </w:tcPr>
          <w:p w:rsidR="00DC58E8" w:rsidRPr="006E6DAE" w:rsidRDefault="00DC58E8" w:rsidP="00D46504">
            <w:pPr>
              <w:rPr>
                <w:rFonts w:ascii="Arial" w:hAnsi="Arial" w:cs="Arial"/>
                <w:color w:val="000000"/>
                <w:lang w:eastAsia="es-MX"/>
              </w:rPr>
            </w:pPr>
          </w:p>
        </w:tc>
      </w:tr>
    </w:tbl>
    <w:p w:rsidR="00DC58E8" w:rsidRDefault="00DC58E8" w:rsidP="00DC58E8">
      <w:pPr>
        <w:pStyle w:val="Textoindependiente2"/>
        <w:autoSpaceDE w:val="0"/>
        <w:autoSpaceDN w:val="0"/>
        <w:adjustRightInd w:val="0"/>
        <w:spacing w:after="0" w:line="240" w:lineRule="auto"/>
        <w:ind w:left="708" w:right="707"/>
        <w:jc w:val="both"/>
        <w:rPr>
          <w:rFonts w:ascii="Helvetica" w:hAnsi="Helvetica"/>
          <w:sz w:val="20"/>
          <w:szCs w:val="20"/>
        </w:rPr>
      </w:pPr>
    </w:p>
    <w:tbl>
      <w:tblPr>
        <w:tblpPr w:leftFromText="141" w:rightFromText="141" w:vertAnchor="text" w:horzAnchor="margin" w:tblpY="-49"/>
        <w:tblW w:w="3966" w:type="dxa"/>
        <w:tblCellMar>
          <w:left w:w="70" w:type="dxa"/>
          <w:right w:w="70" w:type="dxa"/>
        </w:tblCellMar>
        <w:tblLook w:val="04A0" w:firstRow="1" w:lastRow="0" w:firstColumn="1" w:lastColumn="0" w:noHBand="0" w:noVBand="1"/>
      </w:tblPr>
      <w:tblGrid>
        <w:gridCol w:w="1478"/>
        <w:gridCol w:w="942"/>
        <w:gridCol w:w="1546"/>
      </w:tblGrid>
      <w:tr w:rsidR="00DC58E8" w:rsidRPr="008A2FF1" w:rsidTr="00D46504">
        <w:trPr>
          <w:trHeight w:val="366"/>
        </w:trPr>
        <w:tc>
          <w:tcPr>
            <w:tcW w:w="14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Condición de Viaje</w:t>
            </w:r>
          </w:p>
        </w:tc>
        <w:tc>
          <w:tcPr>
            <w:tcW w:w="94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Solos</w:t>
            </w:r>
          </w:p>
        </w:tc>
        <w:tc>
          <w:tcPr>
            <w:tcW w:w="1546"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Acompañados</w:t>
            </w:r>
          </w:p>
        </w:tc>
      </w:tr>
      <w:tr w:rsidR="00DC58E8" w:rsidRPr="008A2FF1" w:rsidTr="00D46504">
        <w:trPr>
          <w:trHeight w:val="183"/>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DC58E8" w:rsidRPr="008A2FF1" w:rsidRDefault="00DC58E8" w:rsidP="00D46504">
            <w:pPr>
              <w:jc w:val="center"/>
              <w:rPr>
                <w:rFonts w:ascii="Helvetica" w:hAnsi="Helvetica" w:cs="Helvetica"/>
                <w:color w:val="000000"/>
                <w:sz w:val="20"/>
                <w:szCs w:val="20"/>
                <w:lang w:eastAsia="es-MX"/>
              </w:rPr>
            </w:pPr>
            <w:r w:rsidRPr="008A2FF1">
              <w:rPr>
                <w:rFonts w:ascii="Helvetica" w:hAnsi="Helvetica" w:cs="Helvetica"/>
                <w:color w:val="000000"/>
                <w:sz w:val="20"/>
                <w:szCs w:val="20"/>
                <w:lang w:eastAsia="es-MX"/>
              </w:rPr>
              <w:t>2015</w:t>
            </w:r>
          </w:p>
        </w:tc>
        <w:tc>
          <w:tcPr>
            <w:tcW w:w="942" w:type="dxa"/>
            <w:tcBorders>
              <w:top w:val="nil"/>
              <w:left w:val="nil"/>
              <w:bottom w:val="single" w:sz="4" w:space="0" w:color="auto"/>
              <w:right w:val="single" w:sz="4" w:space="0" w:color="auto"/>
            </w:tcBorders>
            <w:shd w:val="clear" w:color="auto" w:fill="auto"/>
            <w:noWrap/>
            <w:vAlign w:val="center"/>
            <w:hideMark/>
          </w:tcPr>
          <w:p w:rsidR="00DC58E8" w:rsidRPr="008A2FF1" w:rsidRDefault="00DC58E8" w:rsidP="00D46504">
            <w:pPr>
              <w:jc w:val="center"/>
              <w:rPr>
                <w:rFonts w:ascii="Helvetica" w:hAnsi="Helvetica" w:cs="Helvetica"/>
                <w:color w:val="000000"/>
                <w:sz w:val="20"/>
                <w:szCs w:val="20"/>
                <w:lang w:eastAsia="es-MX"/>
              </w:rPr>
            </w:pPr>
            <w:r w:rsidRPr="008A2FF1">
              <w:rPr>
                <w:rFonts w:ascii="Helvetica" w:hAnsi="Helvetica" w:cs="Helvetica"/>
                <w:color w:val="000000"/>
                <w:sz w:val="20"/>
                <w:szCs w:val="20"/>
                <w:lang w:eastAsia="es-MX"/>
              </w:rPr>
              <w:t>17</w:t>
            </w:r>
            <w:r>
              <w:rPr>
                <w:rFonts w:ascii="Helvetica" w:hAnsi="Helvetica" w:cs="Helvetica"/>
                <w:color w:val="000000"/>
                <w:sz w:val="20"/>
                <w:szCs w:val="20"/>
                <w:lang w:eastAsia="es-MX"/>
              </w:rPr>
              <w:t>,</w:t>
            </w:r>
            <w:r w:rsidRPr="008A2FF1">
              <w:rPr>
                <w:rFonts w:ascii="Helvetica" w:hAnsi="Helvetica" w:cs="Helvetica"/>
                <w:color w:val="000000"/>
                <w:sz w:val="20"/>
                <w:szCs w:val="20"/>
                <w:lang w:eastAsia="es-MX"/>
              </w:rPr>
              <w:t>713</w:t>
            </w:r>
          </w:p>
        </w:tc>
        <w:tc>
          <w:tcPr>
            <w:tcW w:w="1546" w:type="dxa"/>
            <w:tcBorders>
              <w:top w:val="nil"/>
              <w:left w:val="nil"/>
              <w:bottom w:val="single" w:sz="4" w:space="0" w:color="auto"/>
              <w:right w:val="single" w:sz="4" w:space="0" w:color="auto"/>
            </w:tcBorders>
            <w:shd w:val="clear" w:color="auto" w:fill="auto"/>
            <w:noWrap/>
            <w:vAlign w:val="center"/>
            <w:hideMark/>
          </w:tcPr>
          <w:p w:rsidR="00DC58E8" w:rsidRPr="008A2FF1" w:rsidRDefault="00DC58E8" w:rsidP="00D46504">
            <w:pPr>
              <w:jc w:val="center"/>
              <w:rPr>
                <w:rFonts w:ascii="Helvetica" w:hAnsi="Helvetica" w:cs="Helvetica"/>
                <w:color w:val="000000"/>
                <w:sz w:val="20"/>
                <w:szCs w:val="20"/>
                <w:lang w:eastAsia="es-MX"/>
              </w:rPr>
            </w:pPr>
            <w:r w:rsidRPr="008A2FF1">
              <w:rPr>
                <w:rFonts w:ascii="Helvetica" w:hAnsi="Helvetica" w:cs="Helvetica"/>
                <w:color w:val="000000"/>
                <w:sz w:val="20"/>
                <w:szCs w:val="20"/>
                <w:lang w:eastAsia="es-MX"/>
              </w:rPr>
              <w:t>18</w:t>
            </w:r>
            <w:r>
              <w:rPr>
                <w:rFonts w:ascii="Helvetica" w:hAnsi="Helvetica" w:cs="Helvetica"/>
                <w:color w:val="000000"/>
                <w:sz w:val="20"/>
                <w:szCs w:val="20"/>
                <w:lang w:eastAsia="es-MX"/>
              </w:rPr>
              <w:t>,</w:t>
            </w:r>
            <w:r w:rsidRPr="008A2FF1">
              <w:rPr>
                <w:rFonts w:ascii="Helvetica" w:hAnsi="Helvetica" w:cs="Helvetica"/>
                <w:color w:val="000000"/>
                <w:sz w:val="20"/>
                <w:szCs w:val="20"/>
                <w:lang w:eastAsia="es-MX"/>
              </w:rPr>
              <w:t>436</w:t>
            </w:r>
          </w:p>
        </w:tc>
      </w:tr>
      <w:tr w:rsidR="00DC58E8" w:rsidRPr="008A2FF1" w:rsidTr="00D46504">
        <w:trPr>
          <w:trHeight w:val="183"/>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DC58E8" w:rsidRPr="008A2FF1" w:rsidRDefault="00DC58E8" w:rsidP="00D46504">
            <w:pPr>
              <w:jc w:val="center"/>
              <w:rPr>
                <w:rFonts w:ascii="Helvetica" w:hAnsi="Helvetica" w:cs="Helvetica"/>
                <w:color w:val="000000"/>
                <w:sz w:val="20"/>
                <w:szCs w:val="20"/>
                <w:lang w:eastAsia="es-MX"/>
              </w:rPr>
            </w:pPr>
            <w:r w:rsidRPr="008A2FF1">
              <w:rPr>
                <w:rFonts w:ascii="Helvetica" w:hAnsi="Helvetica" w:cs="Helvetica"/>
                <w:color w:val="000000"/>
                <w:sz w:val="20"/>
                <w:szCs w:val="20"/>
                <w:lang w:eastAsia="es-MX"/>
              </w:rPr>
              <w:t>2016</w:t>
            </w:r>
          </w:p>
        </w:tc>
        <w:tc>
          <w:tcPr>
            <w:tcW w:w="942" w:type="dxa"/>
            <w:tcBorders>
              <w:top w:val="nil"/>
              <w:left w:val="nil"/>
              <w:bottom w:val="single" w:sz="4" w:space="0" w:color="auto"/>
              <w:right w:val="single" w:sz="4" w:space="0" w:color="auto"/>
            </w:tcBorders>
            <w:shd w:val="clear" w:color="auto" w:fill="auto"/>
            <w:noWrap/>
            <w:vAlign w:val="center"/>
            <w:hideMark/>
          </w:tcPr>
          <w:p w:rsidR="00DC58E8" w:rsidRPr="008A2FF1" w:rsidRDefault="00DC58E8" w:rsidP="00D46504">
            <w:pPr>
              <w:jc w:val="center"/>
              <w:rPr>
                <w:rFonts w:ascii="Helvetica" w:hAnsi="Helvetica" w:cs="Helvetica"/>
                <w:color w:val="000000"/>
                <w:sz w:val="20"/>
                <w:szCs w:val="20"/>
                <w:lang w:eastAsia="es-MX"/>
              </w:rPr>
            </w:pPr>
            <w:r w:rsidRPr="008A2FF1">
              <w:rPr>
                <w:rFonts w:ascii="Helvetica" w:hAnsi="Helvetica" w:cs="Helvetica"/>
                <w:color w:val="000000"/>
                <w:sz w:val="20"/>
                <w:szCs w:val="20"/>
                <w:lang w:eastAsia="es-MX"/>
              </w:rPr>
              <w:t>17</w:t>
            </w:r>
            <w:r>
              <w:rPr>
                <w:rFonts w:ascii="Helvetica" w:hAnsi="Helvetica" w:cs="Helvetica"/>
                <w:color w:val="000000"/>
                <w:sz w:val="20"/>
                <w:szCs w:val="20"/>
                <w:lang w:eastAsia="es-MX"/>
              </w:rPr>
              <w:t>,</w:t>
            </w:r>
            <w:r w:rsidRPr="008A2FF1">
              <w:rPr>
                <w:rFonts w:ascii="Helvetica" w:hAnsi="Helvetica" w:cs="Helvetica"/>
                <w:color w:val="000000"/>
                <w:sz w:val="20"/>
                <w:szCs w:val="20"/>
                <w:lang w:eastAsia="es-MX"/>
              </w:rPr>
              <w:t>328</w:t>
            </w:r>
          </w:p>
        </w:tc>
        <w:tc>
          <w:tcPr>
            <w:tcW w:w="1546" w:type="dxa"/>
            <w:tcBorders>
              <w:top w:val="nil"/>
              <w:left w:val="nil"/>
              <w:bottom w:val="single" w:sz="4" w:space="0" w:color="auto"/>
              <w:right w:val="single" w:sz="4" w:space="0" w:color="auto"/>
            </w:tcBorders>
            <w:shd w:val="clear" w:color="auto" w:fill="auto"/>
            <w:noWrap/>
            <w:vAlign w:val="center"/>
            <w:hideMark/>
          </w:tcPr>
          <w:p w:rsidR="00DC58E8" w:rsidRPr="008A2FF1" w:rsidRDefault="00DC58E8" w:rsidP="00D46504">
            <w:pPr>
              <w:jc w:val="center"/>
              <w:rPr>
                <w:rFonts w:ascii="Helvetica" w:hAnsi="Helvetica" w:cs="Helvetica"/>
                <w:color w:val="000000"/>
                <w:sz w:val="20"/>
                <w:szCs w:val="20"/>
                <w:lang w:eastAsia="es-MX"/>
              </w:rPr>
            </w:pPr>
            <w:r w:rsidRPr="008A2FF1">
              <w:rPr>
                <w:rFonts w:ascii="Helvetica" w:hAnsi="Helvetica" w:cs="Helvetica"/>
                <w:color w:val="000000"/>
                <w:sz w:val="20"/>
                <w:szCs w:val="20"/>
                <w:lang w:eastAsia="es-MX"/>
              </w:rPr>
              <w:t>20</w:t>
            </w:r>
            <w:r>
              <w:rPr>
                <w:rFonts w:ascii="Helvetica" w:hAnsi="Helvetica" w:cs="Helvetica"/>
                <w:color w:val="000000"/>
                <w:sz w:val="20"/>
                <w:szCs w:val="20"/>
                <w:lang w:eastAsia="es-MX"/>
              </w:rPr>
              <w:t>,</w:t>
            </w:r>
            <w:r w:rsidRPr="008A2FF1">
              <w:rPr>
                <w:rFonts w:ascii="Helvetica" w:hAnsi="Helvetica" w:cs="Helvetica"/>
                <w:color w:val="000000"/>
                <w:sz w:val="20"/>
                <w:szCs w:val="20"/>
                <w:lang w:eastAsia="es-MX"/>
              </w:rPr>
              <w:t>606</w:t>
            </w:r>
          </w:p>
        </w:tc>
      </w:tr>
      <w:tr w:rsidR="00DC58E8" w:rsidRPr="008A2FF1" w:rsidTr="00D46504">
        <w:trPr>
          <w:trHeight w:val="219"/>
        </w:trPr>
        <w:tc>
          <w:tcPr>
            <w:tcW w:w="1478" w:type="dxa"/>
            <w:tcBorders>
              <w:top w:val="nil"/>
              <w:left w:val="single" w:sz="4" w:space="0" w:color="auto"/>
              <w:bottom w:val="single" w:sz="4" w:space="0" w:color="auto"/>
              <w:right w:val="single" w:sz="4" w:space="0" w:color="auto"/>
            </w:tcBorders>
            <w:shd w:val="clear" w:color="auto" w:fill="auto"/>
            <w:noWrap/>
            <w:vAlign w:val="center"/>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Total</w:t>
            </w:r>
          </w:p>
        </w:tc>
        <w:tc>
          <w:tcPr>
            <w:tcW w:w="942" w:type="dxa"/>
            <w:tcBorders>
              <w:top w:val="nil"/>
              <w:left w:val="nil"/>
              <w:bottom w:val="single" w:sz="4" w:space="0" w:color="auto"/>
              <w:right w:val="single" w:sz="4" w:space="0" w:color="auto"/>
            </w:tcBorders>
            <w:shd w:val="clear" w:color="auto" w:fill="auto"/>
            <w:noWrap/>
            <w:vAlign w:val="center"/>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35</w:t>
            </w:r>
            <w:r>
              <w:rPr>
                <w:rFonts w:ascii="Helvetica" w:hAnsi="Helvetica" w:cs="Helvetica"/>
                <w:b/>
                <w:bCs/>
                <w:color w:val="000000"/>
                <w:sz w:val="20"/>
                <w:szCs w:val="20"/>
                <w:lang w:eastAsia="es-MX"/>
              </w:rPr>
              <w:t>,</w:t>
            </w:r>
            <w:r w:rsidRPr="008A2FF1">
              <w:rPr>
                <w:rFonts w:ascii="Helvetica" w:hAnsi="Helvetica" w:cs="Helvetica"/>
                <w:b/>
                <w:bCs/>
                <w:color w:val="000000"/>
                <w:sz w:val="20"/>
                <w:szCs w:val="20"/>
                <w:lang w:eastAsia="es-MX"/>
              </w:rPr>
              <w:t>041</w:t>
            </w:r>
          </w:p>
        </w:tc>
        <w:tc>
          <w:tcPr>
            <w:tcW w:w="1546" w:type="dxa"/>
            <w:tcBorders>
              <w:top w:val="nil"/>
              <w:left w:val="nil"/>
              <w:bottom w:val="single" w:sz="4" w:space="0" w:color="auto"/>
              <w:right w:val="single" w:sz="4" w:space="0" w:color="auto"/>
            </w:tcBorders>
            <w:shd w:val="clear" w:color="auto" w:fill="auto"/>
            <w:noWrap/>
            <w:vAlign w:val="center"/>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39</w:t>
            </w:r>
            <w:r>
              <w:rPr>
                <w:rFonts w:ascii="Helvetica" w:hAnsi="Helvetica" w:cs="Helvetica"/>
                <w:b/>
                <w:bCs/>
                <w:color w:val="000000"/>
                <w:sz w:val="20"/>
                <w:szCs w:val="20"/>
                <w:lang w:eastAsia="es-MX"/>
              </w:rPr>
              <w:t>,</w:t>
            </w:r>
            <w:r w:rsidRPr="008A2FF1">
              <w:rPr>
                <w:rFonts w:ascii="Helvetica" w:hAnsi="Helvetica" w:cs="Helvetica"/>
                <w:b/>
                <w:bCs/>
                <w:color w:val="000000"/>
                <w:sz w:val="20"/>
                <w:szCs w:val="20"/>
                <w:lang w:eastAsia="es-MX"/>
              </w:rPr>
              <w:t>042</w:t>
            </w:r>
          </w:p>
        </w:tc>
      </w:tr>
    </w:tbl>
    <w:p w:rsidR="00DC58E8" w:rsidRDefault="00DC58E8" w:rsidP="00DC58E8">
      <w:pPr>
        <w:pStyle w:val="Textoindependiente2"/>
        <w:autoSpaceDE w:val="0"/>
        <w:autoSpaceDN w:val="0"/>
        <w:adjustRightInd w:val="0"/>
        <w:spacing w:after="0" w:line="240" w:lineRule="auto"/>
        <w:ind w:right="707"/>
        <w:jc w:val="both"/>
        <w:rPr>
          <w:rFonts w:ascii="Helvetica" w:hAnsi="Helvetica"/>
          <w:sz w:val="20"/>
          <w:szCs w:val="20"/>
        </w:rPr>
      </w:pPr>
    </w:p>
    <w:p w:rsidR="00DC58E8" w:rsidRDefault="00DC58E8" w:rsidP="00DC58E8">
      <w:pPr>
        <w:pStyle w:val="Textoindependiente2"/>
        <w:autoSpaceDE w:val="0"/>
        <w:autoSpaceDN w:val="0"/>
        <w:adjustRightInd w:val="0"/>
        <w:spacing w:after="0" w:line="240" w:lineRule="auto"/>
        <w:ind w:right="707"/>
        <w:jc w:val="both"/>
        <w:rPr>
          <w:rFonts w:ascii="Helvetica" w:hAnsi="Helvetica"/>
          <w:sz w:val="20"/>
          <w:szCs w:val="20"/>
        </w:rPr>
      </w:pPr>
    </w:p>
    <w:p w:rsidR="00DC58E8" w:rsidRDefault="00DC58E8" w:rsidP="00DC58E8">
      <w:pPr>
        <w:pStyle w:val="Textoindependiente2"/>
        <w:autoSpaceDE w:val="0"/>
        <w:autoSpaceDN w:val="0"/>
        <w:adjustRightInd w:val="0"/>
        <w:spacing w:after="0" w:line="240" w:lineRule="auto"/>
        <w:ind w:right="707"/>
        <w:jc w:val="both"/>
        <w:rPr>
          <w:rFonts w:ascii="Helvetica" w:hAnsi="Helvetica"/>
          <w:sz w:val="20"/>
          <w:szCs w:val="20"/>
        </w:rPr>
      </w:pPr>
    </w:p>
    <w:p w:rsidR="00DC58E8" w:rsidRDefault="00DC58E8" w:rsidP="00DC58E8">
      <w:pPr>
        <w:pStyle w:val="Textoindependiente2"/>
        <w:autoSpaceDE w:val="0"/>
        <w:autoSpaceDN w:val="0"/>
        <w:adjustRightInd w:val="0"/>
        <w:spacing w:after="0" w:line="240" w:lineRule="auto"/>
        <w:ind w:right="707"/>
        <w:jc w:val="both"/>
        <w:rPr>
          <w:rFonts w:ascii="Helvetica" w:hAnsi="Helvetica"/>
          <w:sz w:val="20"/>
          <w:szCs w:val="20"/>
        </w:rPr>
      </w:pPr>
    </w:p>
    <w:p w:rsidR="00DC58E8" w:rsidRDefault="00DC58E8" w:rsidP="00DC58E8">
      <w:pPr>
        <w:pStyle w:val="Textoindependiente2"/>
        <w:autoSpaceDE w:val="0"/>
        <w:autoSpaceDN w:val="0"/>
        <w:adjustRightInd w:val="0"/>
        <w:spacing w:after="0" w:line="240" w:lineRule="auto"/>
        <w:ind w:right="707"/>
        <w:jc w:val="both"/>
        <w:rPr>
          <w:rFonts w:ascii="Helvetica" w:hAnsi="Helvetica"/>
          <w:sz w:val="20"/>
          <w:szCs w:val="20"/>
        </w:rPr>
      </w:pPr>
    </w:p>
    <w:p w:rsidR="00DC58E8" w:rsidRDefault="00DC58E8" w:rsidP="00DC58E8">
      <w:pPr>
        <w:pStyle w:val="Textoindependiente2"/>
        <w:autoSpaceDE w:val="0"/>
        <w:autoSpaceDN w:val="0"/>
        <w:adjustRightInd w:val="0"/>
        <w:spacing w:after="0" w:line="240" w:lineRule="auto"/>
        <w:ind w:right="707"/>
        <w:jc w:val="both"/>
        <w:rPr>
          <w:rFonts w:ascii="Helvetica" w:hAnsi="Helvetica"/>
          <w:sz w:val="20"/>
          <w:szCs w:val="20"/>
        </w:rPr>
      </w:pPr>
    </w:p>
    <w:p w:rsidR="00DC58E8" w:rsidRDefault="00DC58E8" w:rsidP="00DC58E8">
      <w:pPr>
        <w:pStyle w:val="Textoindependiente2"/>
        <w:autoSpaceDE w:val="0"/>
        <w:autoSpaceDN w:val="0"/>
        <w:adjustRightInd w:val="0"/>
        <w:spacing w:after="0" w:line="240" w:lineRule="auto"/>
        <w:ind w:right="707"/>
        <w:jc w:val="both"/>
        <w:rPr>
          <w:rFonts w:ascii="Helvetica" w:hAnsi="Helvetica"/>
          <w:sz w:val="20"/>
          <w:szCs w:val="20"/>
        </w:rPr>
      </w:pPr>
    </w:p>
    <w:p w:rsidR="00DC58E8" w:rsidRDefault="00DC58E8" w:rsidP="00DC58E8">
      <w:pPr>
        <w:pStyle w:val="Textoindependiente2"/>
        <w:autoSpaceDE w:val="0"/>
        <w:autoSpaceDN w:val="0"/>
        <w:adjustRightInd w:val="0"/>
        <w:spacing w:after="0" w:line="240" w:lineRule="auto"/>
        <w:ind w:right="707"/>
        <w:jc w:val="both"/>
        <w:rPr>
          <w:rFonts w:ascii="Helvetica" w:hAnsi="Helvetica"/>
          <w:sz w:val="20"/>
          <w:szCs w:val="20"/>
        </w:rPr>
      </w:pPr>
      <w:r>
        <w:rPr>
          <w:rFonts w:ascii="Helvetica" w:hAnsi="Helvetica"/>
          <w:sz w:val="20"/>
          <w:szCs w:val="20"/>
        </w:rPr>
        <w:t>Adultos que fueron víctimas de delitos registrados en SICATEM:</w:t>
      </w:r>
    </w:p>
    <w:p w:rsidR="00DC58E8" w:rsidRPr="00C73937" w:rsidRDefault="00DC58E8" w:rsidP="00DC58E8">
      <w:pPr>
        <w:pStyle w:val="Textoindependiente2"/>
        <w:autoSpaceDE w:val="0"/>
        <w:autoSpaceDN w:val="0"/>
        <w:adjustRightInd w:val="0"/>
        <w:spacing w:after="0" w:line="240" w:lineRule="auto"/>
        <w:ind w:left="708" w:right="707"/>
        <w:jc w:val="both"/>
        <w:rPr>
          <w:rFonts w:ascii="Helvetica" w:hAnsi="Helvetica"/>
          <w:sz w:val="20"/>
          <w:szCs w:val="20"/>
        </w:rPr>
      </w:pPr>
    </w:p>
    <w:tbl>
      <w:tblPr>
        <w:tblpPr w:leftFromText="141" w:rightFromText="141" w:vertAnchor="text" w:horzAnchor="margin" w:tblpY="101"/>
        <w:tblW w:w="4217" w:type="dxa"/>
        <w:tblCellMar>
          <w:left w:w="70" w:type="dxa"/>
          <w:right w:w="70" w:type="dxa"/>
        </w:tblCellMar>
        <w:tblLook w:val="04A0" w:firstRow="1" w:lastRow="0" w:firstColumn="1" w:lastColumn="0" w:noHBand="0" w:noVBand="1"/>
      </w:tblPr>
      <w:tblGrid>
        <w:gridCol w:w="693"/>
        <w:gridCol w:w="1316"/>
        <w:gridCol w:w="1154"/>
        <w:gridCol w:w="1054"/>
      </w:tblGrid>
      <w:tr w:rsidR="00DC58E8" w:rsidRPr="008A2FF1" w:rsidTr="00D46504">
        <w:trPr>
          <w:trHeight w:val="248"/>
        </w:trPr>
        <w:tc>
          <w:tcPr>
            <w:tcW w:w="3163"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Víctimas de Secuestro Adultos</w:t>
            </w:r>
          </w:p>
        </w:tc>
        <w:tc>
          <w:tcPr>
            <w:tcW w:w="1054" w:type="dxa"/>
            <w:vMerge w:val="restart"/>
            <w:tcBorders>
              <w:top w:val="single" w:sz="4" w:space="0" w:color="auto"/>
              <w:left w:val="single" w:sz="4" w:space="0" w:color="auto"/>
              <w:bottom w:val="single" w:sz="4" w:space="0" w:color="000000"/>
              <w:right w:val="single" w:sz="4" w:space="0" w:color="auto"/>
            </w:tcBorders>
            <w:shd w:val="clear" w:color="auto" w:fill="A6A6A6" w:themeFill="background1" w:themeFillShade="A6"/>
            <w:noWrap/>
            <w:vAlign w:val="center"/>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 xml:space="preserve">Total </w:t>
            </w:r>
          </w:p>
        </w:tc>
      </w:tr>
      <w:tr w:rsidR="00DC58E8" w:rsidRPr="008A2FF1" w:rsidTr="00D46504">
        <w:trPr>
          <w:trHeight w:val="248"/>
        </w:trPr>
        <w:tc>
          <w:tcPr>
            <w:tcW w:w="693" w:type="dxa"/>
            <w:tcBorders>
              <w:top w:val="nil"/>
              <w:left w:val="single" w:sz="4" w:space="0" w:color="auto"/>
              <w:bottom w:val="single" w:sz="4" w:space="0" w:color="auto"/>
              <w:right w:val="single" w:sz="4" w:space="0" w:color="auto"/>
            </w:tcBorders>
            <w:shd w:val="clear" w:color="auto" w:fill="A6A6A6" w:themeFill="background1" w:themeFillShade="A6"/>
            <w:noWrap/>
            <w:vAlign w:val="bottom"/>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ño</w:t>
            </w:r>
          </w:p>
        </w:tc>
        <w:tc>
          <w:tcPr>
            <w:tcW w:w="1316" w:type="dxa"/>
            <w:tcBorders>
              <w:top w:val="nil"/>
              <w:left w:val="nil"/>
              <w:bottom w:val="single" w:sz="4" w:space="0" w:color="auto"/>
              <w:right w:val="single" w:sz="4" w:space="0" w:color="auto"/>
            </w:tcBorders>
            <w:shd w:val="clear" w:color="auto" w:fill="A6A6A6" w:themeFill="background1" w:themeFillShade="A6"/>
            <w:noWrap/>
            <w:vAlign w:val="bottom"/>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Hombres</w:t>
            </w:r>
          </w:p>
        </w:tc>
        <w:tc>
          <w:tcPr>
            <w:tcW w:w="1154" w:type="dxa"/>
            <w:tcBorders>
              <w:top w:val="nil"/>
              <w:left w:val="nil"/>
              <w:bottom w:val="single" w:sz="4" w:space="0" w:color="auto"/>
              <w:right w:val="single" w:sz="4" w:space="0" w:color="auto"/>
            </w:tcBorders>
            <w:shd w:val="clear" w:color="auto" w:fill="A6A6A6" w:themeFill="background1" w:themeFillShade="A6"/>
            <w:noWrap/>
            <w:vAlign w:val="bottom"/>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Mujeres</w:t>
            </w:r>
          </w:p>
        </w:tc>
        <w:tc>
          <w:tcPr>
            <w:tcW w:w="1054" w:type="dxa"/>
            <w:vMerge/>
            <w:tcBorders>
              <w:top w:val="single" w:sz="4" w:space="0" w:color="auto"/>
              <w:left w:val="single" w:sz="4" w:space="0" w:color="auto"/>
              <w:bottom w:val="single" w:sz="4" w:space="0" w:color="000000"/>
              <w:right w:val="single" w:sz="4" w:space="0" w:color="auto"/>
            </w:tcBorders>
            <w:vAlign w:val="center"/>
            <w:hideMark/>
          </w:tcPr>
          <w:p w:rsidR="00DC58E8" w:rsidRPr="008A2FF1" w:rsidRDefault="00DC58E8" w:rsidP="00D46504">
            <w:pPr>
              <w:rPr>
                <w:rFonts w:ascii="Helvetica" w:hAnsi="Helvetica" w:cs="Helvetica"/>
                <w:b/>
                <w:bCs/>
                <w:color w:val="000000"/>
                <w:sz w:val="20"/>
                <w:szCs w:val="20"/>
                <w:lang w:eastAsia="es-MX"/>
              </w:rPr>
            </w:pPr>
          </w:p>
        </w:tc>
      </w:tr>
      <w:tr w:rsidR="00DC58E8" w:rsidRPr="008A2FF1" w:rsidTr="00D46504">
        <w:trPr>
          <w:trHeight w:val="248"/>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2015</w:t>
            </w:r>
          </w:p>
        </w:tc>
        <w:tc>
          <w:tcPr>
            <w:tcW w:w="1316" w:type="dxa"/>
            <w:tcBorders>
              <w:top w:val="nil"/>
              <w:left w:val="nil"/>
              <w:bottom w:val="single" w:sz="4" w:space="0" w:color="auto"/>
              <w:right w:val="single" w:sz="4" w:space="0" w:color="auto"/>
            </w:tcBorders>
            <w:shd w:val="clear" w:color="auto" w:fill="auto"/>
            <w:noWrap/>
            <w:vAlign w:val="bottom"/>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71</w:t>
            </w:r>
          </w:p>
        </w:tc>
        <w:tc>
          <w:tcPr>
            <w:tcW w:w="1154" w:type="dxa"/>
            <w:tcBorders>
              <w:top w:val="nil"/>
              <w:left w:val="nil"/>
              <w:bottom w:val="single" w:sz="4" w:space="0" w:color="auto"/>
              <w:right w:val="single" w:sz="4" w:space="0" w:color="auto"/>
            </w:tcBorders>
            <w:shd w:val="clear" w:color="auto" w:fill="auto"/>
            <w:noWrap/>
            <w:vAlign w:val="bottom"/>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23</w:t>
            </w:r>
          </w:p>
        </w:tc>
        <w:tc>
          <w:tcPr>
            <w:tcW w:w="1054" w:type="dxa"/>
            <w:tcBorders>
              <w:top w:val="nil"/>
              <w:left w:val="nil"/>
              <w:bottom w:val="single" w:sz="4" w:space="0" w:color="auto"/>
              <w:right w:val="single" w:sz="4" w:space="0" w:color="auto"/>
            </w:tcBorders>
            <w:shd w:val="clear" w:color="auto" w:fill="auto"/>
            <w:noWrap/>
            <w:vAlign w:val="bottom"/>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94</w:t>
            </w:r>
          </w:p>
        </w:tc>
      </w:tr>
      <w:tr w:rsidR="00DC58E8" w:rsidRPr="008A2FF1" w:rsidTr="00D46504">
        <w:trPr>
          <w:trHeight w:val="248"/>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2016</w:t>
            </w:r>
          </w:p>
        </w:tc>
        <w:tc>
          <w:tcPr>
            <w:tcW w:w="1316" w:type="dxa"/>
            <w:tcBorders>
              <w:top w:val="nil"/>
              <w:left w:val="nil"/>
              <w:bottom w:val="single" w:sz="4" w:space="0" w:color="auto"/>
              <w:right w:val="single" w:sz="4" w:space="0" w:color="auto"/>
            </w:tcBorders>
            <w:shd w:val="clear" w:color="auto" w:fill="auto"/>
            <w:noWrap/>
            <w:vAlign w:val="center"/>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16</w:t>
            </w:r>
          </w:p>
        </w:tc>
        <w:tc>
          <w:tcPr>
            <w:tcW w:w="1154" w:type="dxa"/>
            <w:tcBorders>
              <w:top w:val="nil"/>
              <w:left w:val="nil"/>
              <w:bottom w:val="single" w:sz="4" w:space="0" w:color="auto"/>
              <w:right w:val="single" w:sz="4" w:space="0" w:color="auto"/>
            </w:tcBorders>
            <w:shd w:val="clear" w:color="auto" w:fill="auto"/>
            <w:noWrap/>
            <w:vAlign w:val="bottom"/>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6</w:t>
            </w:r>
          </w:p>
        </w:tc>
        <w:tc>
          <w:tcPr>
            <w:tcW w:w="1054" w:type="dxa"/>
            <w:tcBorders>
              <w:top w:val="nil"/>
              <w:left w:val="nil"/>
              <w:bottom w:val="single" w:sz="4" w:space="0" w:color="auto"/>
              <w:right w:val="single" w:sz="4" w:space="0" w:color="auto"/>
            </w:tcBorders>
            <w:shd w:val="clear" w:color="auto" w:fill="auto"/>
            <w:noWrap/>
            <w:vAlign w:val="center"/>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22</w:t>
            </w:r>
          </w:p>
        </w:tc>
      </w:tr>
    </w:tbl>
    <w:tbl>
      <w:tblPr>
        <w:tblpPr w:leftFromText="141" w:rightFromText="141" w:vertAnchor="text" w:horzAnchor="margin" w:tblpY="1466"/>
        <w:tblW w:w="3791" w:type="dxa"/>
        <w:tblCellMar>
          <w:left w:w="70" w:type="dxa"/>
          <w:right w:w="70" w:type="dxa"/>
        </w:tblCellMar>
        <w:tblLook w:val="04A0" w:firstRow="1" w:lastRow="0" w:firstColumn="1" w:lastColumn="0" w:noHBand="0" w:noVBand="1"/>
      </w:tblPr>
      <w:tblGrid>
        <w:gridCol w:w="695"/>
        <w:gridCol w:w="1128"/>
        <w:gridCol w:w="973"/>
        <w:gridCol w:w="995"/>
      </w:tblGrid>
      <w:tr w:rsidR="00DC58E8" w:rsidRPr="008A2FF1" w:rsidTr="00D46504">
        <w:trPr>
          <w:trHeight w:val="171"/>
        </w:trPr>
        <w:tc>
          <w:tcPr>
            <w:tcW w:w="2796"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Posibles Víctimas de Trata Adultos</w:t>
            </w:r>
          </w:p>
        </w:tc>
        <w:tc>
          <w:tcPr>
            <w:tcW w:w="995" w:type="dxa"/>
            <w:vMerge w:val="restart"/>
            <w:tcBorders>
              <w:top w:val="single" w:sz="4" w:space="0" w:color="auto"/>
              <w:left w:val="single" w:sz="4" w:space="0" w:color="auto"/>
              <w:bottom w:val="single" w:sz="4" w:space="0" w:color="000000"/>
              <w:right w:val="single" w:sz="4" w:space="0" w:color="auto"/>
            </w:tcBorders>
            <w:shd w:val="clear" w:color="auto" w:fill="A6A6A6" w:themeFill="background1" w:themeFillShade="A6"/>
            <w:noWrap/>
            <w:vAlign w:val="center"/>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 xml:space="preserve">Total </w:t>
            </w:r>
          </w:p>
        </w:tc>
      </w:tr>
      <w:tr w:rsidR="00DC58E8" w:rsidRPr="008A2FF1" w:rsidTr="00D46504">
        <w:trPr>
          <w:trHeight w:val="171"/>
        </w:trPr>
        <w:tc>
          <w:tcPr>
            <w:tcW w:w="695" w:type="dxa"/>
            <w:tcBorders>
              <w:top w:val="nil"/>
              <w:left w:val="single" w:sz="4" w:space="0" w:color="auto"/>
              <w:bottom w:val="single" w:sz="4" w:space="0" w:color="auto"/>
              <w:right w:val="single" w:sz="4" w:space="0" w:color="auto"/>
            </w:tcBorders>
            <w:shd w:val="clear" w:color="auto" w:fill="A6A6A6" w:themeFill="background1" w:themeFillShade="A6"/>
            <w:noWrap/>
            <w:vAlign w:val="bottom"/>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Año</w:t>
            </w:r>
          </w:p>
        </w:tc>
        <w:tc>
          <w:tcPr>
            <w:tcW w:w="1128" w:type="dxa"/>
            <w:tcBorders>
              <w:top w:val="nil"/>
              <w:left w:val="nil"/>
              <w:bottom w:val="single" w:sz="4" w:space="0" w:color="auto"/>
              <w:right w:val="single" w:sz="4" w:space="0" w:color="auto"/>
            </w:tcBorders>
            <w:shd w:val="clear" w:color="auto" w:fill="A6A6A6" w:themeFill="background1" w:themeFillShade="A6"/>
            <w:noWrap/>
            <w:vAlign w:val="bottom"/>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Hombres</w:t>
            </w:r>
          </w:p>
        </w:tc>
        <w:tc>
          <w:tcPr>
            <w:tcW w:w="973" w:type="dxa"/>
            <w:tcBorders>
              <w:top w:val="nil"/>
              <w:left w:val="nil"/>
              <w:bottom w:val="single" w:sz="4" w:space="0" w:color="auto"/>
              <w:right w:val="single" w:sz="4" w:space="0" w:color="auto"/>
            </w:tcBorders>
            <w:shd w:val="clear" w:color="auto" w:fill="A6A6A6" w:themeFill="background1" w:themeFillShade="A6"/>
            <w:noWrap/>
            <w:vAlign w:val="bottom"/>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Mujeres</w:t>
            </w:r>
          </w:p>
        </w:tc>
        <w:tc>
          <w:tcPr>
            <w:tcW w:w="995" w:type="dxa"/>
            <w:vMerge/>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hideMark/>
          </w:tcPr>
          <w:p w:rsidR="00DC58E8" w:rsidRPr="008A2FF1" w:rsidRDefault="00DC58E8" w:rsidP="00D46504">
            <w:pPr>
              <w:rPr>
                <w:rFonts w:ascii="Helvetica" w:hAnsi="Helvetica" w:cs="Helvetica"/>
                <w:b/>
                <w:bCs/>
                <w:color w:val="000000"/>
                <w:sz w:val="20"/>
                <w:szCs w:val="20"/>
                <w:lang w:eastAsia="es-MX"/>
              </w:rPr>
            </w:pPr>
          </w:p>
        </w:tc>
      </w:tr>
      <w:tr w:rsidR="00DC58E8" w:rsidRPr="008A2FF1" w:rsidTr="00D46504">
        <w:trPr>
          <w:trHeight w:val="171"/>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2015</w:t>
            </w:r>
          </w:p>
        </w:tc>
        <w:tc>
          <w:tcPr>
            <w:tcW w:w="1128" w:type="dxa"/>
            <w:tcBorders>
              <w:top w:val="nil"/>
              <w:left w:val="nil"/>
              <w:bottom w:val="single" w:sz="4" w:space="0" w:color="auto"/>
              <w:right w:val="single" w:sz="4" w:space="0" w:color="auto"/>
            </w:tcBorders>
            <w:shd w:val="clear" w:color="auto" w:fill="auto"/>
            <w:noWrap/>
            <w:vAlign w:val="bottom"/>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45</w:t>
            </w:r>
          </w:p>
        </w:tc>
        <w:tc>
          <w:tcPr>
            <w:tcW w:w="973" w:type="dxa"/>
            <w:tcBorders>
              <w:top w:val="nil"/>
              <w:left w:val="nil"/>
              <w:bottom w:val="single" w:sz="4" w:space="0" w:color="auto"/>
              <w:right w:val="single" w:sz="4" w:space="0" w:color="auto"/>
            </w:tcBorders>
            <w:shd w:val="clear" w:color="auto" w:fill="auto"/>
            <w:noWrap/>
            <w:vAlign w:val="bottom"/>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17</w:t>
            </w:r>
          </w:p>
        </w:tc>
        <w:tc>
          <w:tcPr>
            <w:tcW w:w="995" w:type="dxa"/>
            <w:tcBorders>
              <w:top w:val="nil"/>
              <w:left w:val="nil"/>
              <w:bottom w:val="single" w:sz="4" w:space="0" w:color="auto"/>
              <w:right w:val="single" w:sz="4" w:space="0" w:color="auto"/>
            </w:tcBorders>
            <w:shd w:val="clear" w:color="auto" w:fill="auto"/>
            <w:noWrap/>
            <w:vAlign w:val="bottom"/>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62</w:t>
            </w:r>
          </w:p>
        </w:tc>
      </w:tr>
      <w:tr w:rsidR="00DC58E8" w:rsidRPr="008A2FF1" w:rsidTr="00D46504">
        <w:trPr>
          <w:trHeight w:val="171"/>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2016</w:t>
            </w:r>
          </w:p>
        </w:tc>
        <w:tc>
          <w:tcPr>
            <w:tcW w:w="1128" w:type="dxa"/>
            <w:tcBorders>
              <w:top w:val="nil"/>
              <w:left w:val="nil"/>
              <w:bottom w:val="single" w:sz="4" w:space="0" w:color="auto"/>
              <w:right w:val="single" w:sz="4" w:space="0" w:color="auto"/>
            </w:tcBorders>
            <w:shd w:val="clear" w:color="auto" w:fill="auto"/>
            <w:noWrap/>
            <w:vAlign w:val="center"/>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34</w:t>
            </w:r>
          </w:p>
        </w:tc>
        <w:tc>
          <w:tcPr>
            <w:tcW w:w="973" w:type="dxa"/>
            <w:tcBorders>
              <w:top w:val="nil"/>
              <w:left w:val="nil"/>
              <w:bottom w:val="single" w:sz="4" w:space="0" w:color="auto"/>
              <w:right w:val="single" w:sz="4" w:space="0" w:color="auto"/>
            </w:tcBorders>
            <w:shd w:val="clear" w:color="auto" w:fill="auto"/>
            <w:noWrap/>
            <w:vAlign w:val="bottom"/>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25</w:t>
            </w:r>
          </w:p>
        </w:tc>
        <w:tc>
          <w:tcPr>
            <w:tcW w:w="995" w:type="dxa"/>
            <w:tcBorders>
              <w:top w:val="nil"/>
              <w:left w:val="nil"/>
              <w:bottom w:val="single" w:sz="4" w:space="0" w:color="auto"/>
              <w:right w:val="single" w:sz="4" w:space="0" w:color="auto"/>
            </w:tcBorders>
            <w:shd w:val="clear" w:color="auto" w:fill="auto"/>
            <w:noWrap/>
            <w:vAlign w:val="center"/>
            <w:hideMark/>
          </w:tcPr>
          <w:p w:rsidR="00DC58E8" w:rsidRPr="008A2FF1" w:rsidRDefault="00DC58E8" w:rsidP="00D46504">
            <w:pPr>
              <w:jc w:val="center"/>
              <w:rPr>
                <w:rFonts w:ascii="Helvetica" w:hAnsi="Helvetica" w:cs="Helvetica"/>
                <w:b/>
                <w:bCs/>
                <w:color w:val="000000"/>
                <w:sz w:val="20"/>
                <w:szCs w:val="20"/>
                <w:lang w:eastAsia="es-MX"/>
              </w:rPr>
            </w:pPr>
            <w:r w:rsidRPr="008A2FF1">
              <w:rPr>
                <w:rFonts w:ascii="Helvetica" w:hAnsi="Helvetica" w:cs="Helvetica"/>
                <w:b/>
                <w:bCs/>
                <w:color w:val="000000"/>
                <w:sz w:val="20"/>
                <w:szCs w:val="20"/>
                <w:lang w:eastAsia="es-MX"/>
              </w:rPr>
              <w:t>59</w:t>
            </w:r>
          </w:p>
        </w:tc>
      </w:tr>
    </w:tbl>
    <w:p w:rsidR="00DC58E8" w:rsidRDefault="00DC58E8" w:rsidP="00DC58E8"/>
    <w:p w:rsidR="00DC58E8" w:rsidRPr="00CF58B8" w:rsidRDefault="00DC58E8" w:rsidP="00BC0807">
      <w:pPr>
        <w:jc w:val="both"/>
        <w:rPr>
          <w:rFonts w:ascii="Times New Roman" w:hAnsi="Times New Roman" w:cs="Times New Roman"/>
          <w:sz w:val="24"/>
          <w:szCs w:val="24"/>
        </w:rPr>
      </w:pPr>
    </w:p>
    <w:p w:rsidR="00BC0807" w:rsidRPr="0072739B" w:rsidRDefault="00BC0807" w:rsidP="00BC0807">
      <w:pPr>
        <w:jc w:val="both"/>
        <w:rPr>
          <w:rFonts w:ascii="Times New Roman" w:hAnsi="Times New Roman" w:cs="Times New Roman"/>
          <w:sz w:val="24"/>
          <w:szCs w:val="24"/>
        </w:rPr>
      </w:pPr>
      <w:r w:rsidRPr="0072739B">
        <w:rPr>
          <w:rFonts w:ascii="Times New Roman" w:eastAsia="Calibri" w:hAnsi="Times New Roman" w:cs="Times New Roman"/>
          <w:sz w:val="24"/>
          <w:szCs w:val="24"/>
        </w:rPr>
        <w:t xml:space="preserve">Además el artículo 182 </w:t>
      </w:r>
      <w:r>
        <w:rPr>
          <w:rFonts w:ascii="Times New Roman" w:eastAsia="Calibri" w:hAnsi="Times New Roman" w:cs="Times New Roman"/>
          <w:sz w:val="24"/>
          <w:szCs w:val="24"/>
        </w:rPr>
        <w:t>del Reglamento de la Ley de Migración establece que</w:t>
      </w:r>
      <w:r w:rsidRPr="0072739B">
        <w:rPr>
          <w:rFonts w:ascii="Times New Roman" w:hAnsi="Times New Roman" w:cs="Times New Roman"/>
          <w:sz w:val="24"/>
          <w:szCs w:val="24"/>
        </w:rPr>
        <w:t xml:space="preserve"> si de la comparecencia, el I</w:t>
      </w:r>
      <w:r>
        <w:rPr>
          <w:rFonts w:ascii="Times New Roman" w:hAnsi="Times New Roman" w:cs="Times New Roman"/>
          <w:sz w:val="24"/>
          <w:szCs w:val="24"/>
        </w:rPr>
        <w:t>NM</w:t>
      </w:r>
      <w:r w:rsidRPr="0072739B">
        <w:rPr>
          <w:rFonts w:ascii="Times New Roman" w:hAnsi="Times New Roman" w:cs="Times New Roman"/>
          <w:sz w:val="24"/>
          <w:szCs w:val="24"/>
        </w:rPr>
        <w:t xml:space="preserve"> identifica que la persona extranjera es una víctima de delito grave cometido en el territorio nacional y manifiesta su voluntad de permanecer en el territorio nacional para formular denuncia y dar seguimiento al proceso penal, con independencia del pronunciamiento que en su caso emitan las autoridades ministeriales o judiciales competentes, el Instituto emitirá un acuerdo debidamente fundado y motivado en el que se reconozca su calidad de víctima.</w:t>
      </w:r>
    </w:p>
    <w:p w:rsidR="00BC0807" w:rsidRPr="00CF58B8" w:rsidRDefault="00BC0807" w:rsidP="00BC0807">
      <w:pPr>
        <w:jc w:val="both"/>
        <w:rPr>
          <w:rFonts w:ascii="Times New Roman" w:hAnsi="Times New Roman" w:cs="Times New Roman"/>
          <w:sz w:val="24"/>
          <w:szCs w:val="24"/>
        </w:rPr>
      </w:pPr>
    </w:p>
    <w:p w:rsidR="00BC0807" w:rsidRPr="008A7617" w:rsidRDefault="00BC0807" w:rsidP="00BC0807">
      <w:pPr>
        <w:jc w:val="both"/>
        <w:rPr>
          <w:rFonts w:ascii="Times New Roman" w:eastAsia="Calibri" w:hAnsi="Times New Roman" w:cs="Times New Roman"/>
          <w:sz w:val="24"/>
          <w:szCs w:val="24"/>
        </w:rPr>
      </w:pPr>
      <w:r w:rsidRPr="008A7617">
        <w:rPr>
          <w:rFonts w:ascii="Times New Roman" w:eastAsia="Calibri" w:hAnsi="Times New Roman" w:cs="Times New Roman"/>
          <w:sz w:val="24"/>
          <w:szCs w:val="24"/>
        </w:rPr>
        <w:t>Hecho el reconocimiento anterior, y una vez que la persona extranjera haya formulado la denuncia ante la autoridad compete</w:t>
      </w:r>
      <w:r>
        <w:rPr>
          <w:rFonts w:ascii="Times New Roman" w:eastAsia="Calibri" w:hAnsi="Times New Roman" w:cs="Times New Roman"/>
          <w:sz w:val="24"/>
          <w:szCs w:val="24"/>
        </w:rPr>
        <w:t>nte, la autoridad migratoria</w:t>
      </w:r>
      <w:r w:rsidRPr="008A7617">
        <w:rPr>
          <w:rFonts w:ascii="Times New Roman" w:eastAsia="Calibri" w:hAnsi="Times New Roman" w:cs="Times New Roman"/>
          <w:sz w:val="24"/>
          <w:szCs w:val="24"/>
        </w:rPr>
        <w:t xml:space="preserve"> emitirá un acuerdo a través del que se otorgará a la persona extranjera un plazo para que inicie los trámites de regularización de su situación migratoria, en términos de lo dispuesto por el artículo 133 de la Ley y </w:t>
      </w:r>
      <w:r>
        <w:rPr>
          <w:rFonts w:ascii="Times New Roman" w:eastAsia="Calibri" w:hAnsi="Times New Roman" w:cs="Times New Roman"/>
          <w:sz w:val="24"/>
          <w:szCs w:val="24"/>
        </w:rPr>
        <w:t>c</w:t>
      </w:r>
      <w:r w:rsidRPr="008A7617">
        <w:rPr>
          <w:rFonts w:ascii="Times New Roman" w:eastAsia="Calibri" w:hAnsi="Times New Roman" w:cs="Times New Roman"/>
          <w:sz w:val="24"/>
          <w:szCs w:val="24"/>
        </w:rPr>
        <w:t>on ello, garantice su acceso a la justicia. Si la persona extranjera no desea permanecer en el territorio nacional será sujeta al procedimiento de retorno asistido.</w:t>
      </w:r>
    </w:p>
    <w:p w:rsidR="00BC0807" w:rsidRPr="008A7617" w:rsidRDefault="00BC0807" w:rsidP="00BC0807">
      <w:pPr>
        <w:jc w:val="both"/>
        <w:rPr>
          <w:rFonts w:ascii="Times New Roman" w:eastAsia="Calibri" w:hAnsi="Times New Roman" w:cs="Times New Roman"/>
          <w:sz w:val="24"/>
          <w:szCs w:val="24"/>
        </w:rPr>
      </w:pPr>
    </w:p>
    <w:p w:rsidR="00BC0807" w:rsidRPr="00714006" w:rsidRDefault="00BC0807" w:rsidP="00BC0807">
      <w:pPr>
        <w:jc w:val="both"/>
        <w:rPr>
          <w:rFonts w:ascii="Times New Roman" w:eastAsia="Calibri" w:hAnsi="Times New Roman" w:cs="Times New Roman"/>
          <w:sz w:val="24"/>
          <w:szCs w:val="24"/>
        </w:rPr>
      </w:pPr>
      <w:r w:rsidRPr="008A7617">
        <w:rPr>
          <w:rFonts w:ascii="Times New Roman" w:eastAsia="Calibri" w:hAnsi="Times New Roman" w:cs="Times New Roman"/>
          <w:sz w:val="24"/>
          <w:szCs w:val="24"/>
        </w:rPr>
        <w:t>Para brindar mayor protección y seguridad a los migrantes en las principales rutas de tránsito, el Instituto fortaleció sus acciones de control y verificación, obteniéndose como resultado la detección y puesta a disposición de las autoridades d</w:t>
      </w:r>
      <w:r>
        <w:rPr>
          <w:rFonts w:ascii="Times New Roman" w:eastAsia="Calibri" w:hAnsi="Times New Roman" w:cs="Times New Roman"/>
          <w:sz w:val="24"/>
          <w:szCs w:val="24"/>
        </w:rPr>
        <w:t>e procuración de justicia de 1</w:t>
      </w:r>
      <w:r w:rsidRPr="004E5F6C">
        <w:rPr>
          <w:rFonts w:ascii="Times New Roman" w:eastAsia="Calibri" w:hAnsi="Times New Roman" w:cs="Times New Roman"/>
          <w:sz w:val="24"/>
          <w:szCs w:val="24"/>
          <w:highlight w:val="yellow"/>
        </w:rPr>
        <w:t>,052 personas por presuntos delitos cometidos en contra de migrantes en el periodo de agosto de 2014 a julio de 2016</w:t>
      </w:r>
      <w:r w:rsidRPr="008A7617">
        <w:rPr>
          <w:rFonts w:ascii="Times New Roman" w:eastAsia="Calibri" w:hAnsi="Times New Roman" w:cs="Times New Roman"/>
          <w:sz w:val="24"/>
          <w:szCs w:val="24"/>
        </w:rPr>
        <w:t xml:space="preserve">. Por su parte las Fiscalías Especializadas para la Atención a Delitos Cometidos en Contra de Inmigrantes dependientes de las Procuradurías Generales de Justicia de los estados de Chiapas, Veracruz, Tabasco, Campeche, Oaxaca, Quintana Roo y Coahuila realizan acciones de prevención, investigación y persecución de delitos cuando un inmigrante independientemente de su situación migratoria se encuentra involucrado como víctima u </w:t>
      </w:r>
      <w:r w:rsidRPr="00714006">
        <w:rPr>
          <w:rFonts w:ascii="Times New Roman" w:eastAsia="Calibri" w:hAnsi="Times New Roman" w:cs="Times New Roman"/>
          <w:sz w:val="24"/>
          <w:szCs w:val="24"/>
        </w:rPr>
        <w:t>ofendido. Es importante destacar que</w:t>
      </w:r>
      <w:r>
        <w:rPr>
          <w:rFonts w:ascii="Times New Roman" w:eastAsia="Calibri" w:hAnsi="Times New Roman" w:cs="Times New Roman"/>
          <w:sz w:val="24"/>
          <w:szCs w:val="24"/>
        </w:rPr>
        <w:t xml:space="preserve">, por ejemplo, </w:t>
      </w:r>
      <w:r w:rsidRPr="00714006">
        <w:rPr>
          <w:rFonts w:ascii="Times New Roman" w:eastAsia="Calibri" w:hAnsi="Times New Roman" w:cs="Times New Roman"/>
          <w:sz w:val="24"/>
          <w:szCs w:val="24"/>
        </w:rPr>
        <w:t>la Fiscalía del Estado de Chiapas, consignó en el período señalado 56 averiguaciones por los delitos de tráfico y trata de personas migrantes, explotación laboral y mixtos.</w:t>
      </w:r>
    </w:p>
    <w:p w:rsidR="00BC0807" w:rsidRPr="008A7617" w:rsidRDefault="00BC0807" w:rsidP="00BC0807">
      <w:pPr>
        <w:jc w:val="both"/>
        <w:rPr>
          <w:rFonts w:ascii="Times New Roman" w:eastAsia="Calibri" w:hAnsi="Times New Roman" w:cs="Times New Roman"/>
          <w:sz w:val="24"/>
          <w:szCs w:val="24"/>
        </w:rPr>
      </w:pPr>
    </w:p>
    <w:p w:rsidR="00BC0807" w:rsidRPr="008A7617" w:rsidRDefault="00BC0807" w:rsidP="00BC0807">
      <w:pPr>
        <w:jc w:val="both"/>
        <w:rPr>
          <w:rFonts w:ascii="Times New Roman" w:eastAsia="Calibri" w:hAnsi="Times New Roman" w:cs="Times New Roman"/>
          <w:sz w:val="24"/>
          <w:szCs w:val="24"/>
        </w:rPr>
      </w:pPr>
      <w:r w:rsidRPr="008A7617">
        <w:rPr>
          <w:rFonts w:ascii="Times New Roman" w:eastAsia="Calibri" w:hAnsi="Times New Roman" w:cs="Times New Roman"/>
          <w:sz w:val="24"/>
          <w:szCs w:val="24"/>
        </w:rPr>
        <w:t xml:space="preserve">Respecto a los mecanismos de denuncia de violaciones a derechos humanos, el </w:t>
      </w:r>
      <w:r w:rsidRPr="008A7617">
        <w:rPr>
          <w:rFonts w:ascii="Times New Roman" w:eastAsia="Calibri" w:hAnsi="Times New Roman" w:cs="Times New Roman"/>
          <w:i/>
          <w:sz w:val="24"/>
          <w:szCs w:val="24"/>
        </w:rPr>
        <w:t>Acuerdo por el que se emiten las normas para el funcionamiento de las Estaciones Migratorias y Estancias Provisionales del Instituto Nacional de Migración</w:t>
      </w:r>
      <w:r w:rsidRPr="008A761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publicado en 2011 </w:t>
      </w:r>
      <w:r w:rsidRPr="006E7CA2">
        <w:rPr>
          <w:rFonts w:ascii="Times New Roman" w:eastAsia="Calibri" w:hAnsi="Times New Roman" w:cs="Times New Roman"/>
          <w:sz w:val="24"/>
          <w:szCs w:val="24"/>
        </w:rPr>
        <w:t>reconoce una serie de disposiciones tendientes a garantizar el pleno respeto a los derechos humanos de los migrantes, como el permitir el acceso al personal consular y a la Comisión Nacional de Derechos Humanos (CNDH) en cualquier momento</w:t>
      </w:r>
      <w:r w:rsidRPr="00F71213">
        <w:rPr>
          <w:rFonts w:ascii="Times New Roman" w:eastAsia="Calibri" w:hAnsi="Times New Roman" w:cs="Times New Roman"/>
          <w:sz w:val="24"/>
          <w:szCs w:val="24"/>
        </w:rPr>
        <w:t xml:space="preserve"> </w:t>
      </w:r>
      <w:r w:rsidRPr="008A7617">
        <w:rPr>
          <w:rFonts w:ascii="Times New Roman" w:eastAsia="Calibri" w:hAnsi="Times New Roman" w:cs="Times New Roman"/>
          <w:sz w:val="24"/>
          <w:szCs w:val="24"/>
        </w:rPr>
        <w:t>a</w:t>
      </w:r>
      <w:r>
        <w:rPr>
          <w:rFonts w:ascii="Times New Roman" w:eastAsia="Calibri" w:hAnsi="Times New Roman" w:cs="Times New Roman"/>
          <w:sz w:val="24"/>
          <w:szCs w:val="24"/>
        </w:rPr>
        <w:t xml:space="preserve"> las Estaciones Migratorias y Estancias Provisionales a</w:t>
      </w:r>
      <w:r w:rsidRPr="008A7617">
        <w:rPr>
          <w:rFonts w:ascii="Times New Roman" w:eastAsia="Calibri" w:hAnsi="Times New Roman" w:cs="Times New Roman"/>
          <w:sz w:val="24"/>
          <w:szCs w:val="24"/>
        </w:rPr>
        <w:t xml:space="preserve"> efecto de que aquellos extranjeros que así lo deseen, inicien el trámite de queja correspondiente , misma que es notificada al Instituto Naciona</w:t>
      </w:r>
      <w:r>
        <w:rPr>
          <w:rFonts w:ascii="Times New Roman" w:eastAsia="Calibri" w:hAnsi="Times New Roman" w:cs="Times New Roman"/>
          <w:sz w:val="24"/>
          <w:szCs w:val="24"/>
        </w:rPr>
        <w:t>l de Migración para su atención; asimismo</w:t>
      </w:r>
      <w:r w:rsidRPr="006E7CA2">
        <w:rPr>
          <w:rFonts w:ascii="Times New Roman" w:eastAsia="Calibri" w:hAnsi="Times New Roman" w:cs="Times New Roman"/>
          <w:sz w:val="24"/>
          <w:szCs w:val="24"/>
        </w:rPr>
        <w:t>,</w:t>
      </w:r>
      <w:r>
        <w:rPr>
          <w:rFonts w:ascii="Times New Roman" w:eastAsia="Calibri" w:hAnsi="Times New Roman" w:cs="Times New Roman"/>
          <w:sz w:val="24"/>
          <w:szCs w:val="24"/>
        </w:rPr>
        <w:t xml:space="preserve"> se regula el ingreso para las o</w:t>
      </w:r>
      <w:r w:rsidRPr="006E7CA2">
        <w:rPr>
          <w:rFonts w:ascii="Times New Roman" w:eastAsia="Calibri" w:hAnsi="Times New Roman" w:cs="Times New Roman"/>
          <w:sz w:val="24"/>
          <w:szCs w:val="24"/>
        </w:rPr>
        <w:t>rganizac</w:t>
      </w:r>
      <w:r>
        <w:rPr>
          <w:rFonts w:ascii="Times New Roman" w:eastAsia="Calibri" w:hAnsi="Times New Roman" w:cs="Times New Roman"/>
          <w:sz w:val="24"/>
          <w:szCs w:val="24"/>
        </w:rPr>
        <w:t>iones de la sociedad civil</w:t>
      </w:r>
      <w:r w:rsidRPr="006E7CA2">
        <w:rPr>
          <w:rFonts w:ascii="Times New Roman" w:eastAsia="Calibri" w:hAnsi="Times New Roman" w:cs="Times New Roman"/>
          <w:sz w:val="24"/>
          <w:szCs w:val="24"/>
        </w:rPr>
        <w:t xml:space="preserve">, las </w:t>
      </w:r>
      <w:r w:rsidRPr="006E7CA2">
        <w:rPr>
          <w:rFonts w:ascii="Times New Roman" w:eastAsia="Calibri" w:hAnsi="Times New Roman" w:cs="Times New Roman"/>
          <w:sz w:val="24"/>
          <w:szCs w:val="24"/>
        </w:rPr>
        <w:lastRenderedPageBreak/>
        <w:t>cuales en su mayoría realizan talleres grupales y asesorías individuales a fin de bridar información a las personas migrantes alojadas sobre sus derechos y obligaciones.</w:t>
      </w:r>
    </w:p>
    <w:p w:rsidR="00BC0807" w:rsidRDefault="00BC0807" w:rsidP="00BC0807">
      <w:pPr>
        <w:jc w:val="both"/>
        <w:rPr>
          <w:rFonts w:ascii="Times New Roman" w:hAnsi="Times New Roman" w:cs="Times New Roman"/>
          <w:sz w:val="24"/>
          <w:szCs w:val="24"/>
        </w:rPr>
      </w:pPr>
    </w:p>
    <w:p w:rsidR="00BC0807" w:rsidRPr="00AA3ADF" w:rsidRDefault="00BC0807" w:rsidP="00BC0807">
      <w:pPr>
        <w:pStyle w:val="NormalWeb"/>
        <w:spacing w:before="0" w:beforeAutospacing="0" w:after="0" w:afterAutospacing="0"/>
        <w:jc w:val="both"/>
        <w:rPr>
          <w:rFonts w:eastAsiaTheme="minorHAnsi"/>
          <w:color w:val="000000"/>
          <w:lang w:eastAsia="en-US"/>
        </w:rPr>
      </w:pPr>
      <w:r>
        <w:t>En diciembre de 2015</w:t>
      </w:r>
      <w:r w:rsidRPr="00AA3ADF">
        <w:t xml:space="preserve"> se cr</w:t>
      </w:r>
      <w:r>
        <w:t>eó</w:t>
      </w:r>
      <w:r w:rsidRPr="00AA3ADF">
        <w:t xml:space="preserve"> la Unidad de Investigación de Delitos para Personas Migrantes y el Mecanismo de Apoyo Exterior Mexicano de Búsqueda e Investigación</w:t>
      </w:r>
      <w:r>
        <w:t xml:space="preserve"> en la PGR</w:t>
      </w:r>
      <w:r w:rsidRPr="00AA3ADF">
        <w:t>.</w:t>
      </w:r>
      <w:r w:rsidRPr="00AA3ADF">
        <w:rPr>
          <w:b/>
        </w:rPr>
        <w:t xml:space="preserve">  </w:t>
      </w:r>
      <w:r w:rsidRPr="00AA3ADF">
        <w:rPr>
          <w:rFonts w:eastAsiaTheme="minorHAnsi"/>
          <w:color w:val="000000"/>
          <w:lang w:eastAsia="en-US"/>
        </w:rPr>
        <w:t xml:space="preserve">Dicha Unidad es competente para facilitar el acceso a la justicia a las personas migrantes y a sus familias, realizar la búsqueda de personas migrantes desaparecidas, investigar y perseguir los delitos cometidos por o en contra de personas migrantes, con estricto apego a las leyes y demás disposiciones aplicables, además de dirigir, coordinar y supervisar la aplicación de acciones idóneas y efectivas para que se repare el daño a las víctimas.  </w:t>
      </w:r>
    </w:p>
    <w:p w:rsidR="00BC0807" w:rsidRDefault="00BC0807" w:rsidP="00BC0807">
      <w:pPr>
        <w:pStyle w:val="NormalWeb"/>
        <w:spacing w:before="0" w:beforeAutospacing="0" w:after="0" w:afterAutospacing="0"/>
        <w:jc w:val="both"/>
        <w:rPr>
          <w:rFonts w:eastAsiaTheme="minorHAnsi"/>
          <w:color w:val="000000"/>
          <w:lang w:eastAsia="en-US"/>
        </w:rPr>
      </w:pPr>
    </w:p>
    <w:p w:rsidR="00BC0807" w:rsidRPr="00AA3ADF" w:rsidRDefault="00BC0807" w:rsidP="00BC0807">
      <w:pPr>
        <w:pStyle w:val="NormalWeb"/>
        <w:spacing w:before="0" w:beforeAutospacing="0" w:after="0" w:afterAutospacing="0"/>
        <w:jc w:val="both"/>
        <w:rPr>
          <w:rFonts w:eastAsiaTheme="minorHAnsi"/>
          <w:color w:val="000000"/>
          <w:lang w:eastAsia="en-US"/>
        </w:rPr>
      </w:pPr>
      <w:r>
        <w:rPr>
          <w:rFonts w:eastAsiaTheme="minorHAnsi"/>
          <w:color w:val="000000"/>
          <w:lang w:eastAsia="en-US"/>
        </w:rPr>
        <w:t>El</w:t>
      </w:r>
      <w:r w:rsidRPr="00AA3ADF">
        <w:rPr>
          <w:rFonts w:eastAsiaTheme="minorHAnsi"/>
          <w:color w:val="000000"/>
          <w:lang w:eastAsia="en-US"/>
        </w:rPr>
        <w:t xml:space="preserve"> Mecanismo de Apoyo Exterior Mexicano de Búsqueda e Investigación, el cual consiste en el conjunto de acciones y medidas, especiales y coordinadas que el Estado mexicano tomará para garantizar el acceso a la justicia para las personas migrantes víctimas del delito y de violaciones a derechos humanos, y sus familias que se encuentran en otro país y que no pueden acceder directamente a las instituciones de procuración de justicia en México competentes para iniciar una denuncia, solicitar la búsqueda de su familiar, presentar o solicitar pruebas, solicitar el reconocimiento como coadyuvante y ejercer la coadyuvancia, en general ejercer su derecho al esclarecimiento de los hechos, el acceso a la justicia, incluido también su derecho a la reparación de los daños causados por el delito. En este sentido, el Mecanismo, a través de los agregados de la </w:t>
      </w:r>
      <w:r>
        <w:rPr>
          <w:rFonts w:eastAsiaTheme="minorHAnsi"/>
          <w:color w:val="000000"/>
          <w:lang w:eastAsia="en-US"/>
        </w:rPr>
        <w:t>PGR</w:t>
      </w:r>
      <w:r w:rsidRPr="00AA3ADF">
        <w:rPr>
          <w:rFonts w:eastAsiaTheme="minorHAnsi"/>
          <w:color w:val="000000"/>
          <w:lang w:eastAsia="en-US"/>
        </w:rPr>
        <w:t xml:space="preserve">, es la puerta de entrada para que las familias y las víctimas migrantes puedan acceder desde el país donde se encuentren, a las instituciones del Estado mexicano encargadas de investigar los delitos que se cometan en territorio mexicano contra la población migrante, y así presentar denuncias, ofrecer pruebas, ejercer los derechos y las facultades que la ley les reconoce, y facilitar su enlace con la defensoría de oficio, en caso de persona migrante imputada. </w:t>
      </w:r>
    </w:p>
    <w:p w:rsidR="00BC0807" w:rsidRPr="00AA3ADF" w:rsidRDefault="00BC0807" w:rsidP="00BC0807">
      <w:pPr>
        <w:pStyle w:val="NormalWeb"/>
        <w:spacing w:before="0" w:beforeAutospacing="0" w:after="0" w:afterAutospacing="0"/>
        <w:jc w:val="both"/>
        <w:rPr>
          <w:rFonts w:eastAsiaTheme="minorHAnsi"/>
          <w:color w:val="000000"/>
          <w:lang w:eastAsia="en-US"/>
        </w:rPr>
      </w:pPr>
    </w:p>
    <w:p w:rsidR="00BC0807" w:rsidRPr="00AA3ADF" w:rsidRDefault="00BC0807" w:rsidP="00BC0807">
      <w:pPr>
        <w:jc w:val="both"/>
        <w:rPr>
          <w:rFonts w:ascii="Times New Roman" w:hAnsi="Times New Roman" w:cs="Times New Roman"/>
          <w:sz w:val="24"/>
          <w:szCs w:val="24"/>
        </w:rPr>
      </w:pPr>
      <w:r w:rsidRPr="00AA3ADF">
        <w:rPr>
          <w:rFonts w:ascii="Times New Roman" w:hAnsi="Times New Roman" w:cs="Times New Roman"/>
          <w:sz w:val="24"/>
          <w:szCs w:val="24"/>
          <w:lang w:val="es-ES_tradnl"/>
        </w:rPr>
        <w:t xml:space="preserve">Tanto la Unidad como el Mecanismo facilitarán el fortalecimiento y la réplica de las acciones realizadas por la Comisión Forense, la cual se creó a raíz del </w:t>
      </w:r>
      <w:r w:rsidRPr="00AA3ADF">
        <w:rPr>
          <w:rFonts w:ascii="Times New Roman" w:hAnsi="Times New Roman" w:cs="Times New Roman"/>
          <w:i/>
          <w:sz w:val="24"/>
          <w:szCs w:val="24"/>
        </w:rPr>
        <w:t>Convenio de Colaboración para la Identificación de Restos Localizados en San Fernando Tamaulipas y en Cadereyta, Nuevo León por Conducto de una Comisión Forense</w:t>
      </w:r>
      <w:r w:rsidRPr="00AA3ADF">
        <w:rPr>
          <w:rFonts w:ascii="Times New Roman" w:hAnsi="Times New Roman" w:cs="Times New Roman"/>
          <w:sz w:val="24"/>
          <w:szCs w:val="24"/>
          <w:lang w:val="es-ES_tradnl"/>
        </w:rPr>
        <w:t xml:space="preserve"> que la PGR firmó con el Equipo Argentino de Antropología Forense y organizaciones nacionales y centroamericanas</w:t>
      </w:r>
      <w:r w:rsidRPr="00AA3ADF">
        <w:rPr>
          <w:rFonts w:ascii="Times New Roman" w:hAnsi="Times New Roman" w:cs="Times New Roman"/>
          <w:sz w:val="24"/>
          <w:szCs w:val="24"/>
        </w:rPr>
        <w:t xml:space="preserve"> de familiares de personas desaparecidas</w:t>
      </w:r>
      <w:r w:rsidRPr="00AA3ADF">
        <w:rPr>
          <w:rStyle w:val="Refdenotaalpie"/>
          <w:rFonts w:ascii="Times New Roman" w:hAnsi="Times New Roman" w:cs="Times New Roman"/>
          <w:sz w:val="24"/>
          <w:szCs w:val="24"/>
        </w:rPr>
        <w:footnoteReference w:id="1"/>
      </w:r>
      <w:r w:rsidRPr="00AA3ADF">
        <w:rPr>
          <w:rFonts w:ascii="Times New Roman" w:hAnsi="Times New Roman" w:cs="Times New Roman"/>
          <w:sz w:val="24"/>
          <w:szCs w:val="24"/>
        </w:rPr>
        <w:t>. El Convenio</w:t>
      </w:r>
      <w:r w:rsidRPr="00AA3ADF">
        <w:rPr>
          <w:rFonts w:ascii="Times New Roman" w:hAnsi="Times New Roman" w:cs="Times New Roman"/>
          <w:sz w:val="24"/>
          <w:szCs w:val="24"/>
          <w:lang w:val="es-ES_tradnl"/>
        </w:rPr>
        <w:t xml:space="preserve"> fue publicado en el </w:t>
      </w:r>
      <w:r>
        <w:rPr>
          <w:rFonts w:ascii="Times New Roman" w:hAnsi="Times New Roman" w:cs="Times New Roman"/>
          <w:sz w:val="24"/>
          <w:szCs w:val="24"/>
          <w:lang w:val="es-ES_tradnl"/>
        </w:rPr>
        <w:t xml:space="preserve">DOF en </w:t>
      </w:r>
      <w:r w:rsidRPr="00AA3ADF">
        <w:rPr>
          <w:rFonts w:ascii="Times New Roman" w:hAnsi="Times New Roman" w:cs="Times New Roman"/>
          <w:sz w:val="24"/>
          <w:szCs w:val="24"/>
          <w:lang w:val="es-ES_tradnl"/>
        </w:rPr>
        <w:t xml:space="preserve">septiembre de 2013 y la Adenda que incorpora para cumplir con el objetivo del citado convenio a las Procuradurías Generales de Justicia de Tamaulipas y de Nuevo León, fue publicada </w:t>
      </w:r>
      <w:r>
        <w:rPr>
          <w:rFonts w:ascii="Times New Roman" w:hAnsi="Times New Roman" w:cs="Times New Roman"/>
          <w:sz w:val="24"/>
          <w:szCs w:val="24"/>
          <w:lang w:val="es-ES_tradnl"/>
        </w:rPr>
        <w:t>en</w:t>
      </w:r>
      <w:r w:rsidRPr="00AA3ADF">
        <w:rPr>
          <w:rFonts w:ascii="Times New Roman" w:hAnsi="Times New Roman" w:cs="Times New Roman"/>
          <w:sz w:val="24"/>
          <w:szCs w:val="24"/>
          <w:lang w:val="es-ES_tradnl"/>
        </w:rPr>
        <w:t xml:space="preserve"> octubre de 2014, también en </w:t>
      </w:r>
      <w:r>
        <w:rPr>
          <w:rFonts w:ascii="Times New Roman" w:hAnsi="Times New Roman" w:cs="Times New Roman"/>
          <w:sz w:val="24"/>
          <w:szCs w:val="24"/>
          <w:lang w:val="es-ES_tradnl"/>
        </w:rPr>
        <w:t>el DOF</w:t>
      </w:r>
      <w:r w:rsidRPr="00AA3ADF">
        <w:rPr>
          <w:rFonts w:ascii="Times New Roman" w:hAnsi="Times New Roman" w:cs="Times New Roman"/>
          <w:sz w:val="24"/>
          <w:szCs w:val="24"/>
          <w:lang w:val="es-ES_tradnl"/>
        </w:rPr>
        <w:t xml:space="preserve">. </w:t>
      </w:r>
    </w:p>
    <w:p w:rsidR="00BC0807" w:rsidRPr="00AA3ADF" w:rsidRDefault="00BC0807" w:rsidP="00BC0807">
      <w:pPr>
        <w:jc w:val="both"/>
        <w:rPr>
          <w:rFonts w:ascii="Times New Roman" w:hAnsi="Times New Roman" w:cs="Times New Roman"/>
          <w:sz w:val="24"/>
          <w:szCs w:val="24"/>
        </w:rPr>
      </w:pPr>
    </w:p>
    <w:p w:rsidR="00BC0807" w:rsidRPr="00AA3ADF" w:rsidRDefault="00BC0807" w:rsidP="00BC0807">
      <w:pPr>
        <w:pStyle w:val="Default"/>
        <w:jc w:val="both"/>
        <w:rPr>
          <w:rFonts w:ascii="Times New Roman" w:hAnsi="Times New Roman" w:cs="Times New Roman"/>
        </w:rPr>
      </w:pPr>
      <w:r w:rsidRPr="00AA3ADF">
        <w:rPr>
          <w:rFonts w:ascii="Times New Roman" w:hAnsi="Times New Roman" w:cs="Times New Roman"/>
        </w:rPr>
        <w:t xml:space="preserve">En el marco del citado Convenio se han fortalecido las capacidades institucionales periciales y forenses y se han considerado las mejores prácticas internacionales para avanzar hacia su integración en las tareas cotidianas que lleva a cabo la PGR. Se ha logrado avanzar en la construcción e implementación de un protocolo que permita el acceso a la verdad a los </w:t>
      </w:r>
      <w:r w:rsidRPr="00AA3ADF">
        <w:rPr>
          <w:rFonts w:ascii="Times New Roman" w:hAnsi="Times New Roman" w:cs="Times New Roman"/>
        </w:rPr>
        <w:lastRenderedPageBreak/>
        <w:t xml:space="preserve">familiares de los migrantes desaparecidos, en particular se ha mejorado el sistema de notificación y la entrega de restos cuando se trata de personas de origen extranjero, y se ha fortalecido el mecanismo que busca garantizar los derechos humanos, la reparación integral de las víctimas, asegurando un trato respetuoso y digno. </w:t>
      </w:r>
    </w:p>
    <w:p w:rsidR="00BC0807" w:rsidRPr="00AA3ADF" w:rsidRDefault="00BC0807" w:rsidP="00BC0807">
      <w:pPr>
        <w:pStyle w:val="Default"/>
        <w:jc w:val="both"/>
        <w:rPr>
          <w:rFonts w:ascii="Times New Roman" w:hAnsi="Times New Roman" w:cs="Times New Roman"/>
        </w:rPr>
      </w:pPr>
    </w:p>
    <w:p w:rsidR="00BC0807" w:rsidRPr="00AA3ADF" w:rsidRDefault="00BC0807" w:rsidP="00BC0807">
      <w:pPr>
        <w:pStyle w:val="Default"/>
        <w:jc w:val="both"/>
        <w:rPr>
          <w:rFonts w:ascii="Times New Roman" w:hAnsi="Times New Roman" w:cs="Times New Roman"/>
        </w:rPr>
      </w:pPr>
      <w:r w:rsidRPr="00AA3ADF">
        <w:rPr>
          <w:rFonts w:ascii="Times New Roman" w:hAnsi="Times New Roman" w:cs="Times New Roman"/>
        </w:rPr>
        <w:t xml:space="preserve">Por lo que hace al relevamiento de información </w:t>
      </w:r>
      <w:r w:rsidRPr="00AA3ADF">
        <w:rPr>
          <w:rFonts w:ascii="Times New Roman" w:hAnsi="Times New Roman" w:cs="Times New Roman"/>
          <w:i/>
        </w:rPr>
        <w:t>ante mortem</w:t>
      </w:r>
      <w:r w:rsidRPr="00AA3ADF">
        <w:rPr>
          <w:rFonts w:ascii="Times New Roman" w:hAnsi="Times New Roman" w:cs="Times New Roman"/>
        </w:rPr>
        <w:t xml:space="preserve"> y su integración a la Base de Datos </w:t>
      </w:r>
      <w:r w:rsidRPr="00AA3ADF">
        <w:rPr>
          <w:rFonts w:ascii="Times New Roman" w:hAnsi="Times New Roman" w:cs="Times New Roman"/>
          <w:i/>
        </w:rPr>
        <w:t>Ante Mortem Post Mortem</w:t>
      </w:r>
      <w:r w:rsidRPr="00AA3ADF">
        <w:rPr>
          <w:rFonts w:ascii="Times New Roman" w:hAnsi="Times New Roman" w:cs="Times New Roman"/>
        </w:rPr>
        <w:t xml:space="preserve"> (AM/PM), actualmente se trabaja en la instalación e implementación de la base de datos a nivel nacional, una vez concluida dicha fase se procederá a establecer las condiciones para la interconexión con los Estados centroamericanos involucrados.</w:t>
      </w:r>
    </w:p>
    <w:p w:rsidR="00BC0807" w:rsidRPr="00AA3ADF" w:rsidRDefault="00BC0807" w:rsidP="00BC0807">
      <w:pPr>
        <w:pStyle w:val="Default"/>
        <w:jc w:val="both"/>
        <w:rPr>
          <w:rFonts w:ascii="Times New Roman" w:hAnsi="Times New Roman" w:cs="Times New Roman"/>
        </w:rPr>
      </w:pPr>
    </w:p>
    <w:p w:rsidR="00BC0807" w:rsidRPr="00AA3ADF" w:rsidRDefault="00BC0807" w:rsidP="00BC0807">
      <w:pPr>
        <w:pStyle w:val="Default"/>
        <w:jc w:val="both"/>
        <w:rPr>
          <w:rFonts w:ascii="Times New Roman" w:hAnsi="Times New Roman" w:cs="Times New Roman"/>
        </w:rPr>
      </w:pPr>
      <w:r w:rsidRPr="00AA3ADF">
        <w:rPr>
          <w:rFonts w:ascii="Times New Roman" w:hAnsi="Times New Roman" w:cs="Times New Roman"/>
        </w:rPr>
        <w:t>La participación de los allegados de las personas desaparecidas que residen en el exterior, se garantiza a través del Mecanismo de Apoyo Exterior, con independencia de su lugar de residencia.  Las personas que residen en el territorio nacional y que son allegados de los desaparecidos, tienen garantizado su acceso y participación en la investigación como víctimas directas o indirectas, según la normatividad aplicable y el Protocolo Homologado para la Búsqueda de Personas Desaparecidas y la Investigación del Delito de Desaparición Forzada.</w:t>
      </w:r>
    </w:p>
    <w:p w:rsidR="00BC0807" w:rsidRPr="00AA3ADF" w:rsidRDefault="00BC0807" w:rsidP="00BC0807">
      <w:pPr>
        <w:pStyle w:val="Default"/>
        <w:jc w:val="both"/>
        <w:rPr>
          <w:rFonts w:ascii="Times New Roman" w:hAnsi="Times New Roman" w:cs="Times New Roman"/>
          <w:b/>
          <w:bCs/>
          <w:color w:val="auto"/>
        </w:rPr>
      </w:pPr>
    </w:p>
    <w:p w:rsidR="00BC0807" w:rsidRPr="00AD1F3E" w:rsidRDefault="00BC0807" w:rsidP="00BC0807">
      <w:pPr>
        <w:pStyle w:val="Textoindependiente2"/>
        <w:autoSpaceDE w:val="0"/>
        <w:autoSpaceDN w:val="0"/>
        <w:adjustRightInd w:val="0"/>
        <w:spacing w:after="0" w:line="240" w:lineRule="auto"/>
        <w:ind w:right="49"/>
        <w:jc w:val="both"/>
        <w:rPr>
          <w:rFonts w:ascii="Times New Roman" w:eastAsiaTheme="minorHAnsi" w:hAnsi="Times New Roman"/>
          <w:color w:val="000000"/>
          <w:lang w:val="es-MX" w:eastAsia="en-US"/>
        </w:rPr>
      </w:pPr>
      <w:r>
        <w:rPr>
          <w:rFonts w:ascii="Times New Roman" w:eastAsiaTheme="minorHAnsi" w:hAnsi="Times New Roman"/>
          <w:color w:val="000000"/>
          <w:lang w:val="es-MX" w:eastAsia="en-US"/>
        </w:rPr>
        <w:t>El INAMI</w:t>
      </w:r>
      <w:r w:rsidRPr="00AD1F3E">
        <w:rPr>
          <w:rFonts w:ascii="Times New Roman" w:eastAsiaTheme="minorHAnsi" w:hAnsi="Times New Roman"/>
          <w:color w:val="000000"/>
          <w:lang w:val="es-MX" w:eastAsia="en-US"/>
        </w:rPr>
        <w:t xml:space="preserve"> </w:t>
      </w:r>
      <w:r>
        <w:rPr>
          <w:rFonts w:ascii="Times New Roman" w:eastAsiaTheme="minorHAnsi" w:hAnsi="Times New Roman"/>
          <w:color w:val="000000"/>
          <w:lang w:val="es-MX" w:eastAsia="en-US"/>
        </w:rPr>
        <w:t>cuenta con</w:t>
      </w:r>
      <w:r w:rsidRPr="00AD1F3E">
        <w:rPr>
          <w:rFonts w:ascii="Times New Roman" w:eastAsiaTheme="minorHAnsi" w:hAnsi="Times New Roman"/>
          <w:color w:val="000000"/>
          <w:lang w:val="es-MX" w:eastAsia="en-US"/>
        </w:rPr>
        <w:t xml:space="preserve"> los Grupos Beta de Protección a Migrantes, </w:t>
      </w:r>
      <w:r>
        <w:rPr>
          <w:rFonts w:ascii="Times New Roman" w:eastAsiaTheme="minorHAnsi" w:hAnsi="Times New Roman"/>
          <w:color w:val="000000"/>
          <w:lang w:val="es-MX" w:eastAsia="en-US"/>
        </w:rPr>
        <w:t xml:space="preserve">que </w:t>
      </w:r>
      <w:r w:rsidRPr="00AD1F3E">
        <w:rPr>
          <w:rFonts w:ascii="Times New Roman" w:eastAsiaTheme="minorHAnsi" w:hAnsi="Times New Roman"/>
          <w:color w:val="000000"/>
          <w:lang w:val="es-MX" w:eastAsia="en-US"/>
        </w:rPr>
        <w:t>de conformidad con el Artículo 48 del Acuerdo por el que se emiten los Lineamientos en materia de Protección a Migrantes de ese Instituto, tienen por objeto la protección y defensa de los derechos humanos de los migrantes, con independencia de su nacionalidad o situación migratoria, durante su trayecto por territorio nacional y en el caso de los migrantes mexicanos, además durante su repatriación. Para el c</w:t>
      </w:r>
      <w:r>
        <w:rPr>
          <w:rFonts w:ascii="Times New Roman" w:eastAsiaTheme="minorHAnsi" w:hAnsi="Times New Roman"/>
          <w:color w:val="000000"/>
          <w:lang w:val="es-MX" w:eastAsia="en-US"/>
        </w:rPr>
        <w:t>umplimiento de sus fines lleva</w:t>
      </w:r>
      <w:r w:rsidRPr="00AD1F3E">
        <w:rPr>
          <w:rFonts w:ascii="Times New Roman" w:eastAsiaTheme="minorHAnsi" w:hAnsi="Times New Roman"/>
          <w:color w:val="000000"/>
          <w:lang w:val="es-MX" w:eastAsia="en-US"/>
        </w:rPr>
        <w:t>n a cabo las siguientes acciones de apoyo a los migrantes:</w:t>
      </w:r>
    </w:p>
    <w:p w:rsidR="00BC0807" w:rsidRPr="00AD1F3E" w:rsidRDefault="00BC0807" w:rsidP="00BC0807">
      <w:pPr>
        <w:pStyle w:val="Textoindependiente2"/>
        <w:numPr>
          <w:ilvl w:val="0"/>
          <w:numId w:val="3"/>
        </w:numPr>
        <w:autoSpaceDE w:val="0"/>
        <w:autoSpaceDN w:val="0"/>
        <w:adjustRightInd w:val="0"/>
        <w:spacing w:after="0" w:line="240" w:lineRule="auto"/>
        <w:ind w:right="49"/>
        <w:jc w:val="both"/>
        <w:rPr>
          <w:rFonts w:ascii="Times New Roman" w:eastAsiaTheme="minorHAnsi" w:hAnsi="Times New Roman"/>
          <w:color w:val="000000"/>
          <w:lang w:val="es-MX" w:eastAsia="en-US"/>
        </w:rPr>
      </w:pPr>
      <w:r w:rsidRPr="00AD1F3E">
        <w:rPr>
          <w:rFonts w:ascii="Times New Roman" w:eastAsiaTheme="minorHAnsi" w:hAnsi="Times New Roman"/>
          <w:color w:val="000000"/>
          <w:lang w:val="es-MX" w:eastAsia="en-US"/>
        </w:rPr>
        <w:t>Rescate y salvamiento: mediante labores de búsqueda y auxilio de migrantes extraviados o en situaciones de riesgo, en coordinación con las situaciones y dependencias competentes en la materia;</w:t>
      </w:r>
    </w:p>
    <w:p w:rsidR="00BC0807" w:rsidRPr="00AD1F3E" w:rsidRDefault="00BC0807" w:rsidP="00BC0807">
      <w:pPr>
        <w:pStyle w:val="Textoindependiente2"/>
        <w:numPr>
          <w:ilvl w:val="0"/>
          <w:numId w:val="3"/>
        </w:numPr>
        <w:autoSpaceDE w:val="0"/>
        <w:autoSpaceDN w:val="0"/>
        <w:adjustRightInd w:val="0"/>
        <w:spacing w:after="0" w:line="240" w:lineRule="auto"/>
        <w:ind w:right="49"/>
        <w:jc w:val="both"/>
        <w:rPr>
          <w:rFonts w:ascii="Times New Roman" w:eastAsiaTheme="minorHAnsi" w:hAnsi="Times New Roman"/>
          <w:color w:val="000000"/>
          <w:lang w:val="es-MX" w:eastAsia="en-US"/>
        </w:rPr>
      </w:pPr>
      <w:r w:rsidRPr="00AD1F3E">
        <w:rPr>
          <w:rFonts w:ascii="Times New Roman" w:eastAsiaTheme="minorHAnsi" w:hAnsi="Times New Roman"/>
          <w:color w:val="000000"/>
          <w:lang w:val="es-MX" w:eastAsia="en-US"/>
        </w:rPr>
        <w:t>Ayuda Humanitaria: al brindar a los migrantes primeros auxilios y en caso de necesidad urgente traslado a hospitales, así como durante sus recorridos para la localización de migrantes en situación de riesgo, agua y una porción de alimentos para cubrir sus necesidades inmediatas;</w:t>
      </w:r>
    </w:p>
    <w:p w:rsidR="00BC0807" w:rsidRPr="00AD1F3E" w:rsidRDefault="00BC0807" w:rsidP="00BC0807">
      <w:pPr>
        <w:pStyle w:val="Textoindependiente2"/>
        <w:numPr>
          <w:ilvl w:val="0"/>
          <w:numId w:val="3"/>
        </w:numPr>
        <w:autoSpaceDE w:val="0"/>
        <w:autoSpaceDN w:val="0"/>
        <w:adjustRightInd w:val="0"/>
        <w:spacing w:after="0" w:line="240" w:lineRule="auto"/>
        <w:ind w:right="49"/>
        <w:jc w:val="both"/>
        <w:rPr>
          <w:rFonts w:ascii="Times New Roman" w:eastAsiaTheme="minorHAnsi" w:hAnsi="Times New Roman"/>
          <w:color w:val="000000"/>
          <w:lang w:val="es-MX" w:eastAsia="en-US"/>
        </w:rPr>
      </w:pPr>
      <w:r w:rsidRPr="00AD1F3E">
        <w:rPr>
          <w:rFonts w:ascii="Times New Roman" w:eastAsiaTheme="minorHAnsi" w:hAnsi="Times New Roman"/>
          <w:color w:val="000000"/>
          <w:lang w:val="es-MX" w:eastAsia="en-US"/>
        </w:rPr>
        <w:t>Asesoría Legal: al canalizar las quejas y denuncias de los migrantes ante la Comisión Nacional de los Derechos Humanos cuando se hayan vulnerado sus derechos humanos; ante el Ministerio Público cuando sean víctimas o testigos de conductas posiblemente constitutivas de delito o ante las instancias competentes en materia de fiscalización de los servidores públicos.</w:t>
      </w:r>
    </w:p>
    <w:p w:rsidR="00BC0807" w:rsidRPr="00AD1F3E" w:rsidRDefault="00BC0807" w:rsidP="00BC0807">
      <w:pPr>
        <w:pStyle w:val="Textoindependiente2"/>
        <w:numPr>
          <w:ilvl w:val="0"/>
          <w:numId w:val="3"/>
        </w:numPr>
        <w:autoSpaceDE w:val="0"/>
        <w:autoSpaceDN w:val="0"/>
        <w:adjustRightInd w:val="0"/>
        <w:spacing w:after="0" w:line="240" w:lineRule="auto"/>
        <w:ind w:right="49"/>
        <w:jc w:val="both"/>
        <w:rPr>
          <w:rFonts w:ascii="Times New Roman" w:eastAsiaTheme="minorHAnsi" w:hAnsi="Times New Roman"/>
          <w:color w:val="000000"/>
          <w:lang w:val="es-MX" w:eastAsia="en-US"/>
        </w:rPr>
      </w:pPr>
      <w:r w:rsidRPr="00AD1F3E">
        <w:rPr>
          <w:rFonts w:ascii="Times New Roman" w:eastAsiaTheme="minorHAnsi" w:hAnsi="Times New Roman"/>
          <w:color w:val="000000"/>
          <w:lang w:val="es-MX" w:eastAsia="en-US"/>
        </w:rPr>
        <w:t>Orientación: al informar a los migrantes sobre los riesgos que enfrentan durante su viaje y dar a conocer los derechos que les asisten en territorio nacional para prevenir abusos en su contra, y</w:t>
      </w:r>
    </w:p>
    <w:p w:rsidR="00BC0807" w:rsidRPr="00AD1F3E" w:rsidRDefault="00BC0807" w:rsidP="00BC0807">
      <w:pPr>
        <w:pStyle w:val="Textoindependiente2"/>
        <w:numPr>
          <w:ilvl w:val="0"/>
          <w:numId w:val="3"/>
        </w:numPr>
        <w:autoSpaceDE w:val="0"/>
        <w:autoSpaceDN w:val="0"/>
        <w:adjustRightInd w:val="0"/>
        <w:spacing w:after="0" w:line="240" w:lineRule="auto"/>
        <w:ind w:right="49"/>
        <w:jc w:val="both"/>
        <w:rPr>
          <w:rFonts w:ascii="Times New Roman" w:eastAsiaTheme="minorHAnsi" w:hAnsi="Times New Roman"/>
          <w:color w:val="000000"/>
          <w:lang w:val="es-MX" w:eastAsia="en-US"/>
        </w:rPr>
      </w:pPr>
      <w:r w:rsidRPr="00AD1F3E">
        <w:rPr>
          <w:rFonts w:ascii="Times New Roman" w:eastAsiaTheme="minorHAnsi" w:hAnsi="Times New Roman"/>
          <w:color w:val="000000"/>
          <w:lang w:val="es-MX" w:eastAsia="en-US"/>
        </w:rPr>
        <w:t>Las demás que se establezcan en las disposiciones jurídicas aplicables.</w:t>
      </w:r>
    </w:p>
    <w:p w:rsidR="00BC0807" w:rsidRPr="00AD1F3E" w:rsidRDefault="00BC0807" w:rsidP="00BC0807">
      <w:pPr>
        <w:pStyle w:val="Textoindependiente2"/>
        <w:autoSpaceDE w:val="0"/>
        <w:autoSpaceDN w:val="0"/>
        <w:adjustRightInd w:val="0"/>
        <w:spacing w:after="0" w:line="240" w:lineRule="auto"/>
        <w:ind w:right="49"/>
        <w:jc w:val="both"/>
        <w:rPr>
          <w:rFonts w:ascii="Times New Roman" w:eastAsiaTheme="minorHAnsi" w:hAnsi="Times New Roman"/>
          <w:color w:val="000000"/>
          <w:lang w:val="es-MX" w:eastAsia="en-US"/>
        </w:rPr>
      </w:pPr>
    </w:p>
    <w:p w:rsidR="00BC0807" w:rsidRPr="00AD1F3E" w:rsidRDefault="00BC0807" w:rsidP="00BC0807">
      <w:pPr>
        <w:pStyle w:val="Textoindependiente2"/>
        <w:autoSpaceDE w:val="0"/>
        <w:autoSpaceDN w:val="0"/>
        <w:adjustRightInd w:val="0"/>
        <w:spacing w:after="0" w:line="240" w:lineRule="auto"/>
        <w:ind w:right="49"/>
        <w:jc w:val="both"/>
        <w:rPr>
          <w:rFonts w:ascii="Times New Roman" w:eastAsiaTheme="minorHAnsi" w:hAnsi="Times New Roman"/>
          <w:color w:val="000000"/>
          <w:lang w:val="es-MX" w:eastAsia="en-US"/>
        </w:rPr>
      </w:pPr>
      <w:r>
        <w:rPr>
          <w:rFonts w:ascii="Times New Roman" w:eastAsiaTheme="minorHAnsi" w:hAnsi="Times New Roman"/>
          <w:color w:val="000000"/>
          <w:lang w:val="es-MX" w:eastAsia="en-US"/>
        </w:rPr>
        <w:t>El INAMI</w:t>
      </w:r>
      <w:r w:rsidRPr="00AD1F3E">
        <w:rPr>
          <w:rFonts w:ascii="Times New Roman" w:eastAsiaTheme="minorHAnsi" w:hAnsi="Times New Roman"/>
          <w:color w:val="000000"/>
          <w:lang w:val="es-MX" w:eastAsia="en-US"/>
        </w:rPr>
        <w:t xml:space="preserve"> cuenta con 22 Grupos Beta de Protección a migrantes, quienes efectúan su labor en 9 estados: Baja California, Sonora, Chihuahua, Coahuila, Tamaulipas, Chiapas, Tabasco, Veracruz y Oaxaca, y están conformados por 156 integrantes de los tres niveles de gobierno (116 federales, 11 estatales y 29 municipales):</w:t>
      </w:r>
    </w:p>
    <w:p w:rsidR="00BC0807" w:rsidRPr="00AD1F3E" w:rsidRDefault="00BC0807" w:rsidP="00BC0807">
      <w:pPr>
        <w:pStyle w:val="Textoindependiente2"/>
        <w:autoSpaceDE w:val="0"/>
        <w:autoSpaceDN w:val="0"/>
        <w:adjustRightInd w:val="0"/>
        <w:spacing w:after="0" w:line="240" w:lineRule="auto"/>
        <w:ind w:right="49"/>
        <w:jc w:val="both"/>
        <w:rPr>
          <w:rFonts w:ascii="Times New Roman" w:eastAsiaTheme="minorHAnsi" w:hAnsi="Times New Roman"/>
          <w:color w:val="000000"/>
          <w:lang w:val="es-MX" w:eastAsia="en-US"/>
        </w:rPr>
      </w:pPr>
    </w:p>
    <w:p w:rsidR="00BC0807" w:rsidRPr="00AD1F3E" w:rsidRDefault="00BC0807" w:rsidP="00BC0807">
      <w:pPr>
        <w:pStyle w:val="Textoindependiente2"/>
        <w:autoSpaceDE w:val="0"/>
        <w:autoSpaceDN w:val="0"/>
        <w:adjustRightInd w:val="0"/>
        <w:spacing w:after="0" w:line="240" w:lineRule="auto"/>
        <w:ind w:right="49"/>
        <w:jc w:val="both"/>
        <w:rPr>
          <w:rFonts w:ascii="Times New Roman" w:eastAsiaTheme="minorHAnsi" w:hAnsi="Times New Roman"/>
          <w:color w:val="000000"/>
          <w:lang w:val="es-MX" w:eastAsia="en-US"/>
        </w:rPr>
      </w:pPr>
      <w:r w:rsidRPr="00AD1F3E">
        <w:rPr>
          <w:rFonts w:ascii="Times New Roman" w:eastAsiaTheme="minorHAnsi" w:hAnsi="Times New Roman"/>
          <w:color w:val="000000"/>
          <w:lang w:val="es-MX" w:eastAsia="en-US"/>
        </w:rPr>
        <w:t>En este sentido, durante el periodo comprendido entre el 01 de enero de 2014 al 31 de diciembre de 2016, los Grupos Beta orientaron a 607,666 migrantes nacionales y extranjeros, de los cuales se les dio asistencia social a 468,995, se rescataron a 11,138 y se brindaron primeros auxilios a 1,207 que presentaban alguna lesión. Asimismo, se otorgó asesoría legal a 687 y se localizaron a 118 migrantes reportados como extraviados.</w:t>
      </w:r>
    </w:p>
    <w:p w:rsidR="00BC0807" w:rsidRPr="00AD1F3E" w:rsidRDefault="00BC0807" w:rsidP="00BC0807">
      <w:pPr>
        <w:pStyle w:val="Textoindependiente2"/>
        <w:autoSpaceDE w:val="0"/>
        <w:autoSpaceDN w:val="0"/>
        <w:adjustRightInd w:val="0"/>
        <w:spacing w:after="0" w:line="240" w:lineRule="auto"/>
        <w:ind w:right="49"/>
        <w:jc w:val="both"/>
        <w:rPr>
          <w:rFonts w:ascii="Times New Roman" w:eastAsiaTheme="minorHAnsi" w:hAnsi="Times New Roman"/>
          <w:color w:val="000000"/>
          <w:lang w:val="es-MX" w:eastAsia="en-US"/>
        </w:rPr>
      </w:pPr>
    </w:p>
    <w:p w:rsidR="00BC0807" w:rsidRPr="00AD1F3E" w:rsidRDefault="00BC0807" w:rsidP="00BC0807">
      <w:pPr>
        <w:pStyle w:val="Textoindependiente2"/>
        <w:autoSpaceDE w:val="0"/>
        <w:autoSpaceDN w:val="0"/>
        <w:adjustRightInd w:val="0"/>
        <w:spacing w:after="0" w:line="240" w:lineRule="auto"/>
        <w:ind w:right="49"/>
        <w:jc w:val="both"/>
        <w:rPr>
          <w:rFonts w:ascii="Times New Roman" w:eastAsiaTheme="minorHAnsi" w:hAnsi="Times New Roman"/>
          <w:color w:val="000000"/>
          <w:lang w:val="es-MX" w:eastAsia="en-US"/>
        </w:rPr>
      </w:pPr>
      <w:r w:rsidRPr="00AD1F3E">
        <w:rPr>
          <w:rFonts w:ascii="Times New Roman" w:eastAsiaTheme="minorHAnsi" w:hAnsi="Times New Roman"/>
          <w:color w:val="000000"/>
          <w:lang w:val="es-MX" w:eastAsia="en-US"/>
        </w:rPr>
        <w:t>Los Grupos Beta en el periodo citado, gestionaron ante hospitales públicos y privados, anfiteatros, centros de reclusión, Patrulla fronteriza, garitas y puntos de revisión, Consulados Generales en México, entre otros, la búsqueda de 4,011 personas a través de 497 solicitudes de localización.</w:t>
      </w:r>
    </w:p>
    <w:p w:rsidR="00BC0807" w:rsidRPr="00AD1F3E" w:rsidRDefault="00BC0807" w:rsidP="00BC0807">
      <w:pPr>
        <w:pStyle w:val="Prrafodelista"/>
        <w:ind w:left="0" w:right="-93"/>
        <w:jc w:val="both"/>
        <w:rPr>
          <w:rFonts w:ascii="Times New Roman" w:hAnsi="Times New Roman" w:cs="Times New Roman"/>
          <w:bCs/>
          <w:color w:val="000000" w:themeColor="text1"/>
          <w:sz w:val="24"/>
          <w:szCs w:val="24"/>
          <w:lang w:val="es-ES"/>
        </w:rPr>
      </w:pPr>
    </w:p>
    <w:p w:rsidR="00BC0807" w:rsidRPr="008F0631" w:rsidRDefault="00BC0807" w:rsidP="00BC0807">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Por otro lado, el INM, en colaboración con la Procuraduría Federal de Protección de Niñas, Niños y Adolescentes, elaboró el proyecto de </w:t>
      </w:r>
      <w:r w:rsidRPr="005619DF">
        <w:rPr>
          <w:rFonts w:ascii="Times New Roman" w:hAnsi="Times New Roman" w:cs="Times New Roman"/>
          <w:bCs/>
          <w:i/>
          <w:color w:val="000000" w:themeColor="text1"/>
          <w:sz w:val="24"/>
          <w:szCs w:val="24"/>
        </w:rPr>
        <w:t>Protocolo de Actuación para asegurar el respeto a los principios y la protección de los derechos de Niñas, Niños y Adolescentes en procedimientos administrativos migratorios</w:t>
      </w:r>
      <w:r>
        <w:rPr>
          <w:rFonts w:ascii="Times New Roman" w:hAnsi="Times New Roman" w:cs="Times New Roman"/>
          <w:bCs/>
          <w:color w:val="000000" w:themeColor="text1"/>
          <w:sz w:val="24"/>
          <w:szCs w:val="24"/>
        </w:rPr>
        <w:t xml:space="preserve">, cuya publicación se encuentra en trámite. </w:t>
      </w:r>
      <w:r>
        <w:rPr>
          <w:rFonts w:ascii="Times New Roman" w:hAnsi="Times New Roman" w:cs="Times New Roman"/>
          <w:sz w:val="24"/>
          <w:szCs w:val="24"/>
        </w:rPr>
        <w:t>Asimismo, el</w:t>
      </w:r>
      <w:r w:rsidRPr="00AA3ADF">
        <w:rPr>
          <w:rFonts w:ascii="Times New Roman" w:hAnsi="Times New Roman" w:cs="Times New Roman"/>
          <w:sz w:val="24"/>
          <w:szCs w:val="24"/>
        </w:rPr>
        <w:t xml:space="preserve"> SNDIF </w:t>
      </w:r>
      <w:r>
        <w:rPr>
          <w:rFonts w:ascii="Times New Roman" w:hAnsi="Times New Roman" w:cs="Times New Roman"/>
          <w:sz w:val="24"/>
          <w:szCs w:val="24"/>
        </w:rPr>
        <w:t>desarrolló</w:t>
      </w:r>
      <w:r w:rsidRPr="00AA3ADF">
        <w:rPr>
          <w:rFonts w:ascii="Times New Roman" w:hAnsi="Times New Roman" w:cs="Times New Roman"/>
          <w:sz w:val="24"/>
          <w:szCs w:val="24"/>
        </w:rPr>
        <w:t xml:space="preserve">, en colaboración con la </w:t>
      </w:r>
      <w:r>
        <w:rPr>
          <w:rFonts w:ascii="Times New Roman" w:hAnsi="Times New Roman" w:cs="Times New Roman"/>
          <w:sz w:val="24"/>
          <w:szCs w:val="24"/>
        </w:rPr>
        <w:t>OIM</w:t>
      </w:r>
      <w:r w:rsidRPr="00AA3ADF">
        <w:rPr>
          <w:rFonts w:ascii="Times New Roman" w:hAnsi="Times New Roman" w:cs="Times New Roman"/>
          <w:sz w:val="24"/>
          <w:szCs w:val="24"/>
        </w:rPr>
        <w:t xml:space="preserve">, la </w:t>
      </w:r>
      <w:r>
        <w:rPr>
          <w:rFonts w:ascii="Times New Roman" w:hAnsi="Times New Roman" w:cs="Times New Roman"/>
          <w:sz w:val="24"/>
          <w:szCs w:val="24"/>
        </w:rPr>
        <w:t>OACNUR</w:t>
      </w:r>
      <w:r w:rsidRPr="00AA3ADF">
        <w:rPr>
          <w:rFonts w:ascii="Times New Roman" w:hAnsi="Times New Roman" w:cs="Times New Roman"/>
          <w:sz w:val="24"/>
          <w:szCs w:val="24"/>
        </w:rPr>
        <w:t xml:space="preserve"> y </w:t>
      </w:r>
      <w:r>
        <w:rPr>
          <w:rFonts w:ascii="Times New Roman" w:hAnsi="Times New Roman" w:cs="Times New Roman"/>
          <w:sz w:val="24"/>
          <w:szCs w:val="24"/>
        </w:rPr>
        <w:t>UNICEF el</w:t>
      </w:r>
      <w:r w:rsidRPr="00AA3ADF">
        <w:rPr>
          <w:rFonts w:ascii="Times New Roman" w:hAnsi="Times New Roman" w:cs="Times New Roman"/>
          <w:sz w:val="24"/>
          <w:szCs w:val="24"/>
        </w:rPr>
        <w:t xml:space="preserve"> </w:t>
      </w:r>
      <w:r w:rsidRPr="00663EDB">
        <w:rPr>
          <w:rFonts w:ascii="Times New Roman" w:hAnsi="Times New Roman" w:cs="Times New Roman"/>
          <w:i/>
          <w:sz w:val="24"/>
          <w:szCs w:val="24"/>
        </w:rPr>
        <w:t>Protocolo de atención para niñas, niños y adolescentes migrantes no acompañados o separados que se encuentren albergados</w:t>
      </w:r>
      <w:r>
        <w:rPr>
          <w:rFonts w:ascii="Times New Roman" w:hAnsi="Times New Roman" w:cs="Times New Roman"/>
          <w:i/>
          <w:sz w:val="24"/>
          <w:szCs w:val="24"/>
        </w:rPr>
        <w:t xml:space="preserve">, </w:t>
      </w:r>
      <w:r>
        <w:rPr>
          <w:rFonts w:ascii="Times New Roman" w:hAnsi="Times New Roman" w:cs="Times New Roman"/>
          <w:sz w:val="24"/>
          <w:szCs w:val="24"/>
        </w:rPr>
        <w:t>que establece</w:t>
      </w:r>
      <w:r w:rsidRPr="00AA3ADF">
        <w:rPr>
          <w:rFonts w:ascii="Times New Roman" w:hAnsi="Times New Roman" w:cs="Times New Roman"/>
          <w:sz w:val="24"/>
          <w:szCs w:val="24"/>
        </w:rPr>
        <w:t xml:space="preserve"> diversos procedimientos para que los módulos y albergues de los Sistemas Estatales y Municipales DIF logren garantizar los derechos de los niños, niñas y adolescentes migrantes, acompañados, no acompañados, separados, nacionales, extranjeros y repatriados en el contexto de movilidad humana, incluidos también todos aquellos que hayan sido víctimas de cualquier tipo de agresión o abuso. </w:t>
      </w:r>
      <w:r>
        <w:rPr>
          <w:rFonts w:ascii="Times New Roman" w:hAnsi="Times New Roman" w:cs="Times New Roman"/>
          <w:sz w:val="24"/>
          <w:szCs w:val="24"/>
        </w:rPr>
        <w:t>Por otra parte, el Reglamento de la Ley General de los Derechos de Niñas, Niños y Adolescentes, establece en su artículo 111 que e</w:t>
      </w:r>
      <w:r w:rsidRPr="00CB65FF">
        <w:rPr>
          <w:rFonts w:ascii="Times New Roman" w:hAnsi="Times New Roman" w:cs="Times New Roman"/>
          <w:sz w:val="24"/>
          <w:szCs w:val="24"/>
        </w:rPr>
        <w:t>n ningún momento las niñas, niños o adolescentes migrantes, independientemente de que viajen o no en compañía de una persona adulta, serán privados de la libertad en estaciones migratorias o en cualquier otro centro de detención migratoria</w:t>
      </w:r>
      <w:r>
        <w:rPr>
          <w:rFonts w:ascii="Times New Roman" w:hAnsi="Times New Roman" w:cs="Times New Roman"/>
          <w:sz w:val="24"/>
          <w:szCs w:val="24"/>
        </w:rPr>
        <w:t xml:space="preserve">; lo que refuerza la protección de los derechos humanos de niñas, niños y adolescentes y fortalece el marco jurídico vigente. </w:t>
      </w:r>
    </w:p>
    <w:p w:rsidR="00BC0807" w:rsidRPr="00AA3ADF" w:rsidRDefault="00BC0807" w:rsidP="00BC0807">
      <w:pPr>
        <w:pStyle w:val="Default"/>
        <w:rPr>
          <w:rFonts w:ascii="Times New Roman" w:hAnsi="Times New Roman" w:cs="Times New Roman"/>
        </w:rPr>
      </w:pPr>
    </w:p>
    <w:p w:rsidR="00BC0807" w:rsidRDefault="00BC0807" w:rsidP="00BC0807">
      <w:pPr>
        <w:jc w:val="both"/>
        <w:rPr>
          <w:rFonts w:ascii="Times New Roman" w:hAnsi="Times New Roman" w:cs="Times New Roman"/>
          <w:sz w:val="24"/>
          <w:szCs w:val="24"/>
        </w:rPr>
      </w:pPr>
      <w:r w:rsidRPr="00AA3ADF">
        <w:rPr>
          <w:rFonts w:ascii="Times New Roman" w:hAnsi="Times New Roman" w:cs="Times New Roman"/>
          <w:b/>
          <w:sz w:val="24"/>
          <w:szCs w:val="24"/>
        </w:rPr>
        <w:t>La In</w:t>
      </w:r>
      <w:r>
        <w:rPr>
          <w:rFonts w:ascii="Times New Roman" w:hAnsi="Times New Roman" w:cs="Times New Roman"/>
          <w:b/>
          <w:sz w:val="24"/>
          <w:szCs w:val="24"/>
        </w:rPr>
        <w:t>iciativa</w:t>
      </w:r>
      <w:r w:rsidRPr="00AA3ADF">
        <w:rPr>
          <w:rFonts w:ascii="Times New Roman" w:hAnsi="Times New Roman" w:cs="Times New Roman"/>
          <w:b/>
          <w:sz w:val="24"/>
          <w:szCs w:val="24"/>
        </w:rPr>
        <w:t xml:space="preserve"> Regional de Cooperación con los Procuradores y Fiscales Generales de El Salvador, Estados Unidos de América, Guatemala, y Honduras, promovida por la PGR</w:t>
      </w:r>
      <w:r>
        <w:rPr>
          <w:rFonts w:ascii="Times New Roman" w:hAnsi="Times New Roman" w:cs="Times New Roman"/>
          <w:b/>
          <w:sz w:val="24"/>
          <w:szCs w:val="24"/>
        </w:rPr>
        <w:t xml:space="preserve"> </w:t>
      </w:r>
      <w:r>
        <w:rPr>
          <w:rFonts w:ascii="Times New Roman" w:hAnsi="Times New Roman" w:cs="Times New Roman"/>
          <w:sz w:val="24"/>
          <w:szCs w:val="24"/>
        </w:rPr>
        <w:t>busca</w:t>
      </w:r>
      <w:r w:rsidRPr="00AA3ADF">
        <w:rPr>
          <w:rFonts w:ascii="Times New Roman" w:hAnsi="Times New Roman" w:cs="Times New Roman"/>
          <w:sz w:val="24"/>
          <w:szCs w:val="24"/>
        </w:rPr>
        <w:t xml:space="preserve"> una perspectiva de responsabilidad compartida y con una visión humanitaria. Para ello, se ha integrado un plan de trabajo cuyo propósito es diseñar una estrategia para proteger la seguridad e integridad de las niñas niños y adolescentes no acompañados así como perseguir de manera eficaz a las organizaciones criminales que se benefician de la comisión de diversos delitos asociados con la trata y el tráfico de personas. Esto se ha hecho a través de una estrecha cooperación, así también con la creación de grupos temáticos en materia de asistencia jurídica internacional, la armonización normativa y de investigación de delitos de trata y tráfico de menores, así como el combate a la delincuencia organizada cuando implique la modalidad de tráfico de indocumentados, tal y como se señala en nuestro ordenamiento jurídico.</w:t>
      </w:r>
    </w:p>
    <w:p w:rsidR="00BC0807" w:rsidRPr="00AC6325" w:rsidRDefault="00BC0807" w:rsidP="00BC0807">
      <w:pPr>
        <w:jc w:val="both"/>
        <w:rPr>
          <w:rFonts w:ascii="Times New Roman" w:hAnsi="Times New Roman" w:cs="Times New Roman"/>
          <w:sz w:val="24"/>
          <w:szCs w:val="24"/>
        </w:rPr>
      </w:pPr>
    </w:p>
    <w:p w:rsidR="00BC0807" w:rsidRPr="00AC6325" w:rsidRDefault="00BC0807" w:rsidP="00BC0807">
      <w:pPr>
        <w:pStyle w:val="Textoindependiente2"/>
        <w:autoSpaceDE w:val="0"/>
        <w:autoSpaceDN w:val="0"/>
        <w:adjustRightInd w:val="0"/>
        <w:spacing w:after="0" w:line="240" w:lineRule="auto"/>
        <w:jc w:val="both"/>
        <w:rPr>
          <w:rFonts w:ascii="Times New Roman" w:eastAsiaTheme="minorHAnsi" w:hAnsi="Times New Roman"/>
          <w:lang w:val="es-MX" w:eastAsia="en-US"/>
        </w:rPr>
      </w:pPr>
      <w:r w:rsidRPr="00AC6325">
        <w:rPr>
          <w:rFonts w:ascii="Times New Roman" w:eastAsiaTheme="minorHAnsi" w:hAnsi="Times New Roman"/>
          <w:lang w:val="es-MX" w:eastAsia="en-US"/>
        </w:rPr>
        <w:t xml:space="preserve">Al respecto se proporciona información de migrantes indocumentados niños, niñas y adolescentes no acompañados así como las victimas migrantes, </w:t>
      </w:r>
      <w:r>
        <w:rPr>
          <w:rFonts w:ascii="Times New Roman" w:eastAsiaTheme="minorHAnsi" w:hAnsi="Times New Roman"/>
          <w:lang w:val="es-MX" w:eastAsia="en-US"/>
        </w:rPr>
        <w:t>ver Anexo 17 para los</w:t>
      </w:r>
      <w:r w:rsidRPr="00AC6325">
        <w:rPr>
          <w:rFonts w:ascii="Times New Roman" w:eastAsiaTheme="minorHAnsi" w:hAnsi="Times New Roman"/>
          <w:lang w:val="es-MX" w:eastAsia="en-US"/>
        </w:rPr>
        <w:t xml:space="preserve"> datos proporcionados por el Sistema de Control de Aseguramientos y Traslados en Est</w:t>
      </w:r>
      <w:r>
        <w:rPr>
          <w:rFonts w:ascii="Times New Roman" w:eastAsiaTheme="minorHAnsi" w:hAnsi="Times New Roman"/>
          <w:lang w:val="es-MX" w:eastAsia="en-US"/>
        </w:rPr>
        <w:t>aciones Migratorias (SICATEM) para e</w:t>
      </w:r>
      <w:r w:rsidRPr="00AC6325">
        <w:rPr>
          <w:rFonts w:ascii="Times New Roman" w:eastAsiaTheme="minorHAnsi" w:hAnsi="Times New Roman"/>
          <w:lang w:val="es-MX" w:eastAsia="en-US"/>
        </w:rPr>
        <w:t xml:space="preserve">l periodo </w:t>
      </w:r>
      <w:r>
        <w:rPr>
          <w:rFonts w:ascii="Times New Roman" w:eastAsiaTheme="minorHAnsi" w:hAnsi="Times New Roman"/>
          <w:lang w:val="es-MX" w:eastAsia="en-US"/>
        </w:rPr>
        <w:t>al 31 de diciembre de 2016.</w:t>
      </w:r>
    </w:p>
    <w:p w:rsidR="00BC0807" w:rsidRDefault="00BC0807" w:rsidP="00BC0807">
      <w:pPr>
        <w:pStyle w:val="Default"/>
        <w:jc w:val="both"/>
        <w:rPr>
          <w:rFonts w:ascii="Times New Roman" w:hAnsi="Times New Roman" w:cs="Times New Roman"/>
        </w:rPr>
      </w:pPr>
    </w:p>
    <w:p w:rsidR="00BC0807" w:rsidRDefault="00BC0807" w:rsidP="00BC0807">
      <w:pPr>
        <w:pStyle w:val="Default"/>
        <w:jc w:val="both"/>
        <w:rPr>
          <w:rFonts w:ascii="Times New Roman" w:hAnsi="Times New Roman" w:cs="Times New Roman"/>
        </w:rPr>
      </w:pPr>
      <w:r w:rsidRPr="00AA3ADF">
        <w:rPr>
          <w:rFonts w:ascii="Times New Roman" w:hAnsi="Times New Roman" w:cs="Times New Roman"/>
        </w:rPr>
        <w:t xml:space="preserve">Finalmente, </w:t>
      </w:r>
      <w:r>
        <w:rPr>
          <w:rFonts w:ascii="Times New Roman" w:hAnsi="Times New Roman" w:cs="Times New Roman"/>
        </w:rPr>
        <w:t>el 7 de</w:t>
      </w:r>
      <w:r w:rsidRPr="00AA3ADF">
        <w:rPr>
          <w:rFonts w:ascii="Times New Roman" w:hAnsi="Times New Roman" w:cs="Times New Roman"/>
        </w:rPr>
        <w:t xml:space="preserve"> julio de 2014 la </w:t>
      </w:r>
      <w:r w:rsidRPr="00AA3ADF">
        <w:rPr>
          <w:rFonts w:ascii="Times New Roman" w:hAnsi="Times New Roman" w:cs="Times New Roman"/>
          <w:b/>
        </w:rPr>
        <w:t>Coordinación para la Atención Integral de la Migración en la Frontera Sur</w:t>
      </w:r>
      <w:r w:rsidRPr="00AA3ADF">
        <w:rPr>
          <w:rFonts w:ascii="Times New Roman" w:hAnsi="Times New Roman" w:cs="Times New Roman"/>
        </w:rPr>
        <w:t>, mecanismo para fortalecer la presencia de las autoridades en la zona y coordinar acciones con los países centroamericanos</w:t>
      </w:r>
      <w:r>
        <w:rPr>
          <w:rFonts w:ascii="Times New Roman" w:hAnsi="Times New Roman" w:cs="Times New Roman"/>
        </w:rPr>
        <w:t xml:space="preserve"> inició sus actividades. La coordinación tiene el </w:t>
      </w:r>
      <w:r w:rsidRPr="00AA3ADF">
        <w:rPr>
          <w:rFonts w:ascii="Times New Roman" w:hAnsi="Times New Roman" w:cs="Times New Roman"/>
        </w:rPr>
        <w:t xml:space="preserve">propósito de superar los desafíos comunes </w:t>
      </w:r>
      <w:r>
        <w:rPr>
          <w:rFonts w:ascii="Times New Roman" w:hAnsi="Times New Roman" w:cs="Times New Roman"/>
        </w:rPr>
        <w:t>sobre el</w:t>
      </w:r>
      <w:r w:rsidRPr="00AA3ADF">
        <w:rPr>
          <w:rFonts w:ascii="Times New Roman" w:hAnsi="Times New Roman" w:cs="Times New Roman"/>
        </w:rPr>
        <w:t xml:space="preserve"> flujo migratorio y el respeto a los derechos humanos, a la seguridad y al desarrollo económico y social, a fin de avanzar en el establecimiento de una frontera más eficiente, próspera y segura, así como abatir la comisión de delitos cometidos en contra de migrantes.</w:t>
      </w:r>
    </w:p>
    <w:p w:rsidR="00BC0807" w:rsidRDefault="00BC0807" w:rsidP="00BC0807">
      <w:pPr>
        <w:pStyle w:val="Default"/>
        <w:jc w:val="both"/>
        <w:rPr>
          <w:rFonts w:ascii="Times New Roman" w:hAnsi="Times New Roman" w:cs="Times New Roman"/>
        </w:rPr>
      </w:pPr>
    </w:p>
    <w:p w:rsidR="00BC0807" w:rsidRDefault="00BC0807" w:rsidP="00BC0807">
      <w:pPr>
        <w:pStyle w:val="Default"/>
        <w:jc w:val="both"/>
        <w:rPr>
          <w:rFonts w:ascii="Times New Roman" w:hAnsi="Times New Roman" w:cs="Times New Roman"/>
        </w:rPr>
      </w:pPr>
      <w:r w:rsidRPr="006D245B">
        <w:rPr>
          <w:rFonts w:ascii="Times New Roman" w:hAnsi="Times New Roman" w:cs="Times New Roman"/>
        </w:rPr>
        <w:t xml:space="preserve">Adicionalmente, como parte de las medidas de facilitación en </w:t>
      </w:r>
      <w:r>
        <w:rPr>
          <w:rFonts w:ascii="Times New Roman" w:hAnsi="Times New Roman" w:cs="Times New Roman"/>
        </w:rPr>
        <w:t>la f</w:t>
      </w:r>
      <w:r w:rsidRPr="006D245B">
        <w:rPr>
          <w:rFonts w:ascii="Times New Roman" w:hAnsi="Times New Roman" w:cs="Times New Roman"/>
        </w:rPr>
        <w:t xml:space="preserve">rontera </w:t>
      </w:r>
      <w:r>
        <w:rPr>
          <w:rFonts w:ascii="Times New Roman" w:hAnsi="Times New Roman" w:cs="Times New Roman"/>
        </w:rPr>
        <w:t>s</w:t>
      </w:r>
      <w:r w:rsidRPr="006D245B">
        <w:rPr>
          <w:rFonts w:ascii="Times New Roman" w:hAnsi="Times New Roman" w:cs="Times New Roman"/>
        </w:rPr>
        <w:t xml:space="preserve">ur, se han continuado implementando y reforzando los dos mecanismos de documentación migratoria con los que cuenta el gobierno de México: Tarjetas de Visitante Trabajador Fronterizo (TVTF) y </w:t>
      </w:r>
      <w:r>
        <w:rPr>
          <w:rFonts w:ascii="Times New Roman" w:hAnsi="Times New Roman" w:cs="Times New Roman"/>
        </w:rPr>
        <w:t xml:space="preserve">Tarjetas de </w:t>
      </w:r>
      <w:r w:rsidRPr="006D245B">
        <w:rPr>
          <w:rFonts w:ascii="Times New Roman" w:hAnsi="Times New Roman" w:cs="Times New Roman"/>
        </w:rPr>
        <w:t>Visitante Regional (TVR), aplicable</w:t>
      </w:r>
      <w:r>
        <w:rPr>
          <w:rFonts w:ascii="Times New Roman" w:hAnsi="Times New Roman" w:cs="Times New Roman"/>
        </w:rPr>
        <w:t>s</w:t>
      </w:r>
      <w:r w:rsidRPr="006D245B">
        <w:rPr>
          <w:rFonts w:ascii="Times New Roman" w:hAnsi="Times New Roman" w:cs="Times New Roman"/>
        </w:rPr>
        <w:t xml:space="preserve"> a nacionales de Guatema</w:t>
      </w:r>
      <w:r>
        <w:rPr>
          <w:rFonts w:ascii="Times New Roman" w:hAnsi="Times New Roman" w:cs="Times New Roman"/>
        </w:rPr>
        <w:t>la y Belice y que</w:t>
      </w:r>
      <w:r w:rsidRPr="006D245B">
        <w:rPr>
          <w:rFonts w:ascii="Times New Roman" w:hAnsi="Times New Roman" w:cs="Times New Roman"/>
        </w:rPr>
        <w:t xml:space="preserve"> brindan seguridad jurídica a los extranjeros para tener una estancia regular en los estados de Chiapas, Campeche, Tabasco y Quintana Roo. </w:t>
      </w:r>
    </w:p>
    <w:p w:rsidR="00BC0807" w:rsidRPr="006D245B" w:rsidRDefault="00BC0807" w:rsidP="00BC0807">
      <w:pPr>
        <w:pStyle w:val="Default"/>
        <w:jc w:val="both"/>
        <w:rPr>
          <w:rFonts w:ascii="Times New Roman" w:hAnsi="Times New Roman" w:cs="Times New Roman"/>
        </w:rPr>
      </w:pPr>
    </w:p>
    <w:p w:rsidR="00BC0807" w:rsidRPr="006D245B" w:rsidRDefault="00BC0807" w:rsidP="00BC0807">
      <w:pPr>
        <w:pStyle w:val="Default"/>
        <w:jc w:val="both"/>
        <w:rPr>
          <w:rFonts w:ascii="Times New Roman" w:hAnsi="Times New Roman" w:cs="Times New Roman"/>
        </w:rPr>
      </w:pPr>
      <w:r w:rsidRPr="006D245B">
        <w:rPr>
          <w:rFonts w:ascii="Times New Roman" w:hAnsi="Times New Roman" w:cs="Times New Roman"/>
        </w:rPr>
        <w:t>De igual modo, como una forma de apoyar que un mayor número de nacionales de los países citados cuenten con TVR, se han realizado las siguientes acciones:</w:t>
      </w:r>
    </w:p>
    <w:p w:rsidR="00BC0807" w:rsidRPr="006D245B" w:rsidRDefault="00BC0807" w:rsidP="00BC0807">
      <w:pPr>
        <w:pStyle w:val="Default"/>
        <w:numPr>
          <w:ilvl w:val="0"/>
          <w:numId w:val="2"/>
        </w:numPr>
        <w:ind w:left="426" w:hanging="437"/>
        <w:jc w:val="both"/>
        <w:rPr>
          <w:rFonts w:ascii="Times New Roman" w:hAnsi="Times New Roman" w:cs="Times New Roman"/>
        </w:rPr>
      </w:pPr>
      <w:r w:rsidRPr="006D245B">
        <w:rPr>
          <w:rFonts w:ascii="Times New Roman" w:hAnsi="Times New Roman" w:cs="Times New Roman"/>
        </w:rPr>
        <w:t>Derogación del cobro de las TVR en la</w:t>
      </w:r>
      <w:r>
        <w:rPr>
          <w:rFonts w:ascii="Times New Roman" w:hAnsi="Times New Roman" w:cs="Times New Roman"/>
        </w:rPr>
        <w:t xml:space="preserve"> Ley Federal de Derechos 2014, b</w:t>
      </w:r>
      <w:r w:rsidRPr="006D245B">
        <w:rPr>
          <w:rFonts w:ascii="Times New Roman" w:hAnsi="Times New Roman" w:cs="Times New Roman"/>
        </w:rPr>
        <w:t>eneficiando con ello la obte</w:t>
      </w:r>
      <w:r>
        <w:rPr>
          <w:rFonts w:ascii="Times New Roman" w:hAnsi="Times New Roman" w:cs="Times New Roman"/>
        </w:rPr>
        <w:t>nción de un mayor número de TVR</w:t>
      </w:r>
      <w:r w:rsidRPr="006D245B">
        <w:rPr>
          <w:rFonts w:ascii="Times New Roman" w:hAnsi="Times New Roman" w:cs="Times New Roman"/>
        </w:rPr>
        <w:t xml:space="preserve"> a grupos de familias de guatemaltecos que visitan principalmente Chiapas. Así, en 201</w:t>
      </w:r>
      <w:r>
        <w:rPr>
          <w:rFonts w:ascii="Times New Roman" w:hAnsi="Times New Roman" w:cs="Times New Roman"/>
        </w:rPr>
        <w:t>4 se tramitaron 116 mil 549 TVR</w:t>
      </w:r>
      <w:r w:rsidRPr="006D245B">
        <w:rPr>
          <w:rFonts w:ascii="Times New Roman" w:hAnsi="Times New Roman" w:cs="Times New Roman"/>
        </w:rPr>
        <w:t xml:space="preserve"> en contraste con las 48 mil 146 de 2013. Es decir, hubo un incremento del 142 por ciento. En 2015, se tramitaron 119 mil 963.</w:t>
      </w:r>
    </w:p>
    <w:p w:rsidR="00BC0807" w:rsidRPr="006D245B" w:rsidRDefault="00BC0807" w:rsidP="00BC0807">
      <w:pPr>
        <w:pStyle w:val="Default"/>
        <w:numPr>
          <w:ilvl w:val="0"/>
          <w:numId w:val="2"/>
        </w:numPr>
        <w:ind w:left="426" w:hanging="437"/>
        <w:jc w:val="both"/>
        <w:rPr>
          <w:rFonts w:ascii="Times New Roman" w:hAnsi="Times New Roman" w:cs="Times New Roman"/>
        </w:rPr>
      </w:pPr>
      <w:r w:rsidRPr="006D245B">
        <w:rPr>
          <w:rFonts w:ascii="Times New Roman" w:hAnsi="Times New Roman" w:cs="Times New Roman"/>
        </w:rPr>
        <w:t>Reforma del artículo 73 de los Lineamientos para trámites y procedimientos migratorios. Acuerdo publicado el 15 de agosto de 2014, en el cual se establece que los portadores de TVR podrán transitar por todos los municipios de los estados de Chiapas, Campeche, Tabasco y Quintana Roo. Anteriormente solo lo hacían por 81 de los 160 municipios que integran los cuatro estados.</w:t>
      </w:r>
    </w:p>
    <w:p w:rsidR="00BC0807" w:rsidRDefault="00BC0807" w:rsidP="00BC0807">
      <w:pPr>
        <w:pStyle w:val="Default"/>
        <w:numPr>
          <w:ilvl w:val="0"/>
          <w:numId w:val="2"/>
        </w:numPr>
        <w:ind w:left="426" w:hanging="437"/>
        <w:jc w:val="both"/>
        <w:rPr>
          <w:rFonts w:ascii="Times New Roman" w:hAnsi="Times New Roman" w:cs="Times New Roman"/>
        </w:rPr>
      </w:pPr>
      <w:r w:rsidRPr="006D245B">
        <w:rPr>
          <w:rFonts w:ascii="Times New Roman" w:hAnsi="Times New Roman" w:cs="Times New Roman"/>
        </w:rPr>
        <w:t>Reforma a la fracción III del artículo 52 de la Ley de Migración que amplía los días de estancia de los portadores de TVR de 3 a 7 días. Reforma legislativa que se aprobó en la Cámara de Diputados el 1º de marzo del año en curso y que se ha sido turnada al Senado para su ratificación.</w:t>
      </w:r>
    </w:p>
    <w:p w:rsidR="00BC0807" w:rsidRPr="00AA3ADF" w:rsidRDefault="00BC0807" w:rsidP="00BC0807">
      <w:pPr>
        <w:pStyle w:val="Default"/>
        <w:jc w:val="both"/>
        <w:rPr>
          <w:rFonts w:ascii="Times New Roman" w:hAnsi="Times New Roman" w:cs="Times New Roman"/>
        </w:rPr>
      </w:pPr>
    </w:p>
    <w:p w:rsidR="00DE7C38" w:rsidRDefault="00DE7C38"/>
    <w:sectPr w:rsidR="00DE7C3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807" w:rsidRDefault="00BC0807" w:rsidP="00BC0807">
      <w:r>
        <w:separator/>
      </w:r>
    </w:p>
  </w:endnote>
  <w:endnote w:type="continuationSeparator" w:id="0">
    <w:p w:rsidR="00BC0807" w:rsidRDefault="00BC0807" w:rsidP="00BC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oberana Sans">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807" w:rsidRDefault="00BC0807" w:rsidP="00BC0807">
      <w:r>
        <w:separator/>
      </w:r>
    </w:p>
  </w:footnote>
  <w:footnote w:type="continuationSeparator" w:id="0">
    <w:p w:rsidR="00BC0807" w:rsidRDefault="00BC0807" w:rsidP="00BC0807">
      <w:r>
        <w:continuationSeparator/>
      </w:r>
    </w:p>
  </w:footnote>
  <w:footnote w:id="1">
    <w:p w:rsidR="00BC0807" w:rsidRPr="00941CA0" w:rsidRDefault="00BC0807" w:rsidP="00BC0807">
      <w:pPr>
        <w:pStyle w:val="Textonotapie"/>
        <w:rPr>
          <w:sz w:val="22"/>
          <w:szCs w:val="22"/>
          <w:lang w:val="es-ES_tradnl"/>
        </w:rPr>
      </w:pPr>
      <w:r w:rsidRPr="00AA3ADF">
        <w:rPr>
          <w:rStyle w:val="Refdenotaalpie"/>
          <w:rFonts w:ascii="Times New Roman" w:hAnsi="Times New Roman" w:cs="Times New Roman"/>
        </w:rPr>
        <w:footnoteRef/>
      </w:r>
      <w:r w:rsidRPr="00AA3ADF">
        <w:rPr>
          <w:rFonts w:ascii="Times New Roman" w:hAnsi="Times New Roman" w:cs="Times New Roman"/>
        </w:rPr>
        <w:t xml:space="preserve"> </w:t>
      </w:r>
      <w:r w:rsidRPr="00AA3ADF">
        <w:rPr>
          <w:rFonts w:ascii="Times New Roman" w:hAnsi="Times New Roman" w:cs="Times New Roman"/>
          <w:lang w:val="es-ES_tradnl"/>
        </w:rPr>
        <w:t>Comité de Familiares de Migrantes Fallecidos y Desaparecidos de El Salvador;  Comité de Familiares de Migrantes de El Progreso, Fundación Para la Justicia y el Estado Democrático de Derecho; Casa del Migrante de Saltillo, Coahuila; Centro Diocesano de Derechos Humanos Fray Juan de Larios A.C.; Asociación Civil Voces Mesoamericanas; Mesa Nacional para las Migraciones en Guatemala; Asociación Misioneros se San Carlos Scalabrinianos en Guatemala, Centro De Derechos Humanos Victoria Diez, A.C., y Foro Nacional para La Migración en Honduras.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85E94"/>
    <w:multiLevelType w:val="hybridMultilevel"/>
    <w:tmpl w:val="30B6444E"/>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7704A22"/>
    <w:multiLevelType w:val="hybridMultilevel"/>
    <w:tmpl w:val="86A85584"/>
    <w:lvl w:ilvl="0" w:tplc="824E56C4">
      <w:numFmt w:val="bullet"/>
      <w:lvlText w:val="-"/>
      <w:lvlJc w:val="left"/>
      <w:pPr>
        <w:ind w:left="720" w:hanging="360"/>
      </w:pPr>
      <w:rPr>
        <w:rFonts w:ascii="Soberana Sans" w:eastAsiaTheme="minorHAnsi" w:hAnsi="Soberana San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5A31CAC"/>
    <w:multiLevelType w:val="hybridMultilevel"/>
    <w:tmpl w:val="D9FC42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07"/>
    <w:rsid w:val="00BC0807"/>
    <w:rsid w:val="00D555BE"/>
    <w:rsid w:val="00DC58E8"/>
    <w:rsid w:val="00DE7C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5814F-D0B2-4674-B965-65E402EF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807"/>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viñetas,Dot pt,No Spacing1,List Paragraph Char Char Char,Indicator Text,List Paragraph1,Numbered Para 1,Colorful List - Accent 11,Bullet 1,F5 List Paragraph,Bullet Points,4 Párrafo de lista,Figuras,DH1,Párrafo Título 3,List Paragraph,3"/>
    <w:basedOn w:val="Normal"/>
    <w:link w:val="PrrafodelistaCar"/>
    <w:uiPriority w:val="34"/>
    <w:qFormat/>
    <w:rsid w:val="00BC0807"/>
    <w:pPr>
      <w:ind w:left="720"/>
      <w:contextualSpacing/>
    </w:pPr>
  </w:style>
  <w:style w:type="paragraph" w:styleId="Textonotapie">
    <w:name w:val="footnote text"/>
    <w:aliases w:val="FA Fu,Footnote Text Char Char Char Char Char,Footnote Text Char Char Char Char,Footnote reference,Footnote Text Char Char Char,footnote text,Footnote Text Cha,FA Fußnotentext,FA Fuﬂnotentext,Footnote Text Char Char,Ca,FA Fu?notentext,C,ft"/>
    <w:basedOn w:val="Normal"/>
    <w:link w:val="TextonotapieCar"/>
    <w:uiPriority w:val="99"/>
    <w:unhideWhenUsed/>
    <w:qFormat/>
    <w:rsid w:val="00BC0807"/>
    <w:pPr>
      <w:jc w:val="both"/>
    </w:pPr>
    <w:rPr>
      <w:sz w:val="20"/>
      <w:szCs w:val="20"/>
    </w:rPr>
  </w:style>
  <w:style w:type="character" w:customStyle="1" w:styleId="TextonotapieCar">
    <w:name w:val="Texto nota pie Car"/>
    <w:aliases w:val="FA Fu Car,Footnote Text Char Char Char Char Char Car,Footnote Text Char Char Char Char Car,Footnote reference Car,Footnote Text Char Char Char Car,footnote text Car,Footnote Text Cha Car,FA Fußnotentext Car,FA Fuﬂnotentext Car,Ca Car"/>
    <w:basedOn w:val="Fuentedeprrafopredeter"/>
    <w:link w:val="Textonotapie"/>
    <w:uiPriority w:val="99"/>
    <w:rsid w:val="00BC0807"/>
    <w:rPr>
      <w:sz w:val="20"/>
      <w:szCs w:val="20"/>
    </w:rPr>
  </w:style>
  <w:style w:type="character" w:styleId="Refdenotaalpie">
    <w:name w:val="footnote reference"/>
    <w:aliases w:val="Footnotes refss,Texto de nota al pie,Appel note de bas de page,f,referencia nota al pie,BVI fnr,Footnote number,Ref. de nota al pie.,Footnote symbol,Footnote,4_G,16 Point,Superscript 6 Point,Texto nota al pie,Ref. de nota al pi,Ref,R"/>
    <w:basedOn w:val="Fuentedeprrafopredeter"/>
    <w:uiPriority w:val="99"/>
    <w:unhideWhenUsed/>
    <w:qFormat/>
    <w:rsid w:val="00BC0807"/>
    <w:rPr>
      <w:vertAlign w:val="superscript"/>
    </w:rPr>
  </w:style>
  <w:style w:type="character" w:customStyle="1" w:styleId="PrrafodelistaCar">
    <w:name w:val="Párrafo de lista Car"/>
    <w:aliases w:val="viñetas Car,Dot pt Car,No Spacing1 Car,List Paragraph Char Char Char Car,Indicator Text Car,List Paragraph1 Car,Numbered Para 1 Car,Colorful List - Accent 11 Car,Bullet 1 Car,F5 List Paragraph Car,Bullet Points Car,Figuras Car,3 Car"/>
    <w:basedOn w:val="Fuentedeprrafopredeter"/>
    <w:link w:val="Prrafodelista"/>
    <w:uiPriority w:val="34"/>
    <w:qFormat/>
    <w:locked/>
    <w:rsid w:val="00BC0807"/>
  </w:style>
  <w:style w:type="paragraph" w:styleId="NormalWeb">
    <w:name w:val="Normal (Web)"/>
    <w:basedOn w:val="Normal"/>
    <w:uiPriority w:val="99"/>
    <w:rsid w:val="00BC0807"/>
    <w:pPr>
      <w:spacing w:before="100" w:beforeAutospacing="1" w:after="100" w:afterAutospacing="1"/>
    </w:pPr>
    <w:rPr>
      <w:rFonts w:ascii="Times New Roman" w:eastAsia="Times New Roman" w:hAnsi="Times New Roman" w:cs="Times New Roman"/>
      <w:sz w:val="24"/>
      <w:szCs w:val="24"/>
      <w:lang w:val="es-ES" w:eastAsia="es-ES"/>
    </w:rPr>
  </w:style>
  <w:style w:type="paragraph" w:customStyle="1" w:styleId="Default">
    <w:name w:val="Default"/>
    <w:rsid w:val="00BC0807"/>
    <w:pPr>
      <w:autoSpaceDE w:val="0"/>
      <w:autoSpaceDN w:val="0"/>
      <w:adjustRightInd w:val="0"/>
      <w:spacing w:after="0" w:line="240" w:lineRule="auto"/>
    </w:pPr>
    <w:rPr>
      <w:rFonts w:ascii="Cambria" w:hAnsi="Cambria" w:cs="Cambria"/>
      <w:color w:val="000000"/>
      <w:sz w:val="24"/>
      <w:szCs w:val="24"/>
    </w:rPr>
  </w:style>
  <w:style w:type="paragraph" w:styleId="Textoindependiente2">
    <w:name w:val="Body Text 2"/>
    <w:basedOn w:val="Normal"/>
    <w:link w:val="Textoindependiente2Car"/>
    <w:unhideWhenUsed/>
    <w:rsid w:val="00BC0807"/>
    <w:pPr>
      <w:spacing w:after="120" w:line="480" w:lineRule="auto"/>
    </w:pPr>
    <w:rPr>
      <w:rFonts w:ascii="Arial" w:eastAsia="Times New Roman" w:hAnsi="Arial" w:cs="Times New Roman"/>
      <w:sz w:val="24"/>
      <w:szCs w:val="24"/>
      <w:lang w:val="es-ES" w:eastAsia="es-ES"/>
    </w:rPr>
  </w:style>
  <w:style w:type="character" w:customStyle="1" w:styleId="Textoindependiente2Car">
    <w:name w:val="Texto independiente 2 Car"/>
    <w:basedOn w:val="Fuentedeprrafopredeter"/>
    <w:link w:val="Textoindependiente2"/>
    <w:rsid w:val="00BC0807"/>
    <w:rPr>
      <w:rFonts w:ascii="Arial" w:eastAsia="Times New Roman" w:hAnsi="Arial"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b0a7ec33df2057392694119ebc3b6e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C901C6-31C2-4DD8-9752-7F4A63B45569}"/>
</file>

<file path=customXml/itemProps2.xml><?xml version="1.0" encoding="utf-8"?>
<ds:datastoreItem xmlns:ds="http://schemas.openxmlformats.org/officeDocument/2006/customXml" ds:itemID="{447A824F-095E-4D3D-AAB6-AB65224B85FE}"/>
</file>

<file path=customXml/itemProps3.xml><?xml version="1.0" encoding="utf-8"?>
<ds:datastoreItem xmlns:ds="http://schemas.openxmlformats.org/officeDocument/2006/customXml" ds:itemID="{2399B329-10A1-4BAA-839A-7481B45275C2}"/>
</file>

<file path=docProps/app.xml><?xml version="1.0" encoding="utf-8"?>
<Properties xmlns="http://schemas.openxmlformats.org/officeDocument/2006/extended-properties" xmlns:vt="http://schemas.openxmlformats.org/officeDocument/2006/docPropsVTypes">
  <Template>Normal</Template>
  <TotalTime>5</TotalTime>
  <Pages>7</Pages>
  <Words>3231</Words>
  <Characters>17776</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Gutierrez Trapaga</dc:creator>
  <cp:keywords/>
  <dc:description/>
  <cp:lastModifiedBy>Arias Guerrero, Alejandra</cp:lastModifiedBy>
  <cp:revision>3</cp:revision>
  <dcterms:created xsi:type="dcterms:W3CDTF">2017-06-26T22:18:00Z</dcterms:created>
  <dcterms:modified xsi:type="dcterms:W3CDTF">2018-01-08T17:06:00Z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