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ED" w:rsidRPr="003F73D6" w:rsidRDefault="003431ED" w:rsidP="003431ED">
      <w:pPr>
        <w:pStyle w:val="Style10"/>
        <w:shd w:val="clear" w:color="auto" w:fill="auto"/>
        <w:tabs>
          <w:tab w:val="left" w:pos="851"/>
        </w:tabs>
        <w:spacing w:line="240" w:lineRule="auto"/>
        <w:ind w:firstLine="0"/>
        <w:contextualSpacing/>
        <w:jc w:val="both"/>
        <w:rPr>
          <w:b/>
          <w:sz w:val="32"/>
          <w:szCs w:val="24"/>
          <w:lang w:val="en-GB"/>
        </w:rPr>
      </w:pPr>
      <w:r>
        <w:rPr>
          <w:b/>
          <w:sz w:val="32"/>
          <w:szCs w:val="24"/>
          <w:lang w:val="en-GB"/>
        </w:rPr>
        <w:t xml:space="preserve">Annex no. 1: </w:t>
      </w:r>
      <w:r w:rsidR="00D2626C">
        <w:rPr>
          <w:b/>
          <w:sz w:val="32"/>
          <w:szCs w:val="24"/>
          <w:lang w:val="en-GB"/>
        </w:rPr>
        <w:t>E</w:t>
      </w:r>
      <w:r w:rsidR="004958F6">
        <w:rPr>
          <w:b/>
          <w:sz w:val="32"/>
          <w:szCs w:val="24"/>
          <w:lang w:val="en-GB"/>
        </w:rPr>
        <w:t xml:space="preserve">xamples of cases </w:t>
      </w:r>
      <w:r w:rsidR="00CC36F5">
        <w:rPr>
          <w:b/>
          <w:sz w:val="32"/>
          <w:szCs w:val="24"/>
          <w:lang w:val="en-GB"/>
        </w:rPr>
        <w:t xml:space="preserve">that applied the provisions of the Covenant in national courts </w:t>
      </w:r>
      <w:r w:rsidR="004958F6">
        <w:rPr>
          <w:b/>
          <w:sz w:val="32"/>
          <w:szCs w:val="24"/>
          <w:lang w:val="en-GB"/>
        </w:rPr>
        <w:t>in the</w:t>
      </w:r>
      <w:r>
        <w:rPr>
          <w:b/>
          <w:sz w:val="32"/>
          <w:szCs w:val="24"/>
          <w:lang w:val="en-GB"/>
        </w:rPr>
        <w:t xml:space="preserve"> </w:t>
      </w:r>
      <w:r w:rsidR="003F73D6" w:rsidRPr="003F73D6">
        <w:rPr>
          <w:b/>
          <w:sz w:val="32"/>
          <w:szCs w:val="24"/>
          <w:lang w:val="en-GB"/>
        </w:rPr>
        <w:t>Fourth report of the Republic of Lithuania under the International covenant on civil and political rights</w:t>
      </w:r>
      <w:r w:rsidR="00322D8C">
        <w:rPr>
          <w:b/>
          <w:sz w:val="32"/>
          <w:szCs w:val="24"/>
          <w:lang w:val="en-GB"/>
        </w:rPr>
        <w:t>.</w:t>
      </w:r>
    </w:p>
    <w:p w:rsidR="006E031B" w:rsidRPr="005410C3" w:rsidRDefault="006E031B" w:rsidP="00985989">
      <w:pPr>
        <w:pStyle w:val="Style10"/>
        <w:shd w:val="clear" w:color="auto" w:fill="auto"/>
        <w:spacing w:line="240" w:lineRule="auto"/>
        <w:ind w:left="426" w:hanging="426"/>
        <w:contextualSpacing/>
        <w:jc w:val="both"/>
        <w:rPr>
          <w:sz w:val="24"/>
          <w:szCs w:val="24"/>
          <w:shd w:val="clear" w:color="auto" w:fill="FFFFFF"/>
          <w:lang w:val="en-GB"/>
        </w:rPr>
      </w:pPr>
    </w:p>
    <w:p w:rsidR="006E031B" w:rsidRPr="005410C3" w:rsidRDefault="006E031B" w:rsidP="00985989">
      <w:pPr>
        <w:pStyle w:val="Style10"/>
        <w:numPr>
          <w:ilvl w:val="0"/>
          <w:numId w:val="1"/>
        </w:numPr>
        <w:shd w:val="clear" w:color="auto" w:fill="auto"/>
        <w:spacing w:line="240" w:lineRule="auto"/>
        <w:ind w:left="426" w:hanging="426"/>
        <w:contextualSpacing/>
        <w:jc w:val="both"/>
        <w:rPr>
          <w:sz w:val="24"/>
          <w:szCs w:val="24"/>
          <w:shd w:val="clear" w:color="auto" w:fill="FFFFFF"/>
          <w:lang w:val="en-GB"/>
        </w:rPr>
      </w:pPr>
      <w:r w:rsidRPr="005410C3">
        <w:rPr>
          <w:sz w:val="24"/>
          <w:szCs w:val="24"/>
          <w:lang w:val="en-GB"/>
        </w:rPr>
        <w:t xml:space="preserve">In the hearing of cases, courts have often used the principle of access to justice set out in Article 2 of the Covenant (for example, ruling of </w:t>
      </w:r>
      <w:proofErr w:type="spellStart"/>
      <w:r w:rsidRPr="005410C3">
        <w:rPr>
          <w:sz w:val="24"/>
          <w:szCs w:val="24"/>
          <w:lang w:val="en-GB"/>
        </w:rPr>
        <w:t>Šiauliai</w:t>
      </w:r>
      <w:proofErr w:type="spellEnd"/>
      <w:r w:rsidRPr="005410C3">
        <w:rPr>
          <w:sz w:val="24"/>
          <w:szCs w:val="24"/>
          <w:lang w:val="en-GB"/>
        </w:rPr>
        <w:t xml:space="preserve"> County Administrative Court of 15 May 2017 in the civil case </w:t>
      </w:r>
      <w:r w:rsidRPr="005410C3">
        <w:rPr>
          <w:sz w:val="24"/>
          <w:szCs w:val="24"/>
          <w:u w:val="single"/>
          <w:shd w:val="clear" w:color="auto" w:fill="FFFFFF"/>
          <w:lang w:val="en-GB"/>
        </w:rPr>
        <w:t>No.</w:t>
      </w:r>
      <w:r w:rsidRPr="005410C3">
        <w:rPr>
          <w:rStyle w:val="apple-converted-space"/>
          <w:sz w:val="24"/>
          <w:szCs w:val="24"/>
          <w:u w:val="single"/>
          <w:shd w:val="clear" w:color="auto" w:fill="FFFFFF"/>
          <w:lang w:val="en-GB"/>
        </w:rPr>
        <w:t> </w:t>
      </w:r>
      <w:r w:rsidRPr="005410C3">
        <w:rPr>
          <w:sz w:val="24"/>
          <w:szCs w:val="24"/>
          <w:u w:val="single"/>
          <w:shd w:val="clear" w:color="auto" w:fill="FFFFFF"/>
          <w:lang w:val="en-GB"/>
        </w:rPr>
        <w:t>2S-441-372/2017</w:t>
      </w:r>
      <w:r w:rsidRPr="005410C3">
        <w:rPr>
          <w:sz w:val="24"/>
          <w:szCs w:val="24"/>
          <w:shd w:val="clear" w:color="auto" w:fill="FFFFFF"/>
          <w:lang w:val="en-GB"/>
        </w:rPr>
        <w:t>; ruling of the Supreme Administrative Court of Lithuania of 22 March 2017 in the administrative case No.</w:t>
      </w:r>
      <w:r w:rsidRPr="005410C3">
        <w:rPr>
          <w:rStyle w:val="apple-converted-space"/>
          <w:sz w:val="24"/>
          <w:szCs w:val="24"/>
          <w:shd w:val="clear" w:color="auto" w:fill="FFFFFF"/>
          <w:lang w:val="en-GB"/>
        </w:rPr>
        <w:t> </w:t>
      </w:r>
      <w:r w:rsidRPr="005410C3">
        <w:rPr>
          <w:sz w:val="24"/>
          <w:szCs w:val="24"/>
          <w:u w:val="single"/>
          <w:shd w:val="clear" w:color="auto" w:fill="FFFFFF"/>
          <w:lang w:val="en-GB"/>
        </w:rPr>
        <w:t>AS-257-146/2017</w:t>
      </w:r>
      <w:r w:rsidRPr="005410C3">
        <w:rPr>
          <w:sz w:val="24"/>
          <w:szCs w:val="24"/>
          <w:shd w:val="clear" w:color="auto" w:fill="FFFFFF"/>
          <w:lang w:val="en-GB"/>
        </w:rPr>
        <w:t xml:space="preserve">; Ruling of the Supreme Administrative Court of Lithuania of 11 November 2016 in the administrative case </w:t>
      </w:r>
      <w:r w:rsidRPr="005410C3">
        <w:rPr>
          <w:sz w:val="24"/>
          <w:szCs w:val="24"/>
          <w:u w:val="single"/>
          <w:shd w:val="clear" w:color="auto" w:fill="FFFFFF"/>
          <w:lang w:val="en-GB"/>
        </w:rPr>
        <w:t>No.</w:t>
      </w:r>
      <w:r w:rsidRPr="005410C3">
        <w:rPr>
          <w:rStyle w:val="apple-converted-space"/>
          <w:sz w:val="24"/>
          <w:szCs w:val="24"/>
          <w:u w:val="single"/>
          <w:shd w:val="clear" w:color="auto" w:fill="FFFFFF"/>
          <w:lang w:val="en-GB"/>
        </w:rPr>
        <w:t> </w:t>
      </w:r>
      <w:r w:rsidRPr="005410C3">
        <w:rPr>
          <w:sz w:val="24"/>
          <w:szCs w:val="24"/>
          <w:u w:val="single"/>
          <w:shd w:val="clear" w:color="auto" w:fill="FFFFFF"/>
          <w:lang w:val="en-GB"/>
        </w:rPr>
        <w:t>eA-2638-662/2016</w:t>
      </w:r>
      <w:r w:rsidRPr="005410C3">
        <w:rPr>
          <w:sz w:val="24"/>
          <w:szCs w:val="24"/>
          <w:shd w:val="clear" w:color="auto" w:fill="FFFFFF"/>
          <w:lang w:val="en-GB"/>
        </w:rPr>
        <w:t xml:space="preserve">; ruling of Kaunas County Court of 9 November 2016 in the civil case  </w:t>
      </w:r>
      <w:r w:rsidRPr="005410C3">
        <w:rPr>
          <w:sz w:val="24"/>
          <w:szCs w:val="24"/>
          <w:u w:val="single"/>
          <w:shd w:val="clear" w:color="auto" w:fill="FFFFFF"/>
          <w:lang w:val="en-GB"/>
        </w:rPr>
        <w:t>No.</w:t>
      </w:r>
      <w:r w:rsidRPr="005410C3">
        <w:rPr>
          <w:rStyle w:val="apple-converted-space"/>
          <w:sz w:val="24"/>
          <w:szCs w:val="24"/>
          <w:u w:val="single"/>
          <w:shd w:val="clear" w:color="auto" w:fill="FFFFFF"/>
          <w:lang w:val="en-GB"/>
        </w:rPr>
        <w:t> </w:t>
      </w:r>
      <w:r w:rsidRPr="005410C3">
        <w:rPr>
          <w:sz w:val="24"/>
          <w:szCs w:val="24"/>
          <w:u w:val="single"/>
          <w:shd w:val="clear" w:color="auto" w:fill="FFFFFF"/>
          <w:lang w:val="en-GB"/>
        </w:rPr>
        <w:t>2S-1620-324/2016</w:t>
      </w:r>
      <w:r w:rsidRPr="005410C3">
        <w:rPr>
          <w:sz w:val="24"/>
          <w:szCs w:val="24"/>
          <w:shd w:val="clear" w:color="auto" w:fill="FFFFFF"/>
          <w:lang w:val="en-GB"/>
        </w:rPr>
        <w:t xml:space="preserve">; ruling of the Supreme Administrative Court of Lithuania of 24 August 2016 in the administrative case </w:t>
      </w:r>
      <w:r w:rsidRPr="005410C3">
        <w:rPr>
          <w:sz w:val="24"/>
          <w:szCs w:val="24"/>
          <w:u w:val="single"/>
          <w:shd w:val="clear" w:color="auto" w:fill="FFFFFF"/>
          <w:lang w:val="en-GB"/>
        </w:rPr>
        <w:t>No.</w:t>
      </w:r>
      <w:r w:rsidRPr="005410C3">
        <w:rPr>
          <w:rStyle w:val="apple-converted-space"/>
          <w:sz w:val="24"/>
          <w:szCs w:val="24"/>
          <w:u w:val="single"/>
          <w:shd w:val="clear" w:color="auto" w:fill="FFFFFF"/>
          <w:lang w:val="en-GB"/>
        </w:rPr>
        <w:t> </w:t>
      </w:r>
      <w:r w:rsidRPr="005410C3">
        <w:rPr>
          <w:sz w:val="24"/>
          <w:szCs w:val="24"/>
          <w:u w:val="single"/>
          <w:shd w:val="clear" w:color="auto" w:fill="FFFFFF"/>
          <w:lang w:val="en-GB"/>
        </w:rPr>
        <w:t>AS-576-438/2016</w:t>
      </w:r>
      <w:r w:rsidRPr="005410C3">
        <w:rPr>
          <w:sz w:val="24"/>
          <w:szCs w:val="24"/>
          <w:shd w:val="clear" w:color="auto" w:fill="FFFFFF"/>
          <w:lang w:val="en-GB"/>
        </w:rPr>
        <w:t xml:space="preserve">; ruling of Vilnius County Administrative Court of 12 February 2016 in the administrative case </w:t>
      </w:r>
      <w:r w:rsidRPr="005410C3">
        <w:rPr>
          <w:sz w:val="24"/>
          <w:szCs w:val="24"/>
          <w:u w:val="single"/>
          <w:shd w:val="clear" w:color="auto" w:fill="FFFFFF"/>
          <w:lang w:val="en-GB"/>
        </w:rPr>
        <w:t>No. eI-5885-596/2016</w:t>
      </w:r>
      <w:r w:rsidRPr="005410C3">
        <w:rPr>
          <w:sz w:val="24"/>
          <w:szCs w:val="24"/>
          <w:shd w:val="clear" w:color="auto" w:fill="FFFFFF"/>
          <w:lang w:val="en-GB"/>
        </w:rPr>
        <w:t xml:space="preserve">; ruling of </w:t>
      </w:r>
      <w:proofErr w:type="spellStart"/>
      <w:r w:rsidRPr="005410C3">
        <w:rPr>
          <w:sz w:val="24"/>
          <w:szCs w:val="24"/>
          <w:shd w:val="clear" w:color="auto" w:fill="FFFFFF"/>
          <w:lang w:val="en-GB"/>
        </w:rPr>
        <w:t>Klaipėda</w:t>
      </w:r>
      <w:proofErr w:type="spellEnd"/>
      <w:r w:rsidRPr="005410C3">
        <w:rPr>
          <w:sz w:val="24"/>
          <w:szCs w:val="24"/>
          <w:shd w:val="clear" w:color="auto" w:fill="FFFFFF"/>
          <w:lang w:val="en-GB"/>
        </w:rPr>
        <w:t xml:space="preserve"> County Administrative Court of 26 January 2016 in the administrative case </w:t>
      </w:r>
      <w:r w:rsidRPr="005410C3">
        <w:rPr>
          <w:sz w:val="24"/>
          <w:szCs w:val="24"/>
          <w:u w:val="single"/>
          <w:shd w:val="clear" w:color="auto" w:fill="FFFFFF"/>
          <w:lang w:val="en-GB"/>
        </w:rPr>
        <w:t>No. eI-1185-342/2016</w:t>
      </w:r>
      <w:r w:rsidRPr="005410C3">
        <w:rPr>
          <w:sz w:val="24"/>
          <w:szCs w:val="24"/>
          <w:shd w:val="clear" w:color="auto" w:fill="FFFFFF"/>
          <w:lang w:val="en-GB"/>
        </w:rPr>
        <w:t xml:space="preserve">; decision of </w:t>
      </w:r>
      <w:proofErr w:type="spellStart"/>
      <w:r w:rsidRPr="005410C3">
        <w:rPr>
          <w:sz w:val="24"/>
          <w:szCs w:val="24"/>
          <w:shd w:val="clear" w:color="auto" w:fill="FFFFFF"/>
          <w:lang w:val="en-GB"/>
        </w:rPr>
        <w:t>Šiauliai</w:t>
      </w:r>
      <w:proofErr w:type="spellEnd"/>
      <w:r w:rsidRPr="005410C3">
        <w:rPr>
          <w:sz w:val="24"/>
          <w:szCs w:val="24"/>
          <w:shd w:val="clear" w:color="auto" w:fill="FFFFFF"/>
          <w:lang w:val="en-GB"/>
        </w:rPr>
        <w:t xml:space="preserve"> County Administrative Court  of 8 January 2016 in the administrative case </w:t>
      </w:r>
      <w:r w:rsidRPr="005410C3">
        <w:rPr>
          <w:sz w:val="24"/>
          <w:szCs w:val="24"/>
          <w:u w:val="single"/>
          <w:shd w:val="clear" w:color="auto" w:fill="FFFFFF"/>
          <w:lang w:val="en-GB"/>
        </w:rPr>
        <w:t>No. I-82-621/2016</w:t>
      </w:r>
      <w:r w:rsidRPr="005410C3">
        <w:rPr>
          <w:sz w:val="24"/>
          <w:szCs w:val="24"/>
          <w:shd w:val="clear" w:color="auto" w:fill="FFFFFF"/>
          <w:lang w:val="en-GB"/>
        </w:rPr>
        <w:t>; ruling of the Lithuanian Court of Appeal of 30 October</w:t>
      </w:r>
      <w:r w:rsidRPr="005410C3">
        <w:rPr>
          <w:rStyle w:val="apple-converted-space"/>
          <w:sz w:val="24"/>
          <w:szCs w:val="24"/>
          <w:shd w:val="clear" w:color="auto" w:fill="FFFFFF"/>
          <w:lang w:val="en-GB"/>
        </w:rPr>
        <w:t> 2014 in the civil case</w:t>
      </w:r>
      <w:r w:rsidRPr="005410C3">
        <w:rPr>
          <w:bCs/>
          <w:sz w:val="24"/>
          <w:szCs w:val="24"/>
          <w:shd w:val="clear" w:color="auto" w:fill="FFFFFF"/>
          <w:lang w:val="en-GB"/>
        </w:rPr>
        <w:t xml:space="preserve"> </w:t>
      </w:r>
      <w:proofErr w:type="gramStart"/>
      <w:r w:rsidRPr="005410C3">
        <w:rPr>
          <w:bCs/>
          <w:sz w:val="24"/>
          <w:szCs w:val="24"/>
          <w:u w:val="single"/>
          <w:shd w:val="clear" w:color="auto" w:fill="FFFFFF"/>
          <w:lang w:val="en-GB"/>
        </w:rPr>
        <w:t>No</w:t>
      </w:r>
      <w:proofErr w:type="gramEnd"/>
      <w:r w:rsidRPr="005410C3">
        <w:rPr>
          <w:bCs/>
          <w:sz w:val="24"/>
          <w:szCs w:val="24"/>
          <w:u w:val="single"/>
          <w:shd w:val="clear" w:color="auto" w:fill="FFFFFF"/>
          <w:lang w:val="en-GB"/>
        </w:rPr>
        <w:t>.</w:t>
      </w:r>
      <w:r w:rsidRPr="005410C3">
        <w:rPr>
          <w:rStyle w:val="apple-converted-space"/>
          <w:bCs/>
          <w:sz w:val="24"/>
          <w:szCs w:val="24"/>
          <w:u w:val="single"/>
          <w:shd w:val="clear" w:color="auto" w:fill="FFFFFF"/>
          <w:lang w:val="en-GB"/>
        </w:rPr>
        <w:t> </w:t>
      </w:r>
      <w:hyperlink r:id="rId5" w:tgtFrame="_blank" w:tooltip="2-1672/2014 Dėl skolos ir palūkanų" w:history="1">
        <w:r w:rsidRPr="005410C3">
          <w:rPr>
            <w:rStyle w:val="Hyperlink"/>
            <w:bCs/>
            <w:iCs/>
            <w:color w:val="auto"/>
            <w:sz w:val="24"/>
            <w:szCs w:val="24"/>
            <w:shd w:val="clear" w:color="auto" w:fill="FFFFFF"/>
            <w:lang w:val="en-GB"/>
          </w:rPr>
          <w:t>2-1672/2014</w:t>
        </w:r>
      </w:hyperlink>
      <w:r w:rsidRPr="005410C3">
        <w:rPr>
          <w:bCs/>
          <w:sz w:val="24"/>
          <w:szCs w:val="24"/>
          <w:shd w:val="clear" w:color="auto" w:fill="FFFFFF"/>
          <w:lang w:val="en-GB"/>
        </w:rPr>
        <w:t>; ruling of Kaunas Country Administrative Court of 8 September 2014 in the administrative case</w:t>
      </w:r>
      <w:r w:rsidRPr="005410C3">
        <w:rPr>
          <w:sz w:val="24"/>
          <w:szCs w:val="24"/>
          <w:shd w:val="clear" w:color="auto" w:fill="FFFFFF"/>
          <w:lang w:val="en-GB"/>
        </w:rPr>
        <w:t xml:space="preserve"> </w:t>
      </w:r>
      <w:proofErr w:type="gramStart"/>
      <w:r w:rsidRPr="005410C3">
        <w:rPr>
          <w:sz w:val="24"/>
          <w:szCs w:val="24"/>
          <w:u w:val="single"/>
          <w:shd w:val="clear" w:color="auto" w:fill="FFFFFF"/>
          <w:lang w:val="en-GB"/>
        </w:rPr>
        <w:t>No</w:t>
      </w:r>
      <w:proofErr w:type="gramEnd"/>
      <w:r w:rsidRPr="005410C3">
        <w:rPr>
          <w:sz w:val="24"/>
          <w:szCs w:val="24"/>
          <w:u w:val="single"/>
          <w:shd w:val="clear" w:color="auto" w:fill="FFFFFF"/>
          <w:lang w:val="en-GB"/>
        </w:rPr>
        <w:t>. I-3433-402/2014</w:t>
      </w:r>
      <w:r w:rsidRPr="005410C3">
        <w:rPr>
          <w:sz w:val="24"/>
          <w:szCs w:val="24"/>
          <w:shd w:val="clear" w:color="auto" w:fill="FFFFFF"/>
          <w:lang w:val="en-GB"/>
        </w:rPr>
        <w:t>).</w:t>
      </w:r>
    </w:p>
    <w:p w:rsidR="006E031B" w:rsidRPr="005410C3" w:rsidRDefault="006E031B" w:rsidP="00985989">
      <w:pPr>
        <w:pStyle w:val="Style10"/>
        <w:shd w:val="clear" w:color="auto" w:fill="auto"/>
        <w:spacing w:line="240" w:lineRule="auto"/>
        <w:ind w:left="426" w:hanging="426"/>
        <w:contextualSpacing/>
        <w:jc w:val="both"/>
        <w:rPr>
          <w:sz w:val="24"/>
          <w:szCs w:val="24"/>
          <w:shd w:val="clear" w:color="auto" w:fill="FFFFFF"/>
          <w:lang w:val="en-GB"/>
        </w:rPr>
      </w:pPr>
    </w:p>
    <w:p w:rsidR="006E031B" w:rsidRPr="005410C3" w:rsidRDefault="006E031B" w:rsidP="00985989">
      <w:pPr>
        <w:pStyle w:val="Style10"/>
        <w:numPr>
          <w:ilvl w:val="0"/>
          <w:numId w:val="1"/>
        </w:numPr>
        <w:shd w:val="clear" w:color="auto" w:fill="auto"/>
        <w:spacing w:line="240" w:lineRule="auto"/>
        <w:ind w:left="426" w:hanging="426"/>
        <w:contextualSpacing/>
        <w:jc w:val="both"/>
        <w:rPr>
          <w:sz w:val="24"/>
          <w:szCs w:val="24"/>
          <w:shd w:val="clear" w:color="auto" w:fill="FFFFFF"/>
          <w:lang w:val="en-GB"/>
        </w:rPr>
      </w:pPr>
      <w:r w:rsidRPr="005410C3">
        <w:rPr>
          <w:sz w:val="24"/>
          <w:szCs w:val="24"/>
          <w:shd w:val="clear" w:color="auto" w:fill="FFFFFF"/>
          <w:lang w:val="en-GB"/>
        </w:rPr>
        <w:t xml:space="preserve">Article 15 of the Covenant were also applied (for example, ruling in the criminal case of the Supreme Court of Lithuania of 10 November 2015 </w:t>
      </w:r>
      <w:r w:rsidRPr="005410C3">
        <w:rPr>
          <w:sz w:val="24"/>
          <w:szCs w:val="24"/>
          <w:u w:val="single"/>
          <w:shd w:val="clear" w:color="auto" w:fill="FFFFFF"/>
          <w:lang w:val="en-GB"/>
        </w:rPr>
        <w:t>No. 2K-P-100-222/20150</w:t>
      </w:r>
      <w:r w:rsidRPr="005410C3">
        <w:rPr>
          <w:sz w:val="24"/>
          <w:szCs w:val="24"/>
          <w:shd w:val="clear" w:color="auto" w:fill="FFFFFF"/>
          <w:lang w:val="en-GB"/>
        </w:rPr>
        <w:t xml:space="preserve">; ruling of the Supreme Administrative Court of Lithuania of 4 January 2017 in the administrative case </w:t>
      </w:r>
      <w:r w:rsidRPr="005410C3">
        <w:rPr>
          <w:sz w:val="24"/>
          <w:szCs w:val="24"/>
          <w:u w:val="single"/>
          <w:shd w:val="clear" w:color="auto" w:fill="FFFFFF"/>
          <w:lang w:val="en-GB"/>
        </w:rPr>
        <w:t>No.</w:t>
      </w:r>
      <w:r w:rsidRPr="005410C3">
        <w:rPr>
          <w:rStyle w:val="apple-converted-space"/>
          <w:sz w:val="24"/>
          <w:szCs w:val="24"/>
          <w:u w:val="single"/>
          <w:shd w:val="clear" w:color="auto" w:fill="FFFFFF"/>
          <w:lang w:val="en-GB"/>
        </w:rPr>
        <w:t> </w:t>
      </w:r>
      <w:r w:rsidRPr="005410C3">
        <w:rPr>
          <w:sz w:val="24"/>
          <w:szCs w:val="24"/>
          <w:u w:val="single"/>
          <w:shd w:val="clear" w:color="auto" w:fill="FFFFFF"/>
          <w:lang w:val="en-GB"/>
        </w:rPr>
        <w:t>AS-31-756/2017</w:t>
      </w:r>
      <w:r w:rsidRPr="005410C3">
        <w:rPr>
          <w:sz w:val="24"/>
          <w:szCs w:val="24"/>
          <w:shd w:val="clear" w:color="auto" w:fill="FFFFFF"/>
          <w:lang w:val="en-GB"/>
        </w:rPr>
        <w:t xml:space="preserve">; ruling of the Supreme Court of Lithuania of 30 December 2016 in the criminal case </w:t>
      </w:r>
      <w:r w:rsidRPr="005410C3">
        <w:rPr>
          <w:sz w:val="24"/>
          <w:szCs w:val="24"/>
          <w:u w:val="single"/>
          <w:shd w:val="clear" w:color="auto" w:fill="FFFFFF"/>
          <w:lang w:val="en-GB"/>
        </w:rPr>
        <w:t>No.</w:t>
      </w:r>
      <w:r w:rsidRPr="005410C3">
        <w:rPr>
          <w:rStyle w:val="apple-converted-space"/>
          <w:sz w:val="24"/>
          <w:szCs w:val="24"/>
          <w:u w:val="single"/>
          <w:shd w:val="clear" w:color="auto" w:fill="FFFFFF"/>
          <w:lang w:val="en-GB"/>
        </w:rPr>
        <w:t> </w:t>
      </w:r>
      <w:r w:rsidRPr="005410C3">
        <w:rPr>
          <w:sz w:val="24"/>
          <w:szCs w:val="24"/>
          <w:u w:val="single"/>
          <w:shd w:val="clear" w:color="auto" w:fill="FFFFFF"/>
          <w:lang w:val="en-GB"/>
        </w:rPr>
        <w:t>2K-7-304-976/2016</w:t>
      </w:r>
      <w:r w:rsidRPr="005410C3">
        <w:rPr>
          <w:sz w:val="24"/>
          <w:szCs w:val="24"/>
          <w:shd w:val="clear" w:color="auto" w:fill="FFFFFF"/>
          <w:lang w:val="en-GB"/>
        </w:rPr>
        <w:t xml:space="preserve">; ruling of </w:t>
      </w:r>
      <w:proofErr w:type="spellStart"/>
      <w:r w:rsidRPr="005410C3">
        <w:rPr>
          <w:sz w:val="24"/>
          <w:szCs w:val="24"/>
          <w:shd w:val="clear" w:color="auto" w:fill="FFFFFF"/>
          <w:lang w:val="en-GB"/>
        </w:rPr>
        <w:t>Klaipėda</w:t>
      </w:r>
      <w:proofErr w:type="spellEnd"/>
      <w:r w:rsidRPr="005410C3">
        <w:rPr>
          <w:sz w:val="24"/>
          <w:szCs w:val="24"/>
          <w:shd w:val="clear" w:color="auto" w:fill="FFFFFF"/>
          <w:lang w:val="en-GB"/>
        </w:rPr>
        <w:t xml:space="preserve"> County Court of 27 January 2014 in the criminal case </w:t>
      </w:r>
      <w:r w:rsidRPr="005410C3">
        <w:rPr>
          <w:iCs/>
          <w:sz w:val="24"/>
          <w:szCs w:val="24"/>
          <w:u w:val="single"/>
          <w:shd w:val="clear" w:color="auto" w:fill="FFFFFF"/>
          <w:lang w:val="en-GB"/>
        </w:rPr>
        <w:t>No. 1A-24-107/2014</w:t>
      </w:r>
      <w:r w:rsidRPr="005410C3">
        <w:rPr>
          <w:iCs/>
          <w:sz w:val="24"/>
          <w:szCs w:val="24"/>
          <w:shd w:val="clear" w:color="auto" w:fill="FFFFFF"/>
          <w:lang w:val="en-GB"/>
        </w:rPr>
        <w:t xml:space="preserve">; ruling of Kaunas County Court of 22 February </w:t>
      </w:r>
      <w:r w:rsidRPr="005410C3">
        <w:rPr>
          <w:sz w:val="24"/>
          <w:szCs w:val="24"/>
          <w:shd w:val="clear" w:color="auto" w:fill="FFFFFF"/>
          <w:lang w:val="en-GB"/>
        </w:rPr>
        <w:t>2013 in the criminal case</w:t>
      </w:r>
      <w:r w:rsidRPr="005410C3">
        <w:rPr>
          <w:rStyle w:val="apple-converted-space"/>
          <w:sz w:val="24"/>
          <w:szCs w:val="24"/>
          <w:shd w:val="clear" w:color="auto" w:fill="FFFFFF"/>
          <w:lang w:val="en-GB"/>
        </w:rPr>
        <w:t> </w:t>
      </w:r>
      <w:r w:rsidRPr="005410C3">
        <w:rPr>
          <w:iCs/>
          <w:sz w:val="24"/>
          <w:szCs w:val="24"/>
          <w:u w:val="single"/>
          <w:shd w:val="clear" w:color="auto" w:fill="FFFFFF"/>
          <w:lang w:val="en-GB"/>
        </w:rPr>
        <w:t>No. 1A-132-290/2013</w:t>
      </w:r>
      <w:r w:rsidRPr="005410C3">
        <w:rPr>
          <w:iCs/>
          <w:sz w:val="24"/>
          <w:szCs w:val="24"/>
          <w:shd w:val="clear" w:color="auto" w:fill="FFFFFF"/>
          <w:lang w:val="en-GB"/>
        </w:rPr>
        <w:t>)</w:t>
      </w:r>
      <w:r w:rsidRPr="005410C3">
        <w:rPr>
          <w:i/>
          <w:iCs/>
          <w:sz w:val="24"/>
          <w:szCs w:val="24"/>
          <w:shd w:val="clear" w:color="auto" w:fill="FFFFFF"/>
          <w:lang w:val="en-GB"/>
        </w:rPr>
        <w:t xml:space="preserve">. </w:t>
      </w:r>
      <w:r w:rsidRPr="005410C3">
        <w:rPr>
          <w:iCs/>
          <w:sz w:val="24"/>
          <w:szCs w:val="24"/>
          <w:shd w:val="clear" w:color="auto" w:fill="FFFFFF"/>
          <w:lang w:val="en-GB"/>
        </w:rPr>
        <w:t xml:space="preserve"> </w:t>
      </w:r>
    </w:p>
    <w:p w:rsidR="006E031B" w:rsidRPr="005410C3" w:rsidRDefault="006E031B" w:rsidP="00985989">
      <w:pPr>
        <w:pStyle w:val="Style10"/>
        <w:shd w:val="clear" w:color="auto" w:fill="auto"/>
        <w:spacing w:line="240" w:lineRule="auto"/>
        <w:ind w:left="426" w:hanging="426"/>
        <w:contextualSpacing/>
        <w:jc w:val="both"/>
        <w:rPr>
          <w:sz w:val="24"/>
          <w:szCs w:val="24"/>
          <w:shd w:val="clear" w:color="auto" w:fill="FFFFFF"/>
          <w:lang w:val="en-US"/>
        </w:rPr>
      </w:pPr>
    </w:p>
    <w:p w:rsidR="006E031B" w:rsidRPr="005410C3" w:rsidRDefault="006E031B" w:rsidP="00985989">
      <w:pPr>
        <w:pStyle w:val="Style10"/>
        <w:numPr>
          <w:ilvl w:val="0"/>
          <w:numId w:val="1"/>
        </w:numPr>
        <w:shd w:val="clear" w:color="auto" w:fill="auto"/>
        <w:spacing w:line="240" w:lineRule="auto"/>
        <w:ind w:left="426" w:hanging="426"/>
        <w:contextualSpacing/>
        <w:jc w:val="both"/>
        <w:rPr>
          <w:sz w:val="24"/>
          <w:szCs w:val="24"/>
          <w:shd w:val="clear" w:color="auto" w:fill="FFFFFF"/>
          <w:lang w:val="en-GB"/>
        </w:rPr>
      </w:pPr>
      <w:r w:rsidRPr="005410C3">
        <w:rPr>
          <w:iCs/>
          <w:sz w:val="24"/>
          <w:szCs w:val="24"/>
          <w:shd w:val="clear" w:color="auto" w:fill="FFFFFF"/>
          <w:lang w:val="en-GB"/>
        </w:rPr>
        <w:t xml:space="preserve">Provisions of Article 8 of the Covenant were used as a basis (for example, ruling of the Supreme Administrative Court of Lithuania of 13 November 2012 in the administrative case </w:t>
      </w:r>
      <w:proofErr w:type="gramStart"/>
      <w:r w:rsidRPr="005410C3">
        <w:rPr>
          <w:sz w:val="24"/>
          <w:szCs w:val="24"/>
          <w:u w:val="single"/>
          <w:shd w:val="clear" w:color="auto" w:fill="FFFFFF"/>
          <w:lang w:val="en-GB"/>
        </w:rPr>
        <w:t>No</w:t>
      </w:r>
      <w:proofErr w:type="gramEnd"/>
      <w:r w:rsidRPr="005410C3">
        <w:rPr>
          <w:sz w:val="24"/>
          <w:szCs w:val="24"/>
          <w:u w:val="single"/>
          <w:shd w:val="clear" w:color="auto" w:fill="FFFFFF"/>
          <w:lang w:val="en-GB"/>
        </w:rPr>
        <w:t>.</w:t>
      </w:r>
      <w:r w:rsidRPr="005410C3">
        <w:rPr>
          <w:rStyle w:val="apple-converted-space"/>
          <w:sz w:val="24"/>
          <w:szCs w:val="24"/>
          <w:u w:val="single"/>
          <w:shd w:val="clear" w:color="auto" w:fill="FFFFFF"/>
          <w:lang w:val="en-GB"/>
        </w:rPr>
        <w:t> </w:t>
      </w:r>
      <w:hyperlink r:id="rId6" w:tgtFrame="_blank" w:tooltip="A-822-2686-12 Dėl sprendimų panaikinimo" w:history="1"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lang w:val="en-GB"/>
          </w:rPr>
          <w:t>A</w:t>
        </w:r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vertAlign w:val="superscript"/>
            <w:lang w:val="en-GB"/>
          </w:rPr>
          <w:t>822</w:t>
        </w:r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lang w:val="en-GB"/>
          </w:rPr>
          <w:t>-2686/2012</w:t>
        </w:r>
      </w:hyperlink>
      <w:r w:rsidRPr="005410C3">
        <w:rPr>
          <w:sz w:val="24"/>
          <w:szCs w:val="24"/>
          <w:lang w:val="en-GB"/>
        </w:rPr>
        <w:t xml:space="preserve">; ruling of the Supreme Administrative Court of Lithuania of 18 October 2012 in the administrative case </w:t>
      </w:r>
      <w:proofErr w:type="gramStart"/>
      <w:r w:rsidRPr="005410C3">
        <w:rPr>
          <w:sz w:val="24"/>
          <w:szCs w:val="24"/>
          <w:u w:val="single"/>
          <w:shd w:val="clear" w:color="auto" w:fill="FFFFFF"/>
          <w:lang w:val="en-GB"/>
        </w:rPr>
        <w:t>No</w:t>
      </w:r>
      <w:proofErr w:type="gramEnd"/>
      <w:r w:rsidRPr="005410C3">
        <w:rPr>
          <w:sz w:val="24"/>
          <w:szCs w:val="24"/>
          <w:u w:val="single"/>
          <w:shd w:val="clear" w:color="auto" w:fill="FFFFFF"/>
          <w:lang w:val="en-GB"/>
        </w:rPr>
        <w:t>.</w:t>
      </w:r>
      <w:r w:rsidRPr="005410C3">
        <w:rPr>
          <w:rStyle w:val="apple-converted-space"/>
          <w:sz w:val="24"/>
          <w:szCs w:val="24"/>
          <w:u w:val="single"/>
          <w:shd w:val="clear" w:color="auto" w:fill="FFFFFF"/>
          <w:lang w:val="en-GB"/>
        </w:rPr>
        <w:t> </w:t>
      </w:r>
      <w:hyperlink r:id="rId7" w:tgtFrame="_blank" w:tooltip="A-146-1956-12 Dėl nutarimo ir sprendimo panaikinimo" w:history="1"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lang w:val="en-GB"/>
          </w:rPr>
          <w:t>A</w:t>
        </w:r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vertAlign w:val="superscript"/>
            <w:lang w:val="en-GB"/>
          </w:rPr>
          <w:t>146</w:t>
        </w:r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lang w:val="en-GB"/>
          </w:rPr>
          <w:t>-1956/2012</w:t>
        </w:r>
      </w:hyperlink>
      <w:r w:rsidRPr="005410C3">
        <w:rPr>
          <w:sz w:val="24"/>
          <w:szCs w:val="24"/>
          <w:shd w:val="clear" w:color="auto" w:fill="FFFFFF"/>
          <w:lang w:val="en-GB"/>
        </w:rPr>
        <w:t>) and Article 14 (for example, ruling of Kaunas County Court of 15 December 2016 in the administrative case</w:t>
      </w:r>
      <w:r w:rsidRPr="005410C3">
        <w:rPr>
          <w:sz w:val="24"/>
          <w:szCs w:val="24"/>
          <w:lang w:val="en-GB"/>
        </w:rPr>
        <w:t xml:space="preserve"> </w:t>
      </w:r>
      <w:r w:rsidRPr="005410C3">
        <w:rPr>
          <w:sz w:val="24"/>
          <w:szCs w:val="24"/>
          <w:u w:val="single"/>
          <w:lang w:val="en-GB"/>
        </w:rPr>
        <w:t>No.</w:t>
      </w:r>
      <w:r w:rsidRPr="005410C3">
        <w:rPr>
          <w:rStyle w:val="apple-converted-space"/>
          <w:sz w:val="24"/>
          <w:szCs w:val="24"/>
          <w:u w:val="single"/>
          <w:lang w:val="en-GB"/>
        </w:rPr>
        <w:t> </w:t>
      </w:r>
      <w:hyperlink r:id="rId8" w:tgtFrame="_blank" w:tooltip="Lietuvos Respublikos administracinių teisės pažeidimų kodeksas" w:history="1">
        <w:r w:rsidRPr="005410C3">
          <w:rPr>
            <w:rStyle w:val="Hyperlink"/>
            <w:iCs/>
            <w:color w:val="auto"/>
            <w:sz w:val="24"/>
            <w:szCs w:val="24"/>
            <w:lang w:val="en-GB"/>
          </w:rPr>
          <w:t>ATP</w:t>
        </w:r>
      </w:hyperlink>
      <w:r w:rsidRPr="005410C3">
        <w:rPr>
          <w:sz w:val="24"/>
          <w:szCs w:val="24"/>
          <w:u w:val="single"/>
          <w:lang w:val="en-GB"/>
        </w:rPr>
        <w:t>-981-383/2016</w:t>
      </w:r>
      <w:r w:rsidRPr="005410C3">
        <w:rPr>
          <w:sz w:val="24"/>
          <w:szCs w:val="24"/>
          <w:lang w:val="en-GB"/>
        </w:rPr>
        <w:t xml:space="preserve">; ruling of Kaunas County Court of 15 November </w:t>
      </w:r>
      <w:r w:rsidRPr="005410C3">
        <w:rPr>
          <w:sz w:val="24"/>
          <w:szCs w:val="24"/>
          <w:shd w:val="clear" w:color="auto" w:fill="FFFFFF"/>
          <w:lang w:val="en-GB"/>
        </w:rPr>
        <w:t xml:space="preserve">2016 in the administrative case </w:t>
      </w:r>
      <w:proofErr w:type="gramStart"/>
      <w:r w:rsidRPr="005410C3">
        <w:rPr>
          <w:sz w:val="24"/>
          <w:szCs w:val="24"/>
          <w:u w:val="single"/>
          <w:shd w:val="clear" w:color="auto" w:fill="FFFFFF"/>
          <w:lang w:val="en-GB"/>
        </w:rPr>
        <w:t>No</w:t>
      </w:r>
      <w:proofErr w:type="gramEnd"/>
      <w:r w:rsidRPr="005410C3">
        <w:rPr>
          <w:sz w:val="24"/>
          <w:szCs w:val="24"/>
          <w:u w:val="single"/>
          <w:shd w:val="clear" w:color="auto" w:fill="FFFFFF"/>
          <w:lang w:val="en-GB"/>
        </w:rPr>
        <w:t>.</w:t>
      </w:r>
      <w:r w:rsidRPr="005410C3">
        <w:rPr>
          <w:rStyle w:val="apple-converted-space"/>
          <w:sz w:val="24"/>
          <w:szCs w:val="24"/>
          <w:u w:val="single"/>
          <w:shd w:val="clear" w:color="auto" w:fill="FFFFFF"/>
          <w:lang w:val="en-GB"/>
        </w:rPr>
        <w:t> </w:t>
      </w:r>
      <w:hyperlink r:id="rId9" w:tgtFrame="_blank" w:tooltip="Lietuvos Respublikos administracinių teisės pažeidimų kodeksas" w:history="1"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lang w:val="en-GB"/>
          </w:rPr>
          <w:t>ATP</w:t>
        </w:r>
      </w:hyperlink>
      <w:r w:rsidRPr="005410C3">
        <w:rPr>
          <w:sz w:val="24"/>
          <w:szCs w:val="24"/>
          <w:u w:val="single"/>
          <w:shd w:val="clear" w:color="auto" w:fill="FFFFFF"/>
          <w:lang w:val="en-GB"/>
        </w:rPr>
        <w:t>-879-319/2016</w:t>
      </w:r>
      <w:r w:rsidRPr="005410C3">
        <w:rPr>
          <w:sz w:val="24"/>
          <w:szCs w:val="24"/>
          <w:shd w:val="clear" w:color="auto" w:fill="FFFFFF"/>
          <w:lang w:val="en-GB"/>
        </w:rPr>
        <w:t xml:space="preserve">; ruling of the Lithuanian Court of Appeal of 4 October 2016 in the civil case </w:t>
      </w:r>
      <w:r w:rsidRPr="005410C3">
        <w:rPr>
          <w:sz w:val="24"/>
          <w:szCs w:val="24"/>
          <w:u w:val="single"/>
          <w:shd w:val="clear" w:color="auto" w:fill="FFFFFF"/>
          <w:lang w:val="en-GB"/>
        </w:rPr>
        <w:t>No.</w:t>
      </w:r>
      <w:r w:rsidRPr="005410C3">
        <w:rPr>
          <w:rStyle w:val="apple-converted-space"/>
          <w:sz w:val="24"/>
          <w:szCs w:val="24"/>
          <w:u w:val="single"/>
          <w:shd w:val="clear" w:color="auto" w:fill="FFFFFF"/>
          <w:lang w:val="en-GB"/>
        </w:rPr>
        <w:t> </w:t>
      </w:r>
      <w:r w:rsidRPr="005410C3">
        <w:rPr>
          <w:sz w:val="24"/>
          <w:szCs w:val="24"/>
          <w:u w:val="single"/>
          <w:shd w:val="clear" w:color="auto" w:fill="FFFFFF"/>
          <w:lang w:val="en-GB"/>
        </w:rPr>
        <w:t>e2A-632-798/2016</w:t>
      </w:r>
      <w:r w:rsidRPr="005410C3">
        <w:rPr>
          <w:sz w:val="24"/>
          <w:szCs w:val="24"/>
          <w:shd w:val="clear" w:color="auto" w:fill="FFFFFF"/>
          <w:lang w:val="en-GB"/>
        </w:rPr>
        <w:t xml:space="preserve">; ruling of the Supreme Court of Lithuania of 28 January 2014 in the criminal case </w:t>
      </w:r>
      <w:r w:rsidRPr="005410C3">
        <w:rPr>
          <w:sz w:val="24"/>
          <w:szCs w:val="24"/>
          <w:u w:val="single"/>
          <w:lang w:val="en-GB"/>
        </w:rPr>
        <w:t>No. </w:t>
      </w:r>
      <w:hyperlink r:id="rId10" w:tgtFrame="_blank" w:tooltip="2K-10/2014 J. L. pagal BK 245 str." w:history="1">
        <w:proofErr w:type="gramStart"/>
        <w:r w:rsidRPr="005410C3">
          <w:rPr>
            <w:iCs/>
            <w:sz w:val="24"/>
            <w:szCs w:val="24"/>
            <w:u w:val="single"/>
            <w:lang w:val="en-GB"/>
          </w:rPr>
          <w:t>2K</w:t>
        </w:r>
        <w:proofErr w:type="gramEnd"/>
        <w:r w:rsidRPr="005410C3">
          <w:rPr>
            <w:iCs/>
            <w:sz w:val="24"/>
            <w:szCs w:val="24"/>
            <w:u w:val="single"/>
            <w:lang w:val="en-GB"/>
          </w:rPr>
          <w:t>-10/2014</w:t>
        </w:r>
      </w:hyperlink>
      <w:r w:rsidRPr="005410C3">
        <w:rPr>
          <w:sz w:val="24"/>
          <w:szCs w:val="24"/>
          <w:lang w:val="en-GB"/>
        </w:rPr>
        <w:t xml:space="preserve">; decision of </w:t>
      </w:r>
      <w:proofErr w:type="spellStart"/>
      <w:r w:rsidRPr="005410C3">
        <w:rPr>
          <w:sz w:val="24"/>
          <w:szCs w:val="24"/>
          <w:shd w:val="clear" w:color="auto" w:fill="FFFFFF"/>
          <w:lang w:val="en-GB"/>
        </w:rPr>
        <w:t>Šiauliai</w:t>
      </w:r>
      <w:proofErr w:type="spellEnd"/>
      <w:r w:rsidRPr="005410C3">
        <w:rPr>
          <w:sz w:val="24"/>
          <w:szCs w:val="24"/>
          <w:shd w:val="clear" w:color="auto" w:fill="FFFFFF"/>
          <w:lang w:val="en-GB"/>
        </w:rPr>
        <w:t xml:space="preserve"> County Court of 22 January 2014 in the case</w:t>
      </w:r>
      <w:r w:rsidRPr="005410C3">
        <w:rPr>
          <w:sz w:val="24"/>
          <w:szCs w:val="24"/>
          <w:lang w:val="en-GB"/>
        </w:rPr>
        <w:t xml:space="preserve"> </w:t>
      </w:r>
      <w:r w:rsidRPr="005410C3">
        <w:rPr>
          <w:sz w:val="24"/>
          <w:szCs w:val="24"/>
          <w:u w:val="single"/>
          <w:lang w:val="en-GB"/>
        </w:rPr>
        <w:t>No.1-4-309/2014</w:t>
      </w:r>
      <w:r w:rsidRPr="005410C3">
        <w:rPr>
          <w:sz w:val="24"/>
          <w:szCs w:val="24"/>
          <w:lang w:val="en-GB"/>
        </w:rPr>
        <w:t>).</w:t>
      </w:r>
    </w:p>
    <w:p w:rsidR="006E031B" w:rsidRPr="005410C3" w:rsidRDefault="006E031B" w:rsidP="00985989">
      <w:pPr>
        <w:pStyle w:val="Style10"/>
        <w:shd w:val="clear" w:color="auto" w:fill="auto"/>
        <w:spacing w:line="240" w:lineRule="auto"/>
        <w:ind w:left="426" w:hanging="426"/>
        <w:contextualSpacing/>
        <w:jc w:val="both"/>
        <w:rPr>
          <w:sz w:val="24"/>
          <w:szCs w:val="24"/>
          <w:shd w:val="clear" w:color="auto" w:fill="FFFFFF"/>
          <w:lang w:val="en-GB"/>
        </w:rPr>
      </w:pPr>
    </w:p>
    <w:p w:rsidR="006E031B" w:rsidRPr="005410C3" w:rsidRDefault="006E031B" w:rsidP="00985989">
      <w:pPr>
        <w:pStyle w:val="Style10"/>
        <w:numPr>
          <w:ilvl w:val="0"/>
          <w:numId w:val="1"/>
        </w:numPr>
        <w:shd w:val="clear" w:color="auto" w:fill="auto"/>
        <w:spacing w:line="240" w:lineRule="auto"/>
        <w:ind w:left="426" w:hanging="426"/>
        <w:contextualSpacing/>
        <w:jc w:val="both"/>
        <w:rPr>
          <w:rStyle w:val="Hyperlink"/>
          <w:color w:val="auto"/>
          <w:sz w:val="24"/>
          <w:szCs w:val="24"/>
          <w:u w:val="none"/>
          <w:shd w:val="clear" w:color="auto" w:fill="FFFFFF"/>
          <w:lang w:val="en-GB"/>
        </w:rPr>
      </w:pPr>
      <w:r w:rsidRPr="005410C3">
        <w:rPr>
          <w:sz w:val="24"/>
          <w:szCs w:val="24"/>
          <w:lang w:val="en-GB"/>
        </w:rPr>
        <w:t xml:space="preserve">In the hearing of cases, the Supreme Administrative Court of Lithuania followed Article 21 of the Covenant (for example, ruling of 12 December </w:t>
      </w:r>
      <w:r w:rsidRPr="005410C3">
        <w:rPr>
          <w:sz w:val="24"/>
          <w:szCs w:val="24"/>
          <w:shd w:val="clear" w:color="auto" w:fill="FFFFFF"/>
          <w:lang w:val="en-GB"/>
        </w:rPr>
        <w:t xml:space="preserve">2013 in the administrative case </w:t>
      </w:r>
      <w:proofErr w:type="gramStart"/>
      <w:r w:rsidRPr="005410C3">
        <w:rPr>
          <w:sz w:val="24"/>
          <w:szCs w:val="24"/>
          <w:u w:val="single"/>
          <w:shd w:val="clear" w:color="auto" w:fill="FFFFFF"/>
          <w:lang w:val="en-GB"/>
        </w:rPr>
        <w:t>No</w:t>
      </w:r>
      <w:proofErr w:type="gramEnd"/>
      <w:r w:rsidRPr="005410C3">
        <w:rPr>
          <w:sz w:val="24"/>
          <w:szCs w:val="24"/>
          <w:u w:val="single"/>
          <w:shd w:val="clear" w:color="auto" w:fill="FFFFFF"/>
          <w:lang w:val="en-GB"/>
        </w:rPr>
        <w:t>.</w:t>
      </w:r>
      <w:r w:rsidRPr="005410C3">
        <w:rPr>
          <w:rStyle w:val="apple-converted-space"/>
          <w:sz w:val="24"/>
          <w:szCs w:val="24"/>
          <w:u w:val="single"/>
          <w:shd w:val="clear" w:color="auto" w:fill="FFFFFF"/>
          <w:lang w:val="en-GB"/>
        </w:rPr>
        <w:t> </w:t>
      </w:r>
      <w:hyperlink r:id="rId11" w:tgtFrame="_blank" w:tooltip="A-261-1701-13 Dėl sprendimo panaikinimo" w:history="1"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lang w:val="en-GB"/>
          </w:rPr>
          <w:t>A</w:t>
        </w:r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vertAlign w:val="superscript"/>
            <w:lang w:val="en-GB"/>
          </w:rPr>
          <w:t>261</w:t>
        </w:r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lang w:val="en-GB"/>
          </w:rPr>
          <w:t>-1701/2013</w:t>
        </w:r>
      </w:hyperlink>
      <w:r w:rsidRPr="005410C3">
        <w:rPr>
          <w:sz w:val="24"/>
          <w:szCs w:val="24"/>
          <w:lang w:val="en-GB"/>
        </w:rPr>
        <w:t xml:space="preserve">; ruling of 23 July </w:t>
      </w:r>
      <w:r w:rsidRPr="005410C3">
        <w:rPr>
          <w:sz w:val="24"/>
          <w:szCs w:val="24"/>
          <w:shd w:val="clear" w:color="auto" w:fill="FFFFFF"/>
          <w:lang w:val="en-GB"/>
        </w:rPr>
        <w:t xml:space="preserve">2013 in the administrative case </w:t>
      </w:r>
      <w:proofErr w:type="gramStart"/>
      <w:r w:rsidRPr="005410C3">
        <w:rPr>
          <w:sz w:val="24"/>
          <w:szCs w:val="24"/>
          <w:u w:val="single"/>
          <w:shd w:val="clear" w:color="auto" w:fill="FFFFFF"/>
          <w:lang w:val="en-GB"/>
        </w:rPr>
        <w:t>No</w:t>
      </w:r>
      <w:proofErr w:type="gramEnd"/>
      <w:r w:rsidRPr="005410C3">
        <w:rPr>
          <w:sz w:val="24"/>
          <w:szCs w:val="24"/>
          <w:u w:val="single"/>
          <w:shd w:val="clear" w:color="auto" w:fill="FFFFFF"/>
          <w:lang w:val="en-GB"/>
        </w:rPr>
        <w:t xml:space="preserve">. </w:t>
      </w:r>
      <w:hyperlink r:id="rId12" w:tgtFrame="_blank" w:tooltip="A-858-2475-13 Dėl įsakymo panaikinimo ir įpareigojimo atlikti veiksmus" w:history="1"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lang w:val="en-GB"/>
          </w:rPr>
          <w:t>A</w:t>
        </w:r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vertAlign w:val="superscript"/>
            <w:lang w:val="en-GB"/>
          </w:rPr>
          <w:t>858</w:t>
        </w:r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lang w:val="en-GB"/>
          </w:rPr>
          <w:t>-2475/2013</w:t>
        </w:r>
      </w:hyperlink>
      <w:r w:rsidRPr="005410C3">
        <w:rPr>
          <w:sz w:val="24"/>
          <w:szCs w:val="24"/>
          <w:lang w:val="en-GB"/>
        </w:rPr>
        <w:t xml:space="preserve">) and Article 22 (for example, ruling of 8 December </w:t>
      </w:r>
      <w:r w:rsidRPr="005410C3">
        <w:rPr>
          <w:sz w:val="24"/>
          <w:szCs w:val="24"/>
          <w:shd w:val="clear" w:color="auto" w:fill="FFFFFF"/>
          <w:lang w:val="en-GB"/>
        </w:rPr>
        <w:t xml:space="preserve">2014 in the administrative case </w:t>
      </w:r>
      <w:r w:rsidRPr="005410C3">
        <w:rPr>
          <w:sz w:val="24"/>
          <w:szCs w:val="24"/>
          <w:u w:val="single"/>
          <w:shd w:val="clear" w:color="auto" w:fill="FFFFFF"/>
          <w:lang w:val="en-GB"/>
        </w:rPr>
        <w:t>No.</w:t>
      </w:r>
      <w:r w:rsidRPr="005410C3">
        <w:rPr>
          <w:rStyle w:val="apple-converted-space"/>
          <w:sz w:val="24"/>
          <w:szCs w:val="24"/>
          <w:u w:val="single"/>
          <w:shd w:val="clear" w:color="auto" w:fill="FFFFFF"/>
          <w:lang w:val="en-GB"/>
        </w:rPr>
        <w:t> </w:t>
      </w:r>
      <w:hyperlink r:id="rId13" w:tgtFrame="_blank" w:tooltip="A-146-2392-14 Dėl atsisakymo duoti sutikimą skirti tarnybinę nuobaudą panaikinimo" w:history="1"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lang w:val="en-GB"/>
          </w:rPr>
          <w:t>A</w:t>
        </w:r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vertAlign w:val="superscript"/>
            <w:lang w:val="en-GB"/>
          </w:rPr>
          <w:t>146</w:t>
        </w:r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lang w:val="en-GB"/>
          </w:rPr>
          <w:t>-2392/2014</w:t>
        </w:r>
      </w:hyperlink>
      <w:r w:rsidRPr="005410C3">
        <w:rPr>
          <w:rStyle w:val="Hyperlink"/>
          <w:iCs/>
          <w:color w:val="auto"/>
          <w:sz w:val="24"/>
          <w:szCs w:val="24"/>
          <w:u w:val="none"/>
          <w:shd w:val="clear" w:color="auto" w:fill="FFFFFF"/>
          <w:lang w:val="en-GB"/>
        </w:rPr>
        <w:t xml:space="preserve">; ruling of 29 June </w:t>
      </w:r>
      <w:r w:rsidRPr="005410C3">
        <w:rPr>
          <w:sz w:val="24"/>
          <w:szCs w:val="24"/>
          <w:shd w:val="clear" w:color="auto" w:fill="FFFFFF"/>
          <w:lang w:val="en-GB"/>
        </w:rPr>
        <w:t xml:space="preserve">2012 in the administrative case </w:t>
      </w:r>
      <w:proofErr w:type="gramStart"/>
      <w:r w:rsidRPr="005410C3">
        <w:rPr>
          <w:sz w:val="24"/>
          <w:szCs w:val="24"/>
          <w:shd w:val="clear" w:color="auto" w:fill="FFFFFF"/>
          <w:lang w:val="en-GB"/>
        </w:rPr>
        <w:t>No</w:t>
      </w:r>
      <w:proofErr w:type="gramEnd"/>
      <w:r w:rsidRPr="005410C3">
        <w:rPr>
          <w:sz w:val="24"/>
          <w:szCs w:val="24"/>
          <w:shd w:val="clear" w:color="auto" w:fill="FFFFFF"/>
          <w:lang w:val="en-GB"/>
        </w:rPr>
        <w:t>.</w:t>
      </w:r>
      <w:r w:rsidRPr="005410C3">
        <w:rPr>
          <w:rStyle w:val="apple-converted-space"/>
          <w:sz w:val="24"/>
          <w:szCs w:val="24"/>
          <w:shd w:val="clear" w:color="auto" w:fill="FFFFFF"/>
          <w:lang w:val="en-GB"/>
        </w:rPr>
        <w:t> </w:t>
      </w:r>
      <w:hyperlink r:id="rId14" w:tgtFrame="_blank" w:tooltip="A-520-2412-12 Dėl įsakymo panaikinimo, grąžinimo į vidaus tarnybą, vidutinio darbo užmokesčio už priverstinės pravaikštos laiką priteisimo" w:history="1"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lang w:val="en-GB"/>
          </w:rPr>
          <w:t>A</w:t>
        </w:r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vertAlign w:val="superscript"/>
            <w:lang w:val="en-GB"/>
          </w:rPr>
          <w:t>520</w:t>
        </w:r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lang w:val="en-GB"/>
          </w:rPr>
          <w:t>-2412/2012</w:t>
        </w:r>
      </w:hyperlink>
      <w:r w:rsidRPr="005410C3">
        <w:rPr>
          <w:rStyle w:val="Hyperlink"/>
          <w:iCs/>
          <w:color w:val="auto"/>
          <w:sz w:val="24"/>
          <w:szCs w:val="24"/>
          <w:shd w:val="clear" w:color="auto" w:fill="FFFFFF"/>
          <w:lang w:val="en-GB"/>
        </w:rPr>
        <w:t>)</w:t>
      </w:r>
      <w:r w:rsidRPr="005410C3">
        <w:rPr>
          <w:rStyle w:val="Hyperlink"/>
          <w:i/>
          <w:iCs/>
          <w:color w:val="auto"/>
          <w:sz w:val="24"/>
          <w:szCs w:val="24"/>
          <w:u w:val="none"/>
          <w:shd w:val="clear" w:color="auto" w:fill="FFFFFF"/>
          <w:lang w:val="en-GB"/>
        </w:rPr>
        <w:t>.</w:t>
      </w:r>
    </w:p>
    <w:p w:rsidR="006E031B" w:rsidRPr="005410C3" w:rsidRDefault="006E031B" w:rsidP="00985989">
      <w:pPr>
        <w:pStyle w:val="Style10"/>
        <w:shd w:val="clear" w:color="auto" w:fill="auto"/>
        <w:spacing w:line="240" w:lineRule="auto"/>
        <w:ind w:left="426" w:hanging="426"/>
        <w:contextualSpacing/>
        <w:jc w:val="both"/>
        <w:rPr>
          <w:sz w:val="24"/>
          <w:szCs w:val="24"/>
          <w:shd w:val="clear" w:color="auto" w:fill="FFFFFF"/>
          <w:lang w:val="en-GB"/>
        </w:rPr>
      </w:pPr>
    </w:p>
    <w:p w:rsidR="006E031B" w:rsidRPr="00F07117" w:rsidRDefault="006E031B" w:rsidP="00985989">
      <w:pPr>
        <w:pStyle w:val="Style10"/>
        <w:numPr>
          <w:ilvl w:val="0"/>
          <w:numId w:val="1"/>
        </w:numPr>
        <w:shd w:val="clear" w:color="auto" w:fill="auto"/>
        <w:spacing w:line="240" w:lineRule="auto"/>
        <w:ind w:left="426" w:hanging="426"/>
        <w:contextualSpacing/>
        <w:jc w:val="both"/>
        <w:rPr>
          <w:sz w:val="24"/>
          <w:szCs w:val="24"/>
          <w:shd w:val="clear" w:color="auto" w:fill="FFFFFF"/>
          <w:lang w:val="en-GB"/>
        </w:rPr>
      </w:pPr>
      <w:r w:rsidRPr="005410C3">
        <w:rPr>
          <w:sz w:val="24"/>
          <w:szCs w:val="24"/>
          <w:lang w:val="en-GB"/>
        </w:rPr>
        <w:t xml:space="preserve">Courts also relied on provisions of Article 20 of the Covenant (for example, ruling of the Supreme Court of Lithuania of 14 October 2014 </w:t>
      </w:r>
      <w:r w:rsidRPr="005410C3">
        <w:rPr>
          <w:sz w:val="24"/>
          <w:szCs w:val="24"/>
          <w:shd w:val="clear" w:color="auto" w:fill="FFFFFF"/>
          <w:lang w:val="en-GB"/>
        </w:rPr>
        <w:t xml:space="preserve">in the criminal case </w:t>
      </w:r>
      <w:proofErr w:type="gramStart"/>
      <w:r w:rsidRPr="005410C3">
        <w:rPr>
          <w:sz w:val="24"/>
          <w:szCs w:val="24"/>
          <w:u w:val="single"/>
          <w:shd w:val="clear" w:color="auto" w:fill="FFFFFF"/>
          <w:lang w:val="en-GB"/>
        </w:rPr>
        <w:t>No</w:t>
      </w:r>
      <w:proofErr w:type="gramEnd"/>
      <w:r w:rsidRPr="005410C3">
        <w:rPr>
          <w:sz w:val="24"/>
          <w:szCs w:val="24"/>
          <w:u w:val="single"/>
          <w:shd w:val="clear" w:color="auto" w:fill="FFFFFF"/>
          <w:lang w:val="en-GB"/>
        </w:rPr>
        <w:t>.</w:t>
      </w:r>
      <w:r w:rsidRPr="005410C3">
        <w:rPr>
          <w:rStyle w:val="apple-converted-space"/>
          <w:sz w:val="24"/>
          <w:szCs w:val="24"/>
          <w:u w:val="single"/>
          <w:shd w:val="clear" w:color="auto" w:fill="FFFFFF"/>
          <w:lang w:val="en-GB"/>
        </w:rPr>
        <w:t> </w:t>
      </w:r>
      <w:hyperlink r:id="rId15" w:tgtFrame="_blank" w:tooltip="2K-359/2014 G. S. pagal BK 170 str. 3 d., 284 str. 1 d., 170 str. 3 d." w:history="1">
        <w:proofErr w:type="gramStart"/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lang w:val="en-GB"/>
          </w:rPr>
          <w:t>2K</w:t>
        </w:r>
        <w:proofErr w:type="gramEnd"/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lang w:val="en-GB"/>
          </w:rPr>
          <w:t>-359/2014</w:t>
        </w:r>
      </w:hyperlink>
      <w:r w:rsidRPr="005410C3">
        <w:rPr>
          <w:sz w:val="24"/>
          <w:szCs w:val="24"/>
          <w:lang w:val="en-GB"/>
        </w:rPr>
        <w:t xml:space="preserve">), Article 7 (for example, decision of </w:t>
      </w:r>
      <w:proofErr w:type="spellStart"/>
      <w:r w:rsidRPr="005410C3">
        <w:rPr>
          <w:sz w:val="24"/>
          <w:szCs w:val="24"/>
          <w:shd w:val="clear" w:color="auto" w:fill="FFFFFF"/>
          <w:lang w:val="en-GB"/>
        </w:rPr>
        <w:t>Šiauliai</w:t>
      </w:r>
      <w:proofErr w:type="spellEnd"/>
      <w:r w:rsidRPr="005410C3">
        <w:rPr>
          <w:sz w:val="24"/>
          <w:szCs w:val="24"/>
          <w:shd w:val="clear" w:color="auto" w:fill="FFFFFF"/>
          <w:lang w:val="en-GB"/>
        </w:rPr>
        <w:t xml:space="preserve"> County Administrative Court of 28 May 2015 in the administrative case </w:t>
      </w:r>
      <w:r w:rsidRPr="005410C3">
        <w:rPr>
          <w:sz w:val="24"/>
          <w:szCs w:val="24"/>
          <w:u w:val="single"/>
          <w:shd w:val="clear" w:color="auto" w:fill="FFFFFF"/>
          <w:lang w:val="en-GB"/>
        </w:rPr>
        <w:t>No. I-75-289/2015</w:t>
      </w:r>
      <w:r w:rsidRPr="005410C3">
        <w:rPr>
          <w:sz w:val="24"/>
          <w:szCs w:val="24"/>
          <w:shd w:val="clear" w:color="auto" w:fill="FFFFFF"/>
          <w:lang w:val="en-GB"/>
        </w:rPr>
        <w:t xml:space="preserve">) and Article 25 (ruling </w:t>
      </w:r>
      <w:r w:rsidRPr="005410C3">
        <w:rPr>
          <w:sz w:val="24"/>
          <w:szCs w:val="24"/>
          <w:u w:val="single"/>
          <w:shd w:val="clear" w:color="auto" w:fill="FFFFFF"/>
          <w:lang w:val="en-GB"/>
        </w:rPr>
        <w:t>No.</w:t>
      </w:r>
      <w:r w:rsidRPr="005410C3">
        <w:rPr>
          <w:rStyle w:val="apple-converted-space"/>
          <w:sz w:val="24"/>
          <w:szCs w:val="24"/>
          <w:u w:val="single"/>
          <w:shd w:val="clear" w:color="auto" w:fill="FFFFFF"/>
          <w:lang w:val="en-GB"/>
        </w:rPr>
        <w:t> </w:t>
      </w:r>
      <w:hyperlink r:id="rId16" w:tgtFrame="_blank" w:tooltip="Lietuvos Respublikos Konstitucija" w:history="1"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lang w:val="en-GB"/>
          </w:rPr>
          <w:t>KT29-N18/</w:t>
        </w:r>
      </w:hyperlink>
      <w:r w:rsidRPr="005410C3">
        <w:rPr>
          <w:sz w:val="24"/>
          <w:szCs w:val="24"/>
          <w:shd w:val="clear" w:color="auto" w:fill="FFFFFF"/>
          <w:lang w:val="en-GB"/>
        </w:rPr>
        <w:t xml:space="preserve">2015 of the Constitutional Court of the Republic of Lithuania of 4 November 2015; ruling </w:t>
      </w:r>
      <w:proofErr w:type="gramStart"/>
      <w:r w:rsidRPr="005410C3">
        <w:rPr>
          <w:sz w:val="24"/>
          <w:szCs w:val="24"/>
          <w:u w:val="single"/>
          <w:shd w:val="clear" w:color="auto" w:fill="FFFFFF"/>
          <w:lang w:val="en-GB"/>
        </w:rPr>
        <w:t>No</w:t>
      </w:r>
      <w:proofErr w:type="gramEnd"/>
      <w:r w:rsidRPr="005410C3">
        <w:rPr>
          <w:sz w:val="24"/>
          <w:szCs w:val="24"/>
          <w:u w:val="single"/>
          <w:shd w:val="clear" w:color="auto" w:fill="FFFFFF"/>
          <w:lang w:val="en-GB"/>
        </w:rPr>
        <w:t>.</w:t>
      </w:r>
      <w:r w:rsidRPr="005410C3">
        <w:rPr>
          <w:rStyle w:val="apple-converted-space"/>
          <w:sz w:val="24"/>
          <w:szCs w:val="24"/>
          <w:u w:val="single"/>
          <w:shd w:val="clear" w:color="auto" w:fill="FFFFFF"/>
          <w:lang w:val="en-GB"/>
        </w:rPr>
        <w:t> </w:t>
      </w:r>
      <w:hyperlink r:id="rId17" w:tgtFrame="_blank" w:tooltip="Lietuvos Respublikos Konstitucija" w:history="1">
        <w:r w:rsidRPr="005410C3">
          <w:rPr>
            <w:rStyle w:val="Hyperlink"/>
            <w:iCs/>
            <w:color w:val="auto"/>
            <w:sz w:val="24"/>
            <w:szCs w:val="24"/>
            <w:shd w:val="clear" w:color="auto" w:fill="FFFFFF"/>
            <w:lang w:val="en-GB"/>
          </w:rPr>
          <w:t>KT27-N16/</w:t>
        </w:r>
      </w:hyperlink>
      <w:r w:rsidRPr="005410C3">
        <w:rPr>
          <w:sz w:val="24"/>
          <w:szCs w:val="24"/>
          <w:shd w:val="clear" w:color="auto" w:fill="FFFFFF"/>
          <w:lang w:val="en-GB"/>
        </w:rPr>
        <w:t>2015 of the Constitutional Court of the Republic of Lithuania of 20 October 2015).</w:t>
      </w:r>
      <w:bookmarkStart w:id="0" w:name="_GoBack"/>
      <w:bookmarkEnd w:id="0"/>
    </w:p>
    <w:sectPr w:rsidR="006E031B" w:rsidRPr="00F0711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02868"/>
    <w:multiLevelType w:val="hybridMultilevel"/>
    <w:tmpl w:val="3E603B50"/>
    <w:lvl w:ilvl="0" w:tplc="2E20D4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07E20"/>
    <w:multiLevelType w:val="hybridMultilevel"/>
    <w:tmpl w:val="C046ED7A"/>
    <w:lvl w:ilvl="0" w:tplc="656E8B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C463F"/>
    <w:multiLevelType w:val="hybridMultilevel"/>
    <w:tmpl w:val="E5A6906E"/>
    <w:lvl w:ilvl="0" w:tplc="2E20D4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B5898"/>
    <w:multiLevelType w:val="hybridMultilevel"/>
    <w:tmpl w:val="20245E9C"/>
    <w:lvl w:ilvl="0" w:tplc="656E8B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1B"/>
    <w:rsid w:val="001704D8"/>
    <w:rsid w:val="002F762D"/>
    <w:rsid w:val="00322D8C"/>
    <w:rsid w:val="00326499"/>
    <w:rsid w:val="003431ED"/>
    <w:rsid w:val="003F73D6"/>
    <w:rsid w:val="004958F6"/>
    <w:rsid w:val="00571498"/>
    <w:rsid w:val="006E031B"/>
    <w:rsid w:val="00775804"/>
    <w:rsid w:val="00915F76"/>
    <w:rsid w:val="00985989"/>
    <w:rsid w:val="00A431A3"/>
    <w:rsid w:val="00BD0505"/>
    <w:rsid w:val="00C0123D"/>
    <w:rsid w:val="00CA77A5"/>
    <w:rsid w:val="00CC36F5"/>
    <w:rsid w:val="00D2626C"/>
    <w:rsid w:val="00DB2C53"/>
    <w:rsid w:val="00E846A7"/>
    <w:rsid w:val="00F0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2DB7"/>
  <w15:chartTrackingRefBased/>
  <w15:docId w15:val="{056BD312-F5B6-4414-A89D-D5A6EE44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dr w:val="nil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0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3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Calibri" w:hAnsi="Calibri"/>
      <w:sz w:val="22"/>
      <w:szCs w:val="22"/>
      <w:bdr w:val="none" w:sz="0" w:space="0" w:color="auto"/>
    </w:rPr>
  </w:style>
  <w:style w:type="character" w:customStyle="1" w:styleId="CharStyle11">
    <w:name w:val="Char Style 11"/>
    <w:basedOn w:val="DefaultParagraphFont"/>
    <w:link w:val="Style10"/>
    <w:rsid w:val="006E031B"/>
    <w:rPr>
      <w:shd w:val="clear" w:color="auto" w:fill="FFFFFF"/>
    </w:rPr>
  </w:style>
  <w:style w:type="paragraph" w:customStyle="1" w:styleId="Style10">
    <w:name w:val="Style 10"/>
    <w:basedOn w:val="Normal"/>
    <w:link w:val="CharStyle11"/>
    <w:rsid w:val="006E03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22" w:lineRule="exact"/>
      <w:ind w:hanging="180"/>
    </w:pPr>
  </w:style>
  <w:style w:type="character" w:styleId="Hyperlink">
    <w:name w:val="Hyperlink"/>
    <w:basedOn w:val="DefaultParagraphFont"/>
    <w:uiPriority w:val="99"/>
    <w:unhideWhenUsed/>
    <w:rsid w:val="006E031B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6E031B"/>
  </w:style>
  <w:style w:type="paragraph" w:styleId="Title">
    <w:name w:val="Title"/>
    <w:basedOn w:val="Normal"/>
    <w:next w:val="Normal"/>
    <w:link w:val="TitleChar"/>
    <w:uiPriority w:val="10"/>
    <w:qFormat/>
    <w:rsid w:val="003F73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3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lex.lt/ta/103787" TargetMode="External"/><Relationship Id="rId13" Type="http://schemas.openxmlformats.org/officeDocument/2006/relationships/hyperlink" Target="http://www.infolex.lt/tp/93995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www.infolex.lt/tp/479001" TargetMode="External"/><Relationship Id="rId12" Type="http://schemas.openxmlformats.org/officeDocument/2006/relationships/hyperlink" Target="http://www.infolex.lt/tp/705521" TargetMode="External"/><Relationship Id="rId17" Type="http://schemas.openxmlformats.org/officeDocument/2006/relationships/hyperlink" Target="http://www.infolex.lt/ta/727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folex.lt/ta/72720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www.infolex.lt/tp/481754" TargetMode="External"/><Relationship Id="rId11" Type="http://schemas.openxmlformats.org/officeDocument/2006/relationships/hyperlink" Target="http://www.infolex.lt/tp/777411" TargetMode="External"/><Relationship Id="rId5" Type="http://schemas.openxmlformats.org/officeDocument/2006/relationships/hyperlink" Target="http://www.infolex.lt/tp/876671" TargetMode="External"/><Relationship Id="rId15" Type="http://schemas.openxmlformats.org/officeDocument/2006/relationships/hyperlink" Target="http://www.infolex.lt/tp/874557" TargetMode="External"/><Relationship Id="rId10" Type="http://schemas.openxmlformats.org/officeDocument/2006/relationships/hyperlink" Target="http://www.infolex.lt/tp/80056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nfolex.lt/ta/103787" TargetMode="External"/><Relationship Id="rId14" Type="http://schemas.openxmlformats.org/officeDocument/2006/relationships/hyperlink" Target="http://www.infolex.lt/tp/386569" TargetMode="External"/><Relationship Id="rId22" Type="http://schemas.openxmlformats.org/officeDocument/2006/relationships/customXml" Target="../customXml/item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DC6E63E0E4C40BB58A92BBDBC479C" ma:contentTypeVersion="0" ma:contentTypeDescription="Create a new document." ma:contentTypeScope="" ma:versionID="b0a7ec33df2057392694119ebc3b6e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C7F24-60A2-4874-9407-5632365DCF1B}"/>
</file>

<file path=customXml/itemProps2.xml><?xml version="1.0" encoding="utf-8"?>
<ds:datastoreItem xmlns:ds="http://schemas.openxmlformats.org/officeDocument/2006/customXml" ds:itemID="{B7DC6396-1669-430A-ACA2-2C1DF7CBC291}"/>
</file>

<file path=customXml/itemProps3.xml><?xml version="1.0" encoding="utf-8"?>
<ds:datastoreItem xmlns:ds="http://schemas.openxmlformats.org/officeDocument/2006/customXml" ds:itemID="{67E0BAAF-313E-499B-9F7C-7D049631A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836</Words>
  <Characters>4599</Characters>
  <Application>Microsoft Office Word</Application>
  <DocSecurity>0</DocSecurity>
  <Lines>76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Matas Stankevičius</dc:creator>
  <cp:keywords/>
  <dc:description/>
  <cp:lastModifiedBy>Matas Stankevičius</cp:lastModifiedBy>
  <cp:revision>9</cp:revision>
  <dcterms:created xsi:type="dcterms:W3CDTF">2017-11-10T11:36:00Z</dcterms:created>
  <dcterms:modified xsi:type="dcterms:W3CDTF">2017-11-14T09:36:00Z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0x010100D94DC6E63E0E4C40BB58A92BBDBC479C</vt:lpwstr>
  </property>
</Properties>
</file>