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BA" w:rsidRDefault="0006206C" w:rsidP="004B2FB2">
      <w:pPr>
        <w:jc w:val="center"/>
        <w:rPr>
          <w:rFonts w:ascii="Times New Roman" w:hAnsi="Times New Roman" w:cs="Times New Roman"/>
          <w:b/>
          <w:lang w:val="fr-FR"/>
        </w:rPr>
      </w:pPr>
      <w:r>
        <w:rPr>
          <w:rFonts w:ascii="Times New Roman" w:hAnsi="Times New Roman" w:cs="Times New Roman"/>
          <w:b/>
          <w:lang w:val="fr-FR"/>
        </w:rPr>
        <w:t>ANNEXE 5</w:t>
      </w:r>
      <w:bookmarkStart w:id="0" w:name="_GoBack"/>
      <w:bookmarkEnd w:id="0"/>
      <w:r w:rsidR="00A82382">
        <w:rPr>
          <w:rFonts w:ascii="Times New Roman" w:hAnsi="Times New Roman" w:cs="Times New Roman"/>
          <w:b/>
          <w:lang w:val="fr-FR"/>
        </w:rPr>
        <w:t xml:space="preserve"> : </w:t>
      </w:r>
      <w:r w:rsidR="00A82382" w:rsidRPr="00A82382">
        <w:rPr>
          <w:rFonts w:ascii="Times New Roman" w:hAnsi="Times New Roman" w:cs="Times New Roman"/>
          <w:b/>
          <w:lang w:val="fr-FR"/>
        </w:rPr>
        <w:t>STATISTIQUES DE POURSUITES JUDICIAIRES POUR DES FA</w:t>
      </w:r>
      <w:r w:rsidR="00A82382">
        <w:rPr>
          <w:rFonts w:ascii="Times New Roman" w:hAnsi="Times New Roman" w:cs="Times New Roman"/>
          <w:b/>
          <w:lang w:val="fr-FR"/>
        </w:rPr>
        <w:t>ITS DE RACISME ET DE XENOPHOBIE</w:t>
      </w:r>
    </w:p>
    <w:p w:rsidR="00A82382" w:rsidRPr="00A82382" w:rsidRDefault="00A82382" w:rsidP="004B2FB2">
      <w:pPr>
        <w:jc w:val="center"/>
        <w:rPr>
          <w:rFonts w:ascii="Times New Roman" w:hAnsi="Times New Roman" w:cs="Times New Roman"/>
          <w:b/>
          <w:lang w:val="fr-FR"/>
        </w:rPr>
      </w:pPr>
    </w:p>
    <w:p w:rsidR="004B2FB2" w:rsidRPr="00DD5F1C" w:rsidRDefault="004B2FB2" w:rsidP="004B2FB2">
      <w:pPr>
        <w:keepNext/>
        <w:adjustRightInd w:val="0"/>
        <w:ind w:left="1620" w:hanging="1620"/>
        <w:jc w:val="both"/>
        <w:rPr>
          <w:rFonts w:ascii="Arial" w:hAnsi="Arial" w:cs="Arial"/>
          <w:b/>
          <w:bCs/>
          <w:color w:val="7483AE"/>
          <w:sz w:val="20"/>
          <w:szCs w:val="20"/>
          <w:lang w:val="fr-BE" w:eastAsia="fr-FR"/>
        </w:rPr>
      </w:pPr>
      <w:r w:rsidRPr="00DD5F1C">
        <w:rPr>
          <w:rFonts w:ascii="Arial" w:hAnsi="Arial" w:cs="Arial"/>
          <w:b/>
          <w:bCs/>
          <w:color w:val="7483AE"/>
          <w:sz w:val="20"/>
          <w:szCs w:val="20"/>
          <w:lang w:val="fr-BE" w:eastAsia="fr-FR"/>
        </w:rPr>
        <w:t>Tableau 1 :</w:t>
      </w:r>
      <w:r w:rsidRPr="00DD5F1C">
        <w:rPr>
          <w:rFonts w:ascii="Arial" w:hAnsi="Arial" w:cs="Arial"/>
          <w:b/>
          <w:bCs/>
          <w:color w:val="7483AE"/>
          <w:sz w:val="20"/>
          <w:szCs w:val="20"/>
          <w:lang w:val="fr-BE" w:eastAsia="fr-FR"/>
        </w:rPr>
        <w:tab/>
        <w:t>Nombre d’affaires de racisme ou de délit de haine raciale entrées dans les parquets correctionnels de Belgique, entre le 1</w:t>
      </w:r>
      <w:r w:rsidRPr="00DD5F1C">
        <w:rPr>
          <w:rFonts w:ascii="Arial" w:hAnsi="Arial" w:cs="Arial"/>
          <w:b/>
          <w:bCs/>
          <w:color w:val="7483AE"/>
          <w:sz w:val="20"/>
          <w:szCs w:val="20"/>
          <w:vertAlign w:val="superscript"/>
          <w:lang w:val="fr-BE" w:eastAsia="fr-FR"/>
        </w:rPr>
        <w:t>er</w:t>
      </w:r>
      <w:r w:rsidRPr="00DD5F1C">
        <w:rPr>
          <w:rFonts w:ascii="Arial" w:hAnsi="Arial" w:cs="Arial"/>
          <w:b/>
          <w:bCs/>
          <w:color w:val="7483AE"/>
          <w:sz w:val="20"/>
          <w:szCs w:val="20"/>
          <w:lang w:val="fr-BE" w:eastAsia="fr-FR"/>
        </w:rPr>
        <w:t xml:space="preserve"> janvier 2010 et le 31 décembre 2016.</w:t>
      </w:r>
    </w:p>
    <w:p w:rsidR="004B2FB2" w:rsidRPr="00DD5F1C" w:rsidRDefault="004B2FB2" w:rsidP="004B2FB2">
      <w:pPr>
        <w:keepNext/>
        <w:adjustRightInd w:val="0"/>
        <w:ind w:left="1620"/>
        <w:jc w:val="both"/>
        <w:rPr>
          <w:rFonts w:ascii="Arial" w:hAnsi="Arial" w:cs="Arial"/>
          <w:b/>
          <w:bCs/>
          <w:color w:val="7483AE"/>
          <w:sz w:val="20"/>
          <w:szCs w:val="20"/>
          <w:lang w:val="fr-BE" w:eastAsia="fr-FR"/>
        </w:rPr>
      </w:pPr>
      <w:r w:rsidRPr="00DD5F1C">
        <w:rPr>
          <w:rFonts w:ascii="Arial" w:hAnsi="Arial" w:cs="Arial"/>
          <w:b/>
          <w:bCs/>
          <w:color w:val="7483AE"/>
          <w:sz w:val="20"/>
          <w:szCs w:val="20"/>
          <w:lang w:val="fr-BE" w:eastAsia="fr-FR"/>
        </w:rPr>
        <w:t>Données présentées par année d’entrée en fonction du code de prévention/contexte enregistré (n et % en colonne).</w:t>
      </w:r>
    </w:p>
    <w:p w:rsidR="004B2FB2" w:rsidRPr="00DD5F1C" w:rsidRDefault="004B2FB2" w:rsidP="004B2FB2">
      <w:pPr>
        <w:keepNext/>
        <w:adjustRightInd w:val="0"/>
        <w:ind w:left="1620"/>
        <w:jc w:val="both"/>
        <w:rPr>
          <w:rFonts w:ascii="Arial" w:hAnsi="Arial" w:cs="Arial"/>
          <w:color w:val="FFFFFF"/>
          <w:sz w:val="13"/>
          <w:szCs w:val="13"/>
          <w:lang w:val="fr-BE"/>
        </w:rPr>
      </w:pPr>
    </w:p>
    <w:tbl>
      <w:tblPr>
        <w:tblW w:w="0" w:type="auto"/>
        <w:jc w:val="center"/>
        <w:tblLayout w:type="fixed"/>
        <w:tblCellMar>
          <w:left w:w="0" w:type="dxa"/>
          <w:right w:w="0" w:type="dxa"/>
        </w:tblCellMar>
        <w:tblLook w:val="0000" w:firstRow="0" w:lastRow="0" w:firstColumn="0" w:lastColumn="0" w:noHBand="0" w:noVBand="0"/>
      </w:tblPr>
      <w:tblGrid>
        <w:gridCol w:w="2456"/>
        <w:gridCol w:w="378"/>
        <w:gridCol w:w="605"/>
        <w:gridCol w:w="378"/>
        <w:gridCol w:w="605"/>
        <w:gridCol w:w="378"/>
        <w:gridCol w:w="605"/>
        <w:gridCol w:w="378"/>
        <w:gridCol w:w="605"/>
        <w:gridCol w:w="378"/>
        <w:gridCol w:w="605"/>
        <w:gridCol w:w="378"/>
        <w:gridCol w:w="605"/>
        <w:gridCol w:w="378"/>
        <w:gridCol w:w="605"/>
        <w:gridCol w:w="514"/>
        <w:gridCol w:w="605"/>
      </w:tblGrid>
      <w:tr w:rsidR="004B2FB2" w:rsidRPr="00DD5F1C" w:rsidTr="009A7433">
        <w:trPr>
          <w:cantSplit/>
          <w:tblHeader/>
          <w:jc w:val="center"/>
        </w:trPr>
        <w:tc>
          <w:tcPr>
            <w:tcW w:w="2456" w:type="dxa"/>
            <w:vMerge w:val="restart"/>
            <w:tcBorders>
              <w:top w:val="single" w:sz="15" w:space="0" w:color="E6E6E6"/>
              <w:left w:val="single" w:sz="15" w:space="0" w:color="E6E6E6"/>
              <w:bottom w:val="single" w:sz="4" w:space="0" w:color="E6E6E6"/>
              <w:right w:val="nil"/>
            </w:tcBorders>
            <w:shd w:val="clear" w:color="auto" w:fill="7483AE"/>
            <w:tcMar>
              <w:left w:w="48" w:type="dxa"/>
              <w:right w:w="48" w:type="dxa"/>
            </w:tcMar>
            <w:vAlign w:val="center"/>
          </w:tcPr>
          <w:p w:rsidR="004B2FB2" w:rsidRPr="00DD5F1C" w:rsidRDefault="004B2FB2" w:rsidP="009A7433">
            <w:pPr>
              <w:adjustRightInd w:val="0"/>
              <w:spacing w:before="48" w:after="48"/>
              <w:jc w:val="center"/>
              <w:rPr>
                <w:rFonts w:ascii="Arial" w:hAnsi="Arial" w:cs="Arial"/>
                <w:color w:val="FFFFFF"/>
                <w:sz w:val="16"/>
                <w:szCs w:val="16"/>
                <w:lang w:val="fr-BE"/>
              </w:rPr>
            </w:pPr>
          </w:p>
        </w:tc>
        <w:tc>
          <w:tcPr>
            <w:tcW w:w="983" w:type="dxa"/>
            <w:gridSpan w:val="2"/>
            <w:tcBorders>
              <w:top w:val="single" w:sz="15" w:space="0" w:color="E6E6E6"/>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2010</w:t>
            </w:r>
          </w:p>
        </w:tc>
        <w:tc>
          <w:tcPr>
            <w:tcW w:w="983" w:type="dxa"/>
            <w:gridSpan w:val="2"/>
            <w:tcBorders>
              <w:top w:val="single" w:sz="15" w:space="0" w:color="E6E6E6"/>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2011</w:t>
            </w:r>
          </w:p>
        </w:tc>
        <w:tc>
          <w:tcPr>
            <w:tcW w:w="983" w:type="dxa"/>
            <w:gridSpan w:val="2"/>
            <w:tcBorders>
              <w:top w:val="single" w:sz="15" w:space="0" w:color="E6E6E6"/>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2012</w:t>
            </w:r>
          </w:p>
        </w:tc>
        <w:tc>
          <w:tcPr>
            <w:tcW w:w="983" w:type="dxa"/>
            <w:gridSpan w:val="2"/>
            <w:tcBorders>
              <w:top w:val="single" w:sz="15" w:space="0" w:color="E6E6E6"/>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2013</w:t>
            </w:r>
          </w:p>
        </w:tc>
        <w:tc>
          <w:tcPr>
            <w:tcW w:w="983" w:type="dxa"/>
            <w:gridSpan w:val="2"/>
            <w:tcBorders>
              <w:top w:val="single" w:sz="15" w:space="0" w:color="E6E6E6"/>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2014</w:t>
            </w:r>
          </w:p>
        </w:tc>
        <w:tc>
          <w:tcPr>
            <w:tcW w:w="983" w:type="dxa"/>
            <w:gridSpan w:val="2"/>
            <w:tcBorders>
              <w:top w:val="single" w:sz="15" w:space="0" w:color="E6E6E6"/>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2015</w:t>
            </w:r>
          </w:p>
        </w:tc>
        <w:tc>
          <w:tcPr>
            <w:tcW w:w="983" w:type="dxa"/>
            <w:gridSpan w:val="2"/>
            <w:tcBorders>
              <w:top w:val="single" w:sz="15" w:space="0" w:color="E6E6E6"/>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2016</w:t>
            </w:r>
          </w:p>
        </w:tc>
        <w:tc>
          <w:tcPr>
            <w:tcW w:w="1119" w:type="dxa"/>
            <w:gridSpan w:val="2"/>
            <w:tcBorders>
              <w:top w:val="single" w:sz="15" w:space="0" w:color="E6E6E6"/>
              <w:left w:val="single" w:sz="4" w:space="0" w:color="E6E6E6"/>
              <w:bottom w:val="single" w:sz="4" w:space="0" w:color="E6E6E6"/>
              <w:right w:val="single" w:sz="15" w:space="0" w:color="E6E6E6"/>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TOTAL</w:t>
            </w:r>
          </w:p>
        </w:tc>
      </w:tr>
      <w:tr w:rsidR="004B2FB2" w:rsidRPr="00DD5F1C" w:rsidTr="009A7433">
        <w:trPr>
          <w:cantSplit/>
          <w:tblHeader/>
          <w:jc w:val="center"/>
        </w:trPr>
        <w:tc>
          <w:tcPr>
            <w:tcW w:w="2456" w:type="dxa"/>
            <w:vMerge/>
            <w:tcBorders>
              <w:top w:val="single" w:sz="15" w:space="0" w:color="E6E6E6"/>
              <w:left w:val="single" w:sz="15" w:space="0" w:color="E6E6E6"/>
              <w:bottom w:val="single" w:sz="4" w:space="0" w:color="E6E6E6"/>
              <w:right w:val="nil"/>
            </w:tcBorders>
            <w:shd w:val="clear" w:color="auto" w:fill="7483AE"/>
            <w:tcMar>
              <w:left w:w="48" w:type="dxa"/>
              <w:right w:w="48" w:type="dxa"/>
            </w:tcMar>
            <w:vAlign w:val="center"/>
          </w:tcPr>
          <w:p w:rsidR="004B2FB2" w:rsidRPr="00DD5F1C" w:rsidRDefault="004B2FB2" w:rsidP="009A7433">
            <w:pPr>
              <w:adjustRightInd w:val="0"/>
              <w:rPr>
                <w:lang w:val="fr-BE"/>
              </w:rPr>
            </w:pPr>
          </w:p>
        </w:tc>
        <w:tc>
          <w:tcPr>
            <w:tcW w:w="378"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605"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c>
          <w:tcPr>
            <w:tcW w:w="378"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605"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c>
          <w:tcPr>
            <w:tcW w:w="378"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605"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c>
          <w:tcPr>
            <w:tcW w:w="378"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605"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c>
          <w:tcPr>
            <w:tcW w:w="378"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605"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c>
          <w:tcPr>
            <w:tcW w:w="378"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605"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c>
          <w:tcPr>
            <w:tcW w:w="378"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605"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c>
          <w:tcPr>
            <w:tcW w:w="514"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605" w:type="dxa"/>
            <w:tcBorders>
              <w:top w:val="nil"/>
              <w:left w:val="single" w:sz="4" w:space="0" w:color="E6E6E6"/>
              <w:bottom w:val="single" w:sz="4" w:space="0" w:color="E6E6E6"/>
              <w:right w:val="single" w:sz="15" w:space="0" w:color="E6E6E6"/>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r>
      <w:tr w:rsidR="004B2FB2" w:rsidRPr="00DD5F1C" w:rsidTr="009A7433">
        <w:trPr>
          <w:cantSplit/>
          <w:jc w:val="center"/>
        </w:trPr>
        <w:tc>
          <w:tcPr>
            <w:tcW w:w="2456" w:type="dxa"/>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56A - Racisme</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684</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89,06</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700</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92,47</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716</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92,99</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595</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90,15</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827</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95,72</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649</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96,15</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604</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96,49</w:t>
            </w:r>
          </w:p>
        </w:tc>
        <w:tc>
          <w:tcPr>
            <w:tcW w:w="514"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4.775</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93,26</w:t>
            </w:r>
          </w:p>
        </w:tc>
      </w:tr>
      <w:tr w:rsidR="004B2FB2" w:rsidRPr="00DD5F1C" w:rsidTr="009A7433">
        <w:trPr>
          <w:cantSplit/>
          <w:jc w:val="center"/>
        </w:trPr>
        <w:tc>
          <w:tcPr>
            <w:tcW w:w="2456" w:type="dxa"/>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56B - Xénophobie</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25</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3,26</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21</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2,77</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17</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2,21</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29</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4,39</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31</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3,59</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26</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3,85</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22</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3,51</w:t>
            </w:r>
          </w:p>
        </w:tc>
        <w:tc>
          <w:tcPr>
            <w:tcW w:w="514"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171</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3,34</w:t>
            </w:r>
          </w:p>
        </w:tc>
      </w:tr>
      <w:tr w:rsidR="004B2FB2" w:rsidRPr="00DD5F1C" w:rsidTr="009A7433">
        <w:trPr>
          <w:cantSplit/>
          <w:jc w:val="center"/>
        </w:trPr>
        <w:tc>
          <w:tcPr>
            <w:tcW w:w="2456" w:type="dxa"/>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Contexte racisme/xénophobie</w:t>
            </w:r>
            <w:r w:rsidR="005248AB">
              <w:rPr>
                <w:rStyle w:val="Appelnotedebasdep"/>
                <w:rFonts w:ascii="Arial" w:hAnsi="Arial" w:cs="Arial"/>
                <w:b/>
                <w:bCs/>
                <w:color w:val="000000"/>
                <w:sz w:val="16"/>
                <w:szCs w:val="16"/>
                <w:lang w:val="fr-BE"/>
              </w:rPr>
              <w:footnoteReference w:id="1"/>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59</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7,68</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36</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4,76</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37</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4,81</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36</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5,45</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6</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0,69</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605"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514"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174</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3,40</w:t>
            </w:r>
          </w:p>
        </w:tc>
      </w:tr>
      <w:tr w:rsidR="004B2FB2" w:rsidRPr="00DD5F1C" w:rsidTr="009A7433">
        <w:trPr>
          <w:cantSplit/>
          <w:jc w:val="center"/>
        </w:trPr>
        <w:tc>
          <w:tcPr>
            <w:tcW w:w="2456" w:type="dxa"/>
            <w:tcBorders>
              <w:top w:val="nil"/>
              <w:left w:val="single" w:sz="15" w:space="0" w:color="E6E6E6"/>
              <w:bottom w:val="single" w:sz="15"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TOTAL</w:t>
            </w:r>
          </w:p>
        </w:tc>
        <w:tc>
          <w:tcPr>
            <w:tcW w:w="378"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768</w:t>
            </w:r>
          </w:p>
        </w:tc>
        <w:tc>
          <w:tcPr>
            <w:tcW w:w="605"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100,00</w:t>
            </w:r>
          </w:p>
        </w:tc>
        <w:tc>
          <w:tcPr>
            <w:tcW w:w="378"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757</w:t>
            </w:r>
          </w:p>
        </w:tc>
        <w:tc>
          <w:tcPr>
            <w:tcW w:w="605"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100,00</w:t>
            </w:r>
          </w:p>
        </w:tc>
        <w:tc>
          <w:tcPr>
            <w:tcW w:w="378"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770</w:t>
            </w:r>
          </w:p>
        </w:tc>
        <w:tc>
          <w:tcPr>
            <w:tcW w:w="605"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100,00</w:t>
            </w:r>
          </w:p>
        </w:tc>
        <w:tc>
          <w:tcPr>
            <w:tcW w:w="378"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660</w:t>
            </w:r>
          </w:p>
        </w:tc>
        <w:tc>
          <w:tcPr>
            <w:tcW w:w="605"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100,00</w:t>
            </w:r>
          </w:p>
        </w:tc>
        <w:tc>
          <w:tcPr>
            <w:tcW w:w="378"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864</w:t>
            </w:r>
          </w:p>
        </w:tc>
        <w:tc>
          <w:tcPr>
            <w:tcW w:w="605"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100,00</w:t>
            </w:r>
          </w:p>
        </w:tc>
        <w:tc>
          <w:tcPr>
            <w:tcW w:w="378"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675</w:t>
            </w:r>
          </w:p>
        </w:tc>
        <w:tc>
          <w:tcPr>
            <w:tcW w:w="605"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100,00</w:t>
            </w:r>
          </w:p>
        </w:tc>
        <w:tc>
          <w:tcPr>
            <w:tcW w:w="378"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626</w:t>
            </w:r>
          </w:p>
        </w:tc>
        <w:tc>
          <w:tcPr>
            <w:tcW w:w="605"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100,00</w:t>
            </w:r>
          </w:p>
        </w:tc>
        <w:tc>
          <w:tcPr>
            <w:tcW w:w="514"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5.120</w:t>
            </w:r>
          </w:p>
        </w:tc>
        <w:tc>
          <w:tcPr>
            <w:tcW w:w="605" w:type="dxa"/>
            <w:tcBorders>
              <w:top w:val="nil"/>
              <w:left w:val="single" w:sz="4" w:space="0" w:color="E6E6E6"/>
              <w:bottom w:val="single" w:sz="15"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100,00</w:t>
            </w:r>
          </w:p>
        </w:tc>
      </w:tr>
    </w:tbl>
    <w:p w:rsidR="004B2FB2" w:rsidRPr="00DD5F1C" w:rsidRDefault="004B2FB2" w:rsidP="004B2FB2">
      <w:pPr>
        <w:keepNext/>
        <w:adjustRightInd w:val="0"/>
        <w:ind w:left="1620"/>
        <w:jc w:val="center"/>
        <w:rPr>
          <w:i/>
          <w:sz w:val="16"/>
          <w:szCs w:val="16"/>
          <w:lang w:val="fr-BE"/>
        </w:rPr>
      </w:pPr>
      <w:r w:rsidRPr="00DD5F1C">
        <w:rPr>
          <w:i/>
          <w:sz w:val="16"/>
          <w:szCs w:val="16"/>
          <w:lang w:val="fr-BE"/>
        </w:rPr>
        <w:t>Source : banque de données du Collège des procureurs généraux – Analystes statistiques.</w:t>
      </w:r>
    </w:p>
    <w:p w:rsidR="004B2FB2" w:rsidRPr="00DD5F1C" w:rsidRDefault="004B2FB2" w:rsidP="004B2FB2">
      <w:pPr>
        <w:keepNext/>
        <w:adjustRightInd w:val="0"/>
        <w:ind w:left="1620"/>
        <w:jc w:val="both"/>
        <w:rPr>
          <w:rFonts w:ascii="Arial" w:hAnsi="Arial" w:cs="Arial"/>
          <w:b/>
          <w:bCs/>
          <w:color w:val="7483AE"/>
          <w:sz w:val="20"/>
          <w:szCs w:val="20"/>
          <w:lang w:val="fr-BE" w:eastAsia="fr-FR"/>
        </w:rPr>
      </w:pPr>
    </w:p>
    <w:p w:rsidR="004B2FB2" w:rsidRDefault="005248AB" w:rsidP="004B2FB2">
      <w:pPr>
        <w:jc w:val="both"/>
        <w:rPr>
          <w:rFonts w:ascii="Arial" w:hAnsi="Arial" w:cs="Arial"/>
          <w:sz w:val="20"/>
          <w:szCs w:val="20"/>
          <w:lang w:val="fr-BE"/>
        </w:rPr>
      </w:pPr>
      <w:r>
        <w:rPr>
          <w:rFonts w:ascii="Arial" w:hAnsi="Arial" w:cs="Arial"/>
          <w:sz w:val="20"/>
          <w:szCs w:val="20"/>
          <w:lang w:val="fr-BE"/>
        </w:rPr>
        <w:t xml:space="preserve">Le tableau </w:t>
      </w:r>
      <w:r w:rsidR="004B2FB2" w:rsidRPr="00DD5F1C">
        <w:rPr>
          <w:rFonts w:ascii="Arial" w:hAnsi="Arial" w:cs="Arial"/>
          <w:sz w:val="20"/>
          <w:szCs w:val="20"/>
          <w:lang w:val="fr-BE"/>
        </w:rPr>
        <w:t>présente le nombre d’affaires de racisme ou de haine raciale entrées dans les parquets correctionnels entre le 1</w:t>
      </w:r>
      <w:r w:rsidR="004B2FB2" w:rsidRPr="00DD5F1C">
        <w:rPr>
          <w:rFonts w:ascii="Arial" w:hAnsi="Arial" w:cs="Arial"/>
          <w:sz w:val="20"/>
          <w:szCs w:val="20"/>
          <w:vertAlign w:val="superscript"/>
          <w:lang w:val="fr-BE"/>
        </w:rPr>
        <w:t>er</w:t>
      </w:r>
      <w:r w:rsidR="004B2FB2" w:rsidRPr="00DD5F1C">
        <w:rPr>
          <w:rFonts w:ascii="Arial" w:hAnsi="Arial" w:cs="Arial"/>
          <w:sz w:val="20"/>
          <w:szCs w:val="20"/>
          <w:lang w:val="fr-BE"/>
        </w:rPr>
        <w:t xml:space="preserve"> janvier 2010 et le 31 décembre 2016 en répartissant les données selon le code de prévention/contexte enregistré ainsi qu’en fonction de l’année d’entrée de l’affaire au parquet. </w:t>
      </w:r>
    </w:p>
    <w:p w:rsidR="005248AB" w:rsidRDefault="005248AB">
      <w:pPr>
        <w:rPr>
          <w:rFonts w:ascii="Arial" w:hAnsi="Arial" w:cs="Arial"/>
          <w:sz w:val="20"/>
          <w:szCs w:val="20"/>
          <w:lang w:val="fr-BE"/>
        </w:rPr>
      </w:pPr>
      <w:r>
        <w:rPr>
          <w:rFonts w:ascii="Arial" w:hAnsi="Arial" w:cs="Arial"/>
          <w:sz w:val="20"/>
          <w:szCs w:val="20"/>
          <w:lang w:val="fr-BE"/>
        </w:rPr>
        <w:br w:type="page"/>
      </w:r>
    </w:p>
    <w:p w:rsidR="004B2FB2" w:rsidRDefault="004B2FB2" w:rsidP="004B2FB2">
      <w:pPr>
        <w:jc w:val="both"/>
        <w:rPr>
          <w:rFonts w:ascii="Arial" w:hAnsi="Arial" w:cs="Arial"/>
          <w:sz w:val="20"/>
          <w:szCs w:val="20"/>
          <w:lang w:val="fr-BE"/>
        </w:rPr>
      </w:pPr>
    </w:p>
    <w:p w:rsidR="004B2FB2" w:rsidRPr="004B2FB2" w:rsidRDefault="004B2FB2" w:rsidP="00A82382">
      <w:pPr>
        <w:ind w:left="1560" w:hanging="1560"/>
        <w:jc w:val="both"/>
        <w:rPr>
          <w:rFonts w:ascii="Arial" w:hAnsi="Arial" w:cs="Arial"/>
          <w:sz w:val="20"/>
          <w:szCs w:val="20"/>
          <w:lang w:val="fr-BE"/>
        </w:rPr>
      </w:pPr>
      <w:r w:rsidRPr="00DD5F1C">
        <w:rPr>
          <w:rFonts w:ascii="Arial" w:hAnsi="Arial" w:cs="Arial"/>
          <w:b/>
          <w:bCs/>
          <w:color w:val="7483AE"/>
          <w:sz w:val="20"/>
          <w:szCs w:val="20"/>
          <w:lang w:val="fr-BE" w:eastAsia="fr-FR"/>
        </w:rPr>
        <w:t>Tableau 2 :</w:t>
      </w:r>
      <w:r w:rsidRPr="00DD5F1C">
        <w:rPr>
          <w:rFonts w:ascii="Arial" w:hAnsi="Arial" w:cs="Arial"/>
          <w:b/>
          <w:bCs/>
          <w:color w:val="7483AE"/>
          <w:sz w:val="20"/>
          <w:szCs w:val="20"/>
          <w:lang w:val="fr-BE" w:eastAsia="fr-FR"/>
        </w:rPr>
        <w:tab/>
        <w:t>Etat d’avancement, arrêté à la date du 10 juin 2017, des affaires de racisme ou de haine raciale entrées dans les parquets correctionnels entre le 1</w:t>
      </w:r>
      <w:r w:rsidRPr="00DD5F1C">
        <w:rPr>
          <w:rFonts w:ascii="Arial" w:hAnsi="Arial" w:cs="Arial"/>
          <w:b/>
          <w:bCs/>
          <w:color w:val="7483AE"/>
          <w:sz w:val="20"/>
          <w:szCs w:val="20"/>
          <w:vertAlign w:val="superscript"/>
          <w:lang w:val="fr-BE" w:eastAsia="fr-FR"/>
        </w:rPr>
        <w:t>er</w:t>
      </w:r>
      <w:r w:rsidRPr="00DD5F1C">
        <w:rPr>
          <w:rFonts w:ascii="Arial" w:hAnsi="Arial" w:cs="Arial"/>
          <w:b/>
          <w:bCs/>
          <w:color w:val="7483AE"/>
          <w:sz w:val="20"/>
          <w:szCs w:val="20"/>
          <w:lang w:val="fr-BE" w:eastAsia="fr-FR"/>
        </w:rPr>
        <w:t xml:space="preserve"> janvier 2010 et le 31 décembre 2016. Données présentées selon le code de prévention/contexte enregistré (n et % en colonne).</w:t>
      </w:r>
    </w:p>
    <w:p w:rsidR="004B2FB2" w:rsidRPr="00DD5F1C" w:rsidRDefault="004B2FB2" w:rsidP="004B2FB2">
      <w:pPr>
        <w:jc w:val="center"/>
        <w:rPr>
          <w:rFonts w:ascii="Arial" w:hAnsi="Arial" w:cs="Arial"/>
          <w:color w:val="FFFFFF"/>
          <w:sz w:val="13"/>
          <w:szCs w:val="13"/>
          <w:lang w:val="fr-BE"/>
        </w:rPr>
      </w:pPr>
    </w:p>
    <w:tbl>
      <w:tblPr>
        <w:tblW w:w="0" w:type="auto"/>
        <w:jc w:val="center"/>
        <w:tblLayout w:type="fixed"/>
        <w:tblCellMar>
          <w:left w:w="0" w:type="dxa"/>
          <w:right w:w="0" w:type="dxa"/>
        </w:tblCellMar>
        <w:tblLook w:val="0000" w:firstRow="0" w:lastRow="0" w:firstColumn="0" w:lastColumn="0" w:noHBand="0" w:noVBand="0"/>
      </w:tblPr>
      <w:tblGrid>
        <w:gridCol w:w="1955"/>
        <w:gridCol w:w="641"/>
        <w:gridCol w:w="641"/>
        <w:gridCol w:w="759"/>
        <w:gridCol w:w="759"/>
        <w:gridCol w:w="836"/>
        <w:gridCol w:w="836"/>
        <w:gridCol w:w="514"/>
        <w:gridCol w:w="605"/>
      </w:tblGrid>
      <w:tr w:rsidR="004B2FB2" w:rsidRPr="00DD5F1C" w:rsidTr="009A7433">
        <w:trPr>
          <w:cantSplit/>
          <w:tblHeader/>
          <w:jc w:val="center"/>
        </w:trPr>
        <w:tc>
          <w:tcPr>
            <w:tcW w:w="1955" w:type="dxa"/>
            <w:vMerge w:val="restart"/>
            <w:tcBorders>
              <w:top w:val="single" w:sz="15" w:space="0" w:color="E6E6E6"/>
              <w:left w:val="single" w:sz="15" w:space="0" w:color="E6E6E6"/>
              <w:bottom w:val="single" w:sz="4" w:space="0" w:color="E6E6E6"/>
              <w:right w:val="nil"/>
            </w:tcBorders>
            <w:shd w:val="clear" w:color="auto" w:fill="7483AE"/>
            <w:tcMar>
              <w:left w:w="48" w:type="dxa"/>
              <w:right w:w="48" w:type="dxa"/>
            </w:tcMar>
            <w:vAlign w:val="center"/>
          </w:tcPr>
          <w:p w:rsidR="004B2FB2" w:rsidRPr="00DD5F1C" w:rsidRDefault="004B2FB2" w:rsidP="009A7433">
            <w:pPr>
              <w:adjustRightInd w:val="0"/>
              <w:spacing w:before="48" w:after="48"/>
              <w:jc w:val="center"/>
              <w:rPr>
                <w:rFonts w:ascii="Arial" w:hAnsi="Arial" w:cs="Arial"/>
                <w:color w:val="FFFFFF"/>
                <w:sz w:val="16"/>
                <w:szCs w:val="16"/>
                <w:lang w:val="fr-BE"/>
              </w:rPr>
            </w:pPr>
          </w:p>
        </w:tc>
        <w:tc>
          <w:tcPr>
            <w:tcW w:w="1282" w:type="dxa"/>
            <w:gridSpan w:val="2"/>
            <w:tcBorders>
              <w:top w:val="single" w:sz="15" w:space="0" w:color="E6E6E6"/>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56A - Racisme</w:t>
            </w:r>
          </w:p>
        </w:tc>
        <w:tc>
          <w:tcPr>
            <w:tcW w:w="1518" w:type="dxa"/>
            <w:gridSpan w:val="2"/>
            <w:tcBorders>
              <w:top w:val="single" w:sz="15" w:space="0" w:color="E6E6E6"/>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56B - Xénophobie</w:t>
            </w:r>
          </w:p>
        </w:tc>
        <w:tc>
          <w:tcPr>
            <w:tcW w:w="1672" w:type="dxa"/>
            <w:gridSpan w:val="2"/>
            <w:tcBorders>
              <w:top w:val="single" w:sz="15" w:space="0" w:color="E6E6E6"/>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Contexte racisme/xénophobie</w:t>
            </w:r>
          </w:p>
        </w:tc>
        <w:tc>
          <w:tcPr>
            <w:tcW w:w="1119" w:type="dxa"/>
            <w:gridSpan w:val="2"/>
            <w:tcBorders>
              <w:top w:val="single" w:sz="15" w:space="0" w:color="E6E6E6"/>
              <w:left w:val="single" w:sz="4" w:space="0" w:color="E6E6E6"/>
              <w:bottom w:val="single" w:sz="4" w:space="0" w:color="E6E6E6"/>
              <w:right w:val="single" w:sz="15" w:space="0" w:color="E6E6E6"/>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TOTAL</w:t>
            </w:r>
          </w:p>
        </w:tc>
      </w:tr>
      <w:tr w:rsidR="004B2FB2" w:rsidRPr="00DD5F1C" w:rsidTr="009A7433">
        <w:trPr>
          <w:cantSplit/>
          <w:tblHeader/>
          <w:jc w:val="center"/>
        </w:trPr>
        <w:tc>
          <w:tcPr>
            <w:tcW w:w="1955" w:type="dxa"/>
            <w:vMerge/>
            <w:tcBorders>
              <w:top w:val="single" w:sz="15" w:space="0" w:color="E6E6E6"/>
              <w:left w:val="single" w:sz="15" w:space="0" w:color="E6E6E6"/>
              <w:bottom w:val="single" w:sz="4" w:space="0" w:color="E6E6E6"/>
              <w:right w:val="nil"/>
            </w:tcBorders>
            <w:shd w:val="clear" w:color="auto" w:fill="7483AE"/>
            <w:tcMar>
              <w:left w:w="48" w:type="dxa"/>
              <w:right w:w="48" w:type="dxa"/>
            </w:tcMar>
            <w:vAlign w:val="center"/>
          </w:tcPr>
          <w:p w:rsidR="004B2FB2" w:rsidRPr="00DD5F1C" w:rsidRDefault="004B2FB2" w:rsidP="009A7433">
            <w:pPr>
              <w:adjustRightInd w:val="0"/>
              <w:rPr>
                <w:lang w:val="fr-BE"/>
              </w:rPr>
            </w:pPr>
          </w:p>
        </w:tc>
        <w:tc>
          <w:tcPr>
            <w:tcW w:w="641"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641"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c>
          <w:tcPr>
            <w:tcW w:w="759"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759"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c>
          <w:tcPr>
            <w:tcW w:w="836"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836"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c>
          <w:tcPr>
            <w:tcW w:w="514"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605" w:type="dxa"/>
            <w:tcBorders>
              <w:top w:val="nil"/>
              <w:left w:val="single" w:sz="4" w:space="0" w:color="E6E6E6"/>
              <w:bottom w:val="single" w:sz="4" w:space="0" w:color="E6E6E6"/>
              <w:right w:val="single" w:sz="15" w:space="0" w:color="E6E6E6"/>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r>
      <w:tr w:rsidR="004B2FB2" w:rsidRPr="00DD5F1C" w:rsidTr="009A7433">
        <w:trPr>
          <w:cantSplit/>
          <w:jc w:val="center"/>
        </w:trPr>
        <w:tc>
          <w:tcPr>
            <w:tcW w:w="1955" w:type="dxa"/>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information</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126</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2,64</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6</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3,51</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5</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2,87</w:t>
            </w:r>
          </w:p>
        </w:tc>
        <w:tc>
          <w:tcPr>
            <w:tcW w:w="514"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137</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2,68</w:t>
            </w:r>
          </w:p>
        </w:tc>
      </w:tr>
      <w:tr w:rsidR="004B2FB2" w:rsidRPr="00DD5F1C" w:rsidTr="009A7433">
        <w:trPr>
          <w:cantSplit/>
          <w:jc w:val="center"/>
        </w:trPr>
        <w:tc>
          <w:tcPr>
            <w:tcW w:w="1955" w:type="dxa"/>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signalement de l’auteur</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33</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0,69</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1,17</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0,57</w:t>
            </w:r>
          </w:p>
        </w:tc>
        <w:tc>
          <w:tcPr>
            <w:tcW w:w="514"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36</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0,70</w:t>
            </w:r>
          </w:p>
        </w:tc>
      </w:tr>
      <w:tr w:rsidR="004B2FB2" w:rsidRPr="00DD5F1C" w:rsidTr="009A7433">
        <w:trPr>
          <w:cantSplit/>
          <w:jc w:val="center"/>
        </w:trPr>
        <w:tc>
          <w:tcPr>
            <w:tcW w:w="1955" w:type="dxa"/>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sans suite</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3.832</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80,25</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129</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75,44</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127</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72,99</w:t>
            </w:r>
          </w:p>
        </w:tc>
        <w:tc>
          <w:tcPr>
            <w:tcW w:w="514"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4.088</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79,84</w:t>
            </w:r>
          </w:p>
        </w:tc>
      </w:tr>
      <w:tr w:rsidR="004B2FB2" w:rsidRPr="00DD5F1C" w:rsidTr="009A7433">
        <w:trPr>
          <w:cantSplit/>
          <w:jc w:val="center"/>
        </w:trPr>
        <w:tc>
          <w:tcPr>
            <w:tcW w:w="1955" w:type="dxa"/>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pour disposition</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316</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6,62</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16</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9,36</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5,75</w:t>
            </w:r>
          </w:p>
        </w:tc>
        <w:tc>
          <w:tcPr>
            <w:tcW w:w="514"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342</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6,68</w:t>
            </w:r>
          </w:p>
        </w:tc>
      </w:tr>
      <w:tr w:rsidR="004B2FB2" w:rsidRPr="00DD5F1C" w:rsidTr="009A7433">
        <w:trPr>
          <w:cantSplit/>
          <w:jc w:val="center"/>
        </w:trPr>
        <w:tc>
          <w:tcPr>
            <w:tcW w:w="1955" w:type="dxa"/>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probation prétorienne</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93</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1,95</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1,75</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1,15</w:t>
            </w:r>
          </w:p>
        </w:tc>
        <w:tc>
          <w:tcPr>
            <w:tcW w:w="514"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98</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1,91</w:t>
            </w:r>
          </w:p>
        </w:tc>
      </w:tr>
      <w:tr w:rsidR="004B2FB2" w:rsidRPr="00DD5F1C" w:rsidTr="009A7433">
        <w:trPr>
          <w:cantSplit/>
          <w:jc w:val="center"/>
        </w:trPr>
        <w:tc>
          <w:tcPr>
            <w:tcW w:w="1955" w:type="dxa"/>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sanction administrative</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0,02</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0,57</w:t>
            </w:r>
          </w:p>
        </w:tc>
        <w:tc>
          <w:tcPr>
            <w:tcW w:w="514"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0,04</w:t>
            </w:r>
          </w:p>
        </w:tc>
      </w:tr>
      <w:tr w:rsidR="004B2FB2" w:rsidRPr="00DD5F1C" w:rsidTr="009A7433">
        <w:trPr>
          <w:cantSplit/>
          <w:jc w:val="center"/>
        </w:trPr>
        <w:tc>
          <w:tcPr>
            <w:tcW w:w="1955" w:type="dxa"/>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transaction</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61</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1,28</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0,57</w:t>
            </w:r>
          </w:p>
        </w:tc>
        <w:tc>
          <w:tcPr>
            <w:tcW w:w="514"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62</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1,21</w:t>
            </w:r>
          </w:p>
        </w:tc>
      </w:tr>
      <w:tr w:rsidR="004B2FB2" w:rsidRPr="00DD5F1C" w:rsidTr="009A7433">
        <w:trPr>
          <w:cantSplit/>
          <w:jc w:val="center"/>
        </w:trPr>
        <w:tc>
          <w:tcPr>
            <w:tcW w:w="1955" w:type="dxa"/>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médiation pénale</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41</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0,86</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1,15</w:t>
            </w:r>
          </w:p>
        </w:tc>
        <w:tc>
          <w:tcPr>
            <w:tcW w:w="514"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43</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0,84</w:t>
            </w:r>
          </w:p>
        </w:tc>
      </w:tr>
      <w:tr w:rsidR="004B2FB2" w:rsidRPr="00DD5F1C" w:rsidTr="009A7433">
        <w:trPr>
          <w:cantSplit/>
          <w:jc w:val="center"/>
        </w:trPr>
        <w:tc>
          <w:tcPr>
            <w:tcW w:w="1955" w:type="dxa"/>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instruction</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24</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0,50</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0,57</w:t>
            </w:r>
          </w:p>
        </w:tc>
        <w:tc>
          <w:tcPr>
            <w:tcW w:w="514"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25</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0,49</w:t>
            </w:r>
          </w:p>
        </w:tc>
      </w:tr>
      <w:tr w:rsidR="004B2FB2" w:rsidRPr="00DD5F1C" w:rsidTr="009A7433">
        <w:trPr>
          <w:cantSplit/>
          <w:jc w:val="center"/>
        </w:trPr>
        <w:tc>
          <w:tcPr>
            <w:tcW w:w="1955" w:type="dxa"/>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chambre du conseil</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24</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0,50</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4</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2,34</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1,15</w:t>
            </w:r>
          </w:p>
        </w:tc>
        <w:tc>
          <w:tcPr>
            <w:tcW w:w="514"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30</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0,59</w:t>
            </w:r>
          </w:p>
        </w:tc>
      </w:tr>
      <w:tr w:rsidR="004B2FB2" w:rsidRPr="00DD5F1C" w:rsidTr="009A7433">
        <w:trPr>
          <w:cantSplit/>
          <w:jc w:val="center"/>
        </w:trPr>
        <w:tc>
          <w:tcPr>
            <w:tcW w:w="1955" w:type="dxa"/>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citation &amp; suite</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223</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4,67</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11</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6,43</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21</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12,07</w:t>
            </w:r>
          </w:p>
        </w:tc>
        <w:tc>
          <w:tcPr>
            <w:tcW w:w="514"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255</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4,98</w:t>
            </w:r>
          </w:p>
        </w:tc>
      </w:tr>
      <w:tr w:rsidR="004B2FB2" w:rsidRPr="00DD5F1C" w:rsidTr="009A7433">
        <w:trPr>
          <w:cantSplit/>
          <w:jc w:val="center"/>
        </w:trPr>
        <w:tc>
          <w:tcPr>
            <w:tcW w:w="1955" w:type="dxa"/>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inconnu/erreur</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0,02</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0,57</w:t>
            </w:r>
          </w:p>
        </w:tc>
        <w:tc>
          <w:tcPr>
            <w:tcW w:w="514"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0,04</w:t>
            </w:r>
          </w:p>
        </w:tc>
      </w:tr>
      <w:tr w:rsidR="004B2FB2" w:rsidRPr="00DD5F1C" w:rsidTr="009A7433">
        <w:trPr>
          <w:cantSplit/>
          <w:jc w:val="center"/>
        </w:trPr>
        <w:tc>
          <w:tcPr>
            <w:tcW w:w="1955" w:type="dxa"/>
            <w:tcBorders>
              <w:top w:val="nil"/>
              <w:left w:val="single" w:sz="15" w:space="0" w:color="E6E6E6"/>
              <w:bottom w:val="single" w:sz="15"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TOTAL</w:t>
            </w:r>
          </w:p>
        </w:tc>
        <w:tc>
          <w:tcPr>
            <w:tcW w:w="641"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4.775</w:t>
            </w:r>
          </w:p>
        </w:tc>
        <w:tc>
          <w:tcPr>
            <w:tcW w:w="641"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100,00</w:t>
            </w:r>
          </w:p>
        </w:tc>
        <w:tc>
          <w:tcPr>
            <w:tcW w:w="759"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171</w:t>
            </w:r>
          </w:p>
        </w:tc>
        <w:tc>
          <w:tcPr>
            <w:tcW w:w="759"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100,00</w:t>
            </w:r>
          </w:p>
        </w:tc>
        <w:tc>
          <w:tcPr>
            <w:tcW w:w="836"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174</w:t>
            </w:r>
          </w:p>
        </w:tc>
        <w:tc>
          <w:tcPr>
            <w:tcW w:w="836"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100,00</w:t>
            </w:r>
          </w:p>
        </w:tc>
        <w:tc>
          <w:tcPr>
            <w:tcW w:w="514"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5.120</w:t>
            </w:r>
          </w:p>
        </w:tc>
        <w:tc>
          <w:tcPr>
            <w:tcW w:w="605" w:type="dxa"/>
            <w:tcBorders>
              <w:top w:val="nil"/>
              <w:left w:val="single" w:sz="4" w:space="0" w:color="E6E6E6"/>
              <w:bottom w:val="single" w:sz="15"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100,00</w:t>
            </w:r>
          </w:p>
        </w:tc>
      </w:tr>
    </w:tbl>
    <w:p w:rsidR="004B2FB2" w:rsidRPr="00DD5F1C" w:rsidRDefault="004B2FB2" w:rsidP="004B2FB2">
      <w:pPr>
        <w:jc w:val="center"/>
        <w:rPr>
          <w:i/>
          <w:sz w:val="16"/>
          <w:szCs w:val="16"/>
          <w:lang w:val="fr-BE"/>
        </w:rPr>
      </w:pPr>
      <w:r w:rsidRPr="00DD5F1C">
        <w:rPr>
          <w:i/>
          <w:sz w:val="16"/>
          <w:szCs w:val="16"/>
          <w:lang w:val="fr-BE"/>
        </w:rPr>
        <w:t>Source : banque de données du Collège des procureurs généraux – Analystes statistiques.</w:t>
      </w:r>
    </w:p>
    <w:p w:rsidR="004B2FB2" w:rsidRPr="00DD5F1C" w:rsidRDefault="004B2FB2" w:rsidP="004B2FB2">
      <w:pPr>
        <w:pStyle w:val="En-tte"/>
        <w:tabs>
          <w:tab w:val="clear" w:pos="4536"/>
          <w:tab w:val="clear" w:pos="9072"/>
        </w:tabs>
        <w:spacing w:line="240" w:lineRule="auto"/>
        <w:jc w:val="both"/>
        <w:rPr>
          <w:rFonts w:cs="Arial"/>
          <w:szCs w:val="20"/>
          <w:lang w:val="fr-BE" w:eastAsia="en-US"/>
        </w:rPr>
      </w:pPr>
    </w:p>
    <w:p w:rsidR="004B2FB2" w:rsidRPr="00DD5F1C" w:rsidRDefault="004B2FB2" w:rsidP="004B2FB2">
      <w:pPr>
        <w:jc w:val="both"/>
        <w:rPr>
          <w:rFonts w:ascii="Arial" w:hAnsi="Arial" w:cs="Arial"/>
          <w:sz w:val="20"/>
          <w:szCs w:val="20"/>
          <w:lang w:val="fr-BE"/>
        </w:rPr>
      </w:pPr>
      <w:r w:rsidRPr="00DD5F1C">
        <w:rPr>
          <w:rFonts w:ascii="Arial" w:hAnsi="Arial" w:cs="Arial"/>
          <w:sz w:val="20"/>
          <w:szCs w:val="20"/>
          <w:lang w:val="fr-BE"/>
        </w:rPr>
        <w:t>Le tableau 2 indique les différents états d’avancement des affaires de racisme ou de haine raciale entrées dans les parquets correctionnels entre le 1</w:t>
      </w:r>
      <w:r w:rsidRPr="00DD5F1C">
        <w:rPr>
          <w:rFonts w:ascii="Arial" w:hAnsi="Arial" w:cs="Arial"/>
          <w:sz w:val="20"/>
          <w:szCs w:val="20"/>
          <w:vertAlign w:val="superscript"/>
          <w:lang w:val="fr-BE"/>
        </w:rPr>
        <w:t>er</w:t>
      </w:r>
      <w:r w:rsidRPr="00DD5F1C">
        <w:rPr>
          <w:rFonts w:ascii="Arial" w:hAnsi="Arial" w:cs="Arial"/>
          <w:sz w:val="20"/>
          <w:szCs w:val="20"/>
          <w:lang w:val="fr-BE"/>
        </w:rPr>
        <w:t xml:space="preserve"> janvier 2010 et le 31 décembre 2016. Les données sont présentées par code de prévention/contexte. </w:t>
      </w:r>
    </w:p>
    <w:p w:rsidR="005248AB" w:rsidRDefault="005248AB">
      <w:pPr>
        <w:rPr>
          <w:rFonts w:ascii="Arial" w:eastAsia="Times New Roman" w:hAnsi="Arial" w:cs="Arial"/>
          <w:sz w:val="20"/>
          <w:szCs w:val="20"/>
          <w:lang w:val="fr-BE"/>
        </w:rPr>
      </w:pPr>
      <w:r w:rsidRPr="00A82382">
        <w:rPr>
          <w:rFonts w:ascii="Arial" w:hAnsi="Arial" w:cs="Arial"/>
          <w:sz w:val="20"/>
          <w:lang w:val="fr-FR"/>
        </w:rPr>
        <w:br w:type="page"/>
      </w:r>
    </w:p>
    <w:p w:rsidR="00A82382" w:rsidRPr="00A82382" w:rsidRDefault="00A82382" w:rsidP="00A82382">
      <w:pPr>
        <w:spacing w:after="0" w:line="240" w:lineRule="auto"/>
        <w:rPr>
          <w:rFonts w:ascii="Arial" w:eastAsia="Times New Roman" w:hAnsi="Arial" w:cs="Arial"/>
          <w:b/>
          <w:sz w:val="20"/>
          <w:szCs w:val="20"/>
          <w:u w:val="single"/>
          <w:lang w:val="fr-BE"/>
        </w:rPr>
      </w:pPr>
      <w:r w:rsidRPr="00A82382">
        <w:rPr>
          <w:rFonts w:ascii="Arial" w:eastAsia="Times New Roman" w:hAnsi="Arial" w:cs="Arial"/>
          <w:b/>
          <w:sz w:val="20"/>
          <w:szCs w:val="20"/>
          <w:u w:val="single"/>
          <w:lang w:val="fr-BE"/>
        </w:rPr>
        <w:lastRenderedPageBreak/>
        <w:t>Descriptif des états d’avancement</w:t>
      </w:r>
    </w:p>
    <w:p w:rsidR="00A82382" w:rsidRPr="00A82382" w:rsidRDefault="00A82382" w:rsidP="00A82382">
      <w:pPr>
        <w:spacing w:after="0" w:line="240" w:lineRule="auto"/>
        <w:rPr>
          <w:rFonts w:ascii="Arial" w:eastAsia="Times New Roman" w:hAnsi="Arial" w:cs="Arial"/>
          <w:sz w:val="20"/>
          <w:szCs w:val="20"/>
          <w:lang w:val="fr-BE"/>
        </w:rPr>
      </w:pPr>
    </w:p>
    <w:p w:rsidR="00A82382" w:rsidRPr="00A82382" w:rsidRDefault="00A82382" w:rsidP="00A82382">
      <w:pPr>
        <w:spacing w:after="0" w:line="240" w:lineRule="auto"/>
        <w:rPr>
          <w:rFonts w:ascii="Arial" w:eastAsia="Times New Roman" w:hAnsi="Arial" w:cs="Arial"/>
          <w:b/>
          <w:bCs/>
          <w:sz w:val="20"/>
          <w:szCs w:val="20"/>
          <w:lang w:val="fr-BE" w:eastAsia="nl-NL"/>
        </w:rPr>
      </w:pPr>
      <w:r w:rsidRPr="00A82382">
        <w:rPr>
          <w:rFonts w:ascii="Arial" w:eastAsia="Times New Roman" w:hAnsi="Arial" w:cs="Arial"/>
          <w:b/>
          <w:bCs/>
          <w:sz w:val="20"/>
          <w:szCs w:val="20"/>
          <w:lang w:val="fr-BE" w:eastAsia="nl-NL"/>
        </w:rPr>
        <w:t>Information :</w:t>
      </w:r>
    </w:p>
    <w:p w:rsidR="00A82382" w:rsidRPr="00A82382" w:rsidRDefault="00A82382" w:rsidP="00A82382">
      <w:pPr>
        <w:spacing w:after="0" w:line="240" w:lineRule="auto"/>
        <w:jc w:val="both"/>
        <w:rPr>
          <w:rFonts w:ascii="Arial" w:eastAsia="Times New Roman" w:hAnsi="Arial" w:cs="Arial"/>
          <w:sz w:val="20"/>
          <w:szCs w:val="20"/>
          <w:lang w:val="fr-BE"/>
        </w:rPr>
      </w:pPr>
      <w:r w:rsidRPr="00A82382">
        <w:rPr>
          <w:rFonts w:ascii="Arial" w:eastAsia="Times New Roman" w:hAnsi="Arial" w:cs="Arial"/>
          <w:sz w:val="20"/>
          <w:szCs w:val="20"/>
          <w:lang w:val="fr-BE"/>
        </w:rPr>
        <w:t>Cette catégorie contient toutes les affaires qui étaient encore à l’information à la date de l’extraction.</w:t>
      </w:r>
    </w:p>
    <w:p w:rsidR="00A82382" w:rsidRPr="00A82382" w:rsidRDefault="00A82382" w:rsidP="00A82382">
      <w:pPr>
        <w:spacing w:after="0" w:line="240" w:lineRule="auto"/>
        <w:rPr>
          <w:rFonts w:ascii="Arial" w:eastAsia="Times New Roman" w:hAnsi="Arial" w:cs="Arial"/>
          <w:i/>
          <w:sz w:val="16"/>
          <w:szCs w:val="16"/>
          <w:lang w:val="fr-BE"/>
        </w:rPr>
      </w:pPr>
    </w:p>
    <w:p w:rsidR="00A82382" w:rsidRPr="00A82382" w:rsidRDefault="00A82382" w:rsidP="00A82382">
      <w:pPr>
        <w:spacing w:after="0" w:line="240" w:lineRule="auto"/>
        <w:rPr>
          <w:rFonts w:ascii="Arial" w:eastAsia="Times New Roman" w:hAnsi="Arial" w:cs="Arial"/>
          <w:b/>
          <w:bCs/>
          <w:sz w:val="20"/>
          <w:szCs w:val="20"/>
          <w:lang w:val="fr-BE" w:eastAsia="nl-NL"/>
        </w:rPr>
      </w:pPr>
      <w:r w:rsidRPr="00A82382">
        <w:rPr>
          <w:rFonts w:ascii="Arial" w:eastAsia="Times New Roman" w:hAnsi="Arial" w:cs="Arial"/>
          <w:b/>
          <w:bCs/>
          <w:sz w:val="20"/>
          <w:szCs w:val="20"/>
          <w:lang w:val="fr-BE" w:eastAsia="nl-NL"/>
        </w:rPr>
        <w:t xml:space="preserve">Signalement de l’auteur : </w:t>
      </w:r>
    </w:p>
    <w:p w:rsidR="00A82382" w:rsidRPr="00A82382" w:rsidRDefault="00A82382" w:rsidP="00A82382">
      <w:pPr>
        <w:spacing w:after="0" w:line="240" w:lineRule="auto"/>
        <w:jc w:val="both"/>
        <w:rPr>
          <w:rFonts w:ascii="Arial" w:eastAsia="Times New Roman" w:hAnsi="Arial" w:cs="Arial"/>
          <w:sz w:val="20"/>
          <w:szCs w:val="20"/>
          <w:lang w:val="fr-BE"/>
        </w:rPr>
      </w:pPr>
      <w:r w:rsidRPr="00A82382">
        <w:rPr>
          <w:rFonts w:ascii="Arial" w:eastAsia="Times New Roman" w:hAnsi="Arial" w:cs="Arial"/>
          <w:sz w:val="20"/>
          <w:szCs w:val="20"/>
          <w:lang w:val="fr-BE"/>
        </w:rPr>
        <w:t>Cette rubrique comprend les affaires pour lesquelles le suspect fait l’objet d’un signalement à la date de l’extraction (avant l’entrée en vigueur de la COL 16/2014, au 1</w:t>
      </w:r>
      <w:r w:rsidRPr="00A82382">
        <w:rPr>
          <w:rFonts w:ascii="Arial" w:eastAsia="Times New Roman" w:hAnsi="Arial" w:cs="Arial"/>
          <w:sz w:val="20"/>
          <w:szCs w:val="20"/>
          <w:vertAlign w:val="superscript"/>
          <w:lang w:val="fr-BE"/>
        </w:rPr>
        <w:t>er</w:t>
      </w:r>
      <w:r w:rsidRPr="00A82382">
        <w:rPr>
          <w:rFonts w:ascii="Arial" w:eastAsia="Times New Roman" w:hAnsi="Arial" w:cs="Arial"/>
          <w:sz w:val="20"/>
          <w:szCs w:val="20"/>
          <w:lang w:val="fr-BE"/>
        </w:rPr>
        <w:t xml:space="preserve"> janvier 2015, cet état d’avancement était considéré comme un classement sans suite  avec pour motif « signalement de l’auteur »). L’affaire conserve cet état d’avancement tant que l’auteur des faits n’a pas été retrouvé. </w:t>
      </w:r>
    </w:p>
    <w:p w:rsidR="00A82382" w:rsidRPr="00A82382" w:rsidRDefault="00A82382" w:rsidP="00A82382">
      <w:pPr>
        <w:spacing w:after="0" w:line="240" w:lineRule="auto"/>
        <w:rPr>
          <w:rFonts w:ascii="Arial" w:eastAsia="Times New Roman" w:hAnsi="Arial" w:cs="Arial"/>
          <w:sz w:val="16"/>
          <w:szCs w:val="16"/>
          <w:lang w:val="fr-BE"/>
        </w:rPr>
      </w:pPr>
    </w:p>
    <w:p w:rsidR="00A82382" w:rsidRPr="00A82382" w:rsidRDefault="00A82382" w:rsidP="00A82382">
      <w:pPr>
        <w:spacing w:after="0" w:line="240" w:lineRule="auto"/>
        <w:rPr>
          <w:rFonts w:ascii="Arial" w:eastAsia="Times New Roman" w:hAnsi="Arial" w:cs="Arial"/>
          <w:b/>
          <w:bCs/>
          <w:sz w:val="20"/>
          <w:szCs w:val="20"/>
          <w:lang w:val="fr-BE" w:eastAsia="nl-NL"/>
        </w:rPr>
      </w:pPr>
      <w:r w:rsidRPr="00A82382">
        <w:rPr>
          <w:rFonts w:ascii="Arial" w:eastAsia="Times New Roman" w:hAnsi="Arial" w:cs="Arial"/>
          <w:b/>
          <w:bCs/>
          <w:sz w:val="20"/>
          <w:szCs w:val="20"/>
          <w:lang w:val="fr-BE" w:eastAsia="nl-NL"/>
        </w:rPr>
        <w:t xml:space="preserve">Sans suite : </w:t>
      </w:r>
    </w:p>
    <w:p w:rsidR="00A82382" w:rsidRPr="00A82382" w:rsidRDefault="00A82382" w:rsidP="00A82382">
      <w:pPr>
        <w:spacing w:after="0" w:line="240" w:lineRule="auto"/>
        <w:jc w:val="both"/>
        <w:rPr>
          <w:rFonts w:ascii="Arial" w:eastAsia="Times New Roman" w:hAnsi="Arial" w:cs="Arial"/>
          <w:sz w:val="20"/>
          <w:szCs w:val="20"/>
          <w:lang w:val="fr-BE"/>
        </w:rPr>
      </w:pPr>
      <w:r w:rsidRPr="00A82382">
        <w:rPr>
          <w:rFonts w:ascii="Arial" w:eastAsia="Times New Roman" w:hAnsi="Arial" w:cs="Arial"/>
          <w:sz w:val="20"/>
          <w:szCs w:val="20"/>
          <w:lang w:val="fr-BE"/>
        </w:rPr>
        <w:t>Le classement sans suite constitue une renonciation provisoire aux poursuites, mettant fin à l'information. Tant que l'action publique n'est pas éteinte, l’affaire peut être rouverte.</w:t>
      </w:r>
    </w:p>
    <w:p w:rsidR="00A82382" w:rsidRPr="00A82382" w:rsidRDefault="00A82382" w:rsidP="00A82382">
      <w:pPr>
        <w:spacing w:after="0" w:line="240" w:lineRule="auto"/>
        <w:jc w:val="both"/>
        <w:rPr>
          <w:rFonts w:ascii="Arial" w:eastAsia="Times New Roman" w:hAnsi="Arial" w:cs="Arial"/>
          <w:i/>
          <w:sz w:val="16"/>
          <w:szCs w:val="16"/>
          <w:lang w:val="fr-BE"/>
        </w:rPr>
      </w:pPr>
    </w:p>
    <w:p w:rsidR="00A82382" w:rsidRPr="00A82382" w:rsidRDefault="00A82382" w:rsidP="00A82382">
      <w:pPr>
        <w:spacing w:after="0" w:line="240" w:lineRule="auto"/>
        <w:rPr>
          <w:rFonts w:ascii="Arial" w:eastAsia="Times New Roman" w:hAnsi="Arial" w:cs="Arial"/>
          <w:b/>
          <w:bCs/>
          <w:sz w:val="20"/>
          <w:szCs w:val="20"/>
          <w:lang w:val="fr-BE" w:eastAsia="nl-NL"/>
        </w:rPr>
      </w:pPr>
      <w:r w:rsidRPr="00A82382">
        <w:rPr>
          <w:rFonts w:ascii="Arial" w:eastAsia="Times New Roman" w:hAnsi="Arial" w:cs="Arial"/>
          <w:b/>
          <w:bCs/>
          <w:sz w:val="20"/>
          <w:szCs w:val="20"/>
          <w:lang w:val="fr-BE" w:eastAsia="nl-NL"/>
        </w:rPr>
        <w:t xml:space="preserve">Pour disposition : </w:t>
      </w:r>
    </w:p>
    <w:p w:rsidR="00A82382" w:rsidRPr="00A82382" w:rsidRDefault="00A82382" w:rsidP="00A82382">
      <w:pPr>
        <w:spacing w:after="0" w:line="240" w:lineRule="auto"/>
        <w:jc w:val="both"/>
        <w:rPr>
          <w:rFonts w:ascii="Arial" w:eastAsia="Times New Roman" w:hAnsi="Arial" w:cs="Arial"/>
          <w:sz w:val="20"/>
          <w:szCs w:val="20"/>
          <w:lang w:val="fr-BE"/>
        </w:rPr>
      </w:pPr>
      <w:r w:rsidRPr="00A82382">
        <w:rPr>
          <w:rFonts w:ascii="Arial" w:eastAsia="Times New Roman" w:hAnsi="Arial" w:cs="Arial"/>
          <w:sz w:val="20"/>
          <w:szCs w:val="20"/>
          <w:lang w:val="fr-BE"/>
        </w:rPr>
        <w:t>Cette rubrique reprend les affaires qui, à la date de l’extraction, ont été transmises pour disposition.  Pour autant qu'elles ne reviennent pas vers le parquet expéditeur, les affaires transmises pour disposition restent dans cet état pour le parquet initial. Elles peuvent donc être considérées comme clôturées pour ce parquet. Ces affaires sont rouvertes sous un autre numéro de notice auprès du parquet destinataire.</w:t>
      </w:r>
    </w:p>
    <w:p w:rsidR="00A82382" w:rsidRPr="00A82382" w:rsidRDefault="00A82382" w:rsidP="00A82382">
      <w:pPr>
        <w:spacing w:after="0" w:line="240" w:lineRule="auto"/>
        <w:rPr>
          <w:rFonts w:ascii="Arial" w:eastAsia="Times New Roman" w:hAnsi="Arial" w:cs="Arial"/>
          <w:i/>
          <w:sz w:val="16"/>
          <w:szCs w:val="16"/>
          <w:lang w:val="fr-BE"/>
        </w:rPr>
      </w:pPr>
    </w:p>
    <w:p w:rsidR="00A82382" w:rsidRPr="00A82382" w:rsidRDefault="00A82382" w:rsidP="00A82382">
      <w:pPr>
        <w:spacing w:after="0" w:line="240" w:lineRule="auto"/>
        <w:rPr>
          <w:rFonts w:ascii="Arial" w:eastAsia="Times New Roman" w:hAnsi="Arial" w:cs="Arial"/>
          <w:b/>
          <w:bCs/>
          <w:sz w:val="20"/>
          <w:szCs w:val="20"/>
          <w:lang w:val="fr-BE" w:eastAsia="nl-NL"/>
        </w:rPr>
      </w:pPr>
      <w:r w:rsidRPr="00A82382">
        <w:rPr>
          <w:rFonts w:ascii="Arial" w:eastAsia="Times New Roman" w:hAnsi="Arial" w:cs="Arial"/>
          <w:b/>
          <w:bCs/>
          <w:sz w:val="20"/>
          <w:szCs w:val="20"/>
          <w:lang w:val="fr-BE" w:eastAsia="nl-NL"/>
        </w:rPr>
        <w:t xml:space="preserve">Probation prétorienne : </w:t>
      </w:r>
    </w:p>
    <w:p w:rsidR="00A82382" w:rsidRPr="00A82382" w:rsidRDefault="00A82382" w:rsidP="00A82382">
      <w:pPr>
        <w:keepNext/>
        <w:spacing w:after="0" w:line="260" w:lineRule="exact"/>
        <w:jc w:val="both"/>
        <w:outlineLvl w:val="0"/>
        <w:rPr>
          <w:rFonts w:ascii="Arial" w:eastAsia="Times New Roman" w:hAnsi="Arial" w:cs="Arial"/>
          <w:sz w:val="20"/>
          <w:szCs w:val="20"/>
          <w:lang w:val="fr-BE"/>
        </w:rPr>
      </w:pPr>
      <w:r w:rsidRPr="00A82382">
        <w:rPr>
          <w:rFonts w:ascii="Arial" w:eastAsia="Times New Roman" w:hAnsi="Arial" w:cs="Arial"/>
          <w:bCs/>
          <w:sz w:val="20"/>
          <w:szCs w:val="20"/>
          <w:lang w:val="fr-BE" w:eastAsia="nl-NL"/>
        </w:rPr>
        <w:t>C</w:t>
      </w:r>
      <w:r w:rsidRPr="00A82382">
        <w:rPr>
          <w:rFonts w:ascii="Arial" w:eastAsia="Times New Roman" w:hAnsi="Arial" w:cs="Arial"/>
          <w:sz w:val="20"/>
          <w:szCs w:val="20"/>
          <w:lang w:val="fr-BE"/>
        </w:rPr>
        <w:t>ette rubrique reprend les affaires dans le cadre desquelles une probation prétorienne a été proposée et pour lesquelles il n’y aura pas de poursuite pénale si les conditions reprises dans la probation sont respectées par l’auteur des faits (avant l’entrée en vigueur de la COL 16/2014, au 1</w:t>
      </w:r>
      <w:r w:rsidRPr="00A82382">
        <w:rPr>
          <w:rFonts w:ascii="Arial" w:eastAsia="Times New Roman" w:hAnsi="Arial" w:cs="Arial"/>
          <w:sz w:val="20"/>
          <w:szCs w:val="20"/>
          <w:vertAlign w:val="superscript"/>
          <w:lang w:val="fr-BE"/>
        </w:rPr>
        <w:t>er</w:t>
      </w:r>
      <w:r w:rsidRPr="00A82382">
        <w:rPr>
          <w:rFonts w:ascii="Arial" w:eastAsia="Times New Roman" w:hAnsi="Arial" w:cs="Arial"/>
          <w:sz w:val="20"/>
          <w:szCs w:val="20"/>
          <w:lang w:val="fr-BE"/>
        </w:rPr>
        <w:t xml:space="preserve"> janvier 2015, cet état d’avancement était considéré  comme un classement sans suite avec pour  motif « probation prétorienne »). </w:t>
      </w:r>
    </w:p>
    <w:p w:rsidR="00A82382" w:rsidRPr="00A82382" w:rsidRDefault="00A82382" w:rsidP="00A82382">
      <w:pPr>
        <w:spacing w:after="0" w:line="240" w:lineRule="auto"/>
        <w:rPr>
          <w:rFonts w:ascii="Arial" w:eastAsia="Times New Roman" w:hAnsi="Arial" w:cs="Arial"/>
          <w:b/>
          <w:bCs/>
          <w:sz w:val="16"/>
          <w:szCs w:val="16"/>
          <w:lang w:val="fr-BE" w:eastAsia="nl-NL"/>
        </w:rPr>
      </w:pPr>
    </w:p>
    <w:p w:rsidR="00A82382" w:rsidRPr="00A82382" w:rsidRDefault="00A82382" w:rsidP="00A82382">
      <w:pPr>
        <w:spacing w:after="0" w:line="240" w:lineRule="auto"/>
        <w:rPr>
          <w:rFonts w:ascii="Arial" w:eastAsia="Times New Roman" w:hAnsi="Arial" w:cs="Arial"/>
          <w:b/>
          <w:bCs/>
          <w:sz w:val="20"/>
          <w:szCs w:val="20"/>
          <w:lang w:val="fr-BE" w:eastAsia="nl-NL"/>
        </w:rPr>
      </w:pPr>
      <w:r w:rsidRPr="00A82382">
        <w:rPr>
          <w:rFonts w:ascii="Arial" w:eastAsia="Times New Roman" w:hAnsi="Arial" w:cs="Arial"/>
          <w:b/>
          <w:bCs/>
          <w:sz w:val="20"/>
          <w:szCs w:val="20"/>
          <w:lang w:val="fr-BE" w:eastAsia="nl-NL"/>
        </w:rPr>
        <w:t xml:space="preserve">Transaction : </w:t>
      </w:r>
    </w:p>
    <w:p w:rsidR="00A82382" w:rsidRPr="00A82382" w:rsidRDefault="00A82382" w:rsidP="00A82382">
      <w:pPr>
        <w:spacing w:after="0" w:line="240" w:lineRule="auto"/>
        <w:jc w:val="both"/>
        <w:rPr>
          <w:rFonts w:ascii="Arial" w:eastAsia="Times New Roman" w:hAnsi="Arial" w:cs="Arial"/>
          <w:sz w:val="20"/>
          <w:szCs w:val="20"/>
          <w:lang w:val="fr-BE"/>
        </w:rPr>
      </w:pPr>
      <w:r w:rsidRPr="00A82382">
        <w:rPr>
          <w:rFonts w:ascii="Arial" w:eastAsia="Times New Roman" w:hAnsi="Arial" w:cs="Arial"/>
          <w:sz w:val="20"/>
          <w:szCs w:val="20"/>
          <w:lang w:val="fr-BE"/>
        </w:rPr>
        <w:t>Dans cette catégorie figurent les affaires pour lesquelles une transaction a été proposée et qui sont en attente d’une décision finale (en ce compris les transactions partiellement payées), les affaires qui ont été clôturées par le paiement de la transaction et pour lesquelles l’action publique est éteinte et, enfin, les affaires pour lesquelles la transaction a été refusée mais qui, depuis lors, n’ont pas encore évolué vers un nouvel état d’avancement.</w:t>
      </w:r>
    </w:p>
    <w:p w:rsidR="00A82382" w:rsidRPr="00A82382" w:rsidRDefault="00A82382" w:rsidP="00A82382">
      <w:pPr>
        <w:spacing w:after="0" w:line="240" w:lineRule="auto"/>
        <w:rPr>
          <w:rFonts w:ascii="Arial" w:eastAsia="Times New Roman" w:hAnsi="Arial" w:cs="Arial"/>
          <w:sz w:val="16"/>
          <w:szCs w:val="16"/>
          <w:lang w:val="fr-BE"/>
        </w:rPr>
      </w:pPr>
    </w:p>
    <w:p w:rsidR="00A82382" w:rsidRPr="00A82382" w:rsidRDefault="00A82382" w:rsidP="00A82382">
      <w:pPr>
        <w:spacing w:after="0" w:line="240" w:lineRule="auto"/>
        <w:rPr>
          <w:rFonts w:ascii="Arial" w:eastAsia="Times New Roman" w:hAnsi="Arial" w:cs="Arial"/>
          <w:b/>
          <w:bCs/>
          <w:sz w:val="20"/>
          <w:szCs w:val="20"/>
          <w:lang w:val="fr-BE" w:eastAsia="nl-NL"/>
        </w:rPr>
      </w:pPr>
      <w:r w:rsidRPr="00A82382">
        <w:rPr>
          <w:rFonts w:ascii="Arial" w:eastAsia="Times New Roman" w:hAnsi="Arial" w:cs="Arial"/>
          <w:b/>
          <w:bCs/>
          <w:sz w:val="20"/>
          <w:szCs w:val="20"/>
          <w:lang w:val="fr-BE" w:eastAsia="nl-NL"/>
        </w:rPr>
        <w:t xml:space="preserve">Médiation pénale : </w:t>
      </w:r>
    </w:p>
    <w:p w:rsidR="00A82382" w:rsidRPr="00A82382" w:rsidRDefault="00A82382" w:rsidP="00A82382">
      <w:pPr>
        <w:spacing w:after="0" w:line="240" w:lineRule="auto"/>
        <w:jc w:val="both"/>
        <w:rPr>
          <w:rFonts w:ascii="Arial" w:eastAsia="Times New Roman" w:hAnsi="Arial" w:cs="Arial"/>
          <w:sz w:val="20"/>
          <w:szCs w:val="20"/>
          <w:lang w:val="fr-BE"/>
        </w:rPr>
      </w:pPr>
      <w:r w:rsidRPr="00A82382">
        <w:rPr>
          <w:rFonts w:ascii="Arial" w:eastAsia="Times New Roman" w:hAnsi="Arial" w:cs="Arial"/>
          <w:sz w:val="20"/>
          <w:szCs w:val="20"/>
          <w:lang w:val="fr-BE"/>
        </w:rPr>
        <w:t>Dans cette catégorie figurent les affaires pour lesquelles une médiation pénale a été proposée et qui sont en attente d’une décision finale, les affaires clôturées par le respect des conditions de la médiation et pour lesquelles l’action publique est éteinte et, enfin, les affaires pour lesquelles la médiation pénale a échoué mais qui, depuis lors, n’ont pas encore évolué vers un nouvel état d’avancement.</w:t>
      </w:r>
    </w:p>
    <w:p w:rsidR="00A82382" w:rsidRPr="00A82382" w:rsidRDefault="00A82382" w:rsidP="00A82382">
      <w:pPr>
        <w:spacing w:after="0" w:line="240" w:lineRule="auto"/>
        <w:rPr>
          <w:rFonts w:ascii="Arial" w:eastAsia="Times New Roman" w:hAnsi="Arial" w:cs="Arial"/>
          <w:i/>
          <w:sz w:val="16"/>
          <w:szCs w:val="16"/>
          <w:lang w:val="fr-BE"/>
        </w:rPr>
      </w:pPr>
    </w:p>
    <w:p w:rsidR="00A82382" w:rsidRPr="00A82382" w:rsidRDefault="00A82382" w:rsidP="00A82382">
      <w:pPr>
        <w:spacing w:after="0" w:line="240" w:lineRule="auto"/>
        <w:rPr>
          <w:rFonts w:ascii="Arial" w:eastAsia="Times New Roman" w:hAnsi="Arial" w:cs="Arial"/>
          <w:b/>
          <w:bCs/>
          <w:sz w:val="20"/>
          <w:szCs w:val="20"/>
          <w:lang w:val="fr-BE" w:eastAsia="nl-NL"/>
        </w:rPr>
      </w:pPr>
      <w:r w:rsidRPr="00A82382">
        <w:rPr>
          <w:rFonts w:ascii="Arial" w:eastAsia="Times New Roman" w:hAnsi="Arial" w:cs="Arial"/>
          <w:b/>
          <w:bCs/>
          <w:sz w:val="20"/>
          <w:szCs w:val="20"/>
          <w:lang w:val="fr-BE" w:eastAsia="nl-NL"/>
        </w:rPr>
        <w:t xml:space="preserve">Instruction : </w:t>
      </w:r>
    </w:p>
    <w:p w:rsidR="00A82382" w:rsidRPr="00A82382" w:rsidRDefault="00A82382" w:rsidP="00A82382">
      <w:pPr>
        <w:spacing w:after="0" w:line="240" w:lineRule="auto"/>
        <w:jc w:val="both"/>
        <w:rPr>
          <w:rFonts w:ascii="Arial" w:eastAsia="Times New Roman" w:hAnsi="Arial" w:cs="Arial"/>
          <w:sz w:val="20"/>
          <w:szCs w:val="20"/>
          <w:lang w:val="fr-BE"/>
        </w:rPr>
      </w:pPr>
      <w:r w:rsidRPr="00A82382">
        <w:rPr>
          <w:rFonts w:ascii="Arial" w:eastAsia="Times New Roman" w:hAnsi="Arial" w:cs="Arial"/>
          <w:sz w:val="20"/>
          <w:szCs w:val="20"/>
          <w:lang w:val="fr-BE"/>
        </w:rPr>
        <w:t>La rubrique instruction reprend les affaires mises à l’instruction judiciaire et qui n’ont pas</w:t>
      </w:r>
      <w:r w:rsidRPr="00A82382">
        <w:rPr>
          <w:rFonts w:ascii="Arial" w:eastAsia="Times New Roman" w:hAnsi="Arial" w:cs="Arial"/>
          <w:sz w:val="24"/>
          <w:szCs w:val="24"/>
          <w:lang w:val="fr-BE"/>
        </w:rPr>
        <w:t xml:space="preserve"> </w:t>
      </w:r>
      <w:r w:rsidRPr="00A82382">
        <w:rPr>
          <w:rFonts w:ascii="Arial" w:eastAsia="Times New Roman" w:hAnsi="Arial" w:cs="Arial"/>
          <w:sz w:val="20"/>
          <w:szCs w:val="20"/>
          <w:lang w:val="fr-BE"/>
        </w:rPr>
        <w:t xml:space="preserve">encore été fixées devant la chambre du conseil en vue du règlement de la procédure. </w:t>
      </w:r>
    </w:p>
    <w:p w:rsidR="00A82382" w:rsidRPr="00A82382" w:rsidRDefault="00A82382" w:rsidP="00A82382">
      <w:pPr>
        <w:spacing w:after="0" w:line="240" w:lineRule="auto"/>
        <w:rPr>
          <w:rFonts w:ascii="Arial" w:eastAsia="Times New Roman" w:hAnsi="Arial" w:cs="Arial"/>
          <w:i/>
          <w:sz w:val="16"/>
          <w:szCs w:val="16"/>
          <w:lang w:val="fr-BE"/>
        </w:rPr>
      </w:pPr>
    </w:p>
    <w:p w:rsidR="00A82382" w:rsidRPr="00A82382" w:rsidRDefault="00A82382" w:rsidP="00A82382">
      <w:pPr>
        <w:spacing w:after="0" w:line="240" w:lineRule="auto"/>
        <w:rPr>
          <w:rFonts w:ascii="Arial" w:eastAsia="Times New Roman" w:hAnsi="Arial" w:cs="Arial"/>
          <w:b/>
          <w:bCs/>
          <w:sz w:val="20"/>
          <w:szCs w:val="20"/>
          <w:lang w:val="fr-BE" w:eastAsia="nl-NL"/>
        </w:rPr>
      </w:pPr>
      <w:r w:rsidRPr="00A82382">
        <w:rPr>
          <w:rFonts w:ascii="Arial" w:eastAsia="Times New Roman" w:hAnsi="Arial" w:cs="Arial"/>
          <w:b/>
          <w:bCs/>
          <w:sz w:val="20"/>
          <w:szCs w:val="20"/>
          <w:lang w:val="fr-BE" w:eastAsia="nl-NL"/>
        </w:rPr>
        <w:t xml:space="preserve">Chambre du conseil : </w:t>
      </w:r>
    </w:p>
    <w:p w:rsidR="00A82382" w:rsidRPr="00A82382" w:rsidRDefault="00A82382" w:rsidP="00A82382">
      <w:pPr>
        <w:spacing w:after="0" w:line="240" w:lineRule="auto"/>
        <w:jc w:val="both"/>
        <w:rPr>
          <w:rFonts w:ascii="Arial" w:eastAsia="Times New Roman" w:hAnsi="Arial" w:cs="Arial"/>
          <w:sz w:val="20"/>
          <w:szCs w:val="20"/>
          <w:lang w:val="fr-BE"/>
        </w:rPr>
      </w:pPr>
      <w:r w:rsidRPr="00A82382">
        <w:rPr>
          <w:rFonts w:ascii="Arial" w:eastAsia="Times New Roman" w:hAnsi="Arial" w:cs="Arial"/>
          <w:sz w:val="20"/>
          <w:szCs w:val="20"/>
          <w:lang w:val="fr-BE"/>
        </w:rPr>
        <w:t xml:space="preserve">Cette rubrique comprend les affaires depuis la phase de règlement de la procédure jusqu’au moment d’une fixation éventuelle devant le tribunal correctionnel.  Les affaires dans lesquelles on a renoncé  aux poursuites, conservent cet état d’avancement. </w:t>
      </w:r>
    </w:p>
    <w:p w:rsidR="00A82382" w:rsidRPr="00A82382" w:rsidRDefault="00A82382" w:rsidP="00A82382">
      <w:pPr>
        <w:spacing w:after="0" w:line="240" w:lineRule="auto"/>
        <w:rPr>
          <w:rFonts w:ascii="Arial" w:eastAsia="Times New Roman" w:hAnsi="Arial" w:cs="Arial"/>
          <w:sz w:val="16"/>
          <w:szCs w:val="16"/>
          <w:lang w:val="fr-BE"/>
        </w:rPr>
      </w:pPr>
    </w:p>
    <w:p w:rsidR="00A82382" w:rsidRPr="00A82382" w:rsidRDefault="00A82382" w:rsidP="00A82382">
      <w:pPr>
        <w:spacing w:after="0" w:line="240" w:lineRule="auto"/>
        <w:rPr>
          <w:rFonts w:ascii="Arial" w:eastAsia="Times New Roman" w:hAnsi="Arial" w:cs="Arial"/>
          <w:b/>
          <w:bCs/>
          <w:sz w:val="20"/>
          <w:szCs w:val="20"/>
          <w:lang w:val="fr-BE" w:eastAsia="nl-NL"/>
        </w:rPr>
      </w:pPr>
      <w:r w:rsidRPr="00A82382">
        <w:rPr>
          <w:rFonts w:ascii="Arial" w:eastAsia="Times New Roman" w:hAnsi="Arial" w:cs="Arial"/>
          <w:b/>
          <w:bCs/>
          <w:sz w:val="20"/>
          <w:szCs w:val="20"/>
          <w:lang w:val="fr-BE" w:eastAsia="nl-NL"/>
        </w:rPr>
        <w:t xml:space="preserve">Citation et suites : </w:t>
      </w:r>
    </w:p>
    <w:p w:rsidR="00A82382" w:rsidRPr="00A82382" w:rsidRDefault="00A82382" w:rsidP="00A82382">
      <w:pPr>
        <w:spacing w:after="0" w:line="240" w:lineRule="auto"/>
        <w:jc w:val="both"/>
        <w:rPr>
          <w:rFonts w:ascii="Arial" w:eastAsia="Times New Roman" w:hAnsi="Arial" w:cs="Arial"/>
          <w:sz w:val="20"/>
          <w:szCs w:val="20"/>
          <w:lang w:val="fr-BE"/>
        </w:rPr>
      </w:pPr>
      <w:r w:rsidRPr="00A82382">
        <w:rPr>
          <w:rFonts w:ascii="Arial" w:eastAsia="Times New Roman" w:hAnsi="Arial" w:cs="Arial"/>
          <w:sz w:val="20"/>
          <w:szCs w:val="20"/>
          <w:lang w:val="fr-BE"/>
        </w:rPr>
        <w:t xml:space="preserve">Cette rubrique comprend les affaires pour lesquelles une citation ou une décision postérieure à la citation a été attribuée.  Il s’agit des affaires pour lesquelles une citation, une fixation devant le tribunal correctionnel, un jugement, une opposition, un appel etc. intervient. </w:t>
      </w:r>
    </w:p>
    <w:p w:rsidR="00A82382" w:rsidRPr="00A82382" w:rsidRDefault="00A82382" w:rsidP="00A82382">
      <w:pPr>
        <w:spacing w:after="0" w:line="240" w:lineRule="auto"/>
        <w:rPr>
          <w:rFonts w:ascii="Arial" w:eastAsia="Times New Roman" w:hAnsi="Arial" w:cs="Arial"/>
          <w:i/>
          <w:sz w:val="24"/>
          <w:szCs w:val="24"/>
          <w:lang w:val="fr-BE"/>
        </w:rPr>
      </w:pPr>
    </w:p>
    <w:p w:rsidR="00A82382" w:rsidRPr="00A82382" w:rsidRDefault="00A82382" w:rsidP="00A82382">
      <w:pPr>
        <w:spacing w:after="0" w:line="240" w:lineRule="auto"/>
        <w:rPr>
          <w:rFonts w:ascii="Arial" w:eastAsia="Times New Roman" w:hAnsi="Arial" w:cs="Arial"/>
          <w:b/>
          <w:bCs/>
          <w:sz w:val="20"/>
          <w:szCs w:val="20"/>
          <w:lang w:val="fr-BE" w:eastAsia="nl-NL"/>
        </w:rPr>
      </w:pPr>
      <w:r w:rsidRPr="00A82382">
        <w:rPr>
          <w:rFonts w:ascii="Arial" w:eastAsia="Times New Roman" w:hAnsi="Arial" w:cs="Arial"/>
          <w:b/>
          <w:bCs/>
          <w:sz w:val="20"/>
          <w:szCs w:val="20"/>
          <w:lang w:val="fr-BE" w:eastAsia="nl-NL"/>
        </w:rPr>
        <w:t xml:space="preserve">Inconnu/erreur : </w:t>
      </w:r>
    </w:p>
    <w:p w:rsidR="00A82382" w:rsidRDefault="00A82382" w:rsidP="00A82382">
      <w:pPr>
        <w:keepNext/>
        <w:adjustRightInd w:val="0"/>
        <w:spacing w:after="0" w:line="240" w:lineRule="auto"/>
        <w:jc w:val="both"/>
        <w:rPr>
          <w:rFonts w:ascii="Arial" w:eastAsia="Times New Roman" w:hAnsi="Arial" w:cs="Arial"/>
          <w:sz w:val="20"/>
          <w:szCs w:val="20"/>
          <w:lang w:val="fr-BE"/>
        </w:rPr>
        <w:sectPr w:rsidR="00A82382" w:rsidSect="00A82382">
          <w:footerReference w:type="default" r:id="rId7"/>
          <w:pgSz w:w="11906" w:h="16838"/>
          <w:pgMar w:top="1247" w:right="1440" w:bottom="1134" w:left="1440" w:header="709" w:footer="709" w:gutter="0"/>
          <w:cols w:space="708"/>
          <w:docGrid w:linePitch="360"/>
        </w:sectPr>
      </w:pPr>
      <w:r w:rsidRPr="00A82382">
        <w:rPr>
          <w:rFonts w:ascii="Arial" w:eastAsia="Times New Roman" w:hAnsi="Arial" w:cs="Arial"/>
          <w:sz w:val="20"/>
          <w:szCs w:val="20"/>
          <w:lang w:val="fr-BE"/>
        </w:rPr>
        <w:t>Cette rubrique comprend les affaires pour lesquelles il n’est pas possible d’obtenir des informations sur l’état d’avancement de l’affaire au moment de l’extraction de données.</w:t>
      </w:r>
    </w:p>
    <w:p w:rsidR="004B2FB2" w:rsidRPr="00DD5F1C" w:rsidRDefault="004B2FB2" w:rsidP="005248AB">
      <w:pPr>
        <w:keepNext/>
        <w:adjustRightInd w:val="0"/>
        <w:ind w:left="1620" w:hanging="1620"/>
        <w:jc w:val="both"/>
        <w:rPr>
          <w:rFonts w:ascii="Arial" w:hAnsi="Arial" w:cs="Arial"/>
          <w:b/>
          <w:bCs/>
          <w:color w:val="7483AE"/>
          <w:sz w:val="20"/>
          <w:szCs w:val="20"/>
          <w:lang w:val="fr-BE" w:eastAsia="fr-FR"/>
        </w:rPr>
      </w:pPr>
      <w:r>
        <w:rPr>
          <w:rFonts w:ascii="Arial" w:hAnsi="Arial" w:cs="Arial"/>
          <w:b/>
          <w:bCs/>
          <w:color w:val="7483AE"/>
          <w:sz w:val="20"/>
          <w:szCs w:val="20"/>
          <w:lang w:val="fr-BE" w:eastAsia="fr-FR"/>
        </w:rPr>
        <w:t>Tableau 3</w:t>
      </w:r>
      <w:r w:rsidRPr="00DD5F1C">
        <w:rPr>
          <w:rFonts w:ascii="Arial" w:hAnsi="Arial" w:cs="Arial"/>
          <w:b/>
          <w:bCs/>
          <w:color w:val="7483AE"/>
          <w:sz w:val="20"/>
          <w:szCs w:val="20"/>
          <w:lang w:val="fr-BE" w:eastAsia="fr-FR"/>
        </w:rPr>
        <w:t> :</w:t>
      </w:r>
      <w:r w:rsidRPr="00DD5F1C">
        <w:rPr>
          <w:rFonts w:ascii="Arial" w:hAnsi="Arial" w:cs="Arial"/>
          <w:b/>
          <w:bCs/>
          <w:color w:val="7483AE"/>
          <w:sz w:val="20"/>
          <w:szCs w:val="20"/>
          <w:lang w:val="fr-BE" w:eastAsia="fr-FR"/>
        </w:rPr>
        <w:tab/>
        <w:t>Nombre d’affaires de racisme ou de haine raciale entrées dans les parquets correctionnels entre le 1</w:t>
      </w:r>
      <w:r w:rsidRPr="00DD5F1C">
        <w:rPr>
          <w:rFonts w:ascii="Arial" w:hAnsi="Arial" w:cs="Arial"/>
          <w:b/>
          <w:bCs/>
          <w:color w:val="7483AE"/>
          <w:sz w:val="20"/>
          <w:szCs w:val="20"/>
          <w:vertAlign w:val="superscript"/>
          <w:lang w:val="fr-BE" w:eastAsia="fr-FR"/>
        </w:rPr>
        <w:t>er</w:t>
      </w:r>
      <w:r w:rsidRPr="00DD5F1C">
        <w:rPr>
          <w:rFonts w:ascii="Arial" w:hAnsi="Arial" w:cs="Arial"/>
          <w:b/>
          <w:bCs/>
          <w:color w:val="7483AE"/>
          <w:sz w:val="20"/>
          <w:szCs w:val="20"/>
          <w:lang w:val="fr-BE" w:eastAsia="fr-FR"/>
        </w:rPr>
        <w:t xml:space="preserve"> janvier 2010 et le 31 décembre 2016 et classées sans suite à la date du 10 juin 2017. Données présentées en fonction du motif de classement sans suite enregistré, par code de prévention/contexte (n &amp; % en colonne). </w:t>
      </w:r>
    </w:p>
    <w:tbl>
      <w:tblPr>
        <w:tblW w:w="5000" w:type="pct"/>
        <w:jc w:val="center"/>
        <w:tblCellMar>
          <w:left w:w="0" w:type="dxa"/>
          <w:right w:w="0" w:type="dxa"/>
        </w:tblCellMar>
        <w:tblLook w:val="0000" w:firstRow="0" w:lastRow="0" w:firstColumn="0" w:lastColumn="0" w:noHBand="0" w:noVBand="0"/>
      </w:tblPr>
      <w:tblGrid>
        <w:gridCol w:w="6710"/>
        <w:gridCol w:w="969"/>
        <w:gridCol w:w="856"/>
        <w:gridCol w:w="998"/>
        <w:gridCol w:w="998"/>
        <w:gridCol w:w="1100"/>
        <w:gridCol w:w="1100"/>
        <w:gridCol w:w="969"/>
        <w:gridCol w:w="853"/>
      </w:tblGrid>
      <w:tr w:rsidR="004B2FB2" w:rsidRPr="00DD5F1C" w:rsidTr="00A82382">
        <w:trPr>
          <w:cantSplit/>
          <w:tblHeader/>
          <w:jc w:val="center"/>
        </w:trPr>
        <w:tc>
          <w:tcPr>
            <w:tcW w:w="2305" w:type="pct"/>
            <w:vMerge w:val="restart"/>
            <w:tcBorders>
              <w:top w:val="single" w:sz="15" w:space="0" w:color="E6E6E6"/>
              <w:left w:val="single" w:sz="15" w:space="0" w:color="E6E6E6"/>
              <w:bottom w:val="single" w:sz="4" w:space="0" w:color="E6E6E6"/>
              <w:right w:val="nil"/>
            </w:tcBorders>
            <w:shd w:val="clear" w:color="auto" w:fill="7483AE"/>
            <w:tcMar>
              <w:left w:w="48" w:type="dxa"/>
              <w:right w:w="48" w:type="dxa"/>
            </w:tcMar>
            <w:vAlign w:val="center"/>
          </w:tcPr>
          <w:p w:rsidR="004B2FB2" w:rsidRPr="00DD5F1C" w:rsidRDefault="004B2FB2" w:rsidP="009A7433">
            <w:pPr>
              <w:adjustRightInd w:val="0"/>
              <w:spacing w:before="48" w:after="48"/>
              <w:jc w:val="center"/>
              <w:rPr>
                <w:rFonts w:ascii="Arial" w:hAnsi="Arial" w:cs="Arial"/>
                <w:color w:val="FFFFFF"/>
                <w:sz w:val="16"/>
                <w:szCs w:val="16"/>
                <w:lang w:val="fr-BE"/>
              </w:rPr>
            </w:pPr>
          </w:p>
        </w:tc>
        <w:tc>
          <w:tcPr>
            <w:tcW w:w="627" w:type="pct"/>
            <w:gridSpan w:val="2"/>
            <w:tcBorders>
              <w:top w:val="single" w:sz="15" w:space="0" w:color="E6E6E6"/>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56A - Racisme</w:t>
            </w:r>
          </w:p>
        </w:tc>
        <w:tc>
          <w:tcPr>
            <w:tcW w:w="686" w:type="pct"/>
            <w:gridSpan w:val="2"/>
            <w:tcBorders>
              <w:top w:val="single" w:sz="15" w:space="0" w:color="E6E6E6"/>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56B - Xénophobie</w:t>
            </w:r>
          </w:p>
        </w:tc>
        <w:tc>
          <w:tcPr>
            <w:tcW w:w="755" w:type="pct"/>
            <w:gridSpan w:val="2"/>
            <w:tcBorders>
              <w:top w:val="single" w:sz="15" w:space="0" w:color="E6E6E6"/>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Contexte racisme/xénophobie</w:t>
            </w:r>
          </w:p>
        </w:tc>
        <w:tc>
          <w:tcPr>
            <w:tcW w:w="627" w:type="pct"/>
            <w:gridSpan w:val="2"/>
            <w:tcBorders>
              <w:top w:val="single" w:sz="15" w:space="0" w:color="E6E6E6"/>
              <w:left w:val="single" w:sz="4" w:space="0" w:color="E6E6E6"/>
              <w:bottom w:val="single" w:sz="4" w:space="0" w:color="E6E6E6"/>
              <w:right w:val="single" w:sz="15" w:space="0" w:color="E6E6E6"/>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TOTAL</w:t>
            </w:r>
          </w:p>
        </w:tc>
      </w:tr>
      <w:tr w:rsidR="004B2FB2" w:rsidRPr="00DD5F1C" w:rsidTr="00A82382">
        <w:trPr>
          <w:cantSplit/>
          <w:tblHeader/>
          <w:jc w:val="center"/>
        </w:trPr>
        <w:tc>
          <w:tcPr>
            <w:tcW w:w="2305" w:type="pct"/>
            <w:vMerge/>
            <w:tcBorders>
              <w:top w:val="single" w:sz="15" w:space="0" w:color="E6E6E6"/>
              <w:left w:val="single" w:sz="15" w:space="0" w:color="E6E6E6"/>
              <w:bottom w:val="single" w:sz="4" w:space="0" w:color="E6E6E6"/>
              <w:right w:val="nil"/>
            </w:tcBorders>
            <w:shd w:val="clear" w:color="auto" w:fill="7483AE"/>
            <w:tcMar>
              <w:left w:w="48" w:type="dxa"/>
              <w:right w:w="48" w:type="dxa"/>
            </w:tcMar>
            <w:vAlign w:val="center"/>
          </w:tcPr>
          <w:p w:rsidR="004B2FB2" w:rsidRPr="00DD5F1C" w:rsidRDefault="004B2FB2" w:rsidP="009A7433">
            <w:pPr>
              <w:adjustRightInd w:val="0"/>
              <w:rPr>
                <w:lang w:val="fr-BE"/>
              </w:rPr>
            </w:pPr>
          </w:p>
        </w:tc>
        <w:tc>
          <w:tcPr>
            <w:tcW w:w="333" w:type="pct"/>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294" w:type="pct"/>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c>
          <w:tcPr>
            <w:tcW w:w="343" w:type="pct"/>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343" w:type="pct"/>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c>
          <w:tcPr>
            <w:tcW w:w="378" w:type="pct"/>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378" w:type="pct"/>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c>
          <w:tcPr>
            <w:tcW w:w="333" w:type="pct"/>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294" w:type="pct"/>
            <w:tcBorders>
              <w:top w:val="nil"/>
              <w:left w:val="single" w:sz="4" w:space="0" w:color="E6E6E6"/>
              <w:bottom w:val="single" w:sz="4" w:space="0" w:color="E6E6E6"/>
              <w:right w:val="single" w:sz="15" w:space="0" w:color="E6E6E6"/>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D3D3D3"/>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 xml:space="preserve">Classement de nature technique                                                    </w:t>
            </w:r>
          </w:p>
        </w:tc>
        <w:tc>
          <w:tcPr>
            <w:tcW w:w="333"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2.525</w:t>
            </w:r>
          </w:p>
        </w:tc>
        <w:tc>
          <w:tcPr>
            <w:tcW w:w="294"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65,89</w:t>
            </w:r>
          </w:p>
        </w:tc>
        <w:tc>
          <w:tcPr>
            <w:tcW w:w="343"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84</w:t>
            </w:r>
          </w:p>
        </w:tc>
        <w:tc>
          <w:tcPr>
            <w:tcW w:w="343"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65,12</w:t>
            </w:r>
          </w:p>
        </w:tc>
        <w:tc>
          <w:tcPr>
            <w:tcW w:w="378"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82</w:t>
            </w:r>
          </w:p>
        </w:tc>
        <w:tc>
          <w:tcPr>
            <w:tcW w:w="378"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64,57</w:t>
            </w:r>
          </w:p>
        </w:tc>
        <w:tc>
          <w:tcPr>
            <w:tcW w:w="333"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2.691</w:t>
            </w:r>
          </w:p>
        </w:tc>
        <w:tc>
          <w:tcPr>
            <w:tcW w:w="294" w:type="pct"/>
            <w:tcBorders>
              <w:top w:val="nil"/>
              <w:left w:val="single" w:sz="4" w:space="0" w:color="E6E6E6"/>
              <w:bottom w:val="single" w:sz="4" w:space="0" w:color="E6E6E6"/>
              <w:right w:val="single" w:sz="15" w:space="0" w:color="E6E6E6"/>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65,83</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absence d'infraction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400</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10,44</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17</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13,18</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11</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8,66</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428</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10,47</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charges insuffisantes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1.661</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43,35</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56</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43,41</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56</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44,09</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1.773</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43,37</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extinction de l'action publique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11</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0,29</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11</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0,27</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prescription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3</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0,08</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3</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0,07</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décès de l'auteur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7</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0,18</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7</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0,17</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désistement de plainte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0,03</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0,02</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irrecevabilité de l'action publique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15</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0,39</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0,78</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2</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1,57</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18</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0,44</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incompétence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3</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0,08</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0,78</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0,79</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5</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0,12</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autorité de la chose jugée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6</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0,16</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6</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0,15</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immunité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2</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0,05</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2</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0,05</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cause d'excuse absolutoire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3</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0,08</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3</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0,07</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absence de plainte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0,03</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0,79</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2</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0,05</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auteur(s) inconnu(s)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438</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11,43</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10</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7,75</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13</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10,24</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461</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11,28</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D3D3D3"/>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 xml:space="preserve">Classement sans suite pour motifs d'opportunité                                   </w:t>
            </w:r>
          </w:p>
        </w:tc>
        <w:tc>
          <w:tcPr>
            <w:tcW w:w="333"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1.304</w:t>
            </w:r>
          </w:p>
        </w:tc>
        <w:tc>
          <w:tcPr>
            <w:tcW w:w="294"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34,03</w:t>
            </w:r>
          </w:p>
        </w:tc>
        <w:tc>
          <w:tcPr>
            <w:tcW w:w="343"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45</w:t>
            </w:r>
          </w:p>
        </w:tc>
        <w:tc>
          <w:tcPr>
            <w:tcW w:w="343"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34,88</w:t>
            </w:r>
          </w:p>
        </w:tc>
        <w:tc>
          <w:tcPr>
            <w:tcW w:w="378"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45</w:t>
            </w:r>
          </w:p>
        </w:tc>
        <w:tc>
          <w:tcPr>
            <w:tcW w:w="378"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35,43</w:t>
            </w:r>
          </w:p>
        </w:tc>
        <w:tc>
          <w:tcPr>
            <w:tcW w:w="333"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1.394</w:t>
            </w:r>
          </w:p>
        </w:tc>
        <w:tc>
          <w:tcPr>
            <w:tcW w:w="294" w:type="pct"/>
            <w:tcBorders>
              <w:top w:val="nil"/>
              <w:left w:val="single" w:sz="4" w:space="0" w:color="E6E6E6"/>
              <w:bottom w:val="single" w:sz="4" w:space="0" w:color="E6E6E6"/>
              <w:right w:val="single" w:sz="15" w:space="0" w:color="E6E6E6"/>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34,10</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motifs propres à la nature des faits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417</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10,88</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21</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16,28</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19</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14,96</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457</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11,18</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répercussion sociale limitée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47</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1,23</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4</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3,10</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5</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3,94</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56</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1,37</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situation régularisée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148</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3,86</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9</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6,98</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8</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6,30</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165</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4,04</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infraction à caractère relationnel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118</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3,08</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6</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4,65</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3</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2,36</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127</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3,11</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préjudice peu important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43</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1,12</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2</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1,55</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0,79</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46</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1,13</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dépassement du délai raisonnable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61</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1,59</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2</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1,57</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63</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1,54</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motifs propres à la personnalité de l'auteur ou de la victime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654</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17,07</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16</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12,40</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17</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13,39</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687</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16,81</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absence d'antécédents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78</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2,04</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0,78</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4</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3,15</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83</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2,03</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faits occasionnels-circonstances spécifiques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252</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6,58</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9</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6,98</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7</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5,51</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268</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6,56</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jeunesse de l'auteur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4</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0,10</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4</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0,10</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conséquences disproportionnées-trouble social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279</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7,28</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5</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3,88</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2</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1,57</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286</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7,00</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comportement de la victime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40</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1,04</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0,78</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3</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2,36</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44</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1,08</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indemnisation de la victime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0,03</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0,79</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2</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0,05</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politique criminelle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233</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6,08</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8</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6,20</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9</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7,09</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250</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b/>
                <w:bCs/>
                <w:i/>
                <w:iCs/>
                <w:color w:val="000000"/>
                <w:sz w:val="16"/>
                <w:szCs w:val="16"/>
                <w:lang w:val="fr-BE"/>
              </w:rPr>
            </w:pPr>
            <w:r w:rsidRPr="00DD5F1C">
              <w:rPr>
                <w:rFonts w:ascii="Arial" w:hAnsi="Arial" w:cs="Arial"/>
                <w:b/>
                <w:bCs/>
                <w:i/>
                <w:iCs/>
                <w:color w:val="000000"/>
                <w:sz w:val="16"/>
                <w:szCs w:val="16"/>
                <w:lang w:val="fr-BE"/>
              </w:rPr>
              <w:t xml:space="preserve">   6,12</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capacité d'enquête insuffisante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48</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1,25</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48</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1,17</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autres priorités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178</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4,65</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8</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6,20</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9</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7,09</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195</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4,77</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priorité à la voie civile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4</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0,10</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4</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0,10</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color w:val="000000"/>
                <w:sz w:val="16"/>
                <w:szCs w:val="16"/>
                <w:lang w:val="fr-BE"/>
              </w:rPr>
            </w:pPr>
            <w:r w:rsidRPr="00DD5F1C">
              <w:rPr>
                <w:rFonts w:ascii="Arial" w:hAnsi="Arial" w:cs="Arial"/>
                <w:color w:val="000000"/>
                <w:sz w:val="16"/>
                <w:szCs w:val="16"/>
                <w:lang w:val="fr-BE"/>
              </w:rPr>
              <w:t xml:space="preserve">                priorité à la voie disciplinaire                                  </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3</w:t>
            </w:r>
          </w:p>
        </w:tc>
        <w:tc>
          <w:tcPr>
            <w:tcW w:w="294"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0,08</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4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78"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w:t>
            </w:r>
          </w:p>
        </w:tc>
        <w:tc>
          <w:tcPr>
            <w:tcW w:w="333" w:type="pct"/>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3</w:t>
            </w:r>
          </w:p>
        </w:tc>
        <w:tc>
          <w:tcPr>
            <w:tcW w:w="294" w:type="pct"/>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000000"/>
                <w:sz w:val="16"/>
                <w:szCs w:val="16"/>
                <w:lang w:val="fr-BE"/>
              </w:rPr>
            </w:pPr>
            <w:r w:rsidRPr="00DD5F1C">
              <w:rPr>
                <w:rFonts w:ascii="Arial" w:hAnsi="Arial" w:cs="Arial"/>
                <w:color w:val="000000"/>
                <w:sz w:val="16"/>
                <w:szCs w:val="16"/>
                <w:lang w:val="fr-BE"/>
              </w:rPr>
              <w:t xml:space="preserve">   0,07</w:t>
            </w:r>
          </w:p>
        </w:tc>
      </w:tr>
      <w:tr w:rsidR="004B2FB2" w:rsidRPr="00DD5F1C" w:rsidTr="00A82382">
        <w:trPr>
          <w:cantSplit/>
          <w:jc w:val="center"/>
        </w:trPr>
        <w:tc>
          <w:tcPr>
            <w:tcW w:w="2305" w:type="pct"/>
            <w:tcBorders>
              <w:top w:val="nil"/>
              <w:left w:val="single" w:sz="15" w:space="0" w:color="E6E6E6"/>
              <w:bottom w:val="single" w:sz="4" w:space="0" w:color="E6E6E6"/>
              <w:right w:val="nil"/>
            </w:tcBorders>
            <w:shd w:val="clear" w:color="auto" w:fill="D3D3D3"/>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 xml:space="preserve">Inconnu/erreur                                                                    </w:t>
            </w:r>
          </w:p>
        </w:tc>
        <w:tc>
          <w:tcPr>
            <w:tcW w:w="333"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3</w:t>
            </w:r>
          </w:p>
        </w:tc>
        <w:tc>
          <w:tcPr>
            <w:tcW w:w="294"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0,08</w:t>
            </w:r>
          </w:p>
        </w:tc>
        <w:tc>
          <w:tcPr>
            <w:tcW w:w="343"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w:t>
            </w:r>
          </w:p>
        </w:tc>
        <w:tc>
          <w:tcPr>
            <w:tcW w:w="343"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w:t>
            </w:r>
          </w:p>
        </w:tc>
        <w:tc>
          <w:tcPr>
            <w:tcW w:w="378"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w:t>
            </w:r>
          </w:p>
        </w:tc>
        <w:tc>
          <w:tcPr>
            <w:tcW w:w="378"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w:t>
            </w:r>
          </w:p>
        </w:tc>
        <w:tc>
          <w:tcPr>
            <w:tcW w:w="333" w:type="pct"/>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3</w:t>
            </w:r>
          </w:p>
        </w:tc>
        <w:tc>
          <w:tcPr>
            <w:tcW w:w="294" w:type="pct"/>
            <w:tcBorders>
              <w:top w:val="nil"/>
              <w:left w:val="single" w:sz="4" w:space="0" w:color="E6E6E6"/>
              <w:bottom w:val="single" w:sz="4" w:space="0" w:color="E6E6E6"/>
              <w:right w:val="single" w:sz="15" w:space="0" w:color="E6E6E6"/>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0,07</w:t>
            </w:r>
          </w:p>
        </w:tc>
      </w:tr>
      <w:tr w:rsidR="004B2FB2" w:rsidRPr="00DD5F1C" w:rsidTr="00A82382">
        <w:trPr>
          <w:cantSplit/>
          <w:jc w:val="center"/>
        </w:trPr>
        <w:tc>
          <w:tcPr>
            <w:tcW w:w="2305" w:type="pct"/>
            <w:tcBorders>
              <w:top w:val="nil"/>
              <w:left w:val="single" w:sz="15" w:space="0" w:color="E6E6E6"/>
              <w:bottom w:val="single" w:sz="15" w:space="0" w:color="E6E6E6"/>
              <w:right w:val="nil"/>
            </w:tcBorders>
            <w:shd w:val="clear" w:color="auto" w:fill="808080"/>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 xml:space="preserve">TOTAL                                                                             </w:t>
            </w:r>
          </w:p>
        </w:tc>
        <w:tc>
          <w:tcPr>
            <w:tcW w:w="333" w:type="pct"/>
            <w:tcBorders>
              <w:top w:val="nil"/>
              <w:left w:val="single" w:sz="4" w:space="0" w:color="E6E6E6"/>
              <w:bottom w:val="single" w:sz="15" w:space="0" w:color="E6E6E6"/>
              <w:right w:val="nil"/>
            </w:tcBorders>
            <w:shd w:val="clear" w:color="auto" w:fill="808080"/>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3.832</w:t>
            </w:r>
          </w:p>
        </w:tc>
        <w:tc>
          <w:tcPr>
            <w:tcW w:w="294" w:type="pct"/>
            <w:tcBorders>
              <w:top w:val="nil"/>
              <w:left w:val="single" w:sz="4" w:space="0" w:color="E6E6E6"/>
              <w:bottom w:val="single" w:sz="15" w:space="0" w:color="E6E6E6"/>
              <w:right w:val="nil"/>
            </w:tcBorders>
            <w:shd w:val="clear" w:color="auto" w:fill="808080"/>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100,00</w:t>
            </w:r>
          </w:p>
        </w:tc>
        <w:tc>
          <w:tcPr>
            <w:tcW w:w="343" w:type="pct"/>
            <w:tcBorders>
              <w:top w:val="nil"/>
              <w:left w:val="single" w:sz="4" w:space="0" w:color="E6E6E6"/>
              <w:bottom w:val="single" w:sz="15" w:space="0" w:color="E6E6E6"/>
              <w:right w:val="nil"/>
            </w:tcBorders>
            <w:shd w:val="clear" w:color="auto" w:fill="808080"/>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129</w:t>
            </w:r>
          </w:p>
        </w:tc>
        <w:tc>
          <w:tcPr>
            <w:tcW w:w="343" w:type="pct"/>
            <w:tcBorders>
              <w:top w:val="nil"/>
              <w:left w:val="single" w:sz="4" w:space="0" w:color="E6E6E6"/>
              <w:bottom w:val="single" w:sz="15" w:space="0" w:color="E6E6E6"/>
              <w:right w:val="nil"/>
            </w:tcBorders>
            <w:shd w:val="clear" w:color="auto" w:fill="808080"/>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100,00</w:t>
            </w:r>
          </w:p>
        </w:tc>
        <w:tc>
          <w:tcPr>
            <w:tcW w:w="378" w:type="pct"/>
            <w:tcBorders>
              <w:top w:val="nil"/>
              <w:left w:val="single" w:sz="4" w:space="0" w:color="E6E6E6"/>
              <w:bottom w:val="single" w:sz="15" w:space="0" w:color="E6E6E6"/>
              <w:right w:val="nil"/>
            </w:tcBorders>
            <w:shd w:val="clear" w:color="auto" w:fill="808080"/>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127</w:t>
            </w:r>
          </w:p>
        </w:tc>
        <w:tc>
          <w:tcPr>
            <w:tcW w:w="378" w:type="pct"/>
            <w:tcBorders>
              <w:top w:val="nil"/>
              <w:left w:val="single" w:sz="4" w:space="0" w:color="E6E6E6"/>
              <w:bottom w:val="single" w:sz="15" w:space="0" w:color="E6E6E6"/>
              <w:right w:val="nil"/>
            </w:tcBorders>
            <w:shd w:val="clear" w:color="auto" w:fill="808080"/>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100,00</w:t>
            </w:r>
          </w:p>
        </w:tc>
        <w:tc>
          <w:tcPr>
            <w:tcW w:w="333" w:type="pct"/>
            <w:tcBorders>
              <w:top w:val="nil"/>
              <w:left w:val="single" w:sz="4" w:space="0" w:color="E6E6E6"/>
              <w:bottom w:val="single" w:sz="15" w:space="0" w:color="E6E6E6"/>
              <w:right w:val="nil"/>
            </w:tcBorders>
            <w:shd w:val="clear" w:color="auto" w:fill="808080"/>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4.088</w:t>
            </w:r>
          </w:p>
        </w:tc>
        <w:tc>
          <w:tcPr>
            <w:tcW w:w="294" w:type="pct"/>
            <w:tcBorders>
              <w:top w:val="nil"/>
              <w:left w:val="single" w:sz="4" w:space="0" w:color="E6E6E6"/>
              <w:bottom w:val="single" w:sz="15" w:space="0" w:color="E6E6E6"/>
              <w:right w:val="single" w:sz="15" w:space="0" w:color="E6E6E6"/>
            </w:tcBorders>
            <w:shd w:val="clear" w:color="auto" w:fill="808080"/>
            <w:tcMar>
              <w:left w:w="48" w:type="dxa"/>
              <w:right w:w="48" w:type="dxa"/>
            </w:tcMar>
            <w:vAlign w:val="bottom"/>
          </w:tcPr>
          <w:p w:rsidR="004B2FB2" w:rsidRPr="00DD5F1C" w:rsidRDefault="004B2FB2" w:rsidP="009A7433">
            <w:pPr>
              <w:adjustRightInd w:val="0"/>
              <w:spacing w:before="48" w:after="48"/>
              <w:jc w:val="right"/>
              <w:rPr>
                <w:rFonts w:ascii="Arial" w:hAnsi="Arial" w:cs="Arial"/>
                <w:b/>
                <w:bCs/>
                <w:color w:val="000000"/>
                <w:sz w:val="16"/>
                <w:szCs w:val="16"/>
                <w:lang w:val="fr-BE"/>
              </w:rPr>
            </w:pPr>
            <w:r w:rsidRPr="00DD5F1C">
              <w:rPr>
                <w:rFonts w:ascii="Arial" w:hAnsi="Arial" w:cs="Arial"/>
                <w:b/>
                <w:bCs/>
                <w:color w:val="000000"/>
                <w:sz w:val="16"/>
                <w:szCs w:val="16"/>
                <w:lang w:val="fr-BE"/>
              </w:rPr>
              <w:t xml:space="preserve"> 100,00</w:t>
            </w:r>
          </w:p>
        </w:tc>
      </w:tr>
    </w:tbl>
    <w:p w:rsidR="004B2FB2" w:rsidRPr="00DD5F1C" w:rsidRDefault="004B2FB2" w:rsidP="004B2FB2">
      <w:pPr>
        <w:keepNext/>
        <w:adjustRightInd w:val="0"/>
        <w:ind w:left="1620" w:hanging="1620"/>
        <w:jc w:val="center"/>
        <w:rPr>
          <w:szCs w:val="20"/>
          <w:lang w:val="fr-BE"/>
        </w:rPr>
      </w:pPr>
      <w:r w:rsidRPr="00DD5F1C">
        <w:rPr>
          <w:i/>
          <w:sz w:val="16"/>
          <w:szCs w:val="16"/>
          <w:lang w:val="fr-BE"/>
        </w:rPr>
        <w:t>Source : banque de données du Collège des procureurs généraux – Analystes statistiques.</w:t>
      </w:r>
    </w:p>
    <w:p w:rsidR="004B2FB2" w:rsidRPr="00DD5F1C" w:rsidRDefault="004B2FB2" w:rsidP="004B2FB2">
      <w:pPr>
        <w:jc w:val="both"/>
        <w:rPr>
          <w:rFonts w:ascii="Arial" w:hAnsi="Arial" w:cs="Arial"/>
          <w:sz w:val="20"/>
          <w:szCs w:val="20"/>
          <w:lang w:val="fr-BE"/>
        </w:rPr>
      </w:pPr>
    </w:p>
    <w:p w:rsidR="00A82382" w:rsidRDefault="004B2FB2" w:rsidP="004B2FB2">
      <w:pPr>
        <w:rPr>
          <w:rFonts w:ascii="Arial" w:hAnsi="Arial" w:cs="Arial"/>
          <w:sz w:val="20"/>
          <w:szCs w:val="20"/>
          <w:lang w:val="fr-BE"/>
        </w:rPr>
        <w:sectPr w:rsidR="00A82382" w:rsidSect="00A82382">
          <w:pgSz w:w="16838" w:h="11906" w:orient="landscape"/>
          <w:pgMar w:top="1440" w:right="1247" w:bottom="1440" w:left="1134" w:header="709" w:footer="709" w:gutter="0"/>
          <w:cols w:space="708"/>
          <w:docGrid w:linePitch="360"/>
        </w:sectPr>
      </w:pPr>
      <w:r w:rsidRPr="00DD5F1C">
        <w:rPr>
          <w:rFonts w:ascii="Arial" w:hAnsi="Arial" w:cs="Arial"/>
          <w:sz w:val="20"/>
          <w:szCs w:val="20"/>
          <w:lang w:val="fr-BE"/>
        </w:rPr>
        <w:t xml:space="preserve">Le </w:t>
      </w:r>
      <w:r>
        <w:rPr>
          <w:rFonts w:ascii="Arial" w:hAnsi="Arial" w:cs="Arial"/>
          <w:sz w:val="20"/>
          <w:szCs w:val="20"/>
          <w:lang w:val="fr-BE"/>
        </w:rPr>
        <w:t>tableau</w:t>
      </w:r>
      <w:r w:rsidRPr="00DD5F1C">
        <w:rPr>
          <w:rFonts w:ascii="Arial" w:hAnsi="Arial" w:cs="Arial"/>
          <w:sz w:val="20"/>
          <w:szCs w:val="20"/>
          <w:lang w:val="fr-BE"/>
        </w:rPr>
        <w:t xml:space="preserve"> précise les motifs des classements sans suite pour les affaires de racisme ou de haine raciale entrées dans les parquets correctionnels entre le 1</w:t>
      </w:r>
      <w:r w:rsidRPr="00DD5F1C">
        <w:rPr>
          <w:rFonts w:ascii="Arial" w:hAnsi="Arial" w:cs="Arial"/>
          <w:sz w:val="20"/>
          <w:szCs w:val="20"/>
          <w:vertAlign w:val="superscript"/>
          <w:lang w:val="fr-BE"/>
        </w:rPr>
        <w:t>er</w:t>
      </w:r>
      <w:r w:rsidRPr="00DD5F1C">
        <w:rPr>
          <w:rFonts w:ascii="Arial" w:hAnsi="Arial" w:cs="Arial"/>
          <w:sz w:val="20"/>
          <w:szCs w:val="20"/>
          <w:lang w:val="fr-BE"/>
        </w:rPr>
        <w:t xml:space="preserve"> janvier 2010 et le 31 décembre 2016 et classées sans suite à la date du 10 juin 2017. </w:t>
      </w:r>
    </w:p>
    <w:p w:rsidR="004B2FB2" w:rsidRPr="00DD5F1C" w:rsidRDefault="004B2FB2" w:rsidP="004B2FB2">
      <w:pPr>
        <w:ind w:left="1440" w:hanging="1440"/>
        <w:jc w:val="both"/>
        <w:rPr>
          <w:rFonts w:ascii="Arial" w:hAnsi="Arial" w:cs="Arial"/>
          <w:b/>
          <w:bCs/>
          <w:color w:val="7483AE"/>
          <w:sz w:val="20"/>
          <w:szCs w:val="20"/>
          <w:lang w:val="fr-BE" w:eastAsia="fr-FR"/>
        </w:rPr>
      </w:pPr>
      <w:r>
        <w:rPr>
          <w:rFonts w:ascii="Arial" w:hAnsi="Arial" w:cs="Arial"/>
          <w:b/>
          <w:bCs/>
          <w:color w:val="7483AE"/>
          <w:sz w:val="20"/>
          <w:szCs w:val="20"/>
          <w:lang w:val="fr-BE" w:eastAsia="fr-FR"/>
        </w:rPr>
        <w:t>Tableau 4</w:t>
      </w:r>
      <w:r w:rsidRPr="00DD5F1C">
        <w:rPr>
          <w:rFonts w:ascii="Arial" w:hAnsi="Arial" w:cs="Arial"/>
          <w:b/>
          <w:bCs/>
          <w:color w:val="7483AE"/>
          <w:sz w:val="20"/>
          <w:szCs w:val="20"/>
          <w:lang w:val="fr-BE" w:eastAsia="fr-FR"/>
        </w:rPr>
        <w:t> :</w:t>
      </w:r>
      <w:r w:rsidRPr="00DD5F1C">
        <w:rPr>
          <w:rFonts w:ascii="Arial" w:hAnsi="Arial" w:cs="Arial"/>
          <w:b/>
          <w:bCs/>
          <w:color w:val="7483AE"/>
          <w:sz w:val="20"/>
          <w:szCs w:val="20"/>
          <w:lang w:val="fr-BE" w:eastAsia="fr-FR"/>
        </w:rPr>
        <w:tab/>
        <w:t>Nombre d’affaires affaires de racisme ou de haine raciale entrées dans les parquets correctionnels entre le 1</w:t>
      </w:r>
      <w:r w:rsidRPr="00DD5F1C">
        <w:rPr>
          <w:rFonts w:ascii="Arial" w:hAnsi="Arial" w:cs="Arial"/>
          <w:b/>
          <w:bCs/>
          <w:color w:val="7483AE"/>
          <w:sz w:val="20"/>
          <w:szCs w:val="20"/>
          <w:vertAlign w:val="superscript"/>
          <w:lang w:val="fr-BE" w:eastAsia="fr-FR"/>
        </w:rPr>
        <w:t>er</w:t>
      </w:r>
      <w:r w:rsidRPr="00DD5F1C">
        <w:rPr>
          <w:rFonts w:ascii="Arial" w:hAnsi="Arial" w:cs="Arial"/>
          <w:b/>
          <w:bCs/>
          <w:color w:val="7483AE"/>
          <w:sz w:val="20"/>
          <w:szCs w:val="20"/>
          <w:lang w:val="fr-BE" w:eastAsia="fr-FR"/>
        </w:rPr>
        <w:t xml:space="preserve"> janvier 2010 et le 31 décembre 2016 pour lesquelles un premier jugement au fond a été prononcé par le tribunal correctionnel au 10 juin 2017, selon la catégorie de jugement et le code de prévention/contexte enregistré (n &amp; % en colonne).</w:t>
      </w:r>
    </w:p>
    <w:p w:rsidR="004B2FB2" w:rsidRPr="00DD5F1C" w:rsidRDefault="004B2FB2" w:rsidP="004B2FB2">
      <w:pPr>
        <w:jc w:val="center"/>
        <w:rPr>
          <w:rFonts w:ascii="Arial" w:hAnsi="Arial" w:cs="Arial"/>
          <w:color w:val="FFFFFF"/>
          <w:sz w:val="16"/>
          <w:szCs w:val="16"/>
          <w:lang w:val="fr-BE"/>
        </w:rPr>
      </w:pPr>
    </w:p>
    <w:tbl>
      <w:tblPr>
        <w:tblW w:w="0" w:type="auto"/>
        <w:jc w:val="center"/>
        <w:tblLayout w:type="fixed"/>
        <w:tblCellMar>
          <w:left w:w="0" w:type="dxa"/>
          <w:right w:w="0" w:type="dxa"/>
        </w:tblCellMar>
        <w:tblLook w:val="0000" w:firstRow="0" w:lastRow="0" w:firstColumn="0" w:lastColumn="0" w:noHBand="0" w:noVBand="0"/>
      </w:tblPr>
      <w:tblGrid>
        <w:gridCol w:w="1277"/>
        <w:gridCol w:w="3031"/>
        <w:gridCol w:w="641"/>
        <w:gridCol w:w="641"/>
        <w:gridCol w:w="759"/>
        <w:gridCol w:w="759"/>
        <w:gridCol w:w="836"/>
        <w:gridCol w:w="836"/>
        <w:gridCol w:w="378"/>
        <w:gridCol w:w="605"/>
      </w:tblGrid>
      <w:tr w:rsidR="004B2FB2" w:rsidRPr="00DD5F1C" w:rsidTr="009A7433">
        <w:trPr>
          <w:cantSplit/>
          <w:tblHeader/>
          <w:jc w:val="center"/>
        </w:trPr>
        <w:tc>
          <w:tcPr>
            <w:tcW w:w="4308" w:type="dxa"/>
            <w:gridSpan w:val="2"/>
            <w:vMerge w:val="restart"/>
            <w:tcBorders>
              <w:top w:val="single" w:sz="15" w:space="0" w:color="E6E6E6"/>
              <w:left w:val="single" w:sz="15" w:space="0" w:color="E6E6E6"/>
              <w:bottom w:val="single" w:sz="4" w:space="0" w:color="E6E6E6"/>
              <w:right w:val="nil"/>
            </w:tcBorders>
            <w:shd w:val="clear" w:color="auto" w:fill="7483AE"/>
            <w:tcMar>
              <w:left w:w="48" w:type="dxa"/>
              <w:right w:w="48" w:type="dxa"/>
            </w:tcMar>
            <w:vAlign w:val="center"/>
          </w:tcPr>
          <w:p w:rsidR="004B2FB2" w:rsidRPr="00DD5F1C" w:rsidRDefault="004B2FB2" w:rsidP="009A7433">
            <w:pPr>
              <w:adjustRightInd w:val="0"/>
              <w:spacing w:before="48" w:after="48"/>
              <w:jc w:val="center"/>
              <w:rPr>
                <w:rFonts w:ascii="Arial" w:hAnsi="Arial" w:cs="Arial"/>
                <w:color w:val="FFFFFF"/>
                <w:sz w:val="16"/>
                <w:szCs w:val="16"/>
                <w:lang w:val="fr-BE"/>
              </w:rPr>
            </w:pPr>
          </w:p>
        </w:tc>
        <w:tc>
          <w:tcPr>
            <w:tcW w:w="1282" w:type="dxa"/>
            <w:gridSpan w:val="2"/>
            <w:tcBorders>
              <w:top w:val="single" w:sz="15" w:space="0" w:color="E6E6E6"/>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56A - Racisme</w:t>
            </w:r>
          </w:p>
        </w:tc>
        <w:tc>
          <w:tcPr>
            <w:tcW w:w="1518" w:type="dxa"/>
            <w:gridSpan w:val="2"/>
            <w:tcBorders>
              <w:top w:val="single" w:sz="15" w:space="0" w:color="E6E6E6"/>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56B - Xénophobie</w:t>
            </w:r>
          </w:p>
        </w:tc>
        <w:tc>
          <w:tcPr>
            <w:tcW w:w="1672" w:type="dxa"/>
            <w:gridSpan w:val="2"/>
            <w:tcBorders>
              <w:top w:val="single" w:sz="15" w:space="0" w:color="E6E6E6"/>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Contexte racisme/xénophobie</w:t>
            </w:r>
          </w:p>
        </w:tc>
        <w:tc>
          <w:tcPr>
            <w:tcW w:w="983" w:type="dxa"/>
            <w:gridSpan w:val="2"/>
            <w:tcBorders>
              <w:top w:val="single" w:sz="15" w:space="0" w:color="E6E6E6"/>
              <w:left w:val="single" w:sz="4" w:space="0" w:color="E6E6E6"/>
              <w:bottom w:val="single" w:sz="4" w:space="0" w:color="E6E6E6"/>
              <w:right w:val="single" w:sz="15" w:space="0" w:color="E6E6E6"/>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TOTAL</w:t>
            </w:r>
          </w:p>
        </w:tc>
      </w:tr>
      <w:tr w:rsidR="004B2FB2" w:rsidRPr="00DD5F1C" w:rsidTr="009A7433">
        <w:trPr>
          <w:cantSplit/>
          <w:tblHeader/>
          <w:jc w:val="center"/>
        </w:trPr>
        <w:tc>
          <w:tcPr>
            <w:tcW w:w="4308" w:type="dxa"/>
            <w:gridSpan w:val="2"/>
            <w:vMerge/>
            <w:tcBorders>
              <w:top w:val="single" w:sz="15" w:space="0" w:color="E6E6E6"/>
              <w:left w:val="single" w:sz="15" w:space="0" w:color="E6E6E6"/>
              <w:bottom w:val="single" w:sz="4" w:space="0" w:color="E6E6E6"/>
              <w:right w:val="nil"/>
            </w:tcBorders>
            <w:shd w:val="clear" w:color="auto" w:fill="7483AE"/>
            <w:tcMar>
              <w:left w:w="48" w:type="dxa"/>
              <w:right w:w="48" w:type="dxa"/>
            </w:tcMar>
            <w:vAlign w:val="center"/>
          </w:tcPr>
          <w:p w:rsidR="004B2FB2" w:rsidRPr="00DD5F1C" w:rsidRDefault="004B2FB2" w:rsidP="009A7433">
            <w:pPr>
              <w:adjustRightInd w:val="0"/>
              <w:rPr>
                <w:lang w:val="fr-BE"/>
              </w:rPr>
            </w:pPr>
          </w:p>
        </w:tc>
        <w:tc>
          <w:tcPr>
            <w:tcW w:w="641"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641"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c>
          <w:tcPr>
            <w:tcW w:w="759"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759"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c>
          <w:tcPr>
            <w:tcW w:w="836"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836"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c>
          <w:tcPr>
            <w:tcW w:w="378" w:type="dxa"/>
            <w:tcBorders>
              <w:top w:val="nil"/>
              <w:left w:val="single" w:sz="4" w:space="0" w:color="E6E6E6"/>
              <w:bottom w:val="single" w:sz="4" w:space="0" w:color="E6E6E6"/>
              <w:right w:val="nil"/>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n</w:t>
            </w:r>
          </w:p>
        </w:tc>
        <w:tc>
          <w:tcPr>
            <w:tcW w:w="605" w:type="dxa"/>
            <w:tcBorders>
              <w:top w:val="nil"/>
              <w:left w:val="single" w:sz="4" w:space="0" w:color="E6E6E6"/>
              <w:bottom w:val="single" w:sz="4" w:space="0" w:color="E6E6E6"/>
              <w:right w:val="single" w:sz="15" w:space="0" w:color="E6E6E6"/>
            </w:tcBorders>
            <w:shd w:val="clear" w:color="auto" w:fill="7483AE"/>
            <w:tcMar>
              <w:left w:w="48" w:type="dxa"/>
              <w:right w:w="48" w:type="dxa"/>
            </w:tcMar>
            <w:vAlign w:val="bottom"/>
          </w:tcPr>
          <w:p w:rsidR="004B2FB2" w:rsidRPr="00DD5F1C" w:rsidRDefault="004B2FB2" w:rsidP="009A7433">
            <w:pPr>
              <w:adjustRightInd w:val="0"/>
              <w:spacing w:before="48" w:after="48"/>
              <w:jc w:val="center"/>
              <w:rPr>
                <w:rFonts w:ascii="Arial" w:hAnsi="Arial" w:cs="Arial"/>
                <w:color w:val="FFFFFF"/>
                <w:sz w:val="16"/>
                <w:szCs w:val="16"/>
                <w:lang w:val="fr-BE"/>
              </w:rPr>
            </w:pPr>
            <w:r w:rsidRPr="00DD5F1C">
              <w:rPr>
                <w:rFonts w:ascii="Arial" w:hAnsi="Arial" w:cs="Arial"/>
                <w:color w:val="FFFFFF"/>
                <w:sz w:val="16"/>
                <w:szCs w:val="16"/>
                <w:lang w:val="fr-BE"/>
              </w:rPr>
              <w:t>%</w:t>
            </w:r>
          </w:p>
        </w:tc>
      </w:tr>
      <w:tr w:rsidR="004B2FB2" w:rsidRPr="00DD5F1C" w:rsidTr="009A7433">
        <w:trPr>
          <w:cantSplit/>
          <w:jc w:val="center"/>
        </w:trPr>
        <w:tc>
          <w:tcPr>
            <w:tcW w:w="1277" w:type="dxa"/>
            <w:vMerge w:val="restar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Condamnation</w:t>
            </w:r>
          </w:p>
        </w:tc>
        <w:tc>
          <w:tcPr>
            <w:tcW w:w="3031" w:type="dxa"/>
            <w:tcBorders>
              <w:top w:val="nil"/>
              <w:left w:val="single" w:sz="4"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Condamnation</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93</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50,82</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7</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50,00</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8</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42,11</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108</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50,00</w:t>
            </w:r>
          </w:p>
        </w:tc>
      </w:tr>
      <w:tr w:rsidR="004B2FB2" w:rsidRPr="00DD5F1C" w:rsidTr="009A7433">
        <w:trPr>
          <w:cantSplit/>
          <w:jc w:val="center"/>
        </w:trPr>
        <w:tc>
          <w:tcPr>
            <w:tcW w:w="1277" w:type="dxa"/>
            <w:vMerge/>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rPr>
                <w:lang w:val="fr-BE"/>
              </w:rPr>
            </w:pPr>
          </w:p>
        </w:tc>
        <w:tc>
          <w:tcPr>
            <w:tcW w:w="3031" w:type="dxa"/>
            <w:tcBorders>
              <w:top w:val="nil"/>
              <w:left w:val="single" w:sz="4"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Condamnation avec sursis</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37</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20,22</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14,29</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15,79</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42</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19,44</w:t>
            </w:r>
          </w:p>
        </w:tc>
      </w:tr>
      <w:tr w:rsidR="004B2FB2" w:rsidRPr="00DD5F1C" w:rsidTr="009A7433">
        <w:trPr>
          <w:cantSplit/>
          <w:jc w:val="center"/>
        </w:trPr>
        <w:tc>
          <w:tcPr>
            <w:tcW w:w="1277" w:type="dxa"/>
            <w:vMerge/>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rPr>
                <w:lang w:val="fr-BE"/>
              </w:rPr>
            </w:pPr>
          </w:p>
        </w:tc>
        <w:tc>
          <w:tcPr>
            <w:tcW w:w="3031" w:type="dxa"/>
            <w:tcBorders>
              <w:top w:val="nil"/>
              <w:left w:val="single" w:sz="4"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Condamnation avec sursis probatoire</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16</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8,74</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7,14</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10,53</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19</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8,80</w:t>
            </w:r>
          </w:p>
        </w:tc>
      </w:tr>
      <w:tr w:rsidR="004B2FB2" w:rsidRPr="00DD5F1C" w:rsidTr="009A7433">
        <w:trPr>
          <w:cantSplit/>
          <w:jc w:val="center"/>
        </w:trPr>
        <w:tc>
          <w:tcPr>
            <w:tcW w:w="1277" w:type="dxa"/>
            <w:vMerge/>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rPr>
                <w:lang w:val="fr-BE"/>
              </w:rPr>
            </w:pPr>
          </w:p>
        </w:tc>
        <w:tc>
          <w:tcPr>
            <w:tcW w:w="3031" w:type="dxa"/>
            <w:tcBorders>
              <w:top w:val="nil"/>
              <w:left w:val="single" w:sz="4"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Total rubrique</w:t>
            </w:r>
          </w:p>
        </w:tc>
        <w:tc>
          <w:tcPr>
            <w:tcW w:w="641"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146</w:t>
            </w:r>
          </w:p>
        </w:tc>
        <w:tc>
          <w:tcPr>
            <w:tcW w:w="641"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79,78</w:t>
            </w:r>
          </w:p>
        </w:tc>
        <w:tc>
          <w:tcPr>
            <w:tcW w:w="759"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10</w:t>
            </w:r>
          </w:p>
        </w:tc>
        <w:tc>
          <w:tcPr>
            <w:tcW w:w="759"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71,43</w:t>
            </w:r>
          </w:p>
        </w:tc>
        <w:tc>
          <w:tcPr>
            <w:tcW w:w="836"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13</w:t>
            </w:r>
          </w:p>
        </w:tc>
        <w:tc>
          <w:tcPr>
            <w:tcW w:w="836"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68,42</w:t>
            </w:r>
          </w:p>
        </w:tc>
        <w:tc>
          <w:tcPr>
            <w:tcW w:w="378"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169</w:t>
            </w:r>
          </w:p>
        </w:tc>
        <w:tc>
          <w:tcPr>
            <w:tcW w:w="605" w:type="dxa"/>
            <w:tcBorders>
              <w:top w:val="nil"/>
              <w:left w:val="single" w:sz="4" w:space="0" w:color="E6E6E6"/>
              <w:bottom w:val="single" w:sz="4" w:space="0" w:color="E6E6E6"/>
              <w:right w:val="single" w:sz="15" w:space="0" w:color="E6E6E6"/>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78,24</w:t>
            </w:r>
          </w:p>
        </w:tc>
      </w:tr>
      <w:tr w:rsidR="004B2FB2" w:rsidRPr="00DD5F1C" w:rsidTr="009A7433">
        <w:trPr>
          <w:cantSplit/>
          <w:jc w:val="center"/>
        </w:trPr>
        <w:tc>
          <w:tcPr>
            <w:tcW w:w="1277" w:type="dxa"/>
            <w:vMerge w:val="restar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Suspension</w:t>
            </w:r>
          </w:p>
        </w:tc>
        <w:tc>
          <w:tcPr>
            <w:tcW w:w="3031" w:type="dxa"/>
            <w:tcBorders>
              <w:top w:val="nil"/>
              <w:left w:val="single" w:sz="4"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Suspension simple</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18</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9,84</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10,53</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20</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9,26</w:t>
            </w:r>
          </w:p>
        </w:tc>
      </w:tr>
      <w:tr w:rsidR="004B2FB2" w:rsidRPr="00DD5F1C" w:rsidTr="009A7433">
        <w:trPr>
          <w:cantSplit/>
          <w:jc w:val="center"/>
        </w:trPr>
        <w:tc>
          <w:tcPr>
            <w:tcW w:w="1277" w:type="dxa"/>
            <w:vMerge/>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rPr>
                <w:lang w:val="fr-BE"/>
              </w:rPr>
            </w:pPr>
          </w:p>
        </w:tc>
        <w:tc>
          <w:tcPr>
            <w:tcW w:w="3031" w:type="dxa"/>
            <w:tcBorders>
              <w:top w:val="nil"/>
              <w:left w:val="single" w:sz="4"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Suspension probatoire</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1,09</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15,79</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5</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2,31</w:t>
            </w:r>
          </w:p>
        </w:tc>
      </w:tr>
      <w:tr w:rsidR="004B2FB2" w:rsidRPr="00DD5F1C" w:rsidTr="009A7433">
        <w:trPr>
          <w:cantSplit/>
          <w:jc w:val="center"/>
        </w:trPr>
        <w:tc>
          <w:tcPr>
            <w:tcW w:w="1277" w:type="dxa"/>
            <w:vMerge/>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rPr>
                <w:lang w:val="fr-BE"/>
              </w:rPr>
            </w:pPr>
          </w:p>
        </w:tc>
        <w:tc>
          <w:tcPr>
            <w:tcW w:w="3031" w:type="dxa"/>
            <w:tcBorders>
              <w:top w:val="nil"/>
              <w:left w:val="single" w:sz="4"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Total rubrique</w:t>
            </w:r>
          </w:p>
        </w:tc>
        <w:tc>
          <w:tcPr>
            <w:tcW w:w="641"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20</w:t>
            </w:r>
          </w:p>
        </w:tc>
        <w:tc>
          <w:tcPr>
            <w:tcW w:w="641"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10,93</w:t>
            </w:r>
          </w:p>
        </w:tc>
        <w:tc>
          <w:tcPr>
            <w:tcW w:w="759"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w:t>
            </w:r>
          </w:p>
        </w:tc>
        <w:tc>
          <w:tcPr>
            <w:tcW w:w="759"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w:t>
            </w:r>
          </w:p>
        </w:tc>
        <w:tc>
          <w:tcPr>
            <w:tcW w:w="836"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5</w:t>
            </w:r>
          </w:p>
        </w:tc>
        <w:tc>
          <w:tcPr>
            <w:tcW w:w="836"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26,32</w:t>
            </w:r>
          </w:p>
        </w:tc>
        <w:tc>
          <w:tcPr>
            <w:tcW w:w="378"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25</w:t>
            </w:r>
          </w:p>
        </w:tc>
        <w:tc>
          <w:tcPr>
            <w:tcW w:w="605" w:type="dxa"/>
            <w:tcBorders>
              <w:top w:val="nil"/>
              <w:left w:val="single" w:sz="4" w:space="0" w:color="E6E6E6"/>
              <w:bottom w:val="single" w:sz="4" w:space="0" w:color="E6E6E6"/>
              <w:right w:val="single" w:sz="15" w:space="0" w:color="E6E6E6"/>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11,57</w:t>
            </w:r>
          </w:p>
        </w:tc>
      </w:tr>
      <w:tr w:rsidR="004B2FB2" w:rsidRPr="00DD5F1C" w:rsidTr="009A7433">
        <w:trPr>
          <w:cantSplit/>
          <w:jc w:val="center"/>
        </w:trPr>
        <w:tc>
          <w:tcPr>
            <w:tcW w:w="1277" w:type="dxa"/>
            <w:vMerge w:val="restar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Acquittement</w:t>
            </w:r>
          </w:p>
        </w:tc>
        <w:tc>
          <w:tcPr>
            <w:tcW w:w="3031" w:type="dxa"/>
            <w:tcBorders>
              <w:top w:val="nil"/>
              <w:left w:val="single" w:sz="4"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Acquittement</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9</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4,92</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14,29</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5,26</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12</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5,56</w:t>
            </w:r>
          </w:p>
        </w:tc>
      </w:tr>
      <w:tr w:rsidR="004B2FB2" w:rsidRPr="00DD5F1C" w:rsidTr="009A7433">
        <w:trPr>
          <w:cantSplit/>
          <w:jc w:val="center"/>
        </w:trPr>
        <w:tc>
          <w:tcPr>
            <w:tcW w:w="1277" w:type="dxa"/>
            <w:vMerge/>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rPr>
                <w:lang w:val="fr-BE"/>
              </w:rPr>
            </w:pPr>
          </w:p>
        </w:tc>
        <w:tc>
          <w:tcPr>
            <w:tcW w:w="3031" w:type="dxa"/>
            <w:tcBorders>
              <w:top w:val="nil"/>
              <w:left w:val="single" w:sz="4"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Total rubrique</w:t>
            </w:r>
          </w:p>
        </w:tc>
        <w:tc>
          <w:tcPr>
            <w:tcW w:w="641"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9</w:t>
            </w:r>
          </w:p>
        </w:tc>
        <w:tc>
          <w:tcPr>
            <w:tcW w:w="641"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4,92</w:t>
            </w:r>
          </w:p>
        </w:tc>
        <w:tc>
          <w:tcPr>
            <w:tcW w:w="759"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2</w:t>
            </w:r>
          </w:p>
        </w:tc>
        <w:tc>
          <w:tcPr>
            <w:tcW w:w="759"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14,29</w:t>
            </w:r>
          </w:p>
        </w:tc>
        <w:tc>
          <w:tcPr>
            <w:tcW w:w="836"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1</w:t>
            </w:r>
          </w:p>
        </w:tc>
        <w:tc>
          <w:tcPr>
            <w:tcW w:w="836"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5,26</w:t>
            </w:r>
          </w:p>
        </w:tc>
        <w:tc>
          <w:tcPr>
            <w:tcW w:w="378"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12</w:t>
            </w:r>
          </w:p>
        </w:tc>
        <w:tc>
          <w:tcPr>
            <w:tcW w:w="605" w:type="dxa"/>
            <w:tcBorders>
              <w:top w:val="nil"/>
              <w:left w:val="single" w:sz="4" w:space="0" w:color="E6E6E6"/>
              <w:bottom w:val="single" w:sz="4" w:space="0" w:color="E6E6E6"/>
              <w:right w:val="single" w:sz="15" w:space="0" w:color="E6E6E6"/>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5,56</w:t>
            </w:r>
          </w:p>
        </w:tc>
      </w:tr>
      <w:tr w:rsidR="004B2FB2" w:rsidRPr="00DD5F1C" w:rsidTr="009A7433">
        <w:trPr>
          <w:cantSplit/>
          <w:jc w:val="center"/>
        </w:trPr>
        <w:tc>
          <w:tcPr>
            <w:tcW w:w="1277" w:type="dxa"/>
            <w:vMerge w:val="restart"/>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Autres</w:t>
            </w:r>
          </w:p>
        </w:tc>
        <w:tc>
          <w:tcPr>
            <w:tcW w:w="3031" w:type="dxa"/>
            <w:tcBorders>
              <w:top w:val="nil"/>
              <w:left w:val="single" w:sz="4"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Jugement avant dire droit</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0,55</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0,46</w:t>
            </w:r>
          </w:p>
        </w:tc>
      </w:tr>
      <w:tr w:rsidR="004B2FB2" w:rsidRPr="00DD5F1C" w:rsidTr="009A7433">
        <w:trPr>
          <w:cantSplit/>
          <w:jc w:val="center"/>
        </w:trPr>
        <w:tc>
          <w:tcPr>
            <w:tcW w:w="1277" w:type="dxa"/>
            <w:vMerge/>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rPr>
                <w:lang w:val="fr-BE"/>
              </w:rPr>
            </w:pPr>
          </w:p>
        </w:tc>
        <w:tc>
          <w:tcPr>
            <w:tcW w:w="3031" w:type="dxa"/>
            <w:tcBorders>
              <w:top w:val="nil"/>
              <w:left w:val="single" w:sz="4"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Action publique éteinte</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1,64</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1,39</w:t>
            </w:r>
          </w:p>
        </w:tc>
      </w:tr>
      <w:tr w:rsidR="004B2FB2" w:rsidRPr="00DD5F1C" w:rsidTr="009A7433">
        <w:trPr>
          <w:cantSplit/>
          <w:jc w:val="center"/>
        </w:trPr>
        <w:tc>
          <w:tcPr>
            <w:tcW w:w="1277" w:type="dxa"/>
            <w:vMerge/>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rPr>
                <w:lang w:val="fr-BE"/>
              </w:rPr>
            </w:pPr>
          </w:p>
        </w:tc>
        <w:tc>
          <w:tcPr>
            <w:tcW w:w="3031" w:type="dxa"/>
            <w:tcBorders>
              <w:top w:val="nil"/>
              <w:left w:val="single" w:sz="4"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Absorption</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0,55</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0,46</w:t>
            </w:r>
          </w:p>
        </w:tc>
      </w:tr>
      <w:tr w:rsidR="004B2FB2" w:rsidRPr="00DD5F1C" w:rsidTr="009A7433">
        <w:trPr>
          <w:cantSplit/>
          <w:jc w:val="center"/>
        </w:trPr>
        <w:tc>
          <w:tcPr>
            <w:tcW w:w="1277" w:type="dxa"/>
            <w:vMerge/>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rPr>
                <w:lang w:val="fr-BE"/>
              </w:rPr>
            </w:pPr>
          </w:p>
        </w:tc>
        <w:tc>
          <w:tcPr>
            <w:tcW w:w="3031" w:type="dxa"/>
            <w:tcBorders>
              <w:top w:val="nil"/>
              <w:left w:val="single" w:sz="4"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Varia</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3</w:t>
            </w:r>
          </w:p>
        </w:tc>
        <w:tc>
          <w:tcPr>
            <w:tcW w:w="641"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1,64</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w:t>
            </w:r>
          </w:p>
        </w:tc>
        <w:tc>
          <w:tcPr>
            <w:tcW w:w="759"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14,29</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836"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w:t>
            </w:r>
          </w:p>
        </w:tc>
        <w:tc>
          <w:tcPr>
            <w:tcW w:w="378" w:type="dxa"/>
            <w:tcBorders>
              <w:top w:val="nil"/>
              <w:left w:val="single" w:sz="4" w:space="0" w:color="E6E6E6"/>
              <w:bottom w:val="single" w:sz="4"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5</w:t>
            </w:r>
          </w:p>
        </w:tc>
        <w:tc>
          <w:tcPr>
            <w:tcW w:w="605" w:type="dxa"/>
            <w:tcBorders>
              <w:top w:val="nil"/>
              <w:left w:val="single" w:sz="4" w:space="0" w:color="E6E6E6"/>
              <w:bottom w:val="single" w:sz="4"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2,31</w:t>
            </w:r>
          </w:p>
        </w:tc>
      </w:tr>
      <w:tr w:rsidR="004B2FB2" w:rsidRPr="00DD5F1C" w:rsidTr="009A7433">
        <w:trPr>
          <w:cantSplit/>
          <w:jc w:val="center"/>
        </w:trPr>
        <w:tc>
          <w:tcPr>
            <w:tcW w:w="1277" w:type="dxa"/>
            <w:vMerge/>
            <w:tcBorders>
              <w:top w:val="nil"/>
              <w:left w:val="single" w:sz="15"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rPr>
                <w:lang w:val="fr-BE"/>
              </w:rPr>
            </w:pPr>
          </w:p>
        </w:tc>
        <w:tc>
          <w:tcPr>
            <w:tcW w:w="3031" w:type="dxa"/>
            <w:tcBorders>
              <w:top w:val="nil"/>
              <w:left w:val="single" w:sz="4" w:space="0" w:color="E6E6E6"/>
              <w:bottom w:val="single" w:sz="4"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Total rubrique</w:t>
            </w:r>
          </w:p>
        </w:tc>
        <w:tc>
          <w:tcPr>
            <w:tcW w:w="641"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8</w:t>
            </w:r>
          </w:p>
        </w:tc>
        <w:tc>
          <w:tcPr>
            <w:tcW w:w="641"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4,37</w:t>
            </w:r>
          </w:p>
        </w:tc>
        <w:tc>
          <w:tcPr>
            <w:tcW w:w="759"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2</w:t>
            </w:r>
          </w:p>
        </w:tc>
        <w:tc>
          <w:tcPr>
            <w:tcW w:w="759"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14,29</w:t>
            </w:r>
          </w:p>
        </w:tc>
        <w:tc>
          <w:tcPr>
            <w:tcW w:w="836"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w:t>
            </w:r>
          </w:p>
        </w:tc>
        <w:tc>
          <w:tcPr>
            <w:tcW w:w="836"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w:t>
            </w:r>
          </w:p>
        </w:tc>
        <w:tc>
          <w:tcPr>
            <w:tcW w:w="378" w:type="dxa"/>
            <w:tcBorders>
              <w:top w:val="nil"/>
              <w:left w:val="single" w:sz="4" w:space="0" w:color="E6E6E6"/>
              <w:bottom w:val="single" w:sz="4" w:space="0" w:color="E6E6E6"/>
              <w:right w:val="nil"/>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10</w:t>
            </w:r>
          </w:p>
        </w:tc>
        <w:tc>
          <w:tcPr>
            <w:tcW w:w="605" w:type="dxa"/>
            <w:tcBorders>
              <w:top w:val="nil"/>
              <w:left w:val="single" w:sz="4" w:space="0" w:color="E6E6E6"/>
              <w:bottom w:val="single" w:sz="4" w:space="0" w:color="E6E6E6"/>
              <w:right w:val="single" w:sz="15" w:space="0" w:color="E6E6E6"/>
            </w:tcBorders>
            <w:shd w:val="clear" w:color="auto" w:fill="D3D3D3"/>
            <w:tcMar>
              <w:left w:w="48" w:type="dxa"/>
              <w:right w:w="48" w:type="dxa"/>
            </w:tcMar>
            <w:vAlign w:val="bottom"/>
          </w:tcPr>
          <w:p w:rsidR="004B2FB2" w:rsidRPr="00DD5F1C" w:rsidRDefault="004B2FB2" w:rsidP="009A7433">
            <w:pPr>
              <w:adjustRightInd w:val="0"/>
              <w:spacing w:before="48" w:after="48"/>
              <w:jc w:val="right"/>
              <w:rPr>
                <w:rFonts w:ascii="Arial" w:hAnsi="Arial" w:cs="Arial"/>
                <w:i/>
                <w:iCs/>
                <w:color w:val="231F20"/>
                <w:sz w:val="16"/>
                <w:szCs w:val="16"/>
                <w:lang w:val="fr-BE"/>
              </w:rPr>
            </w:pPr>
            <w:r w:rsidRPr="00DD5F1C">
              <w:rPr>
                <w:rFonts w:ascii="Arial" w:hAnsi="Arial" w:cs="Arial"/>
                <w:i/>
                <w:iCs/>
                <w:color w:val="231F20"/>
                <w:sz w:val="16"/>
                <w:szCs w:val="16"/>
                <w:lang w:val="fr-BE"/>
              </w:rPr>
              <w:t>4,63</w:t>
            </w:r>
          </w:p>
        </w:tc>
      </w:tr>
      <w:tr w:rsidR="004B2FB2" w:rsidRPr="00DD5F1C" w:rsidTr="009A7433">
        <w:trPr>
          <w:cantSplit/>
          <w:jc w:val="center"/>
        </w:trPr>
        <w:tc>
          <w:tcPr>
            <w:tcW w:w="4308" w:type="dxa"/>
            <w:gridSpan w:val="2"/>
            <w:tcBorders>
              <w:top w:val="nil"/>
              <w:left w:val="single" w:sz="15" w:space="0" w:color="E6E6E6"/>
              <w:bottom w:val="single" w:sz="15" w:space="0" w:color="E6E6E6"/>
              <w:right w:val="nil"/>
            </w:tcBorders>
            <w:shd w:val="clear" w:color="auto" w:fill="FFFFFF"/>
            <w:tcMar>
              <w:left w:w="48" w:type="dxa"/>
              <w:right w:w="48" w:type="dxa"/>
            </w:tcMar>
          </w:tcPr>
          <w:p w:rsidR="004B2FB2" w:rsidRPr="00DD5F1C" w:rsidRDefault="004B2FB2" w:rsidP="009A7433">
            <w:pPr>
              <w:adjustRightInd w:val="0"/>
              <w:spacing w:before="48" w:after="48"/>
              <w:rPr>
                <w:rFonts w:ascii="Arial" w:hAnsi="Arial" w:cs="Arial"/>
                <w:b/>
                <w:bCs/>
                <w:color w:val="000000"/>
                <w:sz w:val="16"/>
                <w:szCs w:val="16"/>
                <w:lang w:val="fr-BE"/>
              </w:rPr>
            </w:pPr>
            <w:r w:rsidRPr="00DD5F1C">
              <w:rPr>
                <w:rFonts w:ascii="Arial" w:hAnsi="Arial" w:cs="Arial"/>
                <w:b/>
                <w:bCs/>
                <w:color w:val="000000"/>
                <w:sz w:val="16"/>
                <w:szCs w:val="16"/>
                <w:lang w:val="fr-BE"/>
              </w:rPr>
              <w:t>TOTAL</w:t>
            </w:r>
          </w:p>
        </w:tc>
        <w:tc>
          <w:tcPr>
            <w:tcW w:w="641"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183</w:t>
            </w:r>
          </w:p>
        </w:tc>
        <w:tc>
          <w:tcPr>
            <w:tcW w:w="641"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100,00</w:t>
            </w:r>
          </w:p>
        </w:tc>
        <w:tc>
          <w:tcPr>
            <w:tcW w:w="759"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14</w:t>
            </w:r>
          </w:p>
        </w:tc>
        <w:tc>
          <w:tcPr>
            <w:tcW w:w="759"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100,00</w:t>
            </w:r>
          </w:p>
        </w:tc>
        <w:tc>
          <w:tcPr>
            <w:tcW w:w="836"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19</w:t>
            </w:r>
          </w:p>
        </w:tc>
        <w:tc>
          <w:tcPr>
            <w:tcW w:w="836"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100,00</w:t>
            </w:r>
          </w:p>
        </w:tc>
        <w:tc>
          <w:tcPr>
            <w:tcW w:w="378" w:type="dxa"/>
            <w:tcBorders>
              <w:top w:val="nil"/>
              <w:left w:val="single" w:sz="4" w:space="0" w:color="E6E6E6"/>
              <w:bottom w:val="single" w:sz="15" w:space="0" w:color="E6E6E6"/>
              <w:right w:val="nil"/>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216</w:t>
            </w:r>
          </w:p>
        </w:tc>
        <w:tc>
          <w:tcPr>
            <w:tcW w:w="605" w:type="dxa"/>
            <w:tcBorders>
              <w:top w:val="nil"/>
              <w:left w:val="single" w:sz="4" w:space="0" w:color="E6E6E6"/>
              <w:bottom w:val="single" w:sz="15" w:space="0" w:color="E6E6E6"/>
              <w:right w:val="single" w:sz="15" w:space="0" w:color="E6E6E6"/>
            </w:tcBorders>
            <w:shd w:val="clear" w:color="auto" w:fill="FFFFFF"/>
            <w:tcMar>
              <w:left w:w="48" w:type="dxa"/>
              <w:right w:w="48" w:type="dxa"/>
            </w:tcMar>
            <w:vAlign w:val="bottom"/>
          </w:tcPr>
          <w:p w:rsidR="004B2FB2" w:rsidRPr="00DD5F1C" w:rsidRDefault="004B2FB2" w:rsidP="009A7433">
            <w:pPr>
              <w:adjustRightInd w:val="0"/>
              <w:spacing w:before="48" w:after="48"/>
              <w:jc w:val="right"/>
              <w:rPr>
                <w:rFonts w:ascii="Arial" w:hAnsi="Arial" w:cs="Arial"/>
                <w:color w:val="231F20"/>
                <w:sz w:val="16"/>
                <w:szCs w:val="16"/>
                <w:lang w:val="fr-BE"/>
              </w:rPr>
            </w:pPr>
            <w:r w:rsidRPr="00DD5F1C">
              <w:rPr>
                <w:rFonts w:ascii="Arial" w:hAnsi="Arial" w:cs="Arial"/>
                <w:color w:val="231F20"/>
                <w:sz w:val="16"/>
                <w:szCs w:val="16"/>
                <w:lang w:val="fr-BE"/>
              </w:rPr>
              <w:t>100,00</w:t>
            </w:r>
          </w:p>
        </w:tc>
      </w:tr>
    </w:tbl>
    <w:p w:rsidR="004B2FB2" w:rsidRPr="00DD5F1C" w:rsidRDefault="004B2FB2" w:rsidP="004B2FB2">
      <w:pPr>
        <w:jc w:val="center"/>
        <w:rPr>
          <w:i/>
          <w:sz w:val="16"/>
          <w:szCs w:val="16"/>
          <w:lang w:val="fr-BE"/>
        </w:rPr>
      </w:pPr>
      <w:r w:rsidRPr="00DD5F1C">
        <w:rPr>
          <w:i/>
          <w:sz w:val="16"/>
          <w:szCs w:val="16"/>
          <w:lang w:val="fr-BE"/>
        </w:rPr>
        <w:t>Source : banque de données du Collège des Procureurs généraux – Analystes statistiques.</w:t>
      </w:r>
    </w:p>
    <w:p w:rsidR="004B2FB2" w:rsidRPr="00DD5F1C" w:rsidRDefault="004B2FB2" w:rsidP="004B2FB2">
      <w:pPr>
        <w:jc w:val="center"/>
        <w:rPr>
          <w:i/>
          <w:sz w:val="16"/>
          <w:szCs w:val="16"/>
          <w:lang w:val="fr-BE"/>
        </w:rPr>
      </w:pPr>
    </w:p>
    <w:p w:rsidR="004B2FB2" w:rsidRPr="00DD5F1C" w:rsidRDefault="004B2FB2" w:rsidP="004B2FB2">
      <w:pPr>
        <w:jc w:val="center"/>
        <w:rPr>
          <w:i/>
          <w:sz w:val="16"/>
          <w:szCs w:val="16"/>
          <w:lang w:val="fr-BE"/>
        </w:rPr>
      </w:pPr>
    </w:p>
    <w:p w:rsidR="004B2FB2" w:rsidRPr="00DD5F1C" w:rsidRDefault="004B2FB2" w:rsidP="004B2FB2">
      <w:pPr>
        <w:jc w:val="both"/>
        <w:rPr>
          <w:rFonts w:ascii="Arial" w:hAnsi="Arial" w:cs="Arial"/>
          <w:sz w:val="20"/>
          <w:szCs w:val="20"/>
          <w:lang w:val="fr-BE"/>
        </w:rPr>
      </w:pPr>
      <w:r w:rsidRPr="00DD5F1C">
        <w:rPr>
          <w:rFonts w:ascii="Arial" w:hAnsi="Arial" w:cs="Arial"/>
          <w:sz w:val="20"/>
          <w:szCs w:val="20"/>
          <w:lang w:val="fr-BE"/>
        </w:rPr>
        <w:t>Le tableau présente les affaires de racisme ou de haine raciale entrées dans les parquets correctionnels au cours des années 2010 à 2016 et pour lesquelles un premier jugement au fond a été rendu par le tribunal correctionnel au 10 juin 2017.</w:t>
      </w:r>
    </w:p>
    <w:p w:rsidR="004B2FB2" w:rsidRPr="00DD5F1C" w:rsidRDefault="004B2FB2" w:rsidP="004B2FB2">
      <w:pPr>
        <w:jc w:val="both"/>
        <w:rPr>
          <w:rFonts w:ascii="Arial" w:hAnsi="Arial" w:cs="Arial"/>
          <w:sz w:val="20"/>
          <w:szCs w:val="20"/>
          <w:lang w:val="fr-BE"/>
        </w:rPr>
      </w:pPr>
    </w:p>
    <w:p w:rsidR="004B2FB2" w:rsidRPr="004B2FB2" w:rsidRDefault="004B2FB2">
      <w:pPr>
        <w:rPr>
          <w:lang w:val="fr-BE"/>
        </w:rPr>
      </w:pPr>
    </w:p>
    <w:sectPr w:rsidR="004B2FB2" w:rsidRPr="004B2FB2" w:rsidSect="00A82382">
      <w:pgSz w:w="11906" w:h="16838"/>
      <w:pgMar w:top="1134"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8AB" w:rsidRDefault="005248AB" w:rsidP="005248AB">
      <w:pPr>
        <w:spacing w:after="0" w:line="240" w:lineRule="auto"/>
      </w:pPr>
      <w:r>
        <w:separator/>
      </w:r>
    </w:p>
  </w:endnote>
  <w:endnote w:type="continuationSeparator" w:id="0">
    <w:p w:rsidR="005248AB" w:rsidRDefault="005248AB" w:rsidP="0052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936506"/>
      <w:docPartObj>
        <w:docPartGallery w:val="Page Numbers (Bottom of Page)"/>
        <w:docPartUnique/>
      </w:docPartObj>
    </w:sdtPr>
    <w:sdtEndPr/>
    <w:sdtContent>
      <w:p w:rsidR="00A82382" w:rsidRDefault="00A82382">
        <w:pPr>
          <w:pStyle w:val="Pieddepage"/>
          <w:jc w:val="center"/>
        </w:pPr>
        <w:r>
          <w:fldChar w:fldCharType="begin"/>
        </w:r>
        <w:r>
          <w:instrText>PAGE   \* MERGEFORMAT</w:instrText>
        </w:r>
        <w:r>
          <w:fldChar w:fldCharType="separate"/>
        </w:r>
        <w:r w:rsidR="0006206C" w:rsidRPr="0006206C">
          <w:rPr>
            <w:noProof/>
            <w:lang w:val="fr-FR"/>
          </w:rPr>
          <w:t>1</w:t>
        </w:r>
        <w:r>
          <w:fldChar w:fldCharType="end"/>
        </w:r>
      </w:p>
    </w:sdtContent>
  </w:sdt>
  <w:p w:rsidR="00A82382" w:rsidRDefault="00A823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8AB" w:rsidRDefault="005248AB" w:rsidP="005248AB">
      <w:pPr>
        <w:spacing w:after="0" w:line="240" w:lineRule="auto"/>
      </w:pPr>
      <w:r>
        <w:separator/>
      </w:r>
    </w:p>
  </w:footnote>
  <w:footnote w:type="continuationSeparator" w:id="0">
    <w:p w:rsidR="005248AB" w:rsidRDefault="005248AB" w:rsidP="005248AB">
      <w:pPr>
        <w:spacing w:after="0" w:line="240" w:lineRule="auto"/>
      </w:pPr>
      <w:r>
        <w:continuationSeparator/>
      </w:r>
    </w:p>
  </w:footnote>
  <w:footnote w:id="1">
    <w:p w:rsidR="005248AB" w:rsidRPr="00A82382" w:rsidRDefault="005248AB">
      <w:pPr>
        <w:pStyle w:val="Notedebasdepage"/>
        <w:rPr>
          <w:rFonts w:ascii="Times New Roman" w:hAnsi="Times New Roman" w:cs="Times New Roman"/>
          <w:lang w:val="fr-FR"/>
        </w:rPr>
      </w:pPr>
      <w:r w:rsidRPr="00A82382">
        <w:rPr>
          <w:rStyle w:val="Appelnotedebasdep"/>
          <w:rFonts w:ascii="Times New Roman" w:hAnsi="Times New Roman" w:cs="Times New Roman"/>
        </w:rPr>
        <w:footnoteRef/>
      </w:r>
      <w:r w:rsidRPr="00A82382">
        <w:rPr>
          <w:rFonts w:ascii="Times New Roman" w:hAnsi="Times New Roman" w:cs="Times New Roman"/>
          <w:lang w:val="fr-FR"/>
        </w:rPr>
        <w:t xml:space="preserve"> Voir note de bas de page dans le rapport.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A5"/>
    <w:rsid w:val="0006206C"/>
    <w:rsid w:val="004451AC"/>
    <w:rsid w:val="004B2FB2"/>
    <w:rsid w:val="005248AB"/>
    <w:rsid w:val="008223A5"/>
    <w:rsid w:val="00A82382"/>
    <w:rsid w:val="00DB1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B2FB2"/>
    <w:pPr>
      <w:tabs>
        <w:tab w:val="center" w:pos="4536"/>
        <w:tab w:val="right" w:pos="9072"/>
      </w:tabs>
      <w:spacing w:after="0" w:line="260" w:lineRule="exact"/>
    </w:pPr>
    <w:rPr>
      <w:rFonts w:ascii="Arial" w:eastAsia="Times New Roman" w:hAnsi="Arial" w:cs="Times New Roman"/>
      <w:sz w:val="20"/>
      <w:szCs w:val="24"/>
      <w:lang w:val="nl-NL" w:eastAsia="nl-NL"/>
    </w:rPr>
  </w:style>
  <w:style w:type="character" w:customStyle="1" w:styleId="En-tteCar">
    <w:name w:val="En-tête Car"/>
    <w:basedOn w:val="Policepardfaut"/>
    <w:link w:val="En-tte"/>
    <w:uiPriority w:val="99"/>
    <w:rsid w:val="004B2FB2"/>
    <w:rPr>
      <w:rFonts w:ascii="Arial" w:eastAsia="Times New Roman" w:hAnsi="Arial" w:cs="Times New Roman"/>
      <w:sz w:val="20"/>
      <w:szCs w:val="24"/>
      <w:lang w:val="nl-NL" w:eastAsia="nl-NL"/>
    </w:rPr>
  </w:style>
  <w:style w:type="paragraph" w:customStyle="1" w:styleId="rapportfinal">
    <w:name w:val="rapport final"/>
    <w:basedOn w:val="Normal"/>
    <w:next w:val="Normal"/>
    <w:rsid w:val="004B2FB2"/>
    <w:pPr>
      <w:spacing w:after="0" w:line="240" w:lineRule="auto"/>
      <w:jc w:val="both"/>
    </w:pPr>
    <w:rPr>
      <w:rFonts w:ascii="Times New Roman" w:eastAsia="Times New Roman" w:hAnsi="Times New Roman" w:cs="Times New Roman"/>
      <w:sz w:val="24"/>
      <w:szCs w:val="20"/>
      <w:lang w:val="fr-BE"/>
    </w:rPr>
  </w:style>
  <w:style w:type="paragraph" w:styleId="Textedebulles">
    <w:name w:val="Balloon Text"/>
    <w:basedOn w:val="Normal"/>
    <w:link w:val="TextedebullesCar"/>
    <w:uiPriority w:val="99"/>
    <w:semiHidden/>
    <w:unhideWhenUsed/>
    <w:rsid w:val="005248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48AB"/>
    <w:rPr>
      <w:rFonts w:ascii="Tahoma" w:hAnsi="Tahoma" w:cs="Tahoma"/>
      <w:sz w:val="16"/>
      <w:szCs w:val="16"/>
    </w:rPr>
  </w:style>
  <w:style w:type="paragraph" w:styleId="Notedebasdepage">
    <w:name w:val="footnote text"/>
    <w:basedOn w:val="Normal"/>
    <w:link w:val="NotedebasdepageCar"/>
    <w:uiPriority w:val="99"/>
    <w:semiHidden/>
    <w:unhideWhenUsed/>
    <w:rsid w:val="005248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48AB"/>
    <w:rPr>
      <w:sz w:val="20"/>
      <w:szCs w:val="20"/>
    </w:rPr>
  </w:style>
  <w:style w:type="character" w:styleId="Appelnotedebasdep">
    <w:name w:val="footnote reference"/>
    <w:basedOn w:val="Policepardfaut"/>
    <w:uiPriority w:val="99"/>
    <w:semiHidden/>
    <w:unhideWhenUsed/>
    <w:rsid w:val="005248AB"/>
    <w:rPr>
      <w:vertAlign w:val="superscript"/>
    </w:rPr>
  </w:style>
  <w:style w:type="paragraph" w:styleId="Pieddepage">
    <w:name w:val="footer"/>
    <w:basedOn w:val="Normal"/>
    <w:link w:val="PieddepageCar"/>
    <w:uiPriority w:val="99"/>
    <w:unhideWhenUsed/>
    <w:rsid w:val="00A8238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82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B2FB2"/>
    <w:pPr>
      <w:tabs>
        <w:tab w:val="center" w:pos="4536"/>
        <w:tab w:val="right" w:pos="9072"/>
      </w:tabs>
      <w:spacing w:after="0" w:line="260" w:lineRule="exact"/>
    </w:pPr>
    <w:rPr>
      <w:rFonts w:ascii="Arial" w:eastAsia="Times New Roman" w:hAnsi="Arial" w:cs="Times New Roman"/>
      <w:sz w:val="20"/>
      <w:szCs w:val="24"/>
      <w:lang w:val="nl-NL" w:eastAsia="nl-NL"/>
    </w:rPr>
  </w:style>
  <w:style w:type="character" w:customStyle="1" w:styleId="En-tteCar">
    <w:name w:val="En-tête Car"/>
    <w:basedOn w:val="Policepardfaut"/>
    <w:link w:val="En-tte"/>
    <w:uiPriority w:val="99"/>
    <w:rsid w:val="004B2FB2"/>
    <w:rPr>
      <w:rFonts w:ascii="Arial" w:eastAsia="Times New Roman" w:hAnsi="Arial" w:cs="Times New Roman"/>
      <w:sz w:val="20"/>
      <w:szCs w:val="24"/>
      <w:lang w:val="nl-NL" w:eastAsia="nl-NL"/>
    </w:rPr>
  </w:style>
  <w:style w:type="paragraph" w:customStyle="1" w:styleId="rapportfinal">
    <w:name w:val="rapport final"/>
    <w:basedOn w:val="Normal"/>
    <w:next w:val="Normal"/>
    <w:rsid w:val="004B2FB2"/>
    <w:pPr>
      <w:spacing w:after="0" w:line="240" w:lineRule="auto"/>
      <w:jc w:val="both"/>
    </w:pPr>
    <w:rPr>
      <w:rFonts w:ascii="Times New Roman" w:eastAsia="Times New Roman" w:hAnsi="Times New Roman" w:cs="Times New Roman"/>
      <w:sz w:val="24"/>
      <w:szCs w:val="20"/>
      <w:lang w:val="fr-BE"/>
    </w:rPr>
  </w:style>
  <w:style w:type="paragraph" w:styleId="Textedebulles">
    <w:name w:val="Balloon Text"/>
    <w:basedOn w:val="Normal"/>
    <w:link w:val="TextedebullesCar"/>
    <w:uiPriority w:val="99"/>
    <w:semiHidden/>
    <w:unhideWhenUsed/>
    <w:rsid w:val="005248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48AB"/>
    <w:rPr>
      <w:rFonts w:ascii="Tahoma" w:hAnsi="Tahoma" w:cs="Tahoma"/>
      <w:sz w:val="16"/>
      <w:szCs w:val="16"/>
    </w:rPr>
  </w:style>
  <w:style w:type="paragraph" w:styleId="Notedebasdepage">
    <w:name w:val="footnote text"/>
    <w:basedOn w:val="Normal"/>
    <w:link w:val="NotedebasdepageCar"/>
    <w:uiPriority w:val="99"/>
    <w:semiHidden/>
    <w:unhideWhenUsed/>
    <w:rsid w:val="005248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48AB"/>
    <w:rPr>
      <w:sz w:val="20"/>
      <w:szCs w:val="20"/>
    </w:rPr>
  </w:style>
  <w:style w:type="character" w:styleId="Appelnotedebasdep">
    <w:name w:val="footnote reference"/>
    <w:basedOn w:val="Policepardfaut"/>
    <w:uiPriority w:val="99"/>
    <w:semiHidden/>
    <w:unhideWhenUsed/>
    <w:rsid w:val="005248AB"/>
    <w:rPr>
      <w:vertAlign w:val="superscript"/>
    </w:rPr>
  </w:style>
  <w:style w:type="paragraph" w:styleId="Pieddepage">
    <w:name w:val="footer"/>
    <w:basedOn w:val="Normal"/>
    <w:link w:val="PieddepageCar"/>
    <w:uiPriority w:val="99"/>
    <w:unhideWhenUsed/>
    <w:rsid w:val="00A8238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8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18BD7-0E94-4E8F-A553-5B42F093523D}"/>
</file>

<file path=customXml/itemProps2.xml><?xml version="1.0" encoding="utf-8"?>
<ds:datastoreItem xmlns:ds="http://schemas.openxmlformats.org/officeDocument/2006/customXml" ds:itemID="{D5031766-1CF6-4FE6-95B0-C3B6D6A21401}"/>
</file>

<file path=customXml/itemProps3.xml><?xml version="1.0" encoding="utf-8"?>
<ds:datastoreItem xmlns:ds="http://schemas.openxmlformats.org/officeDocument/2006/customXml" ds:itemID="{BF580229-3D85-48C8-BDD6-5A15C1DC0A0B}"/>
</file>

<file path=docProps/app.xml><?xml version="1.0" encoding="utf-8"?>
<Properties xmlns="http://schemas.openxmlformats.org/officeDocument/2006/extended-properties" xmlns:vt="http://schemas.openxmlformats.org/officeDocument/2006/docPropsVTypes">
  <Template>6FC36FA6.dotm</Template>
  <TotalTime>0</TotalTime>
  <Pages>6</Pages>
  <Words>2032</Words>
  <Characters>11588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Grisard Stephanie</dc:creator>
  <cp:lastModifiedBy>Lefebvre Justine</cp:lastModifiedBy>
  <cp:revision>4</cp:revision>
  <cp:lastPrinted>2017-08-14T09:36:00Z</cp:lastPrinted>
  <dcterms:created xsi:type="dcterms:W3CDTF">2017-08-14T09:09:00Z</dcterms:created>
  <dcterms:modified xsi:type="dcterms:W3CDTF">2018-03-14T09:48:00Z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