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p>
        </w:tc>
        <w:tc>
          <w:tcPr>
            <w:tcW w:w="6095" w:type="dxa"/>
            <w:gridSpan w:val="2"/>
            <w:tcBorders>
              <w:bottom w:val="single" w:sz="4" w:space="0" w:color="auto"/>
            </w:tcBorders>
            <w:vAlign w:val="bottom"/>
          </w:tcPr>
          <w:p w:rsidR="00B56E9C" w:rsidRPr="00D47EEA" w:rsidRDefault="00B56E9C" w:rsidP="006B0FA0">
            <w:pPr>
              <w:jc w:val="right"/>
            </w:pP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p>
        </w:tc>
        <w:tc>
          <w:tcPr>
            <w:tcW w:w="5528" w:type="dxa"/>
            <w:gridSpan w:val="2"/>
            <w:tcBorders>
              <w:top w:val="single" w:sz="4" w:space="0" w:color="auto"/>
              <w:bottom w:val="single" w:sz="12" w:space="0" w:color="auto"/>
            </w:tcBorders>
          </w:tcPr>
          <w:p w:rsidR="00B56E9C" w:rsidRPr="00267F5F" w:rsidRDefault="009D124B" w:rsidP="00267F5F">
            <w:pPr>
              <w:spacing w:before="120" w:line="380" w:lineRule="exact"/>
              <w:rPr>
                <w:sz w:val="34"/>
              </w:rPr>
            </w:pPr>
            <w:r>
              <w:rPr>
                <w:sz w:val="34"/>
              </w:rPr>
              <w:t>ADVANCE UNEDITED VERSION</w:t>
            </w:r>
          </w:p>
        </w:tc>
        <w:tc>
          <w:tcPr>
            <w:tcW w:w="2835" w:type="dxa"/>
            <w:tcBorders>
              <w:top w:val="single" w:sz="4" w:space="0" w:color="auto"/>
              <w:bottom w:val="single" w:sz="12" w:space="0" w:color="auto"/>
            </w:tcBorders>
          </w:tcPr>
          <w:p w:rsidR="00287F1D" w:rsidRDefault="00287F1D" w:rsidP="00287F1D">
            <w:pPr>
              <w:spacing w:line="240" w:lineRule="exact"/>
            </w:pPr>
          </w:p>
        </w:tc>
      </w:tr>
    </w:tbl>
    <w:p w:rsidR="00287F1D" w:rsidRPr="00F81F83" w:rsidRDefault="00287F1D" w:rsidP="00287F1D">
      <w:pPr>
        <w:spacing w:before="120"/>
        <w:rPr>
          <w:b/>
          <w:bCs/>
          <w:sz w:val="24"/>
          <w:szCs w:val="24"/>
        </w:rPr>
      </w:pPr>
      <w:r w:rsidRPr="00F81F83">
        <w:rPr>
          <w:b/>
          <w:bCs/>
          <w:sz w:val="24"/>
          <w:szCs w:val="24"/>
        </w:rPr>
        <w:t>Human Rights Committee</w:t>
      </w:r>
    </w:p>
    <w:p w:rsidR="00287F1D" w:rsidRPr="00D12008" w:rsidRDefault="00287F1D" w:rsidP="00287F1D">
      <w:pPr>
        <w:pStyle w:val="HChG"/>
      </w:pPr>
      <w:r>
        <w:tab/>
      </w:r>
      <w:r>
        <w:tab/>
      </w:r>
      <w:r w:rsidRPr="00287F1D">
        <w:t>Concluding observations on the second periodic report of Turkmenistan</w:t>
      </w:r>
      <w:r w:rsidRPr="00F91FC8">
        <w:rPr>
          <w:rStyle w:val="FootnoteReference"/>
          <w:b w:val="0"/>
          <w:sz w:val="20"/>
          <w:vertAlign w:val="baseline"/>
        </w:rPr>
        <w:footnoteReference w:customMarkFollows="1" w:id="2"/>
        <w:t>*</w:t>
      </w:r>
    </w:p>
    <w:p w:rsidR="006B0FA0" w:rsidRPr="00BA58F0" w:rsidRDefault="006B0FA0" w:rsidP="006B0FA0">
      <w:pPr>
        <w:pStyle w:val="SingleTxtG"/>
        <w:rPr>
          <w:rFonts w:eastAsia="SimSun"/>
          <w:lang w:eastAsia="zh-CN"/>
        </w:rPr>
      </w:pPr>
      <w:r w:rsidRPr="00BA58F0">
        <w:rPr>
          <w:rFonts w:eastAsia="SimSun"/>
          <w:lang w:eastAsia="zh-CN"/>
        </w:rPr>
        <w:t>1.</w:t>
      </w:r>
      <w:r w:rsidRPr="00BA58F0">
        <w:rPr>
          <w:rFonts w:eastAsia="SimSun"/>
          <w:lang w:eastAsia="zh-CN"/>
        </w:rPr>
        <w:tab/>
        <w:t xml:space="preserve">The Committee considered the </w:t>
      </w:r>
      <w:r>
        <w:rPr>
          <w:rFonts w:eastAsia="SimSun"/>
          <w:lang w:eastAsia="zh-CN"/>
        </w:rPr>
        <w:t>second</w:t>
      </w:r>
      <w:r w:rsidRPr="00BA58F0">
        <w:rPr>
          <w:rFonts w:eastAsia="SimSun"/>
          <w:lang w:eastAsia="zh-CN"/>
        </w:rPr>
        <w:t xml:space="preserve"> periodic report of </w:t>
      </w:r>
      <w:r>
        <w:rPr>
          <w:rFonts w:eastAsia="SimSun"/>
          <w:lang w:eastAsia="zh-CN"/>
        </w:rPr>
        <w:t>Turkmenistan (CCPR/C/TKM/2</w:t>
      </w:r>
      <w:r w:rsidRPr="00BA58F0">
        <w:rPr>
          <w:rFonts w:eastAsia="SimSun"/>
          <w:lang w:eastAsia="zh-CN"/>
        </w:rPr>
        <w:t>) at its 33</w:t>
      </w:r>
      <w:r>
        <w:rPr>
          <w:rFonts w:eastAsia="SimSun"/>
          <w:lang w:eastAsia="zh-CN"/>
        </w:rPr>
        <w:t>43rd</w:t>
      </w:r>
      <w:r w:rsidRPr="00BA58F0">
        <w:rPr>
          <w:rFonts w:eastAsia="SimSun"/>
          <w:lang w:eastAsia="zh-CN"/>
        </w:rPr>
        <w:t xml:space="preserve"> and 33</w:t>
      </w:r>
      <w:r>
        <w:rPr>
          <w:rFonts w:eastAsia="SimSun"/>
          <w:lang w:eastAsia="zh-CN"/>
        </w:rPr>
        <w:t xml:space="preserve">44th meetings (see CCPR/C/SR.3343 and 3344), held on 8 and 9 March 2017. At its </w:t>
      </w:r>
      <w:r w:rsidR="007F1266">
        <w:rPr>
          <w:rFonts w:eastAsia="SimSun"/>
          <w:lang w:eastAsia="zh-CN"/>
        </w:rPr>
        <w:t>3364th</w:t>
      </w:r>
      <w:r w:rsidRPr="00BA58F0">
        <w:rPr>
          <w:rFonts w:eastAsia="SimSun"/>
          <w:lang w:eastAsia="zh-CN"/>
        </w:rPr>
        <w:t xml:space="preserve"> meeting</w:t>
      </w:r>
      <w:r>
        <w:rPr>
          <w:rFonts w:eastAsia="SimSun"/>
          <w:lang w:eastAsia="zh-CN"/>
        </w:rPr>
        <w:t xml:space="preserve">, held on </w:t>
      </w:r>
      <w:r w:rsidR="007F1266">
        <w:rPr>
          <w:rFonts w:eastAsia="SimSun"/>
          <w:lang w:eastAsia="zh-CN"/>
        </w:rPr>
        <w:t>23</w:t>
      </w:r>
      <w:r w:rsidRPr="00BA58F0">
        <w:rPr>
          <w:rFonts w:eastAsia="SimSun"/>
          <w:lang w:eastAsia="zh-CN"/>
        </w:rPr>
        <w:t xml:space="preserve"> </w:t>
      </w:r>
      <w:r>
        <w:rPr>
          <w:rFonts w:eastAsia="SimSun"/>
          <w:lang w:eastAsia="zh-CN"/>
        </w:rPr>
        <w:t>March 2017</w:t>
      </w:r>
      <w:r w:rsidRPr="00BA58F0">
        <w:rPr>
          <w:rFonts w:eastAsia="SimSun"/>
          <w:lang w:eastAsia="zh-CN"/>
        </w:rPr>
        <w:t>, it adopted the present concluding observations.</w:t>
      </w:r>
    </w:p>
    <w:p w:rsidR="006B0FA0" w:rsidRPr="00BA58F0" w:rsidRDefault="006B0FA0" w:rsidP="006B0FA0">
      <w:pPr>
        <w:pStyle w:val="H1G"/>
      </w:pPr>
      <w:r w:rsidRPr="00BA58F0">
        <w:tab/>
      </w:r>
      <w:r w:rsidRPr="002122C3">
        <w:t>A.</w:t>
      </w:r>
      <w:r w:rsidRPr="002122C3">
        <w:tab/>
        <w:t>Introduction</w:t>
      </w:r>
    </w:p>
    <w:p w:rsidR="006B0FA0" w:rsidRPr="00BA58F0" w:rsidRDefault="006B0FA0" w:rsidP="006B0FA0">
      <w:pPr>
        <w:spacing w:after="120"/>
        <w:ind w:left="1134" w:right="1134"/>
        <w:jc w:val="both"/>
        <w:rPr>
          <w:rFonts w:eastAsia="SimSun"/>
          <w:lang w:eastAsia="zh-CN"/>
        </w:rPr>
      </w:pPr>
      <w:r w:rsidRPr="00BA58F0">
        <w:rPr>
          <w:rFonts w:eastAsia="SimSun"/>
          <w:lang w:eastAsia="zh-CN"/>
        </w:rPr>
        <w:t>2.</w:t>
      </w:r>
      <w:r w:rsidRPr="00BA58F0">
        <w:rPr>
          <w:rFonts w:eastAsia="SimSun"/>
          <w:lang w:eastAsia="zh-CN"/>
        </w:rPr>
        <w:tab/>
        <w:t xml:space="preserve">The Committee welcomes the submission of the </w:t>
      </w:r>
      <w:r>
        <w:rPr>
          <w:rFonts w:eastAsia="SimSun"/>
          <w:lang w:eastAsia="zh-CN"/>
        </w:rPr>
        <w:t>second periodic report of Turkmenistan</w:t>
      </w:r>
      <w:r w:rsidRPr="00BA58F0">
        <w:rPr>
          <w:rFonts w:eastAsia="SimSun"/>
          <w:lang w:eastAsia="zh-CN"/>
        </w:rPr>
        <w:t xml:space="preserve"> and the information presented therein. It expresses appreciation for the opportunity to renew its constructive dialogue with the State party’s delegation on the measures taken during the reporting period to implement the provisions of the Covenant. The Committee is grateful to the State party for its </w:t>
      </w:r>
      <w:r>
        <w:rPr>
          <w:rFonts w:eastAsia="SimSun"/>
          <w:lang w:eastAsia="zh-CN"/>
        </w:rPr>
        <w:t>written replies (CCPR/C/TKM/Q/2</w:t>
      </w:r>
      <w:r w:rsidRPr="00BA58F0">
        <w:rPr>
          <w:rFonts w:eastAsia="SimSun"/>
          <w:lang w:eastAsia="zh-CN"/>
        </w:rPr>
        <w:t>/Add.1) t</w:t>
      </w:r>
      <w:r>
        <w:rPr>
          <w:rFonts w:eastAsia="SimSun"/>
          <w:lang w:eastAsia="zh-CN"/>
        </w:rPr>
        <w:t>o the list of issues (CCPR/C/TKM/Q/2</w:t>
      </w:r>
      <w:r w:rsidRPr="00BA58F0">
        <w:rPr>
          <w:rFonts w:eastAsia="SimSun"/>
          <w:lang w:eastAsia="zh-CN"/>
        </w:rPr>
        <w:t>), which were supplemented by the oral responses provided by the delegation</w:t>
      </w:r>
      <w:r w:rsidRPr="009A161E">
        <w:rPr>
          <w:rFonts w:eastAsia="SimSun"/>
          <w:lang w:eastAsia="zh-CN"/>
        </w:rPr>
        <w:t>.</w:t>
      </w:r>
      <w:r w:rsidRPr="00BA58F0">
        <w:rPr>
          <w:rFonts w:eastAsia="SimSun"/>
          <w:lang w:eastAsia="zh-CN"/>
        </w:rPr>
        <w:t xml:space="preserve"> </w:t>
      </w:r>
    </w:p>
    <w:p w:rsidR="006B0FA0" w:rsidRDefault="006B0FA0" w:rsidP="006B0FA0">
      <w:pPr>
        <w:pStyle w:val="H1G"/>
      </w:pPr>
      <w:r w:rsidRPr="00BA58F0">
        <w:tab/>
      </w:r>
      <w:r w:rsidRPr="002122C3">
        <w:t>B.</w:t>
      </w:r>
      <w:r w:rsidRPr="002122C3">
        <w:tab/>
        <w:t>Positive aspects</w:t>
      </w:r>
    </w:p>
    <w:p w:rsidR="006B0FA0" w:rsidRPr="00AF2EA6" w:rsidRDefault="006B0FA0" w:rsidP="006B0FA0">
      <w:pPr>
        <w:pStyle w:val="SingleTxtG"/>
      </w:pPr>
      <w:r w:rsidRPr="00AF2EA6">
        <w:t>3.</w:t>
      </w:r>
      <w:r w:rsidRPr="00AF2EA6">
        <w:tab/>
        <w:t xml:space="preserve">The Committee welcomes the </w:t>
      </w:r>
      <w:r>
        <w:t xml:space="preserve">adoption of the </w:t>
      </w:r>
      <w:r w:rsidRPr="00427521">
        <w:t>following legislative and policy</w:t>
      </w:r>
      <w:r>
        <w:t xml:space="preserve"> </w:t>
      </w:r>
      <w:r w:rsidRPr="00AF2EA6">
        <w:t>measures</w:t>
      </w:r>
      <w:r>
        <w:t xml:space="preserve"> </w:t>
      </w:r>
      <w:r w:rsidRPr="00427521">
        <w:t>by the State party</w:t>
      </w:r>
      <w:r w:rsidRPr="00AF2EA6">
        <w:t>:</w:t>
      </w:r>
    </w:p>
    <w:p w:rsidR="006B0FA0" w:rsidRPr="002E59EE" w:rsidRDefault="006B0FA0" w:rsidP="006B0FA0">
      <w:pPr>
        <w:pStyle w:val="SingleTxtG"/>
      </w:pPr>
      <w:r>
        <w:tab/>
      </w:r>
      <w:r w:rsidRPr="002E59EE">
        <w:t>(a)</w:t>
      </w:r>
      <w:r w:rsidRPr="002E59EE">
        <w:tab/>
        <w:t xml:space="preserve">The </w:t>
      </w:r>
      <w:r>
        <w:t>human rights pro</w:t>
      </w:r>
      <w:r w:rsidR="00F418A8">
        <w:t>visions</w:t>
      </w:r>
      <w:r>
        <w:t xml:space="preserve"> in the </w:t>
      </w:r>
      <w:r w:rsidRPr="002E59EE">
        <w:t xml:space="preserve">new Constitution </w:t>
      </w:r>
      <w:r>
        <w:t>of</w:t>
      </w:r>
      <w:r w:rsidRPr="002E59EE">
        <w:t xml:space="preserve"> 14 September 2016;</w:t>
      </w:r>
    </w:p>
    <w:p w:rsidR="006B0FA0" w:rsidRPr="002E59EE" w:rsidRDefault="006B0FA0" w:rsidP="006B0FA0">
      <w:pPr>
        <w:pStyle w:val="SingleTxtG"/>
      </w:pPr>
      <w:r w:rsidRPr="002E59EE">
        <w:tab/>
        <w:t>(b)</w:t>
      </w:r>
      <w:r w:rsidRPr="002E59EE">
        <w:tab/>
        <w:t>The Citizenship Act on 22 June 2013;</w:t>
      </w:r>
    </w:p>
    <w:p w:rsidR="006B0FA0" w:rsidRPr="002E59EE" w:rsidRDefault="006B0FA0" w:rsidP="006B0FA0">
      <w:pPr>
        <w:pStyle w:val="SingleTxtG"/>
      </w:pPr>
      <w:r w:rsidRPr="002E59EE">
        <w:tab/>
        <w:t>(c)</w:t>
      </w:r>
      <w:r w:rsidRPr="002E59EE">
        <w:tab/>
        <w:t>The National Human Rights Action Plan for 2016-2020 on 15 January 2016;</w:t>
      </w:r>
    </w:p>
    <w:p w:rsidR="006B0FA0" w:rsidRPr="002E59EE" w:rsidRDefault="006B0FA0" w:rsidP="006B0FA0">
      <w:pPr>
        <w:pStyle w:val="SingleTxtG"/>
        <w:ind w:firstLine="567"/>
      </w:pPr>
      <w:r>
        <w:t>(d)</w:t>
      </w:r>
      <w:r w:rsidRPr="002E59EE">
        <w:tab/>
        <w:t>The National Action Plan on Gender Equality for 2015-2020 and the Act on state guarantees of equal rights and equal opportunities for women and men on 22 January 2015 and 18 August 2015, respectively;</w:t>
      </w:r>
    </w:p>
    <w:p w:rsidR="006B0FA0" w:rsidRDefault="006B0FA0" w:rsidP="006B0FA0">
      <w:pPr>
        <w:pStyle w:val="SingleTxtG"/>
        <w:ind w:firstLine="567"/>
      </w:pPr>
      <w:r w:rsidRPr="002E59EE">
        <w:t>(e)</w:t>
      </w:r>
      <w:r w:rsidRPr="002E59EE">
        <w:tab/>
        <w:t>The National Action Plan to Combat Trafficking in Persons for 2016-2018 on 18 March 2016.</w:t>
      </w:r>
    </w:p>
    <w:p w:rsidR="00287F1D" w:rsidRPr="006664BB" w:rsidRDefault="00287F1D" w:rsidP="00287F1D">
      <w:pPr>
        <w:pStyle w:val="H1G"/>
      </w:pPr>
      <w:r w:rsidRPr="00AF2EA6">
        <w:lastRenderedPageBreak/>
        <w:tab/>
      </w:r>
      <w:r w:rsidRPr="002122C3">
        <w:t>C.</w:t>
      </w:r>
      <w:r w:rsidRPr="002122C3">
        <w:tab/>
      </w:r>
      <w:r w:rsidRPr="00287F1D">
        <w:t>Principal</w:t>
      </w:r>
      <w:r w:rsidRPr="002122C3">
        <w:t xml:space="preserve"> matters of concern and recommendations</w:t>
      </w:r>
    </w:p>
    <w:p w:rsidR="009F773C" w:rsidRPr="009F3D52" w:rsidRDefault="00287F1D" w:rsidP="009F773C">
      <w:pPr>
        <w:pStyle w:val="H23G"/>
      </w:pPr>
      <w:r>
        <w:tab/>
      </w:r>
      <w:r>
        <w:tab/>
      </w:r>
      <w:r w:rsidR="009F773C" w:rsidRPr="009F3D52">
        <w:t xml:space="preserve">Implementation of the Views under the Optional Protocol to the Covenant </w:t>
      </w:r>
    </w:p>
    <w:p w:rsidR="009F773C" w:rsidRPr="00670AFB" w:rsidRDefault="009F773C" w:rsidP="009F773C">
      <w:pPr>
        <w:pStyle w:val="SingleTxtG"/>
      </w:pPr>
      <w:r>
        <w:t>4.</w:t>
      </w:r>
      <w:r>
        <w:tab/>
      </w:r>
      <w:r w:rsidRPr="00670AFB">
        <w:t xml:space="preserve">The Committee remains concerned </w:t>
      </w:r>
      <w:r>
        <w:t>about</w:t>
      </w:r>
      <w:r w:rsidRPr="00670AFB">
        <w:t xml:space="preserve"> the State party’s continuing failure to implement the Views adopted by the Committee under the Optional Protocol and </w:t>
      </w:r>
      <w:r>
        <w:t>regrets that the information requested on compliance with the Views adopted in specific cases remains outstanding to date. It is also concerned about</w:t>
      </w:r>
      <w:r w:rsidRPr="00670AFB">
        <w:t xml:space="preserve"> the lack of effective mechanisms and legal procedures for authors of individual communications to seek, in law and in practice, the full implementation of the Views (art. 2).</w:t>
      </w:r>
    </w:p>
    <w:p w:rsidR="009F773C" w:rsidRPr="00AC7CAB" w:rsidRDefault="009F773C" w:rsidP="009F773C">
      <w:pPr>
        <w:pStyle w:val="SingleTxtG"/>
        <w:rPr>
          <w:b/>
        </w:rPr>
      </w:pPr>
      <w:r w:rsidRPr="00C04788">
        <w:t>5.</w:t>
      </w:r>
      <w:r>
        <w:rPr>
          <w:b/>
        </w:rPr>
        <w:tab/>
      </w:r>
      <w:r w:rsidRPr="00670AFB">
        <w:rPr>
          <w:b/>
        </w:rPr>
        <w:t>The Committee reiterates its previous recommendation (see CCPR/C/TKM/CO/1, para. 5). The State party should take all measures necessary to ensure that appropriate procedures are in place to give full effect to the Committee’s Views so as to guarantee the right of victims to an effective remedy when there has been a violation of the Covenant. It should promptly and fully comply with all Views issued with respect to it.</w:t>
      </w:r>
    </w:p>
    <w:p w:rsidR="009F773C" w:rsidRPr="009F3D52" w:rsidRDefault="009F773C" w:rsidP="009F773C">
      <w:pPr>
        <w:pStyle w:val="H23G"/>
      </w:pPr>
      <w:r>
        <w:tab/>
      </w:r>
      <w:r>
        <w:tab/>
      </w:r>
      <w:r w:rsidRPr="009F3D52">
        <w:t>Anti-discrimination framework</w:t>
      </w:r>
    </w:p>
    <w:p w:rsidR="009F773C" w:rsidRDefault="009F773C" w:rsidP="009F773C">
      <w:pPr>
        <w:pStyle w:val="SingleTxtG"/>
      </w:pPr>
      <w:r>
        <w:t>6.</w:t>
      </w:r>
      <w:r>
        <w:tab/>
      </w:r>
      <w:r w:rsidRPr="00670AFB">
        <w:t xml:space="preserve">The Committee is concerned </w:t>
      </w:r>
      <w:r>
        <w:t xml:space="preserve">that: (a) </w:t>
      </w:r>
      <w:r w:rsidRPr="00670AFB">
        <w:t xml:space="preserve">national legislation </w:t>
      </w:r>
      <w:r>
        <w:t>lacks consistency regarding</w:t>
      </w:r>
      <w:r w:rsidRPr="00670AFB">
        <w:t xml:space="preserve"> the prohibited grounds of discrimination</w:t>
      </w:r>
      <w:r>
        <w:t xml:space="preserve">, and that </w:t>
      </w:r>
      <w:r w:rsidRPr="00670AFB">
        <w:t xml:space="preserve">only certain legislative acts contain an open list of prohibited grounds </w:t>
      </w:r>
      <w:r>
        <w:t xml:space="preserve">including “other status or circumstances”; (b) </w:t>
      </w:r>
      <w:r w:rsidRPr="00670AFB">
        <w:t>the current legal framework does not afford protection against discrimination on all the grounds prohibited under the Covenant, including sexual orientation and gender identity (arts. 2 and 26).</w:t>
      </w:r>
    </w:p>
    <w:p w:rsidR="009F773C" w:rsidRPr="00EF3B84" w:rsidRDefault="009F773C" w:rsidP="009F773C">
      <w:pPr>
        <w:pStyle w:val="SingleTxtG"/>
      </w:pPr>
      <w:r w:rsidRPr="00EF3B84">
        <w:t>7.</w:t>
      </w:r>
      <w:r w:rsidRPr="00EF3B84">
        <w:tab/>
      </w:r>
      <w:r w:rsidRPr="00670AFB">
        <w:rPr>
          <w:b/>
        </w:rPr>
        <w:t xml:space="preserve">The State party should take measures, including by considering adopting a comprehensive anti-discrimination law to ensure that </w:t>
      </w:r>
      <w:r>
        <w:rPr>
          <w:b/>
        </w:rPr>
        <w:t xml:space="preserve">the relevant </w:t>
      </w:r>
      <w:r w:rsidRPr="00670AFB">
        <w:rPr>
          <w:b/>
        </w:rPr>
        <w:t>legal framework: (a) provides adequate and effective protection against all forms of discrimination, including in the private sphere; (b) prohibits direct, indirect and multiple discrimination, in line with the Covenant and other international human rights standards; (c) contains a comprehensive list of grounds of discrimination</w:t>
      </w:r>
      <w:r>
        <w:rPr>
          <w:b/>
        </w:rPr>
        <w:t xml:space="preserve"> </w:t>
      </w:r>
      <w:r w:rsidRPr="001D5F41">
        <w:rPr>
          <w:b/>
        </w:rPr>
        <w:t>prohibited under the Covenant</w:t>
      </w:r>
      <w:r w:rsidRPr="00670AFB">
        <w:rPr>
          <w:b/>
        </w:rPr>
        <w:t xml:space="preserve">, </w:t>
      </w:r>
      <w:r>
        <w:rPr>
          <w:b/>
        </w:rPr>
        <w:t>including</w:t>
      </w:r>
      <w:r w:rsidRPr="00670AFB">
        <w:rPr>
          <w:b/>
        </w:rPr>
        <w:t xml:space="preserve"> sexual orientation and gender identity; </w:t>
      </w:r>
      <w:r>
        <w:rPr>
          <w:b/>
        </w:rPr>
        <w:t xml:space="preserve">and </w:t>
      </w:r>
      <w:r w:rsidRPr="00670AFB">
        <w:rPr>
          <w:b/>
        </w:rPr>
        <w:t xml:space="preserve">(d) provides for access to effective and appropriate remedies </w:t>
      </w:r>
      <w:r>
        <w:rPr>
          <w:b/>
        </w:rPr>
        <w:t>for</w:t>
      </w:r>
      <w:r w:rsidRPr="00670AFB">
        <w:rPr>
          <w:b/>
        </w:rPr>
        <w:t xml:space="preserve"> victims of discrimination.</w:t>
      </w:r>
    </w:p>
    <w:p w:rsidR="00287F1D" w:rsidRPr="009F3D52" w:rsidRDefault="00A77F1C" w:rsidP="00287F1D">
      <w:pPr>
        <w:pStyle w:val="H23G"/>
      </w:pPr>
      <w:r>
        <w:tab/>
      </w:r>
      <w:r>
        <w:tab/>
      </w:r>
      <w:r w:rsidR="00287F1D" w:rsidRPr="009F3D52">
        <w:t>Discrimination and violence on grounds of sexual orientation and gender identity</w:t>
      </w:r>
    </w:p>
    <w:p w:rsidR="00287F1D" w:rsidRPr="00723962" w:rsidRDefault="00287F1D" w:rsidP="00287F1D">
      <w:pPr>
        <w:pStyle w:val="SingleTxtG"/>
        <w:rPr>
          <w:lang w:val="en-US"/>
        </w:rPr>
      </w:pPr>
      <w:r>
        <w:rPr>
          <w:lang w:val="en-US"/>
        </w:rPr>
        <w:t>8.</w:t>
      </w:r>
      <w:r>
        <w:rPr>
          <w:lang w:val="en-US"/>
        </w:rPr>
        <w:tab/>
      </w:r>
      <w:r w:rsidRPr="00723962">
        <w:rPr>
          <w:lang w:val="en-US"/>
        </w:rPr>
        <w:t>The Committee re</w:t>
      </w:r>
      <w:r>
        <w:rPr>
          <w:lang w:val="en-US"/>
        </w:rPr>
        <w:t>mains concerned</w:t>
      </w:r>
      <w:r w:rsidRPr="00723962">
        <w:rPr>
          <w:lang w:val="en-US"/>
        </w:rPr>
        <w:t xml:space="preserve"> (see CCPR/C/TKM/CO/1, para. 21) about the criminalization of sexual relations between consenting adults of the same sex, punishable with imprisonment of up to two years, and </w:t>
      </w:r>
      <w:r>
        <w:rPr>
          <w:lang w:val="en-US"/>
        </w:rPr>
        <w:t>about</w:t>
      </w:r>
      <w:r w:rsidRPr="00723962">
        <w:rPr>
          <w:lang w:val="en-US"/>
        </w:rPr>
        <w:t xml:space="preserve"> the State party’s argument that homosexuality contradicts its culture. It is also concerned about discrimination against and social stigmatization of LGBT persons, including violence, arbitrary arrests and detention and other abuses perpetrated on the basis of sexual orientation and gender identity </w:t>
      </w:r>
      <w:r w:rsidR="00D15898">
        <w:rPr>
          <w:lang w:val="en-US"/>
        </w:rPr>
        <w:t>with</w:t>
      </w:r>
      <w:r>
        <w:rPr>
          <w:lang w:val="en-US"/>
        </w:rPr>
        <w:t xml:space="preserve"> total impunity</w:t>
      </w:r>
      <w:r w:rsidRPr="00723962">
        <w:rPr>
          <w:lang w:val="en-US"/>
        </w:rPr>
        <w:t xml:space="preserve"> (arts. 2, 7, 9, 17 and 26).</w:t>
      </w:r>
    </w:p>
    <w:p w:rsidR="00287F1D" w:rsidRPr="00F360FD" w:rsidRDefault="00287F1D" w:rsidP="00287F1D">
      <w:pPr>
        <w:pStyle w:val="SingleTxtG"/>
        <w:rPr>
          <w:rFonts w:eastAsia="MS Mincho"/>
          <w:b/>
          <w:kern w:val="2"/>
          <w:szCs w:val="22"/>
          <w:u w:color="000000"/>
          <w:bdr w:val="nil"/>
          <w:lang w:eastAsia="ja-JP"/>
        </w:rPr>
      </w:pPr>
      <w:r w:rsidRPr="00C04788">
        <w:rPr>
          <w:bCs/>
          <w:color w:val="000000"/>
        </w:rPr>
        <w:t>9.</w:t>
      </w:r>
      <w:r>
        <w:rPr>
          <w:b/>
          <w:bCs/>
          <w:color w:val="000000"/>
        </w:rPr>
        <w:tab/>
      </w:r>
      <w:r w:rsidRPr="001921A8">
        <w:rPr>
          <w:b/>
          <w:bCs/>
          <w:color w:val="000000"/>
        </w:rPr>
        <w:t>While acknowledging the diversity of morality and cultures internationally, the Committee recalls that State laws and practices must always be subject to the principles of universality of human rights and of non-discrimination</w:t>
      </w:r>
      <w:r>
        <w:rPr>
          <w:b/>
          <w:bCs/>
          <w:color w:val="000000"/>
        </w:rPr>
        <w:t xml:space="preserve"> and </w:t>
      </w:r>
      <w:r w:rsidRPr="003C3A52">
        <w:rPr>
          <w:b/>
          <w:bCs/>
          <w:color w:val="000000"/>
        </w:rPr>
        <w:t>that a failure to comply with the obligations contained in the Covenant cannot be justified by reference to political, social, cultural or economic considerations within the State</w:t>
      </w:r>
      <w:r w:rsidRPr="001921A8">
        <w:rPr>
          <w:b/>
          <w:bCs/>
          <w:color w:val="000000"/>
        </w:rPr>
        <w:t>.</w:t>
      </w:r>
      <w:r w:rsidRPr="00723962">
        <w:rPr>
          <w:b/>
          <w:bCs/>
          <w:color w:val="000000"/>
        </w:rPr>
        <w:t xml:space="preserve"> The State party should</w:t>
      </w:r>
      <w:r>
        <w:rPr>
          <w:b/>
          <w:bCs/>
          <w:color w:val="000000"/>
        </w:rPr>
        <w:t>: (a)</w:t>
      </w:r>
      <w:r w:rsidRPr="00723962">
        <w:rPr>
          <w:b/>
          <w:bCs/>
          <w:color w:val="000000"/>
        </w:rPr>
        <w:t xml:space="preserve"> decriminalize </w:t>
      </w:r>
      <w:r w:rsidRPr="00723962">
        <w:rPr>
          <w:b/>
          <w:lang w:val="en-US"/>
        </w:rPr>
        <w:t xml:space="preserve">sexual relations between consenting adults of the same sex with a view to bringing its legislation </w:t>
      </w:r>
      <w:r>
        <w:rPr>
          <w:b/>
          <w:lang w:val="en-US"/>
        </w:rPr>
        <w:t>in compliance with the Covenant;</w:t>
      </w:r>
      <w:r w:rsidRPr="00723962">
        <w:rPr>
          <w:b/>
          <w:lang w:val="en-US"/>
        </w:rPr>
        <w:t xml:space="preserve"> </w:t>
      </w:r>
      <w:r>
        <w:rPr>
          <w:b/>
          <w:lang w:val="en-US"/>
        </w:rPr>
        <w:t xml:space="preserve">(b) </w:t>
      </w:r>
      <w:r w:rsidRPr="00723962">
        <w:rPr>
          <w:rFonts w:eastAsia="MS Mincho"/>
          <w:b/>
          <w:kern w:val="2"/>
          <w:szCs w:val="22"/>
          <w:u w:color="000000"/>
          <w:bdr w:val="nil"/>
          <w:lang w:eastAsia="ja-JP"/>
        </w:rPr>
        <w:t>put an end to the social stigmatization of homosexuality</w:t>
      </w:r>
      <w:r>
        <w:rPr>
          <w:rFonts w:eastAsia="MS Mincho"/>
          <w:b/>
          <w:kern w:val="2"/>
          <w:szCs w:val="22"/>
          <w:u w:color="000000"/>
          <w:bdr w:val="nil"/>
          <w:lang w:eastAsia="ja-JP"/>
        </w:rPr>
        <w:t>;</w:t>
      </w:r>
      <w:r w:rsidRPr="00723962">
        <w:rPr>
          <w:rFonts w:eastAsia="MS Mincho"/>
          <w:b/>
          <w:kern w:val="2"/>
          <w:szCs w:val="22"/>
          <w:u w:color="000000"/>
          <w:bdr w:val="nil"/>
          <w:lang w:eastAsia="ja-JP"/>
        </w:rPr>
        <w:t xml:space="preserve"> and </w:t>
      </w:r>
      <w:r>
        <w:rPr>
          <w:rFonts w:eastAsia="MS Mincho"/>
          <w:b/>
          <w:kern w:val="2"/>
          <w:szCs w:val="22"/>
          <w:u w:color="000000"/>
          <w:bdr w:val="nil"/>
          <w:lang w:eastAsia="ja-JP"/>
        </w:rPr>
        <w:t xml:space="preserve">(c) </w:t>
      </w:r>
      <w:r w:rsidRPr="00723962">
        <w:rPr>
          <w:rFonts w:eastAsia="MS Mincho"/>
          <w:b/>
          <w:kern w:val="2"/>
          <w:szCs w:val="22"/>
          <w:u w:color="000000"/>
          <w:bdr w:val="nil"/>
          <w:lang w:eastAsia="ja-JP"/>
        </w:rPr>
        <w:t xml:space="preserve">ensure that no form of discrimination or violence against persons based on their sexual orientation or </w:t>
      </w:r>
      <w:r w:rsidRPr="00723962">
        <w:rPr>
          <w:rFonts w:eastAsia="MS Mincho"/>
          <w:b/>
          <w:kern w:val="2"/>
          <w:szCs w:val="22"/>
          <w:u w:color="000000"/>
          <w:bdr w:val="nil"/>
          <w:lang w:eastAsia="ja-JP"/>
        </w:rPr>
        <w:lastRenderedPageBreak/>
        <w:t xml:space="preserve">gender identity is tolerated and that </w:t>
      </w:r>
      <w:r>
        <w:rPr>
          <w:rFonts w:eastAsia="MS Mincho"/>
          <w:b/>
          <w:kern w:val="2"/>
          <w:szCs w:val="22"/>
          <w:u w:color="000000"/>
          <w:bdr w:val="nil"/>
          <w:lang w:eastAsia="ja-JP"/>
        </w:rPr>
        <w:t xml:space="preserve">all </w:t>
      </w:r>
      <w:r w:rsidRPr="00723962">
        <w:rPr>
          <w:rFonts w:eastAsia="MS Mincho"/>
          <w:b/>
          <w:kern w:val="2"/>
          <w:szCs w:val="22"/>
          <w:u w:color="000000"/>
          <w:bdr w:val="nil"/>
          <w:lang w:eastAsia="ja-JP"/>
        </w:rPr>
        <w:t>such cases are properly investigated and sanctioned.</w:t>
      </w:r>
    </w:p>
    <w:p w:rsidR="00287F1D" w:rsidRPr="00287F1D" w:rsidRDefault="00287F1D" w:rsidP="00287F1D">
      <w:pPr>
        <w:pStyle w:val="H23G"/>
        <w:rPr>
          <w:rFonts w:ascii="Calibri" w:eastAsia="MS Mincho" w:hAnsi="Calibri"/>
          <w:kern w:val="2"/>
          <w:sz w:val="22"/>
          <w:szCs w:val="22"/>
          <w:u w:color="000000"/>
          <w:bdr w:val="nil"/>
          <w:lang w:eastAsia="ja-JP"/>
        </w:rPr>
      </w:pPr>
      <w:r>
        <w:tab/>
      </w:r>
      <w:r>
        <w:tab/>
      </w:r>
      <w:r w:rsidRPr="009F3D52">
        <w:t>Gender equality</w:t>
      </w:r>
    </w:p>
    <w:p w:rsidR="00287F1D" w:rsidRPr="00670AFB" w:rsidRDefault="00287F1D" w:rsidP="00287F1D">
      <w:pPr>
        <w:pStyle w:val="SingleTxtG"/>
      </w:pPr>
      <w:r>
        <w:t>10.</w:t>
      </w:r>
      <w:r>
        <w:tab/>
      </w:r>
      <w:r w:rsidRPr="00670AFB">
        <w:t xml:space="preserve">While welcoming the </w:t>
      </w:r>
      <w:r>
        <w:t>constitutional provision</w:t>
      </w:r>
      <w:r w:rsidRPr="00670AFB">
        <w:t xml:space="preserve"> recognizing equal rights and opportunities for men and women (art. 29) and </w:t>
      </w:r>
      <w:r>
        <w:t xml:space="preserve">other </w:t>
      </w:r>
      <w:r w:rsidRPr="00670AFB">
        <w:t xml:space="preserve">legislative and policy </w:t>
      </w:r>
      <w:r>
        <w:t xml:space="preserve">measures </w:t>
      </w:r>
      <w:r w:rsidRPr="00670AFB">
        <w:t xml:space="preserve">to promote gender equality, the Committee remains concerned (see CCPR/C/TKM/CO/1, para. 8) </w:t>
      </w:r>
      <w:r>
        <w:t>about the continued underrepresentation of women</w:t>
      </w:r>
      <w:r w:rsidRPr="00670AFB">
        <w:t xml:space="preserve"> in the public and private sectors, particularly in decision-making positions, </w:t>
      </w:r>
      <w:r>
        <w:t xml:space="preserve">and about the prevalence of </w:t>
      </w:r>
      <w:r w:rsidRPr="00670AFB">
        <w:t xml:space="preserve">stereotypes regarding the role and responsibility of women, including in the Labour Code that </w:t>
      </w:r>
      <w:r>
        <w:t xml:space="preserve">still restricts women’s choice of </w:t>
      </w:r>
      <w:r w:rsidRPr="00670AFB">
        <w:t>employment</w:t>
      </w:r>
      <w:r>
        <w:t xml:space="preserve"> </w:t>
      </w:r>
      <w:r w:rsidRPr="00670AFB">
        <w:t>based on stereotypical assumptions (arts. 2, 3 and 26).</w:t>
      </w:r>
    </w:p>
    <w:p w:rsidR="00287F1D" w:rsidRPr="00670AFB" w:rsidRDefault="00287F1D" w:rsidP="00287F1D">
      <w:pPr>
        <w:pStyle w:val="SingleTxtG"/>
        <w:rPr>
          <w:b/>
        </w:rPr>
      </w:pPr>
      <w:r w:rsidRPr="00C04788">
        <w:t>11.</w:t>
      </w:r>
      <w:r w:rsidRPr="00C04788">
        <w:tab/>
      </w:r>
      <w:r w:rsidRPr="00670AFB">
        <w:rPr>
          <w:b/>
        </w:rPr>
        <w:t xml:space="preserve">The State party should step up its efforts to achieve </w:t>
      </w:r>
      <w:r w:rsidRPr="000655AC">
        <w:rPr>
          <w:b/>
        </w:rPr>
        <w:t xml:space="preserve">within specific time frames </w:t>
      </w:r>
      <w:r w:rsidRPr="00670AFB">
        <w:rPr>
          <w:b/>
        </w:rPr>
        <w:t xml:space="preserve">equitable representation of women in the public and private sectors particularly in decision-making positions, including in legislative and executive bodies and the judiciary, </w:t>
      </w:r>
      <w:r w:rsidR="00A77F1C">
        <w:rPr>
          <w:b/>
        </w:rPr>
        <w:t>including if necessary</w:t>
      </w:r>
      <w:r w:rsidRPr="00670AFB">
        <w:rPr>
          <w:b/>
        </w:rPr>
        <w:t xml:space="preserve"> through </w:t>
      </w:r>
      <w:r w:rsidR="00A77F1C">
        <w:rPr>
          <w:b/>
        </w:rPr>
        <w:t>appropriate</w:t>
      </w:r>
      <w:r w:rsidRPr="00670AFB">
        <w:rPr>
          <w:b/>
        </w:rPr>
        <w:t xml:space="preserve"> temporary special measures</w:t>
      </w:r>
      <w:r w:rsidR="00A77F1C">
        <w:rPr>
          <w:b/>
        </w:rPr>
        <w:t>,</w:t>
      </w:r>
      <w:r w:rsidRPr="00670AFB">
        <w:rPr>
          <w:b/>
        </w:rPr>
        <w:t xml:space="preserve"> to give effect to the provisions of the Covenant. It should </w:t>
      </w:r>
      <w:r>
        <w:rPr>
          <w:b/>
        </w:rPr>
        <w:t xml:space="preserve">promote and advance gender equality to counter </w:t>
      </w:r>
      <w:r w:rsidRPr="00670AFB">
        <w:rPr>
          <w:b/>
        </w:rPr>
        <w:t>stereotypes on the roles and responsibilities of women in the family and society at large</w:t>
      </w:r>
      <w:r>
        <w:rPr>
          <w:b/>
        </w:rPr>
        <w:t xml:space="preserve"> </w:t>
      </w:r>
      <w:r w:rsidRPr="00F431CC">
        <w:rPr>
          <w:b/>
        </w:rPr>
        <w:t>through public awareness, education and training programs</w:t>
      </w:r>
      <w:r w:rsidRPr="00670AFB">
        <w:rPr>
          <w:b/>
        </w:rPr>
        <w:t xml:space="preserve">, </w:t>
      </w:r>
      <w:r>
        <w:rPr>
          <w:b/>
        </w:rPr>
        <w:t>and</w:t>
      </w:r>
      <w:r w:rsidRPr="00670AFB">
        <w:rPr>
          <w:b/>
        </w:rPr>
        <w:t xml:space="preserve"> by revising provisions in </w:t>
      </w:r>
      <w:r>
        <w:rPr>
          <w:b/>
        </w:rPr>
        <w:t>the</w:t>
      </w:r>
      <w:r w:rsidRPr="00670AFB">
        <w:rPr>
          <w:b/>
        </w:rPr>
        <w:t xml:space="preserve"> Labour Code </w:t>
      </w:r>
      <w:r>
        <w:rPr>
          <w:b/>
        </w:rPr>
        <w:t xml:space="preserve">that </w:t>
      </w:r>
      <w:r w:rsidRPr="00670AFB">
        <w:rPr>
          <w:b/>
        </w:rPr>
        <w:t>justify restrictions</w:t>
      </w:r>
      <w:r w:rsidR="00BA7353">
        <w:rPr>
          <w:b/>
        </w:rPr>
        <w:t xml:space="preserve"> on</w:t>
      </w:r>
      <w:r w:rsidRPr="00670AFB">
        <w:rPr>
          <w:b/>
        </w:rPr>
        <w:t xml:space="preserve"> women’s employment opportunities </w:t>
      </w:r>
      <w:r w:rsidR="009E5D93">
        <w:rPr>
          <w:b/>
        </w:rPr>
        <w:t xml:space="preserve">based </w:t>
      </w:r>
      <w:r w:rsidRPr="00670AFB">
        <w:rPr>
          <w:b/>
        </w:rPr>
        <w:t xml:space="preserve">on </w:t>
      </w:r>
      <w:r w:rsidR="009E5D93">
        <w:rPr>
          <w:b/>
        </w:rPr>
        <w:t>gender stereotypes</w:t>
      </w:r>
      <w:r w:rsidRPr="00670AFB">
        <w:rPr>
          <w:b/>
        </w:rPr>
        <w:t xml:space="preserve">. </w:t>
      </w:r>
    </w:p>
    <w:p w:rsidR="00287F1D" w:rsidRPr="009F3D52" w:rsidRDefault="00287F1D" w:rsidP="00287F1D">
      <w:pPr>
        <w:pStyle w:val="H23G"/>
      </w:pPr>
      <w:r>
        <w:tab/>
      </w:r>
      <w:r>
        <w:tab/>
      </w:r>
      <w:r w:rsidRPr="009F3D52">
        <w:t xml:space="preserve">Violence against women, including domestic and sexual violence </w:t>
      </w:r>
    </w:p>
    <w:p w:rsidR="00287F1D" w:rsidRPr="00670AFB" w:rsidRDefault="00287F1D" w:rsidP="00287F1D">
      <w:pPr>
        <w:pStyle w:val="SingleTxtG"/>
      </w:pPr>
      <w:r>
        <w:t>12.</w:t>
      </w:r>
      <w:r>
        <w:tab/>
        <w:t>T</w:t>
      </w:r>
      <w:r w:rsidRPr="00670AFB">
        <w:t xml:space="preserve">he Committee is concerned </w:t>
      </w:r>
      <w:r>
        <w:t xml:space="preserve">at reports </w:t>
      </w:r>
      <w:r w:rsidRPr="00670AFB">
        <w:t xml:space="preserve">that </w:t>
      </w:r>
      <w:r>
        <w:t xml:space="preserve">domestic </w:t>
      </w:r>
      <w:r w:rsidRPr="00670AFB">
        <w:t xml:space="preserve">violence remains </w:t>
      </w:r>
      <w:r>
        <w:t xml:space="preserve">prevalent and </w:t>
      </w:r>
      <w:r w:rsidRPr="00670AFB">
        <w:t>specific legislation criminalizing domestic violence</w:t>
      </w:r>
      <w:r>
        <w:t xml:space="preserve"> is lacking. It regrets the State party’s failure</w:t>
      </w:r>
      <w:r w:rsidRPr="00670AFB">
        <w:t xml:space="preserve"> to provide the requested information on cases of violence against women</w:t>
      </w:r>
      <w:r>
        <w:t xml:space="preserve"> on the grounds</w:t>
      </w:r>
      <w:r w:rsidRPr="00670AFB">
        <w:t xml:space="preserve"> that this is not a widespread phenomenon (arts. 2, 3, 7 and 26). </w:t>
      </w:r>
    </w:p>
    <w:p w:rsidR="00287F1D" w:rsidRPr="00670AFB" w:rsidRDefault="00287F1D" w:rsidP="00287F1D">
      <w:pPr>
        <w:pStyle w:val="SingleTxtG"/>
        <w:rPr>
          <w:b/>
        </w:rPr>
      </w:pPr>
      <w:r w:rsidRPr="00C04788">
        <w:t>13.</w:t>
      </w:r>
      <w:r>
        <w:rPr>
          <w:b/>
        </w:rPr>
        <w:tab/>
      </w:r>
      <w:r w:rsidRPr="00670AFB">
        <w:rPr>
          <w:b/>
        </w:rPr>
        <w:t xml:space="preserve">The State party should </w:t>
      </w:r>
      <w:r>
        <w:rPr>
          <w:b/>
        </w:rPr>
        <w:t>increase</w:t>
      </w:r>
      <w:r w:rsidRPr="00670AFB">
        <w:rPr>
          <w:b/>
        </w:rPr>
        <w:t xml:space="preserve"> its efforts to prevent and combat all forms of violence against women, including by:</w:t>
      </w:r>
    </w:p>
    <w:p w:rsidR="00287F1D" w:rsidRPr="00287F1D" w:rsidRDefault="00287F1D" w:rsidP="00287F1D">
      <w:pPr>
        <w:pStyle w:val="SingleTxtG"/>
        <w:rPr>
          <w:b/>
        </w:rPr>
      </w:pPr>
      <w:r>
        <w:rPr>
          <w:b/>
        </w:rPr>
        <w:tab/>
      </w:r>
      <w:r w:rsidRPr="00287F1D">
        <w:rPr>
          <w:b/>
        </w:rPr>
        <w:t>(a)</w:t>
      </w:r>
      <w:r w:rsidRPr="00287F1D">
        <w:rPr>
          <w:b/>
        </w:rPr>
        <w:tab/>
        <w:t>Adopting without undue delay legislation specifically criminalizing violence against women particularly domestic and sexual violence, and ensuring effective implementation in practice;</w:t>
      </w:r>
    </w:p>
    <w:p w:rsidR="00287F1D" w:rsidRPr="00287F1D" w:rsidRDefault="00287F1D" w:rsidP="00287F1D">
      <w:pPr>
        <w:pStyle w:val="SingleTxtG"/>
        <w:rPr>
          <w:b/>
        </w:rPr>
      </w:pPr>
      <w:r>
        <w:rPr>
          <w:b/>
        </w:rPr>
        <w:tab/>
      </w:r>
      <w:r w:rsidRPr="00287F1D">
        <w:rPr>
          <w:b/>
        </w:rPr>
        <w:t>(b)</w:t>
      </w:r>
      <w:r w:rsidRPr="00287F1D">
        <w:rPr>
          <w:b/>
        </w:rPr>
        <w:tab/>
        <w:t>Strengthening preventive measures, including by collecting data about domestic violence, studying its causes, raising awareness of women’s rights and of the adverse impact and unacceptability of violence against women, and promoting reporting of such cases;</w:t>
      </w:r>
    </w:p>
    <w:p w:rsidR="00287F1D" w:rsidRPr="00287F1D" w:rsidRDefault="00287F1D" w:rsidP="00287F1D">
      <w:pPr>
        <w:pStyle w:val="SingleTxtG"/>
        <w:rPr>
          <w:b/>
        </w:rPr>
      </w:pPr>
      <w:r>
        <w:rPr>
          <w:b/>
        </w:rPr>
        <w:tab/>
      </w:r>
      <w:r w:rsidRPr="00287F1D">
        <w:rPr>
          <w:b/>
        </w:rPr>
        <w:t>(c)</w:t>
      </w:r>
      <w:r w:rsidRPr="00287F1D">
        <w:rPr>
          <w:b/>
        </w:rPr>
        <w:tab/>
        <w:t>Providing appropriate training to the police, the judiciary and other concerned stakeholders on how to deal with cases of violence against women;</w:t>
      </w:r>
    </w:p>
    <w:p w:rsidR="00287F1D" w:rsidRPr="00287F1D" w:rsidRDefault="00287F1D" w:rsidP="00287F1D">
      <w:pPr>
        <w:pStyle w:val="SingleTxtG"/>
        <w:rPr>
          <w:b/>
        </w:rPr>
      </w:pPr>
      <w:r>
        <w:rPr>
          <w:b/>
        </w:rPr>
        <w:tab/>
      </w:r>
      <w:r w:rsidRPr="00287F1D">
        <w:rPr>
          <w:b/>
        </w:rPr>
        <w:t>(d)</w:t>
      </w:r>
      <w:r w:rsidRPr="00287F1D">
        <w:rPr>
          <w:b/>
        </w:rPr>
        <w:tab/>
        <w:t>Ensuring that cases of violence against women are thoroughly investigated, that perpetrators are prosecuted and, if convicted, punished with appropriate sanctions, and that victims have access to effective remedies and means of protection including temporary restraining orders, adequate shelters and other support services throughout the country.</w:t>
      </w:r>
    </w:p>
    <w:p w:rsidR="00287F1D" w:rsidRPr="009F3D52" w:rsidRDefault="00287F1D" w:rsidP="00287F1D">
      <w:pPr>
        <w:pStyle w:val="H23G"/>
      </w:pPr>
      <w:r>
        <w:tab/>
      </w:r>
      <w:r>
        <w:tab/>
      </w:r>
      <w:r w:rsidRPr="009F3D52">
        <w:t xml:space="preserve">Definition of extremism </w:t>
      </w:r>
    </w:p>
    <w:p w:rsidR="00287F1D" w:rsidRPr="00F77DD0" w:rsidRDefault="00287F1D" w:rsidP="00287F1D">
      <w:pPr>
        <w:pStyle w:val="SingleTxtG"/>
        <w:rPr>
          <w:rFonts w:eastAsia="MS Mincho"/>
          <w:kern w:val="2"/>
          <w:szCs w:val="22"/>
          <w:u w:color="000000"/>
          <w:bdr w:val="nil"/>
          <w:lang w:eastAsia="ja-JP"/>
        </w:rPr>
      </w:pPr>
      <w:r>
        <w:rPr>
          <w:rFonts w:eastAsia="MS Mincho"/>
          <w:kern w:val="2"/>
          <w:szCs w:val="22"/>
          <w:u w:color="000000"/>
          <w:bdr w:val="nil"/>
          <w:lang w:eastAsia="ja-JP"/>
        </w:rPr>
        <w:t>14.</w:t>
      </w:r>
      <w:r>
        <w:rPr>
          <w:rFonts w:eastAsia="MS Mincho"/>
          <w:kern w:val="2"/>
          <w:szCs w:val="22"/>
          <w:u w:color="000000"/>
          <w:bdr w:val="nil"/>
          <w:lang w:eastAsia="ja-JP"/>
        </w:rPr>
        <w:tab/>
      </w:r>
      <w:r w:rsidRPr="00F77DD0">
        <w:rPr>
          <w:rFonts w:eastAsia="MS Mincho"/>
          <w:kern w:val="2"/>
          <w:szCs w:val="22"/>
          <w:u w:color="000000"/>
          <w:bdr w:val="nil"/>
          <w:lang w:eastAsia="ja-JP"/>
        </w:rPr>
        <w:t xml:space="preserve">The Committee is concerned about the excessively broad definition of extremism under the State party’s legislation that </w:t>
      </w:r>
      <w:r>
        <w:rPr>
          <w:rFonts w:eastAsia="MS Mincho"/>
          <w:kern w:val="2"/>
          <w:szCs w:val="22"/>
          <w:u w:color="000000"/>
          <w:bdr w:val="nil"/>
          <w:lang w:eastAsia="ja-JP"/>
        </w:rPr>
        <w:t>leads</w:t>
      </w:r>
      <w:r w:rsidRPr="00F77DD0">
        <w:rPr>
          <w:rFonts w:eastAsia="MS Mincho"/>
          <w:kern w:val="2"/>
          <w:szCs w:val="22"/>
          <w:u w:color="000000"/>
          <w:bdr w:val="nil"/>
          <w:lang w:eastAsia="ja-JP"/>
        </w:rPr>
        <w:t xml:space="preserve"> to arbitrary and disproportionate restrictions of the </w:t>
      </w:r>
      <w:r>
        <w:rPr>
          <w:rFonts w:eastAsia="MS Mincho"/>
          <w:kern w:val="2"/>
          <w:szCs w:val="22"/>
          <w:u w:color="000000"/>
          <w:bdr w:val="nil"/>
          <w:lang w:eastAsia="ja-JP"/>
        </w:rPr>
        <w:t xml:space="preserve">rights in the </w:t>
      </w:r>
      <w:r w:rsidRPr="00F77DD0">
        <w:rPr>
          <w:rFonts w:eastAsia="MS Mincho"/>
          <w:kern w:val="2"/>
          <w:szCs w:val="22"/>
          <w:u w:color="000000"/>
          <w:bdr w:val="nil"/>
          <w:lang w:eastAsia="ja-JP"/>
        </w:rPr>
        <w:t>Covenant in practice (arts. 2, 9, 18, 19</w:t>
      </w:r>
      <w:r>
        <w:rPr>
          <w:rFonts w:eastAsia="MS Mincho"/>
          <w:kern w:val="2"/>
          <w:szCs w:val="22"/>
          <w:u w:color="000000"/>
          <w:bdr w:val="nil"/>
          <w:lang w:eastAsia="ja-JP"/>
        </w:rPr>
        <w:t>, 2</w:t>
      </w:r>
      <w:r w:rsidRPr="00F77DD0">
        <w:rPr>
          <w:rFonts w:eastAsia="MS Mincho"/>
          <w:kern w:val="2"/>
          <w:szCs w:val="22"/>
          <w:u w:color="000000"/>
          <w:bdr w:val="nil"/>
          <w:lang w:eastAsia="ja-JP"/>
        </w:rPr>
        <w:t xml:space="preserve">1and 25). </w:t>
      </w:r>
    </w:p>
    <w:p w:rsidR="00287F1D" w:rsidRPr="00F77DD0" w:rsidRDefault="00287F1D" w:rsidP="00287F1D">
      <w:pPr>
        <w:pStyle w:val="SingleTxtG"/>
        <w:rPr>
          <w:rFonts w:eastAsia="MS Mincho"/>
          <w:kern w:val="2"/>
          <w:szCs w:val="22"/>
          <w:u w:color="000000"/>
          <w:bdr w:val="nil"/>
          <w:lang w:eastAsia="ja-JP"/>
        </w:rPr>
      </w:pPr>
      <w:r w:rsidRPr="00C04788">
        <w:rPr>
          <w:rFonts w:eastAsia="MS Mincho"/>
          <w:kern w:val="2"/>
          <w:szCs w:val="22"/>
          <w:u w:color="000000"/>
          <w:bdr w:val="nil"/>
          <w:lang w:eastAsia="ja-JP"/>
        </w:rPr>
        <w:lastRenderedPageBreak/>
        <w:t>15.</w:t>
      </w:r>
      <w:r>
        <w:rPr>
          <w:rFonts w:eastAsia="MS Mincho"/>
          <w:b/>
          <w:kern w:val="2"/>
          <w:szCs w:val="22"/>
          <w:u w:color="000000"/>
          <w:bdr w:val="nil"/>
          <w:lang w:eastAsia="ja-JP"/>
        </w:rPr>
        <w:tab/>
      </w:r>
      <w:r w:rsidRPr="00F77DD0">
        <w:rPr>
          <w:rFonts w:eastAsia="MS Mincho"/>
          <w:b/>
          <w:kern w:val="2"/>
          <w:szCs w:val="22"/>
          <w:u w:color="000000"/>
          <w:bdr w:val="nil"/>
          <w:lang w:eastAsia="ja-JP"/>
        </w:rPr>
        <w:t xml:space="preserve">The State party should bring its counter-extremism legislation and practices into full compliance with its obligations under the Covenant by, inter alia, narrowing the broad range of activities </w:t>
      </w:r>
      <w:r>
        <w:rPr>
          <w:rFonts w:eastAsia="MS Mincho"/>
          <w:b/>
          <w:kern w:val="2"/>
          <w:szCs w:val="22"/>
          <w:u w:color="000000"/>
          <w:bdr w:val="nil"/>
          <w:lang w:eastAsia="ja-JP"/>
        </w:rPr>
        <w:t xml:space="preserve">considered extremist </w:t>
      </w:r>
      <w:r w:rsidRPr="00F77DD0">
        <w:rPr>
          <w:rFonts w:eastAsia="MS Mincho"/>
          <w:b/>
          <w:kern w:val="2"/>
          <w:szCs w:val="22"/>
          <w:u w:color="000000"/>
          <w:bdr w:val="nil"/>
          <w:lang w:eastAsia="ja-JP"/>
        </w:rPr>
        <w:t xml:space="preserve">and ensuring their conformity with the principles of legal certainty, predictability and proportionality, and by ensuring that the definition of extremism </w:t>
      </w:r>
      <w:r>
        <w:rPr>
          <w:rFonts w:eastAsia="MS Mincho"/>
          <w:b/>
          <w:kern w:val="2"/>
          <w:szCs w:val="22"/>
          <w:u w:color="000000"/>
          <w:bdr w:val="nil"/>
          <w:lang w:eastAsia="ja-JP"/>
        </w:rPr>
        <w:t>contains</w:t>
      </w:r>
      <w:r w:rsidRPr="00F77DD0">
        <w:rPr>
          <w:rFonts w:eastAsia="MS Mincho"/>
          <w:b/>
          <w:kern w:val="2"/>
          <w:szCs w:val="22"/>
          <w:u w:color="000000"/>
          <w:bdr w:val="nil"/>
          <w:lang w:eastAsia="ja-JP"/>
        </w:rPr>
        <w:t xml:space="preserve"> an element of violence or </w:t>
      </w:r>
      <w:r>
        <w:rPr>
          <w:rFonts w:eastAsia="MS Mincho"/>
          <w:b/>
          <w:kern w:val="2"/>
          <w:szCs w:val="22"/>
          <w:u w:color="000000"/>
          <w:bdr w:val="nil"/>
          <w:lang w:eastAsia="ja-JP"/>
        </w:rPr>
        <w:t xml:space="preserve">advocacy of </w:t>
      </w:r>
      <w:r w:rsidRPr="00F77DD0">
        <w:rPr>
          <w:rFonts w:eastAsia="MS Mincho"/>
          <w:b/>
          <w:kern w:val="2"/>
          <w:szCs w:val="22"/>
          <w:u w:color="000000"/>
          <w:bdr w:val="nil"/>
          <w:lang w:eastAsia="ja-JP"/>
        </w:rPr>
        <w:t>hatred.</w:t>
      </w:r>
    </w:p>
    <w:p w:rsidR="00287F1D" w:rsidRPr="009F3D52" w:rsidRDefault="00287F1D" w:rsidP="00287F1D">
      <w:pPr>
        <w:pStyle w:val="H23G"/>
        <w:rPr>
          <w:i/>
        </w:rPr>
      </w:pPr>
      <w:r>
        <w:tab/>
      </w:r>
      <w:r>
        <w:tab/>
        <w:t>Secret</w:t>
      </w:r>
      <w:r w:rsidRPr="009F3D52">
        <w:t xml:space="preserve"> detention and </w:t>
      </w:r>
      <w:r w:rsidR="001F6A52">
        <w:t>e</w:t>
      </w:r>
      <w:r w:rsidRPr="009F3D52">
        <w:t>nforced disappearances</w:t>
      </w:r>
      <w:r w:rsidRPr="009F3D52">
        <w:rPr>
          <w:highlight w:val="magenta"/>
        </w:rPr>
        <w:t xml:space="preserve"> </w:t>
      </w:r>
    </w:p>
    <w:p w:rsidR="00287F1D" w:rsidRPr="00F20AB8" w:rsidRDefault="00287F1D" w:rsidP="00287F1D">
      <w:pPr>
        <w:pStyle w:val="SingleTxtG"/>
      </w:pPr>
      <w:r>
        <w:rPr>
          <w:lang w:val="en-US"/>
        </w:rPr>
        <w:t>16.</w:t>
      </w:r>
      <w:r>
        <w:rPr>
          <w:lang w:val="en-US"/>
        </w:rPr>
        <w:tab/>
      </w:r>
      <w:r w:rsidRPr="00F20AB8">
        <w:rPr>
          <w:lang w:val="en-US"/>
        </w:rPr>
        <w:t xml:space="preserve">The Committee remains concerned </w:t>
      </w:r>
      <w:r w:rsidRPr="00F20AB8">
        <w:t>(see CCPR/C/TKM/CO/1, para. 10) about report</w:t>
      </w:r>
      <w:r w:rsidR="00050320">
        <w:t>s</w:t>
      </w:r>
      <w:r w:rsidRPr="00F20AB8">
        <w:t xml:space="preserve"> </w:t>
      </w:r>
      <w:r w:rsidR="007F58CC">
        <w:t xml:space="preserve">of </w:t>
      </w:r>
      <w:r w:rsidR="001F6A52" w:rsidRPr="001F6A52">
        <w:t xml:space="preserve">secret detention </w:t>
      </w:r>
      <w:r w:rsidR="001F6A52">
        <w:t xml:space="preserve">and </w:t>
      </w:r>
      <w:r w:rsidRPr="00F20AB8">
        <w:t xml:space="preserve">enforced disappearance of </w:t>
      </w:r>
      <w:r>
        <w:t>a large number</w:t>
      </w:r>
      <w:r w:rsidRPr="00F20AB8">
        <w:t xml:space="preserve"> of convicted and imprisoned persons, including those convicted for alleged involvement in the assassination attempt on the former President in November 2002</w:t>
      </w:r>
      <w:r>
        <w:t>.</w:t>
      </w:r>
      <w:r w:rsidRPr="00F20AB8">
        <w:t xml:space="preserve"> </w:t>
      </w:r>
      <w:r>
        <w:t>It</w:t>
      </w:r>
      <w:r w:rsidRPr="00F20AB8">
        <w:t xml:space="preserve"> regrets the State party’s failure to respond to such allegations and to disclose the fate and whereabouts of these persons, including former Foreign Minister Boris </w:t>
      </w:r>
      <w:proofErr w:type="spellStart"/>
      <w:r w:rsidRPr="00F20AB8">
        <w:t>Shikhmuradov</w:t>
      </w:r>
      <w:proofErr w:type="spellEnd"/>
      <w:r w:rsidRPr="00F20AB8">
        <w:t xml:space="preserve"> </w:t>
      </w:r>
      <w:r>
        <w:t>who</w:t>
      </w:r>
      <w:r w:rsidRPr="00F20AB8">
        <w:t xml:space="preserve"> has been recognized by the Committee as a victim of enforced disappearance (see CCPR/C/112/D/2069/2011) (arts. 2, 6, 7, 9, 14 and 16). </w:t>
      </w:r>
    </w:p>
    <w:p w:rsidR="00287F1D" w:rsidRPr="00F20AB8" w:rsidRDefault="00287F1D" w:rsidP="00287F1D">
      <w:pPr>
        <w:pStyle w:val="SingleTxtG"/>
        <w:rPr>
          <w:b/>
        </w:rPr>
      </w:pPr>
      <w:r w:rsidRPr="00C04788">
        <w:t>17.</w:t>
      </w:r>
      <w:r>
        <w:rPr>
          <w:b/>
        </w:rPr>
        <w:tab/>
      </w:r>
      <w:r w:rsidRPr="00F20AB8">
        <w:rPr>
          <w:b/>
        </w:rPr>
        <w:t>The State party should</w:t>
      </w:r>
      <w:r w:rsidR="00964681">
        <w:rPr>
          <w:b/>
        </w:rPr>
        <w:t>, as a matter of urgency</w:t>
      </w:r>
      <w:r w:rsidRPr="00F20AB8">
        <w:rPr>
          <w:b/>
        </w:rPr>
        <w:t>:</w:t>
      </w:r>
    </w:p>
    <w:p w:rsidR="00287F1D" w:rsidRPr="00287F1D" w:rsidRDefault="00287F1D" w:rsidP="00287F1D">
      <w:pPr>
        <w:pStyle w:val="SingleTxtG"/>
        <w:rPr>
          <w:b/>
        </w:rPr>
      </w:pPr>
      <w:r>
        <w:rPr>
          <w:b/>
        </w:rPr>
        <w:tab/>
      </w:r>
      <w:r w:rsidRPr="00287F1D">
        <w:rPr>
          <w:b/>
        </w:rPr>
        <w:t>(a)</w:t>
      </w:r>
      <w:r w:rsidRPr="00287F1D">
        <w:rPr>
          <w:b/>
        </w:rPr>
        <w:tab/>
        <w:t xml:space="preserve">End the practice of </w:t>
      </w:r>
      <w:r w:rsidR="00964681" w:rsidRPr="00964681">
        <w:rPr>
          <w:b/>
        </w:rPr>
        <w:t xml:space="preserve">secret detention </w:t>
      </w:r>
      <w:r w:rsidR="00964681">
        <w:rPr>
          <w:b/>
        </w:rPr>
        <w:t xml:space="preserve">and </w:t>
      </w:r>
      <w:r w:rsidRPr="00287F1D">
        <w:rPr>
          <w:b/>
        </w:rPr>
        <w:t>enforced disappearances;</w:t>
      </w:r>
    </w:p>
    <w:p w:rsidR="00287F1D" w:rsidRPr="00287F1D" w:rsidRDefault="00287F1D" w:rsidP="00287F1D">
      <w:pPr>
        <w:pStyle w:val="SingleTxtG"/>
        <w:rPr>
          <w:b/>
        </w:rPr>
      </w:pPr>
      <w:r>
        <w:rPr>
          <w:b/>
        </w:rPr>
        <w:tab/>
      </w:r>
      <w:r w:rsidRPr="00287F1D">
        <w:rPr>
          <w:b/>
        </w:rPr>
        <w:t>(b)</w:t>
      </w:r>
      <w:r w:rsidRPr="00287F1D">
        <w:rPr>
          <w:b/>
        </w:rPr>
        <w:tab/>
        <w:t xml:space="preserve">Disclose the fate </w:t>
      </w:r>
      <w:proofErr w:type="spellStart"/>
      <w:r w:rsidRPr="00287F1D">
        <w:rPr>
          <w:b/>
        </w:rPr>
        <w:t>or</w:t>
      </w:r>
      <w:proofErr w:type="spellEnd"/>
      <w:r w:rsidRPr="00287F1D">
        <w:rPr>
          <w:b/>
        </w:rPr>
        <w:t xml:space="preserve"> the whereabouts of forcibly disappeared persons and allow all detained persons visits from their families and confidential access to their lawyers;</w:t>
      </w:r>
    </w:p>
    <w:p w:rsidR="00287F1D" w:rsidRPr="00287F1D" w:rsidRDefault="00287F1D" w:rsidP="00287F1D">
      <w:pPr>
        <w:pStyle w:val="SingleTxtG"/>
        <w:rPr>
          <w:b/>
        </w:rPr>
      </w:pPr>
      <w:r>
        <w:rPr>
          <w:b/>
        </w:rPr>
        <w:tab/>
      </w:r>
      <w:r w:rsidRPr="00287F1D">
        <w:rPr>
          <w:b/>
        </w:rPr>
        <w:t>(c)</w:t>
      </w:r>
      <w:r w:rsidRPr="00287F1D">
        <w:rPr>
          <w:b/>
        </w:rPr>
        <w:tab/>
        <w:t xml:space="preserve">Ensure that all reported cases of enforced disappearances are promptly, thoroughly and impartially investigated, that perpetrators are brought to justice and punished with appropriate sanctions, and that victims of enforced disappearance and their relatives are informed about the outcome of the investigation and are provided with </w:t>
      </w:r>
      <w:r w:rsidR="00964681">
        <w:rPr>
          <w:b/>
        </w:rPr>
        <w:t>full</w:t>
      </w:r>
      <w:r w:rsidRPr="00287F1D">
        <w:rPr>
          <w:b/>
        </w:rPr>
        <w:t xml:space="preserve"> reparation.</w:t>
      </w:r>
    </w:p>
    <w:p w:rsidR="00287F1D" w:rsidRPr="00804473" w:rsidRDefault="00287F1D" w:rsidP="00287F1D">
      <w:pPr>
        <w:pStyle w:val="H23G"/>
      </w:pPr>
      <w:r>
        <w:tab/>
      </w:r>
      <w:r>
        <w:tab/>
      </w:r>
      <w:r w:rsidRPr="00804473">
        <w:t>Torture and ill-treatment</w:t>
      </w:r>
    </w:p>
    <w:p w:rsidR="00287F1D" w:rsidRPr="00865271" w:rsidRDefault="00287F1D" w:rsidP="00287F1D">
      <w:pPr>
        <w:pStyle w:val="SingleTxtG"/>
        <w:rPr>
          <w:rFonts w:eastAsia="Calibri"/>
          <w:spacing w:val="4"/>
          <w:w w:val="103"/>
          <w:kern w:val="14"/>
          <w:szCs w:val="24"/>
        </w:rPr>
      </w:pPr>
      <w:r>
        <w:rPr>
          <w:rFonts w:eastAsia="Calibri"/>
          <w:spacing w:val="4"/>
          <w:w w:val="103"/>
          <w:kern w:val="14"/>
          <w:szCs w:val="24"/>
        </w:rPr>
        <w:t>18.</w:t>
      </w:r>
      <w:r>
        <w:rPr>
          <w:rFonts w:eastAsia="Calibri"/>
          <w:spacing w:val="4"/>
          <w:w w:val="103"/>
          <w:kern w:val="14"/>
          <w:szCs w:val="24"/>
        </w:rPr>
        <w:tab/>
      </w:r>
      <w:r w:rsidRPr="00865271">
        <w:rPr>
          <w:rFonts w:eastAsia="Calibri"/>
          <w:spacing w:val="4"/>
          <w:w w:val="103"/>
          <w:kern w:val="14"/>
          <w:szCs w:val="24"/>
        </w:rPr>
        <w:t>While welcoming the incorporation of a separate criminal offence of torture into the Criminal Code (article 182¹) in 2012, the Committee is concerned about the lack of clarity as to whether the note to the article that reads “no criminal liability shall be incurred for the infliction of severe pain or physical or mental suffering as a result of lawful acts (justifiable defen</w:t>
      </w:r>
      <w:r>
        <w:rPr>
          <w:rFonts w:eastAsia="Calibri"/>
          <w:spacing w:val="4"/>
          <w:w w:val="103"/>
          <w:kern w:val="14"/>
          <w:szCs w:val="24"/>
        </w:rPr>
        <w:t xml:space="preserve">ce of oneself or others, etc.)” </w:t>
      </w:r>
      <w:r w:rsidRPr="00865271">
        <w:rPr>
          <w:rFonts w:eastAsia="Calibri"/>
          <w:spacing w:val="4"/>
          <w:w w:val="103"/>
          <w:kern w:val="14"/>
          <w:szCs w:val="24"/>
        </w:rPr>
        <w:t xml:space="preserve">could be used as </w:t>
      </w:r>
      <w:r>
        <w:rPr>
          <w:rFonts w:eastAsia="Calibri"/>
          <w:spacing w:val="4"/>
          <w:w w:val="103"/>
          <w:kern w:val="14"/>
          <w:szCs w:val="24"/>
        </w:rPr>
        <w:t xml:space="preserve">a </w:t>
      </w:r>
      <w:r w:rsidRPr="00865271">
        <w:rPr>
          <w:rFonts w:eastAsia="Calibri"/>
          <w:spacing w:val="4"/>
          <w:w w:val="103"/>
          <w:kern w:val="14"/>
          <w:szCs w:val="24"/>
        </w:rPr>
        <w:t xml:space="preserve">defence to circumvent the absolute prohibition of torture (arts. 2 and 7). </w:t>
      </w:r>
    </w:p>
    <w:p w:rsidR="00287F1D" w:rsidRPr="00865271" w:rsidRDefault="00287F1D" w:rsidP="00287F1D">
      <w:pPr>
        <w:pStyle w:val="SingleTxtG"/>
        <w:rPr>
          <w:b/>
        </w:rPr>
      </w:pPr>
      <w:r w:rsidRPr="00C04788">
        <w:t>19.</w:t>
      </w:r>
      <w:r w:rsidRPr="00C04788">
        <w:tab/>
      </w:r>
      <w:r w:rsidRPr="00865271">
        <w:rPr>
          <w:b/>
        </w:rPr>
        <w:t>The State party should ensure</w:t>
      </w:r>
      <w:r>
        <w:rPr>
          <w:b/>
        </w:rPr>
        <w:t xml:space="preserve"> without delay</w:t>
      </w:r>
      <w:r w:rsidRPr="00865271">
        <w:rPr>
          <w:b/>
        </w:rPr>
        <w:t>, both in law and in practice, that torture cannot be justified under any circumstances whatsoever.</w:t>
      </w:r>
    </w:p>
    <w:p w:rsidR="00287F1D" w:rsidRPr="00D5006C" w:rsidRDefault="00287F1D" w:rsidP="00287F1D">
      <w:pPr>
        <w:pStyle w:val="SingleTxtG"/>
        <w:rPr>
          <w:rFonts w:eastAsia="Calibri"/>
          <w:spacing w:val="4"/>
          <w:w w:val="103"/>
          <w:kern w:val="14"/>
          <w:szCs w:val="24"/>
        </w:rPr>
      </w:pPr>
      <w:r>
        <w:rPr>
          <w:rFonts w:eastAsia="Calibri"/>
          <w:spacing w:val="4"/>
          <w:w w:val="103"/>
          <w:kern w:val="14"/>
          <w:szCs w:val="24"/>
        </w:rPr>
        <w:t>20.</w:t>
      </w:r>
      <w:r>
        <w:rPr>
          <w:rFonts w:eastAsia="Calibri"/>
          <w:spacing w:val="4"/>
          <w:w w:val="103"/>
          <w:kern w:val="14"/>
          <w:szCs w:val="24"/>
        </w:rPr>
        <w:tab/>
      </w:r>
      <w:r w:rsidRPr="00D5006C">
        <w:rPr>
          <w:rFonts w:eastAsia="Calibri"/>
          <w:spacing w:val="4"/>
          <w:w w:val="103"/>
          <w:kern w:val="14"/>
          <w:szCs w:val="24"/>
        </w:rPr>
        <w:t xml:space="preserve">The Committee remains concerned (see CCPR/C/TKM/CO/1, para. 9) about consistent reports of torture and ill-treatment of persons deprived of their liberty, including severe beatings and electric shocks, particularly to extract confessions, and </w:t>
      </w:r>
      <w:r>
        <w:rPr>
          <w:rFonts w:eastAsia="Calibri"/>
          <w:spacing w:val="4"/>
          <w:w w:val="103"/>
          <w:kern w:val="14"/>
          <w:szCs w:val="24"/>
        </w:rPr>
        <w:t xml:space="preserve">that </w:t>
      </w:r>
      <w:r w:rsidRPr="00D5006C">
        <w:rPr>
          <w:rFonts w:eastAsia="Calibri"/>
          <w:spacing w:val="4"/>
          <w:w w:val="103"/>
          <w:kern w:val="14"/>
          <w:szCs w:val="24"/>
        </w:rPr>
        <w:t xml:space="preserve">impunity </w:t>
      </w:r>
      <w:r>
        <w:rPr>
          <w:rFonts w:eastAsia="Calibri"/>
          <w:spacing w:val="4"/>
          <w:w w:val="103"/>
          <w:kern w:val="14"/>
          <w:szCs w:val="24"/>
        </w:rPr>
        <w:t xml:space="preserve">prevails </w:t>
      </w:r>
      <w:r w:rsidRPr="00D5006C">
        <w:rPr>
          <w:rFonts w:eastAsia="Calibri"/>
          <w:spacing w:val="4"/>
          <w:w w:val="103"/>
          <w:kern w:val="14"/>
          <w:szCs w:val="24"/>
        </w:rPr>
        <w:t xml:space="preserve">for such acts. It is further concerned about allegations of: (a) torture and ill-treatment of inmates, including  of </w:t>
      </w:r>
      <w:r>
        <w:rPr>
          <w:rFonts w:eastAsia="Calibri"/>
          <w:spacing w:val="4"/>
          <w:w w:val="103"/>
          <w:kern w:val="14"/>
          <w:szCs w:val="24"/>
        </w:rPr>
        <w:t>those</w:t>
      </w:r>
      <w:r w:rsidRPr="00D5006C">
        <w:rPr>
          <w:rFonts w:eastAsia="Calibri"/>
          <w:spacing w:val="4"/>
          <w:w w:val="103"/>
          <w:kern w:val="14"/>
          <w:szCs w:val="24"/>
        </w:rPr>
        <w:t xml:space="preserve"> detained at </w:t>
      </w:r>
      <w:proofErr w:type="spellStart"/>
      <w:r w:rsidRPr="00D5006C">
        <w:rPr>
          <w:rFonts w:eastAsia="Calibri"/>
          <w:spacing w:val="4"/>
          <w:w w:val="103"/>
          <w:kern w:val="14"/>
          <w:szCs w:val="24"/>
        </w:rPr>
        <w:t>Seydi</w:t>
      </w:r>
      <w:proofErr w:type="spellEnd"/>
      <w:r w:rsidRPr="00D5006C">
        <w:rPr>
          <w:rFonts w:eastAsia="Calibri"/>
          <w:spacing w:val="4"/>
          <w:w w:val="103"/>
          <w:kern w:val="14"/>
          <w:szCs w:val="24"/>
        </w:rPr>
        <w:t xml:space="preserve"> Labour Camp and at the </w:t>
      </w:r>
      <w:proofErr w:type="spellStart"/>
      <w:r w:rsidRPr="00D5006C">
        <w:rPr>
          <w:rFonts w:eastAsia="Calibri"/>
          <w:spacing w:val="4"/>
          <w:w w:val="103"/>
          <w:kern w:val="14"/>
          <w:szCs w:val="24"/>
        </w:rPr>
        <w:t>Ovadan</w:t>
      </w:r>
      <w:proofErr w:type="spellEnd"/>
      <w:r w:rsidRPr="00D5006C">
        <w:rPr>
          <w:rFonts w:eastAsia="Calibri"/>
          <w:spacing w:val="4"/>
          <w:w w:val="103"/>
          <w:kern w:val="14"/>
          <w:szCs w:val="24"/>
        </w:rPr>
        <w:t xml:space="preserve"> </w:t>
      </w:r>
      <w:proofErr w:type="spellStart"/>
      <w:r w:rsidRPr="00D5006C">
        <w:rPr>
          <w:rFonts w:eastAsia="Calibri"/>
          <w:spacing w:val="4"/>
          <w:w w:val="103"/>
          <w:kern w:val="14"/>
          <w:szCs w:val="24"/>
        </w:rPr>
        <w:t>Depe</w:t>
      </w:r>
      <w:proofErr w:type="spellEnd"/>
      <w:r w:rsidRPr="00D5006C">
        <w:rPr>
          <w:rFonts w:eastAsia="Calibri"/>
          <w:spacing w:val="4"/>
          <w:w w:val="103"/>
          <w:kern w:val="14"/>
          <w:szCs w:val="24"/>
        </w:rPr>
        <w:t xml:space="preserve"> prison </w:t>
      </w:r>
      <w:r w:rsidR="003442B2">
        <w:rPr>
          <w:rFonts w:eastAsia="Calibri"/>
          <w:spacing w:val="4"/>
          <w:w w:val="103"/>
          <w:kern w:val="14"/>
          <w:szCs w:val="24"/>
        </w:rPr>
        <w:t xml:space="preserve">which </w:t>
      </w:r>
      <w:r w:rsidRPr="00D5006C">
        <w:rPr>
          <w:rFonts w:eastAsia="Calibri"/>
          <w:spacing w:val="4"/>
          <w:w w:val="103"/>
          <w:kern w:val="14"/>
          <w:szCs w:val="24"/>
        </w:rPr>
        <w:t>hold</w:t>
      </w:r>
      <w:r w:rsidR="003442B2">
        <w:rPr>
          <w:rFonts w:eastAsia="Calibri"/>
          <w:spacing w:val="4"/>
          <w:w w:val="103"/>
          <w:kern w:val="14"/>
          <w:szCs w:val="24"/>
        </w:rPr>
        <w:t>s</w:t>
      </w:r>
      <w:r w:rsidRPr="00D5006C">
        <w:rPr>
          <w:rFonts w:eastAsia="Calibri"/>
          <w:spacing w:val="4"/>
          <w:w w:val="103"/>
          <w:kern w:val="14"/>
          <w:szCs w:val="24"/>
        </w:rPr>
        <w:t xml:space="preserve"> political opponents; (b) placement of inmates in “</w:t>
      </w:r>
      <w:proofErr w:type="spellStart"/>
      <w:r w:rsidRPr="00D5006C">
        <w:rPr>
          <w:rFonts w:eastAsia="Calibri"/>
          <w:spacing w:val="4"/>
          <w:w w:val="103"/>
          <w:kern w:val="14"/>
          <w:szCs w:val="24"/>
        </w:rPr>
        <w:t>kartsers</w:t>
      </w:r>
      <w:proofErr w:type="spellEnd"/>
      <w:r w:rsidRPr="00D5006C">
        <w:rPr>
          <w:rFonts w:eastAsia="Calibri"/>
          <w:spacing w:val="4"/>
          <w:w w:val="103"/>
          <w:kern w:val="14"/>
          <w:szCs w:val="24"/>
        </w:rPr>
        <w:t xml:space="preserve">” in extreme temperatures with mosquito infestations and miniscule amounts of food and water as well as detention for prolonged periods in “hunchback cells” with no room to stand; (c) deaths in custody </w:t>
      </w:r>
      <w:r>
        <w:rPr>
          <w:rFonts w:eastAsia="Calibri"/>
          <w:spacing w:val="4"/>
          <w:w w:val="103"/>
          <w:kern w:val="14"/>
          <w:szCs w:val="24"/>
        </w:rPr>
        <w:t>caused by</w:t>
      </w:r>
      <w:r w:rsidRPr="00D5006C">
        <w:rPr>
          <w:rFonts w:eastAsia="Calibri"/>
          <w:spacing w:val="4"/>
          <w:w w:val="103"/>
          <w:kern w:val="14"/>
          <w:szCs w:val="24"/>
        </w:rPr>
        <w:t xml:space="preserve"> torture and ill-treatment, including of Mr </w:t>
      </w:r>
      <w:proofErr w:type="spellStart"/>
      <w:r w:rsidRPr="00D5006C">
        <w:rPr>
          <w:rFonts w:eastAsia="Calibri"/>
          <w:spacing w:val="4"/>
          <w:w w:val="103"/>
          <w:kern w:val="14"/>
          <w:szCs w:val="24"/>
        </w:rPr>
        <w:t>Lukman</w:t>
      </w:r>
      <w:proofErr w:type="spellEnd"/>
      <w:r w:rsidRPr="00D5006C">
        <w:rPr>
          <w:rFonts w:eastAsia="Calibri"/>
          <w:spacing w:val="4"/>
          <w:w w:val="103"/>
          <w:kern w:val="14"/>
          <w:szCs w:val="24"/>
        </w:rPr>
        <w:t xml:space="preserve"> </w:t>
      </w:r>
      <w:proofErr w:type="spellStart"/>
      <w:r w:rsidRPr="00D5006C">
        <w:rPr>
          <w:rFonts w:eastAsia="Calibri"/>
          <w:spacing w:val="4"/>
          <w:w w:val="103"/>
          <w:kern w:val="14"/>
          <w:szCs w:val="24"/>
        </w:rPr>
        <w:t>Ya</w:t>
      </w:r>
      <w:r>
        <w:rPr>
          <w:rFonts w:eastAsia="Calibri"/>
          <w:spacing w:val="4"/>
          <w:w w:val="103"/>
          <w:kern w:val="14"/>
          <w:szCs w:val="24"/>
        </w:rPr>
        <w:t>ylanov</w:t>
      </w:r>
      <w:proofErr w:type="spellEnd"/>
      <w:r>
        <w:rPr>
          <w:rFonts w:eastAsia="Calibri"/>
          <w:spacing w:val="4"/>
          <w:w w:val="103"/>
          <w:kern w:val="14"/>
          <w:szCs w:val="24"/>
        </w:rPr>
        <w:t xml:space="preserve"> and Mr </w:t>
      </w:r>
      <w:proofErr w:type="spellStart"/>
      <w:r>
        <w:rPr>
          <w:rFonts w:eastAsia="Calibri"/>
          <w:spacing w:val="4"/>
          <w:w w:val="103"/>
          <w:kern w:val="14"/>
          <w:szCs w:val="24"/>
        </w:rPr>
        <w:t>Narkuly</w:t>
      </w:r>
      <w:proofErr w:type="spellEnd"/>
      <w:r>
        <w:rPr>
          <w:rFonts w:eastAsia="Calibri"/>
          <w:spacing w:val="4"/>
          <w:w w:val="103"/>
          <w:kern w:val="14"/>
          <w:szCs w:val="24"/>
        </w:rPr>
        <w:t xml:space="preserve"> </w:t>
      </w:r>
      <w:proofErr w:type="spellStart"/>
      <w:r>
        <w:rPr>
          <w:rFonts w:eastAsia="Calibri"/>
          <w:spacing w:val="4"/>
          <w:w w:val="103"/>
          <w:kern w:val="14"/>
          <w:szCs w:val="24"/>
        </w:rPr>
        <w:t>Baltayev</w:t>
      </w:r>
      <w:proofErr w:type="spellEnd"/>
      <w:r>
        <w:rPr>
          <w:rFonts w:eastAsia="Calibri"/>
          <w:spacing w:val="4"/>
          <w:w w:val="103"/>
          <w:kern w:val="14"/>
          <w:szCs w:val="24"/>
        </w:rPr>
        <w:t xml:space="preserve">, </w:t>
      </w:r>
      <w:r w:rsidRPr="00D5006C">
        <w:rPr>
          <w:rFonts w:eastAsia="Calibri"/>
          <w:spacing w:val="4"/>
          <w:w w:val="103"/>
          <w:kern w:val="14"/>
          <w:szCs w:val="24"/>
        </w:rPr>
        <w:t xml:space="preserve">one of whom reportedly weighed only 25 kg at the time of death </w:t>
      </w:r>
      <w:r>
        <w:rPr>
          <w:rFonts w:eastAsia="Calibri"/>
          <w:spacing w:val="4"/>
          <w:w w:val="103"/>
          <w:kern w:val="14"/>
          <w:szCs w:val="24"/>
        </w:rPr>
        <w:t>due to</w:t>
      </w:r>
      <w:r w:rsidRPr="00D5006C">
        <w:rPr>
          <w:rFonts w:eastAsia="Calibri"/>
          <w:spacing w:val="4"/>
          <w:w w:val="103"/>
          <w:kern w:val="14"/>
          <w:szCs w:val="24"/>
        </w:rPr>
        <w:t xml:space="preserve"> starvation and torture; (d) hazing of conscripts in the armed forces that reportedly led to two deaths in 2014. </w:t>
      </w:r>
      <w:r>
        <w:rPr>
          <w:rFonts w:eastAsia="Calibri"/>
          <w:spacing w:val="4"/>
          <w:w w:val="103"/>
          <w:kern w:val="14"/>
          <w:szCs w:val="24"/>
        </w:rPr>
        <w:t xml:space="preserve">The Committee is also concerned about the State party’s assertion that there have been no reported cases of torture </w:t>
      </w:r>
      <w:r w:rsidRPr="00D5006C">
        <w:rPr>
          <w:rFonts w:eastAsia="Calibri"/>
          <w:spacing w:val="4"/>
          <w:w w:val="103"/>
          <w:kern w:val="14"/>
          <w:szCs w:val="24"/>
        </w:rPr>
        <w:t>(arts. 2, 6, 7</w:t>
      </w:r>
      <w:r>
        <w:rPr>
          <w:rFonts w:eastAsia="Calibri"/>
          <w:spacing w:val="4"/>
          <w:w w:val="103"/>
          <w:kern w:val="14"/>
          <w:szCs w:val="24"/>
        </w:rPr>
        <w:t>, 10</w:t>
      </w:r>
      <w:r w:rsidRPr="00D5006C">
        <w:rPr>
          <w:rFonts w:eastAsia="Calibri"/>
          <w:spacing w:val="4"/>
          <w:w w:val="103"/>
          <w:kern w:val="14"/>
          <w:szCs w:val="24"/>
        </w:rPr>
        <w:t xml:space="preserve"> and 1</w:t>
      </w:r>
      <w:r>
        <w:rPr>
          <w:rFonts w:eastAsia="Calibri"/>
          <w:spacing w:val="4"/>
          <w:w w:val="103"/>
          <w:kern w:val="14"/>
          <w:szCs w:val="24"/>
        </w:rPr>
        <w:t>4</w:t>
      </w:r>
      <w:r w:rsidRPr="00D5006C">
        <w:rPr>
          <w:rFonts w:eastAsia="Calibri"/>
          <w:spacing w:val="4"/>
          <w:w w:val="103"/>
          <w:kern w:val="14"/>
          <w:szCs w:val="24"/>
        </w:rPr>
        <w:t>).</w:t>
      </w:r>
    </w:p>
    <w:p w:rsidR="00287F1D" w:rsidRPr="00D5006C" w:rsidRDefault="00287F1D" w:rsidP="00287F1D">
      <w:pPr>
        <w:pStyle w:val="SingleTxtG"/>
        <w:rPr>
          <w:b/>
        </w:rPr>
      </w:pPr>
      <w:r w:rsidRPr="00C04788">
        <w:lastRenderedPageBreak/>
        <w:t>21.</w:t>
      </w:r>
      <w:r>
        <w:rPr>
          <w:b/>
        </w:rPr>
        <w:tab/>
      </w:r>
      <w:r w:rsidRPr="00D5006C">
        <w:rPr>
          <w:b/>
        </w:rPr>
        <w:t>The State party should</w:t>
      </w:r>
      <w:r>
        <w:rPr>
          <w:b/>
        </w:rPr>
        <w:t xml:space="preserve"> t</w:t>
      </w:r>
      <w:r w:rsidRPr="00D5006C">
        <w:rPr>
          <w:b/>
        </w:rPr>
        <w:t xml:space="preserve">ake </w:t>
      </w:r>
      <w:r>
        <w:rPr>
          <w:b/>
        </w:rPr>
        <w:t xml:space="preserve">urgent and </w:t>
      </w:r>
      <w:r w:rsidRPr="00D5006C">
        <w:rPr>
          <w:b/>
        </w:rPr>
        <w:t xml:space="preserve">robust measures to </w:t>
      </w:r>
      <w:r>
        <w:rPr>
          <w:b/>
        </w:rPr>
        <w:t>eliminate</w:t>
      </w:r>
      <w:r w:rsidRPr="00D5006C">
        <w:rPr>
          <w:b/>
        </w:rPr>
        <w:t xml:space="preserve"> torture and ill-treatment effectively and to end the impunity for such acts, inter alia, by:</w:t>
      </w:r>
    </w:p>
    <w:p w:rsidR="00287F1D" w:rsidRPr="00287F1D" w:rsidRDefault="00287F1D" w:rsidP="00287F1D">
      <w:pPr>
        <w:pStyle w:val="SingleTxtG"/>
        <w:rPr>
          <w:b/>
        </w:rPr>
      </w:pPr>
      <w:r>
        <w:rPr>
          <w:b/>
        </w:rPr>
        <w:tab/>
      </w:r>
      <w:r w:rsidRPr="00287F1D">
        <w:rPr>
          <w:b/>
        </w:rPr>
        <w:t>(a)</w:t>
      </w:r>
      <w:r w:rsidRPr="00287F1D">
        <w:rPr>
          <w:b/>
        </w:rPr>
        <w:tab/>
        <w:t>Ensuring that the prohibitions of forced confessions and the inadmissibility of evidence procured by torture are effectively enforced in practice by law enforcement officers and by judges;</w:t>
      </w:r>
    </w:p>
    <w:p w:rsidR="00287F1D" w:rsidRPr="00287F1D" w:rsidRDefault="00287F1D" w:rsidP="00287F1D">
      <w:pPr>
        <w:pStyle w:val="SingleTxtG"/>
        <w:rPr>
          <w:b/>
        </w:rPr>
      </w:pPr>
      <w:r>
        <w:rPr>
          <w:b/>
        </w:rPr>
        <w:tab/>
      </w:r>
      <w:r w:rsidRPr="00287F1D">
        <w:rPr>
          <w:b/>
        </w:rPr>
        <w:t>(b)</w:t>
      </w:r>
      <w:r w:rsidRPr="00287F1D">
        <w:rPr>
          <w:b/>
        </w:rPr>
        <w:tab/>
        <w:t>Providing adequate training on torture prevention and humane treatment to law enforcement personnel;</w:t>
      </w:r>
    </w:p>
    <w:p w:rsidR="00287F1D" w:rsidRPr="00287F1D" w:rsidRDefault="00287F1D" w:rsidP="00287F1D">
      <w:pPr>
        <w:pStyle w:val="SingleTxtG"/>
        <w:rPr>
          <w:b/>
        </w:rPr>
      </w:pPr>
      <w:r>
        <w:rPr>
          <w:b/>
        </w:rPr>
        <w:tab/>
      </w:r>
      <w:r w:rsidRPr="00287F1D">
        <w:rPr>
          <w:b/>
        </w:rPr>
        <w:t>(c)</w:t>
      </w:r>
      <w:r w:rsidRPr="00287F1D">
        <w:rPr>
          <w:b/>
        </w:rPr>
        <w:tab/>
        <w:t>Implementing an accessible and effective complaint mechanism against torture;</w:t>
      </w:r>
    </w:p>
    <w:p w:rsidR="00287F1D" w:rsidRPr="00287F1D" w:rsidRDefault="00287F1D" w:rsidP="00287F1D">
      <w:pPr>
        <w:pStyle w:val="SingleTxtG"/>
        <w:rPr>
          <w:b/>
        </w:rPr>
      </w:pPr>
      <w:r>
        <w:rPr>
          <w:b/>
        </w:rPr>
        <w:tab/>
      </w:r>
      <w:r w:rsidRPr="00287F1D">
        <w:rPr>
          <w:b/>
        </w:rPr>
        <w:t>(d)</w:t>
      </w:r>
      <w:r w:rsidRPr="00287F1D">
        <w:rPr>
          <w:b/>
        </w:rPr>
        <w:tab/>
        <w:t>Ensuring that all allegations of torture and other ill-treatment, hazing and deaths in custody are reported and promptly and thoroughly investigated by an independent and impartial body, that perpetrators are prosecuted and, if convicted, are punished with sanctions consistent with the severity of the crime, and that victims and, where appropriate, their families have both in law and practice access to full reparation, including rehabilitation and adequate compensation.</w:t>
      </w:r>
    </w:p>
    <w:p w:rsidR="00287F1D" w:rsidRPr="009F3D52" w:rsidRDefault="00287F1D" w:rsidP="00287F1D">
      <w:pPr>
        <w:pStyle w:val="H23G"/>
      </w:pPr>
      <w:r>
        <w:tab/>
      </w:r>
      <w:r>
        <w:tab/>
      </w:r>
      <w:r w:rsidRPr="009F3D52">
        <w:t>Treatment of prisoners</w:t>
      </w:r>
    </w:p>
    <w:p w:rsidR="00287F1D" w:rsidRPr="009C5FB4" w:rsidRDefault="00287F1D" w:rsidP="00287F1D">
      <w:pPr>
        <w:pStyle w:val="SingleTxtG"/>
      </w:pPr>
      <w:r>
        <w:t>22.</w:t>
      </w:r>
      <w:r>
        <w:tab/>
      </w:r>
      <w:r w:rsidRPr="0058380D">
        <w:t>While noting the efforts made by the State party to renovate and build new prison facilities,</w:t>
      </w:r>
      <w:r w:rsidRPr="009C5FB4">
        <w:t xml:space="preserve"> the Committee is concerned about continued reports of inhuman pr</w:t>
      </w:r>
      <w:r>
        <w:t>ison conditions</w:t>
      </w:r>
      <w:r w:rsidRPr="009C5FB4">
        <w:t xml:space="preserve">, including: (a) serious overcrowding, unsanitary conditions and inadequate access to drinking water, malnutrition, </w:t>
      </w:r>
      <w:r>
        <w:t xml:space="preserve">and </w:t>
      </w:r>
      <w:r w:rsidRPr="009C5FB4">
        <w:t xml:space="preserve">exposure </w:t>
      </w:r>
      <w:r>
        <w:t xml:space="preserve">to extreme temperatures </w:t>
      </w:r>
      <w:r w:rsidRPr="009C5FB4">
        <w:t xml:space="preserve">in the </w:t>
      </w:r>
      <w:proofErr w:type="spellStart"/>
      <w:r w:rsidRPr="009C5FB4">
        <w:t>Ovadan-Depe</w:t>
      </w:r>
      <w:proofErr w:type="spellEnd"/>
      <w:r w:rsidRPr="009C5FB4">
        <w:t xml:space="preserve"> and </w:t>
      </w:r>
      <w:proofErr w:type="spellStart"/>
      <w:r w:rsidRPr="009C5FB4">
        <w:t>Turkmenbashi</w:t>
      </w:r>
      <w:proofErr w:type="spellEnd"/>
      <w:r w:rsidRPr="009C5FB4">
        <w:t xml:space="preserve"> prisons; (b) isolation of inmates from the outside world</w:t>
      </w:r>
      <w:r>
        <w:t>,</w:t>
      </w:r>
      <w:r w:rsidRPr="009C5FB4">
        <w:t xml:space="preserve"> with the out-of-cell time at </w:t>
      </w:r>
      <w:proofErr w:type="spellStart"/>
      <w:r w:rsidRPr="009C5FB4">
        <w:t>Ovadan-Depe</w:t>
      </w:r>
      <w:proofErr w:type="spellEnd"/>
      <w:r w:rsidRPr="009C5FB4">
        <w:t xml:space="preserve"> prison </w:t>
      </w:r>
      <w:r>
        <w:t xml:space="preserve">allegedly being </w:t>
      </w:r>
      <w:r w:rsidRPr="009C5FB4">
        <w:t xml:space="preserve">only once a week for seven minutes; </w:t>
      </w:r>
      <w:r>
        <w:t xml:space="preserve">and </w:t>
      </w:r>
      <w:r w:rsidRPr="009C5FB4">
        <w:t xml:space="preserve">(c) failure to separate prisoners suffering from tuberculosis from </w:t>
      </w:r>
      <w:r>
        <w:t>other</w:t>
      </w:r>
      <w:r w:rsidRPr="009C5FB4">
        <w:t xml:space="preserve"> inmates and to provide</w:t>
      </w:r>
      <w:r>
        <w:t xml:space="preserve"> them with adequate healthcare. </w:t>
      </w:r>
      <w:r w:rsidRPr="009C5FB4">
        <w:t xml:space="preserve">The Committee also reiterates its concern (see CCPR/C/TKM/CO/1, para. 9) about the lack of independent oversight bodies to carry out inspections </w:t>
      </w:r>
      <w:r>
        <w:t xml:space="preserve">of </w:t>
      </w:r>
      <w:r w:rsidRPr="009C5FB4">
        <w:t>places of deprivation of liberty and investigate abuse by law enforcement officials (arts. 2, 6, 7 and 10).</w:t>
      </w:r>
    </w:p>
    <w:p w:rsidR="00287F1D" w:rsidRPr="0094581F" w:rsidRDefault="00287F1D" w:rsidP="00287F1D">
      <w:pPr>
        <w:pStyle w:val="SingleTxtG"/>
        <w:rPr>
          <w:b/>
        </w:rPr>
      </w:pPr>
      <w:r w:rsidRPr="00C04788">
        <w:t>23.</w:t>
      </w:r>
      <w:r>
        <w:rPr>
          <w:b/>
        </w:rPr>
        <w:tab/>
      </w:r>
      <w:r w:rsidRPr="0094581F">
        <w:rPr>
          <w:b/>
        </w:rPr>
        <w:t>The State party should:</w:t>
      </w:r>
    </w:p>
    <w:p w:rsidR="00287F1D" w:rsidRPr="0094581F" w:rsidRDefault="00287F1D" w:rsidP="00287F1D">
      <w:pPr>
        <w:pStyle w:val="SingleTxtG"/>
        <w:ind w:firstLine="567"/>
        <w:rPr>
          <w:b/>
        </w:rPr>
      </w:pPr>
      <w:r w:rsidRPr="0094581F">
        <w:rPr>
          <w:b/>
        </w:rPr>
        <w:t>(a)</w:t>
      </w:r>
      <w:r w:rsidRPr="0094581F">
        <w:rPr>
          <w:b/>
        </w:rPr>
        <w:tab/>
        <w:t>As a matter of priority, take measures to establish a system of regular and independent monitoring of places of detention without prior notice and create the conditions necessary to facilitate effective monitoring by independent organizations and reinforce its efforts to grant meaningful access to places of detention to the International Committee of the Red Cross;</w:t>
      </w:r>
    </w:p>
    <w:p w:rsidR="00287F1D" w:rsidRPr="0094581F" w:rsidRDefault="00287F1D" w:rsidP="00287F1D">
      <w:pPr>
        <w:pStyle w:val="SingleTxtG"/>
        <w:ind w:firstLine="567"/>
        <w:rPr>
          <w:b/>
        </w:rPr>
      </w:pPr>
      <w:r w:rsidRPr="0094581F">
        <w:rPr>
          <w:b/>
        </w:rPr>
        <w:t>(b)</w:t>
      </w:r>
      <w:r w:rsidRPr="0094581F">
        <w:rPr>
          <w:b/>
        </w:rPr>
        <w:tab/>
      </w:r>
      <w:r>
        <w:rPr>
          <w:b/>
        </w:rPr>
        <w:t xml:space="preserve">Take </w:t>
      </w:r>
      <w:r w:rsidR="00650F76">
        <w:rPr>
          <w:b/>
        </w:rPr>
        <w:t xml:space="preserve">effective </w:t>
      </w:r>
      <w:r>
        <w:rPr>
          <w:b/>
        </w:rPr>
        <w:t>measures to eliminate</w:t>
      </w:r>
      <w:r w:rsidRPr="0094581F">
        <w:rPr>
          <w:b/>
        </w:rPr>
        <w:t xml:space="preserve"> overcrowding in places of detention, including by resorting to non-custodial alternative measures to detention;</w:t>
      </w:r>
    </w:p>
    <w:p w:rsidR="00287F1D" w:rsidRPr="0094581F" w:rsidRDefault="00287F1D" w:rsidP="00287F1D">
      <w:pPr>
        <w:pStyle w:val="SingleTxtG"/>
        <w:ind w:firstLine="567"/>
        <w:rPr>
          <w:b/>
        </w:rPr>
      </w:pPr>
      <w:r w:rsidRPr="0094581F">
        <w:rPr>
          <w:b/>
        </w:rPr>
        <w:t>(c)</w:t>
      </w:r>
      <w:r w:rsidRPr="0094581F">
        <w:rPr>
          <w:b/>
        </w:rPr>
        <w:tab/>
        <w:t>Ensure that persons deprived of liberty are treated with humanity and respect for the inherent dignity of the human person and, to this end, redouble efforts to improve conditions of detention in accordance with the Covenant and the United Nations Standard Minimum Rules for the Treatment of Priso</w:t>
      </w:r>
      <w:r>
        <w:rPr>
          <w:b/>
        </w:rPr>
        <w:t>ners (the Nelson Mandela Rules)</w:t>
      </w:r>
      <w:r w:rsidRPr="0094581F">
        <w:rPr>
          <w:b/>
        </w:rPr>
        <w:t>;</w:t>
      </w:r>
    </w:p>
    <w:p w:rsidR="00287F1D" w:rsidRPr="00D5006C" w:rsidRDefault="00287F1D" w:rsidP="00287F1D">
      <w:pPr>
        <w:pStyle w:val="SingleTxtG"/>
        <w:ind w:firstLine="567"/>
        <w:rPr>
          <w:b/>
        </w:rPr>
      </w:pPr>
      <w:r w:rsidRPr="0094581F">
        <w:rPr>
          <w:b/>
        </w:rPr>
        <w:t>(d)</w:t>
      </w:r>
      <w:r w:rsidRPr="0094581F">
        <w:rPr>
          <w:b/>
        </w:rPr>
        <w:tab/>
      </w:r>
      <w:r w:rsidRPr="008730EF">
        <w:rPr>
          <w:b/>
        </w:rPr>
        <w:t>Ensure the availability of an effective complaint mechanism,</w:t>
      </w:r>
      <w:r>
        <w:rPr>
          <w:b/>
        </w:rPr>
        <w:t xml:space="preserve"> i</w:t>
      </w:r>
      <w:r w:rsidRPr="0094581F">
        <w:rPr>
          <w:b/>
        </w:rPr>
        <w:t>nvesti</w:t>
      </w:r>
      <w:r>
        <w:rPr>
          <w:b/>
        </w:rPr>
        <w:t xml:space="preserve">gate </w:t>
      </w:r>
      <w:r w:rsidRPr="0094581F">
        <w:rPr>
          <w:b/>
        </w:rPr>
        <w:t>violations of inmates’ rights</w:t>
      </w:r>
      <w:r>
        <w:rPr>
          <w:b/>
        </w:rPr>
        <w:t xml:space="preserve"> promptly and thoroughly</w:t>
      </w:r>
      <w:r w:rsidRPr="0094581F">
        <w:rPr>
          <w:b/>
        </w:rPr>
        <w:t xml:space="preserve">, bring perpetrators to justice </w:t>
      </w:r>
      <w:r w:rsidRPr="00365E08">
        <w:rPr>
          <w:b/>
        </w:rPr>
        <w:t>with appropriate penalties</w:t>
      </w:r>
      <w:r>
        <w:rPr>
          <w:b/>
        </w:rPr>
        <w:t>,</w:t>
      </w:r>
      <w:r w:rsidRPr="00365E08">
        <w:rPr>
          <w:b/>
        </w:rPr>
        <w:t xml:space="preserve"> </w:t>
      </w:r>
      <w:r w:rsidRPr="0094581F">
        <w:rPr>
          <w:b/>
        </w:rPr>
        <w:t xml:space="preserve">and provide effective remedies </w:t>
      </w:r>
      <w:r>
        <w:rPr>
          <w:b/>
        </w:rPr>
        <w:t>and full reparation</w:t>
      </w:r>
      <w:r w:rsidRPr="0094581F">
        <w:rPr>
          <w:b/>
        </w:rPr>
        <w:t xml:space="preserve"> to victims, including adequate compensation.</w:t>
      </w:r>
    </w:p>
    <w:p w:rsidR="00287F1D" w:rsidRPr="009F3D52" w:rsidRDefault="00287F1D" w:rsidP="00287F1D">
      <w:pPr>
        <w:pStyle w:val="H23G"/>
      </w:pPr>
      <w:r>
        <w:lastRenderedPageBreak/>
        <w:tab/>
      </w:r>
      <w:r>
        <w:tab/>
      </w:r>
      <w:r w:rsidRPr="009F3D52">
        <w:t xml:space="preserve">Judicial control of detention </w:t>
      </w:r>
    </w:p>
    <w:p w:rsidR="00287F1D" w:rsidRPr="002D48E9" w:rsidRDefault="00287F1D" w:rsidP="00287F1D">
      <w:pPr>
        <w:pStyle w:val="SingleTxt"/>
        <w:ind w:left="1134"/>
      </w:pPr>
      <w:r>
        <w:t>24.</w:t>
      </w:r>
      <w:r>
        <w:tab/>
      </w:r>
      <w:r w:rsidRPr="002D48E9">
        <w:t>The Committee is concerned that</w:t>
      </w:r>
      <w:r w:rsidR="000B6F89">
        <w:t>,</w:t>
      </w:r>
      <w:r w:rsidRPr="002D48E9">
        <w:t xml:space="preserve"> under the criminal procedure legislation</w:t>
      </w:r>
      <w:r>
        <w:t>,</w:t>
      </w:r>
      <w:r w:rsidRPr="002D48E9">
        <w:t xml:space="preserve"> the remand in custody of person</w:t>
      </w:r>
      <w:r>
        <w:t>s</w:t>
      </w:r>
      <w:r w:rsidRPr="002D48E9">
        <w:t xml:space="preserve"> arrested or detained on a criminal charge</w:t>
      </w:r>
      <w:r>
        <w:t xml:space="preserve"> is authorized by a prosecutor within 72 hours of arrest, with possibility of extension, and not by an </w:t>
      </w:r>
      <w:r w:rsidRPr="00DE329F">
        <w:t>officer exercising judicial power under article 9(3) of the Covenant</w:t>
      </w:r>
      <w:r>
        <w:t xml:space="preserve"> </w:t>
      </w:r>
      <w:r w:rsidRPr="002D48E9">
        <w:t>(art. 9).</w:t>
      </w:r>
    </w:p>
    <w:p w:rsidR="00287F1D" w:rsidRPr="007676A6" w:rsidRDefault="00287F1D" w:rsidP="00287F1D">
      <w:pPr>
        <w:pStyle w:val="SingleTxt"/>
        <w:ind w:left="1134"/>
        <w:rPr>
          <w:b/>
        </w:rPr>
      </w:pPr>
      <w:r w:rsidRPr="00287F1D">
        <w:t>25.</w:t>
      </w:r>
      <w:r w:rsidRPr="00287F1D">
        <w:tab/>
      </w:r>
      <w:r w:rsidRPr="00287F1D">
        <w:rPr>
          <w:b/>
        </w:rPr>
        <w:t xml:space="preserve">The State party should amend its legislation and </w:t>
      </w:r>
      <w:r w:rsidR="00650F76">
        <w:rPr>
          <w:b/>
        </w:rPr>
        <w:t xml:space="preserve">revise </w:t>
      </w:r>
      <w:r w:rsidRPr="00287F1D">
        <w:rPr>
          <w:b/>
        </w:rPr>
        <w:t>the practices under it to ensure that anyone arrested or detained on a criminal charge is brought before a judge or other officer authorized by law to exercise judicial power within 48 hours in order</w:t>
      </w:r>
      <w:r w:rsidRPr="002D48E9">
        <w:rPr>
          <w:b/>
        </w:rPr>
        <w:t xml:space="preserve"> to bring the detention under judicial control. In this regard, the Committee draws the attention of the State party to its general comment No. 35 (2014) on liberty and security of person, in particular paragraphs 32 and 33, indicating inter alia that a public prosecutor cannot be considered as an officer exercising judicial power under article 9 (3) of the Covenant.</w:t>
      </w:r>
    </w:p>
    <w:p w:rsidR="00287F1D" w:rsidRPr="009F3D52" w:rsidRDefault="00287F1D" w:rsidP="00287F1D">
      <w:pPr>
        <w:pStyle w:val="H23G"/>
      </w:pPr>
      <w:r>
        <w:tab/>
      </w:r>
      <w:r>
        <w:tab/>
      </w:r>
      <w:r w:rsidRPr="009F3D52">
        <w:t xml:space="preserve">Forced labour </w:t>
      </w:r>
    </w:p>
    <w:p w:rsidR="00287F1D" w:rsidRPr="00E36BE7" w:rsidRDefault="00287F1D" w:rsidP="00287F1D">
      <w:pPr>
        <w:pStyle w:val="SingleTxt"/>
        <w:ind w:left="1134"/>
      </w:pPr>
      <w:r>
        <w:t>26.</w:t>
      </w:r>
      <w:r>
        <w:tab/>
      </w:r>
      <w:r w:rsidRPr="00E36BE7">
        <w:t>The Committee is concerned about the reported widespread use of forced labour</w:t>
      </w:r>
      <w:r>
        <w:t xml:space="preserve"> </w:t>
      </w:r>
      <w:r w:rsidRPr="00E36BE7">
        <w:t>of farmers, students, public and private sector workers during the cotton harvest under threat of penalties such as loss of land, expulsion from university, loss of wages or salary cuts, termination of employment and other sanctions (art. 8).</w:t>
      </w:r>
    </w:p>
    <w:p w:rsidR="00287F1D" w:rsidRPr="003D3FFC" w:rsidRDefault="00287F1D" w:rsidP="00287F1D">
      <w:pPr>
        <w:pStyle w:val="SingleTxtG"/>
        <w:ind w:right="1276"/>
        <w:rPr>
          <w:b/>
        </w:rPr>
      </w:pPr>
      <w:r w:rsidRPr="00287F1D">
        <w:t>27.</w:t>
      </w:r>
      <w:r w:rsidRPr="00287F1D">
        <w:rPr>
          <w:b/>
        </w:rPr>
        <w:tab/>
        <w:t xml:space="preserve">The State party should promptly put an end to forced labour in the cotton sector, inter alia, by </w:t>
      </w:r>
      <w:r w:rsidR="005972E2">
        <w:rPr>
          <w:b/>
        </w:rPr>
        <w:t xml:space="preserve">fully </w:t>
      </w:r>
      <w:r w:rsidRPr="00287F1D">
        <w:rPr>
          <w:b/>
        </w:rPr>
        <w:t>enforcing</w:t>
      </w:r>
      <w:r w:rsidRPr="00E36BE7">
        <w:rPr>
          <w:b/>
        </w:rPr>
        <w:t xml:space="preserve"> the legal framework prohibiting forced labour. It should </w:t>
      </w:r>
      <w:r>
        <w:rPr>
          <w:b/>
        </w:rPr>
        <w:t xml:space="preserve">clearly communicate to </w:t>
      </w:r>
      <w:r w:rsidRPr="00E36BE7">
        <w:rPr>
          <w:b/>
        </w:rPr>
        <w:t xml:space="preserve">public officials and </w:t>
      </w:r>
      <w:r>
        <w:rPr>
          <w:b/>
        </w:rPr>
        <w:t xml:space="preserve">the </w:t>
      </w:r>
      <w:r w:rsidRPr="00E36BE7">
        <w:rPr>
          <w:b/>
        </w:rPr>
        <w:t>p</w:t>
      </w:r>
      <w:r>
        <w:rPr>
          <w:b/>
        </w:rPr>
        <w:t xml:space="preserve">ublic </w:t>
      </w:r>
      <w:r w:rsidRPr="00E36BE7">
        <w:rPr>
          <w:b/>
        </w:rPr>
        <w:t xml:space="preserve">at large that mobilisation of persons to pick cotton under coercion or </w:t>
      </w:r>
      <w:r w:rsidRPr="002810DA">
        <w:rPr>
          <w:b/>
        </w:rPr>
        <w:t>threats</w:t>
      </w:r>
      <w:r w:rsidRPr="00E36BE7">
        <w:rPr>
          <w:b/>
        </w:rPr>
        <w:t xml:space="preserve"> is unlawful, prosecute those responsible for such violations</w:t>
      </w:r>
      <w:r>
        <w:rPr>
          <w:b/>
        </w:rPr>
        <w:t>,</w:t>
      </w:r>
      <w:r w:rsidRPr="00E36BE7">
        <w:rPr>
          <w:b/>
        </w:rPr>
        <w:t xml:space="preserve"> and provide </w:t>
      </w:r>
      <w:r w:rsidR="00512ED5">
        <w:rPr>
          <w:b/>
        </w:rPr>
        <w:t>full</w:t>
      </w:r>
      <w:r>
        <w:rPr>
          <w:b/>
        </w:rPr>
        <w:t xml:space="preserve"> </w:t>
      </w:r>
      <w:r w:rsidRPr="00E36BE7">
        <w:rPr>
          <w:b/>
        </w:rPr>
        <w:t>reparation to victims.</w:t>
      </w:r>
      <w:r w:rsidRPr="002C24A0">
        <w:rPr>
          <w:b/>
        </w:rPr>
        <w:t xml:space="preserve"> </w:t>
      </w:r>
    </w:p>
    <w:p w:rsidR="00287F1D" w:rsidRPr="009F3D52" w:rsidRDefault="00287F1D" w:rsidP="00287F1D">
      <w:pPr>
        <w:pStyle w:val="H23G"/>
      </w:pPr>
      <w:r>
        <w:tab/>
      </w:r>
      <w:r>
        <w:tab/>
      </w:r>
      <w:r w:rsidRPr="009F3D52">
        <w:t>Freedom of movement</w:t>
      </w:r>
    </w:p>
    <w:p w:rsidR="00287F1D" w:rsidRPr="007D1633" w:rsidRDefault="00287F1D" w:rsidP="00287F1D">
      <w:pPr>
        <w:pStyle w:val="SingleTxtG"/>
        <w:rPr>
          <w:rFonts w:eastAsia="Calibri"/>
          <w:spacing w:val="4"/>
          <w:w w:val="103"/>
          <w:kern w:val="14"/>
        </w:rPr>
      </w:pPr>
      <w:r>
        <w:rPr>
          <w:rFonts w:eastAsia="Calibri"/>
          <w:spacing w:val="4"/>
          <w:w w:val="103"/>
          <w:kern w:val="14"/>
        </w:rPr>
        <w:t>28.</w:t>
      </w:r>
      <w:r>
        <w:rPr>
          <w:rFonts w:eastAsia="Calibri"/>
          <w:spacing w:val="4"/>
          <w:w w:val="103"/>
          <w:kern w:val="14"/>
        </w:rPr>
        <w:tab/>
      </w:r>
      <w:r w:rsidRPr="007D1633">
        <w:rPr>
          <w:rFonts w:eastAsia="Calibri"/>
          <w:spacing w:val="4"/>
          <w:w w:val="103"/>
          <w:kern w:val="14"/>
        </w:rPr>
        <w:t>The Committee re</w:t>
      </w:r>
      <w:r>
        <w:rPr>
          <w:rFonts w:eastAsia="Calibri"/>
          <w:spacing w:val="4"/>
          <w:w w:val="103"/>
          <w:kern w:val="14"/>
        </w:rPr>
        <w:t>iterates its concern</w:t>
      </w:r>
      <w:r w:rsidRPr="007D1633">
        <w:rPr>
          <w:rFonts w:eastAsia="Calibri"/>
          <w:spacing w:val="4"/>
          <w:w w:val="103"/>
          <w:kern w:val="14"/>
        </w:rPr>
        <w:t xml:space="preserve"> about the </w:t>
      </w:r>
      <w:r w:rsidRPr="007D1633">
        <w:t>mandatory residence registration system (</w:t>
      </w:r>
      <w:proofErr w:type="spellStart"/>
      <w:r w:rsidRPr="007D1633">
        <w:rPr>
          <w:i/>
          <w:iCs/>
        </w:rPr>
        <w:t>propiska</w:t>
      </w:r>
      <w:proofErr w:type="spellEnd"/>
      <w:r w:rsidRPr="007D1633">
        <w:t>)</w:t>
      </w:r>
      <w:r w:rsidR="00355EFB">
        <w:t xml:space="preserve"> </w:t>
      </w:r>
      <w:r w:rsidR="00355EFB" w:rsidRPr="00355EFB">
        <w:t>which is a prerequisite for residence, employment, acquisition of real estate and access to health services</w:t>
      </w:r>
      <w:r w:rsidR="00355EFB">
        <w:t xml:space="preserve"> </w:t>
      </w:r>
      <w:r w:rsidR="00355EFB" w:rsidRPr="00355EFB">
        <w:t>(see CCPR/C/TKM/CO/1, para. 12)</w:t>
      </w:r>
      <w:r w:rsidRPr="007D1633">
        <w:rPr>
          <w:rFonts w:eastAsia="Calibri"/>
          <w:spacing w:val="4"/>
          <w:w w:val="103"/>
          <w:kern w:val="14"/>
        </w:rPr>
        <w:t xml:space="preserve">. It is also concerned about arbitrary restrictions on freedom of movement, including: (a) overly broad grounds for restricting travel abroad under the Migration </w:t>
      </w:r>
      <w:r w:rsidRPr="00824D39">
        <w:rPr>
          <w:rFonts w:eastAsia="Calibri"/>
          <w:spacing w:val="4"/>
          <w:w w:val="103"/>
          <w:kern w:val="14"/>
        </w:rPr>
        <w:t>Law, including when a person</w:t>
      </w:r>
      <w:r>
        <w:rPr>
          <w:rFonts w:eastAsia="Calibri"/>
          <w:spacing w:val="4"/>
          <w:w w:val="103"/>
          <w:kern w:val="14"/>
        </w:rPr>
        <w:t xml:space="preserve"> is defendant in a civil suit</w:t>
      </w:r>
      <w:r w:rsidRPr="00824D39">
        <w:rPr>
          <w:rFonts w:eastAsia="Calibri"/>
          <w:spacing w:val="4"/>
          <w:w w:val="103"/>
          <w:kern w:val="14"/>
        </w:rPr>
        <w:t>;</w:t>
      </w:r>
      <w:r w:rsidRPr="007D1633">
        <w:rPr>
          <w:rFonts w:eastAsia="Calibri"/>
          <w:spacing w:val="4"/>
          <w:w w:val="103"/>
          <w:kern w:val="14"/>
        </w:rPr>
        <w:t xml:space="preserve"> (b) the alleged use of informal and arbitrary travel bans against individuals, including journalists, activists, religious leaders, and former government officials holding opposition views as well as their family members; (c) </w:t>
      </w:r>
      <w:r>
        <w:rPr>
          <w:rFonts w:eastAsia="Calibri"/>
          <w:spacing w:val="4"/>
          <w:w w:val="103"/>
          <w:kern w:val="14"/>
        </w:rPr>
        <w:t xml:space="preserve">the reported </w:t>
      </w:r>
      <w:r w:rsidRPr="007D1633">
        <w:rPr>
          <w:rFonts w:eastAsia="Calibri"/>
          <w:spacing w:val="4"/>
          <w:w w:val="103"/>
          <w:kern w:val="14"/>
        </w:rPr>
        <w:t xml:space="preserve">application of a non-official curfew requiring the population to return home after 10 pm and arrest of non-compliant individuals for 24 hours for explanation and identification purposes (arts. 9, </w:t>
      </w:r>
      <w:r>
        <w:rPr>
          <w:rFonts w:eastAsia="Calibri"/>
          <w:spacing w:val="4"/>
          <w:w w:val="103"/>
          <w:kern w:val="14"/>
        </w:rPr>
        <w:t>12, 17 and 19).</w:t>
      </w:r>
    </w:p>
    <w:p w:rsidR="00287F1D" w:rsidRPr="00287F1D" w:rsidRDefault="00287F1D" w:rsidP="00287F1D">
      <w:pPr>
        <w:pStyle w:val="SingleTxtG"/>
        <w:rPr>
          <w:rFonts w:eastAsia="Calibri"/>
          <w:b/>
        </w:rPr>
      </w:pPr>
      <w:r w:rsidRPr="00287F1D">
        <w:rPr>
          <w:rFonts w:eastAsia="Calibri"/>
        </w:rPr>
        <w:t>29.</w:t>
      </w:r>
      <w:r w:rsidRPr="00287F1D">
        <w:rPr>
          <w:rFonts w:eastAsia="Calibri"/>
        </w:rPr>
        <w:tab/>
      </w:r>
      <w:r w:rsidRPr="00287F1D">
        <w:rPr>
          <w:rFonts w:eastAsia="Calibri"/>
          <w:b/>
        </w:rPr>
        <w:t>The State party should:</w:t>
      </w:r>
    </w:p>
    <w:p w:rsidR="00287F1D" w:rsidRDefault="00287F1D" w:rsidP="00287F1D">
      <w:pPr>
        <w:pStyle w:val="SingleTxtG"/>
        <w:rPr>
          <w:rFonts w:eastAsia="Calibri"/>
          <w:b/>
          <w:spacing w:val="4"/>
          <w:w w:val="103"/>
          <w:kern w:val="14"/>
        </w:rPr>
      </w:pPr>
      <w:r>
        <w:rPr>
          <w:rFonts w:eastAsia="Calibri"/>
          <w:b/>
          <w:spacing w:val="4"/>
          <w:w w:val="103"/>
          <w:kern w:val="14"/>
        </w:rPr>
        <w:tab/>
      </w:r>
      <w:r w:rsidRPr="00961662">
        <w:rPr>
          <w:rFonts w:eastAsia="Calibri"/>
          <w:b/>
          <w:spacing w:val="4"/>
          <w:w w:val="103"/>
          <w:kern w:val="14"/>
        </w:rPr>
        <w:t>(a)</w:t>
      </w:r>
      <w:r>
        <w:rPr>
          <w:rFonts w:eastAsia="Calibri"/>
          <w:b/>
          <w:spacing w:val="4"/>
          <w:w w:val="103"/>
          <w:kern w:val="14"/>
        </w:rPr>
        <w:tab/>
        <w:t>B</w:t>
      </w:r>
      <w:r w:rsidRPr="007D1633">
        <w:rPr>
          <w:rFonts w:eastAsia="Calibri"/>
          <w:b/>
          <w:spacing w:val="4"/>
          <w:w w:val="103"/>
          <w:kern w:val="14"/>
        </w:rPr>
        <w:t>ring its compulsory residence registration system into ful</w:t>
      </w:r>
      <w:r>
        <w:rPr>
          <w:rFonts w:eastAsia="Calibri"/>
          <w:b/>
          <w:spacing w:val="4"/>
          <w:w w:val="103"/>
          <w:kern w:val="14"/>
        </w:rPr>
        <w:t>l compliance with the Covenant;</w:t>
      </w:r>
    </w:p>
    <w:p w:rsidR="00287F1D" w:rsidRDefault="00287F1D" w:rsidP="00287F1D">
      <w:pPr>
        <w:pStyle w:val="SingleTxtG"/>
        <w:rPr>
          <w:rFonts w:eastAsia="Calibri"/>
          <w:b/>
          <w:spacing w:val="4"/>
          <w:w w:val="103"/>
          <w:kern w:val="14"/>
        </w:rPr>
      </w:pPr>
      <w:r>
        <w:rPr>
          <w:rFonts w:eastAsia="Calibri"/>
          <w:b/>
          <w:spacing w:val="4"/>
          <w:w w:val="103"/>
          <w:kern w:val="14"/>
        </w:rPr>
        <w:tab/>
        <w:t>(b)</w:t>
      </w:r>
      <w:r>
        <w:rPr>
          <w:rFonts w:eastAsia="Calibri"/>
          <w:b/>
          <w:spacing w:val="4"/>
          <w:w w:val="103"/>
          <w:kern w:val="14"/>
        </w:rPr>
        <w:tab/>
        <w:t>End</w:t>
      </w:r>
      <w:r w:rsidRPr="007D1633">
        <w:rPr>
          <w:rFonts w:eastAsia="Calibri"/>
          <w:b/>
          <w:spacing w:val="4"/>
          <w:w w:val="103"/>
          <w:kern w:val="14"/>
        </w:rPr>
        <w:t xml:space="preserve"> the informal and arbitrary system of travel bans</w:t>
      </w:r>
      <w:r>
        <w:rPr>
          <w:rFonts w:eastAsia="Calibri"/>
          <w:b/>
          <w:spacing w:val="4"/>
          <w:w w:val="103"/>
          <w:kern w:val="14"/>
        </w:rPr>
        <w:t>,</w:t>
      </w:r>
      <w:r w:rsidRPr="007D1633">
        <w:rPr>
          <w:rFonts w:eastAsia="Calibri"/>
          <w:b/>
          <w:spacing w:val="4"/>
          <w:w w:val="103"/>
          <w:kern w:val="14"/>
        </w:rPr>
        <w:t xml:space="preserve"> review its laws and practices to ensure that any </w:t>
      </w:r>
      <w:r>
        <w:rPr>
          <w:rFonts w:eastAsia="Calibri"/>
          <w:b/>
          <w:spacing w:val="4"/>
          <w:w w:val="103"/>
          <w:kern w:val="14"/>
        </w:rPr>
        <w:t xml:space="preserve">restrictions on </w:t>
      </w:r>
      <w:r w:rsidRPr="007D1633">
        <w:rPr>
          <w:rFonts w:eastAsia="Calibri"/>
          <w:b/>
          <w:spacing w:val="4"/>
          <w:w w:val="103"/>
          <w:kern w:val="14"/>
        </w:rPr>
        <w:t>travel is justified under article 12(3) of the Covenant</w:t>
      </w:r>
      <w:r>
        <w:rPr>
          <w:rFonts w:eastAsia="Calibri"/>
          <w:b/>
          <w:spacing w:val="4"/>
          <w:w w:val="103"/>
          <w:kern w:val="14"/>
        </w:rPr>
        <w:t>,</w:t>
      </w:r>
      <w:r w:rsidRPr="007D1633">
        <w:rPr>
          <w:rFonts w:eastAsia="Calibri"/>
          <w:b/>
          <w:spacing w:val="4"/>
          <w:w w:val="103"/>
          <w:kern w:val="14"/>
        </w:rPr>
        <w:t xml:space="preserve"> and lift all </w:t>
      </w:r>
      <w:r>
        <w:rPr>
          <w:rFonts w:eastAsia="Calibri"/>
          <w:b/>
          <w:spacing w:val="4"/>
          <w:w w:val="103"/>
          <w:kern w:val="14"/>
        </w:rPr>
        <w:t>restrictions</w:t>
      </w:r>
      <w:r w:rsidRPr="007D1633">
        <w:rPr>
          <w:rFonts w:eastAsia="Calibri"/>
          <w:b/>
          <w:spacing w:val="4"/>
          <w:w w:val="103"/>
          <w:kern w:val="14"/>
        </w:rPr>
        <w:t xml:space="preserve"> not in compliance with th</w:t>
      </w:r>
      <w:r>
        <w:rPr>
          <w:rFonts w:eastAsia="Calibri"/>
          <w:b/>
          <w:spacing w:val="4"/>
          <w:w w:val="103"/>
          <w:kern w:val="14"/>
        </w:rPr>
        <w:t>is</w:t>
      </w:r>
      <w:r w:rsidRPr="007D1633">
        <w:rPr>
          <w:rFonts w:eastAsia="Calibri"/>
          <w:b/>
          <w:spacing w:val="4"/>
          <w:w w:val="103"/>
          <w:kern w:val="14"/>
        </w:rPr>
        <w:t xml:space="preserve"> article; </w:t>
      </w:r>
    </w:p>
    <w:p w:rsidR="00287F1D" w:rsidRDefault="00287F1D" w:rsidP="00287F1D">
      <w:pPr>
        <w:pStyle w:val="SingleTxtG"/>
        <w:rPr>
          <w:rFonts w:eastAsia="Calibri"/>
          <w:b/>
          <w:spacing w:val="4"/>
          <w:w w:val="103"/>
          <w:kern w:val="14"/>
        </w:rPr>
      </w:pPr>
      <w:r>
        <w:rPr>
          <w:rFonts w:eastAsia="Calibri"/>
          <w:b/>
          <w:spacing w:val="4"/>
          <w:w w:val="103"/>
          <w:kern w:val="14"/>
        </w:rPr>
        <w:lastRenderedPageBreak/>
        <w:tab/>
        <w:t>(c)</w:t>
      </w:r>
      <w:r>
        <w:rPr>
          <w:rFonts w:eastAsia="Calibri"/>
          <w:b/>
          <w:spacing w:val="4"/>
          <w:w w:val="103"/>
          <w:kern w:val="14"/>
        </w:rPr>
        <w:tab/>
      </w:r>
      <w:r w:rsidRPr="007D1633">
        <w:rPr>
          <w:rFonts w:eastAsia="Calibri"/>
          <w:b/>
          <w:spacing w:val="4"/>
          <w:w w:val="103"/>
          <w:kern w:val="14"/>
        </w:rPr>
        <w:t xml:space="preserve">Refrain from imposing travel bans arbitrarily </w:t>
      </w:r>
      <w:r>
        <w:rPr>
          <w:rFonts w:eastAsia="Calibri"/>
          <w:b/>
          <w:spacing w:val="4"/>
          <w:w w:val="103"/>
          <w:kern w:val="14"/>
        </w:rPr>
        <w:t>on</w:t>
      </w:r>
      <w:r w:rsidRPr="007D1633">
        <w:rPr>
          <w:rFonts w:eastAsia="Calibri"/>
          <w:b/>
          <w:spacing w:val="4"/>
          <w:w w:val="103"/>
          <w:kern w:val="14"/>
        </w:rPr>
        <w:t xml:space="preserve"> </w:t>
      </w:r>
      <w:r>
        <w:rPr>
          <w:rFonts w:eastAsia="Calibri"/>
          <w:b/>
          <w:spacing w:val="4"/>
          <w:w w:val="103"/>
          <w:kern w:val="14"/>
        </w:rPr>
        <w:t xml:space="preserve">persons in the </w:t>
      </w:r>
      <w:r w:rsidRPr="007D1633">
        <w:rPr>
          <w:rFonts w:eastAsia="Calibri"/>
          <w:b/>
          <w:spacing w:val="4"/>
          <w:w w:val="103"/>
          <w:kern w:val="14"/>
        </w:rPr>
        <w:t xml:space="preserve"> categor</w:t>
      </w:r>
      <w:r>
        <w:rPr>
          <w:rFonts w:eastAsia="Calibri"/>
          <w:b/>
          <w:spacing w:val="4"/>
          <w:w w:val="103"/>
          <w:kern w:val="14"/>
        </w:rPr>
        <w:t xml:space="preserve">ies </w:t>
      </w:r>
      <w:r w:rsidRPr="007D1633">
        <w:rPr>
          <w:rFonts w:eastAsia="Calibri"/>
          <w:b/>
          <w:spacing w:val="4"/>
          <w:w w:val="103"/>
          <w:kern w:val="14"/>
        </w:rPr>
        <w:t>mentioned above</w:t>
      </w:r>
      <w:r>
        <w:rPr>
          <w:rFonts w:eastAsia="Calibri"/>
          <w:b/>
          <w:spacing w:val="4"/>
          <w:w w:val="103"/>
          <w:kern w:val="14"/>
        </w:rPr>
        <w:t>,</w:t>
      </w:r>
      <w:r w:rsidRPr="007D1633">
        <w:rPr>
          <w:rFonts w:eastAsia="Calibri"/>
          <w:b/>
          <w:spacing w:val="4"/>
          <w:w w:val="103"/>
          <w:kern w:val="14"/>
        </w:rPr>
        <w:t xml:space="preserve"> and guarantee respect for their freedom to leave the country</w:t>
      </w:r>
      <w:r>
        <w:rPr>
          <w:rFonts w:eastAsia="Calibri"/>
          <w:b/>
          <w:spacing w:val="4"/>
          <w:w w:val="103"/>
          <w:kern w:val="14"/>
        </w:rPr>
        <w:t>;</w:t>
      </w:r>
    </w:p>
    <w:p w:rsidR="00287F1D" w:rsidRPr="00B479A8" w:rsidRDefault="00287F1D" w:rsidP="00287F1D">
      <w:pPr>
        <w:pStyle w:val="SingleTxtG"/>
        <w:rPr>
          <w:rFonts w:eastAsia="Calibri"/>
          <w:b/>
          <w:spacing w:val="4"/>
          <w:w w:val="103"/>
          <w:kern w:val="14"/>
        </w:rPr>
      </w:pPr>
      <w:r>
        <w:rPr>
          <w:rFonts w:eastAsia="Calibri"/>
          <w:b/>
          <w:spacing w:val="4"/>
          <w:w w:val="103"/>
          <w:kern w:val="14"/>
        </w:rPr>
        <w:tab/>
        <w:t>(d)</w:t>
      </w:r>
      <w:r>
        <w:rPr>
          <w:rFonts w:eastAsia="Calibri"/>
          <w:b/>
          <w:spacing w:val="4"/>
          <w:w w:val="103"/>
          <w:kern w:val="14"/>
        </w:rPr>
        <w:tab/>
      </w:r>
      <w:r w:rsidRPr="007D1633">
        <w:rPr>
          <w:rFonts w:eastAsia="Calibri"/>
          <w:b/>
          <w:spacing w:val="4"/>
          <w:w w:val="103"/>
          <w:kern w:val="14"/>
        </w:rPr>
        <w:t xml:space="preserve">Ensure that any curfews </w:t>
      </w:r>
      <w:r>
        <w:rPr>
          <w:rFonts w:eastAsia="Calibri"/>
          <w:b/>
          <w:spacing w:val="4"/>
          <w:w w:val="103"/>
          <w:kern w:val="14"/>
        </w:rPr>
        <w:t xml:space="preserve">imposed </w:t>
      </w:r>
      <w:r w:rsidRPr="007D1633">
        <w:rPr>
          <w:rFonts w:eastAsia="Calibri"/>
          <w:b/>
          <w:spacing w:val="4"/>
          <w:w w:val="103"/>
          <w:kern w:val="14"/>
        </w:rPr>
        <w:t xml:space="preserve">are </w:t>
      </w:r>
      <w:r w:rsidRPr="00D5502B">
        <w:rPr>
          <w:rFonts w:eastAsia="Calibri"/>
          <w:b/>
          <w:spacing w:val="4"/>
          <w:w w:val="103"/>
          <w:kern w:val="14"/>
        </w:rPr>
        <w:t xml:space="preserve">applied, if at all, only as a short-term and area-specific exceptional measure, </w:t>
      </w:r>
      <w:r w:rsidR="0059706D">
        <w:rPr>
          <w:rFonts w:eastAsia="Calibri"/>
          <w:b/>
          <w:spacing w:val="4"/>
          <w:w w:val="103"/>
          <w:kern w:val="14"/>
        </w:rPr>
        <w:t xml:space="preserve">and </w:t>
      </w:r>
      <w:r>
        <w:rPr>
          <w:rFonts w:eastAsia="Calibri"/>
          <w:b/>
          <w:spacing w:val="4"/>
          <w:w w:val="103"/>
          <w:kern w:val="14"/>
        </w:rPr>
        <w:t>are lawful and</w:t>
      </w:r>
      <w:r w:rsidRPr="00D5502B">
        <w:rPr>
          <w:rFonts w:eastAsia="Calibri"/>
          <w:b/>
          <w:spacing w:val="4"/>
          <w:w w:val="103"/>
          <w:kern w:val="14"/>
        </w:rPr>
        <w:t xml:space="preserve"> strictly </w:t>
      </w:r>
      <w:r w:rsidRPr="007D1633">
        <w:rPr>
          <w:rFonts w:eastAsia="Calibri"/>
          <w:b/>
          <w:spacing w:val="4"/>
          <w:w w:val="103"/>
          <w:kern w:val="14"/>
        </w:rPr>
        <w:t>justified under the Covenant, including under articles 9, 12 and 17</w:t>
      </w:r>
      <w:r>
        <w:rPr>
          <w:rFonts w:eastAsia="Calibri"/>
          <w:b/>
          <w:spacing w:val="4"/>
          <w:w w:val="103"/>
          <w:kern w:val="14"/>
        </w:rPr>
        <w:t xml:space="preserve">, </w:t>
      </w:r>
      <w:r w:rsidRPr="00126F0A">
        <w:rPr>
          <w:rFonts w:eastAsia="Calibri"/>
          <w:b/>
          <w:spacing w:val="4"/>
          <w:w w:val="103"/>
          <w:kern w:val="14"/>
        </w:rPr>
        <w:t>and that penalties for infringement are not disproportionate</w:t>
      </w:r>
      <w:r w:rsidRPr="007D1633">
        <w:rPr>
          <w:rFonts w:eastAsia="Calibri"/>
          <w:b/>
          <w:spacing w:val="4"/>
          <w:w w:val="103"/>
          <w:kern w:val="14"/>
        </w:rPr>
        <w:t>.</w:t>
      </w:r>
    </w:p>
    <w:p w:rsidR="00287F1D" w:rsidRPr="009C542F" w:rsidRDefault="00287F1D" w:rsidP="00287F1D">
      <w:pPr>
        <w:pStyle w:val="SingleTxtG"/>
      </w:pPr>
      <w:r w:rsidRPr="009C542F">
        <w:rPr>
          <w:b/>
        </w:rPr>
        <w:t>Independence of judiciary and fair trial</w:t>
      </w:r>
    </w:p>
    <w:p w:rsidR="00287F1D" w:rsidRPr="00837E3F"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Calibri"/>
          <w:spacing w:val="4"/>
          <w:w w:val="103"/>
          <w:kern w:val="14"/>
        </w:rPr>
      </w:pPr>
      <w:r>
        <w:rPr>
          <w:rFonts w:eastAsia="Calibri"/>
          <w:spacing w:val="4"/>
          <w:w w:val="103"/>
          <w:kern w:val="14"/>
        </w:rPr>
        <w:t>30.</w:t>
      </w:r>
      <w:r>
        <w:rPr>
          <w:rFonts w:eastAsia="Calibri"/>
          <w:spacing w:val="4"/>
          <w:w w:val="103"/>
          <w:kern w:val="14"/>
        </w:rPr>
        <w:tab/>
      </w:r>
      <w:r w:rsidRPr="00837E3F">
        <w:rPr>
          <w:rFonts w:eastAsia="Calibri"/>
          <w:spacing w:val="4"/>
          <w:w w:val="103"/>
          <w:kern w:val="14"/>
        </w:rPr>
        <w:t>The Committee re</w:t>
      </w:r>
      <w:r>
        <w:rPr>
          <w:rFonts w:eastAsia="Calibri"/>
          <w:spacing w:val="4"/>
          <w:w w:val="103"/>
          <w:kern w:val="14"/>
        </w:rPr>
        <w:t xml:space="preserve">mains concerned </w:t>
      </w:r>
      <w:r w:rsidRPr="00837E3F">
        <w:rPr>
          <w:rFonts w:eastAsia="Calibri"/>
          <w:spacing w:val="4"/>
          <w:w w:val="103"/>
          <w:kern w:val="14"/>
        </w:rPr>
        <w:t xml:space="preserve">(see CCPR/C/TKM/CO/1, para. 13) about </w:t>
      </w:r>
      <w:r>
        <w:rPr>
          <w:rFonts w:eastAsia="Calibri"/>
          <w:spacing w:val="4"/>
          <w:w w:val="103"/>
          <w:kern w:val="14"/>
        </w:rPr>
        <w:t xml:space="preserve">alleged </w:t>
      </w:r>
      <w:r w:rsidRPr="00837E3F">
        <w:rPr>
          <w:rFonts w:eastAsia="Calibri"/>
          <w:spacing w:val="4"/>
          <w:w w:val="103"/>
          <w:kern w:val="14"/>
        </w:rPr>
        <w:t xml:space="preserve">corruption in the judiciary and </w:t>
      </w:r>
      <w:r>
        <w:rPr>
          <w:rFonts w:eastAsia="Calibri"/>
          <w:spacing w:val="4"/>
          <w:w w:val="103"/>
          <w:kern w:val="14"/>
        </w:rPr>
        <w:t>about</w:t>
      </w:r>
      <w:r w:rsidRPr="00837E3F">
        <w:rPr>
          <w:rFonts w:eastAsia="Calibri"/>
          <w:spacing w:val="4"/>
          <w:w w:val="103"/>
          <w:kern w:val="14"/>
        </w:rPr>
        <w:t xml:space="preserve"> the independence of judges </w:t>
      </w:r>
      <w:r>
        <w:rPr>
          <w:rFonts w:eastAsia="Calibri"/>
          <w:spacing w:val="4"/>
          <w:w w:val="103"/>
          <w:kern w:val="14"/>
        </w:rPr>
        <w:t>which remains</w:t>
      </w:r>
      <w:r w:rsidRPr="00837E3F">
        <w:rPr>
          <w:rFonts w:eastAsia="Calibri"/>
          <w:spacing w:val="4"/>
          <w:w w:val="103"/>
          <w:kern w:val="14"/>
        </w:rPr>
        <w:t xml:space="preserve"> severely undermined by the President’s </w:t>
      </w:r>
      <w:r>
        <w:rPr>
          <w:rFonts w:eastAsia="Calibri"/>
          <w:spacing w:val="4"/>
          <w:w w:val="103"/>
          <w:kern w:val="14"/>
        </w:rPr>
        <w:t xml:space="preserve">exclusive authority </w:t>
      </w:r>
      <w:r w:rsidRPr="00837E3F">
        <w:rPr>
          <w:rFonts w:eastAsia="Calibri"/>
          <w:spacing w:val="4"/>
          <w:w w:val="103"/>
          <w:kern w:val="14"/>
        </w:rPr>
        <w:t xml:space="preserve">to appoint and dismiss judges and the lack of security of tenure of judges who are appointed for renewable five-year terms. </w:t>
      </w:r>
      <w:r>
        <w:rPr>
          <w:rFonts w:eastAsia="Calibri"/>
          <w:spacing w:val="4"/>
          <w:w w:val="103"/>
          <w:kern w:val="14"/>
        </w:rPr>
        <w:t xml:space="preserve">The Committee </w:t>
      </w:r>
      <w:r w:rsidRPr="00837E3F">
        <w:rPr>
          <w:rFonts w:eastAsia="Calibri"/>
          <w:spacing w:val="4"/>
          <w:w w:val="103"/>
          <w:kern w:val="14"/>
        </w:rPr>
        <w:t>is further concerned about the lack of clear information on the availability of an independent body charged with the promotion and disciplin</w:t>
      </w:r>
      <w:r>
        <w:rPr>
          <w:rFonts w:eastAsia="Calibri"/>
          <w:spacing w:val="4"/>
          <w:w w:val="103"/>
          <w:kern w:val="14"/>
        </w:rPr>
        <w:t>e</w:t>
      </w:r>
      <w:r w:rsidRPr="00837E3F">
        <w:rPr>
          <w:rFonts w:eastAsia="Calibri"/>
          <w:spacing w:val="4"/>
          <w:w w:val="103"/>
          <w:kern w:val="14"/>
        </w:rPr>
        <w:t xml:space="preserve"> of judges. </w:t>
      </w:r>
      <w:r>
        <w:rPr>
          <w:rFonts w:eastAsia="Calibri"/>
          <w:spacing w:val="4"/>
          <w:w w:val="103"/>
          <w:kern w:val="14"/>
        </w:rPr>
        <w:t xml:space="preserve">It is </w:t>
      </w:r>
      <w:r w:rsidRPr="00837E3F">
        <w:rPr>
          <w:rFonts w:eastAsia="Calibri"/>
          <w:spacing w:val="4"/>
          <w:w w:val="103"/>
          <w:kern w:val="14"/>
        </w:rPr>
        <w:t xml:space="preserve">also concerned about reported violations of the presumption of innocence in practice and </w:t>
      </w:r>
      <w:r>
        <w:rPr>
          <w:rFonts w:eastAsia="Calibri"/>
          <w:spacing w:val="4"/>
          <w:w w:val="103"/>
          <w:kern w:val="14"/>
        </w:rPr>
        <w:t xml:space="preserve">the </w:t>
      </w:r>
      <w:r w:rsidRPr="00837E3F">
        <w:rPr>
          <w:rFonts w:eastAsia="Calibri"/>
          <w:spacing w:val="4"/>
          <w:w w:val="103"/>
          <w:kern w:val="14"/>
        </w:rPr>
        <w:t xml:space="preserve">unavailability of interpretation for Russian-speaking </w:t>
      </w:r>
      <w:r>
        <w:rPr>
          <w:rFonts w:eastAsia="Calibri"/>
          <w:spacing w:val="4"/>
          <w:w w:val="103"/>
          <w:kern w:val="14"/>
        </w:rPr>
        <w:t xml:space="preserve">defendants in court proceedings </w:t>
      </w:r>
      <w:r w:rsidRPr="00837E3F">
        <w:rPr>
          <w:rFonts w:eastAsia="Calibri"/>
          <w:spacing w:val="4"/>
          <w:w w:val="103"/>
          <w:kern w:val="14"/>
        </w:rPr>
        <w:t>(art. 14).</w:t>
      </w:r>
    </w:p>
    <w:p w:rsidR="00287F1D" w:rsidRPr="00B479A8"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Calibri"/>
          <w:b/>
          <w:spacing w:val="4"/>
          <w:w w:val="103"/>
          <w:kern w:val="14"/>
        </w:rPr>
      </w:pPr>
      <w:r w:rsidRPr="00254070">
        <w:rPr>
          <w:rFonts w:eastAsia="Calibri"/>
          <w:spacing w:val="4"/>
          <w:w w:val="103"/>
          <w:kern w:val="14"/>
        </w:rPr>
        <w:t>31.</w:t>
      </w:r>
      <w:r w:rsidRPr="00254070">
        <w:rPr>
          <w:rFonts w:eastAsia="Calibri"/>
          <w:spacing w:val="4"/>
          <w:w w:val="103"/>
          <w:kern w:val="14"/>
        </w:rPr>
        <w:tab/>
      </w:r>
      <w:r w:rsidRPr="00837E3F">
        <w:rPr>
          <w:rFonts w:eastAsia="Calibri"/>
          <w:b/>
          <w:spacing w:val="4"/>
          <w:w w:val="103"/>
          <w:kern w:val="14"/>
        </w:rPr>
        <w:t xml:space="preserve">The Committee reiterates its previous recommendation that the State party take all measures necessary to safeguard, in </w:t>
      </w:r>
      <w:r>
        <w:rPr>
          <w:rFonts w:eastAsia="Calibri"/>
          <w:b/>
          <w:spacing w:val="4"/>
          <w:w w:val="103"/>
          <w:kern w:val="14"/>
        </w:rPr>
        <w:t xml:space="preserve">both </w:t>
      </w:r>
      <w:r w:rsidRPr="00837E3F">
        <w:rPr>
          <w:rFonts w:eastAsia="Calibri"/>
          <w:b/>
          <w:spacing w:val="4"/>
          <w:w w:val="103"/>
          <w:kern w:val="14"/>
        </w:rPr>
        <w:t xml:space="preserve">law and practice, the independence of the judiciary from the executive branch, including by guaranteeing judges’ security of tenure. It should also ensure that the judicial selection process </w:t>
      </w:r>
      <w:r>
        <w:rPr>
          <w:rFonts w:eastAsia="Calibri"/>
          <w:b/>
          <w:spacing w:val="4"/>
          <w:w w:val="103"/>
          <w:kern w:val="14"/>
        </w:rPr>
        <w:t>and judicial disciplin</w:t>
      </w:r>
      <w:r w:rsidR="009B1910">
        <w:rPr>
          <w:rFonts w:eastAsia="Calibri"/>
          <w:b/>
          <w:spacing w:val="4"/>
          <w:w w:val="103"/>
          <w:kern w:val="14"/>
        </w:rPr>
        <w:t>ary procedures</w:t>
      </w:r>
      <w:r>
        <w:rPr>
          <w:rFonts w:eastAsia="Calibri"/>
          <w:b/>
          <w:spacing w:val="4"/>
          <w:w w:val="103"/>
          <w:kern w:val="14"/>
        </w:rPr>
        <w:t xml:space="preserve"> </w:t>
      </w:r>
      <w:r w:rsidR="009B1910" w:rsidRPr="009B1910">
        <w:rPr>
          <w:rFonts w:eastAsia="Calibri"/>
          <w:b/>
          <w:spacing w:val="4"/>
          <w:w w:val="103"/>
          <w:kern w:val="14"/>
        </w:rPr>
        <w:t xml:space="preserve">are vested in fully </w:t>
      </w:r>
      <w:r>
        <w:rPr>
          <w:rFonts w:eastAsia="Calibri"/>
          <w:b/>
          <w:spacing w:val="4"/>
          <w:w w:val="103"/>
          <w:kern w:val="14"/>
        </w:rPr>
        <w:t>independent bod</w:t>
      </w:r>
      <w:r w:rsidR="009B1910">
        <w:rPr>
          <w:rFonts w:eastAsia="Calibri"/>
          <w:b/>
          <w:spacing w:val="4"/>
          <w:w w:val="103"/>
          <w:kern w:val="14"/>
        </w:rPr>
        <w:t>ies</w:t>
      </w:r>
      <w:r>
        <w:rPr>
          <w:rFonts w:eastAsia="Calibri"/>
          <w:b/>
          <w:spacing w:val="4"/>
          <w:w w:val="103"/>
          <w:kern w:val="14"/>
        </w:rPr>
        <w:t>, in accordance with</w:t>
      </w:r>
      <w:r w:rsidRPr="00837E3F">
        <w:rPr>
          <w:rFonts w:eastAsia="Calibri"/>
          <w:b/>
          <w:spacing w:val="4"/>
          <w:w w:val="103"/>
          <w:kern w:val="14"/>
        </w:rPr>
        <w:t xml:space="preserve"> international standards. Furthermore, the State party should: (a) combat corruption in the judiciary </w:t>
      </w:r>
      <w:r>
        <w:rPr>
          <w:rFonts w:eastAsia="Calibri"/>
          <w:b/>
          <w:spacing w:val="4"/>
          <w:w w:val="103"/>
          <w:kern w:val="14"/>
        </w:rPr>
        <w:t xml:space="preserve">effectively </w:t>
      </w:r>
      <w:r w:rsidRPr="00837E3F">
        <w:rPr>
          <w:rFonts w:eastAsia="Calibri"/>
          <w:b/>
          <w:spacing w:val="4"/>
          <w:w w:val="103"/>
          <w:kern w:val="14"/>
        </w:rPr>
        <w:t>and prosecute and punish perpetrators, including judges who may be complicit therein; (b) ensure</w:t>
      </w:r>
      <w:r>
        <w:rPr>
          <w:rFonts w:eastAsia="Calibri"/>
          <w:b/>
          <w:spacing w:val="4"/>
          <w:w w:val="103"/>
          <w:kern w:val="14"/>
        </w:rPr>
        <w:t xml:space="preserve"> </w:t>
      </w:r>
      <w:r w:rsidRPr="00837E3F">
        <w:rPr>
          <w:rFonts w:eastAsia="Calibri"/>
          <w:b/>
          <w:spacing w:val="4"/>
          <w:w w:val="103"/>
          <w:kern w:val="14"/>
        </w:rPr>
        <w:t xml:space="preserve">strict respect </w:t>
      </w:r>
      <w:r>
        <w:rPr>
          <w:rFonts w:eastAsia="Calibri"/>
          <w:b/>
          <w:spacing w:val="4"/>
          <w:w w:val="103"/>
          <w:kern w:val="14"/>
        </w:rPr>
        <w:t>in practice for</w:t>
      </w:r>
      <w:r w:rsidRPr="00837E3F">
        <w:rPr>
          <w:rFonts w:eastAsia="Calibri"/>
          <w:b/>
          <w:spacing w:val="4"/>
          <w:w w:val="103"/>
          <w:kern w:val="14"/>
        </w:rPr>
        <w:t xml:space="preserve"> the presumption of innocence and provide for free interpretation for </w:t>
      </w:r>
      <w:r>
        <w:rPr>
          <w:rFonts w:eastAsia="Calibri"/>
          <w:b/>
          <w:spacing w:val="4"/>
          <w:w w:val="103"/>
          <w:kern w:val="14"/>
        </w:rPr>
        <w:t>all defendan</w:t>
      </w:r>
      <w:r w:rsidR="002D3F97">
        <w:rPr>
          <w:rFonts w:eastAsia="Calibri"/>
          <w:b/>
          <w:spacing w:val="4"/>
          <w:w w:val="103"/>
          <w:kern w:val="14"/>
        </w:rPr>
        <w:t>t</w:t>
      </w:r>
      <w:r>
        <w:rPr>
          <w:rFonts w:eastAsia="Calibri"/>
          <w:b/>
          <w:spacing w:val="4"/>
          <w:w w:val="103"/>
          <w:kern w:val="14"/>
        </w:rPr>
        <w:t xml:space="preserve">s, including </w:t>
      </w:r>
      <w:r w:rsidRPr="00837E3F">
        <w:rPr>
          <w:rFonts w:eastAsia="Calibri"/>
          <w:b/>
          <w:spacing w:val="4"/>
          <w:w w:val="103"/>
          <w:kern w:val="14"/>
        </w:rPr>
        <w:t>Russian</w:t>
      </w:r>
      <w:r>
        <w:rPr>
          <w:rFonts w:eastAsia="Calibri"/>
          <w:b/>
          <w:spacing w:val="4"/>
          <w:w w:val="103"/>
          <w:kern w:val="14"/>
        </w:rPr>
        <w:t xml:space="preserve"> </w:t>
      </w:r>
      <w:r w:rsidRPr="00837E3F">
        <w:rPr>
          <w:rFonts w:eastAsia="Calibri"/>
          <w:b/>
          <w:spacing w:val="4"/>
          <w:w w:val="103"/>
          <w:kern w:val="14"/>
        </w:rPr>
        <w:t>speak</w:t>
      </w:r>
      <w:r>
        <w:rPr>
          <w:rFonts w:eastAsia="Calibri"/>
          <w:b/>
          <w:spacing w:val="4"/>
          <w:w w:val="103"/>
          <w:kern w:val="14"/>
        </w:rPr>
        <w:t>ers,</w:t>
      </w:r>
      <w:r w:rsidRPr="00837E3F">
        <w:rPr>
          <w:rFonts w:eastAsia="Calibri"/>
          <w:b/>
          <w:spacing w:val="4"/>
          <w:w w:val="103"/>
          <w:kern w:val="14"/>
        </w:rPr>
        <w:t xml:space="preserve"> who do not understand or speak the language used in court</w:t>
      </w:r>
      <w:r>
        <w:rPr>
          <w:rFonts w:eastAsia="Calibri"/>
          <w:b/>
          <w:spacing w:val="4"/>
          <w:w w:val="103"/>
          <w:kern w:val="14"/>
        </w:rPr>
        <w:t>,</w:t>
      </w:r>
      <w:r w:rsidRPr="00837E3F">
        <w:rPr>
          <w:rFonts w:eastAsia="Calibri"/>
          <w:b/>
          <w:spacing w:val="4"/>
          <w:w w:val="103"/>
          <w:kern w:val="14"/>
        </w:rPr>
        <w:t xml:space="preserve"> </w:t>
      </w:r>
      <w:r>
        <w:rPr>
          <w:rFonts w:eastAsia="Calibri"/>
          <w:b/>
          <w:spacing w:val="4"/>
          <w:w w:val="103"/>
          <w:kern w:val="14"/>
        </w:rPr>
        <w:t xml:space="preserve">as required by </w:t>
      </w:r>
      <w:r w:rsidRPr="00837E3F">
        <w:rPr>
          <w:rFonts w:eastAsia="Calibri"/>
          <w:b/>
          <w:spacing w:val="4"/>
          <w:w w:val="103"/>
          <w:kern w:val="14"/>
        </w:rPr>
        <w:t>article</w:t>
      </w:r>
      <w:r>
        <w:rPr>
          <w:rFonts w:eastAsia="Calibri"/>
          <w:b/>
          <w:spacing w:val="4"/>
          <w:w w:val="103"/>
          <w:kern w:val="14"/>
        </w:rPr>
        <w:t>s</w:t>
      </w:r>
      <w:r w:rsidRPr="00837E3F">
        <w:rPr>
          <w:rFonts w:eastAsia="Calibri"/>
          <w:b/>
          <w:spacing w:val="4"/>
          <w:w w:val="103"/>
          <w:kern w:val="14"/>
        </w:rPr>
        <w:t xml:space="preserve"> 14 (2) and </w:t>
      </w:r>
      <w:r>
        <w:rPr>
          <w:rFonts w:eastAsia="Calibri"/>
          <w:b/>
          <w:spacing w:val="4"/>
          <w:w w:val="103"/>
          <w:kern w:val="14"/>
        </w:rPr>
        <w:t>14(3</w:t>
      </w:r>
      <w:proofErr w:type="gramStart"/>
      <w:r>
        <w:rPr>
          <w:rFonts w:eastAsia="Calibri"/>
          <w:b/>
          <w:spacing w:val="4"/>
          <w:w w:val="103"/>
          <w:kern w:val="14"/>
        </w:rPr>
        <w:t>)</w:t>
      </w:r>
      <w:r w:rsidRPr="00837E3F">
        <w:rPr>
          <w:rFonts w:eastAsia="Calibri"/>
          <w:b/>
          <w:spacing w:val="4"/>
          <w:w w:val="103"/>
          <w:kern w:val="14"/>
        </w:rPr>
        <w:t>(</w:t>
      </w:r>
      <w:proofErr w:type="gramEnd"/>
      <w:r w:rsidRPr="00837E3F">
        <w:rPr>
          <w:rFonts w:eastAsia="Calibri"/>
          <w:b/>
          <w:spacing w:val="4"/>
          <w:w w:val="103"/>
          <w:kern w:val="14"/>
        </w:rPr>
        <w:t>f) of the Covenant.</w:t>
      </w:r>
    </w:p>
    <w:p w:rsidR="00287F1D" w:rsidRPr="00804473" w:rsidRDefault="00287F1D" w:rsidP="00287F1D">
      <w:pPr>
        <w:pStyle w:val="H23G"/>
      </w:pPr>
      <w:r>
        <w:tab/>
      </w:r>
      <w:r>
        <w:tab/>
      </w:r>
      <w:r w:rsidRPr="00804473">
        <w:t xml:space="preserve">Human Immunodeficiency Virus (HIV)  </w:t>
      </w:r>
    </w:p>
    <w:p w:rsidR="00287F1D" w:rsidRPr="005609F9"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lang w:val="en-US"/>
        </w:rPr>
      </w:pPr>
      <w:r>
        <w:rPr>
          <w:lang w:val="en-US"/>
        </w:rPr>
        <w:t>32.</w:t>
      </w:r>
      <w:r>
        <w:rPr>
          <w:lang w:val="en-US"/>
        </w:rPr>
        <w:tab/>
      </w:r>
      <w:r w:rsidRPr="005609F9">
        <w:rPr>
          <w:lang w:val="en-US"/>
        </w:rPr>
        <w:t xml:space="preserve">The Committee remains concerned that the </w:t>
      </w:r>
      <w:r>
        <w:rPr>
          <w:lang w:val="en-US"/>
        </w:rPr>
        <w:t xml:space="preserve">2016 </w:t>
      </w:r>
      <w:r w:rsidRPr="005609F9">
        <w:rPr>
          <w:lang w:val="en-US"/>
        </w:rPr>
        <w:t>Act on Controlling the Spread of Disease caused by the Human Immunodeficiency Virus (HIV) retain</w:t>
      </w:r>
      <w:r>
        <w:rPr>
          <w:lang w:val="en-US"/>
        </w:rPr>
        <w:t>s</w:t>
      </w:r>
      <w:r w:rsidRPr="005609F9">
        <w:rPr>
          <w:lang w:val="en-US"/>
        </w:rPr>
        <w:t xml:space="preserve"> the requirement of a HIV</w:t>
      </w:r>
      <w:r>
        <w:rPr>
          <w:lang w:val="en-US"/>
        </w:rPr>
        <w:t>-free</w:t>
      </w:r>
      <w:r w:rsidRPr="005609F9">
        <w:rPr>
          <w:lang w:val="en-US"/>
        </w:rPr>
        <w:t xml:space="preserve"> </w:t>
      </w:r>
      <w:r>
        <w:rPr>
          <w:lang w:val="en-US"/>
        </w:rPr>
        <w:t>medical</w:t>
      </w:r>
      <w:r w:rsidRPr="005609F9">
        <w:rPr>
          <w:lang w:val="en-US"/>
        </w:rPr>
        <w:t xml:space="preserve"> certificat</w:t>
      </w:r>
      <w:r>
        <w:rPr>
          <w:lang w:val="en-US"/>
        </w:rPr>
        <w:t>e</w:t>
      </w:r>
      <w:r w:rsidRPr="005609F9">
        <w:rPr>
          <w:lang w:val="en-US"/>
        </w:rPr>
        <w:t xml:space="preserve"> for visa applications and </w:t>
      </w:r>
      <w:r>
        <w:rPr>
          <w:lang w:val="en-US"/>
        </w:rPr>
        <w:t xml:space="preserve">provides for </w:t>
      </w:r>
      <w:r w:rsidRPr="005609F9">
        <w:rPr>
          <w:lang w:val="en-US"/>
        </w:rPr>
        <w:t>compulsory HIV testing of individuals</w:t>
      </w:r>
      <w:r>
        <w:rPr>
          <w:lang w:val="en-US"/>
        </w:rPr>
        <w:t xml:space="preserve">. It is also concerned that such a certificate is required for entering into marriage </w:t>
      </w:r>
      <w:r w:rsidRPr="005609F9">
        <w:rPr>
          <w:lang w:val="en-US"/>
        </w:rPr>
        <w:t>(arts. 2, 12, 17</w:t>
      </w:r>
      <w:r>
        <w:rPr>
          <w:lang w:val="en-US"/>
        </w:rPr>
        <w:t>, 23</w:t>
      </w:r>
      <w:r w:rsidRPr="005609F9">
        <w:rPr>
          <w:lang w:val="en-US"/>
        </w:rPr>
        <w:t xml:space="preserve"> and 26). </w:t>
      </w:r>
    </w:p>
    <w:p w:rsidR="00287F1D" w:rsidRPr="00287F1D"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Style w:val="SingleTxtGChar"/>
          <w:b/>
        </w:rPr>
      </w:pPr>
      <w:r w:rsidRPr="00254070">
        <w:rPr>
          <w:lang w:val="en-US"/>
        </w:rPr>
        <w:t>33.</w:t>
      </w:r>
      <w:r w:rsidRPr="00254070">
        <w:rPr>
          <w:lang w:val="en-US"/>
        </w:rPr>
        <w:tab/>
      </w:r>
      <w:r w:rsidRPr="00287F1D">
        <w:rPr>
          <w:rStyle w:val="SingleTxtGChar"/>
          <w:b/>
        </w:rPr>
        <w:t xml:space="preserve">The State party should bring its legislation and practices (see also CCPR/C/TKM/CO/1, para. 15) into full compliance with its obligations under the Covenant, in particular articles 12, 17 and 26, inter alia by lifting HIV-related travel restrictions and by ensuring that its HIV prevention policies do not lead, directly or indirectly, to discrimination on grounds of health or violate the freedom of movement and privacy of individuals. </w:t>
      </w:r>
    </w:p>
    <w:p w:rsidR="00287F1D" w:rsidRPr="00804473" w:rsidRDefault="00287F1D" w:rsidP="00287F1D">
      <w:pPr>
        <w:pStyle w:val="H23G"/>
      </w:pPr>
      <w:r>
        <w:tab/>
      </w:r>
      <w:r>
        <w:tab/>
      </w:r>
      <w:r w:rsidRPr="00804473">
        <w:t>Forced evictions</w:t>
      </w:r>
    </w:p>
    <w:p w:rsidR="00287F1D" w:rsidRPr="00287F1D" w:rsidRDefault="00287F1D" w:rsidP="00287F1D">
      <w:pPr>
        <w:pStyle w:val="SingleTxtG"/>
        <w:rPr>
          <w:lang w:eastAsia="de-DE"/>
        </w:rPr>
      </w:pPr>
      <w:r w:rsidRPr="00287F1D">
        <w:rPr>
          <w:lang w:eastAsia="de-DE"/>
        </w:rPr>
        <w:t>34.</w:t>
      </w:r>
      <w:r w:rsidRPr="00287F1D">
        <w:rPr>
          <w:lang w:eastAsia="de-DE"/>
        </w:rPr>
        <w:tab/>
        <w:t xml:space="preserve">The Committee is concerned about reports of mass house demolitions and forced evictions in connection with construction and development projects in and around Ashgabat and the forthcoming Asian Indoor and Martial Arts Games 2017, including in the </w:t>
      </w:r>
      <w:proofErr w:type="spellStart"/>
      <w:r w:rsidRPr="00287F1D">
        <w:rPr>
          <w:lang w:eastAsia="de-DE"/>
        </w:rPr>
        <w:t>Berezengi</w:t>
      </w:r>
      <w:proofErr w:type="spellEnd"/>
      <w:r w:rsidRPr="00287F1D">
        <w:rPr>
          <w:lang w:eastAsia="de-DE"/>
        </w:rPr>
        <w:t xml:space="preserve"> holiday village, the </w:t>
      </w:r>
      <w:proofErr w:type="spellStart"/>
      <w:r w:rsidRPr="00287F1D">
        <w:rPr>
          <w:lang w:eastAsia="de-DE"/>
        </w:rPr>
        <w:t>Shoganly</w:t>
      </w:r>
      <w:proofErr w:type="spellEnd"/>
      <w:r w:rsidRPr="00287F1D">
        <w:rPr>
          <w:lang w:eastAsia="de-DE"/>
        </w:rPr>
        <w:t xml:space="preserve"> </w:t>
      </w:r>
      <w:proofErr w:type="spellStart"/>
      <w:r w:rsidRPr="00287F1D">
        <w:rPr>
          <w:lang w:eastAsia="de-DE"/>
        </w:rPr>
        <w:t>neighborhood</w:t>
      </w:r>
      <w:proofErr w:type="spellEnd"/>
      <w:r w:rsidRPr="00287F1D">
        <w:rPr>
          <w:lang w:eastAsia="de-DE"/>
        </w:rPr>
        <w:t xml:space="preserve"> and the </w:t>
      </w:r>
      <w:proofErr w:type="spellStart"/>
      <w:r w:rsidRPr="00287F1D">
        <w:rPr>
          <w:lang w:eastAsia="de-DE"/>
        </w:rPr>
        <w:t>Bagtiyarlyk</w:t>
      </w:r>
      <w:proofErr w:type="spellEnd"/>
      <w:r w:rsidRPr="00287F1D">
        <w:rPr>
          <w:lang w:eastAsia="de-DE"/>
        </w:rPr>
        <w:t xml:space="preserve"> area. In many cases, such evictions were reportedly undertaken without adequate advance notice, without the ability to legally challenge them, and without providing adequate alternative accommodation or </w:t>
      </w:r>
      <w:r w:rsidRPr="00287F1D">
        <w:rPr>
          <w:lang w:eastAsia="de-DE"/>
        </w:rPr>
        <w:lastRenderedPageBreak/>
        <w:t xml:space="preserve">compensation; and residents opposing forced eviction have allegedly faced harassment and intimidation (arts. 2, 14 and 17).  </w:t>
      </w:r>
    </w:p>
    <w:p w:rsidR="00287F1D" w:rsidRPr="005609F9" w:rsidRDefault="00287F1D" w:rsidP="00287F1D">
      <w:pPr>
        <w:pStyle w:val="SingleTxtG"/>
        <w:rPr>
          <w:rFonts w:ascii="Verdana" w:hAnsi="Verdana"/>
          <w:b/>
          <w:bCs/>
          <w:sz w:val="18"/>
          <w:szCs w:val="18"/>
          <w:lang w:eastAsia="en-GB"/>
        </w:rPr>
      </w:pPr>
      <w:r w:rsidRPr="00254070">
        <w:t>35.</w:t>
      </w:r>
      <w:r w:rsidRPr="00254070">
        <w:tab/>
      </w:r>
      <w:r w:rsidRPr="00F001CF">
        <w:rPr>
          <w:b/>
        </w:rPr>
        <w:t>The State party should ensure adequate safeguards</w:t>
      </w:r>
      <w:r>
        <w:rPr>
          <w:b/>
        </w:rPr>
        <w:t xml:space="preserve"> </w:t>
      </w:r>
      <w:r w:rsidRPr="00F001CF">
        <w:rPr>
          <w:b/>
        </w:rPr>
        <w:t>against forced evictions</w:t>
      </w:r>
      <w:r>
        <w:rPr>
          <w:b/>
        </w:rPr>
        <w:t xml:space="preserve"> </w:t>
      </w:r>
      <w:r w:rsidRPr="00F001CF">
        <w:rPr>
          <w:b/>
        </w:rPr>
        <w:t>and demolitions</w:t>
      </w:r>
      <w:r w:rsidR="00A8532D">
        <w:rPr>
          <w:b/>
        </w:rPr>
        <w:t>,</w:t>
      </w:r>
      <w:r w:rsidRPr="00B7214A">
        <w:rPr>
          <w:b/>
        </w:rPr>
        <w:t xml:space="preserve"> </w:t>
      </w:r>
      <w:r w:rsidRPr="00F001CF">
        <w:rPr>
          <w:b/>
        </w:rPr>
        <w:t>including procedural protection and due process guarantees, and provide those affected with effective remedies and reparation.</w:t>
      </w:r>
      <w:r w:rsidRPr="002A1A17">
        <w:rPr>
          <w:b/>
        </w:rPr>
        <w:t xml:space="preserve"> </w:t>
      </w:r>
    </w:p>
    <w:p w:rsidR="00287F1D" w:rsidRPr="00804473" w:rsidRDefault="00287F1D" w:rsidP="00287F1D">
      <w:pPr>
        <w:pStyle w:val="H23G"/>
      </w:pPr>
      <w:r>
        <w:tab/>
      </w:r>
      <w:r>
        <w:tab/>
      </w:r>
      <w:r w:rsidRPr="00804473">
        <w:t xml:space="preserve">Surveillance and interception of private communications </w:t>
      </w:r>
    </w:p>
    <w:p w:rsidR="00287F1D" w:rsidRPr="00506143" w:rsidRDefault="00287F1D" w:rsidP="00287F1D">
      <w:pPr>
        <w:pStyle w:val="SingleTxtG"/>
      </w:pPr>
      <w:r>
        <w:t>36.</w:t>
      </w:r>
      <w:r>
        <w:tab/>
      </w:r>
      <w:r w:rsidRPr="00506143">
        <w:t>The Committee is concerned about the lack of a clear legal framework regulating surveillance activities including by the intelligence services (art. 17).</w:t>
      </w:r>
    </w:p>
    <w:p w:rsidR="00287F1D" w:rsidRPr="00506143" w:rsidRDefault="00287F1D" w:rsidP="00287F1D">
      <w:pPr>
        <w:pStyle w:val="SingleTxtG"/>
        <w:rPr>
          <w:b/>
        </w:rPr>
      </w:pPr>
      <w:r w:rsidRPr="00254070">
        <w:t>37.</w:t>
      </w:r>
      <w:r w:rsidRPr="00254070">
        <w:tab/>
      </w:r>
      <w:r w:rsidRPr="00506143">
        <w:rPr>
          <w:b/>
        </w:rPr>
        <w:t xml:space="preserve">The State party should ensure that: (a) all types of surveillance activities and interference with privacy, including </w:t>
      </w:r>
      <w:r w:rsidRPr="0039466B">
        <w:rPr>
          <w:b/>
        </w:rPr>
        <w:t xml:space="preserve">online surveillance </w:t>
      </w:r>
      <w:r w:rsidRPr="00506143">
        <w:rPr>
          <w:b/>
        </w:rPr>
        <w:t>for the purposes of State security, are governed by appropriate legislation that is in full conformity with the Covenant, in particular article 17, including with the principles of legality, proportionality and necessity</w:t>
      </w:r>
      <w:r w:rsidR="00A8532D">
        <w:rPr>
          <w:b/>
        </w:rPr>
        <w:t>, and that State practice conforms thereto</w:t>
      </w:r>
      <w:r w:rsidRPr="00506143">
        <w:rPr>
          <w:b/>
        </w:rPr>
        <w:t xml:space="preserve">; (b) surveillance is subject to judicial authorization </w:t>
      </w:r>
      <w:r>
        <w:rPr>
          <w:b/>
        </w:rPr>
        <w:t xml:space="preserve">as well as </w:t>
      </w:r>
      <w:r w:rsidRPr="00506143">
        <w:rPr>
          <w:b/>
        </w:rPr>
        <w:t xml:space="preserve">effective and independent oversight mechanisms; </w:t>
      </w:r>
      <w:r>
        <w:rPr>
          <w:b/>
        </w:rPr>
        <w:t xml:space="preserve">and </w:t>
      </w:r>
      <w:r w:rsidRPr="00506143">
        <w:rPr>
          <w:b/>
        </w:rPr>
        <w:t>(c) affected persons have proper access to effective remedies in cases of abuse.</w:t>
      </w:r>
    </w:p>
    <w:p w:rsidR="00287F1D" w:rsidRPr="00804473" w:rsidRDefault="00287F1D" w:rsidP="00287F1D">
      <w:pPr>
        <w:pStyle w:val="H23G"/>
      </w:pPr>
      <w:r>
        <w:tab/>
      </w:r>
      <w:r>
        <w:tab/>
      </w:r>
      <w:r w:rsidRPr="00804473">
        <w:t>Freedom of conscience and religious belief</w:t>
      </w:r>
    </w:p>
    <w:p w:rsidR="00287F1D" w:rsidRPr="002874D0" w:rsidRDefault="00287F1D" w:rsidP="00287F1D">
      <w:pPr>
        <w:tabs>
          <w:tab w:val="left" w:pos="1260"/>
          <w:tab w:val="left" w:pos="1742"/>
          <w:tab w:val="left" w:pos="2218"/>
          <w:tab w:val="left" w:pos="2693"/>
          <w:tab w:val="left" w:pos="3182"/>
          <w:tab w:val="left" w:pos="3658"/>
          <w:tab w:val="left" w:pos="4133"/>
          <w:tab w:val="left" w:pos="4620"/>
          <w:tab w:val="left" w:pos="5098"/>
          <w:tab w:val="left" w:pos="5573"/>
          <w:tab w:val="left" w:pos="6048"/>
        </w:tabs>
        <w:spacing w:after="120" w:line="240" w:lineRule="exact"/>
        <w:ind w:left="1134" w:right="1267"/>
        <w:jc w:val="both"/>
        <w:rPr>
          <w:b/>
        </w:rPr>
      </w:pPr>
      <w:r>
        <w:t>38.</w:t>
      </w:r>
      <w:r>
        <w:tab/>
      </w:r>
      <w:r w:rsidRPr="002874D0">
        <w:t>The Committee remains concerned (see CCPR/C/TKM/CO/1, para. 17)</w:t>
      </w:r>
      <w:r w:rsidRPr="002874D0">
        <w:rPr>
          <w:b/>
        </w:rPr>
        <w:t xml:space="preserve"> </w:t>
      </w:r>
      <w:r w:rsidRPr="002874D0">
        <w:t xml:space="preserve">that </w:t>
      </w:r>
      <w:r w:rsidRPr="00472B40">
        <w:t xml:space="preserve">the State party’s legal framework, including </w:t>
      </w:r>
      <w:r w:rsidRPr="002874D0">
        <w:t xml:space="preserve">the new </w:t>
      </w:r>
      <w:r>
        <w:t xml:space="preserve">2016 </w:t>
      </w:r>
      <w:r w:rsidRPr="002874D0">
        <w:t>Act on Freedom of Conscience and Religious Associations</w:t>
      </w:r>
      <w:r>
        <w:t>,</w:t>
      </w:r>
      <w:r w:rsidRPr="002874D0">
        <w:t xml:space="preserve"> retains</w:t>
      </w:r>
      <w:r w:rsidRPr="002874D0">
        <w:rPr>
          <w:b/>
        </w:rPr>
        <w:t xml:space="preserve"> </w:t>
      </w:r>
      <w:r w:rsidRPr="002874D0">
        <w:t xml:space="preserve">undue restrictions on freedom of religious belief such as the mandatory registration of religious </w:t>
      </w:r>
      <w:r w:rsidRPr="00DA6048">
        <w:t xml:space="preserve">organizations and </w:t>
      </w:r>
      <w:r>
        <w:t xml:space="preserve">obstacles to registration, and </w:t>
      </w:r>
      <w:r w:rsidRPr="00DA6048">
        <w:t>restrictions</w:t>
      </w:r>
      <w:r w:rsidRPr="002874D0">
        <w:t xml:space="preserve"> on religious education and importation and distribution of religious literature. It is also concerned about the reported denial of registration of religious minority communities, raids and confiscation of religious literature and intimidation</w:t>
      </w:r>
      <w:r>
        <w:t xml:space="preserve">, arrests and imprisonment </w:t>
      </w:r>
      <w:r w:rsidRPr="002874D0">
        <w:t>of members of religious communities, particularly Protestants and Jehovah’s Witnesses. The Committee is also concerned about reports of demolition of  mosques and churches in Ashgabat, including in April 2016 when authorities bulldozed one of the mosques claiming it had been built without permission over 20 years ago (arts. 9, 18 and 26).</w:t>
      </w:r>
      <w:r w:rsidRPr="002874D0">
        <w:rPr>
          <w:b/>
        </w:rPr>
        <w:t xml:space="preserve"> </w:t>
      </w:r>
    </w:p>
    <w:p w:rsidR="00287F1D" w:rsidRPr="00076ACC" w:rsidRDefault="00287F1D" w:rsidP="00287F1D">
      <w:pPr>
        <w:pStyle w:val="SingleTxtG"/>
        <w:rPr>
          <w:b/>
          <w:bCs/>
        </w:rPr>
      </w:pPr>
      <w:r w:rsidRPr="00254070">
        <w:rPr>
          <w:bCs/>
        </w:rPr>
        <w:t>39.</w:t>
      </w:r>
      <w:r w:rsidRPr="00254070">
        <w:rPr>
          <w:bCs/>
        </w:rPr>
        <w:tab/>
      </w:r>
      <w:r w:rsidRPr="00837F75">
        <w:rPr>
          <w:b/>
          <w:bCs/>
        </w:rPr>
        <w:t xml:space="preserve">The State party should guarantee the effective exercise of freedom of religion and belief in practice and refrain from any action that may restrict </w:t>
      </w:r>
      <w:r>
        <w:rPr>
          <w:b/>
          <w:bCs/>
        </w:rPr>
        <w:t xml:space="preserve">it </w:t>
      </w:r>
      <w:r w:rsidRPr="00837F75">
        <w:rPr>
          <w:b/>
          <w:bCs/>
        </w:rPr>
        <w:t>beyond the narrowly construed restrictions permitted under article 18 of the Covenant. It should bring legislation</w:t>
      </w:r>
      <w:r>
        <w:rPr>
          <w:b/>
          <w:bCs/>
        </w:rPr>
        <w:t xml:space="preserve"> and practice </w:t>
      </w:r>
      <w:r w:rsidRPr="00837F75">
        <w:rPr>
          <w:b/>
          <w:bCs/>
        </w:rPr>
        <w:t>into conformity with article 18 of the Covenant</w:t>
      </w:r>
      <w:r>
        <w:rPr>
          <w:b/>
          <w:bCs/>
        </w:rPr>
        <w:t xml:space="preserve"> </w:t>
      </w:r>
      <w:r w:rsidRPr="00837F75">
        <w:rPr>
          <w:b/>
          <w:bCs/>
        </w:rPr>
        <w:t>and investigate all acts of undue interference with the freedom of religion of religious communities, including Jehovah</w:t>
      </w:r>
      <w:r>
        <w:rPr>
          <w:b/>
          <w:bCs/>
        </w:rPr>
        <w:t>’</w:t>
      </w:r>
      <w:r w:rsidRPr="00837F75">
        <w:rPr>
          <w:b/>
          <w:bCs/>
        </w:rPr>
        <w:t>s Witnesse</w:t>
      </w:r>
      <w:r>
        <w:rPr>
          <w:b/>
          <w:bCs/>
        </w:rPr>
        <w:t xml:space="preserve">s, </w:t>
      </w:r>
      <w:r w:rsidRPr="005D6304">
        <w:rPr>
          <w:b/>
          <w:bCs/>
        </w:rPr>
        <w:t>Protestants</w:t>
      </w:r>
      <w:r>
        <w:rPr>
          <w:b/>
          <w:bCs/>
        </w:rPr>
        <w:t xml:space="preserve"> and</w:t>
      </w:r>
      <w:r w:rsidRPr="00837F75">
        <w:rPr>
          <w:b/>
          <w:bCs/>
        </w:rPr>
        <w:t xml:space="preserve"> Muslims.</w:t>
      </w:r>
    </w:p>
    <w:p w:rsidR="00287F1D" w:rsidRPr="00057E23" w:rsidRDefault="00287F1D" w:rsidP="009D124B">
      <w:pPr>
        <w:pStyle w:val="SingleTxtG"/>
      </w:pPr>
      <w:r>
        <w:rPr>
          <w:rFonts w:eastAsia="Calibri"/>
          <w:w w:val="103"/>
        </w:rPr>
        <w:t>40.</w:t>
      </w:r>
      <w:r>
        <w:rPr>
          <w:rFonts w:eastAsia="Calibri"/>
          <w:w w:val="103"/>
        </w:rPr>
        <w:tab/>
      </w:r>
      <w:r w:rsidRPr="006B6FB2">
        <w:rPr>
          <w:rFonts w:eastAsia="Calibri"/>
          <w:w w:val="103"/>
        </w:rPr>
        <w:t xml:space="preserve">With reference to the previous concluding observations (see CCPR/C/TKM/CO/1, para. 16) and </w:t>
      </w:r>
      <w:r>
        <w:rPr>
          <w:rFonts w:eastAsia="Calibri"/>
          <w:w w:val="103"/>
        </w:rPr>
        <w:t>numerous</w:t>
      </w:r>
      <w:r w:rsidRPr="006B6FB2">
        <w:rPr>
          <w:rFonts w:eastAsia="Calibri"/>
          <w:w w:val="103"/>
        </w:rPr>
        <w:t xml:space="preserve"> Views adopted under the Optional Protocol in respect of the State party,</w:t>
      </w:r>
      <w:r w:rsidRPr="00057E23">
        <w:rPr>
          <w:rFonts w:eastAsia="Calibri"/>
          <w:w w:val="103"/>
        </w:rPr>
        <w:t xml:space="preserve"> the Committee remains concerned about the continued failure to recognize the right to conscientious objection to compulsory military service and the repeated prosecution and imprisonment of Jehovah’s Witnesses refusing to perform compulsory military service (art. 18).</w:t>
      </w:r>
      <w:r w:rsidRPr="00057E23">
        <w:t xml:space="preserve"> </w:t>
      </w:r>
    </w:p>
    <w:p w:rsidR="00287F1D" w:rsidRPr="006E1C0E" w:rsidRDefault="00287F1D" w:rsidP="00287F1D">
      <w:pPr>
        <w:pStyle w:val="SingleTxtG"/>
        <w:rPr>
          <w:b/>
          <w:lang w:val="en-US"/>
        </w:rPr>
      </w:pPr>
      <w:r w:rsidRPr="00254070">
        <w:rPr>
          <w:lang w:val="en-US"/>
        </w:rPr>
        <w:t>41.</w:t>
      </w:r>
      <w:r w:rsidRPr="00254070">
        <w:rPr>
          <w:lang w:val="en-US"/>
        </w:rPr>
        <w:tab/>
      </w:r>
      <w:r w:rsidRPr="00057E23">
        <w:rPr>
          <w:b/>
          <w:lang w:val="en-US"/>
        </w:rPr>
        <w:t>The State party should revi</w:t>
      </w:r>
      <w:r>
        <w:rPr>
          <w:b/>
          <w:lang w:val="en-US"/>
        </w:rPr>
        <w:t xml:space="preserve">se </w:t>
      </w:r>
      <w:r w:rsidRPr="00057E23">
        <w:rPr>
          <w:b/>
          <w:lang w:val="en-US"/>
        </w:rPr>
        <w:t>its legislation without undue delay with a view to clearly recognizing the right to conscientious objection to military service, provide for alternative s</w:t>
      </w:r>
      <w:r>
        <w:rPr>
          <w:b/>
          <w:lang w:val="en-US"/>
        </w:rPr>
        <w:t xml:space="preserve">ervice of a civilian nature </w:t>
      </w:r>
      <w:r w:rsidRPr="00057E23">
        <w:rPr>
          <w:b/>
          <w:lang w:val="en-US"/>
        </w:rPr>
        <w:t xml:space="preserve">outside the </w:t>
      </w:r>
      <w:r>
        <w:rPr>
          <w:b/>
          <w:lang w:val="en-US"/>
        </w:rPr>
        <w:t xml:space="preserve">military sphere and not under military command </w:t>
      </w:r>
      <w:r w:rsidRPr="00057E23">
        <w:rPr>
          <w:b/>
          <w:lang w:val="en-US"/>
        </w:rPr>
        <w:t>for conscientious objectors</w:t>
      </w:r>
      <w:r>
        <w:rPr>
          <w:b/>
          <w:lang w:val="en-US"/>
        </w:rPr>
        <w:t>,</w:t>
      </w:r>
      <w:r w:rsidRPr="00057E23">
        <w:rPr>
          <w:b/>
          <w:lang w:val="en-US"/>
        </w:rPr>
        <w:t xml:space="preserve"> and halt all prosecutions of individuals who refuse to perform military service on grounds of conscience and release those who are currently serving prison sentences.</w:t>
      </w:r>
      <w:r>
        <w:rPr>
          <w:b/>
          <w:lang w:val="en-US"/>
        </w:rPr>
        <w:t xml:space="preserve"> </w:t>
      </w:r>
    </w:p>
    <w:p w:rsidR="00287F1D" w:rsidRPr="00804473" w:rsidRDefault="00287F1D" w:rsidP="00287F1D">
      <w:pPr>
        <w:pStyle w:val="H23G"/>
        <w:rPr>
          <w:color w:val="FF0000"/>
          <w:sz w:val="22"/>
        </w:rPr>
      </w:pPr>
      <w:r>
        <w:lastRenderedPageBreak/>
        <w:tab/>
      </w:r>
      <w:r>
        <w:tab/>
      </w:r>
      <w:r w:rsidRPr="00804473">
        <w:t>Freedom of expression</w:t>
      </w:r>
    </w:p>
    <w:p w:rsidR="00287F1D" w:rsidRPr="00420EF6"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Calibri"/>
          <w:spacing w:val="4"/>
          <w:w w:val="103"/>
          <w:kern w:val="14"/>
        </w:rPr>
      </w:pPr>
      <w:r>
        <w:rPr>
          <w:rFonts w:eastAsia="Calibri"/>
          <w:spacing w:val="4"/>
          <w:w w:val="103"/>
          <w:kern w:val="14"/>
        </w:rPr>
        <w:t>42.</w:t>
      </w:r>
      <w:r>
        <w:rPr>
          <w:rFonts w:eastAsia="Calibri"/>
          <w:spacing w:val="4"/>
          <w:w w:val="103"/>
          <w:kern w:val="14"/>
        </w:rPr>
        <w:tab/>
      </w:r>
      <w:r w:rsidRPr="00420EF6">
        <w:rPr>
          <w:rFonts w:eastAsia="Calibri"/>
          <w:spacing w:val="4"/>
          <w:w w:val="103"/>
          <w:kern w:val="14"/>
        </w:rPr>
        <w:t xml:space="preserve">The Committee remains concerned </w:t>
      </w:r>
      <w:r w:rsidRPr="00057E23">
        <w:rPr>
          <w:rFonts w:eastAsia="Calibri"/>
          <w:spacing w:val="4"/>
          <w:w w:val="103"/>
          <w:kern w:val="14"/>
        </w:rPr>
        <w:t>(see CCPR/C/TKM/CO/1, para. 16)</w:t>
      </w:r>
      <w:r>
        <w:rPr>
          <w:rFonts w:eastAsia="Calibri"/>
          <w:spacing w:val="4"/>
          <w:w w:val="103"/>
          <w:kern w:val="14"/>
        </w:rPr>
        <w:t xml:space="preserve"> </w:t>
      </w:r>
      <w:r w:rsidRPr="00420EF6">
        <w:rPr>
          <w:rFonts w:eastAsia="Calibri"/>
          <w:spacing w:val="4"/>
          <w:w w:val="103"/>
          <w:kern w:val="14"/>
        </w:rPr>
        <w:t>about laws and practices severely restricting freedom of opinion and expression, including:</w:t>
      </w:r>
    </w:p>
    <w:p w:rsidR="00287F1D" w:rsidRPr="00420EF6" w:rsidRDefault="00287F1D" w:rsidP="00287F1D">
      <w:pPr>
        <w:pStyle w:val="SingleTxtG"/>
        <w:rPr>
          <w:rFonts w:eastAsia="Calibri"/>
          <w:w w:val="103"/>
        </w:rPr>
      </w:pPr>
      <w:r>
        <w:rPr>
          <w:rFonts w:eastAsia="Calibri"/>
          <w:w w:val="103"/>
        </w:rPr>
        <w:tab/>
      </w:r>
      <w:r w:rsidRPr="00420EF6">
        <w:rPr>
          <w:rFonts w:eastAsia="Calibri"/>
          <w:w w:val="103"/>
        </w:rPr>
        <w:t>(a)</w:t>
      </w:r>
      <w:r w:rsidRPr="00420EF6">
        <w:rPr>
          <w:rFonts w:eastAsia="Calibri"/>
          <w:w w:val="103"/>
        </w:rPr>
        <w:tab/>
        <w:t>Absence of a genuine independent media despite the adoption of the Media Act 2012;</w:t>
      </w:r>
    </w:p>
    <w:p w:rsidR="00287F1D" w:rsidRPr="00420EF6" w:rsidRDefault="00287F1D" w:rsidP="00287F1D">
      <w:pPr>
        <w:pStyle w:val="SingleTxtG"/>
        <w:rPr>
          <w:rFonts w:eastAsia="Calibri"/>
          <w:w w:val="103"/>
        </w:rPr>
      </w:pPr>
      <w:r>
        <w:rPr>
          <w:rFonts w:eastAsia="Calibri"/>
          <w:w w:val="103"/>
        </w:rPr>
        <w:tab/>
      </w:r>
      <w:r w:rsidRPr="00420EF6">
        <w:rPr>
          <w:rFonts w:eastAsia="Calibri"/>
          <w:w w:val="103"/>
        </w:rPr>
        <w:t>(b)</w:t>
      </w:r>
      <w:r w:rsidRPr="00420EF6">
        <w:rPr>
          <w:rFonts w:eastAsia="Calibri"/>
          <w:w w:val="103"/>
        </w:rPr>
        <w:tab/>
      </w:r>
      <w:r w:rsidRPr="0029092B">
        <w:rPr>
          <w:rFonts w:eastAsia="Calibri"/>
          <w:w w:val="103"/>
        </w:rPr>
        <w:t>Undue restrictions on access to Internet and disproportionate limitations on online content for vaguely and broadly defined activities provided for in the Internet Development and Internet Service Legal Regulations Act 2014;</w:t>
      </w:r>
    </w:p>
    <w:p w:rsidR="00287F1D" w:rsidRPr="00420EF6" w:rsidRDefault="00287F1D" w:rsidP="00287F1D">
      <w:pPr>
        <w:pStyle w:val="SingleTxtG"/>
        <w:rPr>
          <w:rFonts w:eastAsia="Calibri"/>
          <w:w w:val="103"/>
        </w:rPr>
      </w:pPr>
      <w:r>
        <w:rPr>
          <w:rFonts w:eastAsia="Calibri"/>
          <w:w w:val="103"/>
        </w:rPr>
        <w:tab/>
      </w:r>
      <w:r w:rsidRPr="00420EF6">
        <w:rPr>
          <w:rFonts w:eastAsia="Calibri"/>
          <w:w w:val="103"/>
        </w:rPr>
        <w:t>(c)</w:t>
      </w:r>
      <w:r w:rsidRPr="00420EF6">
        <w:rPr>
          <w:rFonts w:eastAsia="Calibri"/>
          <w:w w:val="103"/>
        </w:rPr>
        <w:tab/>
        <w:t>Forcible dismantling of private satellite dishes from buildings and houses in the capital</w:t>
      </w:r>
      <w:r>
        <w:rPr>
          <w:rFonts w:eastAsia="Calibri"/>
          <w:w w:val="103"/>
        </w:rPr>
        <w:t>,</w:t>
      </w:r>
      <w:r w:rsidRPr="00420EF6">
        <w:rPr>
          <w:rFonts w:eastAsia="Calibri"/>
          <w:w w:val="103"/>
        </w:rPr>
        <w:t xml:space="preserve"> reportedly </w:t>
      </w:r>
      <w:r>
        <w:rPr>
          <w:rFonts w:eastAsia="Calibri"/>
          <w:w w:val="103"/>
        </w:rPr>
        <w:t>preventing</w:t>
      </w:r>
      <w:r w:rsidRPr="00420EF6">
        <w:rPr>
          <w:rFonts w:eastAsia="Calibri"/>
          <w:w w:val="103"/>
        </w:rPr>
        <w:t xml:space="preserve"> </w:t>
      </w:r>
      <w:r>
        <w:rPr>
          <w:rFonts w:eastAsia="Calibri"/>
          <w:w w:val="103"/>
        </w:rPr>
        <w:t xml:space="preserve">thereby </w:t>
      </w:r>
      <w:r w:rsidRPr="00420EF6">
        <w:rPr>
          <w:rFonts w:eastAsia="Calibri"/>
          <w:w w:val="103"/>
        </w:rPr>
        <w:t>access to information from foreign sources;</w:t>
      </w:r>
    </w:p>
    <w:p w:rsidR="00287F1D" w:rsidRPr="00420EF6" w:rsidRDefault="00287F1D" w:rsidP="00287F1D">
      <w:pPr>
        <w:pStyle w:val="SingleTxtG"/>
        <w:rPr>
          <w:rFonts w:eastAsia="Calibri"/>
          <w:w w:val="103"/>
        </w:rPr>
      </w:pPr>
      <w:r>
        <w:rPr>
          <w:rFonts w:eastAsia="Calibri"/>
          <w:w w:val="103"/>
        </w:rPr>
        <w:tab/>
      </w:r>
      <w:r w:rsidRPr="00420EF6">
        <w:rPr>
          <w:rFonts w:eastAsia="Calibri"/>
          <w:w w:val="103"/>
        </w:rPr>
        <w:t>(d)</w:t>
      </w:r>
      <w:r w:rsidRPr="00420EF6">
        <w:rPr>
          <w:rFonts w:eastAsia="Calibri"/>
          <w:w w:val="103"/>
        </w:rPr>
        <w:tab/>
        <w:t xml:space="preserve">Continuous use of harassment, intimidation, </w:t>
      </w:r>
      <w:r>
        <w:rPr>
          <w:rFonts w:eastAsia="Calibri"/>
          <w:w w:val="103"/>
        </w:rPr>
        <w:t xml:space="preserve">torture and </w:t>
      </w:r>
      <w:r w:rsidRPr="00420EF6">
        <w:rPr>
          <w:rFonts w:eastAsia="Calibri"/>
          <w:w w:val="103"/>
        </w:rPr>
        <w:t>arbitrary arrests</w:t>
      </w:r>
      <w:r>
        <w:rPr>
          <w:rFonts w:eastAsia="Calibri"/>
          <w:w w:val="103"/>
        </w:rPr>
        <w:t>,</w:t>
      </w:r>
      <w:r w:rsidRPr="00420EF6">
        <w:rPr>
          <w:rFonts w:eastAsia="Calibri"/>
          <w:w w:val="103"/>
        </w:rPr>
        <w:t xml:space="preserve"> detention and convictions on reportedly politically motivated charges as a retaliation tool against journalists, human rights activists, dissiden</w:t>
      </w:r>
      <w:r>
        <w:rPr>
          <w:rFonts w:eastAsia="Calibri"/>
          <w:w w:val="103"/>
        </w:rPr>
        <w:t>ts, members of religious groups and</w:t>
      </w:r>
      <w:r w:rsidRPr="00420EF6">
        <w:rPr>
          <w:rFonts w:eastAsia="Calibri"/>
          <w:w w:val="103"/>
        </w:rPr>
        <w:t xml:space="preserve"> ethnic minorities</w:t>
      </w:r>
      <w:r>
        <w:rPr>
          <w:rFonts w:eastAsia="Calibri"/>
          <w:w w:val="103"/>
        </w:rPr>
        <w:t xml:space="preserve">, </w:t>
      </w:r>
      <w:r w:rsidRPr="000A5D73">
        <w:rPr>
          <w:rFonts w:eastAsia="Calibri"/>
          <w:w w:val="103"/>
        </w:rPr>
        <w:t>and members of non-governmental organizations interacting with foreigners</w:t>
      </w:r>
      <w:r w:rsidRPr="00420EF6">
        <w:rPr>
          <w:rFonts w:eastAsia="Calibri"/>
          <w:w w:val="103"/>
        </w:rPr>
        <w:t xml:space="preserve">, such as the political dissident </w:t>
      </w:r>
      <w:proofErr w:type="spellStart"/>
      <w:r w:rsidRPr="00420EF6">
        <w:rPr>
          <w:rFonts w:eastAsia="Calibri"/>
          <w:w w:val="103"/>
        </w:rPr>
        <w:t>Gulgeldy</w:t>
      </w:r>
      <w:proofErr w:type="spellEnd"/>
      <w:r w:rsidRPr="00420EF6">
        <w:rPr>
          <w:rFonts w:eastAsia="Calibri"/>
          <w:w w:val="103"/>
        </w:rPr>
        <w:t xml:space="preserve"> </w:t>
      </w:r>
      <w:proofErr w:type="spellStart"/>
      <w:r w:rsidRPr="00420EF6">
        <w:rPr>
          <w:rFonts w:eastAsia="Calibri"/>
          <w:w w:val="103"/>
        </w:rPr>
        <w:t>Annaniazov</w:t>
      </w:r>
      <w:proofErr w:type="spellEnd"/>
      <w:r w:rsidRPr="00420EF6">
        <w:rPr>
          <w:rFonts w:eastAsia="Calibri"/>
          <w:w w:val="103"/>
        </w:rPr>
        <w:t xml:space="preserve"> and freelance journalist </w:t>
      </w:r>
      <w:proofErr w:type="spellStart"/>
      <w:r w:rsidRPr="00420EF6">
        <w:rPr>
          <w:rFonts w:eastAsia="Calibri"/>
          <w:w w:val="103"/>
        </w:rPr>
        <w:t>Saparma</w:t>
      </w:r>
      <w:r>
        <w:rPr>
          <w:rFonts w:eastAsia="Calibri"/>
          <w:w w:val="103"/>
        </w:rPr>
        <w:t>me</w:t>
      </w:r>
      <w:r w:rsidRPr="00420EF6">
        <w:rPr>
          <w:rFonts w:eastAsia="Calibri"/>
          <w:w w:val="103"/>
        </w:rPr>
        <w:t>d</w:t>
      </w:r>
      <w:proofErr w:type="spellEnd"/>
      <w:r w:rsidRPr="00420EF6">
        <w:rPr>
          <w:rFonts w:eastAsia="Calibri"/>
          <w:w w:val="103"/>
        </w:rPr>
        <w:t xml:space="preserve"> </w:t>
      </w:r>
      <w:proofErr w:type="spellStart"/>
      <w:r w:rsidRPr="00420EF6">
        <w:rPr>
          <w:rFonts w:eastAsia="Calibri"/>
          <w:w w:val="103"/>
        </w:rPr>
        <w:t>Nepeskuliev</w:t>
      </w:r>
      <w:proofErr w:type="spellEnd"/>
      <w:r>
        <w:rPr>
          <w:rFonts w:eastAsia="Calibri"/>
          <w:w w:val="103"/>
        </w:rPr>
        <w:t xml:space="preserve">, and those seeking to document </w:t>
      </w:r>
      <w:r w:rsidRPr="00CA11D2">
        <w:rPr>
          <w:rFonts w:eastAsia="Calibri"/>
          <w:w w:val="103"/>
        </w:rPr>
        <w:t>forced labour in the cotton harvest</w:t>
      </w:r>
      <w:r>
        <w:rPr>
          <w:rFonts w:eastAsia="Calibri"/>
          <w:w w:val="103"/>
        </w:rPr>
        <w:t xml:space="preserve"> </w:t>
      </w:r>
      <w:r w:rsidRPr="00CA11D2">
        <w:rPr>
          <w:rFonts w:eastAsia="Calibri"/>
          <w:w w:val="103"/>
        </w:rPr>
        <w:t xml:space="preserve">such as Gaspar </w:t>
      </w:r>
      <w:proofErr w:type="spellStart"/>
      <w:r w:rsidRPr="00CA11D2">
        <w:rPr>
          <w:rFonts w:eastAsia="Calibri"/>
          <w:w w:val="103"/>
        </w:rPr>
        <w:t>Ma</w:t>
      </w:r>
      <w:r w:rsidR="00CF0B9B">
        <w:rPr>
          <w:rFonts w:eastAsia="Calibri"/>
          <w:w w:val="103"/>
        </w:rPr>
        <w:t>t</w:t>
      </w:r>
      <w:r w:rsidRPr="00CA11D2">
        <w:rPr>
          <w:rFonts w:eastAsia="Calibri"/>
          <w:w w:val="103"/>
        </w:rPr>
        <w:t>alaev</w:t>
      </w:r>
      <w:proofErr w:type="spellEnd"/>
      <w:r>
        <w:rPr>
          <w:rFonts w:eastAsia="Calibri"/>
          <w:w w:val="103"/>
        </w:rPr>
        <w:t xml:space="preserve"> (</w:t>
      </w:r>
      <w:r w:rsidRPr="00420EF6">
        <w:rPr>
          <w:rFonts w:eastAsia="Calibri"/>
          <w:w w:val="103"/>
        </w:rPr>
        <w:t xml:space="preserve">arts. 7, 9, 10, 14 and 19). </w:t>
      </w:r>
    </w:p>
    <w:p w:rsidR="00287F1D"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Calibri"/>
          <w:b/>
          <w:spacing w:val="4"/>
          <w:w w:val="103"/>
          <w:kern w:val="14"/>
        </w:rPr>
      </w:pPr>
      <w:r w:rsidRPr="00254070">
        <w:rPr>
          <w:rFonts w:eastAsia="Calibri"/>
          <w:spacing w:val="4"/>
          <w:w w:val="103"/>
          <w:kern w:val="14"/>
        </w:rPr>
        <w:t>43.</w:t>
      </w:r>
      <w:r w:rsidRPr="00254070">
        <w:rPr>
          <w:rFonts w:eastAsia="Calibri"/>
          <w:spacing w:val="4"/>
          <w:w w:val="103"/>
          <w:kern w:val="14"/>
        </w:rPr>
        <w:tab/>
      </w:r>
      <w:r w:rsidRPr="00420EF6">
        <w:rPr>
          <w:rFonts w:eastAsia="Calibri"/>
          <w:b/>
          <w:spacing w:val="4"/>
          <w:w w:val="103"/>
          <w:kern w:val="14"/>
        </w:rPr>
        <w:t>The State party should revise its laws and practice with a view to guaranteeing the full enjoyment of freedom of expression by everyone in practice, including by ensuring:</w:t>
      </w:r>
    </w:p>
    <w:p w:rsidR="00287F1D" w:rsidRPr="00287F1D" w:rsidRDefault="00287F1D" w:rsidP="00287F1D">
      <w:pPr>
        <w:pStyle w:val="SingleTxtG"/>
        <w:rPr>
          <w:rFonts w:eastAsia="Calibri"/>
          <w:b/>
          <w:w w:val="103"/>
        </w:rPr>
      </w:pPr>
      <w:r w:rsidRPr="00287F1D">
        <w:rPr>
          <w:rFonts w:eastAsia="Calibri"/>
          <w:b/>
          <w:w w:val="103"/>
        </w:rPr>
        <w:tab/>
        <w:t>(a)</w:t>
      </w:r>
      <w:r w:rsidRPr="00287F1D">
        <w:rPr>
          <w:rFonts w:eastAsia="Calibri"/>
          <w:b/>
          <w:w w:val="103"/>
        </w:rPr>
        <w:tab/>
        <w:t>The development of a truly independent media, including an enabling environment for their establi</w:t>
      </w:r>
      <w:bookmarkStart w:id="0" w:name="_GoBack"/>
      <w:bookmarkEnd w:id="0"/>
      <w:r w:rsidRPr="00287F1D">
        <w:rPr>
          <w:rFonts w:eastAsia="Calibri"/>
          <w:b/>
          <w:w w:val="103"/>
        </w:rPr>
        <w:t>shment and operation free from undue influence or interference;</w:t>
      </w:r>
    </w:p>
    <w:p w:rsidR="00287F1D" w:rsidRPr="00287F1D" w:rsidRDefault="00287F1D" w:rsidP="00287F1D">
      <w:pPr>
        <w:pStyle w:val="SingleTxtG"/>
        <w:rPr>
          <w:rFonts w:eastAsia="Calibri"/>
          <w:b/>
          <w:w w:val="103"/>
        </w:rPr>
      </w:pPr>
      <w:r>
        <w:rPr>
          <w:rFonts w:eastAsia="Calibri"/>
          <w:b/>
          <w:w w:val="103"/>
        </w:rPr>
        <w:tab/>
      </w:r>
      <w:r w:rsidRPr="00287F1D">
        <w:rPr>
          <w:rFonts w:eastAsia="Calibri"/>
          <w:b/>
          <w:w w:val="103"/>
        </w:rPr>
        <w:t>(b)</w:t>
      </w:r>
      <w:r w:rsidRPr="00287F1D">
        <w:rPr>
          <w:rFonts w:eastAsia="Calibri"/>
          <w:b/>
          <w:w w:val="103"/>
        </w:rPr>
        <w:tab/>
        <w:t>The effective protection of the above-mentioned categories of persons against repression and ill-treatment and refraining from using administrative and criminal provisions and other regulations as tools to curtail freedom of expression and other protected conduct;</w:t>
      </w:r>
    </w:p>
    <w:p w:rsidR="00287F1D" w:rsidRPr="00287F1D" w:rsidRDefault="00287F1D" w:rsidP="00287F1D">
      <w:pPr>
        <w:pStyle w:val="SingleTxtG"/>
        <w:rPr>
          <w:rFonts w:eastAsia="Calibri"/>
          <w:b/>
          <w:w w:val="103"/>
        </w:rPr>
      </w:pPr>
      <w:r>
        <w:rPr>
          <w:rFonts w:eastAsia="Calibri"/>
          <w:b/>
          <w:w w:val="103"/>
        </w:rPr>
        <w:tab/>
      </w:r>
      <w:r w:rsidRPr="00287F1D">
        <w:rPr>
          <w:rFonts w:eastAsia="Calibri"/>
          <w:b/>
          <w:w w:val="103"/>
        </w:rPr>
        <w:t>(c)</w:t>
      </w:r>
      <w:r w:rsidRPr="00287F1D">
        <w:rPr>
          <w:rFonts w:eastAsia="Calibri"/>
          <w:b/>
          <w:w w:val="103"/>
        </w:rPr>
        <w:tab/>
        <w:t>That any restrictions on the exercise of freedom of expression comply with the strict requirements of article 19 (3) of the Covenant as interpreted in the Committee’s general comment No. 34 (2011) on the freedoms of opinion and expression;</w:t>
      </w:r>
    </w:p>
    <w:p w:rsidR="00287F1D" w:rsidRPr="00287F1D" w:rsidRDefault="00287F1D" w:rsidP="00287F1D">
      <w:pPr>
        <w:pStyle w:val="SingleTxtG"/>
        <w:rPr>
          <w:rFonts w:eastAsia="Calibri"/>
          <w:b/>
          <w:w w:val="103"/>
        </w:rPr>
      </w:pPr>
      <w:r>
        <w:rPr>
          <w:rFonts w:eastAsia="Calibri"/>
          <w:b/>
          <w:w w:val="103"/>
        </w:rPr>
        <w:tab/>
      </w:r>
      <w:r w:rsidRPr="00287F1D">
        <w:rPr>
          <w:rFonts w:eastAsia="Calibri"/>
          <w:b/>
          <w:w w:val="103"/>
        </w:rPr>
        <w:t>(d)</w:t>
      </w:r>
      <w:r w:rsidRPr="00287F1D">
        <w:rPr>
          <w:rFonts w:eastAsia="Calibri"/>
          <w:b/>
          <w:w w:val="103"/>
        </w:rPr>
        <w:tab/>
        <w:t>That such acts are thoroughly and independently investigated, prosecuted and sanctioned, and that victims are provided with effective remedies.</w:t>
      </w:r>
    </w:p>
    <w:p w:rsidR="00287F1D" w:rsidRPr="004E1BA6" w:rsidRDefault="00287F1D" w:rsidP="00287F1D">
      <w:pPr>
        <w:pStyle w:val="H23G"/>
        <w:rPr>
          <w:rFonts w:eastAsia="Calibri"/>
          <w:spacing w:val="4"/>
          <w:w w:val="103"/>
          <w:kern w:val="14"/>
          <w:sz w:val="22"/>
        </w:rPr>
      </w:pPr>
      <w:r>
        <w:tab/>
      </w:r>
      <w:r>
        <w:tab/>
      </w:r>
      <w:r w:rsidRPr="00804473">
        <w:t xml:space="preserve">Peaceful </w:t>
      </w:r>
      <w:r w:rsidRPr="004E1BA6">
        <w:t>assembly</w:t>
      </w:r>
    </w:p>
    <w:p w:rsidR="00287F1D" w:rsidRPr="00D10354"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Calibri"/>
          <w:spacing w:val="4"/>
          <w:w w:val="103"/>
          <w:kern w:val="14"/>
        </w:rPr>
      </w:pPr>
      <w:r>
        <w:rPr>
          <w:rFonts w:eastAsia="Calibri"/>
          <w:spacing w:val="4"/>
          <w:w w:val="103"/>
          <w:kern w:val="14"/>
        </w:rPr>
        <w:t>44.</w:t>
      </w:r>
      <w:r>
        <w:rPr>
          <w:rFonts w:eastAsia="Calibri"/>
          <w:spacing w:val="4"/>
          <w:w w:val="103"/>
          <w:kern w:val="14"/>
        </w:rPr>
        <w:tab/>
      </w:r>
      <w:r w:rsidRPr="00D10354">
        <w:rPr>
          <w:rFonts w:eastAsia="Calibri"/>
          <w:spacing w:val="4"/>
          <w:w w:val="103"/>
          <w:kern w:val="14"/>
        </w:rPr>
        <w:t xml:space="preserve">The Committee is concerned </w:t>
      </w:r>
      <w:r>
        <w:rPr>
          <w:rFonts w:eastAsia="Calibri"/>
          <w:spacing w:val="4"/>
          <w:w w:val="103"/>
          <w:kern w:val="14"/>
        </w:rPr>
        <w:t xml:space="preserve">of reports </w:t>
      </w:r>
      <w:r w:rsidRPr="00D10354">
        <w:rPr>
          <w:rFonts w:eastAsia="Calibri"/>
          <w:spacing w:val="4"/>
          <w:w w:val="103"/>
          <w:kern w:val="14"/>
        </w:rPr>
        <w:t xml:space="preserve">that assemblies are rare due to fear of reprisals for expression of any dissenting views and that </w:t>
      </w:r>
      <w:r>
        <w:rPr>
          <w:rFonts w:eastAsia="Calibri"/>
          <w:spacing w:val="4"/>
          <w:w w:val="103"/>
          <w:kern w:val="14"/>
        </w:rPr>
        <w:t>insufficient</w:t>
      </w:r>
      <w:r w:rsidRPr="00D10354">
        <w:rPr>
          <w:rFonts w:eastAsia="Calibri"/>
          <w:spacing w:val="4"/>
          <w:w w:val="103"/>
          <w:kern w:val="14"/>
        </w:rPr>
        <w:t xml:space="preserve"> venues </w:t>
      </w:r>
      <w:r>
        <w:rPr>
          <w:rFonts w:eastAsia="Calibri"/>
          <w:spacing w:val="4"/>
          <w:w w:val="103"/>
          <w:kern w:val="14"/>
        </w:rPr>
        <w:t xml:space="preserve">are </w:t>
      </w:r>
      <w:r w:rsidRPr="00D10354">
        <w:rPr>
          <w:rFonts w:eastAsia="Calibri"/>
          <w:spacing w:val="4"/>
          <w:w w:val="103"/>
          <w:kern w:val="14"/>
        </w:rPr>
        <w:t xml:space="preserve">designated for holding authorized assemblies. It is also concerned about reports of forcible mass mobilization of the population for participation in various mass events organized by authorities (arts. 19 and 21). </w:t>
      </w:r>
    </w:p>
    <w:p w:rsidR="00287F1D" w:rsidRPr="00312EB7"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Style w:val="SingleTxtGChar"/>
          <w:rFonts w:eastAsia="Calibri"/>
          <w:b/>
        </w:rPr>
      </w:pPr>
      <w:r w:rsidRPr="00254070">
        <w:rPr>
          <w:rFonts w:eastAsia="Calibri"/>
          <w:spacing w:val="4"/>
          <w:w w:val="103"/>
          <w:kern w:val="14"/>
        </w:rPr>
        <w:t>45.</w:t>
      </w:r>
      <w:r w:rsidRPr="00254070">
        <w:rPr>
          <w:rFonts w:eastAsia="Calibri"/>
          <w:spacing w:val="4"/>
          <w:w w:val="103"/>
          <w:kern w:val="14"/>
        </w:rPr>
        <w:tab/>
      </w:r>
      <w:r w:rsidRPr="00312EB7">
        <w:rPr>
          <w:rStyle w:val="SingleTxtGChar"/>
          <w:rFonts w:eastAsia="Calibri"/>
          <w:b/>
        </w:rPr>
        <w:t>The State party should revise its laws, regulations and practices, including The Organization and Conduct of Gatherings, Meetings, Demonstrations and Other Mass Events Act of 2015, with a view to guaranteeing the full enjoyment of the right to freedom of assembly both in law and practice and to ensuring that any restrictions on freedom of assembly comply with the strict requirements of article 21 of the Covenant. It should also ensure that participation in mass events is voluntary and refrain from any reprisals for non-participation.</w:t>
      </w:r>
    </w:p>
    <w:p w:rsidR="00287F1D" w:rsidRPr="00804473" w:rsidRDefault="00287F1D" w:rsidP="00287F1D">
      <w:pPr>
        <w:pStyle w:val="H23G"/>
        <w:rPr>
          <w:rFonts w:eastAsia="Calibri"/>
        </w:rPr>
      </w:pPr>
      <w:r>
        <w:lastRenderedPageBreak/>
        <w:tab/>
      </w:r>
      <w:r>
        <w:tab/>
      </w:r>
      <w:r w:rsidRPr="00804473">
        <w:t>Freedom of association and participation in public life</w:t>
      </w:r>
      <w:r w:rsidRPr="00804473">
        <w:rPr>
          <w:rFonts w:eastAsia="Calibri"/>
        </w:rPr>
        <w:t xml:space="preserve"> </w:t>
      </w:r>
    </w:p>
    <w:p w:rsidR="00287F1D" w:rsidRPr="004A043D"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Calibri"/>
          <w:spacing w:val="4"/>
          <w:w w:val="103"/>
          <w:kern w:val="14"/>
        </w:rPr>
      </w:pPr>
      <w:r>
        <w:rPr>
          <w:rFonts w:eastAsia="Calibri"/>
          <w:spacing w:val="4"/>
          <w:w w:val="103"/>
          <w:kern w:val="14"/>
        </w:rPr>
        <w:t>46.</w:t>
      </w:r>
      <w:r>
        <w:rPr>
          <w:rFonts w:eastAsia="Calibri"/>
          <w:spacing w:val="4"/>
          <w:w w:val="103"/>
          <w:kern w:val="14"/>
        </w:rPr>
        <w:tab/>
      </w:r>
      <w:r w:rsidRPr="004A043D">
        <w:rPr>
          <w:rFonts w:eastAsia="Calibri"/>
          <w:spacing w:val="4"/>
          <w:w w:val="103"/>
          <w:kern w:val="14"/>
        </w:rPr>
        <w:t xml:space="preserve">The Committee is concerned about the restrictions on freedom of association, including under the Voluntary Association Act 2014, such as the compulsory registration of associations, provisions allowing wide monitoring powers of authorities over the activities and finances of associations and the broad legal grounds for closing them down by court order. It is also concerned about the </w:t>
      </w:r>
      <w:r>
        <w:rPr>
          <w:rFonts w:eastAsia="Calibri"/>
          <w:spacing w:val="4"/>
          <w:w w:val="103"/>
          <w:kern w:val="14"/>
        </w:rPr>
        <w:t xml:space="preserve">very limited number </w:t>
      </w:r>
      <w:r w:rsidRPr="004A043D">
        <w:rPr>
          <w:rFonts w:eastAsia="Calibri"/>
          <w:spacing w:val="4"/>
          <w:w w:val="103"/>
          <w:kern w:val="14"/>
        </w:rPr>
        <w:t xml:space="preserve">of registered non-governmental organizations working on human rights issues (art. 22).  </w:t>
      </w:r>
    </w:p>
    <w:p w:rsidR="00287F1D" w:rsidRPr="004A043D"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Calibri"/>
          <w:b/>
          <w:spacing w:val="4"/>
          <w:w w:val="103"/>
          <w:kern w:val="14"/>
        </w:rPr>
      </w:pPr>
      <w:r w:rsidRPr="00254070">
        <w:rPr>
          <w:rFonts w:eastAsia="Calibri"/>
          <w:spacing w:val="4"/>
          <w:w w:val="103"/>
          <w:kern w:val="14"/>
        </w:rPr>
        <w:t>47.</w:t>
      </w:r>
      <w:r>
        <w:rPr>
          <w:rFonts w:eastAsia="Calibri"/>
          <w:b/>
          <w:spacing w:val="4"/>
          <w:w w:val="103"/>
          <w:kern w:val="14"/>
        </w:rPr>
        <w:tab/>
      </w:r>
      <w:r w:rsidRPr="004A043D">
        <w:rPr>
          <w:rFonts w:eastAsia="Calibri"/>
          <w:b/>
          <w:spacing w:val="4"/>
          <w:w w:val="103"/>
          <w:kern w:val="14"/>
        </w:rPr>
        <w:t xml:space="preserve">The State party should revise relevant laws, regulations and practices with a view to bringing them into full compliance with the provisions of articles 19 and 22 of the Covenant. </w:t>
      </w:r>
    </w:p>
    <w:p w:rsidR="00287F1D" w:rsidRPr="004A043D"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Calibri"/>
          <w:spacing w:val="4"/>
          <w:w w:val="103"/>
          <w:kern w:val="14"/>
        </w:rPr>
      </w:pPr>
      <w:r>
        <w:rPr>
          <w:rFonts w:eastAsia="Calibri"/>
          <w:spacing w:val="4"/>
          <w:w w:val="103"/>
          <w:kern w:val="14"/>
        </w:rPr>
        <w:t>48.</w:t>
      </w:r>
      <w:r>
        <w:rPr>
          <w:rFonts w:eastAsia="Calibri"/>
          <w:spacing w:val="4"/>
          <w:w w:val="103"/>
          <w:kern w:val="14"/>
        </w:rPr>
        <w:tab/>
      </w:r>
      <w:r w:rsidRPr="00EE30AD">
        <w:rPr>
          <w:rFonts w:eastAsia="Calibri"/>
          <w:spacing w:val="4"/>
          <w:w w:val="103"/>
          <w:kern w:val="14"/>
        </w:rPr>
        <w:t xml:space="preserve">While welcoming the legislative framework providing for </w:t>
      </w:r>
      <w:r>
        <w:rPr>
          <w:rFonts w:eastAsia="Calibri"/>
          <w:spacing w:val="4"/>
          <w:w w:val="103"/>
          <w:kern w:val="14"/>
        </w:rPr>
        <w:t xml:space="preserve">a </w:t>
      </w:r>
      <w:r w:rsidRPr="00EE30AD">
        <w:rPr>
          <w:rFonts w:eastAsia="Calibri"/>
          <w:spacing w:val="4"/>
          <w:w w:val="103"/>
          <w:kern w:val="14"/>
        </w:rPr>
        <w:t>multi-party system,</w:t>
      </w:r>
      <w:r w:rsidRPr="004A043D">
        <w:rPr>
          <w:rFonts w:eastAsia="Calibri"/>
          <w:spacing w:val="4"/>
          <w:w w:val="103"/>
          <w:kern w:val="14"/>
        </w:rPr>
        <w:t xml:space="preserve"> the Committee is concerned about </w:t>
      </w:r>
      <w:r w:rsidR="0093281F">
        <w:rPr>
          <w:rFonts w:eastAsia="Calibri"/>
          <w:spacing w:val="4"/>
          <w:w w:val="103"/>
          <w:kern w:val="14"/>
        </w:rPr>
        <w:t>excessive</w:t>
      </w:r>
      <w:r w:rsidRPr="004A043D">
        <w:rPr>
          <w:rFonts w:eastAsia="Calibri"/>
          <w:spacing w:val="4"/>
          <w:w w:val="103"/>
          <w:kern w:val="14"/>
        </w:rPr>
        <w:t xml:space="preserve"> restrictions on the establishment and functioning of political parties, as well as provisions permitting representatives of the Central Election Committee and of the Ministry of Justice to monitor meetings of political parties (arts. 19, 22 and 25). </w:t>
      </w:r>
    </w:p>
    <w:p w:rsidR="00287F1D" w:rsidRPr="004A043D"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Fonts w:eastAsia="Calibri"/>
          <w:b/>
          <w:spacing w:val="4"/>
          <w:w w:val="103"/>
          <w:kern w:val="14"/>
        </w:rPr>
      </w:pPr>
      <w:r w:rsidRPr="004653D2">
        <w:rPr>
          <w:rFonts w:eastAsia="Calibri"/>
          <w:spacing w:val="4"/>
          <w:w w:val="103"/>
          <w:kern w:val="14"/>
        </w:rPr>
        <w:t>49.</w:t>
      </w:r>
      <w:r w:rsidRPr="004653D2">
        <w:rPr>
          <w:rFonts w:eastAsia="Calibri"/>
          <w:spacing w:val="4"/>
          <w:w w:val="103"/>
          <w:kern w:val="14"/>
        </w:rPr>
        <w:tab/>
      </w:r>
      <w:r w:rsidRPr="004A043D">
        <w:rPr>
          <w:rFonts w:eastAsia="Calibri"/>
          <w:b/>
          <w:spacing w:val="4"/>
          <w:w w:val="103"/>
          <w:kern w:val="14"/>
        </w:rPr>
        <w:t xml:space="preserve">The State party should take all measures necessary to guarantee the proper functioning of political parties free from unnecessary interference and ensure that any limitations on the establishment of a political party are construed narrowly and that the principles of legality, necessity and proportionality are strictly adhered to. It should, to this end, bring its regulations and practice governing the establishment, registration and functioning of political parties into full compliance with articles 19, 22 and 25 of the Covenant and relevant international standards. </w:t>
      </w:r>
    </w:p>
    <w:p w:rsidR="00287F1D" w:rsidRPr="00804473" w:rsidRDefault="00287F1D" w:rsidP="00287F1D">
      <w:pPr>
        <w:pStyle w:val="H23G"/>
      </w:pPr>
      <w:r>
        <w:tab/>
      </w:r>
      <w:r>
        <w:tab/>
      </w:r>
      <w:r w:rsidRPr="00804473">
        <w:t>Prisoners’ right to vote</w:t>
      </w:r>
    </w:p>
    <w:p w:rsidR="00287F1D" w:rsidRPr="00E01A69"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pPr>
      <w:r>
        <w:t>50.</w:t>
      </w:r>
      <w:r>
        <w:tab/>
      </w:r>
      <w:r w:rsidRPr="00E01A69">
        <w:t xml:space="preserve">The Committee is concerned about the general denial of the right to vote to </w:t>
      </w:r>
      <w:r>
        <w:t xml:space="preserve">all </w:t>
      </w:r>
      <w:r w:rsidRPr="00E01A69">
        <w:t>convicted prisoners</w:t>
      </w:r>
      <w:r>
        <w:t>,</w:t>
      </w:r>
      <w:r w:rsidRPr="00E01A69">
        <w:t xml:space="preserve"> and recall</w:t>
      </w:r>
      <w:r>
        <w:t>s</w:t>
      </w:r>
      <w:r w:rsidRPr="00E01A69">
        <w:t xml:space="preserve"> that </w:t>
      </w:r>
      <w:r>
        <w:t xml:space="preserve">a </w:t>
      </w:r>
      <w:r w:rsidRPr="00E01A69">
        <w:t>blanke</w:t>
      </w:r>
      <w:r>
        <w:t>t</w:t>
      </w:r>
      <w:r w:rsidRPr="00E01A69">
        <w:t xml:space="preserve"> denial does not meet the requirements of article 10 (3), read in conjunction with article 25 of the Covenant (arts. 10, 25 and 26).</w:t>
      </w:r>
    </w:p>
    <w:p w:rsidR="00287F1D" w:rsidRDefault="00287F1D" w:rsidP="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b/>
        </w:rPr>
      </w:pPr>
      <w:r w:rsidRPr="004653D2">
        <w:t>51.</w:t>
      </w:r>
      <w:r>
        <w:rPr>
          <w:b/>
        </w:rPr>
        <w:tab/>
      </w:r>
      <w:r w:rsidRPr="00E01A69">
        <w:rPr>
          <w:b/>
        </w:rPr>
        <w:t>The State party should revi</w:t>
      </w:r>
      <w:r>
        <w:rPr>
          <w:b/>
        </w:rPr>
        <w:t>se</w:t>
      </w:r>
      <w:r w:rsidRPr="00E01A69">
        <w:rPr>
          <w:b/>
        </w:rPr>
        <w:t xml:space="preserve"> legislation denying all convicted prisoners the right to vote in light of the Committee’s general comment No. 25 (1996) on article 25 of the Covenant</w:t>
      </w:r>
      <w:r>
        <w:rPr>
          <w:b/>
        </w:rPr>
        <w:t xml:space="preserve"> (para. 14).</w:t>
      </w:r>
    </w:p>
    <w:p w:rsidR="006B0FA0" w:rsidRPr="007F2B5A" w:rsidRDefault="006B0FA0" w:rsidP="006B0FA0">
      <w:pPr>
        <w:pStyle w:val="H1G"/>
      </w:pPr>
      <w:r>
        <w:tab/>
      </w:r>
      <w:r w:rsidRPr="007F2B5A">
        <w:t>D.</w:t>
      </w:r>
      <w:r w:rsidRPr="007F2B5A">
        <w:tab/>
        <w:t>Dissemination and follow-up</w:t>
      </w:r>
    </w:p>
    <w:p w:rsidR="006B0FA0" w:rsidRDefault="006B0FA0" w:rsidP="006B0FA0">
      <w:pPr>
        <w:pStyle w:val="SingleTxtG"/>
      </w:pPr>
      <w:r>
        <w:rPr>
          <w:rFonts w:eastAsia="SimSun"/>
          <w:lang w:val="en-US" w:eastAsia="zh-CN"/>
        </w:rPr>
        <w:t>52.</w:t>
      </w:r>
      <w:r>
        <w:rPr>
          <w:rFonts w:eastAsia="SimSun"/>
          <w:lang w:val="en-US" w:eastAsia="zh-CN"/>
        </w:rPr>
        <w:tab/>
      </w:r>
      <w:r w:rsidRPr="007F2B5A">
        <w:rPr>
          <w:rFonts w:eastAsia="SimSun"/>
          <w:lang w:val="en-US" w:eastAsia="zh-CN"/>
        </w:rPr>
        <w:t>The State party should widely disseminate the Covenant, its Optional Protocols, its second</w:t>
      </w:r>
      <w:r w:rsidRPr="007F2B5A">
        <w:t xml:space="preserve"> periodic report</w:t>
      </w:r>
      <w:r w:rsidRPr="007F2B5A">
        <w:rPr>
          <w:rFonts w:eastAsia="SimSun"/>
          <w:lang w:val="en-US" w:eastAsia="zh-CN"/>
        </w:rPr>
        <w:t>, the written replies to the Committee’s list of issues and the present concluding</w:t>
      </w:r>
      <w:r w:rsidRPr="007F2B5A">
        <w:rPr>
          <w:b/>
          <w:bCs/>
          <w:lang w:val="en-US"/>
        </w:rPr>
        <w:t xml:space="preserve"> </w:t>
      </w:r>
      <w:r w:rsidRPr="007F2B5A">
        <w:rPr>
          <w:rFonts w:eastAsia="SimSun"/>
          <w:lang w:val="en-US" w:eastAsia="zh-CN"/>
        </w:rPr>
        <w:t>observations with a view to raising awareness of the rights enshrined in the Covenant among the judicial, legislative and administrative</w:t>
      </w:r>
      <w:r w:rsidRPr="007F2B5A">
        <w:rPr>
          <w:b/>
          <w:bCs/>
          <w:lang w:val="en-US"/>
        </w:rPr>
        <w:t xml:space="preserve"> </w:t>
      </w:r>
      <w:r w:rsidRPr="007F2B5A">
        <w:rPr>
          <w:rFonts w:eastAsia="SimSun"/>
          <w:lang w:val="en-US" w:eastAsia="zh-CN"/>
        </w:rPr>
        <w:t xml:space="preserve">authorities, civil society and NGOs operating in the country, and the general public. </w:t>
      </w:r>
      <w:r w:rsidRPr="007F2B5A">
        <w:t xml:space="preserve">The State party should ensure that the report and the present concluding observations are translated into the official language of the State party. </w:t>
      </w:r>
    </w:p>
    <w:p w:rsidR="00B23BE8" w:rsidRPr="007F2B5A" w:rsidRDefault="00B23BE8" w:rsidP="00B23BE8">
      <w:pPr>
        <w:pStyle w:val="SingleTxtG"/>
      </w:pPr>
      <w:r>
        <w:t>53.</w:t>
      </w:r>
      <w:r>
        <w:tab/>
      </w:r>
      <w:r w:rsidRPr="007F2B5A">
        <w:t>In accordance with rule 71, paragraph 5, of the Committee’s rules of procedure, the State party is requested to provide, within one year of the adoption of the present concluding observations,</w:t>
      </w:r>
      <w:r w:rsidRPr="007F2B5A">
        <w:rPr>
          <w:bCs/>
        </w:rPr>
        <w:t xml:space="preserve"> information on the implementation of the recommendations</w:t>
      </w:r>
      <w:r w:rsidRPr="007F2B5A">
        <w:t xml:space="preserve"> made by the Committee in paragraphs </w:t>
      </w:r>
      <w:r>
        <w:t>17 (se</w:t>
      </w:r>
      <w:r w:rsidRPr="00F521E3">
        <w:t>cret detention and</w:t>
      </w:r>
      <w:r>
        <w:t xml:space="preserve"> e</w:t>
      </w:r>
      <w:r w:rsidRPr="00F521E3">
        <w:t>nforced disappearances</w:t>
      </w:r>
      <w:r>
        <w:t>), 21 (t</w:t>
      </w:r>
      <w:r w:rsidRPr="0073016D">
        <w:t>orture and ill-treatment</w:t>
      </w:r>
      <w:r>
        <w:t>) and 23 (treatment of prisoners)</w:t>
      </w:r>
      <w:r w:rsidRPr="00F521E3">
        <w:t xml:space="preserve"> </w:t>
      </w:r>
      <w:r w:rsidRPr="007F2B5A">
        <w:t>above.</w:t>
      </w:r>
    </w:p>
    <w:p w:rsidR="000F2049" w:rsidRPr="007F2B5A" w:rsidRDefault="00B23BE8" w:rsidP="008749A6">
      <w:pPr>
        <w:pStyle w:val="SingleTxtG"/>
      </w:pPr>
      <w:r>
        <w:t>54.</w:t>
      </w:r>
      <w:r>
        <w:tab/>
      </w:r>
      <w:r w:rsidRPr="007F2B5A">
        <w:t xml:space="preserve">The Committee requests the State party to submit its next periodic report by </w:t>
      </w:r>
      <w:r>
        <w:t>29 March 2020</w:t>
      </w:r>
      <w:r w:rsidRPr="007F2B5A">
        <w:t xml:space="preserve"> and to include in that report specific up-to-date information on the </w:t>
      </w:r>
      <w:r w:rsidRPr="007F2B5A">
        <w:lastRenderedPageBreak/>
        <w:t>implementation of the recommendations made in the present concluding observations and of the Covenant as a whole. The Committee also requests the State party, in preparing the report, to broadly consult civil society and NGOs operating in the country. In accordance with General Assembly resolution 68/268, the word limit for the report is 21,200 words.</w:t>
      </w:r>
      <w:r w:rsidRPr="007F2B5A">
        <w:rPr>
          <w:color w:val="FF0000"/>
        </w:rPr>
        <w:t xml:space="preserve"> </w:t>
      </w:r>
      <w:r w:rsidRPr="007F2B5A">
        <w:t xml:space="preserve">Alternatively, the Committee invites the State party to agree, by </w:t>
      </w:r>
      <w:r>
        <w:t>29 March 2018</w:t>
      </w:r>
      <w:r w:rsidRPr="007F2B5A">
        <w:t>, to use its simplified reporting procedure, whereby the Committee transmits a list of issues to the State party prior to the submission of its periodic report. The State party’s response to this list of issues will then constitute the next periodic report to be submitted under article 40 of the Covenant.</w:t>
      </w:r>
      <w:r>
        <w:t xml:space="preserve"> </w:t>
      </w:r>
    </w:p>
    <w:p w:rsidR="00442A83" w:rsidRPr="00287F1D" w:rsidRDefault="00287F1D" w:rsidP="00287F1D">
      <w:pPr>
        <w:spacing w:before="240"/>
        <w:ind w:left="1134" w:right="1134"/>
        <w:jc w:val="center"/>
        <w:rPr>
          <w:u w:val="single"/>
        </w:rPr>
      </w:pPr>
      <w:r>
        <w:rPr>
          <w:u w:val="single"/>
        </w:rPr>
        <w:tab/>
      </w:r>
      <w:r>
        <w:rPr>
          <w:u w:val="single"/>
        </w:rPr>
        <w:tab/>
      </w:r>
      <w:r>
        <w:rPr>
          <w:u w:val="single"/>
        </w:rPr>
        <w:tab/>
      </w:r>
    </w:p>
    <w:sectPr w:rsidR="00442A83" w:rsidRPr="00287F1D" w:rsidSect="00287F1D">
      <w:footerReference w:type="even" r:id="rId9"/>
      <w:footerReference w:type="default" r:id="rId10"/>
      <w:endnotePr>
        <w:numFmt w:val="decimal"/>
      </w:endnotePr>
      <w:pgSz w:w="11907" w:h="16840" w:code="9"/>
      <w:pgMar w:top="1701" w:right="1134" w:bottom="2127"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1D" w:rsidRDefault="00287F1D"/>
  </w:endnote>
  <w:endnote w:type="continuationSeparator" w:id="0">
    <w:p w:rsidR="00287F1D" w:rsidRDefault="00287F1D"/>
  </w:endnote>
  <w:endnote w:type="continuationNotice" w:id="1">
    <w:p w:rsidR="00287F1D" w:rsidRDefault="00287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1D" w:rsidRPr="00287F1D" w:rsidRDefault="00287F1D" w:rsidP="00287F1D">
    <w:pPr>
      <w:pStyle w:val="Footer"/>
      <w:tabs>
        <w:tab w:val="right" w:pos="9638"/>
      </w:tabs>
    </w:pPr>
    <w:r w:rsidRPr="00287F1D">
      <w:rPr>
        <w:b/>
        <w:sz w:val="18"/>
      </w:rPr>
      <w:fldChar w:fldCharType="begin"/>
    </w:r>
    <w:r w:rsidRPr="00287F1D">
      <w:rPr>
        <w:b/>
        <w:sz w:val="18"/>
      </w:rPr>
      <w:instrText xml:space="preserve"> PAGE  \* MERGEFORMAT </w:instrText>
    </w:r>
    <w:r w:rsidRPr="00287F1D">
      <w:rPr>
        <w:b/>
        <w:sz w:val="18"/>
      </w:rPr>
      <w:fldChar w:fldCharType="separate"/>
    </w:r>
    <w:r w:rsidR="00CF0B9B">
      <w:rPr>
        <w:b/>
        <w:noProof/>
        <w:sz w:val="18"/>
      </w:rPr>
      <w:t>8</w:t>
    </w:r>
    <w:r w:rsidRPr="00287F1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1D" w:rsidRPr="00287F1D" w:rsidRDefault="00287F1D" w:rsidP="00287F1D">
    <w:pPr>
      <w:pStyle w:val="Footer"/>
      <w:tabs>
        <w:tab w:val="right" w:pos="9638"/>
      </w:tabs>
      <w:rPr>
        <w:b/>
        <w:sz w:val="18"/>
      </w:rPr>
    </w:pPr>
    <w:r>
      <w:tab/>
    </w:r>
    <w:r w:rsidRPr="00287F1D">
      <w:rPr>
        <w:b/>
        <w:sz w:val="18"/>
      </w:rPr>
      <w:fldChar w:fldCharType="begin"/>
    </w:r>
    <w:r w:rsidRPr="00287F1D">
      <w:rPr>
        <w:b/>
        <w:sz w:val="18"/>
      </w:rPr>
      <w:instrText xml:space="preserve"> PAGE  \* MERGEFORMAT </w:instrText>
    </w:r>
    <w:r w:rsidRPr="00287F1D">
      <w:rPr>
        <w:b/>
        <w:sz w:val="18"/>
      </w:rPr>
      <w:fldChar w:fldCharType="separate"/>
    </w:r>
    <w:r w:rsidR="00CF0B9B">
      <w:rPr>
        <w:b/>
        <w:noProof/>
        <w:sz w:val="18"/>
      </w:rPr>
      <w:t>9</w:t>
    </w:r>
    <w:r w:rsidRPr="00287F1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1D" w:rsidRPr="000B175B" w:rsidRDefault="00287F1D" w:rsidP="000B175B">
      <w:pPr>
        <w:tabs>
          <w:tab w:val="right" w:pos="2155"/>
        </w:tabs>
        <w:spacing w:after="80"/>
        <w:ind w:left="680"/>
        <w:rPr>
          <w:u w:val="single"/>
        </w:rPr>
      </w:pPr>
      <w:r>
        <w:rPr>
          <w:u w:val="single"/>
        </w:rPr>
        <w:tab/>
      </w:r>
    </w:p>
  </w:footnote>
  <w:footnote w:type="continuationSeparator" w:id="0">
    <w:p w:rsidR="00287F1D" w:rsidRPr="00FC68B7" w:rsidRDefault="00287F1D" w:rsidP="00FC68B7">
      <w:pPr>
        <w:tabs>
          <w:tab w:val="left" w:pos="2155"/>
        </w:tabs>
        <w:spacing w:after="80"/>
        <w:ind w:left="680"/>
        <w:rPr>
          <w:u w:val="single"/>
        </w:rPr>
      </w:pPr>
      <w:r>
        <w:rPr>
          <w:u w:val="single"/>
        </w:rPr>
        <w:tab/>
      </w:r>
    </w:p>
  </w:footnote>
  <w:footnote w:type="continuationNotice" w:id="1">
    <w:p w:rsidR="00287F1D" w:rsidRDefault="00287F1D"/>
  </w:footnote>
  <w:footnote w:id="2">
    <w:p w:rsidR="00287F1D" w:rsidRDefault="00287F1D" w:rsidP="004E1BA6">
      <w:pPr>
        <w:pStyle w:val="FootnoteText"/>
      </w:pPr>
      <w:r>
        <w:tab/>
      </w:r>
      <w:r w:rsidRPr="004E1BA6">
        <w:rPr>
          <w:rStyle w:val="FootnoteReference"/>
        </w:rPr>
        <w:t>*</w:t>
      </w:r>
      <w:r>
        <w:tab/>
      </w:r>
      <w:r w:rsidR="006B0FA0" w:rsidRPr="006B0FA0">
        <w:t xml:space="preserve"> </w:t>
      </w:r>
      <w:r w:rsidR="006B0FA0" w:rsidRPr="00067BF1">
        <w:t>Adopted by the Committee at its 119th session (6 - 29 March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2A1980"/>
    <w:multiLevelType w:val="hybridMultilevel"/>
    <w:tmpl w:val="F42ABA00"/>
    <w:lvl w:ilvl="0" w:tplc="5E4AB2A4">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95E5CB6"/>
    <w:multiLevelType w:val="hybridMultilevel"/>
    <w:tmpl w:val="D09A5EC8"/>
    <w:lvl w:ilvl="0" w:tplc="FC06159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56122D5"/>
    <w:multiLevelType w:val="hybridMultilevel"/>
    <w:tmpl w:val="886AE804"/>
    <w:lvl w:ilvl="0" w:tplc="689CC2B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1D"/>
    <w:rsid w:val="00016F66"/>
    <w:rsid w:val="000272B3"/>
    <w:rsid w:val="00050320"/>
    <w:rsid w:val="00050F6B"/>
    <w:rsid w:val="00057E97"/>
    <w:rsid w:val="00060C3A"/>
    <w:rsid w:val="00072C8C"/>
    <w:rsid w:val="000733B5"/>
    <w:rsid w:val="00081815"/>
    <w:rsid w:val="000931C0"/>
    <w:rsid w:val="000B175B"/>
    <w:rsid w:val="000B3A0F"/>
    <w:rsid w:val="000B4EF7"/>
    <w:rsid w:val="000B6F89"/>
    <w:rsid w:val="000C2C03"/>
    <w:rsid w:val="000C2D2E"/>
    <w:rsid w:val="000E0415"/>
    <w:rsid w:val="000F2049"/>
    <w:rsid w:val="001103AA"/>
    <w:rsid w:val="00165F3A"/>
    <w:rsid w:val="00183968"/>
    <w:rsid w:val="001A6686"/>
    <w:rsid w:val="001B4B04"/>
    <w:rsid w:val="001C6663"/>
    <w:rsid w:val="001C7895"/>
    <w:rsid w:val="001D0C8C"/>
    <w:rsid w:val="001D26DF"/>
    <w:rsid w:val="001D3A03"/>
    <w:rsid w:val="001F1CFC"/>
    <w:rsid w:val="001F6A52"/>
    <w:rsid w:val="00202DA8"/>
    <w:rsid w:val="00211E0B"/>
    <w:rsid w:val="0023210C"/>
    <w:rsid w:val="00267F5F"/>
    <w:rsid w:val="002810DA"/>
    <w:rsid w:val="00286112"/>
    <w:rsid w:val="00286B4D"/>
    <w:rsid w:val="00287F1D"/>
    <w:rsid w:val="002D13BC"/>
    <w:rsid w:val="002D3F97"/>
    <w:rsid w:val="002E198D"/>
    <w:rsid w:val="002F175C"/>
    <w:rsid w:val="00312EB7"/>
    <w:rsid w:val="003229D8"/>
    <w:rsid w:val="003442B2"/>
    <w:rsid w:val="00352709"/>
    <w:rsid w:val="00355EFB"/>
    <w:rsid w:val="00367567"/>
    <w:rsid w:val="00371178"/>
    <w:rsid w:val="0038336C"/>
    <w:rsid w:val="003A6810"/>
    <w:rsid w:val="003C2CC4"/>
    <w:rsid w:val="003D4B23"/>
    <w:rsid w:val="00410C89"/>
    <w:rsid w:val="00426B9B"/>
    <w:rsid w:val="004325CB"/>
    <w:rsid w:val="00436B33"/>
    <w:rsid w:val="00442A83"/>
    <w:rsid w:val="0045495B"/>
    <w:rsid w:val="0048499F"/>
    <w:rsid w:val="00487488"/>
    <w:rsid w:val="004B0C84"/>
    <w:rsid w:val="004B3244"/>
    <w:rsid w:val="004E1BA6"/>
    <w:rsid w:val="00512ED5"/>
    <w:rsid w:val="0052136D"/>
    <w:rsid w:val="0052775E"/>
    <w:rsid w:val="005420F2"/>
    <w:rsid w:val="00556EF2"/>
    <w:rsid w:val="005628B6"/>
    <w:rsid w:val="005848B3"/>
    <w:rsid w:val="00590F87"/>
    <w:rsid w:val="00592C4A"/>
    <w:rsid w:val="0059706D"/>
    <w:rsid w:val="005972E2"/>
    <w:rsid w:val="005B0E75"/>
    <w:rsid w:val="005B3DB3"/>
    <w:rsid w:val="005F7717"/>
    <w:rsid w:val="005F7B75"/>
    <w:rsid w:val="006001EE"/>
    <w:rsid w:val="00605042"/>
    <w:rsid w:val="00611FC4"/>
    <w:rsid w:val="006176FB"/>
    <w:rsid w:val="00640B26"/>
    <w:rsid w:val="00650F76"/>
    <w:rsid w:val="00652D0A"/>
    <w:rsid w:val="00662BB6"/>
    <w:rsid w:val="00684C21"/>
    <w:rsid w:val="006B0FA0"/>
    <w:rsid w:val="006D37AF"/>
    <w:rsid w:val="006D51D0"/>
    <w:rsid w:val="006E564B"/>
    <w:rsid w:val="006E7191"/>
    <w:rsid w:val="00703577"/>
    <w:rsid w:val="007257EC"/>
    <w:rsid w:val="0072632A"/>
    <w:rsid w:val="007327D5"/>
    <w:rsid w:val="007629C8"/>
    <w:rsid w:val="00784C5B"/>
    <w:rsid w:val="007B6BA5"/>
    <w:rsid w:val="007C3390"/>
    <w:rsid w:val="007C4F4B"/>
    <w:rsid w:val="007C784F"/>
    <w:rsid w:val="007E0B2D"/>
    <w:rsid w:val="007F1266"/>
    <w:rsid w:val="007F58CC"/>
    <w:rsid w:val="007F6611"/>
    <w:rsid w:val="008105B8"/>
    <w:rsid w:val="008242D7"/>
    <w:rsid w:val="008257B1"/>
    <w:rsid w:val="00843767"/>
    <w:rsid w:val="00863F72"/>
    <w:rsid w:val="008679D9"/>
    <w:rsid w:val="008749A6"/>
    <w:rsid w:val="00884C95"/>
    <w:rsid w:val="008979B1"/>
    <w:rsid w:val="008A1DB2"/>
    <w:rsid w:val="008A6B25"/>
    <w:rsid w:val="008A6C4F"/>
    <w:rsid w:val="008B2335"/>
    <w:rsid w:val="008E0678"/>
    <w:rsid w:val="00910F40"/>
    <w:rsid w:val="00912C08"/>
    <w:rsid w:val="009223CA"/>
    <w:rsid w:val="0093281F"/>
    <w:rsid w:val="00940F93"/>
    <w:rsid w:val="0095347F"/>
    <w:rsid w:val="00964681"/>
    <w:rsid w:val="009760F3"/>
    <w:rsid w:val="009909F5"/>
    <w:rsid w:val="009A0E8D"/>
    <w:rsid w:val="009B1910"/>
    <w:rsid w:val="009B26E7"/>
    <w:rsid w:val="009C542F"/>
    <w:rsid w:val="009D124B"/>
    <w:rsid w:val="009E5D93"/>
    <w:rsid w:val="009F773C"/>
    <w:rsid w:val="00A00A3F"/>
    <w:rsid w:val="00A01489"/>
    <w:rsid w:val="00A338F1"/>
    <w:rsid w:val="00A44615"/>
    <w:rsid w:val="00A72F22"/>
    <w:rsid w:val="00A7360F"/>
    <w:rsid w:val="00A748A6"/>
    <w:rsid w:val="00A769F4"/>
    <w:rsid w:val="00A776B4"/>
    <w:rsid w:val="00A77F1C"/>
    <w:rsid w:val="00A8532D"/>
    <w:rsid w:val="00A94361"/>
    <w:rsid w:val="00AA293C"/>
    <w:rsid w:val="00B13E9B"/>
    <w:rsid w:val="00B23BE8"/>
    <w:rsid w:val="00B30179"/>
    <w:rsid w:val="00B339A7"/>
    <w:rsid w:val="00B56E4A"/>
    <w:rsid w:val="00B56E9C"/>
    <w:rsid w:val="00B64B1F"/>
    <w:rsid w:val="00B6553F"/>
    <w:rsid w:val="00B66E5E"/>
    <w:rsid w:val="00B77D05"/>
    <w:rsid w:val="00B81206"/>
    <w:rsid w:val="00B81E12"/>
    <w:rsid w:val="00B9067B"/>
    <w:rsid w:val="00B95C77"/>
    <w:rsid w:val="00BA7353"/>
    <w:rsid w:val="00BC2C23"/>
    <w:rsid w:val="00BC74E9"/>
    <w:rsid w:val="00BF68A8"/>
    <w:rsid w:val="00C11A03"/>
    <w:rsid w:val="00C463DD"/>
    <w:rsid w:val="00C4724C"/>
    <w:rsid w:val="00C539CF"/>
    <w:rsid w:val="00C629A0"/>
    <w:rsid w:val="00C745C3"/>
    <w:rsid w:val="00CE4A8F"/>
    <w:rsid w:val="00CF0B9B"/>
    <w:rsid w:val="00D15898"/>
    <w:rsid w:val="00D2031B"/>
    <w:rsid w:val="00D25FE2"/>
    <w:rsid w:val="00D43252"/>
    <w:rsid w:val="00D47EEA"/>
    <w:rsid w:val="00D95303"/>
    <w:rsid w:val="00D978C6"/>
    <w:rsid w:val="00DA3111"/>
    <w:rsid w:val="00DA3C1C"/>
    <w:rsid w:val="00DB0C79"/>
    <w:rsid w:val="00E27346"/>
    <w:rsid w:val="00E71BC8"/>
    <w:rsid w:val="00E7260F"/>
    <w:rsid w:val="00E779FC"/>
    <w:rsid w:val="00E96630"/>
    <w:rsid w:val="00EA5A36"/>
    <w:rsid w:val="00EB2581"/>
    <w:rsid w:val="00ED7A2A"/>
    <w:rsid w:val="00EF1D7F"/>
    <w:rsid w:val="00EF3B84"/>
    <w:rsid w:val="00F20C3D"/>
    <w:rsid w:val="00F418A8"/>
    <w:rsid w:val="00F43E9E"/>
    <w:rsid w:val="00F8108D"/>
    <w:rsid w:val="00F9057C"/>
    <w:rsid w:val="00F906D7"/>
    <w:rsid w:val="00F93781"/>
    <w:rsid w:val="00FB613B"/>
    <w:rsid w:val="00FC68B7"/>
    <w:rsid w:val="00FD4E50"/>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87F1D"/>
    <w:rPr>
      <w:lang w:eastAsia="en-US"/>
    </w:rPr>
  </w:style>
  <w:style w:type="paragraph" w:customStyle="1" w:styleId="SingleTxt">
    <w:name w:val="__Single Txt"/>
    <w:basedOn w:val="Normal"/>
    <w:rsid w:val="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BalloonText">
    <w:name w:val="Balloon Text"/>
    <w:basedOn w:val="Normal"/>
    <w:link w:val="BalloonTextChar"/>
    <w:rsid w:val="002E19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E19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87F1D"/>
    <w:rPr>
      <w:lang w:eastAsia="en-US"/>
    </w:rPr>
  </w:style>
  <w:style w:type="paragraph" w:customStyle="1" w:styleId="SingleTxt">
    <w:name w:val="__Single Txt"/>
    <w:basedOn w:val="Normal"/>
    <w:rsid w:val="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BalloonText">
    <w:name w:val="Balloon Text"/>
    <w:basedOn w:val="Normal"/>
    <w:link w:val="BalloonTextChar"/>
    <w:rsid w:val="002E19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E19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94761">
      <w:bodyDiv w:val="1"/>
      <w:marLeft w:val="0"/>
      <w:marRight w:val="0"/>
      <w:marTop w:val="0"/>
      <w:marBottom w:val="0"/>
      <w:divBdr>
        <w:top w:val="none" w:sz="0" w:space="0" w:color="auto"/>
        <w:left w:val="none" w:sz="0" w:space="0" w:color="auto"/>
        <w:bottom w:val="none" w:sz="0" w:space="0" w:color="auto"/>
        <w:right w:val="none" w:sz="0" w:space="0" w:color="auto"/>
      </w:divBdr>
    </w:div>
    <w:div w:id="12022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68B6F-25F8-4006-AE41-FF743972E714}"/>
</file>

<file path=customXml/itemProps2.xml><?xml version="1.0" encoding="utf-8"?>
<ds:datastoreItem xmlns:ds="http://schemas.openxmlformats.org/officeDocument/2006/customXml" ds:itemID="{D8B2307A-EC5B-40B9-941B-919A4D954860}"/>
</file>

<file path=customXml/itemProps3.xml><?xml version="1.0" encoding="utf-8"?>
<ds:datastoreItem xmlns:ds="http://schemas.openxmlformats.org/officeDocument/2006/customXml" ds:itemID="{B9C7D534-D3D1-49CF-85AD-BFFDD1802E16}"/>
</file>

<file path=customXml/itemProps4.xml><?xml version="1.0" encoding="utf-8"?>
<ds:datastoreItem xmlns:ds="http://schemas.openxmlformats.org/officeDocument/2006/customXml" ds:itemID="{05B03B74-DEB6-46AE-A1B3-703744C8B405}"/>
</file>

<file path=docProps/app.xml><?xml version="1.0" encoding="utf-8"?>
<Properties xmlns="http://schemas.openxmlformats.org/officeDocument/2006/extended-properties" xmlns:vt="http://schemas.openxmlformats.org/officeDocument/2006/docPropsVTypes">
  <Template>CCPR_E.dotm</Template>
  <TotalTime>5</TotalTime>
  <Pages>11</Pages>
  <Words>4855</Words>
  <Characters>27680</Characters>
  <Application>Microsoft Office Word</Application>
  <DocSecurity>0</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1704165</vt:lpstr>
      <vt:lpstr>United Nations</vt:lpstr>
    </vt:vector>
  </TitlesOfParts>
  <Company>CSD</Company>
  <LinksUpToDate>false</LinksUpToDate>
  <CharactersWithSpaces>32471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1704165</dc:title>
  <dc:subject>CCPR/C/TKM/CO/R.2</dc:subject>
  <dc:creator>Thodiyil Sindu</dc:creator>
  <cp:lastModifiedBy>Thodiyil Sindu</cp:lastModifiedBy>
  <cp:revision>6</cp:revision>
  <cp:lastPrinted>2008-01-29T10:04:00Z</cp:lastPrinted>
  <dcterms:created xsi:type="dcterms:W3CDTF">2017-03-24T11:54:00Z</dcterms:created>
  <dcterms:modified xsi:type="dcterms:W3CDTF">2017-03-28T13:37:00Z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