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1024F6">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5248FC"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372E42" w:rsidRDefault="00372E42" w:rsidP="00372E42">
            <w:pPr>
              <w:spacing w:line="240" w:lineRule="exact"/>
            </w:pPr>
          </w:p>
        </w:tc>
      </w:tr>
    </w:tbl>
    <w:p w:rsidR="00372E42" w:rsidRPr="00F81F83" w:rsidRDefault="00372E42" w:rsidP="00372E42">
      <w:pPr>
        <w:spacing w:before="120"/>
        <w:rPr>
          <w:b/>
          <w:bCs/>
          <w:sz w:val="24"/>
          <w:szCs w:val="24"/>
        </w:rPr>
      </w:pPr>
      <w:r w:rsidRPr="00F81F83">
        <w:rPr>
          <w:b/>
          <w:bCs/>
          <w:sz w:val="24"/>
          <w:szCs w:val="24"/>
        </w:rPr>
        <w:t>Human Rights Committee</w:t>
      </w:r>
    </w:p>
    <w:p w:rsidR="00372E42" w:rsidRPr="00D12008" w:rsidRDefault="00372E42" w:rsidP="00372E42">
      <w:pPr>
        <w:pStyle w:val="HChG"/>
      </w:pPr>
      <w:r>
        <w:tab/>
      </w:r>
      <w:r>
        <w:tab/>
      </w:r>
      <w:r w:rsidRPr="00287F1D">
        <w:t xml:space="preserve">Concluding observations on </w:t>
      </w:r>
      <w:r>
        <w:t>the second periodic report of Thailand</w:t>
      </w:r>
      <w:r w:rsidRPr="002B60E3">
        <w:rPr>
          <w:rStyle w:val="FootnoteReference"/>
        </w:rPr>
        <w:footnoteReference w:customMarkFollows="1" w:id="2"/>
        <w:t>*</w:t>
      </w:r>
    </w:p>
    <w:p w:rsidR="001024F6" w:rsidRPr="00E37B87" w:rsidRDefault="001024F6" w:rsidP="001024F6">
      <w:pPr>
        <w:spacing w:after="120"/>
        <w:ind w:left="1134" w:right="1134"/>
        <w:jc w:val="both"/>
      </w:pPr>
      <w:r w:rsidRPr="00E37B87">
        <w:t>1.</w:t>
      </w:r>
      <w:r w:rsidRPr="00E37B87">
        <w:tab/>
        <w:t>The Committee considered</w:t>
      </w:r>
      <w:r w:rsidRPr="00915ED6">
        <w:t xml:space="preserve"> the second periodic report submitted by Thailand (CCPR/C/THA/2) at its 3349th and 3350th meetings (see CCPR/C/SR.3349 and 3350), held on 13 and 14 March 2017. At its 3364th meeting, held on 23 March 2017, it adopted the </w:t>
      </w:r>
      <w:r w:rsidRPr="00E37B87">
        <w:t>present concluding observations.</w:t>
      </w:r>
      <w:r w:rsidRPr="00E37B87">
        <w:tab/>
      </w:r>
    </w:p>
    <w:p w:rsidR="001024F6" w:rsidRPr="00E37B87" w:rsidRDefault="001024F6" w:rsidP="001024F6">
      <w:pPr>
        <w:pStyle w:val="H1G"/>
        <w:rPr>
          <w:color w:val="0000FF"/>
        </w:rPr>
      </w:pPr>
      <w:r w:rsidRPr="00E37B87">
        <w:tab/>
        <w:t>A.</w:t>
      </w:r>
      <w:r w:rsidRPr="00E37B87">
        <w:tab/>
        <w:t>Introduction</w:t>
      </w:r>
    </w:p>
    <w:p w:rsidR="001024F6" w:rsidRPr="003201AA" w:rsidRDefault="001024F6" w:rsidP="001024F6">
      <w:pPr>
        <w:spacing w:after="120"/>
        <w:ind w:left="1134" w:right="1134"/>
        <w:jc w:val="both"/>
      </w:pPr>
      <w:r w:rsidRPr="00915ED6">
        <w:t>2.</w:t>
      </w:r>
      <w:r w:rsidRPr="00915ED6">
        <w:tab/>
        <w:t xml:space="preserve">The Committee welcomes the submission of the second period report of Thailand, albeit 6 years late, and the information contained therein. It expresses appreciation for the opportunity to renew its constructive dialogue with the State party’s </w:t>
      </w:r>
      <w:r>
        <w:t>high level and large</w:t>
      </w:r>
      <w:r w:rsidRPr="00915ED6">
        <w:t xml:space="preserve"> delegation on the measures taken during the reporting period to implement the provisions of the Covenant. The Committee appreciates the written replies (CCPR/C/THA/Q/2/Add.1) to the list of issues</w:t>
      </w:r>
      <w:r>
        <w:t xml:space="preserve"> (CCPR/C/THA/Q/2)</w:t>
      </w:r>
      <w:r w:rsidRPr="00915ED6">
        <w:t xml:space="preserve">, which were </w:t>
      </w:r>
      <w:r w:rsidRPr="003201AA">
        <w:t xml:space="preserve">supplemented by the oral </w:t>
      </w:r>
      <w:r>
        <w:t xml:space="preserve">and written </w:t>
      </w:r>
      <w:r w:rsidRPr="003201AA">
        <w:t>responses provided by the delegation.</w:t>
      </w:r>
    </w:p>
    <w:p w:rsidR="001024F6" w:rsidRPr="00A759E3" w:rsidRDefault="001024F6" w:rsidP="001024F6">
      <w:pPr>
        <w:pStyle w:val="H1G"/>
      </w:pPr>
      <w:r w:rsidRPr="003201AA">
        <w:tab/>
        <w:t>B.</w:t>
      </w:r>
      <w:r w:rsidRPr="003201AA">
        <w:tab/>
        <w:t>Positive aspects</w:t>
      </w:r>
    </w:p>
    <w:p w:rsidR="001024F6" w:rsidRPr="00915ED6" w:rsidRDefault="001024F6" w:rsidP="001024F6">
      <w:pPr>
        <w:spacing w:after="120"/>
        <w:ind w:left="1134" w:right="1134"/>
        <w:jc w:val="both"/>
      </w:pPr>
      <w:r w:rsidRPr="00915ED6">
        <w:t>3.</w:t>
      </w:r>
      <w:r w:rsidRPr="00915ED6">
        <w:tab/>
        <w:t>The Committee welcomes the following policy, institutional and legislative measures taken by the State party:</w:t>
      </w:r>
    </w:p>
    <w:p w:rsidR="001024F6" w:rsidRPr="004A1250" w:rsidRDefault="001024F6" w:rsidP="001024F6">
      <w:pPr>
        <w:spacing w:after="120"/>
        <w:ind w:left="1134" w:right="1134"/>
        <w:jc w:val="both"/>
      </w:pPr>
      <w:r w:rsidRPr="00915ED6">
        <w:tab/>
        <w:t>(a)</w:t>
      </w:r>
      <w:r w:rsidRPr="00915ED6">
        <w:tab/>
        <w:t>The Coordination Committee set up by the M</w:t>
      </w:r>
      <w:r>
        <w:t xml:space="preserve">inistry of Justice </w:t>
      </w:r>
      <w:r w:rsidRPr="00915ED6">
        <w:t xml:space="preserve">in March 2016 to follow up the implementation of </w:t>
      </w:r>
      <w:r>
        <w:t>the National Human Rights Commission of Thailand (</w:t>
      </w:r>
      <w:r w:rsidRPr="00915ED6">
        <w:t>NHRCT</w:t>
      </w:r>
      <w:r>
        <w:t>)</w:t>
      </w:r>
      <w:r w:rsidRPr="00915ED6">
        <w:t xml:space="preserve"> </w:t>
      </w:r>
      <w:r w:rsidRPr="004A1250">
        <w:t>recommendations by relevant agencies</w:t>
      </w:r>
    </w:p>
    <w:p w:rsidR="001024F6" w:rsidRPr="004A1250" w:rsidRDefault="001024F6" w:rsidP="001024F6">
      <w:pPr>
        <w:spacing w:after="120"/>
        <w:ind w:left="1134" w:right="1134" w:firstLine="567"/>
        <w:jc w:val="both"/>
      </w:pPr>
      <w:r w:rsidRPr="004A1250">
        <w:t xml:space="preserve">(b) </w:t>
      </w:r>
      <w:r w:rsidRPr="004A1250">
        <w:tab/>
        <w:t xml:space="preserve">The </w:t>
      </w:r>
      <w:r>
        <w:t>Gender Equality Act</w:t>
      </w:r>
      <w:r w:rsidRPr="004A1250">
        <w:t xml:space="preserve"> </w:t>
      </w:r>
      <w:r>
        <w:t>(</w:t>
      </w:r>
      <w:r w:rsidRPr="004A1250">
        <w:t>2015</w:t>
      </w:r>
      <w:r>
        <w:t>)</w:t>
      </w:r>
      <w:r w:rsidRPr="004A1250">
        <w:t xml:space="preserve">; </w:t>
      </w:r>
      <w:r w:rsidRPr="004A1250">
        <w:rPr>
          <w:color w:val="FF0000"/>
        </w:rPr>
        <w:t xml:space="preserve"> </w:t>
      </w:r>
    </w:p>
    <w:p w:rsidR="001024F6" w:rsidRPr="004A1250" w:rsidRDefault="001024F6" w:rsidP="001024F6">
      <w:pPr>
        <w:spacing w:after="120"/>
        <w:ind w:left="1134" w:right="1134" w:firstLine="567"/>
        <w:jc w:val="both"/>
      </w:pPr>
      <w:r w:rsidRPr="004A1250">
        <w:t xml:space="preserve">(c) </w:t>
      </w:r>
      <w:r w:rsidRPr="004A1250">
        <w:tab/>
        <w:t>The Justice Fund Act (2015); and</w:t>
      </w:r>
    </w:p>
    <w:p w:rsidR="001024F6" w:rsidRPr="00915ED6" w:rsidRDefault="001024F6" w:rsidP="001024F6">
      <w:pPr>
        <w:spacing w:after="120"/>
        <w:ind w:left="1134" w:right="1134" w:firstLine="567"/>
        <w:jc w:val="both"/>
      </w:pPr>
      <w:r w:rsidRPr="004A1250">
        <w:t>(d)</w:t>
      </w:r>
      <w:r w:rsidRPr="004A1250">
        <w:tab/>
        <w:t>The Third National Human Rights Plan</w:t>
      </w:r>
      <w:r w:rsidRPr="00915ED6">
        <w:t xml:space="preserve"> (2014-2018).</w:t>
      </w:r>
    </w:p>
    <w:p w:rsidR="001024F6" w:rsidRPr="00915ED6" w:rsidRDefault="001024F6" w:rsidP="001024F6">
      <w:pPr>
        <w:pStyle w:val="SingleTxtG"/>
      </w:pPr>
      <w:r w:rsidRPr="00915ED6">
        <w:t>4.</w:t>
      </w:r>
      <w:r w:rsidRPr="00915ED6">
        <w:tab/>
        <w:t>The Committee also welcomes the ratification of the following international instruments by the State party:</w:t>
      </w:r>
      <w:r>
        <w:t xml:space="preserve"> </w:t>
      </w:r>
    </w:p>
    <w:p w:rsidR="001024F6" w:rsidRPr="00915ED6" w:rsidRDefault="001024F6" w:rsidP="001024F6">
      <w:pPr>
        <w:numPr>
          <w:ilvl w:val="0"/>
          <w:numId w:val="3"/>
        </w:numPr>
        <w:spacing w:after="120"/>
        <w:ind w:left="1134" w:right="1134" w:firstLine="567"/>
        <w:jc w:val="both"/>
      </w:pPr>
      <w:r w:rsidRPr="00915ED6">
        <w:lastRenderedPageBreak/>
        <w:t>The Optional Protocol to the Convention on the Rights of Persons with Disabilities, in 2016;</w:t>
      </w:r>
    </w:p>
    <w:p w:rsidR="001024F6" w:rsidRPr="00915ED6" w:rsidRDefault="001024F6" w:rsidP="001024F6">
      <w:pPr>
        <w:numPr>
          <w:ilvl w:val="0"/>
          <w:numId w:val="3"/>
        </w:numPr>
        <w:spacing w:after="120"/>
        <w:ind w:left="1134" w:right="1134" w:firstLine="567"/>
        <w:jc w:val="both"/>
      </w:pPr>
      <w:r w:rsidRPr="00915ED6">
        <w:t>The Optional Protocol to the Convention on the Rights of the Child on a communications procedure, in 2012;</w:t>
      </w:r>
    </w:p>
    <w:p w:rsidR="001024F6" w:rsidRPr="00915ED6" w:rsidRDefault="001024F6" w:rsidP="001024F6">
      <w:pPr>
        <w:numPr>
          <w:ilvl w:val="0"/>
          <w:numId w:val="3"/>
        </w:numPr>
        <w:spacing w:after="120"/>
        <w:ind w:left="1134" w:right="1134" w:firstLine="567"/>
        <w:jc w:val="both"/>
      </w:pPr>
      <w:r w:rsidRPr="00915ED6">
        <w:t xml:space="preserve">The Convention on the Rights of Persons with Disabilities, in 2008; </w:t>
      </w:r>
      <w:r w:rsidR="00F31645">
        <w:t>and</w:t>
      </w:r>
    </w:p>
    <w:p w:rsidR="001024F6" w:rsidRPr="00915ED6" w:rsidRDefault="001024F6" w:rsidP="001024F6">
      <w:pPr>
        <w:numPr>
          <w:ilvl w:val="0"/>
          <w:numId w:val="3"/>
        </w:numPr>
        <w:spacing w:after="120"/>
        <w:ind w:left="1134" w:right="1134" w:firstLine="567"/>
        <w:jc w:val="both"/>
      </w:pPr>
      <w:r w:rsidRPr="00915ED6">
        <w:t>The Convention against Torture and Other Cruel, Inhuman or Degrading Treatment or Punishment, in 2007</w:t>
      </w:r>
      <w:r w:rsidR="00F31645">
        <w:t>.</w:t>
      </w:r>
      <w:r w:rsidRPr="00915ED6">
        <w:t xml:space="preserve"> </w:t>
      </w:r>
    </w:p>
    <w:p w:rsidR="00372E42" w:rsidRPr="00E0639B" w:rsidRDefault="00372E42" w:rsidP="00372E42">
      <w:pPr>
        <w:pStyle w:val="H1G"/>
      </w:pPr>
      <w:r>
        <w:tab/>
        <w:t>C.</w:t>
      </w:r>
      <w:r w:rsidRPr="00FF540B">
        <w:tab/>
        <w:t xml:space="preserve">Principal </w:t>
      </w:r>
      <w:r>
        <w:t>matters</w:t>
      </w:r>
      <w:r w:rsidRPr="00FF540B">
        <w:t xml:space="preserve"> of concern and recommendations</w:t>
      </w:r>
      <w:r w:rsidRPr="000110D6">
        <w:rPr>
          <w:bCs/>
        </w:rPr>
        <w:t xml:space="preserve"> </w:t>
      </w:r>
    </w:p>
    <w:p w:rsidR="00372E42" w:rsidRDefault="00372E42" w:rsidP="00372E42">
      <w:pPr>
        <w:pStyle w:val="H23G"/>
        <w:spacing w:before="0" w:line="240" w:lineRule="atLeast"/>
        <w:jc w:val="both"/>
      </w:pPr>
      <w:r>
        <w:tab/>
      </w:r>
      <w:r>
        <w:tab/>
      </w:r>
      <w:r w:rsidRPr="003572F6">
        <w:t>Interpretative declarations and derogations on the Covenant</w:t>
      </w:r>
      <w:r>
        <w:t xml:space="preserve"> and State of emergency</w:t>
      </w:r>
    </w:p>
    <w:p w:rsidR="00372E42" w:rsidRDefault="00372E42" w:rsidP="00372E42">
      <w:pPr>
        <w:pStyle w:val="SingleTxtG"/>
        <w:rPr>
          <w:b/>
        </w:rPr>
      </w:pPr>
      <w:r>
        <w:t>5</w:t>
      </w:r>
      <w:r w:rsidRPr="00915ED6">
        <w:t>.</w:t>
      </w:r>
      <w:r w:rsidRPr="00915ED6">
        <w:tab/>
        <w:t>The Committee notes the withdrawal of the interpretative declarations concerning articles 6</w:t>
      </w:r>
      <w:r>
        <w:t>(5) and 9(3)</w:t>
      </w:r>
      <w:r w:rsidRPr="00915ED6">
        <w:t xml:space="preserve"> of the Covenant; however it</w:t>
      </w:r>
      <w:r w:rsidR="0096306D">
        <w:t xml:space="preserve"> also</w:t>
      </w:r>
      <w:r w:rsidRPr="00915ED6">
        <w:t xml:space="preserve"> </w:t>
      </w:r>
      <w:r w:rsidR="00B575AA">
        <w:t xml:space="preserve">notes </w:t>
      </w:r>
      <w:r>
        <w:t>that the State party still</w:t>
      </w:r>
      <w:r w:rsidRPr="00915ED6">
        <w:t xml:space="preserve"> maintains its interpretative declarations</w:t>
      </w:r>
      <w:r>
        <w:t xml:space="preserve"> concerning articles 1(1)</w:t>
      </w:r>
      <w:r w:rsidRPr="00915ED6">
        <w:t xml:space="preserve"> and 20. The Committee regrets that derogations </w:t>
      </w:r>
      <w:r>
        <w:t>from articles 12(1), 14(5)</w:t>
      </w:r>
      <w:r w:rsidRPr="00915ED6">
        <w:t>, 19 and 21</w:t>
      </w:r>
      <w:r>
        <w:t xml:space="preserve">, as a result of the Declaration of Martial Law of 2014 do not seem to comply with the rationale and the scope of the provisions established by article 4 of the Covenant and General Comment No. 29 (2011). The Committee is concerned that while those derogations raise many concerns about their compatibility with the Covenant they have not been lifted, and continue to be applied, partly by virtue of the Emergency Decree 2005 (in the Southern Border Provinces) and the Martial Law (in 31 provinces) </w:t>
      </w:r>
      <w:r w:rsidRPr="00915ED6">
        <w:t>(art. 2</w:t>
      </w:r>
      <w:r>
        <w:t xml:space="preserve"> and 4</w:t>
      </w:r>
      <w:r w:rsidRPr="00915ED6">
        <w:t>)</w:t>
      </w:r>
      <w:r w:rsidR="00F31645">
        <w:t>.</w:t>
      </w:r>
    </w:p>
    <w:p w:rsidR="00F31645" w:rsidRDefault="00372E42" w:rsidP="00372E42">
      <w:pPr>
        <w:pStyle w:val="H23G"/>
        <w:spacing w:before="0" w:line="240" w:lineRule="atLeast"/>
        <w:ind w:firstLine="0"/>
        <w:jc w:val="both"/>
      </w:pPr>
      <w:r>
        <w:t>6</w:t>
      </w:r>
      <w:r w:rsidRPr="00915ED6">
        <w:t>.</w:t>
      </w:r>
      <w:r w:rsidRPr="00915ED6">
        <w:tab/>
        <w:t xml:space="preserve">The State party should </w:t>
      </w:r>
      <w:r>
        <w:t>consider revoking</w:t>
      </w:r>
      <w:r w:rsidRPr="00915ED6">
        <w:t xml:space="preserve"> </w:t>
      </w:r>
      <w:r>
        <w:t>its derogations from articles 12(1), 14(5)</w:t>
      </w:r>
      <w:r w:rsidRPr="00915ED6">
        <w:t>, 19 and 21</w:t>
      </w:r>
      <w:r>
        <w:t>,</w:t>
      </w:r>
      <w:r w:rsidRPr="00915ED6">
        <w:t xml:space="preserve"> with a view to ensuring the </w:t>
      </w:r>
      <w:r>
        <w:t xml:space="preserve">full and </w:t>
      </w:r>
      <w:r w:rsidRPr="00915ED6">
        <w:t>effective application of the Covenant</w:t>
      </w:r>
      <w:r>
        <w:t xml:space="preserve">. In any case, the State party should ensure that any derogation is fully compatible with </w:t>
      </w:r>
      <w:r w:rsidRPr="00915ED6">
        <w:t xml:space="preserve">the provisions of article 4 of the </w:t>
      </w:r>
      <w:r w:rsidRPr="00581249">
        <w:t>Covenant as in</w:t>
      </w:r>
      <w:r w:rsidRPr="00581249">
        <w:rPr>
          <w:bCs/>
        </w:rPr>
        <w:t>terpreted in</w:t>
      </w:r>
      <w:r w:rsidRPr="00581249">
        <w:t xml:space="preserve"> General Comment No. 29 on derogations during a state of emergency. </w:t>
      </w:r>
    </w:p>
    <w:p w:rsidR="00372E42" w:rsidRPr="003F17FC" w:rsidRDefault="00372E42" w:rsidP="00372E42">
      <w:pPr>
        <w:pStyle w:val="H23G"/>
        <w:spacing w:before="0" w:line="240" w:lineRule="atLeast"/>
        <w:ind w:firstLine="0"/>
        <w:jc w:val="both"/>
      </w:pPr>
      <w:r w:rsidRPr="003201AA">
        <w:t>Constitutional and legal framework</w:t>
      </w:r>
    </w:p>
    <w:p w:rsidR="00372E42" w:rsidRDefault="00372E42" w:rsidP="00372E42">
      <w:pPr>
        <w:pStyle w:val="SingleTxtG"/>
        <w:rPr>
          <w:b/>
        </w:rPr>
      </w:pPr>
      <w:r>
        <w:t>7</w:t>
      </w:r>
      <w:r w:rsidRPr="00915ED6">
        <w:t>.</w:t>
      </w:r>
      <w:r w:rsidRPr="00915ED6">
        <w:tab/>
        <w:t xml:space="preserve">The Committee </w:t>
      </w:r>
      <w:r>
        <w:t>is concerned</w:t>
      </w:r>
      <w:r w:rsidRPr="00915ED6">
        <w:t xml:space="preserve"> </w:t>
      </w:r>
      <w:r>
        <w:t>about</w:t>
      </w:r>
      <w:r w:rsidRPr="00915ED6">
        <w:t xml:space="preserve"> certain provisions of the interim Constitution of 2014</w:t>
      </w:r>
      <w:r>
        <w:t xml:space="preserve">, such as </w:t>
      </w:r>
      <w:r w:rsidRPr="003201AA">
        <w:t>section 44, 47 and 48</w:t>
      </w:r>
      <w:r>
        <w:t xml:space="preserve">, and </w:t>
      </w:r>
      <w:r w:rsidRPr="00915ED6">
        <w:t>National Council for Peace and Order</w:t>
      </w:r>
      <w:r>
        <w:t xml:space="preserve"> (NCPO) Orders issued under section 44</w:t>
      </w:r>
      <w:r w:rsidR="00F31645">
        <w:t>,</w:t>
      </w:r>
      <w:r>
        <w:t xml:space="preserve"> which limit access to </w:t>
      </w:r>
      <w:r w:rsidRPr="00915ED6">
        <w:t>effective remed</w:t>
      </w:r>
      <w:r w:rsidR="0096306D">
        <w:t>ies</w:t>
      </w:r>
      <w:r w:rsidRPr="00915ED6">
        <w:t xml:space="preserve"> and </w:t>
      </w:r>
      <w:r>
        <w:t xml:space="preserve">may lead to </w:t>
      </w:r>
      <w:r w:rsidRPr="00915ED6">
        <w:t xml:space="preserve">immunity </w:t>
      </w:r>
      <w:r>
        <w:t>of</w:t>
      </w:r>
      <w:r w:rsidRPr="00915ED6">
        <w:t xml:space="preserve"> </w:t>
      </w:r>
      <w:r>
        <w:t>the NCPO</w:t>
      </w:r>
      <w:r w:rsidRPr="00915ED6">
        <w:t xml:space="preserve"> for </w:t>
      </w:r>
      <w:r>
        <w:t xml:space="preserve">serious </w:t>
      </w:r>
      <w:r w:rsidRPr="00915ED6">
        <w:t xml:space="preserve">human rights violations. </w:t>
      </w:r>
      <w:r>
        <w:t>It is particularly concerned about Section 44, which has often been used to issue orders restricting rights under the Covenant. It is</w:t>
      </w:r>
      <w:r w:rsidRPr="00915ED6">
        <w:t xml:space="preserve"> also </w:t>
      </w:r>
      <w:r>
        <w:t xml:space="preserve">concerned about section 279 of </w:t>
      </w:r>
      <w:r w:rsidRPr="00915ED6">
        <w:t xml:space="preserve">the new draft </w:t>
      </w:r>
      <w:r w:rsidRPr="003201AA">
        <w:t xml:space="preserve">Constitution which </w:t>
      </w:r>
      <w:r>
        <w:t xml:space="preserve">would continue to provide </w:t>
      </w:r>
      <w:r w:rsidRPr="003201AA">
        <w:t>immunity</w:t>
      </w:r>
      <w:r w:rsidRPr="00915ED6">
        <w:t xml:space="preserve"> to the NCPO for </w:t>
      </w:r>
      <w:r>
        <w:t>its</w:t>
      </w:r>
      <w:r w:rsidRPr="00915ED6">
        <w:t xml:space="preserve"> acts, announcements and orders</w:t>
      </w:r>
      <w:r>
        <w:t xml:space="preserve"> (art. 2)</w:t>
      </w:r>
      <w:r w:rsidR="00F31645">
        <w:t>.</w:t>
      </w:r>
      <w:r>
        <w:t xml:space="preserve"> </w:t>
      </w:r>
    </w:p>
    <w:p w:rsidR="00372E42" w:rsidRDefault="00372E42" w:rsidP="00372E42">
      <w:pPr>
        <w:spacing w:after="120"/>
        <w:ind w:left="1134" w:right="1134"/>
        <w:jc w:val="both"/>
        <w:rPr>
          <w:b/>
        </w:rPr>
      </w:pPr>
      <w:r>
        <w:rPr>
          <w:b/>
        </w:rPr>
        <w:t>8</w:t>
      </w:r>
      <w:r w:rsidRPr="00915ED6">
        <w:rPr>
          <w:b/>
        </w:rPr>
        <w:t>.</w:t>
      </w:r>
      <w:r w:rsidRPr="00915ED6">
        <w:rPr>
          <w:b/>
        </w:rPr>
        <w:tab/>
        <w:t xml:space="preserve">The State party should </w:t>
      </w:r>
      <w:r>
        <w:rPr>
          <w:b/>
        </w:rPr>
        <w:t>review all measures adopted under the interim Constitution of 2014, in particular under s</w:t>
      </w:r>
      <w:r w:rsidRPr="00915ED6">
        <w:rPr>
          <w:b/>
        </w:rPr>
        <w:t>ection</w:t>
      </w:r>
      <w:r>
        <w:rPr>
          <w:b/>
        </w:rPr>
        <w:t>s</w:t>
      </w:r>
      <w:r w:rsidRPr="00915ED6">
        <w:rPr>
          <w:b/>
        </w:rPr>
        <w:t xml:space="preserve"> 44, 47 and 48 </w:t>
      </w:r>
      <w:r>
        <w:rPr>
          <w:b/>
        </w:rPr>
        <w:t>in the light of its obligations under the Covenant and make sure that all measures to be adopted under the new draft Constitution, including section 279</w:t>
      </w:r>
      <w:r w:rsidRPr="00915ED6">
        <w:rPr>
          <w:b/>
        </w:rPr>
        <w:t xml:space="preserve"> </w:t>
      </w:r>
      <w:r>
        <w:rPr>
          <w:b/>
        </w:rPr>
        <w:t>will be</w:t>
      </w:r>
      <w:r w:rsidRPr="00915ED6">
        <w:rPr>
          <w:b/>
        </w:rPr>
        <w:t xml:space="preserve"> consistent with its obligations under the Covenant</w:t>
      </w:r>
      <w:r>
        <w:rPr>
          <w:b/>
        </w:rPr>
        <w:t>, including the obligation to provide effective remedies to victims of human rights violations</w:t>
      </w:r>
      <w:r w:rsidRPr="00915ED6">
        <w:rPr>
          <w:b/>
        </w:rPr>
        <w:t>.</w:t>
      </w:r>
      <w:r>
        <w:rPr>
          <w:b/>
        </w:rPr>
        <w:t xml:space="preserve"> </w:t>
      </w:r>
    </w:p>
    <w:p w:rsidR="00372E42" w:rsidRDefault="00372E42" w:rsidP="00372E42">
      <w:pPr>
        <w:pStyle w:val="H23G"/>
        <w:rPr>
          <w:bCs/>
          <w:color w:val="0000FF"/>
          <w:lang w:eastAsia="en-GB"/>
        </w:rPr>
      </w:pPr>
      <w:r>
        <w:tab/>
      </w:r>
      <w:r>
        <w:tab/>
      </w:r>
      <w:r w:rsidRPr="006B63C4">
        <w:t>National human rights institution</w:t>
      </w:r>
      <w:r w:rsidRPr="00C0117F">
        <w:t xml:space="preserve"> </w:t>
      </w:r>
    </w:p>
    <w:p w:rsidR="00372E42" w:rsidRPr="00A759E3" w:rsidRDefault="00372E42" w:rsidP="00372E42">
      <w:pPr>
        <w:spacing w:after="120"/>
        <w:ind w:left="1134" w:right="1134"/>
        <w:jc w:val="both"/>
      </w:pPr>
      <w:r>
        <w:rPr>
          <w:bCs/>
        </w:rPr>
        <w:t>9</w:t>
      </w:r>
      <w:r w:rsidRPr="00915ED6">
        <w:rPr>
          <w:bCs/>
        </w:rPr>
        <w:t>.</w:t>
      </w:r>
      <w:r w:rsidRPr="00915ED6">
        <w:rPr>
          <w:bCs/>
        </w:rPr>
        <w:tab/>
      </w:r>
      <w:r>
        <w:rPr>
          <w:bCs/>
        </w:rPr>
        <w:t>While acknowledging the important work of the NHRCT, t</w:t>
      </w:r>
      <w:r w:rsidRPr="00915ED6">
        <w:rPr>
          <w:bCs/>
        </w:rPr>
        <w:t xml:space="preserve">he Committee regrets that </w:t>
      </w:r>
      <w:r>
        <w:rPr>
          <w:bCs/>
        </w:rPr>
        <w:t>it</w:t>
      </w:r>
      <w:r w:rsidRPr="00915ED6">
        <w:rPr>
          <w:bCs/>
        </w:rPr>
        <w:t xml:space="preserve"> </w:t>
      </w:r>
      <w:r>
        <w:rPr>
          <w:bCs/>
        </w:rPr>
        <w:t>was</w:t>
      </w:r>
      <w:r w:rsidRPr="00915ED6">
        <w:rPr>
          <w:bCs/>
        </w:rPr>
        <w:t xml:space="preserve"> downgraded to “B” status</w:t>
      </w:r>
      <w:r>
        <w:rPr>
          <w:bCs/>
        </w:rPr>
        <w:t xml:space="preserve"> by the accreditation committee of the General Alliance of National Human Rights Institutions (GANHRI). </w:t>
      </w:r>
      <w:r w:rsidRPr="00915ED6">
        <w:rPr>
          <w:bCs/>
        </w:rPr>
        <w:t xml:space="preserve">The Committee is concerned about the </w:t>
      </w:r>
      <w:r>
        <w:rPr>
          <w:bCs/>
        </w:rPr>
        <w:t>transparency of the</w:t>
      </w:r>
      <w:r w:rsidRPr="00915ED6">
        <w:rPr>
          <w:bCs/>
        </w:rPr>
        <w:t xml:space="preserve"> selection </w:t>
      </w:r>
      <w:r w:rsidRPr="00C11879">
        <w:rPr>
          <w:bCs/>
        </w:rPr>
        <w:t>process</w:t>
      </w:r>
      <w:r>
        <w:rPr>
          <w:bCs/>
        </w:rPr>
        <w:t xml:space="preserve"> of members of the NHRCT </w:t>
      </w:r>
      <w:r w:rsidRPr="00915ED6">
        <w:t>(art. 2)</w:t>
      </w:r>
      <w:r>
        <w:t>.</w:t>
      </w:r>
    </w:p>
    <w:p w:rsidR="00372E42" w:rsidRPr="006B63C4" w:rsidRDefault="00372E42" w:rsidP="00372E42">
      <w:pPr>
        <w:spacing w:after="120"/>
        <w:ind w:left="1134" w:right="1134"/>
        <w:jc w:val="both"/>
        <w:rPr>
          <w:b/>
          <w:lang w:eastAsia="en-GB"/>
        </w:rPr>
      </w:pPr>
      <w:r>
        <w:lastRenderedPageBreak/>
        <w:t>10</w:t>
      </w:r>
      <w:r w:rsidRPr="00915ED6">
        <w:t>.</w:t>
      </w:r>
      <w:r w:rsidRPr="00915ED6">
        <w:rPr>
          <w:b/>
          <w:bCs/>
        </w:rPr>
        <w:tab/>
        <w:t>The State party</w:t>
      </w:r>
      <w:r w:rsidRPr="00915ED6">
        <w:rPr>
          <w:b/>
          <w:lang w:eastAsia="en-GB"/>
        </w:rPr>
        <w:t xml:space="preserve"> should ensure that the NHRCT is able to carry out its mandate effectively and independently, and in full conformity with </w:t>
      </w:r>
      <w:r>
        <w:rPr>
          <w:b/>
          <w:lang w:eastAsia="en-GB"/>
        </w:rPr>
        <w:t xml:space="preserve">the </w:t>
      </w:r>
      <w:r w:rsidRPr="006B63C4">
        <w:rPr>
          <w:b/>
          <w:lang w:eastAsia="en-GB"/>
        </w:rPr>
        <w:t>Paris Principles</w:t>
      </w:r>
      <w:r>
        <w:rPr>
          <w:b/>
          <w:lang w:eastAsia="en-GB"/>
        </w:rPr>
        <w:t xml:space="preserve"> (</w:t>
      </w:r>
      <w:r w:rsidRPr="00D36AAF">
        <w:rPr>
          <w:rFonts w:eastAsia="Calibri"/>
          <w:b/>
        </w:rPr>
        <w:t>General Assembly resolution 48/134, annex</w:t>
      </w:r>
      <w:r>
        <w:rPr>
          <w:rFonts w:eastAsia="Calibri"/>
          <w:b/>
        </w:rPr>
        <w:t>)</w:t>
      </w:r>
      <w:r w:rsidRPr="006B63C4">
        <w:rPr>
          <w:b/>
          <w:lang w:eastAsia="en-GB"/>
        </w:rPr>
        <w:t xml:space="preserve">. </w:t>
      </w:r>
    </w:p>
    <w:p w:rsidR="00372E42" w:rsidRDefault="00372E42" w:rsidP="00372E42">
      <w:pPr>
        <w:spacing w:after="120"/>
        <w:ind w:left="1134" w:right="1134"/>
        <w:jc w:val="both"/>
        <w:rPr>
          <w:b/>
        </w:rPr>
      </w:pPr>
      <w:r w:rsidRPr="005045ED">
        <w:rPr>
          <w:b/>
        </w:rPr>
        <w:t>Non-discrimination</w:t>
      </w:r>
      <w:r w:rsidRPr="00F8433D">
        <w:rPr>
          <w:b/>
        </w:rPr>
        <w:t xml:space="preserve"> </w:t>
      </w:r>
    </w:p>
    <w:p w:rsidR="00372E42" w:rsidRPr="00CF18FB" w:rsidRDefault="00372E42" w:rsidP="00372E42">
      <w:pPr>
        <w:spacing w:after="120"/>
        <w:ind w:left="1134" w:right="1134"/>
        <w:jc w:val="both"/>
      </w:pPr>
      <w:r>
        <w:t>11</w:t>
      </w:r>
      <w:r w:rsidRPr="00CF18FB">
        <w:t>.</w:t>
      </w:r>
      <w:r w:rsidRPr="00CF18FB">
        <w:tab/>
        <w:t xml:space="preserve">While welcoming the Gender Equality Act (2015) and its efforts to prevent and address discrimination on </w:t>
      </w:r>
      <w:r>
        <w:t xml:space="preserve">the basis of gender and </w:t>
      </w:r>
      <w:r w:rsidRPr="00CF18FB">
        <w:t xml:space="preserve">sexual orientation, the Committee notes with concern that </w:t>
      </w:r>
      <w:r>
        <w:t xml:space="preserve">section 17 </w:t>
      </w:r>
      <w:r w:rsidRPr="00CF18FB">
        <w:t xml:space="preserve">allows for </w:t>
      </w:r>
      <w:r>
        <w:t>exceptions to gender discrimination on grounds of religion and national security. It</w:t>
      </w:r>
      <w:r w:rsidRPr="00CF18FB">
        <w:t xml:space="preserve"> is </w:t>
      </w:r>
      <w:r>
        <w:t xml:space="preserve">also further </w:t>
      </w:r>
      <w:r w:rsidRPr="00CF18FB">
        <w:t xml:space="preserve">concerned about </w:t>
      </w:r>
      <w:r>
        <w:t xml:space="preserve">reports of </w:t>
      </w:r>
      <w:r w:rsidRPr="00CF18FB">
        <w:t xml:space="preserve">discrimination and violence </w:t>
      </w:r>
      <w:r>
        <w:t xml:space="preserve">against </w:t>
      </w:r>
      <w:r w:rsidRPr="00CF18FB">
        <w:t>LGBTI</w:t>
      </w:r>
      <w:r>
        <w:t>, indigenous</w:t>
      </w:r>
      <w:r w:rsidRPr="00CF18FB">
        <w:t xml:space="preserve"> </w:t>
      </w:r>
      <w:r>
        <w:t xml:space="preserve">and stateless people, and </w:t>
      </w:r>
      <w:r w:rsidRPr="001E368D">
        <w:t>about reports of restrictions on travel on migrants wh</w:t>
      </w:r>
      <w:r>
        <w:t>o have regularised their status</w:t>
      </w:r>
      <w:r w:rsidRPr="001E368D">
        <w:t xml:space="preserve"> (arts. 2, 3</w:t>
      </w:r>
      <w:r>
        <w:t>, 12</w:t>
      </w:r>
      <w:r w:rsidRPr="001E368D">
        <w:t xml:space="preserve"> and 26)</w:t>
      </w:r>
      <w:r w:rsidR="00F31645">
        <w:t>.</w:t>
      </w:r>
    </w:p>
    <w:p w:rsidR="00372E42" w:rsidRPr="00CF06CD" w:rsidRDefault="00372E42" w:rsidP="00372E42">
      <w:pPr>
        <w:spacing w:after="120"/>
        <w:ind w:left="1134" w:right="1134" w:firstLine="6"/>
        <w:jc w:val="both"/>
        <w:rPr>
          <w:b/>
        </w:rPr>
      </w:pPr>
      <w:r>
        <w:rPr>
          <w:b/>
        </w:rPr>
        <w:t>12</w:t>
      </w:r>
      <w:r w:rsidRPr="00CF18FB">
        <w:rPr>
          <w:b/>
        </w:rPr>
        <w:t>.</w:t>
      </w:r>
      <w:r w:rsidRPr="00CF18FB">
        <w:rPr>
          <w:b/>
        </w:rPr>
        <w:tab/>
        <w:t xml:space="preserve">The State party should ensure full protection against discrimination, and in particular consider amending the Gender Equality Act to eliminate any </w:t>
      </w:r>
      <w:r>
        <w:rPr>
          <w:b/>
        </w:rPr>
        <w:t>limitation</w:t>
      </w:r>
      <w:r w:rsidRPr="00CF18FB">
        <w:rPr>
          <w:b/>
        </w:rPr>
        <w:t xml:space="preserve"> on the protection against gender discrimination.</w:t>
      </w:r>
      <w:r>
        <w:rPr>
          <w:b/>
        </w:rPr>
        <w:t xml:space="preserve"> </w:t>
      </w:r>
      <w:r w:rsidRPr="00CF06CD">
        <w:rPr>
          <w:b/>
        </w:rPr>
        <w:t>The State party should intensify measures to ensure that</w:t>
      </w:r>
      <w:r>
        <w:rPr>
          <w:b/>
        </w:rPr>
        <w:t xml:space="preserve"> LGBTI, indigenous and stateless people and</w:t>
      </w:r>
      <w:r w:rsidRPr="00CF06CD">
        <w:rPr>
          <w:b/>
        </w:rPr>
        <w:t xml:space="preserve"> migrants</w:t>
      </w:r>
      <w:r>
        <w:rPr>
          <w:b/>
        </w:rPr>
        <w:t xml:space="preserve"> do not suffer from discrimination and violence. </w:t>
      </w:r>
    </w:p>
    <w:p w:rsidR="00372E42" w:rsidRPr="00CF18FB" w:rsidRDefault="00372E42" w:rsidP="00372E42">
      <w:pPr>
        <w:spacing w:after="120"/>
        <w:ind w:left="567" w:right="1134" w:firstLine="567"/>
        <w:jc w:val="both"/>
        <w:rPr>
          <w:b/>
        </w:rPr>
      </w:pPr>
      <w:r w:rsidRPr="00714F25">
        <w:rPr>
          <w:b/>
        </w:rPr>
        <w:t>Violence against women</w:t>
      </w:r>
    </w:p>
    <w:p w:rsidR="00372E42" w:rsidRDefault="002E361D" w:rsidP="00372E42">
      <w:pPr>
        <w:spacing w:after="120"/>
        <w:ind w:left="1134" w:right="1134" w:firstLine="6"/>
        <w:jc w:val="both"/>
      </w:pPr>
      <w:r>
        <w:t>13</w:t>
      </w:r>
      <w:r w:rsidR="00372E42" w:rsidRPr="00CF18FB">
        <w:t>.</w:t>
      </w:r>
      <w:r w:rsidR="00372E42" w:rsidRPr="00CF18FB">
        <w:tab/>
        <w:t xml:space="preserve">The Committee is concerned about </w:t>
      </w:r>
      <w:r w:rsidR="00372E42">
        <w:t xml:space="preserve">reports of </w:t>
      </w:r>
      <w:r w:rsidR="00372E42" w:rsidRPr="00CF18FB">
        <w:t>high rates of domestic violence</w:t>
      </w:r>
      <w:r w:rsidR="00372E42">
        <w:t xml:space="preserve"> against women, which are largely underreported, as they are considered a private affair, and </w:t>
      </w:r>
      <w:r w:rsidR="00466E50">
        <w:t xml:space="preserve">about </w:t>
      </w:r>
      <w:r w:rsidR="00372E42">
        <w:t>the risk of impunity for perpetrators arising from the possibility of ending criminal proceedings upon settlement by the parties which may put victims under pressure not to pursue their rights (</w:t>
      </w:r>
      <w:r w:rsidR="00372E42" w:rsidRPr="00A700BD">
        <w:t xml:space="preserve">arts. 2, 3, </w:t>
      </w:r>
      <w:r w:rsidR="00372E42">
        <w:t xml:space="preserve">6, </w:t>
      </w:r>
      <w:r w:rsidR="00372E42" w:rsidRPr="00A700BD">
        <w:t>7 and 26)</w:t>
      </w:r>
      <w:r w:rsidR="00F31645">
        <w:t>.</w:t>
      </w:r>
    </w:p>
    <w:p w:rsidR="00372E42" w:rsidRPr="00CF18FB" w:rsidRDefault="00372E42" w:rsidP="00372E42">
      <w:pPr>
        <w:spacing w:after="120"/>
        <w:ind w:left="1134" w:right="1134" w:firstLine="6"/>
        <w:jc w:val="both"/>
        <w:rPr>
          <w:b/>
        </w:rPr>
      </w:pPr>
      <w:r w:rsidRPr="004B595B">
        <w:rPr>
          <w:b/>
        </w:rPr>
        <w:t>1</w:t>
      </w:r>
      <w:r w:rsidR="002E361D">
        <w:rPr>
          <w:b/>
        </w:rPr>
        <w:t>4</w:t>
      </w:r>
      <w:r w:rsidRPr="004B595B">
        <w:rPr>
          <w:b/>
        </w:rPr>
        <w:t>.</w:t>
      </w:r>
      <w:r w:rsidRPr="00CF18FB">
        <w:tab/>
      </w:r>
      <w:r w:rsidRPr="00CF18FB">
        <w:rPr>
          <w:b/>
        </w:rPr>
        <w:t xml:space="preserve">The State party should </w:t>
      </w:r>
      <w:r>
        <w:rPr>
          <w:b/>
        </w:rPr>
        <w:t xml:space="preserve">redouble its efforts </w:t>
      </w:r>
      <w:r w:rsidRPr="00CF18FB">
        <w:rPr>
          <w:b/>
        </w:rPr>
        <w:t xml:space="preserve">to prevent and address </w:t>
      </w:r>
      <w:r>
        <w:rPr>
          <w:b/>
        </w:rPr>
        <w:t>all forms of violence against women, including by</w:t>
      </w:r>
      <w:r w:rsidRPr="00CF18FB">
        <w:rPr>
          <w:b/>
        </w:rPr>
        <w:t>:</w:t>
      </w:r>
    </w:p>
    <w:p w:rsidR="00372E42" w:rsidRDefault="00372E42" w:rsidP="00372E42">
      <w:pPr>
        <w:spacing w:after="120"/>
        <w:ind w:left="1134" w:right="1134" w:firstLine="567"/>
        <w:jc w:val="both"/>
        <w:rPr>
          <w:b/>
        </w:rPr>
      </w:pPr>
      <w:r w:rsidRPr="00CF18FB">
        <w:rPr>
          <w:b/>
        </w:rPr>
        <w:t>(a)</w:t>
      </w:r>
      <w:r w:rsidRPr="00CF18FB">
        <w:rPr>
          <w:b/>
        </w:rPr>
        <w:tab/>
      </w:r>
      <w:r>
        <w:rPr>
          <w:b/>
        </w:rPr>
        <w:t>Encouraging reporting of such cases, establishing an effective complaint</w:t>
      </w:r>
      <w:r w:rsidR="0096306D">
        <w:rPr>
          <w:b/>
        </w:rPr>
        <w:t>s</w:t>
      </w:r>
      <w:r>
        <w:rPr>
          <w:b/>
        </w:rPr>
        <w:t xml:space="preserve"> mechanism and ensuring </w:t>
      </w:r>
      <w:r w:rsidRPr="00CF18FB">
        <w:rPr>
          <w:b/>
        </w:rPr>
        <w:t xml:space="preserve">that cases of </w:t>
      </w:r>
      <w:r>
        <w:rPr>
          <w:b/>
        </w:rPr>
        <w:t>violence against women</w:t>
      </w:r>
      <w:r w:rsidRPr="00CF18FB">
        <w:rPr>
          <w:b/>
        </w:rPr>
        <w:t xml:space="preserve"> are thoroughly investigated, perpetrators prosecuted and, if convicted, punished with appropriate sanctions; </w:t>
      </w:r>
      <w:r w:rsidR="00F31645">
        <w:rPr>
          <w:b/>
        </w:rPr>
        <w:t xml:space="preserve">and </w:t>
      </w:r>
      <w:r w:rsidRPr="00CF18FB">
        <w:rPr>
          <w:b/>
        </w:rPr>
        <w:t>that victims have access to effective r</w:t>
      </w:r>
      <w:r>
        <w:rPr>
          <w:b/>
        </w:rPr>
        <w:t>emedies and means of protection;</w:t>
      </w:r>
    </w:p>
    <w:p w:rsidR="00372E42" w:rsidRDefault="00372E42" w:rsidP="00372E42">
      <w:pPr>
        <w:spacing w:after="120"/>
        <w:ind w:left="1134" w:right="1134" w:firstLine="567"/>
        <w:jc w:val="both"/>
        <w:rPr>
          <w:b/>
        </w:rPr>
      </w:pPr>
      <w:r>
        <w:rPr>
          <w:b/>
        </w:rPr>
        <w:t>(b</w:t>
      </w:r>
      <w:r w:rsidRPr="00CF18FB">
        <w:rPr>
          <w:b/>
        </w:rPr>
        <w:t>)</w:t>
      </w:r>
      <w:r w:rsidRPr="00CF18FB">
        <w:rPr>
          <w:b/>
        </w:rPr>
        <w:tab/>
      </w:r>
      <w:r>
        <w:rPr>
          <w:b/>
        </w:rPr>
        <w:t>Amending provisions allowing termination of criminal proceedings upon settlement by the parties to ensure their compatibility with the Covenant; and</w:t>
      </w:r>
    </w:p>
    <w:p w:rsidR="00372E42" w:rsidRPr="00CF18FB" w:rsidRDefault="00372E42" w:rsidP="00372E42">
      <w:pPr>
        <w:spacing w:after="120"/>
        <w:ind w:left="1134" w:right="1134" w:firstLine="567"/>
        <w:jc w:val="both"/>
        <w:rPr>
          <w:b/>
        </w:rPr>
      </w:pPr>
      <w:r>
        <w:rPr>
          <w:b/>
        </w:rPr>
        <w:t>(c</w:t>
      </w:r>
      <w:r w:rsidRPr="00CF18FB">
        <w:rPr>
          <w:b/>
        </w:rPr>
        <w:t>)</w:t>
      </w:r>
      <w:r w:rsidRPr="00CF18FB">
        <w:rPr>
          <w:b/>
        </w:rPr>
        <w:tab/>
        <w:t>C</w:t>
      </w:r>
      <w:r>
        <w:rPr>
          <w:b/>
        </w:rPr>
        <w:t>ontinuing to c</w:t>
      </w:r>
      <w:r w:rsidRPr="00CF18FB">
        <w:rPr>
          <w:b/>
        </w:rPr>
        <w:t xml:space="preserve">arry out awareness-raising campaigns to sensitize the population </w:t>
      </w:r>
      <w:r>
        <w:rPr>
          <w:b/>
        </w:rPr>
        <w:t xml:space="preserve">about the unacceptability of violence against women </w:t>
      </w:r>
      <w:r w:rsidRPr="00CF18FB">
        <w:rPr>
          <w:b/>
        </w:rPr>
        <w:t xml:space="preserve">and </w:t>
      </w:r>
      <w:r>
        <w:rPr>
          <w:b/>
        </w:rPr>
        <w:t xml:space="preserve">increase the training and </w:t>
      </w:r>
      <w:r w:rsidRPr="00CF18FB">
        <w:rPr>
          <w:b/>
        </w:rPr>
        <w:t xml:space="preserve">capacity building of </w:t>
      </w:r>
      <w:r>
        <w:rPr>
          <w:b/>
        </w:rPr>
        <w:t>police</w:t>
      </w:r>
      <w:r w:rsidRPr="00CF18FB">
        <w:rPr>
          <w:b/>
        </w:rPr>
        <w:t xml:space="preserve"> forces</w:t>
      </w:r>
      <w:r>
        <w:rPr>
          <w:b/>
        </w:rPr>
        <w:t>, prosecutors and judges</w:t>
      </w:r>
      <w:r w:rsidRPr="00CF18FB">
        <w:rPr>
          <w:b/>
        </w:rPr>
        <w:t>.</w:t>
      </w:r>
    </w:p>
    <w:p w:rsidR="00372E42" w:rsidRPr="0079651F" w:rsidRDefault="00372E42" w:rsidP="00372E42">
      <w:pPr>
        <w:pStyle w:val="SingleTxtG"/>
        <w:rPr>
          <w:b/>
        </w:rPr>
      </w:pPr>
      <w:r w:rsidRPr="0079651F">
        <w:rPr>
          <w:b/>
        </w:rPr>
        <w:t>Equal rights of men and women</w:t>
      </w:r>
    </w:p>
    <w:p w:rsidR="00372E42" w:rsidRDefault="002E361D" w:rsidP="00372E42">
      <w:pPr>
        <w:pStyle w:val="SingleTxtG"/>
      </w:pPr>
      <w:r>
        <w:t>15</w:t>
      </w:r>
      <w:r w:rsidR="00372E42" w:rsidRPr="00CF18FB">
        <w:t>.</w:t>
      </w:r>
      <w:r w:rsidR="00372E42" w:rsidRPr="00CF18FB">
        <w:tab/>
        <w:t>The Committee is concerned about the prevalence o</w:t>
      </w:r>
      <w:r w:rsidR="00372E42">
        <w:t>f gender biases and stereotypes</w:t>
      </w:r>
      <w:r w:rsidR="00372E42" w:rsidRPr="00CF18FB">
        <w:t xml:space="preserve"> and the limited </w:t>
      </w:r>
      <w:r w:rsidR="00372E42" w:rsidRPr="00C204FF">
        <w:t>participation of women in political life and the private and public sector, including the police (arts. 2, 3 and 26).</w:t>
      </w:r>
    </w:p>
    <w:p w:rsidR="00372E42" w:rsidRPr="00CF18FB" w:rsidRDefault="00372E42" w:rsidP="00372E42">
      <w:pPr>
        <w:spacing w:after="120"/>
        <w:ind w:left="1134" w:right="1134" w:firstLine="6"/>
        <w:jc w:val="both"/>
        <w:rPr>
          <w:b/>
        </w:rPr>
      </w:pPr>
      <w:r w:rsidRPr="00215A0E">
        <w:rPr>
          <w:b/>
        </w:rPr>
        <w:t>1</w:t>
      </w:r>
      <w:r w:rsidR="002E361D">
        <w:rPr>
          <w:b/>
        </w:rPr>
        <w:t>6</w:t>
      </w:r>
      <w:r w:rsidRPr="00215A0E">
        <w:rPr>
          <w:b/>
        </w:rPr>
        <w:t>.</w:t>
      </w:r>
      <w:r w:rsidRPr="00CF18FB">
        <w:tab/>
      </w:r>
      <w:r w:rsidRPr="00CF18FB">
        <w:rPr>
          <w:b/>
        </w:rPr>
        <w:t>The State party should strengthen its efforts to</w:t>
      </w:r>
      <w:r>
        <w:rPr>
          <w:b/>
        </w:rPr>
        <w:t xml:space="preserve"> increase </w:t>
      </w:r>
      <w:r w:rsidRPr="00BF2E18">
        <w:rPr>
          <w:b/>
        </w:rPr>
        <w:t>the participation of women</w:t>
      </w:r>
      <w:r>
        <w:rPr>
          <w:b/>
        </w:rPr>
        <w:t>, particularly in high-level and managerial positions</w:t>
      </w:r>
      <w:r w:rsidRPr="00BF2E18">
        <w:rPr>
          <w:b/>
        </w:rPr>
        <w:t xml:space="preserve"> in political life and private and public sector, if necessary, through temporary special measures, to give full effect to the provisions of the </w:t>
      </w:r>
      <w:r>
        <w:rPr>
          <w:b/>
        </w:rPr>
        <w:t xml:space="preserve">Covenant; and continue strengthening </w:t>
      </w:r>
      <w:r w:rsidRPr="00CF18FB">
        <w:rPr>
          <w:b/>
        </w:rPr>
        <w:t xml:space="preserve">the measures to </w:t>
      </w:r>
      <w:r>
        <w:rPr>
          <w:b/>
        </w:rPr>
        <w:t xml:space="preserve">raise awareness and </w:t>
      </w:r>
      <w:r w:rsidRPr="00CF18FB">
        <w:rPr>
          <w:b/>
        </w:rPr>
        <w:t xml:space="preserve">eliminate </w:t>
      </w:r>
      <w:r>
        <w:rPr>
          <w:b/>
        </w:rPr>
        <w:t>gender biases and stereotypes.</w:t>
      </w:r>
    </w:p>
    <w:p w:rsidR="00372E42" w:rsidRDefault="00372E42" w:rsidP="00372E42">
      <w:pPr>
        <w:pStyle w:val="H23G"/>
      </w:pPr>
      <w:r w:rsidRPr="00C0117F">
        <w:tab/>
      </w:r>
      <w:r w:rsidRPr="00C0117F">
        <w:tab/>
      </w:r>
      <w:r w:rsidRPr="002E7380">
        <w:t>Death Penalty</w:t>
      </w:r>
    </w:p>
    <w:p w:rsidR="00372E42" w:rsidRDefault="002E361D" w:rsidP="00372E42">
      <w:pPr>
        <w:pStyle w:val="SingleTxtG"/>
        <w:rPr>
          <w:b/>
        </w:rPr>
      </w:pPr>
      <w:r>
        <w:t>17</w:t>
      </w:r>
      <w:r w:rsidR="00372E42" w:rsidRPr="003B2FE5">
        <w:t>.</w:t>
      </w:r>
      <w:r w:rsidR="00372E42" w:rsidRPr="003B2FE5">
        <w:tab/>
      </w:r>
      <w:r w:rsidR="00372E42" w:rsidRPr="005124E3">
        <w:t>While wel</w:t>
      </w:r>
      <w:r w:rsidR="00372E42">
        <w:t>coming the de facto moratorium o</w:t>
      </w:r>
      <w:r w:rsidR="00372E42" w:rsidRPr="005124E3">
        <w:t xml:space="preserve">n executions, </w:t>
      </w:r>
      <w:r w:rsidR="00372E42">
        <w:t>t</w:t>
      </w:r>
      <w:r w:rsidR="00372E42" w:rsidRPr="003B2FE5">
        <w:t xml:space="preserve">he Committee reiterates its concern </w:t>
      </w:r>
      <w:r w:rsidR="00372E42">
        <w:t xml:space="preserve">that domestic law punishes with the death penalty crimes such as crimes relating to corruption, bribery and drugs that do not meet the threshold of the “most serious crimes” </w:t>
      </w:r>
      <w:r w:rsidR="00372E42">
        <w:lastRenderedPageBreak/>
        <w:t>within the meaning of article 6(2) of the Covenant</w:t>
      </w:r>
      <w:r w:rsidR="00372E42" w:rsidRPr="003B2FE5">
        <w:t xml:space="preserve">. </w:t>
      </w:r>
      <w:r w:rsidR="00372E42">
        <w:t>The Committee is also concerned about the large number of cases in which the death penalty has been imposed (arts. 6 and</w:t>
      </w:r>
      <w:r w:rsidR="00372E42" w:rsidRPr="003B2FE5">
        <w:t xml:space="preserve"> 7)</w:t>
      </w:r>
      <w:r w:rsidR="00372E42">
        <w:t xml:space="preserve">. </w:t>
      </w:r>
    </w:p>
    <w:p w:rsidR="004B0A44" w:rsidRDefault="002E361D" w:rsidP="001418B4">
      <w:pPr>
        <w:spacing w:after="120"/>
        <w:ind w:left="1134" w:right="1134"/>
        <w:jc w:val="both"/>
        <w:rPr>
          <w:b/>
        </w:rPr>
      </w:pPr>
      <w:r>
        <w:rPr>
          <w:b/>
        </w:rPr>
        <w:t>18</w:t>
      </w:r>
      <w:r w:rsidR="00372E42" w:rsidRPr="005C1ED8">
        <w:rPr>
          <w:b/>
        </w:rPr>
        <w:t>.</w:t>
      </w:r>
      <w:r w:rsidR="00372E42" w:rsidRPr="005C1ED8">
        <w:rPr>
          <w:b/>
        </w:rPr>
        <w:tab/>
        <w:t xml:space="preserve">The State party should consider </w:t>
      </w:r>
      <w:r w:rsidR="005F7224">
        <w:rPr>
          <w:b/>
        </w:rPr>
        <w:t xml:space="preserve">abolishing the death penalty and </w:t>
      </w:r>
      <w:r w:rsidR="00372E42">
        <w:rPr>
          <w:b/>
        </w:rPr>
        <w:t>acceding to the Second Optional Protocol to the Covenant, aiming at the abolition of the death penalty</w:t>
      </w:r>
      <w:r w:rsidR="00372E42" w:rsidRPr="005C1ED8">
        <w:rPr>
          <w:b/>
        </w:rPr>
        <w:t xml:space="preserve">. </w:t>
      </w:r>
      <w:r w:rsidR="00372E42">
        <w:rPr>
          <w:b/>
        </w:rPr>
        <w:t>If the death penalty is maintained, the State should take all measures necessary, including legislative action, to ensure that the death penalty is limited to the most serious crimes involving intentional act</w:t>
      </w:r>
      <w:r w:rsidR="0096306D">
        <w:rPr>
          <w:b/>
        </w:rPr>
        <w:t>s</w:t>
      </w:r>
      <w:r w:rsidR="00372E42">
        <w:rPr>
          <w:b/>
        </w:rPr>
        <w:t xml:space="preserve"> of killing.</w:t>
      </w:r>
      <w:r w:rsidR="0096306D">
        <w:rPr>
          <w:b/>
        </w:rPr>
        <w:t xml:space="preserve"> </w:t>
      </w:r>
    </w:p>
    <w:p w:rsidR="00372E42" w:rsidRPr="00E0639B" w:rsidRDefault="00372E42" w:rsidP="00372E42">
      <w:pPr>
        <w:spacing w:after="120"/>
        <w:ind w:left="1134" w:right="1134"/>
        <w:jc w:val="both"/>
        <w:rPr>
          <w:b/>
        </w:rPr>
      </w:pPr>
      <w:r w:rsidRPr="00AE0A82">
        <w:rPr>
          <w:b/>
        </w:rPr>
        <w:t>Extra-judicial killings, enforced disappearances and torture</w:t>
      </w:r>
    </w:p>
    <w:p w:rsidR="00372E42" w:rsidRDefault="002E361D" w:rsidP="00372E42">
      <w:pPr>
        <w:spacing w:after="120"/>
        <w:ind w:left="1134" w:right="1134" w:firstLine="6"/>
        <w:jc w:val="both"/>
      </w:pPr>
      <w:r>
        <w:t>19</w:t>
      </w:r>
      <w:r w:rsidR="00372E42" w:rsidRPr="00E0639B">
        <w:t>.</w:t>
      </w:r>
      <w:r w:rsidR="00372E42" w:rsidRPr="00E0639B">
        <w:tab/>
        <w:t>The Committee remains concerned</w:t>
      </w:r>
      <w:r w:rsidR="00372E42">
        <w:t xml:space="preserve">, </w:t>
      </w:r>
      <w:r w:rsidR="00372E42" w:rsidRPr="00E0639B">
        <w:t xml:space="preserve">that the State party’s criminal legislation does not adequately ensure that acts of torture </w:t>
      </w:r>
      <w:r w:rsidR="00372E42">
        <w:t>and enforced disappearance</w:t>
      </w:r>
      <w:r w:rsidR="004B0A44">
        <w:t>,</w:t>
      </w:r>
      <w:r w:rsidR="00372E42">
        <w:t xml:space="preserve"> </w:t>
      </w:r>
      <w:r w:rsidR="00372E42" w:rsidRPr="00E0639B">
        <w:t xml:space="preserve">as stated in the Covenant and </w:t>
      </w:r>
      <w:r w:rsidR="00372E42">
        <w:t>other</w:t>
      </w:r>
      <w:r w:rsidR="00372E42" w:rsidRPr="00E0639B">
        <w:t xml:space="preserve"> internationally established</w:t>
      </w:r>
      <w:r w:rsidR="00372E42">
        <w:t xml:space="preserve"> standards</w:t>
      </w:r>
      <w:r w:rsidR="004B0A44">
        <w:t>,</w:t>
      </w:r>
      <w:r w:rsidR="00372E42">
        <w:t xml:space="preserve"> are fully criminalized</w:t>
      </w:r>
      <w:r w:rsidR="00372E42" w:rsidRPr="00C5463B">
        <w:t>.</w:t>
      </w:r>
      <w:r w:rsidR="00372E42">
        <w:t xml:space="preserve"> The Committee regrets the delay in enacting the draft Act on Prevention and Suppression of Torture and Enforced Disappearance (arts. 2, 6, 7, 9, 10 and 16).</w:t>
      </w:r>
    </w:p>
    <w:p w:rsidR="00372E42" w:rsidRDefault="002E361D" w:rsidP="00372E42">
      <w:pPr>
        <w:spacing w:after="120"/>
        <w:ind w:left="1134" w:right="1134" w:firstLine="6"/>
        <w:jc w:val="both"/>
      </w:pPr>
      <w:r>
        <w:rPr>
          <w:b/>
        </w:rPr>
        <w:t>20</w:t>
      </w:r>
      <w:r w:rsidR="00372E42" w:rsidRPr="00761394">
        <w:rPr>
          <w:b/>
        </w:rPr>
        <w:t>.</w:t>
      </w:r>
      <w:r w:rsidR="00372E42" w:rsidRPr="00761394">
        <w:rPr>
          <w:b/>
        </w:rPr>
        <w:tab/>
        <w:t xml:space="preserve">The State party should </w:t>
      </w:r>
      <w:r w:rsidR="00372E42">
        <w:rPr>
          <w:b/>
        </w:rPr>
        <w:t xml:space="preserve">ensure that legislation fully complies with the Covenant, in particular </w:t>
      </w:r>
      <w:r w:rsidR="001418B4">
        <w:rPr>
          <w:b/>
        </w:rPr>
        <w:t xml:space="preserve">by </w:t>
      </w:r>
      <w:r w:rsidR="002366AB">
        <w:rPr>
          <w:b/>
        </w:rPr>
        <w:t xml:space="preserve">prohibiting </w:t>
      </w:r>
      <w:r w:rsidR="00372E42">
        <w:rPr>
          <w:b/>
        </w:rPr>
        <w:t xml:space="preserve">torture and enforced disappearances </w:t>
      </w:r>
      <w:r w:rsidR="00372E42" w:rsidRPr="00761394">
        <w:rPr>
          <w:b/>
        </w:rPr>
        <w:t xml:space="preserve">in </w:t>
      </w:r>
      <w:r w:rsidR="001418B4">
        <w:rPr>
          <w:b/>
        </w:rPr>
        <w:t xml:space="preserve">accordance with </w:t>
      </w:r>
      <w:r w:rsidR="00372E42" w:rsidRPr="00761394">
        <w:rPr>
          <w:b/>
        </w:rPr>
        <w:t>the Covenant</w:t>
      </w:r>
      <w:r w:rsidR="00372E42">
        <w:rPr>
          <w:b/>
        </w:rPr>
        <w:t xml:space="preserve"> and international standards. </w:t>
      </w:r>
      <w:r w:rsidR="002366AB">
        <w:rPr>
          <w:b/>
        </w:rPr>
        <w:t xml:space="preserve">The </w:t>
      </w:r>
      <w:r w:rsidR="00372E42">
        <w:rPr>
          <w:b/>
        </w:rPr>
        <w:t xml:space="preserve">State party </w:t>
      </w:r>
      <w:r w:rsidR="002366AB">
        <w:rPr>
          <w:b/>
        </w:rPr>
        <w:t xml:space="preserve">should expeditiously enact law on the prevention and suppression of torture and enforced </w:t>
      </w:r>
      <w:r w:rsidR="00494D8E">
        <w:rPr>
          <w:b/>
        </w:rPr>
        <w:t>disappearances</w:t>
      </w:r>
    </w:p>
    <w:p w:rsidR="00372E42" w:rsidRDefault="002E361D" w:rsidP="00372E42">
      <w:pPr>
        <w:spacing w:after="120"/>
        <w:ind w:left="1134" w:right="1134" w:firstLine="6"/>
        <w:jc w:val="both"/>
      </w:pPr>
      <w:r>
        <w:t>21.</w:t>
      </w:r>
      <w:r w:rsidR="00372E42">
        <w:tab/>
        <w:t>The Committee is particularly concerned about reports of torture and other ill-treatment</w:t>
      </w:r>
      <w:r w:rsidR="00692FE4">
        <w:t>,</w:t>
      </w:r>
      <w:r w:rsidR="00372E42">
        <w:t xml:space="preserve"> extra-judicial executions</w:t>
      </w:r>
      <w:r w:rsidR="00692FE4">
        <w:t xml:space="preserve"> and enforced disappearances</w:t>
      </w:r>
      <w:r w:rsidR="00372E42">
        <w:t xml:space="preserve">, </w:t>
      </w:r>
      <w:r w:rsidR="00692FE4">
        <w:t xml:space="preserve">against inter alia, human rights defenders, </w:t>
      </w:r>
      <w:r w:rsidR="00372E42">
        <w:t>including in the context of the Southern Border Provinces. The Committee remains concerned about widespread impunity for those crimes; and the slow progress in investigatin</w:t>
      </w:r>
      <w:r w:rsidR="00692FE4">
        <w:t>g</w:t>
      </w:r>
      <w:r w:rsidR="00372E42">
        <w:t xml:space="preserve"> such cases, including with regard to the cases of </w:t>
      </w:r>
      <w:r w:rsidR="00372E42" w:rsidRPr="00AE0A82">
        <w:t>the shooting of civilians during the political violence of 2010</w:t>
      </w:r>
      <w:r w:rsidR="00494D8E">
        <w:t>,</w:t>
      </w:r>
      <w:r w:rsidR="00372E42" w:rsidRPr="00AE0A82">
        <w:t xml:space="preserve"> the enforced disappearances of </w:t>
      </w:r>
      <w:proofErr w:type="spellStart"/>
      <w:r w:rsidR="00372E42" w:rsidRPr="00AE0A82">
        <w:t>Sompchai</w:t>
      </w:r>
      <w:proofErr w:type="spellEnd"/>
      <w:r w:rsidR="00372E42" w:rsidRPr="00AE0A82">
        <w:t xml:space="preserve"> </w:t>
      </w:r>
      <w:proofErr w:type="spellStart"/>
      <w:r w:rsidR="00372E42" w:rsidRPr="00AE0A82">
        <w:t>Neelapaijit</w:t>
      </w:r>
      <w:proofErr w:type="spellEnd"/>
      <w:r w:rsidR="00372E42" w:rsidRPr="00AE0A82">
        <w:t xml:space="preserve"> and </w:t>
      </w:r>
      <w:proofErr w:type="spellStart"/>
      <w:r w:rsidR="00372E42" w:rsidRPr="00AE0A82">
        <w:t>Po</w:t>
      </w:r>
      <w:r w:rsidR="00372E42">
        <w:t>rlajee</w:t>
      </w:r>
      <w:proofErr w:type="spellEnd"/>
      <w:r w:rsidR="00372E42">
        <w:t xml:space="preserve"> "Billy" </w:t>
      </w:r>
      <w:proofErr w:type="spellStart"/>
      <w:r w:rsidR="00372E42">
        <w:t>Rakchongchaeroen</w:t>
      </w:r>
      <w:proofErr w:type="spellEnd"/>
      <w:r w:rsidR="00692FE4">
        <w:t xml:space="preserve"> and </w:t>
      </w:r>
      <w:r w:rsidR="00494D8E">
        <w:t xml:space="preserve">the torture endured by </w:t>
      </w:r>
      <w:proofErr w:type="spellStart"/>
      <w:r w:rsidR="00494D8E">
        <w:t>Kritsuda</w:t>
      </w:r>
      <w:proofErr w:type="spellEnd"/>
      <w:r w:rsidR="00494D8E">
        <w:t xml:space="preserve"> </w:t>
      </w:r>
      <w:proofErr w:type="spellStart"/>
      <w:r w:rsidR="00494D8E">
        <w:t>Khunasen</w:t>
      </w:r>
      <w:proofErr w:type="spellEnd"/>
      <w:r w:rsidR="00D117F4">
        <w:t xml:space="preserve"> </w:t>
      </w:r>
      <w:r w:rsidR="00372E42" w:rsidRPr="00A700BD">
        <w:t>(art</w:t>
      </w:r>
      <w:r w:rsidR="00372E42">
        <w:t>s</w:t>
      </w:r>
      <w:r w:rsidR="00372E42" w:rsidRPr="00A700BD">
        <w:t>. 2,</w:t>
      </w:r>
      <w:r w:rsidR="00372E42">
        <w:t xml:space="preserve"> 6,</w:t>
      </w:r>
      <w:r w:rsidR="00372E42" w:rsidRPr="00A700BD">
        <w:t xml:space="preserve"> 7</w:t>
      </w:r>
      <w:r w:rsidR="00372E42">
        <w:t>, 9,</w:t>
      </w:r>
      <w:r w:rsidR="00372E42" w:rsidRPr="00A700BD">
        <w:t xml:space="preserve"> 10</w:t>
      </w:r>
      <w:r w:rsidR="00372E42">
        <w:t xml:space="preserve"> and 16</w:t>
      </w:r>
      <w:r w:rsidR="00372E42" w:rsidRPr="00A700BD">
        <w:t>)</w:t>
      </w:r>
      <w:r w:rsidR="00F31645">
        <w:t>.</w:t>
      </w:r>
    </w:p>
    <w:p w:rsidR="00372E42" w:rsidRPr="00085272" w:rsidRDefault="00372E42" w:rsidP="00372E42">
      <w:pPr>
        <w:spacing w:after="120"/>
        <w:ind w:left="1134" w:right="1134" w:firstLine="6"/>
        <w:jc w:val="both"/>
        <w:rPr>
          <w:b/>
        </w:rPr>
      </w:pPr>
      <w:r w:rsidRPr="0010532F">
        <w:rPr>
          <w:b/>
        </w:rPr>
        <w:t>2</w:t>
      </w:r>
      <w:r w:rsidR="002E361D">
        <w:rPr>
          <w:b/>
        </w:rPr>
        <w:t>2</w:t>
      </w:r>
      <w:r w:rsidRPr="0010532F">
        <w:rPr>
          <w:b/>
        </w:rPr>
        <w:t>.</w:t>
      </w:r>
      <w:r w:rsidRPr="0010532F">
        <w:rPr>
          <w:b/>
        </w:rPr>
        <w:tab/>
      </w:r>
      <w:r w:rsidRPr="00085272">
        <w:rPr>
          <w:b/>
        </w:rPr>
        <w:t>The State party should</w:t>
      </w:r>
      <w:r>
        <w:rPr>
          <w:b/>
        </w:rPr>
        <w:t>:</w:t>
      </w:r>
    </w:p>
    <w:p w:rsidR="00372E42" w:rsidRDefault="00372E42" w:rsidP="00372E42">
      <w:pPr>
        <w:spacing w:after="120"/>
        <w:ind w:left="1134" w:right="1134" w:firstLine="567"/>
        <w:jc w:val="both"/>
        <w:rPr>
          <w:b/>
        </w:rPr>
      </w:pPr>
      <w:r w:rsidRPr="00085272">
        <w:rPr>
          <w:b/>
        </w:rPr>
        <w:t>(a)</w:t>
      </w:r>
      <w:r w:rsidRPr="00085272">
        <w:rPr>
          <w:b/>
        </w:rPr>
        <w:tab/>
      </w:r>
      <w:r>
        <w:rPr>
          <w:b/>
        </w:rPr>
        <w:t xml:space="preserve">Ensure that cases are reported and that prompt, impartial and thorough investigations are carried out into all </w:t>
      </w:r>
      <w:r w:rsidRPr="00825CA1">
        <w:rPr>
          <w:b/>
        </w:rPr>
        <w:t>allegations and complaints concerning</w:t>
      </w:r>
      <w:r>
        <w:rPr>
          <w:b/>
        </w:rPr>
        <w:t xml:space="preserve"> the unlawful and excessive use of force by law enforcement officials and the military, including torture, enforced disappearances and extra-judicial killings, including in the context of the Southern Border Provinces. Ensure that perpetrators are prosecuted and, if convicted, punished with appropriate sanctions</w:t>
      </w:r>
      <w:proofErr w:type="gramStart"/>
      <w:r>
        <w:rPr>
          <w:b/>
        </w:rPr>
        <w:t>;;</w:t>
      </w:r>
      <w:proofErr w:type="gramEnd"/>
      <w:r>
        <w:rPr>
          <w:b/>
        </w:rPr>
        <w:t xml:space="preserve"> </w:t>
      </w:r>
    </w:p>
    <w:p w:rsidR="00692FE4" w:rsidRDefault="00692FE4" w:rsidP="00372E42">
      <w:pPr>
        <w:spacing w:after="120"/>
        <w:ind w:left="1134" w:right="1134" w:firstLine="567"/>
        <w:jc w:val="both"/>
        <w:rPr>
          <w:b/>
        </w:rPr>
      </w:pPr>
      <w:r>
        <w:rPr>
          <w:b/>
        </w:rPr>
        <w:t>(b)</w:t>
      </w:r>
      <w:r>
        <w:rPr>
          <w:b/>
        </w:rPr>
        <w:tab/>
        <w:t xml:space="preserve">Provide the truth about the circumstances of those crimes and, in cases of enforced disappearances, clarify the </w:t>
      </w:r>
      <w:r w:rsidR="00EB1CF8">
        <w:rPr>
          <w:b/>
        </w:rPr>
        <w:t xml:space="preserve">fate or </w:t>
      </w:r>
      <w:r>
        <w:rPr>
          <w:b/>
        </w:rPr>
        <w:t xml:space="preserve">whereabouts of the victims and ensure that their relatives are informed about the progress </w:t>
      </w:r>
      <w:r w:rsidR="00D117F4">
        <w:rPr>
          <w:b/>
        </w:rPr>
        <w:t>and</w:t>
      </w:r>
      <w:r>
        <w:rPr>
          <w:b/>
        </w:rPr>
        <w:t xml:space="preserve"> the results of the investigations;</w:t>
      </w:r>
    </w:p>
    <w:p w:rsidR="00692FE4" w:rsidRDefault="00692FE4" w:rsidP="00692FE4">
      <w:pPr>
        <w:spacing w:after="120"/>
        <w:ind w:left="1134" w:right="1134" w:firstLine="567"/>
        <w:jc w:val="both"/>
        <w:rPr>
          <w:b/>
        </w:rPr>
      </w:pPr>
      <w:r>
        <w:rPr>
          <w:b/>
        </w:rPr>
        <w:t>(c)</w:t>
      </w:r>
      <w:r>
        <w:rPr>
          <w:b/>
        </w:rPr>
        <w:tab/>
        <w:t>Ensure that the victims are provided with full reparation, including satisfaction and guarantees of non-repetition;</w:t>
      </w:r>
    </w:p>
    <w:p w:rsidR="00372E42" w:rsidRDefault="00372E42" w:rsidP="00372E42">
      <w:pPr>
        <w:spacing w:after="120"/>
        <w:ind w:left="1134" w:right="1134" w:firstLine="567"/>
        <w:jc w:val="both"/>
        <w:rPr>
          <w:b/>
        </w:rPr>
      </w:pPr>
      <w:r>
        <w:rPr>
          <w:b/>
        </w:rPr>
        <w:t>(</w:t>
      </w:r>
      <w:r w:rsidR="00692FE4">
        <w:rPr>
          <w:b/>
        </w:rPr>
        <w:t>d</w:t>
      </w:r>
      <w:r>
        <w:rPr>
          <w:b/>
        </w:rPr>
        <w:t>)</w:t>
      </w:r>
      <w:r>
        <w:rPr>
          <w:b/>
        </w:rPr>
        <w:tab/>
        <w:t xml:space="preserve">Amend </w:t>
      </w:r>
      <w:r w:rsidRPr="00E05765">
        <w:rPr>
          <w:b/>
        </w:rPr>
        <w:t>the Martial</w:t>
      </w:r>
      <w:r>
        <w:rPr>
          <w:b/>
        </w:rPr>
        <w:t xml:space="preserve"> Law Act, </w:t>
      </w:r>
      <w:r w:rsidRPr="00E05765">
        <w:rPr>
          <w:b/>
        </w:rPr>
        <w:t>Emergency Decree</w:t>
      </w:r>
      <w:r>
        <w:rPr>
          <w:b/>
        </w:rPr>
        <w:t xml:space="preserve"> and Order 3/2015</w:t>
      </w:r>
      <w:r w:rsidRPr="00E05765">
        <w:rPr>
          <w:b/>
        </w:rPr>
        <w:t xml:space="preserve"> </w:t>
      </w:r>
      <w:r>
        <w:rPr>
          <w:b/>
        </w:rPr>
        <w:t>to ensure that they comply with all the provisions of Covenant, including with the guarantees against detention incommunicado enumerated in the Committee’s general comment No. 35(2014); and criteria with a view to lifting the Martial Law and Emergency Decree in the provinces currently under them without undue delay</w:t>
      </w:r>
    </w:p>
    <w:p w:rsidR="00372E42" w:rsidRDefault="00372E42" w:rsidP="00372E42">
      <w:pPr>
        <w:spacing w:after="120"/>
        <w:ind w:left="1134" w:right="1134" w:firstLine="567"/>
        <w:jc w:val="both"/>
        <w:rPr>
          <w:b/>
        </w:rPr>
      </w:pPr>
      <w:r>
        <w:rPr>
          <w:b/>
        </w:rPr>
        <w:t>(</w:t>
      </w:r>
      <w:r w:rsidR="004662DB">
        <w:rPr>
          <w:b/>
        </w:rPr>
        <w:t>e</w:t>
      </w:r>
      <w:r>
        <w:rPr>
          <w:b/>
        </w:rPr>
        <w:t>)</w:t>
      </w:r>
      <w:r>
        <w:rPr>
          <w:b/>
        </w:rPr>
        <w:tab/>
        <w:t>S</w:t>
      </w:r>
      <w:r w:rsidRPr="004638D2">
        <w:rPr>
          <w:b/>
        </w:rPr>
        <w:t>et</w:t>
      </w:r>
      <w:r>
        <w:rPr>
          <w:b/>
        </w:rPr>
        <w:t>ting</w:t>
      </w:r>
      <w:r w:rsidRPr="004638D2">
        <w:rPr>
          <w:b/>
        </w:rPr>
        <w:t xml:space="preserve"> up promptly a</w:t>
      </w:r>
      <w:r w:rsidR="00692FE4">
        <w:rPr>
          <w:b/>
        </w:rPr>
        <w:t>n independent mechanism for the prevention and suppression of t</w:t>
      </w:r>
      <w:r w:rsidRPr="004638D2">
        <w:rPr>
          <w:b/>
        </w:rPr>
        <w:t xml:space="preserve">orture and </w:t>
      </w:r>
      <w:r w:rsidR="00692FE4">
        <w:rPr>
          <w:b/>
        </w:rPr>
        <w:t>e</w:t>
      </w:r>
      <w:r w:rsidRPr="004638D2">
        <w:rPr>
          <w:b/>
        </w:rPr>
        <w:t xml:space="preserve">nforced </w:t>
      </w:r>
      <w:r w:rsidR="00692FE4">
        <w:rPr>
          <w:b/>
        </w:rPr>
        <w:t>d</w:t>
      </w:r>
      <w:r w:rsidRPr="004638D2">
        <w:rPr>
          <w:b/>
        </w:rPr>
        <w:t>isappearances</w:t>
      </w:r>
      <w:r>
        <w:rPr>
          <w:b/>
        </w:rPr>
        <w:t>;</w:t>
      </w:r>
    </w:p>
    <w:p w:rsidR="00372E42" w:rsidRPr="00BA6DDC" w:rsidRDefault="00372E42" w:rsidP="00372E42">
      <w:pPr>
        <w:spacing w:after="120"/>
        <w:ind w:left="1134" w:right="1134" w:firstLine="567"/>
        <w:jc w:val="both"/>
        <w:rPr>
          <w:b/>
        </w:rPr>
      </w:pPr>
      <w:r>
        <w:rPr>
          <w:b/>
        </w:rPr>
        <w:t>(</w:t>
      </w:r>
      <w:r w:rsidR="004662DB">
        <w:rPr>
          <w:b/>
        </w:rPr>
        <w:t>f</w:t>
      </w:r>
      <w:r>
        <w:rPr>
          <w:b/>
        </w:rPr>
        <w:t>)</w:t>
      </w:r>
      <w:r>
        <w:rPr>
          <w:b/>
        </w:rPr>
        <w:tab/>
        <w:t xml:space="preserve">Reinforce the training of law enforcement officials and military personnel on full respect for human rights, including appropriate use of force and on </w:t>
      </w:r>
      <w:r>
        <w:rPr>
          <w:b/>
        </w:rPr>
        <w:lastRenderedPageBreak/>
        <w:t xml:space="preserve">the </w:t>
      </w:r>
      <w:r w:rsidRPr="00BA6DDC">
        <w:rPr>
          <w:b/>
        </w:rPr>
        <w:t xml:space="preserve">eradication of torture and ill-treatment; and ensure that </w:t>
      </w:r>
      <w:r>
        <w:rPr>
          <w:b/>
        </w:rPr>
        <w:t>all</w:t>
      </w:r>
      <w:r w:rsidRPr="00BA6DDC">
        <w:rPr>
          <w:b/>
        </w:rPr>
        <w:t xml:space="preserve"> training materials are in line with the Covenant</w:t>
      </w:r>
      <w:r>
        <w:rPr>
          <w:b/>
        </w:rPr>
        <w:t xml:space="preserve"> and the UN Basic Principles on the Use of Force and Firearms for Law Enforcement Officials</w:t>
      </w:r>
      <w:r w:rsidRPr="00BA6DDC">
        <w:rPr>
          <w:b/>
        </w:rPr>
        <w:t xml:space="preserve">. </w:t>
      </w:r>
    </w:p>
    <w:p w:rsidR="00372E42" w:rsidRPr="00BA6DDC" w:rsidRDefault="00372E42" w:rsidP="00372E42">
      <w:pPr>
        <w:spacing w:after="120"/>
        <w:ind w:left="1134" w:right="1134"/>
        <w:jc w:val="both"/>
        <w:rPr>
          <w:b/>
        </w:rPr>
      </w:pPr>
      <w:r w:rsidRPr="00BA6DDC">
        <w:rPr>
          <w:b/>
        </w:rPr>
        <w:t xml:space="preserve">Trafficking and forced labour </w:t>
      </w:r>
    </w:p>
    <w:p w:rsidR="00372E42" w:rsidRDefault="00372E42" w:rsidP="00372E42">
      <w:pPr>
        <w:spacing w:after="120"/>
        <w:ind w:left="1134" w:right="1134"/>
        <w:jc w:val="both"/>
      </w:pPr>
      <w:r w:rsidRPr="00BA6DDC">
        <w:t>2</w:t>
      </w:r>
      <w:r w:rsidR="002E361D">
        <w:t>3</w:t>
      </w:r>
      <w:r w:rsidRPr="00BA6DDC">
        <w:t>.</w:t>
      </w:r>
      <w:r w:rsidRPr="00BA6DDC">
        <w:tab/>
        <w:t xml:space="preserve">While taking note of the </w:t>
      </w:r>
      <w:r>
        <w:t>significant efforts undertaken to address trafficking and forced labour, the Committee remains concerned</w:t>
      </w:r>
      <w:r w:rsidRPr="009E781C">
        <w:t xml:space="preserve"> </w:t>
      </w:r>
      <w:r>
        <w:t>that trafficking in persons and forced labour remain and give rise to significant problems, particularly regarding sexual exploitation, fishing</w:t>
      </w:r>
      <w:r w:rsidR="00071C53">
        <w:t>,</w:t>
      </w:r>
      <w:r>
        <w:t xml:space="preserve"> agriculture and domestic work. It is concerned about reports on child labour and the exploitation of vulnerable people, such as irregular migrants and indigenous peoples. It is further concerned about reports of victims of trafficking being deported without effective screening for their protection needs and about the premature collection of their testimonies in order to facilitate prompt deportation (art. 7, 8 and 24). </w:t>
      </w:r>
    </w:p>
    <w:p w:rsidR="00372E42" w:rsidRPr="00BA6DDC" w:rsidRDefault="002E361D" w:rsidP="00372E42">
      <w:pPr>
        <w:spacing w:after="120"/>
        <w:ind w:left="1134" w:right="1134"/>
        <w:jc w:val="both"/>
        <w:rPr>
          <w:b/>
        </w:rPr>
      </w:pPr>
      <w:r>
        <w:rPr>
          <w:b/>
        </w:rPr>
        <w:t>24</w:t>
      </w:r>
      <w:r w:rsidR="00372E42">
        <w:rPr>
          <w:b/>
        </w:rPr>
        <w:t>.</w:t>
      </w:r>
      <w:r w:rsidR="00372E42">
        <w:rPr>
          <w:b/>
        </w:rPr>
        <w:tab/>
        <w:t xml:space="preserve">The State party should strengthen </w:t>
      </w:r>
      <w:r w:rsidR="00372E42" w:rsidRPr="00A82ABE">
        <w:rPr>
          <w:b/>
        </w:rPr>
        <w:t xml:space="preserve">its efforts to </w:t>
      </w:r>
      <w:r w:rsidR="00372E42">
        <w:rPr>
          <w:b/>
        </w:rPr>
        <w:t xml:space="preserve">effectively </w:t>
      </w:r>
      <w:r w:rsidR="00372E42" w:rsidRPr="00A82ABE">
        <w:rPr>
          <w:b/>
        </w:rPr>
        <w:t>combat trafficking in persons and forced labour, inter alia</w:t>
      </w:r>
      <w:r w:rsidR="00372E42">
        <w:rPr>
          <w:b/>
        </w:rPr>
        <w:t>, by</w:t>
      </w:r>
      <w:r w:rsidR="00071C53">
        <w:rPr>
          <w:b/>
        </w:rPr>
        <w:t xml:space="preserve">: </w:t>
      </w:r>
      <w:r w:rsidR="00372E42">
        <w:rPr>
          <w:b/>
        </w:rPr>
        <w:t>(a)  strengthening preventive measures; (b) increasing victim identification</w:t>
      </w:r>
      <w:r w:rsidR="00071C53">
        <w:rPr>
          <w:b/>
        </w:rPr>
        <w:t>,</w:t>
      </w:r>
      <w:r w:rsidR="00372E42">
        <w:rPr>
          <w:b/>
        </w:rPr>
        <w:t xml:space="preserve"> systematically investigating allegations and complaints; and prosecuting and punishing those </w:t>
      </w:r>
      <w:r w:rsidR="00372E42" w:rsidRPr="00BA6DDC">
        <w:rPr>
          <w:b/>
        </w:rPr>
        <w:t xml:space="preserve">responsible; </w:t>
      </w:r>
      <w:r w:rsidR="00372E42">
        <w:rPr>
          <w:b/>
        </w:rPr>
        <w:t xml:space="preserve">and (c) </w:t>
      </w:r>
      <w:r w:rsidR="00372E42" w:rsidRPr="00BA6DDC">
        <w:rPr>
          <w:b/>
        </w:rPr>
        <w:t xml:space="preserve">providing </w:t>
      </w:r>
      <w:r w:rsidR="00372E42">
        <w:rPr>
          <w:b/>
        </w:rPr>
        <w:t xml:space="preserve">victims </w:t>
      </w:r>
      <w:r w:rsidR="00372E42" w:rsidRPr="00BA6DDC">
        <w:rPr>
          <w:b/>
        </w:rPr>
        <w:t>effective protection</w:t>
      </w:r>
      <w:r w:rsidR="00372E42">
        <w:rPr>
          <w:b/>
        </w:rPr>
        <w:t>,</w:t>
      </w:r>
      <w:r w:rsidR="00372E42" w:rsidRPr="00BA6DDC">
        <w:rPr>
          <w:b/>
        </w:rPr>
        <w:t xml:space="preserve"> assistance and remedies</w:t>
      </w:r>
      <w:r w:rsidR="00372E42">
        <w:rPr>
          <w:b/>
        </w:rPr>
        <w:t xml:space="preserve"> to victims, including strengthening its screening and testimony collections processes</w:t>
      </w:r>
      <w:r w:rsidR="00372E42" w:rsidRPr="00BA6DDC">
        <w:rPr>
          <w:b/>
        </w:rPr>
        <w:t xml:space="preserve">. </w:t>
      </w:r>
    </w:p>
    <w:p w:rsidR="00372E42" w:rsidRPr="00BA6DDC" w:rsidRDefault="00372E42" w:rsidP="00372E42">
      <w:pPr>
        <w:spacing w:after="120"/>
        <w:ind w:left="1134" w:right="1134"/>
        <w:jc w:val="both"/>
        <w:rPr>
          <w:b/>
        </w:rPr>
      </w:pPr>
      <w:r w:rsidRPr="00BA6DDC">
        <w:rPr>
          <w:b/>
        </w:rPr>
        <w:t xml:space="preserve">Right to liberty and security of persons and humane treatment of persons deprived of their liberty </w:t>
      </w:r>
    </w:p>
    <w:p w:rsidR="00372E42" w:rsidRPr="00EE0332" w:rsidRDefault="00372E42" w:rsidP="00372E42">
      <w:pPr>
        <w:spacing w:after="120"/>
        <w:ind w:left="1134" w:right="1134" w:firstLine="6"/>
        <w:jc w:val="both"/>
      </w:pPr>
      <w:r w:rsidRPr="00BA6DDC">
        <w:t>2</w:t>
      </w:r>
      <w:r w:rsidR="002E361D">
        <w:t>5</w:t>
      </w:r>
      <w:r w:rsidRPr="00BA6DDC">
        <w:t>.</w:t>
      </w:r>
      <w:r w:rsidRPr="00BA6DDC">
        <w:tab/>
        <w:t>The Committee is concerned about reports o</w:t>
      </w:r>
      <w:r>
        <w:t>f</w:t>
      </w:r>
      <w:r w:rsidRPr="00BA6DDC">
        <w:t xml:space="preserve"> the arbitrary detention of hundreds of individuals </w:t>
      </w:r>
      <w:r>
        <w:t xml:space="preserve">exercising their right to assembly and/or expression </w:t>
      </w:r>
      <w:r w:rsidRPr="00BA6DDC">
        <w:t>for “attitude adjustments” after the 2014 coup</w:t>
      </w:r>
      <w:r>
        <w:t xml:space="preserve"> and that such individuals </w:t>
      </w:r>
      <w:r w:rsidRPr="00BA6DDC">
        <w:t xml:space="preserve">were </w:t>
      </w:r>
      <w:r>
        <w:t xml:space="preserve">reportedly </w:t>
      </w:r>
      <w:r w:rsidRPr="00BA6DDC">
        <w:t>often detained without charge, held incommunicado at undisclosed places of detention</w:t>
      </w:r>
      <w:r>
        <w:t xml:space="preserve"> for periods of up to seven days, with no judicial oversight or safeguards to ill-treatment and without access to a lawyer. It is further concerned that upon release, detainees were reportedly compelled to sign a written agreement not to travel abroad, and refrain from expressing political views and that failure to comply involved the risk of up to two years of imprisonment. Finally, the Committee is concerned about the practice of detaining without charge and without habeas corpus criminal suspects for lengthy periods of time, which can reach 30 days in cases before civilian courts and 84 days in cases before military courts. </w:t>
      </w:r>
      <w:r w:rsidRPr="00A700BD">
        <w:t xml:space="preserve">(arts. </w:t>
      </w:r>
      <w:r>
        <w:t xml:space="preserve">7, </w:t>
      </w:r>
      <w:r w:rsidRPr="00A700BD">
        <w:t>9</w:t>
      </w:r>
      <w:r>
        <w:t>, 10, 12, 14 19 and 21)</w:t>
      </w:r>
    </w:p>
    <w:p w:rsidR="00372E42" w:rsidRDefault="002E361D" w:rsidP="00372E42">
      <w:pPr>
        <w:spacing w:after="120"/>
        <w:ind w:left="1134" w:right="1134" w:firstLine="6"/>
        <w:jc w:val="both"/>
        <w:rPr>
          <w:b/>
        </w:rPr>
      </w:pPr>
      <w:r>
        <w:rPr>
          <w:b/>
        </w:rPr>
        <w:t>26</w:t>
      </w:r>
      <w:r w:rsidR="00372E42">
        <w:rPr>
          <w:b/>
        </w:rPr>
        <w:t>.</w:t>
      </w:r>
      <w:r w:rsidR="00372E42">
        <w:rPr>
          <w:b/>
        </w:rPr>
        <w:tab/>
        <w:t xml:space="preserve">The State party should </w:t>
      </w:r>
      <w:r w:rsidR="004662DB">
        <w:rPr>
          <w:b/>
        </w:rPr>
        <w:t xml:space="preserve">immediately </w:t>
      </w:r>
      <w:r w:rsidR="00372E42">
        <w:rPr>
          <w:b/>
        </w:rPr>
        <w:t xml:space="preserve">release all victims of arbitrary detention and provide them with </w:t>
      </w:r>
      <w:r w:rsidR="004662DB">
        <w:rPr>
          <w:b/>
        </w:rPr>
        <w:t xml:space="preserve">full </w:t>
      </w:r>
      <w:r w:rsidR="00372E42">
        <w:rPr>
          <w:b/>
        </w:rPr>
        <w:t>reparation. It should also bring</w:t>
      </w:r>
      <w:r w:rsidR="00372E42" w:rsidRPr="00077EC2">
        <w:rPr>
          <w:b/>
        </w:rPr>
        <w:t xml:space="preserve"> its legislation and practices into compliance with article 9 of the Covenant, taking into account the Committee’s general comment No. 35 </w:t>
      </w:r>
      <w:r w:rsidR="00372E42">
        <w:rPr>
          <w:b/>
        </w:rPr>
        <w:t xml:space="preserve">(2014) </w:t>
      </w:r>
      <w:r w:rsidR="00372E42" w:rsidRPr="00077EC2">
        <w:rPr>
          <w:b/>
        </w:rPr>
        <w:t xml:space="preserve">on liberty and security of persons. </w:t>
      </w:r>
    </w:p>
    <w:p w:rsidR="00372E42" w:rsidRDefault="00372E42" w:rsidP="00372E42">
      <w:pPr>
        <w:spacing w:after="120"/>
        <w:ind w:left="567" w:right="1134" w:firstLine="567"/>
        <w:jc w:val="both"/>
        <w:rPr>
          <w:b/>
        </w:rPr>
      </w:pPr>
      <w:r w:rsidRPr="00E27155">
        <w:rPr>
          <w:b/>
        </w:rPr>
        <w:t>Rights of aliens</w:t>
      </w:r>
      <w:r>
        <w:rPr>
          <w:b/>
        </w:rPr>
        <w:t xml:space="preserve"> </w:t>
      </w:r>
    </w:p>
    <w:p w:rsidR="00372E42" w:rsidRDefault="002E361D" w:rsidP="00372E42">
      <w:pPr>
        <w:spacing w:after="120"/>
        <w:ind w:left="1134" w:right="1134" w:firstLine="6"/>
        <w:jc w:val="both"/>
      </w:pPr>
      <w:r>
        <w:t>27</w:t>
      </w:r>
      <w:r w:rsidR="00372E42" w:rsidRPr="00382691">
        <w:t>.</w:t>
      </w:r>
      <w:r w:rsidR="00372E42" w:rsidRPr="00382691">
        <w:tab/>
      </w:r>
      <w:r w:rsidR="00372E42">
        <w:t xml:space="preserve">While welcoming the State party’s important efforts at hosting refugees and its decision to establish a screening mechanism for asylum seekers, the Committee is concerned about reports of deportations and forcible returns without review or adequate assessment of protection needs of, refugees, asylum-seekers and other people in need of international protection, including Uighur and </w:t>
      </w:r>
      <w:proofErr w:type="spellStart"/>
      <w:r w:rsidR="00372E42">
        <w:t>Rohingya</w:t>
      </w:r>
      <w:proofErr w:type="spellEnd"/>
      <w:r w:rsidR="00372E42">
        <w:t xml:space="preserve"> people; and insufficient guarantees against non-</w:t>
      </w:r>
      <w:proofErr w:type="spellStart"/>
      <w:r w:rsidR="00372E42">
        <w:t>refoulement</w:t>
      </w:r>
      <w:proofErr w:type="spellEnd"/>
      <w:r w:rsidR="00372E42">
        <w:t xml:space="preserve"> (arts. 6, 7 and 13).  </w:t>
      </w:r>
    </w:p>
    <w:p w:rsidR="00372E42" w:rsidRPr="00A33C47" w:rsidRDefault="002E361D" w:rsidP="00372E42">
      <w:pPr>
        <w:spacing w:after="120"/>
        <w:ind w:left="1134" w:right="1134" w:firstLine="6"/>
        <w:jc w:val="both"/>
        <w:rPr>
          <w:b/>
        </w:rPr>
      </w:pPr>
      <w:r>
        <w:rPr>
          <w:b/>
        </w:rPr>
        <w:t>28</w:t>
      </w:r>
      <w:r w:rsidR="00372E42" w:rsidRPr="00A33C47">
        <w:rPr>
          <w:b/>
        </w:rPr>
        <w:t>.</w:t>
      </w:r>
      <w:r w:rsidR="00372E42" w:rsidRPr="00A33C47">
        <w:rPr>
          <w:b/>
        </w:rPr>
        <w:tab/>
      </w:r>
      <w:r w:rsidR="00372E42">
        <w:rPr>
          <w:b/>
        </w:rPr>
        <w:t xml:space="preserve">The State party should ensure, in law and practice people in need of international protection </w:t>
      </w:r>
      <w:r w:rsidR="00372E42" w:rsidRPr="00A33C47">
        <w:rPr>
          <w:b/>
        </w:rPr>
        <w:t>are not returned to a country where there are substantial grounds for believing there is a real risk of irreparable harm, such as that set out in ar</w:t>
      </w:r>
      <w:r w:rsidR="00372E42">
        <w:rPr>
          <w:b/>
        </w:rPr>
        <w:t>ticles 6 and 7 of the Covenant. It</w:t>
      </w:r>
      <w:r w:rsidR="00372E42" w:rsidRPr="00A33C47">
        <w:rPr>
          <w:b/>
        </w:rPr>
        <w:t xml:space="preserve"> should</w:t>
      </w:r>
      <w:r w:rsidR="00372E42">
        <w:rPr>
          <w:b/>
        </w:rPr>
        <w:t xml:space="preserve"> also ensure the speedy establishment of a screening mechanism and that all persons applying for international protection are given access to a fair and effective procedure to make individualized determinations of </w:t>
      </w:r>
      <w:r w:rsidR="00372E42">
        <w:rPr>
          <w:b/>
        </w:rPr>
        <w:lastRenderedPageBreak/>
        <w:t>their right to protection needs against non-</w:t>
      </w:r>
      <w:proofErr w:type="spellStart"/>
      <w:r w:rsidR="00372E42">
        <w:rPr>
          <w:b/>
        </w:rPr>
        <w:t>refoulement</w:t>
      </w:r>
      <w:proofErr w:type="spellEnd"/>
      <w:r w:rsidR="00372E42">
        <w:rPr>
          <w:b/>
        </w:rPr>
        <w:t xml:space="preserve"> under the Covenant, including the provision of legal aid where the interests of justice so require. </w:t>
      </w:r>
    </w:p>
    <w:p w:rsidR="00372E42" w:rsidRDefault="002E361D" w:rsidP="00372E42">
      <w:pPr>
        <w:spacing w:after="120"/>
        <w:ind w:left="1134" w:right="1134" w:firstLine="6"/>
        <w:jc w:val="both"/>
      </w:pPr>
      <w:r>
        <w:t>29</w:t>
      </w:r>
      <w:r w:rsidR="00372E42">
        <w:t>.</w:t>
      </w:r>
      <w:r w:rsidR="00372E42">
        <w:tab/>
        <w:t xml:space="preserve">The Committee is concerned about reports indicating the detention of undocumented migrants, asylum-seekers and refugees, for lengthy periods and without contact with their embassy, counsel or civil society organisations. It notes the efforts of the State party to improve the conditions in Immigration Detention Centres; however, it is concerned about reports of overcrowded cells, lack of adequate health services, poor sanitation facilities, inadequate food and water, and incidents of violence. It is also concerned about reports of children being detained and separated from their relatives; without access to school and placed in cells with adult detainees with </w:t>
      </w:r>
      <w:r w:rsidR="00372E42" w:rsidRPr="004A1250">
        <w:t>risk of physical and sexual abuse</w:t>
      </w:r>
      <w:r w:rsidR="00372E42">
        <w:t xml:space="preserve"> </w:t>
      </w:r>
      <w:r w:rsidR="00372E42" w:rsidRPr="00A700BD">
        <w:t>(arts. 2, 6, 9</w:t>
      </w:r>
      <w:r w:rsidR="00372E42">
        <w:t>, 10, 24</w:t>
      </w:r>
      <w:r w:rsidR="00372E42" w:rsidRPr="00A700BD">
        <w:t xml:space="preserve"> and 26)</w:t>
      </w:r>
      <w:r w:rsidR="00372E42">
        <w:t>.</w:t>
      </w:r>
      <w:r w:rsidR="00372E42" w:rsidRPr="00B3214F">
        <w:t xml:space="preserve"> </w:t>
      </w:r>
    </w:p>
    <w:p w:rsidR="00372E42" w:rsidRPr="00140D4B" w:rsidRDefault="002E361D" w:rsidP="00372E42">
      <w:pPr>
        <w:spacing w:after="120"/>
        <w:ind w:left="1134" w:right="1134" w:firstLine="6"/>
        <w:jc w:val="both"/>
        <w:rPr>
          <w:b/>
        </w:rPr>
      </w:pPr>
      <w:r>
        <w:rPr>
          <w:b/>
        </w:rPr>
        <w:t>30</w:t>
      </w:r>
      <w:r w:rsidR="00372E42" w:rsidRPr="00140D4B">
        <w:rPr>
          <w:b/>
        </w:rPr>
        <w:t>.</w:t>
      </w:r>
      <w:r w:rsidR="00372E42" w:rsidRPr="00140D4B">
        <w:rPr>
          <w:b/>
        </w:rPr>
        <w:tab/>
        <w:t xml:space="preserve">The State party should: </w:t>
      </w:r>
    </w:p>
    <w:p w:rsidR="00372E42" w:rsidRPr="00140D4B" w:rsidRDefault="00372E42" w:rsidP="00372E42">
      <w:pPr>
        <w:spacing w:after="120"/>
        <w:ind w:left="1134" w:right="1134" w:firstLine="567"/>
        <w:jc w:val="both"/>
        <w:rPr>
          <w:b/>
        </w:rPr>
      </w:pPr>
      <w:r w:rsidRPr="00140D4B">
        <w:rPr>
          <w:b/>
        </w:rPr>
        <w:t>(a)</w:t>
      </w:r>
      <w:r w:rsidRPr="00140D4B">
        <w:rPr>
          <w:b/>
        </w:rPr>
        <w:tab/>
        <w:t>Refrai</w:t>
      </w:r>
      <w:r>
        <w:rPr>
          <w:b/>
        </w:rPr>
        <w:t xml:space="preserve">n from detaining refugees, asylum seekers and </w:t>
      </w:r>
      <w:r w:rsidRPr="00140D4B">
        <w:rPr>
          <w:b/>
        </w:rPr>
        <w:t>migrants and implement alternatives</w:t>
      </w:r>
      <w:r>
        <w:rPr>
          <w:b/>
        </w:rPr>
        <w:t xml:space="preserve"> to detention</w:t>
      </w:r>
      <w:r w:rsidRPr="00140D4B">
        <w:rPr>
          <w:b/>
        </w:rPr>
        <w:t>, including before deportation; and in those cases where the individual is detained</w:t>
      </w:r>
      <w:r>
        <w:rPr>
          <w:b/>
        </w:rPr>
        <w:t>,</w:t>
      </w:r>
      <w:r w:rsidRPr="00140D4B">
        <w:rPr>
          <w:b/>
        </w:rPr>
        <w:t xml:space="preserve"> ensure that the detention is </w:t>
      </w:r>
      <w:r>
        <w:rPr>
          <w:b/>
        </w:rPr>
        <w:t xml:space="preserve">based in the individual circumstances, </w:t>
      </w:r>
      <w:r w:rsidRPr="00140D4B">
        <w:rPr>
          <w:b/>
        </w:rPr>
        <w:t xml:space="preserve">reasonable, necessary and proportionate and reassessed as it extends in time; </w:t>
      </w:r>
      <w:r>
        <w:rPr>
          <w:b/>
        </w:rPr>
        <w:t>and ensure effective access to judicial review;</w:t>
      </w:r>
    </w:p>
    <w:p w:rsidR="00372E42" w:rsidRPr="00BA6DDC" w:rsidRDefault="00372E42" w:rsidP="00372E42">
      <w:pPr>
        <w:spacing w:after="120"/>
        <w:ind w:left="1134" w:right="1134" w:firstLine="567"/>
        <w:jc w:val="both"/>
        <w:rPr>
          <w:b/>
        </w:rPr>
      </w:pPr>
      <w:r w:rsidRPr="00140D4B">
        <w:rPr>
          <w:b/>
        </w:rPr>
        <w:t>(b)</w:t>
      </w:r>
      <w:r w:rsidRPr="00140D4B">
        <w:rPr>
          <w:b/>
        </w:rPr>
        <w:tab/>
        <w:t xml:space="preserve">Ensure that children are not deprived of liberty except as a measure of last resort and for the </w:t>
      </w:r>
      <w:r w:rsidRPr="00BA6DDC">
        <w:rPr>
          <w:b/>
        </w:rPr>
        <w:t>shortest appropriate period of time,</w:t>
      </w:r>
      <w:r>
        <w:rPr>
          <w:b/>
        </w:rPr>
        <w:t xml:space="preserve"> </w:t>
      </w:r>
      <w:r w:rsidRPr="00BA6DDC">
        <w:rPr>
          <w:b/>
        </w:rPr>
        <w:t>taking account their best interests</w:t>
      </w:r>
      <w:r>
        <w:rPr>
          <w:b/>
        </w:rPr>
        <w:t xml:space="preserve"> as a primary concern, and keeping them segregated from adult detainees who are not their family members</w:t>
      </w:r>
      <w:r w:rsidRPr="00BA6DDC">
        <w:rPr>
          <w:b/>
        </w:rPr>
        <w:t>; and</w:t>
      </w:r>
    </w:p>
    <w:p w:rsidR="00372E42" w:rsidRPr="00BA6DDC" w:rsidRDefault="001024F6" w:rsidP="00372E42">
      <w:pPr>
        <w:spacing w:after="120"/>
        <w:ind w:left="1134" w:right="1134" w:firstLine="567"/>
        <w:jc w:val="both"/>
        <w:rPr>
          <w:b/>
        </w:rPr>
      </w:pPr>
      <w:r>
        <w:rPr>
          <w:b/>
        </w:rPr>
        <w:t>(c)</w:t>
      </w:r>
      <w:r w:rsidR="00372E42" w:rsidRPr="00BA6DDC">
        <w:rPr>
          <w:b/>
        </w:rPr>
        <w:tab/>
      </w:r>
      <w:r w:rsidR="00372E42">
        <w:rPr>
          <w:b/>
        </w:rPr>
        <w:t>Ensure</w:t>
      </w:r>
      <w:r w:rsidR="00372E42" w:rsidRPr="00BA6DDC">
        <w:rPr>
          <w:b/>
        </w:rPr>
        <w:t xml:space="preserve"> the living conditions in Immigration Detention Centres</w:t>
      </w:r>
      <w:r w:rsidR="00372E42">
        <w:rPr>
          <w:b/>
        </w:rPr>
        <w:t xml:space="preserve"> are in compliance with the Covenant</w:t>
      </w:r>
      <w:r w:rsidR="00372E42" w:rsidRPr="00BA6DDC">
        <w:rPr>
          <w:b/>
        </w:rPr>
        <w:t xml:space="preserve">. </w:t>
      </w:r>
    </w:p>
    <w:p w:rsidR="00372E42" w:rsidRPr="00BA6DDC" w:rsidRDefault="00372E42" w:rsidP="00372E42">
      <w:pPr>
        <w:spacing w:after="120"/>
        <w:ind w:left="567" w:right="1134" w:firstLine="567"/>
        <w:jc w:val="both"/>
        <w:rPr>
          <w:b/>
        </w:rPr>
      </w:pPr>
      <w:r w:rsidRPr="00BA6DDC">
        <w:rPr>
          <w:b/>
        </w:rPr>
        <w:t>Right to a fair trial and military courts</w:t>
      </w:r>
    </w:p>
    <w:p w:rsidR="00372E42" w:rsidRPr="00077EC2" w:rsidRDefault="00372E42" w:rsidP="00372E42">
      <w:pPr>
        <w:spacing w:after="120"/>
        <w:ind w:left="1134" w:right="1134"/>
        <w:jc w:val="both"/>
      </w:pPr>
      <w:r w:rsidRPr="00BA6DDC">
        <w:t>3</w:t>
      </w:r>
      <w:r w:rsidR="002E361D">
        <w:t>1</w:t>
      </w:r>
      <w:r w:rsidRPr="00BA6DDC">
        <w:t>.</w:t>
      </w:r>
      <w:r w:rsidRPr="00BA6DDC">
        <w:tab/>
      </w:r>
      <w:r>
        <w:t xml:space="preserve">While taking </w:t>
      </w:r>
      <w:r w:rsidRPr="00BA6DDC">
        <w:t>note of Order 55/</w:t>
      </w:r>
      <w:r>
        <w:t xml:space="preserve">2016, which transfers jurisdiction for offences committed by civilians on 12 September 2016 and thereafter from military to civilian courts, the Committee remains concerned about reports of hundreds of ongoing cases and arrest warrants against civilians that remain to be adjudicated before the military jurisdiction; as well as civilians who were convicted by military courts and did not enjoy the right of appeal. It is also concerned about reports that all guarantees provided for by article 14 are not implemented during trials by the military courts </w:t>
      </w:r>
      <w:r w:rsidRPr="00077EC2">
        <w:t>(art. 14).</w:t>
      </w:r>
      <w:r>
        <w:t xml:space="preserve"> </w:t>
      </w:r>
    </w:p>
    <w:p w:rsidR="00372E42" w:rsidRDefault="002E361D" w:rsidP="00372E42">
      <w:pPr>
        <w:spacing w:after="120"/>
        <w:ind w:left="1134" w:right="1134"/>
        <w:jc w:val="both"/>
        <w:rPr>
          <w:b/>
        </w:rPr>
      </w:pPr>
      <w:r>
        <w:rPr>
          <w:b/>
        </w:rPr>
        <w:t>32</w:t>
      </w:r>
      <w:r w:rsidR="00372E42">
        <w:rPr>
          <w:b/>
        </w:rPr>
        <w:t>.</w:t>
      </w:r>
      <w:r w:rsidR="00372E42">
        <w:rPr>
          <w:b/>
        </w:rPr>
        <w:tab/>
      </w:r>
      <w:r w:rsidR="00372E42" w:rsidRPr="00077EC2">
        <w:rPr>
          <w:b/>
        </w:rPr>
        <w:t xml:space="preserve">The State party should </w:t>
      </w:r>
      <w:r w:rsidR="00372E42">
        <w:rPr>
          <w:b/>
        </w:rPr>
        <w:t xml:space="preserve">ensure that all trials under military courts are exceptional and </w:t>
      </w:r>
      <w:r w:rsidR="00372E42" w:rsidRPr="005E35A2">
        <w:rPr>
          <w:b/>
        </w:rPr>
        <w:t>take place under conditions which genuinely afford the full guarantees stipulated in article 14</w:t>
      </w:r>
      <w:r w:rsidR="00372E42">
        <w:rPr>
          <w:b/>
        </w:rPr>
        <w:t xml:space="preserve"> of the Covenant and </w:t>
      </w:r>
      <w:r w:rsidR="00372E42" w:rsidRPr="005E35A2">
        <w:rPr>
          <w:b/>
        </w:rPr>
        <w:t>Co</w:t>
      </w:r>
      <w:r w:rsidR="00372E42">
        <w:rPr>
          <w:b/>
        </w:rPr>
        <w:t>mmittee’s general comment No. 32 (2007</w:t>
      </w:r>
      <w:r w:rsidR="00372E42" w:rsidRPr="005E35A2">
        <w:rPr>
          <w:b/>
        </w:rPr>
        <w:t>)</w:t>
      </w:r>
      <w:r w:rsidR="00372E42" w:rsidRPr="00077EC2">
        <w:rPr>
          <w:b/>
        </w:rPr>
        <w:t>.</w:t>
      </w:r>
      <w:r w:rsidR="00372E42">
        <w:rPr>
          <w:b/>
        </w:rPr>
        <w:t xml:space="preserve"> It should take the necessary measures to accept transfer requests from military courts for by offences committed prior to 12 September 2016, transfer all such pending cases to civilian courts and provide the opportunity for appeal in civilian courts of cases involving civilians already adjudicated under military jurisdiction. </w:t>
      </w:r>
    </w:p>
    <w:p w:rsidR="00372E42" w:rsidRPr="00E63580" w:rsidRDefault="00372E42" w:rsidP="00372E42">
      <w:pPr>
        <w:spacing w:after="120"/>
        <w:ind w:left="1134" w:right="1134" w:firstLine="6"/>
        <w:jc w:val="both"/>
        <w:rPr>
          <w:b/>
          <w:bCs/>
        </w:rPr>
      </w:pPr>
      <w:r w:rsidRPr="00E63580">
        <w:rPr>
          <w:b/>
          <w:bCs/>
        </w:rPr>
        <w:t>Conditions of detention</w:t>
      </w:r>
    </w:p>
    <w:p w:rsidR="00372E42" w:rsidRDefault="00372E42" w:rsidP="00372E42">
      <w:pPr>
        <w:spacing w:after="120"/>
        <w:ind w:left="1134" w:right="1134" w:firstLine="6"/>
        <w:jc w:val="both"/>
        <w:rPr>
          <w:bCs/>
        </w:rPr>
      </w:pPr>
      <w:r w:rsidRPr="00933567">
        <w:rPr>
          <w:bCs/>
        </w:rPr>
        <w:t>3</w:t>
      </w:r>
      <w:r w:rsidR="002E361D">
        <w:rPr>
          <w:bCs/>
        </w:rPr>
        <w:t>3</w:t>
      </w:r>
      <w:r w:rsidRPr="00933567">
        <w:rPr>
          <w:bCs/>
        </w:rPr>
        <w:t>.</w:t>
      </w:r>
      <w:r w:rsidRPr="00933567">
        <w:rPr>
          <w:bCs/>
        </w:rPr>
        <w:tab/>
        <w:t xml:space="preserve">The Committee remains concerned about </w:t>
      </w:r>
      <w:r>
        <w:rPr>
          <w:bCs/>
        </w:rPr>
        <w:t>the high levels of overcrowding and poor conditions of detention in many places of detention, including: poor sanitation and hygiene conditions, lack of access to health care, lack of adequate food and water</w:t>
      </w:r>
      <w:r w:rsidR="00392719">
        <w:rPr>
          <w:bCs/>
        </w:rPr>
        <w:t xml:space="preserve"> and the stigmatisation of certain detainees</w:t>
      </w:r>
      <w:r>
        <w:rPr>
          <w:bCs/>
        </w:rPr>
        <w:t xml:space="preserve">. It also concerned about reports of excessive use of restraining devices, such as shackles, and sexual harassment (arts 7 and 10). </w:t>
      </w:r>
    </w:p>
    <w:p w:rsidR="00392719" w:rsidRDefault="00372E42" w:rsidP="00372E42">
      <w:pPr>
        <w:spacing w:after="120"/>
        <w:ind w:left="1134" w:right="1134" w:firstLine="6"/>
        <w:jc w:val="both"/>
        <w:rPr>
          <w:b/>
          <w:bCs/>
        </w:rPr>
      </w:pPr>
      <w:r w:rsidRPr="00E6583D">
        <w:rPr>
          <w:b/>
          <w:bCs/>
        </w:rPr>
        <w:t>3</w:t>
      </w:r>
      <w:r w:rsidR="002E361D">
        <w:rPr>
          <w:b/>
          <w:bCs/>
        </w:rPr>
        <w:t>4</w:t>
      </w:r>
      <w:r w:rsidRPr="00E6583D">
        <w:rPr>
          <w:b/>
          <w:bCs/>
        </w:rPr>
        <w:t>.</w:t>
      </w:r>
      <w:r w:rsidRPr="00E6583D">
        <w:rPr>
          <w:b/>
          <w:bCs/>
        </w:rPr>
        <w:tab/>
      </w:r>
      <w:r w:rsidR="00392719">
        <w:rPr>
          <w:b/>
          <w:bCs/>
        </w:rPr>
        <w:t xml:space="preserve">The State party should continue to strengthen its efforts to improve conditions of detention by taking practical measures to reduce overcrowding, particularly by promoting alternatives to detention. It should also increase efforts to guarantee the right of detainees to be treated with humanity and dignity and ensure that conditions </w:t>
      </w:r>
      <w:r w:rsidR="00392719">
        <w:rPr>
          <w:b/>
          <w:bCs/>
        </w:rPr>
        <w:lastRenderedPageBreak/>
        <w:t>of detention in all of the country’s prisons are compatible with the United Nations Standard Minimum Rules for the treatment of Prisoners (the Nelson Mandela Rules).</w:t>
      </w:r>
    </w:p>
    <w:p w:rsidR="00372E42" w:rsidRPr="00907523" w:rsidRDefault="00372E42" w:rsidP="00372E42">
      <w:pPr>
        <w:spacing w:after="120"/>
        <w:ind w:left="1134" w:right="1134" w:firstLine="6"/>
        <w:jc w:val="both"/>
        <w:rPr>
          <w:b/>
          <w:bCs/>
        </w:rPr>
      </w:pPr>
      <w:r w:rsidRPr="00796500">
        <w:rPr>
          <w:b/>
          <w:bCs/>
        </w:rPr>
        <w:t>Freedom of expression</w:t>
      </w:r>
      <w:r w:rsidRPr="00907523">
        <w:rPr>
          <w:b/>
          <w:bCs/>
        </w:rPr>
        <w:t xml:space="preserve"> </w:t>
      </w:r>
    </w:p>
    <w:p w:rsidR="00372E42" w:rsidRPr="006A5C38" w:rsidRDefault="002E361D" w:rsidP="00372E42">
      <w:pPr>
        <w:spacing w:after="120"/>
        <w:ind w:left="1134" w:right="1134" w:firstLine="6"/>
        <w:jc w:val="both"/>
        <w:rPr>
          <w:bCs/>
        </w:rPr>
      </w:pPr>
      <w:r>
        <w:rPr>
          <w:bCs/>
        </w:rPr>
        <w:t>35</w:t>
      </w:r>
      <w:r w:rsidR="00372E42" w:rsidRPr="004502B6">
        <w:rPr>
          <w:bCs/>
        </w:rPr>
        <w:t>.</w:t>
      </w:r>
      <w:r w:rsidR="00372E42" w:rsidRPr="004502B6">
        <w:rPr>
          <w:bCs/>
        </w:rPr>
        <w:tab/>
      </w:r>
      <w:r w:rsidR="00372E42">
        <w:rPr>
          <w:bCs/>
        </w:rPr>
        <w:t>The Committee is concerned about reports of the severe and arbitrary restrictions imposed on the right to freedom of opinion and expression in the State party’s legislation, including in the Criminal Code; the Computer Crimes Act (2007), Order. 3/2015; and the restrictions imposed through section 44 of the interim Constitution. It is also concerned about criminal proceedings, especially criminal defamation charges, brought against human rights defenders, activists, journalists and other individuals under the above mentioned legislation, and about reports of the suppression of debate and campaigning</w:t>
      </w:r>
      <w:r w:rsidR="00071C53">
        <w:rPr>
          <w:bCs/>
        </w:rPr>
        <w:t>,</w:t>
      </w:r>
      <w:r w:rsidR="00372E42">
        <w:rPr>
          <w:bCs/>
        </w:rPr>
        <w:t xml:space="preserve"> and criminal charges against individuals during the run-up to the Constitutional referendum in 2016 </w:t>
      </w:r>
      <w:r w:rsidR="00372E42" w:rsidRPr="00A700BD">
        <w:rPr>
          <w:bCs/>
        </w:rPr>
        <w:t>(art. 19</w:t>
      </w:r>
      <w:r w:rsidR="00372E42">
        <w:rPr>
          <w:bCs/>
        </w:rPr>
        <w:t xml:space="preserve"> and 25</w:t>
      </w:r>
      <w:r w:rsidR="00372E42" w:rsidRPr="00A700BD">
        <w:rPr>
          <w:bCs/>
        </w:rPr>
        <w:t>)</w:t>
      </w:r>
      <w:r w:rsidR="00071C53">
        <w:rPr>
          <w:bCs/>
        </w:rPr>
        <w:t>.</w:t>
      </w:r>
    </w:p>
    <w:p w:rsidR="00372E42" w:rsidRPr="006A5C38" w:rsidRDefault="002E361D" w:rsidP="00372E42">
      <w:pPr>
        <w:spacing w:after="120"/>
        <w:ind w:left="1134" w:right="1134" w:firstLine="6"/>
        <w:jc w:val="both"/>
        <w:rPr>
          <w:b/>
          <w:bCs/>
        </w:rPr>
      </w:pPr>
      <w:r>
        <w:rPr>
          <w:b/>
          <w:bCs/>
        </w:rPr>
        <w:t>36</w:t>
      </w:r>
      <w:r w:rsidR="00372E42" w:rsidRPr="00615149">
        <w:rPr>
          <w:b/>
          <w:bCs/>
        </w:rPr>
        <w:t>.</w:t>
      </w:r>
      <w:r w:rsidR="00372E42" w:rsidRPr="00615149">
        <w:rPr>
          <w:b/>
          <w:bCs/>
        </w:rPr>
        <w:tab/>
        <w:t xml:space="preserve">The State party should take all necessary measures </w:t>
      </w:r>
      <w:r w:rsidR="00392719">
        <w:rPr>
          <w:b/>
          <w:bCs/>
        </w:rPr>
        <w:t xml:space="preserve">in order </w:t>
      </w:r>
      <w:r w:rsidR="00372E42" w:rsidRPr="00615149">
        <w:rPr>
          <w:b/>
          <w:bCs/>
        </w:rPr>
        <w:t xml:space="preserve">to guarantee the enjoyment of freedom of </w:t>
      </w:r>
      <w:r w:rsidR="00372E42">
        <w:rPr>
          <w:b/>
          <w:bCs/>
        </w:rPr>
        <w:t xml:space="preserve">opinion and </w:t>
      </w:r>
      <w:r w:rsidR="00372E42" w:rsidRPr="00615149">
        <w:rPr>
          <w:b/>
          <w:bCs/>
        </w:rPr>
        <w:t xml:space="preserve">expression </w:t>
      </w:r>
      <w:r w:rsidR="00372E42" w:rsidRPr="0013265A">
        <w:rPr>
          <w:b/>
          <w:bCs/>
        </w:rPr>
        <w:t>in all their forms, in accordance with article 19 of the Covenant</w:t>
      </w:r>
      <w:r w:rsidR="00372E42">
        <w:rPr>
          <w:b/>
          <w:bCs/>
        </w:rPr>
        <w:t xml:space="preserve">. Any </w:t>
      </w:r>
      <w:r w:rsidR="00372E42" w:rsidRPr="0013265A">
        <w:rPr>
          <w:b/>
          <w:bCs/>
        </w:rPr>
        <w:t xml:space="preserve">restriction </w:t>
      </w:r>
      <w:r w:rsidR="00372E42">
        <w:rPr>
          <w:b/>
          <w:bCs/>
        </w:rPr>
        <w:t>should comply</w:t>
      </w:r>
      <w:r w:rsidR="00372E42" w:rsidRPr="0013265A">
        <w:rPr>
          <w:b/>
          <w:bCs/>
        </w:rPr>
        <w:t xml:space="preserve"> with the strict requirements of </w:t>
      </w:r>
      <w:r w:rsidR="00372E42">
        <w:rPr>
          <w:b/>
          <w:bCs/>
        </w:rPr>
        <w:t>article 19(3)</w:t>
      </w:r>
      <w:r w:rsidR="00372E42" w:rsidRPr="0013265A">
        <w:rPr>
          <w:b/>
          <w:bCs/>
        </w:rPr>
        <w:t>, as further developed in the Committee’s general comment No. 34 (2011)</w:t>
      </w:r>
      <w:r w:rsidR="00372E42">
        <w:rPr>
          <w:b/>
          <w:bCs/>
        </w:rPr>
        <w:t xml:space="preserve">; including </w:t>
      </w:r>
      <w:r w:rsidR="00372E42" w:rsidRPr="006A5C38">
        <w:rPr>
          <w:b/>
          <w:bCs/>
        </w:rPr>
        <w:t>the strict tests of necessity and proportionality</w:t>
      </w:r>
      <w:r w:rsidR="00372E42">
        <w:rPr>
          <w:b/>
          <w:bCs/>
        </w:rPr>
        <w:t>.</w:t>
      </w:r>
      <w:r w:rsidR="00372E42" w:rsidRPr="00F4594D">
        <w:rPr>
          <w:b/>
          <w:bCs/>
        </w:rPr>
        <w:t xml:space="preserve"> </w:t>
      </w:r>
      <w:r w:rsidR="00372E42">
        <w:rPr>
          <w:b/>
          <w:bCs/>
        </w:rPr>
        <w:t xml:space="preserve">It should </w:t>
      </w:r>
      <w:r w:rsidR="00372E42" w:rsidRPr="00615149">
        <w:rPr>
          <w:b/>
          <w:bCs/>
        </w:rPr>
        <w:t>also consider decriminalizing defamation and, in any case, countenance the application of criminal law only in the most serious of cases</w:t>
      </w:r>
      <w:r w:rsidR="00372E42">
        <w:rPr>
          <w:b/>
          <w:bCs/>
        </w:rPr>
        <w:t xml:space="preserve">, </w:t>
      </w:r>
      <w:r w:rsidR="00372E42" w:rsidRPr="00615149">
        <w:rPr>
          <w:b/>
          <w:bCs/>
        </w:rPr>
        <w:t>bearing in mind</w:t>
      </w:r>
      <w:r w:rsidR="00372E42" w:rsidRPr="00F4594D">
        <w:rPr>
          <w:b/>
          <w:bCs/>
        </w:rPr>
        <w:t xml:space="preserve"> </w:t>
      </w:r>
      <w:r w:rsidR="00372E42" w:rsidRPr="00615149">
        <w:rPr>
          <w:b/>
          <w:bCs/>
        </w:rPr>
        <w:t>that imprisonment is never an appropriate penalty for defamation</w:t>
      </w:r>
      <w:r w:rsidR="00372E42">
        <w:rPr>
          <w:b/>
          <w:bCs/>
        </w:rPr>
        <w:t>. The State party should also r</w:t>
      </w:r>
      <w:r w:rsidR="00372E42" w:rsidRPr="00264495">
        <w:rPr>
          <w:b/>
          <w:bCs/>
        </w:rPr>
        <w:t>efrain from using its criminal provisions</w:t>
      </w:r>
      <w:r w:rsidR="00372E42">
        <w:rPr>
          <w:b/>
          <w:bCs/>
        </w:rPr>
        <w:t>, including the Computer Crimes Act</w:t>
      </w:r>
      <w:r w:rsidR="00071C53">
        <w:rPr>
          <w:b/>
          <w:bCs/>
        </w:rPr>
        <w:t>,</w:t>
      </w:r>
      <w:r w:rsidR="00372E42">
        <w:rPr>
          <w:b/>
          <w:bCs/>
        </w:rPr>
        <w:t xml:space="preserve"> Sedition Act</w:t>
      </w:r>
      <w:r w:rsidR="00372E42" w:rsidRPr="00264495">
        <w:rPr>
          <w:b/>
          <w:bCs/>
        </w:rPr>
        <w:t xml:space="preserve"> and other regulations as tools to suppress the ex</w:t>
      </w:r>
      <w:r w:rsidR="00372E42">
        <w:rPr>
          <w:b/>
          <w:bCs/>
        </w:rPr>
        <w:t>pression of critical and dissenting opinions. It should take all measures to end prosecutions against those charged for exercising their freedom of opinion and expression during the constitutional referendum</w:t>
      </w:r>
      <w:r w:rsidR="00071C53">
        <w:rPr>
          <w:b/>
          <w:bCs/>
        </w:rPr>
        <w:t>,</w:t>
      </w:r>
      <w:r w:rsidR="00372E42">
        <w:rPr>
          <w:b/>
          <w:bCs/>
        </w:rPr>
        <w:t xml:space="preserve"> and provide appropriate training to judges, prosecutors, and law enforcement personnel regarding protection of freedom of expression</w:t>
      </w:r>
      <w:r w:rsidR="00392719">
        <w:rPr>
          <w:b/>
          <w:bCs/>
        </w:rPr>
        <w:t xml:space="preserve"> and opinion</w:t>
      </w:r>
      <w:r w:rsidR="00372E42">
        <w:rPr>
          <w:b/>
          <w:bCs/>
        </w:rPr>
        <w:t xml:space="preserve">. </w:t>
      </w:r>
    </w:p>
    <w:p w:rsidR="00372E42" w:rsidRPr="006F5E1E" w:rsidRDefault="00372E42" w:rsidP="00372E42">
      <w:pPr>
        <w:spacing w:after="120"/>
        <w:ind w:left="567" w:right="1134" w:firstLine="567"/>
        <w:jc w:val="both"/>
        <w:rPr>
          <w:b/>
        </w:rPr>
      </w:pPr>
      <w:proofErr w:type="spellStart"/>
      <w:r w:rsidRPr="006F5E1E">
        <w:rPr>
          <w:b/>
        </w:rPr>
        <w:t>Lèse</w:t>
      </w:r>
      <w:proofErr w:type="spellEnd"/>
      <w:r w:rsidRPr="006F5E1E">
        <w:rPr>
          <w:b/>
        </w:rPr>
        <w:t xml:space="preserve"> </w:t>
      </w:r>
      <w:proofErr w:type="spellStart"/>
      <w:r w:rsidRPr="006F5E1E">
        <w:rPr>
          <w:b/>
        </w:rPr>
        <w:t>majesté</w:t>
      </w:r>
      <w:proofErr w:type="spellEnd"/>
    </w:p>
    <w:p w:rsidR="00372E42" w:rsidRDefault="002E361D" w:rsidP="00372E42">
      <w:pPr>
        <w:spacing w:after="120"/>
        <w:ind w:left="1134" w:right="1134"/>
        <w:jc w:val="both"/>
      </w:pPr>
      <w:r>
        <w:t>37</w:t>
      </w:r>
      <w:r w:rsidR="00372E42" w:rsidRPr="000B0599">
        <w:t>.</w:t>
      </w:r>
      <w:r w:rsidR="00372E42" w:rsidRPr="000B0599">
        <w:tab/>
        <w:t xml:space="preserve">The Committee is concerned </w:t>
      </w:r>
      <w:r w:rsidR="00372E42">
        <w:t>that criticism and dissention regarding the royal family is punishable with a sentence of three to fifteen years imprisonment</w:t>
      </w:r>
      <w:r w:rsidR="00071C53">
        <w:t>;</w:t>
      </w:r>
      <w:r w:rsidR="00372E42">
        <w:t xml:space="preserve"> and about</w:t>
      </w:r>
      <w:r w:rsidR="00372E42" w:rsidRPr="00D6440F">
        <w:t xml:space="preserve"> reports </w:t>
      </w:r>
      <w:r w:rsidR="00372E42">
        <w:t xml:space="preserve">of a sharp </w:t>
      </w:r>
      <w:r w:rsidR="00372E42" w:rsidRPr="00D6440F">
        <w:t xml:space="preserve">increase in the number of </w:t>
      </w:r>
      <w:r w:rsidR="00372E42">
        <w:t xml:space="preserve">people </w:t>
      </w:r>
      <w:r w:rsidR="00372E42" w:rsidRPr="00D6440F">
        <w:t>det</w:t>
      </w:r>
      <w:r w:rsidR="00372E42">
        <w:t>ained</w:t>
      </w:r>
      <w:r w:rsidR="00372E42" w:rsidRPr="00D6440F">
        <w:t xml:space="preserve"> and prosecut</w:t>
      </w:r>
      <w:r w:rsidR="00372E42">
        <w:t>ed</w:t>
      </w:r>
      <w:r w:rsidR="00372E42" w:rsidRPr="00D6440F">
        <w:t xml:space="preserve"> for </w:t>
      </w:r>
      <w:r w:rsidR="00372E42">
        <w:t>this</w:t>
      </w:r>
      <w:r w:rsidR="00372E42" w:rsidRPr="00D6440F">
        <w:t xml:space="preserve"> crime since the military coup</w:t>
      </w:r>
      <w:r w:rsidR="00372E42">
        <w:t xml:space="preserve"> and about extreme sentencing practices, which result in some cases in dozens of years of imprisonment (article 19)</w:t>
      </w:r>
      <w:r w:rsidR="00392719">
        <w:t>.</w:t>
      </w:r>
    </w:p>
    <w:p w:rsidR="00372E42" w:rsidRPr="003D0941" w:rsidRDefault="002E361D" w:rsidP="00372E42">
      <w:pPr>
        <w:spacing w:after="120"/>
        <w:ind w:left="1134" w:right="1134"/>
        <w:jc w:val="both"/>
        <w:rPr>
          <w:b/>
        </w:rPr>
      </w:pPr>
      <w:r>
        <w:rPr>
          <w:b/>
        </w:rPr>
        <w:t>38</w:t>
      </w:r>
      <w:r w:rsidR="00372E42" w:rsidRPr="003D0941">
        <w:rPr>
          <w:b/>
        </w:rPr>
        <w:t>.</w:t>
      </w:r>
      <w:r w:rsidR="00372E42" w:rsidRPr="003D0941">
        <w:rPr>
          <w:b/>
        </w:rPr>
        <w:tab/>
        <w:t xml:space="preserve">The State party </w:t>
      </w:r>
      <w:r w:rsidR="00372E42">
        <w:rPr>
          <w:b/>
        </w:rPr>
        <w:t xml:space="preserve">should </w:t>
      </w:r>
      <w:r w:rsidR="00372E42" w:rsidRPr="003D0941">
        <w:rPr>
          <w:b/>
        </w:rPr>
        <w:t xml:space="preserve">review article 112 of the </w:t>
      </w:r>
      <w:r w:rsidR="00372E42">
        <w:rPr>
          <w:b/>
        </w:rPr>
        <w:t>Criminal</w:t>
      </w:r>
      <w:r w:rsidR="00372E42" w:rsidRPr="003D0941">
        <w:rPr>
          <w:b/>
        </w:rPr>
        <w:t xml:space="preserve"> Code, </w:t>
      </w:r>
      <w:r w:rsidR="00372E42">
        <w:rPr>
          <w:b/>
        </w:rPr>
        <w:t xml:space="preserve">on publicly offending the royal family, to bring it into line with article 19 of the Covenant. </w:t>
      </w:r>
      <w:r w:rsidR="00951C9F">
        <w:rPr>
          <w:b/>
        </w:rPr>
        <w:t>Pursuant to its general comment No. 34 (2011), the</w:t>
      </w:r>
      <w:r w:rsidR="00372E42">
        <w:rPr>
          <w:b/>
        </w:rPr>
        <w:t xml:space="preserve"> Committee reiterates that the </w:t>
      </w:r>
      <w:r w:rsidR="00372E42" w:rsidRPr="003D0941">
        <w:rPr>
          <w:b/>
        </w:rPr>
        <w:t>imprisonment of persons</w:t>
      </w:r>
      <w:r w:rsidR="00951C9F">
        <w:rPr>
          <w:b/>
        </w:rPr>
        <w:t xml:space="preserve"> for exercising</w:t>
      </w:r>
      <w:r w:rsidR="00372E42" w:rsidRPr="003D0941">
        <w:rPr>
          <w:b/>
        </w:rPr>
        <w:t xml:space="preserve"> their freedom of expression</w:t>
      </w:r>
      <w:r w:rsidR="00372E42">
        <w:rPr>
          <w:b/>
        </w:rPr>
        <w:t xml:space="preserve"> </w:t>
      </w:r>
      <w:r w:rsidR="00951C9F">
        <w:rPr>
          <w:b/>
        </w:rPr>
        <w:t>violates article 19.</w:t>
      </w:r>
      <w:r w:rsidR="00372E42">
        <w:rPr>
          <w:b/>
        </w:rPr>
        <w:t xml:space="preserve"> </w:t>
      </w:r>
      <w:r w:rsidR="00372E42" w:rsidRPr="003D0941">
        <w:rPr>
          <w:b/>
        </w:rPr>
        <w:t xml:space="preserve"> </w:t>
      </w:r>
    </w:p>
    <w:p w:rsidR="00372E42" w:rsidRPr="00FC54CD" w:rsidRDefault="00372E42" w:rsidP="00372E42">
      <w:pPr>
        <w:spacing w:after="120"/>
        <w:ind w:left="567" w:right="1134" w:firstLine="567"/>
        <w:jc w:val="both"/>
        <w:rPr>
          <w:b/>
        </w:rPr>
      </w:pPr>
      <w:r w:rsidRPr="00FC54CD">
        <w:rPr>
          <w:b/>
        </w:rPr>
        <w:t>Peaceful Assembly</w:t>
      </w:r>
    </w:p>
    <w:p w:rsidR="00372E42" w:rsidRPr="004440D6" w:rsidRDefault="002E361D" w:rsidP="00372E42">
      <w:pPr>
        <w:spacing w:after="120"/>
        <w:ind w:left="1134" w:right="1134" w:firstLine="6"/>
        <w:jc w:val="both"/>
      </w:pPr>
      <w:r>
        <w:t>39</w:t>
      </w:r>
      <w:r w:rsidR="00372E42" w:rsidRPr="004440D6">
        <w:t>.</w:t>
      </w:r>
      <w:r w:rsidR="00372E42" w:rsidRPr="004440D6">
        <w:tab/>
      </w:r>
      <w:r w:rsidR="00372E42">
        <w:t xml:space="preserve">The Committee is concerned about </w:t>
      </w:r>
      <w:r w:rsidR="00372E42" w:rsidRPr="005576A9">
        <w:t xml:space="preserve">the </w:t>
      </w:r>
      <w:r w:rsidR="00372E42">
        <w:t xml:space="preserve">excessive </w:t>
      </w:r>
      <w:r w:rsidR="00372E42" w:rsidRPr="005576A9">
        <w:t xml:space="preserve">restrictions imposed </w:t>
      </w:r>
      <w:r w:rsidR="00372E42">
        <w:t xml:space="preserve">on the freedom of peaceful assembly since the military coup of 2014, in particular the strict banning of any public gathering of more than five people and political gatherings of more than four people. It is also concerned about the provisions of the Public Assembly Act (2015) that establish criminal penalties for failing to provide prior notification to authorities regarding the organisation of peaceful assemblies. The Committee is particularly concerned about the arrest of hundreds of people for having organised or taken part in peaceful gatherings (article 21). </w:t>
      </w:r>
    </w:p>
    <w:p w:rsidR="00372E42" w:rsidRPr="00E6583D" w:rsidRDefault="002E361D" w:rsidP="00372E42">
      <w:pPr>
        <w:spacing w:after="120"/>
        <w:ind w:left="1134" w:right="1134" w:firstLine="6"/>
        <w:jc w:val="both"/>
        <w:rPr>
          <w:b/>
        </w:rPr>
      </w:pPr>
      <w:r>
        <w:rPr>
          <w:b/>
        </w:rPr>
        <w:t>40</w:t>
      </w:r>
      <w:r w:rsidR="00372E42">
        <w:rPr>
          <w:b/>
        </w:rPr>
        <w:t>.</w:t>
      </w:r>
      <w:r w:rsidR="00372E42">
        <w:rPr>
          <w:b/>
        </w:rPr>
        <w:tab/>
        <w:t>T</w:t>
      </w:r>
      <w:r w:rsidR="00372E42" w:rsidRPr="000B140B">
        <w:rPr>
          <w:b/>
        </w:rPr>
        <w:t xml:space="preserve">he state party should effectively </w:t>
      </w:r>
      <w:r w:rsidR="00372E42">
        <w:rPr>
          <w:b/>
        </w:rPr>
        <w:t xml:space="preserve">guarantee and </w:t>
      </w:r>
      <w:r w:rsidR="00372E42" w:rsidRPr="000B140B">
        <w:rPr>
          <w:b/>
        </w:rPr>
        <w:t xml:space="preserve">protect the exercise of the freedom of peaceful assembly and avoid restrictions that </w:t>
      </w:r>
      <w:r w:rsidR="00372E42">
        <w:rPr>
          <w:b/>
        </w:rPr>
        <w:t>do not respond to the requirements under article 4 of the Covenant</w:t>
      </w:r>
      <w:r w:rsidR="00372E42" w:rsidRPr="000B140B">
        <w:rPr>
          <w:b/>
        </w:rPr>
        <w:t>.</w:t>
      </w:r>
      <w:r w:rsidR="00372E42">
        <w:rPr>
          <w:b/>
        </w:rPr>
        <w:t xml:space="preserve"> In particular, it should refrain from </w:t>
      </w:r>
      <w:r w:rsidR="00372E42">
        <w:rPr>
          <w:b/>
        </w:rPr>
        <w:lastRenderedPageBreak/>
        <w:t xml:space="preserve">imposing detention on individuals exercising their rights who do not present a serious risk to national security or public safety. </w:t>
      </w:r>
    </w:p>
    <w:p w:rsidR="002E361D" w:rsidRDefault="002E361D" w:rsidP="002E361D">
      <w:pPr>
        <w:spacing w:after="120"/>
        <w:ind w:left="567" w:right="1134" w:firstLine="567"/>
        <w:jc w:val="both"/>
      </w:pPr>
      <w:r w:rsidRPr="002E361D">
        <w:rPr>
          <w:b/>
        </w:rPr>
        <w:t>Statelessness</w:t>
      </w:r>
    </w:p>
    <w:p w:rsidR="002E361D" w:rsidRDefault="002E361D" w:rsidP="002E361D">
      <w:pPr>
        <w:spacing w:after="120"/>
        <w:ind w:left="1134" w:right="1134"/>
        <w:jc w:val="both"/>
      </w:pPr>
      <w:r>
        <w:t>41.</w:t>
      </w:r>
      <w:r>
        <w:tab/>
        <w:t xml:space="preserve">While acknowledging the progress made by the State party since the adoption of the Civil Registration Act of 2008, its regulations on birth and late registration of children, and its engagements to eliminate statelessness by 2024, the Committee is still concerned about the high numbers of stateless people, in particular among indigenous peoples and ethnic minorities, with detrimental impacts on access to basic services such as education for children, and an increased vulnerability to criminal networks of trafficking and prostitution (art. 2, 24, 26 and 27). </w:t>
      </w:r>
    </w:p>
    <w:p w:rsidR="002E361D" w:rsidRPr="00743C1D" w:rsidRDefault="002E361D" w:rsidP="002E361D">
      <w:pPr>
        <w:spacing w:after="120"/>
        <w:ind w:left="1134" w:right="1134" w:firstLine="6"/>
        <w:jc w:val="both"/>
        <w:rPr>
          <w:b/>
        </w:rPr>
      </w:pPr>
      <w:r>
        <w:rPr>
          <w:b/>
        </w:rPr>
        <w:t>42</w:t>
      </w:r>
      <w:r w:rsidRPr="00743C1D">
        <w:rPr>
          <w:b/>
        </w:rPr>
        <w:t>.</w:t>
      </w:r>
      <w:r w:rsidRPr="00743C1D">
        <w:rPr>
          <w:b/>
        </w:rPr>
        <w:tab/>
        <w:t xml:space="preserve">The State party should </w:t>
      </w:r>
      <w:r>
        <w:rPr>
          <w:b/>
        </w:rPr>
        <w:t>strengthen</w:t>
      </w:r>
      <w:r w:rsidRPr="00743C1D">
        <w:rPr>
          <w:b/>
        </w:rPr>
        <w:t xml:space="preserve"> its efforts to reduce statelessness, and in particular: </w:t>
      </w:r>
    </w:p>
    <w:p w:rsidR="002E361D" w:rsidRPr="00743C1D" w:rsidRDefault="002E361D" w:rsidP="002E361D">
      <w:pPr>
        <w:spacing w:after="120"/>
        <w:ind w:left="1134" w:right="1134" w:firstLine="6"/>
        <w:jc w:val="both"/>
        <w:rPr>
          <w:b/>
        </w:rPr>
      </w:pPr>
      <w:r>
        <w:rPr>
          <w:b/>
        </w:rPr>
        <w:tab/>
        <w:t>(a)</w:t>
      </w:r>
      <w:r w:rsidRPr="00743C1D">
        <w:rPr>
          <w:b/>
        </w:rPr>
        <w:tab/>
        <w:t xml:space="preserve">Ensure that rural and isolated populations are informed on and have access to the procedures relating to the acquisition of nationality; </w:t>
      </w:r>
    </w:p>
    <w:p w:rsidR="002E361D" w:rsidRPr="00743C1D" w:rsidRDefault="002E361D" w:rsidP="002E361D">
      <w:pPr>
        <w:spacing w:after="120"/>
        <w:ind w:left="1134" w:right="1134" w:firstLine="6"/>
        <w:jc w:val="both"/>
        <w:rPr>
          <w:b/>
        </w:rPr>
      </w:pPr>
      <w:r>
        <w:rPr>
          <w:b/>
        </w:rPr>
        <w:tab/>
      </w:r>
      <w:r w:rsidRPr="00743C1D">
        <w:rPr>
          <w:b/>
        </w:rPr>
        <w:t>(b)</w:t>
      </w:r>
      <w:r w:rsidRPr="00743C1D">
        <w:rPr>
          <w:b/>
        </w:rPr>
        <w:tab/>
        <w:t>Ensure the promotion and protection of rights of stateless persons and in particular provide primary education to children and protection against trafficking.</w:t>
      </w:r>
      <w:r>
        <w:rPr>
          <w:b/>
        </w:rPr>
        <w:t>)</w:t>
      </w:r>
    </w:p>
    <w:p w:rsidR="00372E42" w:rsidRDefault="00372E42" w:rsidP="00372E42">
      <w:pPr>
        <w:spacing w:after="120"/>
        <w:ind w:left="1134" w:right="1134" w:firstLine="6"/>
        <w:jc w:val="both"/>
        <w:rPr>
          <w:b/>
        </w:rPr>
      </w:pPr>
      <w:r w:rsidRPr="0059202E">
        <w:rPr>
          <w:b/>
        </w:rPr>
        <w:t>Rights of persons belonging to minorities</w:t>
      </w:r>
      <w:r w:rsidR="00951C9F">
        <w:rPr>
          <w:b/>
        </w:rPr>
        <w:t xml:space="preserve"> and indigenous </w:t>
      </w:r>
      <w:r w:rsidR="00E66644">
        <w:rPr>
          <w:b/>
        </w:rPr>
        <w:t>peoples</w:t>
      </w:r>
    </w:p>
    <w:p w:rsidR="00372E42" w:rsidRPr="003E5813" w:rsidRDefault="00372E42" w:rsidP="00372E42">
      <w:pPr>
        <w:spacing w:after="120"/>
        <w:ind w:left="1134" w:right="1134" w:firstLine="6"/>
        <w:jc w:val="both"/>
      </w:pPr>
      <w:r>
        <w:t>4</w:t>
      </w:r>
      <w:r w:rsidR="002E361D">
        <w:t>3</w:t>
      </w:r>
      <w:r w:rsidRPr="003E5813">
        <w:t>.</w:t>
      </w:r>
      <w:r w:rsidRPr="003E5813">
        <w:tab/>
        <w:t xml:space="preserve">The Committee </w:t>
      </w:r>
      <w:r>
        <w:t>regrets</w:t>
      </w:r>
      <w:r w:rsidRPr="003E5813">
        <w:t xml:space="preserve"> the </w:t>
      </w:r>
      <w:r>
        <w:t xml:space="preserve">lack of protection for persons belonging to indigenous communities in the Constitution and remains concerned about the stereotypes and bias they suffer. It is also concerned by the discrimination they endure, including with regard to citizenship, access to basic services or land rights, </w:t>
      </w:r>
      <w:r w:rsidR="00071C53">
        <w:t xml:space="preserve">and </w:t>
      </w:r>
      <w:r>
        <w:t xml:space="preserve">in particular </w:t>
      </w:r>
      <w:r w:rsidR="00071C53">
        <w:t xml:space="preserve">by </w:t>
      </w:r>
      <w:r>
        <w:t xml:space="preserve">the impact of the decrees 64/2014 and 66/2014 which have reportedly resulted in the eviction of several communities from their lands. It </w:t>
      </w:r>
      <w:r w:rsidRPr="0059202E">
        <w:t>is also concerned about the lack of consultation and participation in decisions affecting</w:t>
      </w:r>
      <w:r>
        <w:t xml:space="preserve"> them. (arts. 2, </w:t>
      </w:r>
      <w:r w:rsidR="00951C9F">
        <w:t xml:space="preserve">25, </w:t>
      </w:r>
      <w:r>
        <w:t>26 and 27</w:t>
      </w:r>
      <w:r w:rsidRPr="003E5813">
        <w:t xml:space="preserve">) </w:t>
      </w:r>
    </w:p>
    <w:p w:rsidR="00372E42" w:rsidRDefault="00372E42" w:rsidP="00372E42">
      <w:pPr>
        <w:spacing w:after="120"/>
        <w:ind w:left="1134" w:right="1134" w:firstLine="6"/>
        <w:jc w:val="both"/>
        <w:rPr>
          <w:b/>
        </w:rPr>
      </w:pPr>
      <w:r>
        <w:rPr>
          <w:b/>
        </w:rPr>
        <w:t>44</w:t>
      </w:r>
      <w:r w:rsidRPr="003E5813">
        <w:rPr>
          <w:b/>
        </w:rPr>
        <w:t>.</w:t>
      </w:r>
      <w:r w:rsidRPr="003E5813">
        <w:rPr>
          <w:b/>
        </w:rPr>
        <w:tab/>
        <w:t>The State party</w:t>
      </w:r>
      <w:r>
        <w:rPr>
          <w:b/>
        </w:rPr>
        <w:t xml:space="preserve"> should guarantee the full enjoyment of the rights of persons belonging to minorities, as well as indigenous peoples, including the protection against discrimination regarding citizenship, access to basic services and land rights. It should ensure that prior consultations are held </w:t>
      </w:r>
      <w:r w:rsidR="00951C9F">
        <w:rPr>
          <w:b/>
        </w:rPr>
        <w:t xml:space="preserve">with a view to obtaining </w:t>
      </w:r>
      <w:r>
        <w:rPr>
          <w:b/>
        </w:rPr>
        <w:t xml:space="preserve">their free, prior and informed consent regarding decisions that affect them, in particular with regard to their land rights. </w:t>
      </w:r>
    </w:p>
    <w:p w:rsidR="00951C9F" w:rsidRPr="00951C9F" w:rsidRDefault="005248FC" w:rsidP="002E361D">
      <w:pPr>
        <w:pStyle w:val="H1G"/>
      </w:pPr>
      <w:r>
        <w:tab/>
      </w:r>
      <w:r w:rsidR="00951C9F" w:rsidRPr="00951C9F">
        <w:t>D.</w:t>
      </w:r>
      <w:r w:rsidR="00951C9F" w:rsidRPr="00951C9F">
        <w:tab/>
        <w:t xml:space="preserve">Dissemination and follow-up </w:t>
      </w:r>
    </w:p>
    <w:p w:rsidR="00951C9F" w:rsidRPr="00951C9F" w:rsidRDefault="002E361D" w:rsidP="00951C9F">
      <w:pPr>
        <w:spacing w:after="120"/>
        <w:ind w:left="1134" w:right="1134" w:firstLine="6"/>
        <w:jc w:val="both"/>
      </w:pPr>
      <w:r>
        <w:t>45</w:t>
      </w:r>
      <w:r w:rsidR="00951C9F" w:rsidRPr="00951C9F">
        <w:t>.</w:t>
      </w:r>
      <w:r w:rsidR="00951C9F" w:rsidRPr="00951C9F">
        <w:tab/>
        <w:t xml:space="preserve">The State party should widely disseminate the Covenant, its two Optional Protocols, its second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 </w:t>
      </w:r>
    </w:p>
    <w:p w:rsidR="00951C9F" w:rsidRPr="00951C9F" w:rsidRDefault="002E361D" w:rsidP="00951C9F">
      <w:pPr>
        <w:spacing w:after="120"/>
        <w:ind w:left="1134" w:right="1134" w:firstLine="6"/>
        <w:jc w:val="both"/>
      </w:pPr>
      <w:r>
        <w:t>46</w:t>
      </w:r>
      <w:r w:rsidR="00951C9F" w:rsidRPr="00951C9F">
        <w:t>.</w:t>
      </w:r>
      <w:r w:rsidR="00951C9F" w:rsidRPr="00951C9F">
        <w:tab/>
        <w:t xml:space="preserve">In accordance with rule 71, paragraph 5, of the Committee’s rules of procedure, the State party is requested to provide, within one year of the adoption of the present concluding observations, information on the implementation of the recommendations made by the Committee in paragraphs </w:t>
      </w:r>
      <w:r w:rsidR="00951C9F">
        <w:t>8</w:t>
      </w:r>
      <w:r w:rsidR="00051AA3">
        <w:t xml:space="preserve"> (Constitution and legal framework)</w:t>
      </w:r>
      <w:r w:rsidR="00951C9F">
        <w:t>, 2</w:t>
      </w:r>
      <w:r w:rsidR="00AA3F5E">
        <w:t>2</w:t>
      </w:r>
      <w:r w:rsidR="00951C9F" w:rsidRPr="00951C9F">
        <w:t xml:space="preserve"> (</w:t>
      </w:r>
      <w:r w:rsidR="00A67755" w:rsidRPr="00A67755">
        <w:t>Extra-judicial killings, enforced disappearances and torture</w:t>
      </w:r>
      <w:r w:rsidR="00A67755">
        <w:t>) and 3</w:t>
      </w:r>
      <w:r w:rsidR="00AA3F5E">
        <w:t>4</w:t>
      </w:r>
      <w:r w:rsidR="00951C9F" w:rsidRPr="00951C9F">
        <w:t xml:space="preserve"> (</w:t>
      </w:r>
      <w:r w:rsidR="00AA3F5E">
        <w:t>Conditions of detention</w:t>
      </w:r>
      <w:bookmarkStart w:id="0" w:name="_GoBack"/>
      <w:bookmarkEnd w:id="0"/>
      <w:r w:rsidR="00A67755">
        <w:t>)</w:t>
      </w:r>
      <w:r w:rsidR="00951C9F" w:rsidRPr="00951C9F">
        <w:t xml:space="preserve"> above. </w:t>
      </w:r>
    </w:p>
    <w:p w:rsidR="00951C9F" w:rsidRPr="00951C9F" w:rsidRDefault="002E361D" w:rsidP="00951C9F">
      <w:pPr>
        <w:spacing w:after="120"/>
        <w:ind w:left="1134" w:right="1134" w:firstLine="6"/>
        <w:jc w:val="both"/>
      </w:pPr>
      <w:r>
        <w:t>47</w:t>
      </w:r>
      <w:r w:rsidR="00951C9F" w:rsidRPr="00951C9F">
        <w:t>.</w:t>
      </w:r>
      <w:r w:rsidR="00951C9F" w:rsidRPr="00951C9F">
        <w:tab/>
        <w:t xml:space="preserve">The Committee requests the State party to provide in its next periodic report, due for </w:t>
      </w:r>
      <w:r w:rsidR="00951C9F" w:rsidRPr="00466E50">
        <w:t xml:space="preserve">submission on </w:t>
      </w:r>
      <w:r w:rsidR="00466E50" w:rsidRPr="00466E50">
        <w:t>29 March</w:t>
      </w:r>
      <w:r w:rsidR="00051AA3" w:rsidRPr="00466E50">
        <w:t xml:space="preserve"> </w:t>
      </w:r>
      <w:r w:rsidR="00951C9F" w:rsidRPr="00466E50">
        <w:t>202</w:t>
      </w:r>
      <w:r w:rsidR="00EB1CF8" w:rsidRPr="00466E50">
        <w:t>1</w:t>
      </w:r>
      <w:r w:rsidR="00951C9F" w:rsidRPr="00EB1CF8">
        <w:t>, specific</w:t>
      </w:r>
      <w:r w:rsidR="00951C9F" w:rsidRPr="00951C9F">
        <w:t>, up-to-date information on the implementation of all its recommendations and on the Covenant as a whole. The Committee also requests the State party, in preparing its next periodic report, to broadly consult civil society and non-</w:t>
      </w:r>
      <w:r w:rsidR="00951C9F" w:rsidRPr="00951C9F">
        <w:lastRenderedPageBreak/>
        <w:t>governmental organizations operating in the country. In accordance with General Assembly resolution 68/268, the word limit for the report is 21,200 words. Alternatively, the Committee invites the State party to agree</w:t>
      </w:r>
      <w:r w:rsidR="00951C9F" w:rsidRPr="00466E50">
        <w:t xml:space="preserve">, by </w:t>
      </w:r>
      <w:r w:rsidR="00466E50">
        <w:t>29 March</w:t>
      </w:r>
      <w:r w:rsidR="00466E50" w:rsidRPr="00466E50">
        <w:t xml:space="preserve"> </w:t>
      </w:r>
      <w:r w:rsidR="00951C9F" w:rsidRPr="00466E50">
        <w:t>201</w:t>
      </w:r>
      <w:r w:rsidR="00466E50">
        <w:t>8</w:t>
      </w:r>
      <w:r w:rsidR="00951C9F" w:rsidRPr="00466E50">
        <w:t>, to</w:t>
      </w:r>
      <w:r w:rsidR="00951C9F" w:rsidRPr="00951C9F">
        <w:t xml:space="preserve"> use its simplified reporting procedure, whereby the Committee transmits a list of issues to the State party prior to the submission of its periodic report. The State party’s response to the list of issues will then constitute the </w:t>
      </w:r>
      <w:r w:rsidR="00D117F4">
        <w:t>third</w:t>
      </w:r>
      <w:r w:rsidR="00951C9F" w:rsidRPr="00951C9F">
        <w:t xml:space="preserve"> periodic report to be submitted under article 40 of the Covenant.</w:t>
      </w:r>
    </w:p>
    <w:p w:rsidR="00442A83" w:rsidRPr="00372E42" w:rsidRDefault="00372E42" w:rsidP="00372E42">
      <w:pPr>
        <w:spacing w:before="240"/>
        <w:ind w:left="1134" w:right="1134"/>
        <w:jc w:val="center"/>
        <w:rPr>
          <w:u w:val="single"/>
        </w:rPr>
      </w:pPr>
      <w:r>
        <w:rPr>
          <w:u w:val="single"/>
        </w:rPr>
        <w:tab/>
      </w:r>
      <w:r>
        <w:rPr>
          <w:u w:val="single"/>
        </w:rPr>
        <w:tab/>
      </w:r>
      <w:r>
        <w:rPr>
          <w:u w:val="single"/>
        </w:rPr>
        <w:tab/>
      </w:r>
    </w:p>
    <w:sectPr w:rsidR="00442A83" w:rsidRPr="00372E42" w:rsidSect="00372E42">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42" w:rsidRDefault="00372E42"/>
  </w:endnote>
  <w:endnote w:type="continuationSeparator" w:id="0">
    <w:p w:rsidR="00372E42" w:rsidRDefault="00372E42"/>
  </w:endnote>
  <w:endnote w:type="continuationNotice" w:id="1">
    <w:p w:rsidR="00372E42" w:rsidRDefault="0037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42" w:rsidRPr="00372E42" w:rsidRDefault="00372E42" w:rsidP="00372E42">
    <w:pPr>
      <w:pStyle w:val="Footer"/>
      <w:tabs>
        <w:tab w:val="right" w:pos="9638"/>
      </w:tabs>
      <w:rPr>
        <w:b/>
        <w:sz w:val="18"/>
      </w:rPr>
    </w:pPr>
    <w:r>
      <w:rPr>
        <w:sz w:val="20"/>
      </w:rPr>
      <w:t>GE.</w:t>
    </w:r>
    <w:r>
      <w:rPr>
        <w:sz w:val="20"/>
      </w:rPr>
      <w:tab/>
    </w:r>
    <w:r w:rsidRPr="00372E42">
      <w:rPr>
        <w:b/>
        <w:sz w:val="18"/>
      </w:rPr>
      <w:fldChar w:fldCharType="begin"/>
    </w:r>
    <w:r w:rsidRPr="00372E42">
      <w:rPr>
        <w:b/>
        <w:sz w:val="18"/>
      </w:rPr>
      <w:instrText xml:space="preserve"> PAGE  \* MERGEFORMAT </w:instrText>
    </w:r>
    <w:r w:rsidRPr="00372E42">
      <w:rPr>
        <w:b/>
        <w:sz w:val="18"/>
      </w:rPr>
      <w:fldChar w:fldCharType="separate"/>
    </w:r>
    <w:r w:rsidR="00AA3F5E">
      <w:rPr>
        <w:b/>
        <w:noProof/>
        <w:sz w:val="18"/>
      </w:rPr>
      <w:t>8</w:t>
    </w:r>
    <w:r w:rsidRPr="00372E4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42" w:rsidRPr="00372E42" w:rsidRDefault="00372E42" w:rsidP="00372E42">
    <w:pPr>
      <w:pStyle w:val="Footer"/>
      <w:tabs>
        <w:tab w:val="right" w:pos="9638"/>
      </w:tabs>
    </w:pPr>
    <w:r w:rsidRPr="00372E42">
      <w:rPr>
        <w:b/>
        <w:sz w:val="18"/>
      </w:rPr>
      <w:fldChar w:fldCharType="begin"/>
    </w:r>
    <w:r w:rsidRPr="00372E42">
      <w:rPr>
        <w:b/>
        <w:sz w:val="18"/>
      </w:rPr>
      <w:instrText xml:space="preserve"> PAGE  \* MERGEFORMAT </w:instrText>
    </w:r>
    <w:r w:rsidRPr="00372E42">
      <w:rPr>
        <w:b/>
        <w:sz w:val="18"/>
      </w:rPr>
      <w:fldChar w:fldCharType="separate"/>
    </w:r>
    <w:r w:rsidR="00AA3F5E">
      <w:rPr>
        <w:b/>
        <w:noProof/>
        <w:sz w:val="18"/>
      </w:rPr>
      <w:t>9</w:t>
    </w:r>
    <w:r w:rsidRPr="00372E42">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Default="00D52F97">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42" w:rsidRPr="000B175B" w:rsidRDefault="00372E42" w:rsidP="000B175B">
      <w:pPr>
        <w:tabs>
          <w:tab w:val="right" w:pos="2155"/>
        </w:tabs>
        <w:spacing w:after="80"/>
        <w:ind w:left="680"/>
        <w:rPr>
          <w:u w:val="single"/>
        </w:rPr>
      </w:pPr>
      <w:r>
        <w:rPr>
          <w:u w:val="single"/>
        </w:rPr>
        <w:tab/>
      </w:r>
    </w:p>
  </w:footnote>
  <w:footnote w:type="continuationSeparator" w:id="0">
    <w:p w:rsidR="00372E42" w:rsidRPr="00FC68B7" w:rsidRDefault="00372E42" w:rsidP="00FC68B7">
      <w:pPr>
        <w:tabs>
          <w:tab w:val="left" w:pos="2155"/>
        </w:tabs>
        <w:spacing w:after="80"/>
        <w:ind w:left="680"/>
        <w:rPr>
          <w:u w:val="single"/>
        </w:rPr>
      </w:pPr>
      <w:r>
        <w:rPr>
          <w:u w:val="single"/>
        </w:rPr>
        <w:tab/>
      </w:r>
    </w:p>
  </w:footnote>
  <w:footnote w:type="continuationNotice" w:id="1">
    <w:p w:rsidR="00372E42" w:rsidRDefault="00372E42"/>
  </w:footnote>
  <w:footnote w:id="2">
    <w:p w:rsidR="00372E42" w:rsidRDefault="00372E42" w:rsidP="00372E42">
      <w:pPr>
        <w:pStyle w:val="FootnoteText"/>
      </w:pPr>
      <w:r>
        <w:tab/>
      </w:r>
      <w:r w:rsidRPr="004E1BA6">
        <w:rPr>
          <w:rStyle w:val="FootnoteReference"/>
        </w:rPr>
        <w:t>*</w:t>
      </w:r>
      <w:r>
        <w:tab/>
      </w:r>
      <w:r w:rsidR="001024F6" w:rsidRPr="001024F6">
        <w:t xml:space="preserve"> </w:t>
      </w:r>
      <w:r w:rsidR="001024F6" w:rsidRPr="00067BF1">
        <w:t>Adopted by the Committee at its 119th session (6 - 29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FB05368"/>
    <w:multiLevelType w:val="hybridMultilevel"/>
    <w:tmpl w:val="445C050E"/>
    <w:lvl w:ilvl="0" w:tplc="9DA44A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2"/>
    <w:rsid w:val="000272B3"/>
    <w:rsid w:val="00050F6B"/>
    <w:rsid w:val="00051AA3"/>
    <w:rsid w:val="00057E97"/>
    <w:rsid w:val="00060C3A"/>
    <w:rsid w:val="00071C53"/>
    <w:rsid w:val="00072C8C"/>
    <w:rsid w:val="000733B5"/>
    <w:rsid w:val="00081815"/>
    <w:rsid w:val="000931C0"/>
    <w:rsid w:val="000B175B"/>
    <w:rsid w:val="000B3A0F"/>
    <w:rsid w:val="000B4EF7"/>
    <w:rsid w:val="000C2C03"/>
    <w:rsid w:val="000C2D2E"/>
    <w:rsid w:val="000E0415"/>
    <w:rsid w:val="001024F6"/>
    <w:rsid w:val="001103AA"/>
    <w:rsid w:val="001161DE"/>
    <w:rsid w:val="001418B4"/>
    <w:rsid w:val="00165F3A"/>
    <w:rsid w:val="00183968"/>
    <w:rsid w:val="001A6686"/>
    <w:rsid w:val="001B4B04"/>
    <w:rsid w:val="001C6663"/>
    <w:rsid w:val="001C7895"/>
    <w:rsid w:val="001D0C8C"/>
    <w:rsid w:val="001D26DF"/>
    <w:rsid w:val="001D3A03"/>
    <w:rsid w:val="00202DA8"/>
    <w:rsid w:val="00211E0B"/>
    <w:rsid w:val="0023210C"/>
    <w:rsid w:val="002366AB"/>
    <w:rsid w:val="00267F5F"/>
    <w:rsid w:val="00286B4D"/>
    <w:rsid w:val="002B60E3"/>
    <w:rsid w:val="002E361D"/>
    <w:rsid w:val="002F175C"/>
    <w:rsid w:val="003229D8"/>
    <w:rsid w:val="00352709"/>
    <w:rsid w:val="00367567"/>
    <w:rsid w:val="00371178"/>
    <w:rsid w:val="00372E42"/>
    <w:rsid w:val="0038336C"/>
    <w:rsid w:val="00392719"/>
    <w:rsid w:val="003A6810"/>
    <w:rsid w:val="003B033F"/>
    <w:rsid w:val="003C2CC4"/>
    <w:rsid w:val="003D4B23"/>
    <w:rsid w:val="00410C89"/>
    <w:rsid w:val="00426B9B"/>
    <w:rsid w:val="004325CB"/>
    <w:rsid w:val="00436B33"/>
    <w:rsid w:val="00442A83"/>
    <w:rsid w:val="0045495B"/>
    <w:rsid w:val="004662DB"/>
    <w:rsid w:val="00466E50"/>
    <w:rsid w:val="00487488"/>
    <w:rsid w:val="00494D8E"/>
    <w:rsid w:val="004B0A44"/>
    <w:rsid w:val="00512CF6"/>
    <w:rsid w:val="0052136D"/>
    <w:rsid w:val="005248FC"/>
    <w:rsid w:val="0052775E"/>
    <w:rsid w:val="005420F2"/>
    <w:rsid w:val="005628B6"/>
    <w:rsid w:val="00566DD1"/>
    <w:rsid w:val="005848B3"/>
    <w:rsid w:val="00585705"/>
    <w:rsid w:val="00590F87"/>
    <w:rsid w:val="00592C4A"/>
    <w:rsid w:val="005B3DB3"/>
    <w:rsid w:val="005F7224"/>
    <w:rsid w:val="005F7717"/>
    <w:rsid w:val="005F7B75"/>
    <w:rsid w:val="006001EE"/>
    <w:rsid w:val="00605042"/>
    <w:rsid w:val="00611FC4"/>
    <w:rsid w:val="006176FB"/>
    <w:rsid w:val="00640B26"/>
    <w:rsid w:val="00652D0A"/>
    <w:rsid w:val="00662BB6"/>
    <w:rsid w:val="00684C21"/>
    <w:rsid w:val="00692FE4"/>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66"/>
    <w:rsid w:val="00940F93"/>
    <w:rsid w:val="00951C9F"/>
    <w:rsid w:val="0095347F"/>
    <w:rsid w:val="00954629"/>
    <w:rsid w:val="0096306D"/>
    <w:rsid w:val="009760F3"/>
    <w:rsid w:val="009909F5"/>
    <w:rsid w:val="009A0E8D"/>
    <w:rsid w:val="009B26E7"/>
    <w:rsid w:val="00A00A3F"/>
    <w:rsid w:val="00A01489"/>
    <w:rsid w:val="00A338F1"/>
    <w:rsid w:val="00A44615"/>
    <w:rsid w:val="00A67755"/>
    <w:rsid w:val="00A72F22"/>
    <w:rsid w:val="00A7360F"/>
    <w:rsid w:val="00A748A6"/>
    <w:rsid w:val="00A769F4"/>
    <w:rsid w:val="00A776B4"/>
    <w:rsid w:val="00A94361"/>
    <w:rsid w:val="00AA293C"/>
    <w:rsid w:val="00AA3F5E"/>
    <w:rsid w:val="00AD3ED4"/>
    <w:rsid w:val="00B13E9B"/>
    <w:rsid w:val="00B30179"/>
    <w:rsid w:val="00B339A7"/>
    <w:rsid w:val="00B56E4A"/>
    <w:rsid w:val="00B56E9C"/>
    <w:rsid w:val="00B575AA"/>
    <w:rsid w:val="00B64B1F"/>
    <w:rsid w:val="00B6553F"/>
    <w:rsid w:val="00B66E5E"/>
    <w:rsid w:val="00B77D05"/>
    <w:rsid w:val="00B81206"/>
    <w:rsid w:val="00B81E12"/>
    <w:rsid w:val="00B81EE0"/>
    <w:rsid w:val="00B9067B"/>
    <w:rsid w:val="00BC2C23"/>
    <w:rsid w:val="00BC74E9"/>
    <w:rsid w:val="00BF68A8"/>
    <w:rsid w:val="00C11A03"/>
    <w:rsid w:val="00C31C1F"/>
    <w:rsid w:val="00C463DD"/>
    <w:rsid w:val="00C4724C"/>
    <w:rsid w:val="00C629A0"/>
    <w:rsid w:val="00C745C3"/>
    <w:rsid w:val="00CE4A8F"/>
    <w:rsid w:val="00D117F4"/>
    <w:rsid w:val="00D2031B"/>
    <w:rsid w:val="00D25FE2"/>
    <w:rsid w:val="00D43252"/>
    <w:rsid w:val="00D47EEA"/>
    <w:rsid w:val="00D52F97"/>
    <w:rsid w:val="00D95303"/>
    <w:rsid w:val="00D978C6"/>
    <w:rsid w:val="00DA3111"/>
    <w:rsid w:val="00DA3C1C"/>
    <w:rsid w:val="00DB0C79"/>
    <w:rsid w:val="00E27346"/>
    <w:rsid w:val="00E66644"/>
    <w:rsid w:val="00E71BC8"/>
    <w:rsid w:val="00E7260F"/>
    <w:rsid w:val="00E779FC"/>
    <w:rsid w:val="00E96630"/>
    <w:rsid w:val="00EB1CF8"/>
    <w:rsid w:val="00EB2581"/>
    <w:rsid w:val="00EB6FFF"/>
    <w:rsid w:val="00ED7A2A"/>
    <w:rsid w:val="00EF1D7F"/>
    <w:rsid w:val="00F20C3D"/>
    <w:rsid w:val="00F31645"/>
    <w:rsid w:val="00F43E9E"/>
    <w:rsid w:val="00F52187"/>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372E42"/>
    <w:rPr>
      <w:lang w:eastAsia="en-US"/>
    </w:rPr>
  </w:style>
  <w:style w:type="character" w:customStyle="1" w:styleId="H23GChar">
    <w:name w:val="_ H_2/3_G Char"/>
    <w:link w:val="H23G"/>
    <w:uiPriority w:val="99"/>
    <w:locked/>
    <w:rsid w:val="00372E42"/>
    <w:rPr>
      <w:b/>
      <w:lang w:eastAsia="en-US"/>
    </w:rPr>
  </w:style>
  <w:style w:type="paragraph" w:styleId="BalloonText">
    <w:name w:val="Balloon Text"/>
    <w:basedOn w:val="Normal"/>
    <w:link w:val="BalloonTextChar"/>
    <w:rsid w:val="001024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24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372E42"/>
    <w:rPr>
      <w:lang w:eastAsia="en-US"/>
    </w:rPr>
  </w:style>
  <w:style w:type="character" w:customStyle="1" w:styleId="H23GChar">
    <w:name w:val="_ H_2/3_G Char"/>
    <w:link w:val="H23G"/>
    <w:uiPriority w:val="99"/>
    <w:locked/>
    <w:rsid w:val="00372E42"/>
    <w:rPr>
      <w:b/>
      <w:lang w:eastAsia="en-US"/>
    </w:rPr>
  </w:style>
  <w:style w:type="paragraph" w:styleId="BalloonText">
    <w:name w:val="Balloon Text"/>
    <w:basedOn w:val="Normal"/>
    <w:link w:val="BalloonTextChar"/>
    <w:rsid w:val="001024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24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A4592-8981-4701-9CE9-DEA617C20CB4}"/>
</file>

<file path=customXml/itemProps2.xml><?xml version="1.0" encoding="utf-8"?>
<ds:datastoreItem xmlns:ds="http://schemas.openxmlformats.org/officeDocument/2006/customXml" ds:itemID="{50C7BA8C-FBF3-48F2-82CE-0169C7DEDCF6}"/>
</file>

<file path=customXml/itemProps3.xml><?xml version="1.0" encoding="utf-8"?>
<ds:datastoreItem xmlns:ds="http://schemas.openxmlformats.org/officeDocument/2006/customXml" ds:itemID="{0304CB3C-2542-4E81-B19D-4CE5DD2C6A28}"/>
</file>

<file path=customXml/itemProps4.xml><?xml version="1.0" encoding="utf-8"?>
<ds:datastoreItem xmlns:ds="http://schemas.openxmlformats.org/officeDocument/2006/customXml" ds:itemID="{DC9DAD70-98E4-431E-A80C-B34C573889B9}"/>
</file>

<file path=docProps/app.xml><?xml version="1.0" encoding="utf-8"?>
<Properties xmlns="http://schemas.openxmlformats.org/officeDocument/2006/extended-properties" xmlns:vt="http://schemas.openxmlformats.org/officeDocument/2006/docPropsVTypes">
  <Template>CCPR_E.dotm</Template>
  <TotalTime>5</TotalTime>
  <Pages>9</Pages>
  <Words>4039</Words>
  <Characters>23027</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5</cp:revision>
  <cp:lastPrinted>2017-03-23T15:56:00Z</cp:lastPrinted>
  <dcterms:created xsi:type="dcterms:W3CDTF">2017-03-24T14:04:00Z</dcterms:created>
  <dcterms:modified xsi:type="dcterms:W3CDTF">2017-03-27T13:38:00Z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