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16356">
        <w:trPr>
          <w:cantSplit/>
          <w:trHeight w:hRule="exact" w:val="851"/>
        </w:trPr>
        <w:tc>
          <w:tcPr>
            <w:tcW w:w="1276" w:type="dxa"/>
            <w:tcBorders>
              <w:bottom w:val="single" w:sz="4" w:space="0" w:color="auto"/>
            </w:tcBorders>
            <w:vAlign w:val="bottom"/>
          </w:tcPr>
          <w:p w:rsidR="00165C15" w:rsidRDefault="00165C15" w:rsidP="00E16356">
            <w:pPr>
              <w:spacing w:after="80"/>
            </w:pPr>
          </w:p>
        </w:tc>
        <w:tc>
          <w:tcPr>
            <w:tcW w:w="2268" w:type="dxa"/>
            <w:tcBorders>
              <w:bottom w:val="single" w:sz="4" w:space="0" w:color="auto"/>
            </w:tcBorders>
            <w:vAlign w:val="bottom"/>
          </w:tcPr>
          <w:p w:rsidR="00165C15" w:rsidRPr="00B97172" w:rsidRDefault="00165C15" w:rsidP="00E16356">
            <w:pPr>
              <w:spacing w:after="80" w:line="300" w:lineRule="exact"/>
              <w:rPr>
                <w:b/>
                <w:sz w:val="24"/>
                <w:szCs w:val="24"/>
              </w:rPr>
            </w:pPr>
          </w:p>
        </w:tc>
        <w:tc>
          <w:tcPr>
            <w:tcW w:w="6095" w:type="dxa"/>
            <w:gridSpan w:val="2"/>
            <w:tcBorders>
              <w:bottom w:val="single" w:sz="4" w:space="0" w:color="auto"/>
            </w:tcBorders>
            <w:vAlign w:val="bottom"/>
          </w:tcPr>
          <w:p w:rsidR="00165C15" w:rsidRPr="00D47EEA" w:rsidRDefault="00165C15" w:rsidP="00A601E4">
            <w:pPr>
              <w:suppressAutoHyphens w:val="0"/>
              <w:spacing w:after="20"/>
              <w:jc w:val="right"/>
            </w:pPr>
          </w:p>
        </w:tc>
      </w:tr>
      <w:tr w:rsidR="00165C15" w:rsidTr="00E16356">
        <w:trPr>
          <w:cantSplit/>
          <w:trHeight w:hRule="exact" w:val="2835"/>
        </w:trPr>
        <w:tc>
          <w:tcPr>
            <w:tcW w:w="1276" w:type="dxa"/>
            <w:tcBorders>
              <w:top w:val="single" w:sz="4" w:space="0" w:color="auto"/>
              <w:bottom w:val="single" w:sz="12" w:space="0" w:color="auto"/>
            </w:tcBorders>
          </w:tcPr>
          <w:p w:rsidR="00165C15" w:rsidRDefault="00165C15" w:rsidP="00E16356">
            <w:pPr>
              <w:spacing w:before="120"/>
            </w:pPr>
          </w:p>
        </w:tc>
        <w:tc>
          <w:tcPr>
            <w:tcW w:w="5528" w:type="dxa"/>
            <w:gridSpan w:val="2"/>
            <w:tcBorders>
              <w:top w:val="single" w:sz="4" w:space="0" w:color="auto"/>
              <w:bottom w:val="single" w:sz="12" w:space="0" w:color="auto"/>
            </w:tcBorders>
          </w:tcPr>
          <w:p w:rsidR="00165C15" w:rsidRPr="00267F5F" w:rsidRDefault="00E77871" w:rsidP="00E16356">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CD4042" w:rsidRDefault="00CD4042" w:rsidP="00E865C3">
            <w:pPr>
              <w:suppressAutoHyphens w:val="0"/>
            </w:pPr>
          </w:p>
        </w:tc>
      </w:tr>
    </w:tbl>
    <w:p w:rsidR="00E865C3" w:rsidRDefault="00E865C3" w:rsidP="00E865C3">
      <w:pPr>
        <w:spacing w:before="120"/>
      </w:pPr>
      <w:r>
        <w:rPr>
          <w:b/>
          <w:sz w:val="24"/>
        </w:rPr>
        <w:t>Human Rights Committee</w:t>
      </w:r>
    </w:p>
    <w:p w:rsidR="00CD4042" w:rsidRDefault="00CD4042" w:rsidP="00D23973">
      <w:pPr>
        <w:pStyle w:val="HChG"/>
      </w:pPr>
      <w:r>
        <w:tab/>
      </w:r>
      <w:r>
        <w:tab/>
        <w:t xml:space="preserve">Concluding observations on the </w:t>
      </w:r>
      <w:r w:rsidR="00D23973">
        <w:t>third</w:t>
      </w:r>
      <w:r>
        <w:t xml:space="preserve"> periodic report of </w:t>
      </w:r>
      <w:r w:rsidR="00E865C3">
        <w:t>San Marino</w:t>
      </w:r>
      <w:r w:rsidR="00A601E4" w:rsidRPr="00804557">
        <w:rPr>
          <w:rStyle w:val="FootnoteReference"/>
          <w:sz w:val="20"/>
        </w:rPr>
        <w:footnoteReference w:customMarkFollows="1" w:id="1"/>
        <w:t>*</w:t>
      </w:r>
    </w:p>
    <w:p w:rsidR="00D23973" w:rsidRPr="00B12CF1" w:rsidRDefault="00D23973" w:rsidP="001D0279">
      <w:pPr>
        <w:pStyle w:val="SingleTxtG"/>
        <w:numPr>
          <w:ilvl w:val="0"/>
          <w:numId w:val="8"/>
        </w:numPr>
        <w:ind w:left="1134" w:firstLine="0"/>
      </w:pPr>
      <w:r w:rsidRPr="00B12CF1">
        <w:t xml:space="preserve">The Human Rights Committee considered the third periodic report of </w:t>
      </w:r>
      <w:r w:rsidR="00E865C3">
        <w:t>San Marino</w:t>
      </w:r>
      <w:r w:rsidRPr="00B12CF1">
        <w:t xml:space="preserve"> (CCPR/C/</w:t>
      </w:r>
      <w:r w:rsidR="00E865C3">
        <w:t>SMR</w:t>
      </w:r>
      <w:r w:rsidRPr="00B12CF1">
        <w:t>/3) at its 3</w:t>
      </w:r>
      <w:r w:rsidR="00E865C3">
        <w:t>203</w:t>
      </w:r>
      <w:r w:rsidR="000B067C">
        <w:t>rd</w:t>
      </w:r>
      <w:r w:rsidRPr="00B12CF1">
        <w:t xml:space="preserve"> and 3</w:t>
      </w:r>
      <w:r w:rsidR="00E865C3">
        <w:t>205</w:t>
      </w:r>
      <w:r w:rsidRPr="00B12CF1">
        <w:t>th meetings (CCPR/C/SR.</w:t>
      </w:r>
      <w:r w:rsidR="00E865C3">
        <w:t>3203</w:t>
      </w:r>
      <w:r w:rsidRPr="00B12CF1">
        <w:t xml:space="preserve"> and 3</w:t>
      </w:r>
      <w:r w:rsidR="00E865C3">
        <w:t>205</w:t>
      </w:r>
      <w:r w:rsidRPr="00B12CF1">
        <w:t xml:space="preserve">), held on </w:t>
      </w:r>
      <w:r w:rsidR="00E865C3">
        <w:t>19</w:t>
      </w:r>
      <w:r w:rsidRPr="00B12CF1">
        <w:t xml:space="preserve"> and 2</w:t>
      </w:r>
      <w:r w:rsidR="00E865C3">
        <w:t>0</w:t>
      </w:r>
      <w:r w:rsidRPr="00B12CF1">
        <w:t xml:space="preserve"> </w:t>
      </w:r>
      <w:r w:rsidR="00E865C3">
        <w:t>October</w:t>
      </w:r>
      <w:r w:rsidRPr="00B12CF1">
        <w:t xml:space="preserve"> 2015. At its 3</w:t>
      </w:r>
      <w:r w:rsidR="00E865C3">
        <w:t>225</w:t>
      </w:r>
      <w:r w:rsidRPr="00B12CF1">
        <w:t>th meeting</w:t>
      </w:r>
      <w:r w:rsidR="00BE3006">
        <w:t xml:space="preserve"> </w:t>
      </w:r>
      <w:r w:rsidR="00BE3006" w:rsidRPr="00BE3006">
        <w:t>(CCPR/C/SR.32</w:t>
      </w:r>
      <w:r w:rsidR="00BE3006">
        <w:t>2</w:t>
      </w:r>
      <w:r w:rsidR="00BE3006" w:rsidRPr="00BE3006">
        <w:t>5)</w:t>
      </w:r>
      <w:r w:rsidRPr="00B12CF1">
        <w:t xml:space="preserve">, held on 3 </w:t>
      </w:r>
      <w:r w:rsidR="00E865C3">
        <w:t>November</w:t>
      </w:r>
      <w:r w:rsidRPr="00B12CF1">
        <w:t xml:space="preserve"> 2015, the Committee adopted the following concluding observations.</w:t>
      </w:r>
    </w:p>
    <w:p w:rsidR="00D23973" w:rsidRPr="00B12CF1" w:rsidRDefault="00D921DD" w:rsidP="00D921DD">
      <w:pPr>
        <w:pStyle w:val="H1G"/>
      </w:pPr>
      <w:r>
        <w:tab/>
      </w:r>
      <w:r w:rsidR="00D23973" w:rsidRPr="00B12CF1">
        <w:t>A.</w:t>
      </w:r>
      <w:r w:rsidR="00D23973" w:rsidRPr="00B12CF1">
        <w:tab/>
        <w:t xml:space="preserve">Introduction </w:t>
      </w:r>
    </w:p>
    <w:p w:rsidR="00D23973" w:rsidRPr="00B12CF1" w:rsidRDefault="00D23973" w:rsidP="00595AE9">
      <w:pPr>
        <w:pStyle w:val="SingleTxtG"/>
        <w:numPr>
          <w:ilvl w:val="0"/>
          <w:numId w:val="8"/>
        </w:numPr>
        <w:ind w:left="1134" w:firstLine="0"/>
      </w:pPr>
      <w:r w:rsidRPr="00B12CF1">
        <w:t xml:space="preserve">The </w:t>
      </w:r>
      <w:proofErr w:type="gramStart"/>
      <w:r w:rsidRPr="00B12CF1">
        <w:t xml:space="preserve">Committee  </w:t>
      </w:r>
      <w:r w:rsidR="00595AE9" w:rsidRPr="00595AE9">
        <w:t>is</w:t>
      </w:r>
      <w:proofErr w:type="gramEnd"/>
      <w:r w:rsidR="00595AE9" w:rsidRPr="00595AE9">
        <w:t xml:space="preserve"> grateful to the State party for having accepted the new optional procedure for submission of reports and for submitting its third periodic report in response to the list of issues prior to consideration of reports </w:t>
      </w:r>
      <w:r w:rsidRPr="00B12CF1">
        <w:t>(CCPR/C/</w:t>
      </w:r>
      <w:r w:rsidR="00BE3006">
        <w:t>SMR</w:t>
      </w:r>
      <w:r w:rsidRPr="00B12CF1">
        <w:t>/Q/3)</w:t>
      </w:r>
      <w:r w:rsidR="00595AE9">
        <w:t>, under that procedure</w:t>
      </w:r>
      <w:r w:rsidRPr="00B12CF1">
        <w:t xml:space="preserve">. </w:t>
      </w:r>
      <w:r w:rsidR="00595AE9" w:rsidRPr="00595AE9">
        <w:t xml:space="preserve">It </w:t>
      </w:r>
      <w:r w:rsidR="00023213">
        <w:t xml:space="preserve">expresses appreciation for the opportunity to </w:t>
      </w:r>
      <w:r w:rsidR="00595AE9" w:rsidRPr="00595AE9">
        <w:t xml:space="preserve">renew its constructive dialogue with the </w:t>
      </w:r>
      <w:r w:rsidR="00023213">
        <w:t>State party</w:t>
      </w:r>
      <w:r w:rsidR="00595AE9" w:rsidRPr="00595AE9">
        <w:t xml:space="preserve"> concerning the steps taken by </w:t>
      </w:r>
      <w:r w:rsidR="00595AE9">
        <w:t>San Marino</w:t>
      </w:r>
      <w:r w:rsidR="00595AE9" w:rsidRPr="00595AE9">
        <w:t xml:space="preserve"> during the reporting period to </w:t>
      </w:r>
      <w:r w:rsidR="00023213">
        <w:t>implement the provisions of</w:t>
      </w:r>
      <w:r w:rsidR="00595AE9" w:rsidRPr="00595AE9">
        <w:t xml:space="preserve"> the Covenant. </w:t>
      </w:r>
      <w:r w:rsidRPr="00B12CF1">
        <w:t xml:space="preserve"> The Committee thanks the State party for the replies provided orally by the delegation and </w:t>
      </w:r>
      <w:r w:rsidR="00595AE9">
        <w:t xml:space="preserve">for </w:t>
      </w:r>
      <w:r w:rsidRPr="00B12CF1">
        <w:t xml:space="preserve">the </w:t>
      </w:r>
      <w:r w:rsidRPr="009B11B7">
        <w:t>supplementary information</w:t>
      </w:r>
      <w:r w:rsidR="00595AE9">
        <w:t xml:space="preserve"> that it has</w:t>
      </w:r>
      <w:r w:rsidRPr="009B11B7">
        <w:t xml:space="preserve"> provided in writing</w:t>
      </w:r>
      <w:r w:rsidRPr="00B12CF1">
        <w:t>.</w:t>
      </w:r>
    </w:p>
    <w:p w:rsidR="00D23973" w:rsidRPr="00B12CF1" w:rsidRDefault="00D921DD" w:rsidP="00D921DD">
      <w:pPr>
        <w:pStyle w:val="H1G"/>
      </w:pPr>
      <w:r>
        <w:tab/>
      </w:r>
      <w:r w:rsidR="00D23973" w:rsidRPr="00B12CF1">
        <w:t>B.</w:t>
      </w:r>
      <w:r w:rsidR="00D23973" w:rsidRPr="00B12CF1">
        <w:tab/>
        <w:t>Positive aspects</w:t>
      </w:r>
    </w:p>
    <w:p w:rsidR="00D23973" w:rsidRPr="00B12CF1" w:rsidRDefault="00D23973" w:rsidP="001D0279">
      <w:pPr>
        <w:pStyle w:val="SingleTxtG"/>
        <w:numPr>
          <w:ilvl w:val="0"/>
          <w:numId w:val="8"/>
        </w:numPr>
        <w:ind w:left="1134" w:firstLine="0"/>
      </w:pPr>
      <w:r w:rsidRPr="00B12CF1">
        <w:t>The Committee welcomes the legislative</w:t>
      </w:r>
      <w:r w:rsidR="00942CA7">
        <w:t xml:space="preserve"> </w:t>
      </w:r>
      <w:r w:rsidR="001D0279">
        <w:t>steps</w:t>
      </w:r>
      <w:r w:rsidRPr="00B12CF1">
        <w:t xml:space="preserve"> taken </w:t>
      </w:r>
      <w:r w:rsidR="001D0279">
        <w:t xml:space="preserve">by the State party </w:t>
      </w:r>
      <w:r w:rsidRPr="00B12CF1">
        <w:t xml:space="preserve">to protect human rights, </w:t>
      </w:r>
      <w:r w:rsidR="001D0279">
        <w:t>including</w:t>
      </w:r>
      <w:r w:rsidRPr="00B12CF1">
        <w:t xml:space="preserve">: </w:t>
      </w:r>
    </w:p>
    <w:p w:rsidR="00DC7EE8" w:rsidRDefault="00D23973" w:rsidP="00D23973">
      <w:pPr>
        <w:pStyle w:val="SingleTxtG"/>
      </w:pPr>
      <w:r w:rsidRPr="00B12CF1">
        <w:tab/>
        <w:t>(a)</w:t>
      </w:r>
      <w:r w:rsidRPr="00B12CF1">
        <w:tab/>
      </w:r>
      <w:r w:rsidR="00100B5A">
        <w:t xml:space="preserve">The adoption of Law No. 28 of </w:t>
      </w:r>
      <w:r w:rsidR="00942CA7">
        <w:t>10 March 2015</w:t>
      </w:r>
      <w:r w:rsidR="00100B5A">
        <w:t xml:space="preserve"> “Framework Law on assistance, social inclusion and the rights of persons with disabilities”;</w:t>
      </w:r>
    </w:p>
    <w:p w:rsidR="00E91513" w:rsidRDefault="00DC7EE8" w:rsidP="00DC7EE8">
      <w:pPr>
        <w:pStyle w:val="SingleTxtG"/>
        <w:ind w:firstLine="567"/>
      </w:pPr>
      <w:r>
        <w:t>(b)</w:t>
      </w:r>
      <w:r>
        <w:tab/>
      </w:r>
      <w:r w:rsidR="00100B5A" w:rsidRPr="004948E8">
        <w:t>The adoption of Law No. 140 of 4 September 2014, which</w:t>
      </w:r>
      <w:r w:rsidR="001C1AA8">
        <w:t xml:space="preserve"> p</w:t>
      </w:r>
      <w:r w:rsidR="001C1AA8" w:rsidRPr="001C1AA8">
        <w:t>rovides that children are enti</w:t>
      </w:r>
      <w:r w:rsidR="001C1AA8">
        <w:t>tled to protection and security</w:t>
      </w:r>
      <w:r w:rsidR="001C1AA8" w:rsidRPr="001C1AA8">
        <w:t xml:space="preserve"> and shall not be subject to corporal punishment or other treatment damaging their physical and psychological integrity</w:t>
      </w:r>
      <w:r w:rsidR="001C1AA8">
        <w:t>;</w:t>
      </w:r>
    </w:p>
    <w:p w:rsidR="00D23973" w:rsidRDefault="001D0279" w:rsidP="00DC7EE8">
      <w:pPr>
        <w:pStyle w:val="SingleTxtG"/>
        <w:ind w:firstLine="567"/>
      </w:pPr>
      <w:r>
        <w:t>(</w:t>
      </w:r>
      <w:r w:rsidR="00DC7EE8">
        <w:t>c</w:t>
      </w:r>
      <w:r>
        <w:t>)</w:t>
      </w:r>
      <w:r>
        <w:tab/>
      </w:r>
      <w:r w:rsidR="00E91513">
        <w:t>The adoption of Law No. 41 of 31 March 2014</w:t>
      </w:r>
      <w:r w:rsidR="00562F16">
        <w:t xml:space="preserve"> </w:t>
      </w:r>
      <w:r w:rsidR="00E91513">
        <w:t>“Extradition provisions”, which inter alia limits extradition if there is a reason to believe that the extradited person will be subjected to p</w:t>
      </w:r>
      <w:r w:rsidR="00972370">
        <w:t>er</w:t>
      </w:r>
      <w:r w:rsidR="00E91513">
        <w:t>secution or discrimination, to cruel, inhuman or degrading treatment, or if the offence for which extradition is requested is punished by death penalty in the requesting country</w:t>
      </w:r>
      <w:r w:rsidR="00DC7EE8">
        <w:t>.</w:t>
      </w:r>
    </w:p>
    <w:p w:rsidR="00562F16" w:rsidRPr="00B12CF1" w:rsidRDefault="00F81007" w:rsidP="00DC7EE8">
      <w:pPr>
        <w:pStyle w:val="SingleTxtG"/>
        <w:ind w:firstLine="567"/>
      </w:pPr>
      <w:r>
        <w:lastRenderedPageBreak/>
        <w:t>(d)</w:t>
      </w:r>
      <w:r w:rsidR="00EB2A20">
        <w:tab/>
      </w:r>
      <w:r w:rsidR="00562F16">
        <w:t>The adoption of Law No. 35 of 30 March 2012 “Extraordinary provisions on naturalization”</w:t>
      </w:r>
      <w:r w:rsidR="00C13759">
        <w:t>,</w:t>
      </w:r>
      <w:r w:rsidR="00204C35">
        <w:t xml:space="preserve"> </w:t>
      </w:r>
      <w:r w:rsidR="00365CE7">
        <w:t>to the extent that</w:t>
      </w:r>
      <w:r w:rsidR="00204C35">
        <w:t xml:space="preserve"> it</w:t>
      </w:r>
      <w:r w:rsidR="00562F16">
        <w:t xml:space="preserve"> chang</w:t>
      </w:r>
      <w:r w:rsidR="001C1AA8">
        <w:t>es</w:t>
      </w:r>
      <w:r w:rsidR="00562F16">
        <w:t xml:space="preserve"> the conditions for the acquisition of nationality for children, in line with the Committee’s previous recommendation (see CCPR/C/SMR/CO/2, para. </w:t>
      </w:r>
      <w:r w:rsidR="00A31683">
        <w:t>9).</w:t>
      </w:r>
    </w:p>
    <w:p w:rsidR="00D23973" w:rsidRPr="00B12CF1" w:rsidRDefault="001D0279" w:rsidP="001D0279">
      <w:pPr>
        <w:pStyle w:val="SingleTxtG"/>
        <w:numPr>
          <w:ilvl w:val="0"/>
          <w:numId w:val="8"/>
        </w:numPr>
        <w:ind w:left="1134" w:firstLine="0"/>
      </w:pPr>
      <w:r w:rsidRPr="001D0279">
        <w:t>The Committee welcomes the ratification of, or accession to, the following international instruments by the State party:</w:t>
      </w:r>
    </w:p>
    <w:p w:rsidR="00D23973" w:rsidRPr="00B12CF1" w:rsidRDefault="00D23973" w:rsidP="00D23973">
      <w:pPr>
        <w:pStyle w:val="SingleTxtG"/>
      </w:pPr>
      <w:r w:rsidRPr="00B12CF1">
        <w:tab/>
        <w:t>(a)</w:t>
      </w:r>
      <w:r w:rsidRPr="00B12CF1">
        <w:tab/>
        <w:t xml:space="preserve">The Optional Protocol to the </w:t>
      </w:r>
      <w:r w:rsidR="00E16356">
        <w:t>International Covenant on Economic, Social and Cultural Rights</w:t>
      </w:r>
      <w:r w:rsidRPr="00B12CF1">
        <w:t xml:space="preserve">, on </w:t>
      </w:r>
      <w:r w:rsidR="00E16356">
        <w:t>4 August</w:t>
      </w:r>
      <w:r w:rsidRPr="00B12CF1">
        <w:t xml:space="preserve"> 201</w:t>
      </w:r>
      <w:r w:rsidR="00E16356">
        <w:t>5</w:t>
      </w:r>
      <w:r w:rsidRPr="00B12CF1">
        <w:t>;</w:t>
      </w:r>
    </w:p>
    <w:p w:rsidR="00D23973" w:rsidRPr="00B12CF1" w:rsidRDefault="00D23973" w:rsidP="00D23973">
      <w:pPr>
        <w:pStyle w:val="SingleTxtG"/>
      </w:pPr>
      <w:r w:rsidRPr="00B12CF1">
        <w:tab/>
        <w:t>(b)</w:t>
      </w:r>
      <w:r w:rsidRPr="00B12CF1">
        <w:tab/>
      </w:r>
      <w:r w:rsidR="00E16356" w:rsidRPr="00E16356">
        <w:t>The Optional Protocols to the Convention on the Rights of the Child on the sale of children, child pros</w:t>
      </w:r>
      <w:r w:rsidR="00E16356">
        <w:t>titution and child pornography</w:t>
      </w:r>
      <w:r w:rsidR="00E16356" w:rsidRPr="00E16356">
        <w:t>, and on the involvement of children in armed conflict, on 2</w:t>
      </w:r>
      <w:r w:rsidR="00E16356">
        <w:t>6</w:t>
      </w:r>
      <w:r w:rsidR="00E16356" w:rsidRPr="00E16356">
        <w:t xml:space="preserve"> September 20</w:t>
      </w:r>
      <w:r w:rsidR="00E16356">
        <w:t>11.</w:t>
      </w:r>
    </w:p>
    <w:p w:rsidR="00D23973" w:rsidRPr="00B12CF1" w:rsidRDefault="00E16356" w:rsidP="00E16356">
      <w:pPr>
        <w:pStyle w:val="SingleTxtG"/>
        <w:numPr>
          <w:ilvl w:val="0"/>
          <w:numId w:val="8"/>
        </w:numPr>
        <w:ind w:left="1134" w:firstLine="0"/>
      </w:pPr>
      <w:r>
        <w:t>The Committee welcomes</w:t>
      </w:r>
      <w:r w:rsidR="001342A5">
        <w:t xml:space="preserve"> </w:t>
      </w:r>
      <w:r>
        <w:t>the State party</w:t>
      </w:r>
      <w:r w:rsidR="001342A5">
        <w:t xml:space="preserve">’s </w:t>
      </w:r>
      <w:r>
        <w:t xml:space="preserve">declaration </w:t>
      </w:r>
      <w:r w:rsidR="001342A5">
        <w:t xml:space="preserve">made on 4 August 2015, </w:t>
      </w:r>
      <w:r>
        <w:t>under article 41 of the International Covenant on Civil and Political Rights</w:t>
      </w:r>
      <w:r w:rsidR="001342A5">
        <w:t xml:space="preserve">, </w:t>
      </w:r>
      <w:r>
        <w:t xml:space="preserve">recognizing the competence of the </w:t>
      </w:r>
      <w:r w:rsidR="00B354C3">
        <w:t xml:space="preserve">Human Rights </w:t>
      </w:r>
      <w:r>
        <w:t>Committee to receive and consider inter-State communications.</w:t>
      </w:r>
    </w:p>
    <w:p w:rsidR="00D23973" w:rsidRPr="00B12CF1" w:rsidRDefault="00D921DD" w:rsidP="00D921DD">
      <w:pPr>
        <w:pStyle w:val="H1G"/>
      </w:pPr>
      <w:r>
        <w:tab/>
      </w:r>
      <w:r w:rsidR="00D23973" w:rsidRPr="00B12CF1">
        <w:t>C.</w:t>
      </w:r>
      <w:r w:rsidR="00D23973" w:rsidRPr="00B12CF1">
        <w:tab/>
        <w:t xml:space="preserve">Principal subjects of concern and recommendations </w:t>
      </w:r>
    </w:p>
    <w:p w:rsidR="00D23973" w:rsidRPr="00B12CF1" w:rsidRDefault="00A7460D" w:rsidP="00A7460D">
      <w:pPr>
        <w:pStyle w:val="H23G"/>
      </w:pPr>
      <w:r>
        <w:tab/>
      </w:r>
      <w:r>
        <w:tab/>
      </w:r>
      <w:r w:rsidR="00AC67CF">
        <w:t>N</w:t>
      </w:r>
      <w:r w:rsidR="00D23973" w:rsidRPr="00B12CF1">
        <w:t>a</w:t>
      </w:r>
      <w:r w:rsidR="009A69B1">
        <w:t>tional human rights institution</w:t>
      </w:r>
    </w:p>
    <w:p w:rsidR="00B36DCB" w:rsidRPr="00B36DCB" w:rsidRDefault="00AE3B9D" w:rsidP="00596261">
      <w:pPr>
        <w:pStyle w:val="SingleTxtG"/>
        <w:numPr>
          <w:ilvl w:val="0"/>
          <w:numId w:val="8"/>
        </w:numPr>
        <w:ind w:left="1134" w:firstLine="0"/>
        <w:rPr>
          <w:bCs/>
        </w:rPr>
      </w:pPr>
      <w:r>
        <w:t xml:space="preserve">While </w:t>
      </w:r>
      <w:r w:rsidR="00C943B5">
        <w:t>acknowledging the existence of institutional structures</w:t>
      </w:r>
      <w:r w:rsidR="001C1AA8">
        <w:t xml:space="preserve"> that monitor the implementation of human rights</w:t>
      </w:r>
      <w:r w:rsidR="00C943B5">
        <w:t xml:space="preserve">, such as the Equal Opportunities Commission, </w:t>
      </w:r>
      <w:r>
        <w:t>t</w:t>
      </w:r>
      <w:r w:rsidR="00D23973" w:rsidRPr="00B12CF1">
        <w:t>he Committee</w:t>
      </w:r>
      <w:r w:rsidR="009B35C0">
        <w:t xml:space="preserve"> </w:t>
      </w:r>
      <w:r>
        <w:t>is concerned</w:t>
      </w:r>
      <w:r w:rsidR="009A69B1">
        <w:t xml:space="preserve"> that the State party has not </w:t>
      </w:r>
      <w:r w:rsidR="00581537">
        <w:t xml:space="preserve">yet </w:t>
      </w:r>
      <w:r w:rsidR="00612F06">
        <w:t>establish</w:t>
      </w:r>
      <w:r w:rsidR="00BE0338">
        <w:t>ed</w:t>
      </w:r>
      <w:r w:rsidR="009A69B1">
        <w:t xml:space="preserve"> a </w:t>
      </w:r>
      <w:r w:rsidR="00612F06">
        <w:t xml:space="preserve">consolidated </w:t>
      </w:r>
      <w:r w:rsidR="009A69B1">
        <w:t xml:space="preserve">national human rights institution in accordance with </w:t>
      </w:r>
      <w:r w:rsidR="009A69B1" w:rsidRPr="00B36DCB">
        <w:rPr>
          <w:bCs/>
        </w:rPr>
        <w:t xml:space="preserve">the principles relating to the status of national institutions for the promotion and protection of human rights (Paris Principles) </w:t>
      </w:r>
      <w:r w:rsidR="000E128E">
        <w:rPr>
          <w:bCs/>
        </w:rPr>
        <w:t>(</w:t>
      </w:r>
      <w:r w:rsidR="009A69B1" w:rsidRPr="00B36DCB">
        <w:rPr>
          <w:bCs/>
        </w:rPr>
        <w:t>General Assembly resolution 48/134</w:t>
      </w:r>
      <w:r w:rsidR="000E128E">
        <w:rPr>
          <w:bCs/>
        </w:rPr>
        <w:t>, annex)</w:t>
      </w:r>
      <w:r w:rsidR="009A69B1" w:rsidRPr="009A69B1">
        <w:t xml:space="preserve"> </w:t>
      </w:r>
      <w:r w:rsidR="00D23973" w:rsidRPr="00B12CF1">
        <w:t>(art. 2).</w:t>
      </w:r>
    </w:p>
    <w:p w:rsidR="009A69B1" w:rsidRPr="00F81007" w:rsidRDefault="009B35C0" w:rsidP="00596261">
      <w:pPr>
        <w:pStyle w:val="SingleTxtG"/>
        <w:numPr>
          <w:ilvl w:val="0"/>
          <w:numId w:val="8"/>
        </w:numPr>
        <w:ind w:left="1134" w:firstLine="0"/>
        <w:rPr>
          <w:b/>
          <w:bCs/>
        </w:rPr>
      </w:pPr>
      <w:r w:rsidRPr="00F81007">
        <w:rPr>
          <w:b/>
          <w:bCs/>
        </w:rPr>
        <w:t>Recalling its previous recommendation (</w:t>
      </w:r>
      <w:r w:rsidR="005A7045" w:rsidRPr="00F81007">
        <w:rPr>
          <w:b/>
          <w:bCs/>
        </w:rPr>
        <w:t xml:space="preserve">see </w:t>
      </w:r>
      <w:r w:rsidRPr="00F81007">
        <w:rPr>
          <w:b/>
          <w:bCs/>
        </w:rPr>
        <w:t>CCPR/C/SMR/CO/2, para. 6), t</w:t>
      </w:r>
      <w:r w:rsidR="009A69B1" w:rsidRPr="00F81007">
        <w:rPr>
          <w:b/>
          <w:bCs/>
        </w:rPr>
        <w:t>he Committee</w:t>
      </w:r>
      <w:r w:rsidR="00AD4635" w:rsidRPr="00F81007">
        <w:rPr>
          <w:b/>
          <w:bCs/>
        </w:rPr>
        <w:t xml:space="preserve"> r</w:t>
      </w:r>
      <w:r w:rsidR="009A69B1" w:rsidRPr="00F81007">
        <w:rPr>
          <w:b/>
          <w:bCs/>
        </w:rPr>
        <w:t xml:space="preserve">ecommends that the State party </w:t>
      </w:r>
      <w:r w:rsidR="00B36DCB" w:rsidRPr="00F81007">
        <w:rPr>
          <w:b/>
          <w:bCs/>
        </w:rPr>
        <w:t>establish</w:t>
      </w:r>
      <w:r w:rsidR="009A69B1" w:rsidRPr="00F81007">
        <w:rPr>
          <w:b/>
          <w:bCs/>
        </w:rPr>
        <w:t xml:space="preserve"> an </w:t>
      </w:r>
      <w:r w:rsidR="00C943B5" w:rsidRPr="00F81007">
        <w:rPr>
          <w:b/>
          <w:bCs/>
        </w:rPr>
        <w:t xml:space="preserve">effective </w:t>
      </w:r>
      <w:r w:rsidR="0050102D" w:rsidRPr="00F81007">
        <w:rPr>
          <w:b/>
          <w:bCs/>
        </w:rPr>
        <w:t xml:space="preserve">and </w:t>
      </w:r>
      <w:r w:rsidR="009A69B1" w:rsidRPr="00F81007">
        <w:rPr>
          <w:b/>
          <w:bCs/>
        </w:rPr>
        <w:t>independent national human rights institution with</w:t>
      </w:r>
      <w:r w:rsidR="00C943B5" w:rsidRPr="00F81007">
        <w:rPr>
          <w:b/>
          <w:bCs/>
        </w:rPr>
        <w:t xml:space="preserve"> </w:t>
      </w:r>
      <w:r w:rsidR="009A69B1" w:rsidRPr="00F81007">
        <w:rPr>
          <w:b/>
          <w:bCs/>
        </w:rPr>
        <w:t xml:space="preserve">broad </w:t>
      </w:r>
      <w:r w:rsidR="00C943B5" w:rsidRPr="00F81007">
        <w:rPr>
          <w:b/>
          <w:bCs/>
        </w:rPr>
        <w:t xml:space="preserve">competence in the field of </w:t>
      </w:r>
      <w:r w:rsidR="009A69B1" w:rsidRPr="00F81007">
        <w:rPr>
          <w:b/>
          <w:bCs/>
        </w:rPr>
        <w:t xml:space="preserve">human rights in line with the Paris </w:t>
      </w:r>
      <w:r w:rsidR="009A6FAC" w:rsidRPr="00F81007">
        <w:rPr>
          <w:b/>
          <w:bCs/>
        </w:rPr>
        <w:t>P</w:t>
      </w:r>
      <w:r w:rsidR="009A69B1" w:rsidRPr="00F81007">
        <w:rPr>
          <w:b/>
          <w:bCs/>
        </w:rPr>
        <w:t>rinciples.</w:t>
      </w:r>
    </w:p>
    <w:p w:rsidR="002E5C61" w:rsidRDefault="009A69B1" w:rsidP="00A7460D">
      <w:pPr>
        <w:pStyle w:val="H23G"/>
      </w:pPr>
      <w:r>
        <w:tab/>
      </w:r>
      <w:r w:rsidR="00A7460D">
        <w:tab/>
      </w:r>
      <w:r w:rsidR="002E5C61">
        <w:t>Anti-discrimination legislation</w:t>
      </w:r>
    </w:p>
    <w:p w:rsidR="0012752B" w:rsidRPr="0012752B" w:rsidRDefault="001342A5" w:rsidP="00596261">
      <w:pPr>
        <w:pStyle w:val="SingleTxtG"/>
        <w:numPr>
          <w:ilvl w:val="0"/>
          <w:numId w:val="8"/>
        </w:numPr>
        <w:ind w:left="1134" w:firstLine="0"/>
        <w:rPr>
          <w:bCs/>
        </w:rPr>
      </w:pPr>
      <w:r>
        <w:t xml:space="preserve">While taking note </w:t>
      </w:r>
      <w:r w:rsidR="005A7045" w:rsidRPr="005A7045">
        <w:t xml:space="preserve">of </w:t>
      </w:r>
      <w:r w:rsidR="00AF6F29">
        <w:t xml:space="preserve">the </w:t>
      </w:r>
      <w:r w:rsidR="005A7045" w:rsidRPr="005A7045">
        <w:t xml:space="preserve">existing </w:t>
      </w:r>
      <w:r w:rsidR="00261FE2">
        <w:t xml:space="preserve">legal </w:t>
      </w:r>
      <w:r w:rsidR="005A7045" w:rsidRPr="005A7045">
        <w:t>provisions against discrimination</w:t>
      </w:r>
      <w:r>
        <w:t>,</w:t>
      </w:r>
      <w:r w:rsidR="00AF1D76">
        <w:t xml:space="preserve"> the </w:t>
      </w:r>
      <w:r w:rsidR="005A7045">
        <w:t xml:space="preserve">Committee is concerned </w:t>
      </w:r>
      <w:r w:rsidR="00AF1D76" w:rsidRPr="0012752B">
        <w:rPr>
          <w:bCs/>
        </w:rPr>
        <w:t xml:space="preserve">that </w:t>
      </w:r>
      <w:r w:rsidR="00AF1D76" w:rsidRPr="00AF1D76">
        <w:t xml:space="preserve">the State party has not </w:t>
      </w:r>
      <w:r w:rsidR="00AF6F29">
        <w:t xml:space="preserve">yet </w:t>
      </w:r>
      <w:r w:rsidR="00AF1D76" w:rsidRPr="00AF1D76">
        <w:t>adopted comprehensive anti-discrimination legislation</w:t>
      </w:r>
      <w:r w:rsidR="00AF1D76">
        <w:t xml:space="preserve"> and that articles 90 and 179 </w:t>
      </w:r>
      <w:proofErr w:type="spellStart"/>
      <w:r w:rsidR="00AF1D76">
        <w:t>bis</w:t>
      </w:r>
      <w:proofErr w:type="spellEnd"/>
      <w:r w:rsidR="00AF1D76">
        <w:t xml:space="preserve"> of the Criminal Code relating to discrimination </w:t>
      </w:r>
      <w:r w:rsidR="00196B4D">
        <w:t xml:space="preserve">only refer to </w:t>
      </w:r>
      <w:r w:rsidR="00196B4D" w:rsidRPr="00196B4D">
        <w:t>discrimination based on racial, ethnic, national, religious and sexual orientation grounds</w:t>
      </w:r>
      <w:r w:rsidR="00196B4D">
        <w:t>,</w:t>
      </w:r>
      <w:r w:rsidR="00196B4D" w:rsidRPr="00196B4D">
        <w:t xml:space="preserve"> </w:t>
      </w:r>
      <w:r w:rsidR="00196B4D">
        <w:t xml:space="preserve">and not </w:t>
      </w:r>
      <w:r>
        <w:t>on</w:t>
      </w:r>
      <w:r w:rsidR="00196B4D">
        <w:t xml:space="preserve"> other grounds</w:t>
      </w:r>
      <w:r w:rsidR="00BB2EB1">
        <w:t xml:space="preserve"> of discrimination</w:t>
      </w:r>
      <w:r w:rsidR="00196B4D">
        <w:t xml:space="preserve"> such as gender identity (arts. 2 and 26).</w:t>
      </w:r>
    </w:p>
    <w:p w:rsidR="00C81EE7" w:rsidRPr="0012752B" w:rsidRDefault="002E5C61" w:rsidP="00596261">
      <w:pPr>
        <w:pStyle w:val="SingleTxtG"/>
        <w:numPr>
          <w:ilvl w:val="0"/>
          <w:numId w:val="8"/>
        </w:numPr>
        <w:ind w:left="1134" w:firstLine="0"/>
        <w:rPr>
          <w:b/>
          <w:bCs/>
        </w:rPr>
      </w:pPr>
      <w:r w:rsidRPr="0012752B">
        <w:rPr>
          <w:b/>
          <w:bCs/>
        </w:rPr>
        <w:t xml:space="preserve">The State party </w:t>
      </w:r>
      <w:r w:rsidR="0008130C">
        <w:rPr>
          <w:b/>
          <w:bCs/>
        </w:rPr>
        <w:t xml:space="preserve">should </w:t>
      </w:r>
      <w:r w:rsidR="000E6597" w:rsidRPr="0012752B">
        <w:rPr>
          <w:b/>
          <w:bCs/>
        </w:rPr>
        <w:t xml:space="preserve">take the measures necessary to strengthen its legal framework against discrimination, </w:t>
      </w:r>
      <w:r w:rsidR="005A7045" w:rsidRPr="0012752B">
        <w:rPr>
          <w:b/>
          <w:bCs/>
        </w:rPr>
        <w:t>in</w:t>
      </w:r>
      <w:r w:rsidR="001C1AA8" w:rsidRPr="0012752B">
        <w:rPr>
          <w:b/>
          <w:bCs/>
        </w:rPr>
        <w:t xml:space="preserve"> particular </w:t>
      </w:r>
      <w:r w:rsidR="000E6597" w:rsidRPr="0012752B">
        <w:rPr>
          <w:b/>
          <w:bCs/>
        </w:rPr>
        <w:t xml:space="preserve">by </w:t>
      </w:r>
      <w:r w:rsidRPr="0012752B">
        <w:rPr>
          <w:b/>
          <w:bCs/>
        </w:rPr>
        <w:t>enacting</w:t>
      </w:r>
      <w:r w:rsidR="00C81EE7" w:rsidRPr="0012752B">
        <w:rPr>
          <w:b/>
        </w:rPr>
        <w:t xml:space="preserve"> </w:t>
      </w:r>
      <w:r w:rsidR="00C81EE7" w:rsidRPr="0012752B">
        <w:rPr>
          <w:b/>
          <w:bCs/>
        </w:rPr>
        <w:t>comprehensive anti-discrimination</w:t>
      </w:r>
      <w:r w:rsidR="00BC746A" w:rsidRPr="0012752B">
        <w:rPr>
          <w:b/>
          <w:bCs/>
        </w:rPr>
        <w:t xml:space="preserve"> </w:t>
      </w:r>
      <w:r w:rsidR="00C81EE7" w:rsidRPr="0012752B">
        <w:rPr>
          <w:b/>
          <w:bCs/>
        </w:rPr>
        <w:t>legislation</w:t>
      </w:r>
      <w:r w:rsidR="00AB53CA" w:rsidRPr="0012752B">
        <w:rPr>
          <w:b/>
          <w:bCs/>
        </w:rPr>
        <w:t xml:space="preserve"> </w:t>
      </w:r>
      <w:r w:rsidR="00A31683" w:rsidRPr="0012752B">
        <w:rPr>
          <w:b/>
          <w:bCs/>
        </w:rPr>
        <w:t>covering</w:t>
      </w:r>
      <w:r w:rsidR="00BC746A" w:rsidRPr="0012752B">
        <w:rPr>
          <w:b/>
          <w:bCs/>
        </w:rPr>
        <w:t xml:space="preserve"> all grounds of discrimination, including gender identity.</w:t>
      </w:r>
      <w:r w:rsidR="007A7E30" w:rsidRPr="0012752B">
        <w:rPr>
          <w:b/>
          <w:bCs/>
        </w:rPr>
        <w:t xml:space="preserve"> </w:t>
      </w:r>
      <w:r w:rsidR="00CF25A8" w:rsidRPr="0012752B">
        <w:rPr>
          <w:b/>
          <w:bCs/>
        </w:rPr>
        <w:t xml:space="preserve">In addition, </w:t>
      </w:r>
      <w:r w:rsidR="0008130C">
        <w:rPr>
          <w:b/>
          <w:bCs/>
        </w:rPr>
        <w:t xml:space="preserve">it should </w:t>
      </w:r>
      <w:r w:rsidR="00B9101E" w:rsidRPr="0012752B">
        <w:rPr>
          <w:b/>
          <w:bCs/>
        </w:rPr>
        <w:t>make vigorous</w:t>
      </w:r>
      <w:r w:rsidR="00CF25A8" w:rsidRPr="0012752B">
        <w:rPr>
          <w:b/>
          <w:bCs/>
        </w:rPr>
        <w:t xml:space="preserve"> efforts to raise awareness </w:t>
      </w:r>
      <w:r w:rsidR="00B635B7" w:rsidRPr="0012752B">
        <w:rPr>
          <w:b/>
          <w:bCs/>
        </w:rPr>
        <w:t>among</w:t>
      </w:r>
      <w:r w:rsidR="00CF25A8" w:rsidRPr="0012752B">
        <w:rPr>
          <w:b/>
          <w:bCs/>
        </w:rPr>
        <w:t xml:space="preserve"> the </w:t>
      </w:r>
      <w:r w:rsidR="00B635B7" w:rsidRPr="0012752B">
        <w:rPr>
          <w:b/>
          <w:bCs/>
        </w:rPr>
        <w:t xml:space="preserve">general </w:t>
      </w:r>
      <w:r w:rsidR="00CF25A8" w:rsidRPr="0012752B">
        <w:rPr>
          <w:b/>
          <w:bCs/>
        </w:rPr>
        <w:t xml:space="preserve">public and train judges and lawyers on the existing criminal provisions </w:t>
      </w:r>
      <w:r w:rsidR="00B635B7" w:rsidRPr="0012752B">
        <w:rPr>
          <w:b/>
          <w:bCs/>
        </w:rPr>
        <w:t>against discrimination</w:t>
      </w:r>
      <w:r w:rsidR="000E6597" w:rsidRPr="0012752B">
        <w:rPr>
          <w:b/>
          <w:bCs/>
        </w:rPr>
        <w:t>.</w:t>
      </w:r>
    </w:p>
    <w:p w:rsidR="00AC67CF" w:rsidRDefault="00C13759" w:rsidP="001C1AA8">
      <w:pPr>
        <w:pStyle w:val="H23G"/>
        <w:ind w:firstLine="0"/>
      </w:pPr>
      <w:r>
        <w:t>Non-discrimination</w:t>
      </w:r>
      <w:r w:rsidR="00792A69">
        <w:t xml:space="preserve"> a</w:t>
      </w:r>
      <w:r w:rsidR="005B5FA4">
        <w:t>nd gender equality</w:t>
      </w:r>
    </w:p>
    <w:p w:rsidR="00AC67CF" w:rsidRDefault="00946ED3" w:rsidP="00AC67CF">
      <w:pPr>
        <w:pStyle w:val="SingleTxtG"/>
        <w:numPr>
          <w:ilvl w:val="0"/>
          <w:numId w:val="8"/>
        </w:numPr>
        <w:ind w:left="1134" w:firstLine="0"/>
      </w:pPr>
      <w:r>
        <w:t>T</w:t>
      </w:r>
      <w:r w:rsidRPr="00946ED3">
        <w:t xml:space="preserve">he Committee </w:t>
      </w:r>
      <w:r w:rsidR="00A31683">
        <w:t xml:space="preserve">notes that the </w:t>
      </w:r>
      <w:r>
        <w:t>representation of women in political life</w:t>
      </w:r>
      <w:r w:rsidR="00A31683">
        <w:t xml:space="preserve"> remains weak,</w:t>
      </w:r>
      <w:r>
        <w:t xml:space="preserve"> despite measures taken </w:t>
      </w:r>
      <w:r w:rsidR="00D078FE">
        <w:t xml:space="preserve">by the State party </w:t>
      </w:r>
      <w:r>
        <w:t xml:space="preserve">to remedy the situation, </w:t>
      </w:r>
      <w:r w:rsidR="00C3743A">
        <w:t xml:space="preserve">such as the adoption </w:t>
      </w:r>
      <w:r w:rsidR="00C74B68">
        <w:t xml:space="preserve">of Qualified Law No. </w:t>
      </w:r>
      <w:r w:rsidR="00602181">
        <w:t>1/</w:t>
      </w:r>
      <w:r w:rsidR="00C74B68">
        <w:t>2008</w:t>
      </w:r>
      <w:r w:rsidR="00487131">
        <w:t xml:space="preserve">, which </w:t>
      </w:r>
      <w:r w:rsidR="00C74B68">
        <w:t>provid</w:t>
      </w:r>
      <w:r w:rsidR="00487131">
        <w:t>es</w:t>
      </w:r>
      <w:r w:rsidR="00C74B68">
        <w:t xml:space="preserve"> that each party list </w:t>
      </w:r>
      <w:r w:rsidR="000B067C">
        <w:t xml:space="preserve">of candidates </w:t>
      </w:r>
      <w:r w:rsidR="00C74B68">
        <w:t xml:space="preserve">running for </w:t>
      </w:r>
      <w:r w:rsidR="00C74B68">
        <w:lastRenderedPageBreak/>
        <w:t>general elections shall not include more than two thirds of candidates of the same gender</w:t>
      </w:r>
      <w:r w:rsidR="00C3743A">
        <w:t xml:space="preserve">. In this respect, the Committee </w:t>
      </w:r>
      <w:r>
        <w:t>notes with</w:t>
      </w:r>
      <w:r w:rsidR="00C3743A" w:rsidRPr="00C3743A">
        <w:t xml:space="preserve"> concern </w:t>
      </w:r>
      <w:r w:rsidR="00C74B68">
        <w:t>that</w:t>
      </w:r>
      <w:r w:rsidR="00602181">
        <w:t xml:space="preserve"> </w:t>
      </w:r>
      <w:r w:rsidR="005E06C0">
        <w:t>only ten of the 60</w:t>
      </w:r>
      <w:r w:rsidR="00602181">
        <w:t xml:space="preserve"> members of</w:t>
      </w:r>
      <w:r w:rsidR="00C74B68">
        <w:t xml:space="preserve"> the Great and General Council </w:t>
      </w:r>
      <w:r w:rsidR="00602181">
        <w:t xml:space="preserve">and one of the nine Secretaries of State are women </w:t>
      </w:r>
      <w:r w:rsidR="00AC67CF">
        <w:t>(arts. 3 and 26).</w:t>
      </w:r>
    </w:p>
    <w:p w:rsidR="004036EC" w:rsidRPr="00D24206" w:rsidRDefault="00E91513" w:rsidP="00D24206">
      <w:pPr>
        <w:pStyle w:val="SingleTxtG"/>
        <w:numPr>
          <w:ilvl w:val="0"/>
          <w:numId w:val="8"/>
        </w:numPr>
        <w:ind w:left="1134" w:firstLine="0"/>
      </w:pPr>
      <w:r w:rsidRPr="00D24206">
        <w:rPr>
          <w:b/>
          <w:bCs/>
        </w:rPr>
        <w:t xml:space="preserve">The State party should </w:t>
      </w:r>
      <w:r w:rsidR="000E128E" w:rsidRPr="00D24206">
        <w:rPr>
          <w:b/>
          <w:bCs/>
        </w:rPr>
        <w:t>strengthen its</w:t>
      </w:r>
      <w:r w:rsidRPr="00D24206">
        <w:rPr>
          <w:b/>
          <w:bCs/>
        </w:rPr>
        <w:t xml:space="preserve"> efforts to </w:t>
      </w:r>
      <w:r w:rsidR="000E128E" w:rsidRPr="00D24206">
        <w:rPr>
          <w:b/>
          <w:bCs/>
        </w:rPr>
        <w:t>increase</w:t>
      </w:r>
      <w:r w:rsidRPr="00D24206">
        <w:rPr>
          <w:b/>
          <w:bCs/>
        </w:rPr>
        <w:t xml:space="preserve"> the representation of women</w:t>
      </w:r>
      <w:r w:rsidR="00ED14E5" w:rsidRPr="00D24206">
        <w:rPr>
          <w:b/>
          <w:bCs/>
        </w:rPr>
        <w:t xml:space="preserve"> </w:t>
      </w:r>
      <w:r w:rsidRPr="00D24206">
        <w:rPr>
          <w:b/>
          <w:bCs/>
        </w:rPr>
        <w:t xml:space="preserve">in </w:t>
      </w:r>
      <w:r w:rsidR="008547BD" w:rsidRPr="00D24206">
        <w:rPr>
          <w:b/>
          <w:bCs/>
        </w:rPr>
        <w:t>political life</w:t>
      </w:r>
      <w:r w:rsidRPr="00D24206">
        <w:rPr>
          <w:b/>
          <w:bCs/>
        </w:rPr>
        <w:t xml:space="preserve">, </w:t>
      </w:r>
      <w:r w:rsidR="00717185" w:rsidRPr="00D24206">
        <w:rPr>
          <w:b/>
          <w:bCs/>
        </w:rPr>
        <w:t xml:space="preserve">particularly in the Great and General Council and at the highest levels of the Government, </w:t>
      </w:r>
      <w:r w:rsidR="00483025" w:rsidRPr="00D24206">
        <w:rPr>
          <w:b/>
          <w:bCs/>
        </w:rPr>
        <w:t>if necessary,</w:t>
      </w:r>
      <w:r w:rsidRPr="00D24206">
        <w:rPr>
          <w:b/>
          <w:bCs/>
        </w:rPr>
        <w:t xml:space="preserve"> through </w:t>
      </w:r>
      <w:r w:rsidR="00717185" w:rsidRPr="00D24206">
        <w:rPr>
          <w:b/>
          <w:bCs/>
        </w:rPr>
        <w:t xml:space="preserve">the adoption of </w:t>
      </w:r>
      <w:r w:rsidRPr="00D24206">
        <w:rPr>
          <w:b/>
          <w:bCs/>
        </w:rPr>
        <w:t>appropriate temporary special measures to give effect to the provisions of the Covenant.</w:t>
      </w:r>
      <w:r w:rsidR="00AE5AE6" w:rsidRPr="00D24206">
        <w:rPr>
          <w:b/>
          <w:bCs/>
        </w:rPr>
        <w:t xml:space="preserve"> It should also </w:t>
      </w:r>
      <w:r w:rsidR="00483025" w:rsidRPr="00D24206">
        <w:rPr>
          <w:b/>
          <w:bCs/>
        </w:rPr>
        <w:t>intensify</w:t>
      </w:r>
      <w:r w:rsidR="00602181" w:rsidRPr="00D24206">
        <w:rPr>
          <w:b/>
          <w:bCs/>
        </w:rPr>
        <w:t xml:space="preserve"> its efforts to eliminate gender stereotypes on the role and responsibilities of men and women in the family and society.</w:t>
      </w:r>
    </w:p>
    <w:p w:rsidR="001167B2" w:rsidRDefault="00763519" w:rsidP="001C1AA8">
      <w:pPr>
        <w:pStyle w:val="H23G"/>
        <w:ind w:firstLine="0"/>
      </w:pPr>
      <w:r>
        <w:t>Women’s rights</w:t>
      </w:r>
    </w:p>
    <w:p w:rsidR="001167B2" w:rsidRPr="001167B2" w:rsidRDefault="005B5FA4" w:rsidP="004036EC">
      <w:pPr>
        <w:pStyle w:val="SingleTxtG"/>
        <w:numPr>
          <w:ilvl w:val="0"/>
          <w:numId w:val="8"/>
        </w:numPr>
        <w:ind w:left="1134" w:firstLine="0"/>
      </w:pPr>
      <w:r>
        <w:t xml:space="preserve">While welcoming the adoption of Law 97 of </w:t>
      </w:r>
      <w:r w:rsidR="001C1AA8">
        <w:t xml:space="preserve">20 </w:t>
      </w:r>
      <w:r>
        <w:t xml:space="preserve">June 2008 </w:t>
      </w:r>
      <w:r w:rsidR="001C1AA8" w:rsidRPr="001C1AA8">
        <w:t xml:space="preserve">on “Prevention and elimination of violence against women and gender violence” </w:t>
      </w:r>
      <w:r>
        <w:t xml:space="preserve">and the establishment of the </w:t>
      </w:r>
      <w:r w:rsidR="001C1AA8">
        <w:t xml:space="preserve">Authority for </w:t>
      </w:r>
      <w:r>
        <w:t>Equal Opportunities, t</w:t>
      </w:r>
      <w:r w:rsidR="001167B2" w:rsidRPr="001167B2">
        <w:t xml:space="preserve">he Committee </w:t>
      </w:r>
      <w:r w:rsidR="00FA0D31">
        <w:t xml:space="preserve">is concerned about the </w:t>
      </w:r>
      <w:r w:rsidR="001C1AA8">
        <w:t xml:space="preserve">reported </w:t>
      </w:r>
      <w:r w:rsidR="00FA0D31">
        <w:t xml:space="preserve">limited </w:t>
      </w:r>
      <w:r w:rsidR="001C1AA8">
        <w:t>resources</w:t>
      </w:r>
      <w:r w:rsidR="00FA0D31">
        <w:t xml:space="preserve"> of the Authority</w:t>
      </w:r>
      <w:r w:rsidR="001C1AA8">
        <w:t xml:space="preserve"> (arts. 3 and 7)</w:t>
      </w:r>
      <w:r w:rsidR="00FA0D31">
        <w:t>.</w:t>
      </w:r>
    </w:p>
    <w:p w:rsidR="001167B2" w:rsidRPr="004036EC" w:rsidRDefault="00CD6AA8" w:rsidP="004036EC">
      <w:pPr>
        <w:pStyle w:val="SingleTxtG"/>
        <w:numPr>
          <w:ilvl w:val="0"/>
          <w:numId w:val="8"/>
        </w:numPr>
        <w:ind w:left="1134" w:firstLine="0"/>
        <w:rPr>
          <w:b/>
          <w:bCs/>
        </w:rPr>
      </w:pPr>
      <w:r w:rsidRPr="004036EC">
        <w:rPr>
          <w:b/>
          <w:bCs/>
        </w:rPr>
        <w:t xml:space="preserve">The State party </w:t>
      </w:r>
      <w:r w:rsidR="0050536D">
        <w:rPr>
          <w:b/>
          <w:bCs/>
        </w:rPr>
        <w:t>should</w:t>
      </w:r>
      <w:r w:rsidR="00FA0D31">
        <w:rPr>
          <w:b/>
          <w:bCs/>
        </w:rPr>
        <w:t xml:space="preserve"> </w:t>
      </w:r>
      <w:r w:rsidR="001C1AA8">
        <w:rPr>
          <w:b/>
          <w:bCs/>
        </w:rPr>
        <w:t xml:space="preserve">continue making efforts </w:t>
      </w:r>
      <w:r w:rsidR="00F34FFC">
        <w:rPr>
          <w:b/>
          <w:bCs/>
        </w:rPr>
        <w:t xml:space="preserve">to prevent and combat </w:t>
      </w:r>
      <w:r w:rsidR="00FA0D31">
        <w:rPr>
          <w:b/>
          <w:bCs/>
        </w:rPr>
        <w:t>all forms of gender-based violence</w:t>
      </w:r>
      <w:r w:rsidR="006D1435">
        <w:rPr>
          <w:b/>
          <w:bCs/>
        </w:rPr>
        <w:t xml:space="preserve">, in particular violence against women, namely by </w:t>
      </w:r>
      <w:r w:rsidR="00F34FFC">
        <w:rPr>
          <w:b/>
          <w:bCs/>
        </w:rPr>
        <w:t>ensuring that sufficient resources are allocated to the competent institutions</w:t>
      </w:r>
      <w:r w:rsidR="006D1435">
        <w:rPr>
          <w:b/>
          <w:bCs/>
        </w:rPr>
        <w:t>.</w:t>
      </w:r>
    </w:p>
    <w:p w:rsidR="00DF62E0" w:rsidRDefault="00DF62E0" w:rsidP="00DF62E0">
      <w:pPr>
        <w:pStyle w:val="H23G"/>
        <w:ind w:firstLine="0"/>
      </w:pPr>
      <w:r w:rsidRPr="001167B2">
        <w:t>Voluntary termination of pregnancy</w:t>
      </w:r>
    </w:p>
    <w:p w:rsidR="00AA2CCE" w:rsidRPr="001167B2" w:rsidRDefault="00AA2CCE" w:rsidP="00AA2CCE">
      <w:pPr>
        <w:pStyle w:val="SingleTxtG"/>
        <w:numPr>
          <w:ilvl w:val="0"/>
          <w:numId w:val="8"/>
        </w:numPr>
        <w:ind w:left="1134" w:firstLine="0"/>
      </w:pPr>
      <w:r w:rsidRPr="001167B2">
        <w:t>The Committee notes with concern that voluntary termination of pregnancy is an offence under the Criminal Code</w:t>
      </w:r>
      <w:r>
        <w:t>, reportedly leading women t</w:t>
      </w:r>
      <w:r w:rsidRPr="00DC2A53">
        <w:t xml:space="preserve">o </w:t>
      </w:r>
      <w:r>
        <w:t xml:space="preserve">seek abortions abroad which could </w:t>
      </w:r>
      <w:r w:rsidRPr="00DC2A53">
        <w:t xml:space="preserve">put </w:t>
      </w:r>
      <w:r>
        <w:t>their</w:t>
      </w:r>
      <w:r w:rsidRPr="00DC2A53">
        <w:t xml:space="preserve"> life and health at risk</w:t>
      </w:r>
      <w:r>
        <w:t xml:space="preserve">. While noting the information from the State party that </w:t>
      </w:r>
      <w:r w:rsidRPr="00396B82">
        <w:t>article 42 of the Criminal Code envisages “state of necessity” as a justification exempting from punishment anyone forced to commit an offence in order to protect him/herself or others from the risk of a serious personal harm</w:t>
      </w:r>
      <w:r>
        <w:t xml:space="preserve">, the Committee is concerned that no exceptions </w:t>
      </w:r>
      <w:r w:rsidRPr="00396B82">
        <w:t>to the general legal ban on abortion</w:t>
      </w:r>
      <w:r>
        <w:t xml:space="preserve"> are explicitly recognized in the Criminal Code </w:t>
      </w:r>
      <w:r w:rsidRPr="001167B2">
        <w:t xml:space="preserve">(arts. </w:t>
      </w:r>
      <w:r>
        <w:t xml:space="preserve">3, </w:t>
      </w:r>
      <w:r w:rsidRPr="001167B2">
        <w:t>6</w:t>
      </w:r>
      <w:r>
        <w:t>,</w:t>
      </w:r>
      <w:r w:rsidRPr="001167B2">
        <w:t xml:space="preserve"> 7</w:t>
      </w:r>
      <w:r>
        <w:t xml:space="preserve"> and 17</w:t>
      </w:r>
      <w:r w:rsidRPr="001167B2">
        <w:t>).</w:t>
      </w:r>
    </w:p>
    <w:p w:rsidR="00DF62E0" w:rsidRDefault="00DF62E0" w:rsidP="00DF62E0">
      <w:pPr>
        <w:pStyle w:val="SingleTxtG"/>
        <w:numPr>
          <w:ilvl w:val="0"/>
          <w:numId w:val="8"/>
        </w:numPr>
        <w:ind w:left="1134" w:firstLine="0"/>
      </w:pPr>
      <w:bookmarkStart w:id="0" w:name="_GoBack"/>
      <w:bookmarkEnd w:id="0"/>
      <w:r w:rsidRPr="00DF62E0">
        <w:rPr>
          <w:b/>
          <w:bCs/>
        </w:rPr>
        <w:t>The State party should amend its legislation with a view to explicitly providing for exceptions to the general legal ban on</w:t>
      </w:r>
      <w:r w:rsidRPr="00E23DAE">
        <w:rPr>
          <w:b/>
          <w:bCs/>
        </w:rPr>
        <w:t xml:space="preserve"> abortion</w:t>
      </w:r>
      <w:r>
        <w:rPr>
          <w:b/>
          <w:bCs/>
        </w:rPr>
        <w:t>, including</w:t>
      </w:r>
      <w:r w:rsidRPr="00DF62E0">
        <w:rPr>
          <w:b/>
          <w:bCs/>
        </w:rPr>
        <w:t xml:space="preserve"> for therapeutic purposes and when the pregnancy is the result of rape or incest. It should also ensure access to education and awareness-raising programmes that focus on the importance of contraception and of sexual and reproductive health rights.</w:t>
      </w:r>
    </w:p>
    <w:p w:rsidR="001E345C" w:rsidRDefault="00DF62E0" w:rsidP="00A7460D">
      <w:pPr>
        <w:pStyle w:val="H23G"/>
      </w:pPr>
      <w:r>
        <w:tab/>
      </w:r>
      <w:r>
        <w:tab/>
      </w:r>
      <w:r w:rsidR="00672E50">
        <w:t xml:space="preserve">Right to a fair trial </w:t>
      </w:r>
    </w:p>
    <w:p w:rsidR="001E345C" w:rsidRDefault="009E5380" w:rsidP="004036EC">
      <w:pPr>
        <w:pStyle w:val="SingleTxtG"/>
        <w:numPr>
          <w:ilvl w:val="0"/>
          <w:numId w:val="8"/>
        </w:numPr>
        <w:ind w:left="1134" w:firstLine="0"/>
      </w:pPr>
      <w:r>
        <w:t>While taking note of the Co</w:t>
      </w:r>
      <w:r w:rsidR="00DD412F">
        <w:t>ngress of State Decision No. 20/</w:t>
      </w:r>
      <w:r>
        <w:t xml:space="preserve">2013 setting up a working group to draft </w:t>
      </w:r>
      <w:r w:rsidR="005A7045">
        <w:t>t</w:t>
      </w:r>
      <w:r>
        <w:t>he new</w:t>
      </w:r>
      <w:r w:rsidR="001E345C">
        <w:t xml:space="preserve"> Code of Criminal Procedure</w:t>
      </w:r>
      <w:r>
        <w:t xml:space="preserve">, the Committee </w:t>
      </w:r>
      <w:r w:rsidR="00E5352A">
        <w:t xml:space="preserve">notes </w:t>
      </w:r>
      <w:r>
        <w:t xml:space="preserve">that such working group has not yet completed its </w:t>
      </w:r>
      <w:r w:rsidR="00F377C3">
        <w:t>mandate</w:t>
      </w:r>
      <w:r w:rsidR="00A57151">
        <w:t xml:space="preserve"> </w:t>
      </w:r>
      <w:r w:rsidR="00147870">
        <w:t xml:space="preserve">(arts. 9 </w:t>
      </w:r>
      <w:r w:rsidR="00887FB8">
        <w:t>and</w:t>
      </w:r>
      <w:r w:rsidR="00147870">
        <w:t xml:space="preserve"> 14).</w:t>
      </w:r>
    </w:p>
    <w:p w:rsidR="009C50C9" w:rsidRPr="00CA314C" w:rsidRDefault="009B35C0" w:rsidP="00CA314C">
      <w:pPr>
        <w:pStyle w:val="SingleTxtG"/>
        <w:numPr>
          <w:ilvl w:val="0"/>
          <w:numId w:val="8"/>
        </w:numPr>
        <w:ind w:left="1134" w:firstLine="0"/>
      </w:pPr>
      <w:r>
        <w:rPr>
          <w:b/>
        </w:rPr>
        <w:t>R</w:t>
      </w:r>
      <w:r w:rsidR="009E5380" w:rsidRPr="004036EC">
        <w:rPr>
          <w:b/>
        </w:rPr>
        <w:t>ecall</w:t>
      </w:r>
      <w:r>
        <w:rPr>
          <w:b/>
        </w:rPr>
        <w:t>ing</w:t>
      </w:r>
      <w:r w:rsidR="009E5380" w:rsidRPr="004036EC">
        <w:rPr>
          <w:b/>
        </w:rPr>
        <w:t xml:space="preserve"> its previous </w:t>
      </w:r>
      <w:r w:rsidR="00256B64">
        <w:rPr>
          <w:b/>
        </w:rPr>
        <w:t>recommendation</w:t>
      </w:r>
      <w:r w:rsidR="009E5380" w:rsidRPr="004036EC">
        <w:rPr>
          <w:b/>
        </w:rPr>
        <w:t xml:space="preserve"> (</w:t>
      </w:r>
      <w:r w:rsidR="005A7045">
        <w:rPr>
          <w:b/>
        </w:rPr>
        <w:t xml:space="preserve">see </w:t>
      </w:r>
      <w:r w:rsidR="009E5380" w:rsidRPr="004036EC">
        <w:rPr>
          <w:b/>
        </w:rPr>
        <w:t>CCPR/C/SMR/CO/2, para. 11)</w:t>
      </w:r>
      <w:r>
        <w:rPr>
          <w:b/>
        </w:rPr>
        <w:t>,</w:t>
      </w:r>
      <w:r w:rsidR="009E5380" w:rsidRPr="004036EC">
        <w:rPr>
          <w:b/>
        </w:rPr>
        <w:t xml:space="preserve"> </w:t>
      </w:r>
      <w:r>
        <w:rPr>
          <w:b/>
        </w:rPr>
        <w:t xml:space="preserve">the Committee </w:t>
      </w:r>
      <w:r w:rsidR="009E5380" w:rsidRPr="004036EC">
        <w:rPr>
          <w:b/>
        </w:rPr>
        <w:t xml:space="preserve">recommends that the State party speed up the adoption of a new comprehensive </w:t>
      </w:r>
      <w:r w:rsidR="00887FB8">
        <w:rPr>
          <w:b/>
        </w:rPr>
        <w:t>C</w:t>
      </w:r>
      <w:r w:rsidR="009E5380" w:rsidRPr="004036EC">
        <w:rPr>
          <w:b/>
        </w:rPr>
        <w:t xml:space="preserve">ode of </w:t>
      </w:r>
      <w:r w:rsidR="00887FB8">
        <w:rPr>
          <w:b/>
        </w:rPr>
        <w:t>C</w:t>
      </w:r>
      <w:r w:rsidR="009E5380" w:rsidRPr="004036EC">
        <w:rPr>
          <w:b/>
        </w:rPr>
        <w:t xml:space="preserve">riminal </w:t>
      </w:r>
      <w:r w:rsidR="00887FB8">
        <w:rPr>
          <w:b/>
        </w:rPr>
        <w:t>P</w:t>
      </w:r>
      <w:r w:rsidR="009E5380" w:rsidRPr="004036EC">
        <w:rPr>
          <w:b/>
        </w:rPr>
        <w:t xml:space="preserve">rocedure </w:t>
      </w:r>
      <w:r w:rsidR="00423583">
        <w:rPr>
          <w:b/>
        </w:rPr>
        <w:t xml:space="preserve">and ensure </w:t>
      </w:r>
      <w:r w:rsidR="009E5380" w:rsidRPr="004036EC">
        <w:rPr>
          <w:b/>
        </w:rPr>
        <w:t xml:space="preserve">that </w:t>
      </w:r>
      <w:r w:rsidR="00423583">
        <w:rPr>
          <w:b/>
        </w:rPr>
        <w:t xml:space="preserve">it </w:t>
      </w:r>
      <w:r w:rsidR="009E5380" w:rsidRPr="004036EC">
        <w:rPr>
          <w:b/>
        </w:rPr>
        <w:t xml:space="preserve">is </w:t>
      </w:r>
      <w:r w:rsidR="006C4940">
        <w:rPr>
          <w:b/>
        </w:rPr>
        <w:t>in full compliance</w:t>
      </w:r>
      <w:r w:rsidR="009E5380" w:rsidRPr="004036EC">
        <w:rPr>
          <w:b/>
        </w:rPr>
        <w:t xml:space="preserve"> with the Covenant.</w:t>
      </w:r>
    </w:p>
    <w:p w:rsidR="00D23973" w:rsidRPr="00B12CF1" w:rsidRDefault="001E345C" w:rsidP="00A7460D">
      <w:pPr>
        <w:pStyle w:val="H23G"/>
      </w:pPr>
      <w:r>
        <w:tab/>
      </w:r>
      <w:r>
        <w:tab/>
      </w:r>
      <w:r w:rsidR="00D23973" w:rsidRPr="00B12CF1">
        <w:t>Freedom of expression</w:t>
      </w:r>
    </w:p>
    <w:p w:rsidR="00596261" w:rsidRPr="00596261" w:rsidRDefault="00D23973" w:rsidP="004036EC">
      <w:pPr>
        <w:pStyle w:val="SingleTxtG"/>
        <w:numPr>
          <w:ilvl w:val="0"/>
          <w:numId w:val="8"/>
        </w:numPr>
        <w:ind w:left="1134" w:firstLine="0"/>
        <w:rPr>
          <w:bCs/>
        </w:rPr>
      </w:pPr>
      <w:r w:rsidRPr="00B12CF1">
        <w:t>The Commi</w:t>
      </w:r>
      <w:r w:rsidR="00035A0E">
        <w:t>ttee</w:t>
      </w:r>
      <w:r w:rsidR="00CC60DA">
        <w:t xml:space="preserve"> takes note</w:t>
      </w:r>
      <w:r w:rsidR="006C4940">
        <w:t xml:space="preserve"> </w:t>
      </w:r>
      <w:r w:rsidR="00F96651">
        <w:t xml:space="preserve">of the information provided by the State party on </w:t>
      </w:r>
      <w:r w:rsidR="0028176C">
        <w:t>case law</w:t>
      </w:r>
      <w:r w:rsidR="00F96651">
        <w:t xml:space="preserve"> relating to defamation</w:t>
      </w:r>
      <w:r w:rsidR="00C13759">
        <w:t xml:space="preserve"> and honour</w:t>
      </w:r>
      <w:r w:rsidR="00F96651">
        <w:t xml:space="preserve">, in particular </w:t>
      </w:r>
      <w:r w:rsidR="006C4940">
        <w:t>of</w:t>
      </w:r>
      <w:r w:rsidR="00CC60DA">
        <w:t xml:space="preserve"> the </w:t>
      </w:r>
      <w:r w:rsidR="009B11B7">
        <w:t>Judge</w:t>
      </w:r>
      <w:r w:rsidR="0098625D">
        <w:t xml:space="preserve"> of </w:t>
      </w:r>
      <w:r w:rsidR="009B11B7">
        <w:t>A</w:t>
      </w:r>
      <w:r w:rsidR="0098625D">
        <w:t xml:space="preserve">ppeal ruling of </w:t>
      </w:r>
      <w:r w:rsidR="00CC60DA">
        <w:t xml:space="preserve">3 November 2009 that criticism of the public activities of politicians, even if offensive, “can never constitute an offence to the principle or the honour of the individual.” </w:t>
      </w:r>
      <w:r w:rsidR="00297F74">
        <w:t>Nevertheless</w:t>
      </w:r>
      <w:r w:rsidR="00CC60DA">
        <w:t xml:space="preserve">, </w:t>
      </w:r>
      <w:r w:rsidR="00F96651">
        <w:lastRenderedPageBreak/>
        <w:t xml:space="preserve">the Committee </w:t>
      </w:r>
      <w:r w:rsidR="00510910">
        <w:t>regrets</w:t>
      </w:r>
      <w:r w:rsidR="00CC60DA">
        <w:t xml:space="preserve"> </w:t>
      </w:r>
      <w:r w:rsidR="00035A0E">
        <w:t>that</w:t>
      </w:r>
      <w:r w:rsidR="00CC60DA">
        <w:t xml:space="preserve"> </w:t>
      </w:r>
      <w:r w:rsidR="00E7421D">
        <w:t xml:space="preserve">articles 183, 184, 185, 342 and 344 </w:t>
      </w:r>
      <w:r w:rsidR="00213B26">
        <w:t xml:space="preserve">of the </w:t>
      </w:r>
      <w:r w:rsidR="00D078FE">
        <w:t>Criminal Code</w:t>
      </w:r>
      <w:r w:rsidR="00213B26" w:rsidRPr="00B12CF1">
        <w:t xml:space="preserve"> </w:t>
      </w:r>
      <w:r w:rsidR="00D078FE">
        <w:t>still criminaliz</w:t>
      </w:r>
      <w:r w:rsidR="00213B26">
        <w:t>e</w:t>
      </w:r>
      <w:r w:rsidR="00D078FE">
        <w:t xml:space="preserve"> defamation and other </w:t>
      </w:r>
      <w:r w:rsidR="00305905">
        <w:t>offences against honour</w:t>
      </w:r>
      <w:r w:rsidR="00D078FE">
        <w:t xml:space="preserve">, </w:t>
      </w:r>
      <w:r w:rsidR="00213B26">
        <w:t xml:space="preserve">including honour of </w:t>
      </w:r>
      <w:r w:rsidR="00332F33">
        <w:t xml:space="preserve">the Captains Regents and other </w:t>
      </w:r>
      <w:r w:rsidR="00213B26">
        <w:t xml:space="preserve">public officials </w:t>
      </w:r>
      <w:r w:rsidRPr="00B12CF1">
        <w:t>(art. 19).</w:t>
      </w:r>
    </w:p>
    <w:p w:rsidR="00724804" w:rsidRPr="00596261" w:rsidRDefault="00402662" w:rsidP="004036EC">
      <w:pPr>
        <w:pStyle w:val="SingleTxtG"/>
        <w:numPr>
          <w:ilvl w:val="0"/>
          <w:numId w:val="8"/>
        </w:numPr>
        <w:ind w:left="1134" w:firstLine="0"/>
        <w:rPr>
          <w:bCs/>
        </w:rPr>
      </w:pPr>
      <w:r>
        <w:rPr>
          <w:b/>
          <w:bCs/>
        </w:rPr>
        <w:t xml:space="preserve">In light of </w:t>
      </w:r>
      <w:r w:rsidRPr="00402662">
        <w:rPr>
          <w:b/>
          <w:bCs/>
        </w:rPr>
        <w:t xml:space="preserve">article 19 of the Covenant and </w:t>
      </w:r>
      <w:r w:rsidR="00905EDF">
        <w:rPr>
          <w:b/>
          <w:bCs/>
        </w:rPr>
        <w:t>the Committee’s</w:t>
      </w:r>
      <w:r w:rsidR="00905EDF" w:rsidRPr="00402662">
        <w:rPr>
          <w:b/>
          <w:bCs/>
        </w:rPr>
        <w:t xml:space="preserve"> </w:t>
      </w:r>
      <w:r w:rsidR="00AB53CA">
        <w:rPr>
          <w:b/>
          <w:bCs/>
        </w:rPr>
        <w:t>G</w:t>
      </w:r>
      <w:r w:rsidRPr="00402662">
        <w:rPr>
          <w:b/>
          <w:bCs/>
        </w:rPr>
        <w:t xml:space="preserve">eneral </w:t>
      </w:r>
      <w:r w:rsidR="00AB53CA">
        <w:rPr>
          <w:b/>
          <w:bCs/>
        </w:rPr>
        <w:t>C</w:t>
      </w:r>
      <w:r w:rsidRPr="00402662">
        <w:rPr>
          <w:b/>
          <w:bCs/>
        </w:rPr>
        <w:t>omment no. 34 (2011) on the freedoms of opinion and expression</w:t>
      </w:r>
      <w:r>
        <w:rPr>
          <w:b/>
          <w:bCs/>
        </w:rPr>
        <w:t xml:space="preserve">, the </w:t>
      </w:r>
      <w:r w:rsidR="00596261" w:rsidRPr="00596261">
        <w:rPr>
          <w:bCs/>
        </w:rPr>
        <w:t>S</w:t>
      </w:r>
      <w:r w:rsidR="00724804" w:rsidRPr="00596261">
        <w:rPr>
          <w:b/>
          <w:bCs/>
        </w:rPr>
        <w:t xml:space="preserve">tate </w:t>
      </w:r>
      <w:r w:rsidR="000E128E">
        <w:rPr>
          <w:b/>
          <w:bCs/>
        </w:rPr>
        <w:t>party</w:t>
      </w:r>
      <w:r w:rsidR="00905EDF">
        <w:rPr>
          <w:b/>
          <w:bCs/>
        </w:rPr>
        <w:t xml:space="preserve"> should</w:t>
      </w:r>
      <w:r w:rsidR="000E128E">
        <w:rPr>
          <w:b/>
          <w:bCs/>
        </w:rPr>
        <w:t xml:space="preserve"> </w:t>
      </w:r>
      <w:r w:rsidR="00724804" w:rsidRPr="00596261">
        <w:rPr>
          <w:b/>
          <w:bCs/>
        </w:rPr>
        <w:t xml:space="preserve">consider decriminalizing </w:t>
      </w:r>
      <w:r w:rsidR="000D2106" w:rsidRPr="00596261">
        <w:rPr>
          <w:b/>
          <w:bCs/>
        </w:rPr>
        <w:t>the conduct provided in articles 183</w:t>
      </w:r>
      <w:r w:rsidR="00213B26">
        <w:rPr>
          <w:b/>
          <w:bCs/>
        </w:rPr>
        <w:t>, 184,</w:t>
      </w:r>
      <w:r w:rsidR="000D2106" w:rsidRPr="00596261">
        <w:rPr>
          <w:b/>
          <w:bCs/>
        </w:rPr>
        <w:t xml:space="preserve"> 185</w:t>
      </w:r>
      <w:r w:rsidR="00CF47FE">
        <w:rPr>
          <w:b/>
          <w:bCs/>
        </w:rPr>
        <w:t xml:space="preserve">, 342 and 344 </w:t>
      </w:r>
      <w:r w:rsidR="000D2106" w:rsidRPr="00596261">
        <w:rPr>
          <w:b/>
          <w:bCs/>
        </w:rPr>
        <w:t xml:space="preserve">of the </w:t>
      </w:r>
      <w:r w:rsidR="00CF47FE">
        <w:rPr>
          <w:b/>
          <w:bCs/>
        </w:rPr>
        <w:t>Criminal</w:t>
      </w:r>
      <w:r w:rsidR="000D2106" w:rsidRPr="00596261">
        <w:rPr>
          <w:b/>
          <w:bCs/>
        </w:rPr>
        <w:t xml:space="preserve"> Code a</w:t>
      </w:r>
      <w:r w:rsidR="000F71C9">
        <w:rPr>
          <w:b/>
          <w:bCs/>
        </w:rPr>
        <w:t>nd</w:t>
      </w:r>
      <w:r w:rsidR="000D2106" w:rsidRPr="00596261">
        <w:rPr>
          <w:b/>
          <w:bCs/>
        </w:rPr>
        <w:t>,</w:t>
      </w:r>
      <w:r w:rsidR="00724804" w:rsidRPr="00596261">
        <w:rPr>
          <w:b/>
          <w:bCs/>
        </w:rPr>
        <w:t xml:space="preserve"> in any case</w:t>
      </w:r>
      <w:r w:rsidR="000D2106" w:rsidRPr="00596261">
        <w:rPr>
          <w:b/>
          <w:bCs/>
        </w:rPr>
        <w:t>,</w:t>
      </w:r>
      <w:r w:rsidR="00724804" w:rsidRPr="00596261">
        <w:rPr>
          <w:b/>
          <w:bCs/>
        </w:rPr>
        <w:t xml:space="preserve"> restrict the application of criminal law to the most serious cases, bearing in mind that imprisonment is never an appropriate punishment in such cases.</w:t>
      </w:r>
    </w:p>
    <w:p w:rsidR="004036EC" w:rsidRDefault="00BC746A" w:rsidP="00F34FFC">
      <w:pPr>
        <w:pStyle w:val="H23G"/>
        <w:ind w:firstLine="0"/>
        <w:rPr>
          <w:b w:val="0"/>
        </w:rPr>
      </w:pPr>
      <w:r>
        <w:t xml:space="preserve">Children’s rights </w:t>
      </w:r>
    </w:p>
    <w:p w:rsidR="00517B98" w:rsidRDefault="0042675E" w:rsidP="004036EC">
      <w:pPr>
        <w:pStyle w:val="SingleTxtG"/>
        <w:numPr>
          <w:ilvl w:val="0"/>
          <w:numId w:val="8"/>
        </w:numPr>
        <w:ind w:left="1134" w:firstLine="0"/>
      </w:pPr>
      <w:r>
        <w:t xml:space="preserve">While noting that mandatory recruitment to the military has never occurred and that a working group was </w:t>
      </w:r>
      <w:r w:rsidR="00E80DAE">
        <w:t xml:space="preserve">recently </w:t>
      </w:r>
      <w:r>
        <w:t xml:space="preserve">set up to review legislation </w:t>
      </w:r>
      <w:r w:rsidR="00261FE2">
        <w:t>relating to the military corps</w:t>
      </w:r>
      <w:r>
        <w:t xml:space="preserve">, </w:t>
      </w:r>
      <w:r w:rsidR="00291431">
        <w:t>the Committee</w:t>
      </w:r>
      <w:r w:rsidR="00517B98" w:rsidRPr="00517B98">
        <w:t xml:space="preserve"> </w:t>
      </w:r>
      <w:r>
        <w:t xml:space="preserve">remains </w:t>
      </w:r>
      <w:r w:rsidR="00517B98" w:rsidRPr="00517B98">
        <w:t>concern</w:t>
      </w:r>
      <w:r w:rsidR="00291431">
        <w:t>ed</w:t>
      </w:r>
      <w:r w:rsidR="00517B98" w:rsidRPr="00517B98">
        <w:t xml:space="preserve"> that</w:t>
      </w:r>
      <w:r w:rsidR="00AD0A19">
        <w:t>,</w:t>
      </w:r>
      <w:r w:rsidR="00517B98" w:rsidRPr="00517B98">
        <w:t xml:space="preserve"> </w:t>
      </w:r>
      <w:r w:rsidR="005F6AC8">
        <w:t>while</w:t>
      </w:r>
      <w:r w:rsidR="00AD0A19">
        <w:t xml:space="preserve"> only applicable in the </w:t>
      </w:r>
      <w:r w:rsidR="00C13759">
        <w:t>exceptional circumstance</w:t>
      </w:r>
      <w:r w:rsidR="00AD0A19">
        <w:t xml:space="preserve"> of general mobilization, article 3 of Law No. 15/1990, which provides for mandatory military service </w:t>
      </w:r>
      <w:r w:rsidR="00714593">
        <w:t xml:space="preserve">including for minors </w:t>
      </w:r>
      <w:r w:rsidR="00AD0A19">
        <w:t>from the age of 16,</w:t>
      </w:r>
      <w:r w:rsidR="00D24206">
        <w:t xml:space="preserve"> </w:t>
      </w:r>
      <w:r w:rsidR="00AD0A19">
        <w:t>remains in force</w:t>
      </w:r>
      <w:r w:rsidR="00517B98" w:rsidRPr="00517B98">
        <w:t xml:space="preserve"> (art. 24).</w:t>
      </w:r>
    </w:p>
    <w:p w:rsidR="004036EC" w:rsidRPr="00B646C4" w:rsidRDefault="00AD0A19" w:rsidP="004036EC">
      <w:pPr>
        <w:pStyle w:val="SingleTxtG"/>
        <w:numPr>
          <w:ilvl w:val="0"/>
          <w:numId w:val="8"/>
        </w:numPr>
        <w:ind w:left="1134" w:firstLine="0"/>
        <w:rPr>
          <w:b/>
        </w:rPr>
      </w:pPr>
      <w:r>
        <w:rPr>
          <w:b/>
        </w:rPr>
        <w:t xml:space="preserve">Recalling its previous recommendation </w:t>
      </w:r>
      <w:r w:rsidRPr="00D24206">
        <w:rPr>
          <w:b/>
        </w:rPr>
        <w:t>(see CCPR/C/SMR/CO/2, para. 15),</w:t>
      </w:r>
      <w:r>
        <w:t xml:space="preserve"> </w:t>
      </w:r>
      <w:r>
        <w:rPr>
          <w:b/>
        </w:rPr>
        <w:t>t</w:t>
      </w:r>
      <w:r w:rsidR="004036EC" w:rsidRPr="00B646C4">
        <w:rPr>
          <w:b/>
        </w:rPr>
        <w:t xml:space="preserve">he Committee recommends that the State party </w:t>
      </w:r>
      <w:r w:rsidR="009E2606">
        <w:rPr>
          <w:b/>
        </w:rPr>
        <w:t xml:space="preserve">speed up the revision of </w:t>
      </w:r>
      <w:r w:rsidR="004036EC">
        <w:rPr>
          <w:b/>
        </w:rPr>
        <w:t>its legislation</w:t>
      </w:r>
      <w:r w:rsidR="004036EC" w:rsidRPr="00B646C4">
        <w:rPr>
          <w:b/>
        </w:rPr>
        <w:t xml:space="preserve"> </w:t>
      </w:r>
      <w:r w:rsidR="00787BE7">
        <w:rPr>
          <w:b/>
        </w:rPr>
        <w:t>relating to</w:t>
      </w:r>
      <w:r w:rsidR="009E2606">
        <w:rPr>
          <w:b/>
        </w:rPr>
        <w:t xml:space="preserve"> </w:t>
      </w:r>
      <w:r w:rsidR="00487621">
        <w:rPr>
          <w:b/>
        </w:rPr>
        <w:t xml:space="preserve">the </w:t>
      </w:r>
      <w:r w:rsidR="009E2606">
        <w:rPr>
          <w:b/>
        </w:rPr>
        <w:t xml:space="preserve">military corps and ensure that </w:t>
      </w:r>
      <w:r w:rsidR="00787BE7">
        <w:rPr>
          <w:b/>
        </w:rPr>
        <w:t xml:space="preserve">it </w:t>
      </w:r>
      <w:r w:rsidR="009E2606">
        <w:rPr>
          <w:b/>
        </w:rPr>
        <w:t xml:space="preserve">is </w:t>
      </w:r>
      <w:r w:rsidR="000163F4">
        <w:rPr>
          <w:b/>
        </w:rPr>
        <w:t xml:space="preserve">in </w:t>
      </w:r>
      <w:r w:rsidR="009E2606">
        <w:rPr>
          <w:b/>
        </w:rPr>
        <w:t>full</w:t>
      </w:r>
      <w:r w:rsidR="000163F4">
        <w:rPr>
          <w:b/>
        </w:rPr>
        <w:t xml:space="preserve"> conformity</w:t>
      </w:r>
      <w:r w:rsidR="009E2606">
        <w:rPr>
          <w:b/>
        </w:rPr>
        <w:t xml:space="preserve"> with the Covenant and relevant international human rights standards, including by</w:t>
      </w:r>
      <w:r w:rsidR="004036EC" w:rsidRPr="00B646C4">
        <w:rPr>
          <w:b/>
        </w:rPr>
        <w:t xml:space="preserve"> </w:t>
      </w:r>
      <w:r w:rsidR="000163F4" w:rsidRPr="00B646C4">
        <w:rPr>
          <w:b/>
        </w:rPr>
        <w:t>raising</w:t>
      </w:r>
      <w:r w:rsidR="004036EC" w:rsidRPr="00B646C4">
        <w:rPr>
          <w:b/>
        </w:rPr>
        <w:t xml:space="preserve"> the minimum age for </w:t>
      </w:r>
      <w:r w:rsidR="004036EC">
        <w:rPr>
          <w:b/>
        </w:rPr>
        <w:t xml:space="preserve">military </w:t>
      </w:r>
      <w:r w:rsidR="004036EC" w:rsidRPr="00B646C4">
        <w:rPr>
          <w:b/>
        </w:rPr>
        <w:t>service</w:t>
      </w:r>
      <w:r w:rsidR="004036EC">
        <w:rPr>
          <w:b/>
        </w:rPr>
        <w:t xml:space="preserve"> in all circumstances </w:t>
      </w:r>
      <w:r w:rsidR="004036EC" w:rsidRPr="00B646C4">
        <w:rPr>
          <w:b/>
        </w:rPr>
        <w:t>to 18 years.</w:t>
      </w:r>
    </w:p>
    <w:p w:rsidR="00C364BD" w:rsidRDefault="00C364BD" w:rsidP="00C364BD">
      <w:pPr>
        <w:pStyle w:val="H23G"/>
        <w:ind w:firstLine="0"/>
      </w:pPr>
      <w:r>
        <w:t>Participation</w:t>
      </w:r>
      <w:r w:rsidR="00CA314C">
        <w:t xml:space="preserve"> </w:t>
      </w:r>
      <w:r>
        <w:t xml:space="preserve">in public life </w:t>
      </w:r>
    </w:p>
    <w:p w:rsidR="00C364BD" w:rsidRDefault="008C33DD" w:rsidP="008C33DD">
      <w:pPr>
        <w:pStyle w:val="SingleTxtG"/>
        <w:numPr>
          <w:ilvl w:val="0"/>
          <w:numId w:val="8"/>
        </w:numPr>
        <w:ind w:left="1134" w:firstLine="0"/>
      </w:pPr>
      <w:r>
        <w:t>T</w:t>
      </w:r>
      <w:r w:rsidR="005E49F0">
        <w:t xml:space="preserve">he Committee notes with concern that </w:t>
      </w:r>
      <w:r>
        <w:t xml:space="preserve">article 2 of Law No. 6/1996 “Electoral Law”, as amended in 2007, </w:t>
      </w:r>
      <w:r w:rsidR="005E49F0">
        <w:t xml:space="preserve">excludes </w:t>
      </w:r>
      <w:r>
        <w:t>“</w:t>
      </w:r>
      <w:r w:rsidR="00C364BD">
        <w:t xml:space="preserve">persons interdicted for mental infirmity” from voting </w:t>
      </w:r>
      <w:r w:rsidR="005E49F0">
        <w:t>(arts. 25 and 26).</w:t>
      </w:r>
    </w:p>
    <w:p w:rsidR="008C33DD" w:rsidRPr="00C364BD" w:rsidRDefault="008C33DD" w:rsidP="008C33DD">
      <w:pPr>
        <w:pStyle w:val="SingleTxtG"/>
        <w:numPr>
          <w:ilvl w:val="0"/>
          <w:numId w:val="8"/>
        </w:numPr>
        <w:ind w:left="1134" w:firstLine="0"/>
      </w:pPr>
      <w:r>
        <w:rPr>
          <w:b/>
          <w:bCs/>
        </w:rPr>
        <w:t>T</w:t>
      </w:r>
      <w:r w:rsidRPr="008C33DD">
        <w:rPr>
          <w:b/>
          <w:bCs/>
        </w:rPr>
        <w:t xml:space="preserve">he </w:t>
      </w:r>
      <w:r>
        <w:rPr>
          <w:b/>
          <w:bCs/>
        </w:rPr>
        <w:t>S</w:t>
      </w:r>
      <w:r w:rsidRPr="008C33DD">
        <w:rPr>
          <w:b/>
          <w:bCs/>
        </w:rPr>
        <w:t xml:space="preserve">tate party </w:t>
      </w:r>
      <w:r w:rsidR="000B067C">
        <w:rPr>
          <w:b/>
          <w:bCs/>
        </w:rPr>
        <w:t xml:space="preserve">should </w:t>
      </w:r>
      <w:r w:rsidRPr="008C33DD">
        <w:rPr>
          <w:b/>
          <w:bCs/>
        </w:rPr>
        <w:t>revise its legislation to ensure that it does not discriminate against persons with mental</w:t>
      </w:r>
      <w:r>
        <w:rPr>
          <w:b/>
          <w:bCs/>
        </w:rPr>
        <w:t>,</w:t>
      </w:r>
      <w:r w:rsidRPr="008C33DD">
        <w:rPr>
          <w:b/>
          <w:bCs/>
        </w:rPr>
        <w:t xml:space="preserve"> intellectual or psychosocial disabilities by denying them the right to vote on bases that</w:t>
      </w:r>
      <w:r w:rsidR="00BC746A">
        <w:rPr>
          <w:b/>
          <w:bCs/>
        </w:rPr>
        <w:t xml:space="preserve"> </w:t>
      </w:r>
      <w:r w:rsidRPr="008C33DD">
        <w:rPr>
          <w:b/>
          <w:bCs/>
        </w:rPr>
        <w:t>have no reasonable and objective relationship to their ability to vote</w:t>
      </w:r>
      <w:r w:rsidR="00256B64">
        <w:rPr>
          <w:b/>
          <w:bCs/>
        </w:rPr>
        <w:t>.</w:t>
      </w:r>
    </w:p>
    <w:p w:rsidR="00A268B5" w:rsidRPr="00A7460D" w:rsidRDefault="00C364BD" w:rsidP="00CA314C">
      <w:pPr>
        <w:pStyle w:val="H23G"/>
        <w:rPr>
          <w:b w:val="0"/>
          <w:bCs/>
        </w:rPr>
      </w:pPr>
      <w:r>
        <w:tab/>
      </w:r>
      <w:r>
        <w:tab/>
      </w:r>
      <w:r w:rsidR="00A268B5" w:rsidRPr="001C6918">
        <w:t>Dissemination of information relating to the Covenant</w:t>
      </w:r>
    </w:p>
    <w:p w:rsidR="00D23973" w:rsidRPr="00B12CF1" w:rsidRDefault="00D72429" w:rsidP="004036EC">
      <w:pPr>
        <w:pStyle w:val="SingleTxtG"/>
        <w:numPr>
          <w:ilvl w:val="0"/>
          <w:numId w:val="8"/>
        </w:numPr>
        <w:ind w:left="1134" w:firstLine="0"/>
      </w:pPr>
      <w:r w:rsidRPr="00D72429">
        <w:t>The State party should widely disseminate the Covenant</w:t>
      </w:r>
      <w:r w:rsidRPr="00C923FE">
        <w:t>, the two Optional Protocols to the Covenant,</w:t>
      </w:r>
      <w:r w:rsidRPr="00D72429">
        <w:t xml:space="preserve"> the text of its </w:t>
      </w:r>
      <w:r>
        <w:t>third</w:t>
      </w:r>
      <w:r w:rsidRPr="00D72429">
        <w:t xml:space="preserve"> periodic report and the present concluding observations among the judicial, legislative and administrative authorities, civil society and non-governmental organizations operating in the country, and the general public. </w:t>
      </w:r>
      <w:r w:rsidRPr="00FD01DF">
        <w:t>The State party should ensure that the report and the present concluding observations are translated into its official language</w:t>
      </w:r>
      <w:r w:rsidR="0079717B">
        <w:t>.</w:t>
      </w:r>
    </w:p>
    <w:p w:rsidR="00D23973" w:rsidRPr="00B12CF1" w:rsidRDefault="00D23973" w:rsidP="004036EC">
      <w:pPr>
        <w:pStyle w:val="SingleTxtG"/>
        <w:numPr>
          <w:ilvl w:val="0"/>
          <w:numId w:val="8"/>
        </w:numPr>
        <w:ind w:left="1134" w:firstLine="0"/>
      </w:pPr>
      <w:r w:rsidRPr="00B12CF1">
        <w:t xml:space="preserve">Pursuant to paragraph 5 of rule 71 of the rules of procedure of the Committee, the State party should provide, within one year, </w:t>
      </w:r>
      <w:r w:rsidR="00BE1A8D" w:rsidRPr="00BE1A8D">
        <w:t xml:space="preserve">relevant information on </w:t>
      </w:r>
      <w:r w:rsidR="00B95C34">
        <w:t>the</w:t>
      </w:r>
      <w:r w:rsidR="00BE1A8D" w:rsidRPr="00BE1A8D">
        <w:t xml:space="preserve"> implementation of the recommendations made</w:t>
      </w:r>
      <w:r w:rsidR="004F5A87">
        <w:t xml:space="preserve"> by the</w:t>
      </w:r>
      <w:r w:rsidR="00BE1A8D" w:rsidRPr="00BE1A8D">
        <w:t xml:space="preserve"> </w:t>
      </w:r>
      <w:r w:rsidR="004F5A87" w:rsidRPr="00BE1A8D">
        <w:t xml:space="preserve">Committee </w:t>
      </w:r>
      <w:r w:rsidR="00BE1A8D" w:rsidRPr="00BE1A8D">
        <w:t>in paragraphs</w:t>
      </w:r>
      <w:r w:rsidR="00BE1A8D">
        <w:t xml:space="preserve"> </w:t>
      </w:r>
      <w:r w:rsidR="00DF62E0">
        <w:t xml:space="preserve">7 (National human rights institution) and 9 (Anti-discrimination legislation) </w:t>
      </w:r>
      <w:r w:rsidR="00C923FE">
        <w:t>above</w:t>
      </w:r>
      <w:r w:rsidRPr="00B12CF1">
        <w:t>.</w:t>
      </w:r>
    </w:p>
    <w:p w:rsidR="00D23973" w:rsidRPr="00B12CF1" w:rsidRDefault="00D23973" w:rsidP="004036EC">
      <w:pPr>
        <w:pStyle w:val="SingleTxtG"/>
        <w:numPr>
          <w:ilvl w:val="0"/>
          <w:numId w:val="8"/>
        </w:numPr>
        <w:ind w:left="1134" w:firstLine="0"/>
      </w:pPr>
      <w:r w:rsidRPr="00B12CF1">
        <w:t xml:space="preserve">The Committee requests the State party to include in its next periodic report, which should be submitted by </w:t>
      </w:r>
      <w:r w:rsidR="00A268B5">
        <w:t>6</w:t>
      </w:r>
      <w:r w:rsidRPr="00B12CF1">
        <w:t xml:space="preserve"> </w:t>
      </w:r>
      <w:r w:rsidR="00A268B5">
        <w:t>November</w:t>
      </w:r>
      <w:r w:rsidRPr="00B12CF1">
        <w:t xml:space="preserve"> 202</w:t>
      </w:r>
      <w:r w:rsidR="00E23DAE">
        <w:t>2</w:t>
      </w:r>
      <w:r w:rsidRPr="00B12CF1">
        <w:t xml:space="preserve">, </w:t>
      </w:r>
      <w:r w:rsidR="007B61A4">
        <w:t xml:space="preserve">specific </w:t>
      </w:r>
      <w:r w:rsidRPr="00B12CF1">
        <w:t xml:space="preserve">up-to-date </w:t>
      </w:r>
      <w:r w:rsidR="00BE1A8D" w:rsidRPr="00BE1A8D">
        <w:t>information on the implementation of all its recommendations and o</w:t>
      </w:r>
      <w:r w:rsidR="00C923FE">
        <w:t>f</w:t>
      </w:r>
      <w:r w:rsidR="00BE1A8D" w:rsidRPr="00BE1A8D">
        <w:t xml:space="preserve"> the Covenant as a whole</w:t>
      </w:r>
      <w:r w:rsidRPr="00B12CF1">
        <w:t xml:space="preserve">. The Committee furthermore requests </w:t>
      </w:r>
      <w:r w:rsidR="007B61A4">
        <w:t xml:space="preserve">that </w:t>
      </w:r>
      <w:r w:rsidRPr="00B12CF1">
        <w:t>the State party</w:t>
      </w:r>
      <w:r w:rsidR="007B61A4" w:rsidRPr="007B61A4">
        <w:t>, in preparing the report, broadly consult civil society</w:t>
      </w:r>
      <w:r w:rsidR="00F34FFC">
        <w:t xml:space="preserve"> and </w:t>
      </w:r>
      <w:r w:rsidR="00DF62E0">
        <w:t xml:space="preserve">that it </w:t>
      </w:r>
      <w:r w:rsidR="00F34FFC">
        <w:t xml:space="preserve">encourage </w:t>
      </w:r>
      <w:r w:rsidR="007D2EAB">
        <w:t xml:space="preserve">civil society </w:t>
      </w:r>
      <w:r w:rsidR="00F34FFC">
        <w:t>representatives to engage with the Committee</w:t>
      </w:r>
      <w:r w:rsidR="00DF62E0">
        <w:t xml:space="preserve"> before the dialogue</w:t>
      </w:r>
      <w:r w:rsidRPr="00B12CF1">
        <w:t>.</w:t>
      </w:r>
    </w:p>
    <w:p w:rsidR="00D23973" w:rsidRPr="00B12CF1" w:rsidRDefault="00D23973" w:rsidP="004036EC">
      <w:pPr>
        <w:pStyle w:val="SingleTxtG"/>
        <w:numPr>
          <w:ilvl w:val="0"/>
          <w:numId w:val="8"/>
        </w:numPr>
        <w:ind w:left="1134" w:firstLine="0"/>
      </w:pPr>
      <w:r w:rsidRPr="00B12CF1">
        <w:lastRenderedPageBreak/>
        <w:t>Given that the State party has accepted the simplified reporting procedure, the Committee will transmit to it a list of issues prior to the submission of the report</w:t>
      </w:r>
      <w:r w:rsidR="00A7460D">
        <w:t xml:space="preserve"> in due course</w:t>
      </w:r>
      <w:r w:rsidRPr="00B12CF1">
        <w:t xml:space="preserve">, and </w:t>
      </w:r>
      <w:r w:rsidR="00A7460D">
        <w:t>its</w:t>
      </w:r>
      <w:r w:rsidRPr="00B12CF1">
        <w:t xml:space="preserve"> replies to it will constitute the fourth periodic report of the State party. The word limit for the report is 21,200 words, in accordance with General Assembly resolution 68/268. </w:t>
      </w:r>
    </w:p>
    <w:p w:rsidR="00CD5B6A" w:rsidRPr="00106A43" w:rsidRDefault="00CD5B6A">
      <w:pPr>
        <w:spacing w:before="240"/>
        <w:jc w:val="center"/>
        <w:rPr>
          <w:u w:val="single"/>
        </w:rPr>
      </w:pPr>
      <w:r>
        <w:rPr>
          <w:u w:val="single"/>
        </w:rPr>
        <w:tab/>
      </w:r>
      <w:r>
        <w:rPr>
          <w:u w:val="single"/>
        </w:rPr>
        <w:tab/>
      </w:r>
      <w:r>
        <w:rPr>
          <w:u w:val="single"/>
        </w:rPr>
        <w:tab/>
      </w:r>
    </w:p>
    <w:sectPr w:rsidR="00CD5B6A" w:rsidRPr="00106A43" w:rsidSect="00CD4042">
      <w:footerReference w:type="even" r:id="rId9"/>
      <w:footerReference w:type="default" r:id="rId10"/>
      <w:footerReference w:type="firs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AB" w:rsidRPr="00B903E5" w:rsidRDefault="00F44BAB" w:rsidP="00B903E5">
      <w:pPr>
        <w:pStyle w:val="Footer"/>
      </w:pPr>
    </w:p>
  </w:endnote>
  <w:endnote w:type="continuationSeparator" w:id="0">
    <w:p w:rsidR="00F44BAB" w:rsidRPr="00B903E5" w:rsidRDefault="00F44BA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1" w:rsidRPr="00CD4042" w:rsidRDefault="00FA0D31" w:rsidP="00D921DD">
    <w:pPr>
      <w:pStyle w:val="Footer"/>
      <w:tabs>
        <w:tab w:val="right" w:pos="9598"/>
      </w:tabs>
    </w:pPr>
    <w:r w:rsidRPr="00CD4042">
      <w:rPr>
        <w:b/>
        <w:sz w:val="18"/>
      </w:rPr>
      <w:fldChar w:fldCharType="begin"/>
    </w:r>
    <w:r w:rsidRPr="00CD4042">
      <w:rPr>
        <w:b/>
        <w:sz w:val="18"/>
      </w:rPr>
      <w:instrText xml:space="preserve"> PAGE  \* MERGEFORMAT </w:instrText>
    </w:r>
    <w:r w:rsidRPr="00CD4042">
      <w:rPr>
        <w:b/>
        <w:sz w:val="18"/>
      </w:rPr>
      <w:fldChar w:fldCharType="separate"/>
    </w:r>
    <w:r w:rsidR="00AA2CCE">
      <w:rPr>
        <w:b/>
        <w:noProof/>
        <w:sz w:val="18"/>
      </w:rPr>
      <w:t>4</w:t>
    </w:r>
    <w:r w:rsidRPr="00CD4042">
      <w:rPr>
        <w:b/>
        <w:sz w:val="18"/>
      </w:rPr>
      <w:fldChar w:fldCharType="end"/>
    </w:r>
    <w:r>
      <w:rPr>
        <w:sz w:val="18"/>
      </w:rPr>
      <w:tab/>
    </w:r>
    <w:r>
      <w:t>GE.15-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1" w:rsidRPr="00CD4042" w:rsidRDefault="00FA0D31" w:rsidP="00D921DD">
    <w:pPr>
      <w:pStyle w:val="Footer"/>
      <w:tabs>
        <w:tab w:val="right" w:pos="9598"/>
      </w:tabs>
      <w:rPr>
        <w:b/>
        <w:sz w:val="18"/>
      </w:rPr>
    </w:pPr>
    <w:r>
      <w:t>GE.15-</w:t>
    </w:r>
    <w:r>
      <w:tab/>
    </w:r>
    <w:r w:rsidRPr="00CD4042">
      <w:rPr>
        <w:b/>
        <w:sz w:val="18"/>
      </w:rPr>
      <w:fldChar w:fldCharType="begin"/>
    </w:r>
    <w:r w:rsidRPr="00CD4042">
      <w:rPr>
        <w:b/>
        <w:sz w:val="18"/>
      </w:rPr>
      <w:instrText xml:space="preserve"> PAGE  \* MERGEFORMAT </w:instrText>
    </w:r>
    <w:r w:rsidRPr="00CD4042">
      <w:rPr>
        <w:b/>
        <w:sz w:val="18"/>
      </w:rPr>
      <w:fldChar w:fldCharType="separate"/>
    </w:r>
    <w:r w:rsidR="00AA2CCE">
      <w:rPr>
        <w:b/>
        <w:noProof/>
        <w:sz w:val="18"/>
      </w:rPr>
      <w:t>5</w:t>
    </w:r>
    <w:r w:rsidRPr="00CD404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1" w:rsidRPr="00CD4042" w:rsidRDefault="00FA0D31" w:rsidP="00F81007">
    <w:pPr>
      <w:rPr>
        <w:rFonts w:ascii="C39T30Lfz" w:hAnsi="C39T30Lfz"/>
        <w:sz w:val="56"/>
      </w:rPr>
    </w:pPr>
    <w:r>
      <w:rPr>
        <w:noProof/>
        <w:lang w:eastAsia="en-GB"/>
      </w:rPr>
      <w:drawing>
        <wp:anchor distT="0" distB="0" distL="114300" distR="114300" simplePos="0" relativeHeight="251659264" behindDoc="0" locked="1" layoutInCell="1" allowOverlap="1" wp14:anchorId="034E0EA5" wp14:editId="649478A0">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AB" w:rsidRPr="00B903E5" w:rsidRDefault="00F44BAB" w:rsidP="00B903E5">
      <w:pPr>
        <w:tabs>
          <w:tab w:val="right" w:pos="2155"/>
        </w:tabs>
        <w:spacing w:after="80" w:line="240" w:lineRule="auto"/>
        <w:ind w:left="680"/>
      </w:pPr>
      <w:r>
        <w:rPr>
          <w:u w:val="single"/>
        </w:rPr>
        <w:tab/>
      </w:r>
    </w:p>
  </w:footnote>
  <w:footnote w:type="continuationSeparator" w:id="0">
    <w:p w:rsidR="00F44BAB" w:rsidRPr="00B903E5" w:rsidRDefault="00F44BAB" w:rsidP="00B903E5">
      <w:pPr>
        <w:tabs>
          <w:tab w:val="right" w:pos="2155"/>
        </w:tabs>
        <w:spacing w:after="80" w:line="240" w:lineRule="auto"/>
        <w:ind w:left="680"/>
      </w:pPr>
      <w:r>
        <w:rPr>
          <w:u w:val="single"/>
        </w:rPr>
        <w:tab/>
      </w:r>
    </w:p>
  </w:footnote>
  <w:footnote w:id="1">
    <w:p w:rsidR="00A601E4" w:rsidRPr="00B464B5" w:rsidRDefault="00A601E4" w:rsidP="00A601E4">
      <w:pPr>
        <w:rPr>
          <w:rStyle w:val="FootnoteTextChar"/>
        </w:rPr>
      </w:pPr>
      <w:r>
        <w:rPr>
          <w:rStyle w:val="FootnoteReference"/>
        </w:rPr>
        <w:tab/>
      </w:r>
      <w:r w:rsidRPr="00804557">
        <w:rPr>
          <w:rStyle w:val="FootnoteReference"/>
        </w:rPr>
        <w:t>*</w:t>
      </w:r>
      <w:r w:rsidRPr="00804557">
        <w:tab/>
      </w:r>
      <w:proofErr w:type="gramStart"/>
      <w:r w:rsidRPr="00B464B5">
        <w:rPr>
          <w:rStyle w:val="FootnoteTextChar"/>
        </w:rPr>
        <w:t>Adopted by the Committee at its 115th session (19 October–6 November 2015).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D65DB"/>
    <w:multiLevelType w:val="hybridMultilevel"/>
    <w:tmpl w:val="4BA430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8476612"/>
    <w:multiLevelType w:val="hybridMultilevel"/>
    <w:tmpl w:val="AB4299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8B732E"/>
    <w:multiLevelType w:val="hybridMultilevel"/>
    <w:tmpl w:val="EF7E74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7953821"/>
    <w:multiLevelType w:val="hybridMultilevel"/>
    <w:tmpl w:val="2E3AEF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8"/>
  </w:num>
  <w:num w:numId="5">
    <w:abstractNumId w:val="9"/>
  </w:num>
  <w:num w:numId="6">
    <w:abstractNumId w:val="10"/>
  </w:num>
  <w:num w:numId="7">
    <w:abstractNumId w:val="1"/>
  </w:num>
  <w:num w:numId="8">
    <w:abstractNumId w:val="4"/>
  </w:num>
  <w:num w:numId="9">
    <w:abstractNumId w:val="7"/>
  </w:num>
  <w:num w:numId="10">
    <w:abstractNumId w:val="6"/>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902"/>
    <w:rsid w:val="00015279"/>
    <w:rsid w:val="000163F4"/>
    <w:rsid w:val="00023213"/>
    <w:rsid w:val="00027AAC"/>
    <w:rsid w:val="00031EE6"/>
    <w:rsid w:val="00035A0E"/>
    <w:rsid w:val="00046E92"/>
    <w:rsid w:val="0006523D"/>
    <w:rsid w:val="00071E3F"/>
    <w:rsid w:val="0008130C"/>
    <w:rsid w:val="000A337B"/>
    <w:rsid w:val="000B067C"/>
    <w:rsid w:val="000B2840"/>
    <w:rsid w:val="000B2A94"/>
    <w:rsid w:val="000C1C2E"/>
    <w:rsid w:val="000C7180"/>
    <w:rsid w:val="000D2106"/>
    <w:rsid w:val="000E128E"/>
    <w:rsid w:val="000E618D"/>
    <w:rsid w:val="000E6597"/>
    <w:rsid w:val="000E7A0C"/>
    <w:rsid w:val="000F71C9"/>
    <w:rsid w:val="00100B5A"/>
    <w:rsid w:val="00114D86"/>
    <w:rsid w:val="001167B2"/>
    <w:rsid w:val="00124A5F"/>
    <w:rsid w:val="0012752B"/>
    <w:rsid w:val="00131D7A"/>
    <w:rsid w:val="00133A6A"/>
    <w:rsid w:val="001342A5"/>
    <w:rsid w:val="00147870"/>
    <w:rsid w:val="00151521"/>
    <w:rsid w:val="00152C30"/>
    <w:rsid w:val="0015563F"/>
    <w:rsid w:val="00165C15"/>
    <w:rsid w:val="00181ED7"/>
    <w:rsid w:val="001839AE"/>
    <w:rsid w:val="0019672C"/>
    <w:rsid w:val="00196B4D"/>
    <w:rsid w:val="001A2A0F"/>
    <w:rsid w:val="001C1AA8"/>
    <w:rsid w:val="001D0279"/>
    <w:rsid w:val="001E1766"/>
    <w:rsid w:val="001E345C"/>
    <w:rsid w:val="001F05B8"/>
    <w:rsid w:val="00204C35"/>
    <w:rsid w:val="00213B26"/>
    <w:rsid w:val="00217659"/>
    <w:rsid w:val="0022203F"/>
    <w:rsid w:val="00235240"/>
    <w:rsid w:val="00242FAF"/>
    <w:rsid w:val="00247E2C"/>
    <w:rsid w:val="00256B64"/>
    <w:rsid w:val="00261FE2"/>
    <w:rsid w:val="00276B9C"/>
    <w:rsid w:val="0028176C"/>
    <w:rsid w:val="00290434"/>
    <w:rsid w:val="00291431"/>
    <w:rsid w:val="00291FC6"/>
    <w:rsid w:val="00293CEF"/>
    <w:rsid w:val="00297F74"/>
    <w:rsid w:val="002A3289"/>
    <w:rsid w:val="002A32FA"/>
    <w:rsid w:val="002C76AD"/>
    <w:rsid w:val="002D535E"/>
    <w:rsid w:val="002D6C53"/>
    <w:rsid w:val="002E5C61"/>
    <w:rsid w:val="002F5595"/>
    <w:rsid w:val="00305905"/>
    <w:rsid w:val="00320B48"/>
    <w:rsid w:val="00331D29"/>
    <w:rsid w:val="00332F33"/>
    <w:rsid w:val="00334F6A"/>
    <w:rsid w:val="00342AC8"/>
    <w:rsid w:val="00353CA5"/>
    <w:rsid w:val="00365CE7"/>
    <w:rsid w:val="003746DB"/>
    <w:rsid w:val="003B4550"/>
    <w:rsid w:val="003B7074"/>
    <w:rsid w:val="003B7703"/>
    <w:rsid w:val="003D7545"/>
    <w:rsid w:val="003E7955"/>
    <w:rsid w:val="003F2C72"/>
    <w:rsid w:val="00402662"/>
    <w:rsid w:val="0040351C"/>
    <w:rsid w:val="004036EC"/>
    <w:rsid w:val="004040A1"/>
    <w:rsid w:val="00410D84"/>
    <w:rsid w:val="00420D8E"/>
    <w:rsid w:val="00423583"/>
    <w:rsid w:val="0042675E"/>
    <w:rsid w:val="004269D3"/>
    <w:rsid w:val="00440C8A"/>
    <w:rsid w:val="00461253"/>
    <w:rsid w:val="00462B91"/>
    <w:rsid w:val="0046313B"/>
    <w:rsid w:val="00476624"/>
    <w:rsid w:val="004801D2"/>
    <w:rsid w:val="004808EC"/>
    <w:rsid w:val="00483025"/>
    <w:rsid w:val="00487131"/>
    <w:rsid w:val="00487621"/>
    <w:rsid w:val="0049253D"/>
    <w:rsid w:val="00494528"/>
    <w:rsid w:val="004948E8"/>
    <w:rsid w:val="00497B41"/>
    <w:rsid w:val="004E218E"/>
    <w:rsid w:val="004E648B"/>
    <w:rsid w:val="004F16BE"/>
    <w:rsid w:val="004F5A87"/>
    <w:rsid w:val="0050102D"/>
    <w:rsid w:val="0050154A"/>
    <w:rsid w:val="005042C2"/>
    <w:rsid w:val="0050536D"/>
    <w:rsid w:val="005077FF"/>
    <w:rsid w:val="00510910"/>
    <w:rsid w:val="00516D95"/>
    <w:rsid w:val="00517B98"/>
    <w:rsid w:val="00523853"/>
    <w:rsid w:val="00562F16"/>
    <w:rsid w:val="00567750"/>
    <w:rsid w:val="00581537"/>
    <w:rsid w:val="00582968"/>
    <w:rsid w:val="00584F9C"/>
    <w:rsid w:val="00595AE9"/>
    <w:rsid w:val="00596261"/>
    <w:rsid w:val="005A3579"/>
    <w:rsid w:val="005A7045"/>
    <w:rsid w:val="005B5FA4"/>
    <w:rsid w:val="005C2C49"/>
    <w:rsid w:val="005E06C0"/>
    <w:rsid w:val="005E49F0"/>
    <w:rsid w:val="005E5177"/>
    <w:rsid w:val="005F22FE"/>
    <w:rsid w:val="005F6AC8"/>
    <w:rsid w:val="00602181"/>
    <w:rsid w:val="00606E8D"/>
    <w:rsid w:val="00612F06"/>
    <w:rsid w:val="00626902"/>
    <w:rsid w:val="006317FD"/>
    <w:rsid w:val="00641E50"/>
    <w:rsid w:val="006441B7"/>
    <w:rsid w:val="00654972"/>
    <w:rsid w:val="00665B27"/>
    <w:rsid w:val="00671529"/>
    <w:rsid w:val="00672E50"/>
    <w:rsid w:val="006841D7"/>
    <w:rsid w:val="00694F8E"/>
    <w:rsid w:val="0069552F"/>
    <w:rsid w:val="006A0D2E"/>
    <w:rsid w:val="006B110C"/>
    <w:rsid w:val="006C064A"/>
    <w:rsid w:val="006C4940"/>
    <w:rsid w:val="006C7A8C"/>
    <w:rsid w:val="006D0CF8"/>
    <w:rsid w:val="006D1435"/>
    <w:rsid w:val="006E2FFD"/>
    <w:rsid w:val="00714593"/>
    <w:rsid w:val="00717185"/>
    <w:rsid w:val="00724804"/>
    <w:rsid w:val="00726641"/>
    <w:rsid w:val="007268F9"/>
    <w:rsid w:val="0073756A"/>
    <w:rsid w:val="00741EA9"/>
    <w:rsid w:val="007507D7"/>
    <w:rsid w:val="007529E1"/>
    <w:rsid w:val="007600E4"/>
    <w:rsid w:val="00763519"/>
    <w:rsid w:val="00787BE7"/>
    <w:rsid w:val="00791A27"/>
    <w:rsid w:val="00792A69"/>
    <w:rsid w:val="0079717B"/>
    <w:rsid w:val="007A7E30"/>
    <w:rsid w:val="007B1BC6"/>
    <w:rsid w:val="007B1F83"/>
    <w:rsid w:val="007B61A4"/>
    <w:rsid w:val="007C52B0"/>
    <w:rsid w:val="007D2EAB"/>
    <w:rsid w:val="007F052D"/>
    <w:rsid w:val="007F4FDF"/>
    <w:rsid w:val="007F5B18"/>
    <w:rsid w:val="00817E57"/>
    <w:rsid w:val="00835BF3"/>
    <w:rsid w:val="0084161D"/>
    <w:rsid w:val="008547BD"/>
    <w:rsid w:val="00877DD9"/>
    <w:rsid w:val="008805B9"/>
    <w:rsid w:val="00887FB8"/>
    <w:rsid w:val="00896F80"/>
    <w:rsid w:val="008B3354"/>
    <w:rsid w:val="008C33DD"/>
    <w:rsid w:val="008D19D3"/>
    <w:rsid w:val="008D29F4"/>
    <w:rsid w:val="008D3450"/>
    <w:rsid w:val="008D5012"/>
    <w:rsid w:val="009013B5"/>
    <w:rsid w:val="00905EDF"/>
    <w:rsid w:val="00930881"/>
    <w:rsid w:val="009411B4"/>
    <w:rsid w:val="00942CA7"/>
    <w:rsid w:val="00946ED3"/>
    <w:rsid w:val="00950619"/>
    <w:rsid w:val="009630E5"/>
    <w:rsid w:val="00972370"/>
    <w:rsid w:val="00977946"/>
    <w:rsid w:val="0098625D"/>
    <w:rsid w:val="00992AD7"/>
    <w:rsid w:val="009A69B1"/>
    <w:rsid w:val="009A6FAC"/>
    <w:rsid w:val="009A7460"/>
    <w:rsid w:val="009B11B7"/>
    <w:rsid w:val="009B35C0"/>
    <w:rsid w:val="009B5D4B"/>
    <w:rsid w:val="009C50C9"/>
    <w:rsid w:val="009C5122"/>
    <w:rsid w:val="009C7D9B"/>
    <w:rsid w:val="009D0139"/>
    <w:rsid w:val="009D4F31"/>
    <w:rsid w:val="009E2606"/>
    <w:rsid w:val="009E5380"/>
    <w:rsid w:val="009E5F6C"/>
    <w:rsid w:val="009F4ED3"/>
    <w:rsid w:val="009F5CDC"/>
    <w:rsid w:val="00A07144"/>
    <w:rsid w:val="00A16DA5"/>
    <w:rsid w:val="00A23459"/>
    <w:rsid w:val="00A268B5"/>
    <w:rsid w:val="00A31683"/>
    <w:rsid w:val="00A40BD8"/>
    <w:rsid w:val="00A57151"/>
    <w:rsid w:val="00A601E4"/>
    <w:rsid w:val="00A65AF0"/>
    <w:rsid w:val="00A7460D"/>
    <w:rsid w:val="00A775CF"/>
    <w:rsid w:val="00A97133"/>
    <w:rsid w:val="00AA2CCE"/>
    <w:rsid w:val="00AB3987"/>
    <w:rsid w:val="00AB53CA"/>
    <w:rsid w:val="00AC1AA4"/>
    <w:rsid w:val="00AC67CF"/>
    <w:rsid w:val="00AD0989"/>
    <w:rsid w:val="00AD0A19"/>
    <w:rsid w:val="00AD3A07"/>
    <w:rsid w:val="00AD4635"/>
    <w:rsid w:val="00AE3B9D"/>
    <w:rsid w:val="00AE4356"/>
    <w:rsid w:val="00AE5AE6"/>
    <w:rsid w:val="00AF08A1"/>
    <w:rsid w:val="00AF1D76"/>
    <w:rsid w:val="00AF5048"/>
    <w:rsid w:val="00AF5899"/>
    <w:rsid w:val="00AF6F29"/>
    <w:rsid w:val="00B0033D"/>
    <w:rsid w:val="00B03A01"/>
    <w:rsid w:val="00B04CAC"/>
    <w:rsid w:val="00B06045"/>
    <w:rsid w:val="00B354C3"/>
    <w:rsid w:val="00B36DCB"/>
    <w:rsid w:val="00B40D90"/>
    <w:rsid w:val="00B632D9"/>
    <w:rsid w:val="00B635B7"/>
    <w:rsid w:val="00B6379E"/>
    <w:rsid w:val="00B646C4"/>
    <w:rsid w:val="00B903E5"/>
    <w:rsid w:val="00B9101E"/>
    <w:rsid w:val="00B95C34"/>
    <w:rsid w:val="00BB1B90"/>
    <w:rsid w:val="00BB2EB1"/>
    <w:rsid w:val="00BC4C53"/>
    <w:rsid w:val="00BC746A"/>
    <w:rsid w:val="00BE0338"/>
    <w:rsid w:val="00BE1A8D"/>
    <w:rsid w:val="00BE3006"/>
    <w:rsid w:val="00BE6A06"/>
    <w:rsid w:val="00C06570"/>
    <w:rsid w:val="00C13759"/>
    <w:rsid w:val="00C15EF4"/>
    <w:rsid w:val="00C21263"/>
    <w:rsid w:val="00C34584"/>
    <w:rsid w:val="00C3584C"/>
    <w:rsid w:val="00C35A27"/>
    <w:rsid w:val="00C364BD"/>
    <w:rsid w:val="00C3743A"/>
    <w:rsid w:val="00C37DD4"/>
    <w:rsid w:val="00C4780B"/>
    <w:rsid w:val="00C63B16"/>
    <w:rsid w:val="00C74B68"/>
    <w:rsid w:val="00C800BA"/>
    <w:rsid w:val="00C81EE7"/>
    <w:rsid w:val="00C862B7"/>
    <w:rsid w:val="00C923FE"/>
    <w:rsid w:val="00C943B5"/>
    <w:rsid w:val="00CA314C"/>
    <w:rsid w:val="00CB2DE1"/>
    <w:rsid w:val="00CC60DA"/>
    <w:rsid w:val="00CD3ACF"/>
    <w:rsid w:val="00CD4042"/>
    <w:rsid w:val="00CD5B6A"/>
    <w:rsid w:val="00CD6AA8"/>
    <w:rsid w:val="00CE3BA5"/>
    <w:rsid w:val="00CF25A8"/>
    <w:rsid w:val="00CF47FE"/>
    <w:rsid w:val="00D06150"/>
    <w:rsid w:val="00D078FE"/>
    <w:rsid w:val="00D23973"/>
    <w:rsid w:val="00D24206"/>
    <w:rsid w:val="00D34606"/>
    <w:rsid w:val="00D72429"/>
    <w:rsid w:val="00D84DE5"/>
    <w:rsid w:val="00D921DD"/>
    <w:rsid w:val="00D9341B"/>
    <w:rsid w:val="00DA5FFD"/>
    <w:rsid w:val="00DB3ED9"/>
    <w:rsid w:val="00DB44A6"/>
    <w:rsid w:val="00DB464F"/>
    <w:rsid w:val="00DB606D"/>
    <w:rsid w:val="00DB6661"/>
    <w:rsid w:val="00DC1D26"/>
    <w:rsid w:val="00DC1F54"/>
    <w:rsid w:val="00DC2A53"/>
    <w:rsid w:val="00DC7EE8"/>
    <w:rsid w:val="00DD3884"/>
    <w:rsid w:val="00DD412F"/>
    <w:rsid w:val="00DF62E0"/>
    <w:rsid w:val="00E02C2B"/>
    <w:rsid w:val="00E16356"/>
    <w:rsid w:val="00E16A75"/>
    <w:rsid w:val="00E23DAE"/>
    <w:rsid w:val="00E34D7C"/>
    <w:rsid w:val="00E47D98"/>
    <w:rsid w:val="00E5352A"/>
    <w:rsid w:val="00E70FF6"/>
    <w:rsid w:val="00E7421D"/>
    <w:rsid w:val="00E77871"/>
    <w:rsid w:val="00E80DAE"/>
    <w:rsid w:val="00E865C3"/>
    <w:rsid w:val="00E91513"/>
    <w:rsid w:val="00EB2A20"/>
    <w:rsid w:val="00EB410C"/>
    <w:rsid w:val="00EC3A36"/>
    <w:rsid w:val="00ED14E5"/>
    <w:rsid w:val="00ED25CF"/>
    <w:rsid w:val="00ED6C48"/>
    <w:rsid w:val="00ED7311"/>
    <w:rsid w:val="00EE4D63"/>
    <w:rsid w:val="00EF0553"/>
    <w:rsid w:val="00EF3C5E"/>
    <w:rsid w:val="00EF72D4"/>
    <w:rsid w:val="00EF7B7D"/>
    <w:rsid w:val="00F34FFC"/>
    <w:rsid w:val="00F377C3"/>
    <w:rsid w:val="00F41D25"/>
    <w:rsid w:val="00F41F0F"/>
    <w:rsid w:val="00F44BAB"/>
    <w:rsid w:val="00F65F5D"/>
    <w:rsid w:val="00F81007"/>
    <w:rsid w:val="00F86A3A"/>
    <w:rsid w:val="00F96651"/>
    <w:rsid w:val="00FA0D31"/>
    <w:rsid w:val="00FA16A1"/>
    <w:rsid w:val="00FA2CFC"/>
    <w:rsid w:val="00FC4FC7"/>
    <w:rsid w:val="00FD01DF"/>
    <w:rsid w:val="00FD2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865C3"/>
    <w:pPr>
      <w:suppressAutoHyphens w:val="0"/>
      <w:spacing w:after="16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332F33"/>
    <w:rPr>
      <w:sz w:val="16"/>
      <w:szCs w:val="16"/>
    </w:rPr>
  </w:style>
  <w:style w:type="paragraph" w:styleId="CommentText">
    <w:name w:val="annotation text"/>
    <w:basedOn w:val="Normal"/>
    <w:link w:val="CommentTextChar"/>
    <w:uiPriority w:val="99"/>
    <w:semiHidden/>
    <w:unhideWhenUsed/>
    <w:rsid w:val="00332F33"/>
    <w:pPr>
      <w:spacing w:line="240" w:lineRule="auto"/>
    </w:pPr>
  </w:style>
  <w:style w:type="character" w:customStyle="1" w:styleId="CommentTextChar">
    <w:name w:val="Comment Text Char"/>
    <w:basedOn w:val="DefaultParagraphFont"/>
    <w:link w:val="CommentText"/>
    <w:uiPriority w:val="99"/>
    <w:semiHidden/>
    <w:rsid w:val="00332F3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32F33"/>
    <w:rPr>
      <w:b/>
      <w:bCs/>
    </w:rPr>
  </w:style>
  <w:style w:type="character" w:customStyle="1" w:styleId="CommentSubjectChar">
    <w:name w:val="Comment Subject Char"/>
    <w:basedOn w:val="CommentTextChar"/>
    <w:link w:val="CommentSubject"/>
    <w:uiPriority w:val="99"/>
    <w:semiHidden/>
    <w:rsid w:val="00332F33"/>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E865C3"/>
    <w:pPr>
      <w:suppressAutoHyphens w:val="0"/>
      <w:spacing w:after="16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332F33"/>
    <w:rPr>
      <w:sz w:val="16"/>
      <w:szCs w:val="16"/>
    </w:rPr>
  </w:style>
  <w:style w:type="paragraph" w:styleId="CommentText">
    <w:name w:val="annotation text"/>
    <w:basedOn w:val="Normal"/>
    <w:link w:val="CommentTextChar"/>
    <w:uiPriority w:val="99"/>
    <w:semiHidden/>
    <w:unhideWhenUsed/>
    <w:rsid w:val="00332F33"/>
    <w:pPr>
      <w:spacing w:line="240" w:lineRule="auto"/>
    </w:pPr>
  </w:style>
  <w:style w:type="character" w:customStyle="1" w:styleId="CommentTextChar">
    <w:name w:val="Comment Text Char"/>
    <w:basedOn w:val="DefaultParagraphFont"/>
    <w:link w:val="CommentText"/>
    <w:uiPriority w:val="99"/>
    <w:semiHidden/>
    <w:rsid w:val="00332F3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32F33"/>
    <w:rPr>
      <w:b/>
      <w:bCs/>
    </w:rPr>
  </w:style>
  <w:style w:type="character" w:customStyle="1" w:styleId="CommentSubjectChar">
    <w:name w:val="Comment Subject Char"/>
    <w:basedOn w:val="CommentTextChar"/>
    <w:link w:val="CommentSubject"/>
    <w:uiPriority w:val="99"/>
    <w:semiHidden/>
    <w:rsid w:val="00332F3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472">
      <w:bodyDiv w:val="1"/>
      <w:marLeft w:val="0"/>
      <w:marRight w:val="0"/>
      <w:marTop w:val="0"/>
      <w:marBottom w:val="0"/>
      <w:divBdr>
        <w:top w:val="none" w:sz="0" w:space="0" w:color="auto"/>
        <w:left w:val="none" w:sz="0" w:space="0" w:color="auto"/>
        <w:bottom w:val="none" w:sz="0" w:space="0" w:color="auto"/>
        <w:right w:val="none" w:sz="0" w:space="0" w:color="auto"/>
      </w:divBdr>
      <w:divsChild>
        <w:div w:id="833103091">
          <w:marLeft w:val="0"/>
          <w:marRight w:val="0"/>
          <w:marTop w:val="0"/>
          <w:marBottom w:val="0"/>
          <w:divBdr>
            <w:top w:val="none" w:sz="0" w:space="0" w:color="auto"/>
            <w:left w:val="none" w:sz="0" w:space="0" w:color="auto"/>
            <w:bottom w:val="none" w:sz="0" w:space="0" w:color="auto"/>
            <w:right w:val="none" w:sz="0" w:space="0" w:color="auto"/>
          </w:divBdr>
        </w:div>
      </w:divsChild>
    </w:div>
    <w:div w:id="8430484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74045755">
      <w:bodyDiv w:val="1"/>
      <w:marLeft w:val="0"/>
      <w:marRight w:val="0"/>
      <w:marTop w:val="0"/>
      <w:marBottom w:val="0"/>
      <w:divBdr>
        <w:top w:val="none" w:sz="0" w:space="0" w:color="auto"/>
        <w:left w:val="none" w:sz="0" w:space="0" w:color="auto"/>
        <w:bottom w:val="none" w:sz="0" w:space="0" w:color="auto"/>
        <w:right w:val="none" w:sz="0" w:space="0" w:color="auto"/>
      </w:divBdr>
      <w:divsChild>
        <w:div w:id="447237920">
          <w:marLeft w:val="0"/>
          <w:marRight w:val="0"/>
          <w:marTop w:val="0"/>
          <w:marBottom w:val="0"/>
          <w:divBdr>
            <w:top w:val="none" w:sz="0" w:space="0" w:color="auto"/>
            <w:left w:val="none" w:sz="0" w:space="0" w:color="auto"/>
            <w:bottom w:val="none" w:sz="0" w:space="0" w:color="auto"/>
            <w:right w:val="none" w:sz="0" w:space="0" w:color="auto"/>
          </w:divBdr>
        </w:div>
      </w:divsChild>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0679621">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950817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47549-0629-4FB7-B12D-60EF83642969}"/>
</file>

<file path=customXml/itemProps2.xml><?xml version="1.0" encoding="utf-8"?>
<ds:datastoreItem xmlns:ds="http://schemas.openxmlformats.org/officeDocument/2006/customXml" ds:itemID="{86326E4A-D9CE-4D25-8D22-87DB8A2BC983}"/>
</file>

<file path=customXml/itemProps3.xml><?xml version="1.0" encoding="utf-8"?>
<ds:datastoreItem xmlns:ds="http://schemas.openxmlformats.org/officeDocument/2006/customXml" ds:itemID="{7696C160-8291-4E10-88FB-E2449CE5E973}"/>
</file>

<file path=customXml/itemProps4.xml><?xml version="1.0" encoding="utf-8"?>
<ds:datastoreItem xmlns:ds="http://schemas.openxmlformats.org/officeDocument/2006/customXml" ds:itemID="{E3E769E9-B2EC-4131-8F05-AC12B8E705F9}"/>
</file>

<file path=docProps/app.xml><?xml version="1.0" encoding="utf-8"?>
<Properties xmlns="http://schemas.openxmlformats.org/officeDocument/2006/extended-properties" xmlns:vt="http://schemas.openxmlformats.org/officeDocument/2006/docPropsVTypes">
  <Template>CCPR</Template>
  <TotalTime>2</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1506488</vt:lpstr>
    </vt:vector>
  </TitlesOfParts>
  <Company>DCM</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1506488</dc:title>
  <dc:subject>CCPR/C/MCO/CO/3</dc:subject>
  <dc:creator>mdl</dc:creator>
  <dc:description>Final</dc:description>
  <cp:lastModifiedBy>Thodiyil Sindu</cp:lastModifiedBy>
  <cp:revision>3</cp:revision>
  <cp:lastPrinted>2015-10-26T09:27:00Z</cp:lastPrinted>
  <dcterms:created xsi:type="dcterms:W3CDTF">2015-11-04T07:45:00Z</dcterms:created>
  <dcterms:modified xsi:type="dcterms:W3CDTF">2015-11-05T11:07:00Z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