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9F0415" w14:paraId="0029BD3F" w14:textId="77777777">
        <w:trPr>
          <w:cantSplit/>
          <w:trHeight w:hRule="exact" w:val="851"/>
        </w:trPr>
        <w:tc>
          <w:tcPr>
            <w:tcW w:w="1276" w:type="dxa"/>
            <w:tcBorders>
              <w:bottom w:val="single" w:sz="4" w:space="0" w:color="auto"/>
            </w:tcBorders>
            <w:vAlign w:val="bottom"/>
          </w:tcPr>
          <w:p w14:paraId="251DBECC" w14:textId="77777777" w:rsidR="00A63A09" w:rsidRDefault="00A63A09">
            <w:pPr>
              <w:spacing w:after="80"/>
            </w:pPr>
          </w:p>
        </w:tc>
        <w:tc>
          <w:tcPr>
            <w:tcW w:w="2268" w:type="dxa"/>
            <w:tcBorders>
              <w:bottom w:val="single" w:sz="4" w:space="0" w:color="auto"/>
            </w:tcBorders>
            <w:vAlign w:val="bottom"/>
          </w:tcPr>
          <w:p w14:paraId="012D4D3D" w14:textId="30D9D50E" w:rsidR="00A63A09" w:rsidRDefault="00A63A09">
            <w:pPr>
              <w:spacing w:after="80" w:line="300" w:lineRule="exact"/>
              <w:rPr>
                <w:b/>
                <w:sz w:val="24"/>
                <w:szCs w:val="24"/>
              </w:rPr>
            </w:pPr>
          </w:p>
        </w:tc>
        <w:tc>
          <w:tcPr>
            <w:tcW w:w="6095" w:type="dxa"/>
            <w:gridSpan w:val="2"/>
            <w:tcBorders>
              <w:bottom w:val="single" w:sz="4" w:space="0" w:color="auto"/>
            </w:tcBorders>
            <w:vAlign w:val="bottom"/>
          </w:tcPr>
          <w:p w14:paraId="41F8C852" w14:textId="662DA935" w:rsidR="00A63A09" w:rsidRDefault="003E03C6" w:rsidP="00104655">
            <w:pPr>
              <w:suppressAutoHyphens w:val="0"/>
              <w:spacing w:after="20"/>
              <w:jc w:val="right"/>
            </w:pPr>
            <w:r>
              <w:rPr>
                <w:sz w:val="40"/>
              </w:rPr>
              <w:t>CCPR</w:t>
            </w:r>
            <w:r w:rsidR="00104655">
              <w:t>/C/</w:t>
            </w:r>
            <w:r w:rsidR="006444A2">
              <w:t>QAT</w:t>
            </w:r>
            <w:r>
              <w:t>/CO/</w:t>
            </w:r>
            <w:r w:rsidR="006444A2">
              <w:t>1</w:t>
            </w:r>
          </w:p>
        </w:tc>
      </w:tr>
      <w:tr w:rsidR="009F0415" w14:paraId="67C744A8" w14:textId="77777777">
        <w:trPr>
          <w:cantSplit/>
          <w:trHeight w:hRule="exact" w:val="2835"/>
        </w:trPr>
        <w:tc>
          <w:tcPr>
            <w:tcW w:w="1276" w:type="dxa"/>
            <w:tcBorders>
              <w:top w:val="single" w:sz="4" w:space="0" w:color="auto"/>
              <w:bottom w:val="single" w:sz="12" w:space="0" w:color="auto"/>
            </w:tcBorders>
          </w:tcPr>
          <w:p w14:paraId="5C4DD574" w14:textId="0616B992" w:rsidR="00A63A09" w:rsidRDefault="00A63A09">
            <w:pPr>
              <w:spacing w:before="120"/>
              <w:jc w:val="center"/>
            </w:pPr>
          </w:p>
        </w:tc>
        <w:tc>
          <w:tcPr>
            <w:tcW w:w="5528" w:type="dxa"/>
            <w:gridSpan w:val="2"/>
            <w:tcBorders>
              <w:top w:val="single" w:sz="4" w:space="0" w:color="auto"/>
              <w:bottom w:val="single" w:sz="12" w:space="0" w:color="auto"/>
            </w:tcBorders>
          </w:tcPr>
          <w:p w14:paraId="3102AC7E" w14:textId="2FCF4AB6" w:rsidR="00A63A09" w:rsidRDefault="00416E1C">
            <w:pPr>
              <w:spacing w:before="120" w:line="380" w:lineRule="exact"/>
            </w:pPr>
            <w:r w:rsidRPr="00C52879">
              <w:rPr>
                <w:b/>
                <w:bCs/>
                <w:sz w:val="32"/>
                <w:szCs w:val="32"/>
              </w:rPr>
              <w:t>Advance unedited version</w:t>
            </w:r>
          </w:p>
        </w:tc>
        <w:tc>
          <w:tcPr>
            <w:tcW w:w="2835" w:type="dxa"/>
            <w:tcBorders>
              <w:top w:val="single" w:sz="4" w:space="0" w:color="auto"/>
              <w:bottom w:val="single" w:sz="12" w:space="0" w:color="auto"/>
            </w:tcBorders>
          </w:tcPr>
          <w:p w14:paraId="4EA02E78" w14:textId="1E729137" w:rsidR="00A63A09" w:rsidRDefault="003E03C6">
            <w:pPr>
              <w:suppressAutoHyphens w:val="0"/>
              <w:spacing w:before="240" w:line="240" w:lineRule="exact"/>
            </w:pPr>
            <w:r>
              <w:t xml:space="preserve">Distr.: </w:t>
            </w:r>
            <w:r w:rsidR="00DB28F5">
              <w:t>General</w:t>
            </w:r>
          </w:p>
          <w:p w14:paraId="7223A37B" w14:textId="63389C58" w:rsidR="00A63A09" w:rsidRDefault="00931B70">
            <w:pPr>
              <w:suppressAutoHyphens w:val="0"/>
            </w:pPr>
            <w:r>
              <w:t>30</w:t>
            </w:r>
            <w:bookmarkStart w:id="0" w:name="_GoBack"/>
            <w:bookmarkEnd w:id="0"/>
            <w:r w:rsidR="00B01CA6">
              <w:t xml:space="preserve"> </w:t>
            </w:r>
            <w:r w:rsidR="00F01AD6">
              <w:t>March</w:t>
            </w:r>
            <w:r w:rsidR="00597B28">
              <w:t xml:space="preserve"> 202</w:t>
            </w:r>
            <w:r w:rsidR="00F01AD6">
              <w:t>2</w:t>
            </w:r>
          </w:p>
          <w:p w14:paraId="5C43A97B" w14:textId="77777777" w:rsidR="00A63A09" w:rsidRDefault="00A63A09">
            <w:pPr>
              <w:suppressAutoHyphens w:val="0"/>
            </w:pPr>
          </w:p>
          <w:p w14:paraId="2AC9C101" w14:textId="77777777" w:rsidR="00A63A09" w:rsidRDefault="003E03C6">
            <w:pPr>
              <w:suppressAutoHyphens w:val="0"/>
            </w:pPr>
            <w:r>
              <w:t>Original: English</w:t>
            </w:r>
          </w:p>
          <w:p w14:paraId="18FE1DBB" w14:textId="4EF79EBD" w:rsidR="00A63A09" w:rsidRDefault="00A63A09">
            <w:pPr>
              <w:suppressAutoHyphens w:val="0"/>
            </w:pPr>
          </w:p>
        </w:tc>
      </w:tr>
    </w:tbl>
    <w:p w14:paraId="62A1C3EF" w14:textId="77777777" w:rsidR="00597B28" w:rsidRDefault="00597B28" w:rsidP="00597B28">
      <w:pPr>
        <w:spacing w:before="120"/>
        <w:rPr>
          <w:b/>
          <w:sz w:val="24"/>
        </w:rPr>
      </w:pPr>
      <w:r>
        <w:rPr>
          <w:b/>
          <w:sz w:val="24"/>
        </w:rPr>
        <w:t>Human Rights Committee</w:t>
      </w:r>
    </w:p>
    <w:p w14:paraId="51FD1C69" w14:textId="16BB53F3" w:rsidR="00E02F7D" w:rsidRDefault="003E03C6" w:rsidP="004748B3">
      <w:pPr>
        <w:pStyle w:val="HChG"/>
      </w:pPr>
      <w:r>
        <w:tab/>
      </w:r>
      <w:r>
        <w:tab/>
        <w:t>Conc</w:t>
      </w:r>
      <w:r w:rsidR="00597B28">
        <w:t>l</w:t>
      </w:r>
      <w:r w:rsidR="00DE41CE">
        <w:t xml:space="preserve">uding observations on the </w:t>
      </w:r>
      <w:r w:rsidR="006444A2">
        <w:t>initial</w:t>
      </w:r>
      <w:r w:rsidR="00104655">
        <w:t xml:space="preserve"> report of</w:t>
      </w:r>
      <w:r w:rsidR="00F01AD6">
        <w:t xml:space="preserve"> </w:t>
      </w:r>
      <w:r w:rsidR="006444A2">
        <w:t>Qatar</w:t>
      </w:r>
      <w:r w:rsidR="004748B3">
        <w:rPr>
          <w:rStyle w:val="FootnoteReference"/>
        </w:rPr>
        <w:footnoteReference w:customMarkFollows="1" w:id="1"/>
        <w:t>*</w:t>
      </w:r>
    </w:p>
    <w:p w14:paraId="325A76EE" w14:textId="6E773DE6" w:rsidR="00E02F7D" w:rsidRPr="001313F5" w:rsidRDefault="003D2EC3" w:rsidP="003D2EC3">
      <w:pPr>
        <w:pStyle w:val="ParaNoG"/>
        <w:numPr>
          <w:ilvl w:val="0"/>
          <w:numId w:val="0"/>
        </w:numPr>
        <w:tabs>
          <w:tab w:val="left" w:pos="1134"/>
        </w:tabs>
        <w:ind w:left="1134"/>
      </w:pPr>
      <w:r w:rsidRPr="001313F5">
        <w:t>1.</w:t>
      </w:r>
      <w:r w:rsidRPr="001313F5">
        <w:tab/>
      </w:r>
      <w:r w:rsidR="00E02F7D" w:rsidRPr="001313F5">
        <w:t xml:space="preserve">The Committee considered the initial report of Qatar (CCPR/C/QAT/1) at its 3837th and 3838th meetings (see CCPR/C/SR.3837 and 3838), held on 28 February and 1 </w:t>
      </w:r>
      <w:r w:rsidR="006A636C" w:rsidRPr="001313F5">
        <w:t>March 2022</w:t>
      </w:r>
      <w:r w:rsidR="00E02F7D" w:rsidRPr="001313F5">
        <w:t>. At its 3866th</w:t>
      </w:r>
      <w:r w:rsidR="006A636C" w:rsidRPr="001313F5">
        <w:t xml:space="preserve"> meeting, held on 21 March 2022</w:t>
      </w:r>
      <w:r w:rsidR="00E02F7D" w:rsidRPr="001313F5">
        <w:t>, it adopted the present concluding observations.</w:t>
      </w:r>
    </w:p>
    <w:p w14:paraId="73C81FA1" w14:textId="7DF293DD" w:rsidR="00E02F7D" w:rsidRDefault="00E02F7D" w:rsidP="00E02F7D">
      <w:pPr>
        <w:pStyle w:val="H1G"/>
      </w:pPr>
      <w:r w:rsidRPr="00E760E3">
        <w:tab/>
      </w:r>
      <w:bookmarkStart w:id="1" w:name="_Toc529980678"/>
      <w:r w:rsidRPr="00E760E3">
        <w:t>A.</w:t>
      </w:r>
      <w:r w:rsidRPr="00E760E3">
        <w:tab/>
        <w:t>Introduction</w:t>
      </w:r>
      <w:bookmarkEnd w:id="1"/>
    </w:p>
    <w:p w14:paraId="7C8B4EAC" w14:textId="4C8D9418" w:rsidR="00E02F7D" w:rsidRDefault="003D2EC3" w:rsidP="003D2EC3">
      <w:pPr>
        <w:pStyle w:val="ParaNoG"/>
        <w:numPr>
          <w:ilvl w:val="0"/>
          <w:numId w:val="0"/>
        </w:numPr>
        <w:tabs>
          <w:tab w:val="left" w:pos="1134"/>
        </w:tabs>
        <w:ind w:left="1134"/>
      </w:pPr>
      <w:r>
        <w:t>2.</w:t>
      </w:r>
      <w:r>
        <w:tab/>
      </w:r>
      <w:r w:rsidR="00E02F7D" w:rsidRPr="00E760E3">
        <w:t xml:space="preserve">The Committee welcomes the submission of the initial report of </w:t>
      </w:r>
      <w:r w:rsidR="00E02F7D">
        <w:t xml:space="preserve">Qatar </w:t>
      </w:r>
      <w:r w:rsidR="00E02F7D" w:rsidRPr="00E760E3">
        <w:t>and the information presented therein. It expresses appreciation for the opportunity to engage in a constructive dialogue with the State party</w:t>
      </w:r>
      <w:r w:rsidR="00E02F7D">
        <w:t>’</w:t>
      </w:r>
      <w:r w:rsidR="00E02F7D" w:rsidRPr="00E760E3">
        <w:t xml:space="preserve">s </w:t>
      </w:r>
      <w:r w:rsidR="00E02F7D" w:rsidRPr="001313F5">
        <w:t>high-level</w:t>
      </w:r>
      <w:r w:rsidR="00E02F7D" w:rsidRPr="00E760E3">
        <w:t xml:space="preserve"> delegation on the measures taken by the State party to implement the provisions of the Covenant. The Committee is grateful to the State party for</w:t>
      </w:r>
      <w:r w:rsidR="00116BEA">
        <w:t xml:space="preserve"> its written replies (CCPR/C/QAT</w:t>
      </w:r>
      <w:r w:rsidR="00E02F7D" w:rsidRPr="00E760E3">
        <w:t>/</w:t>
      </w:r>
      <w:r w:rsidR="00116BEA">
        <w:t>RQ/</w:t>
      </w:r>
      <w:r w:rsidR="00193F16">
        <w:t xml:space="preserve">1) </w:t>
      </w:r>
      <w:r w:rsidR="00E02F7D" w:rsidRPr="00E760E3">
        <w:t>to t</w:t>
      </w:r>
      <w:r w:rsidR="00116BEA">
        <w:t>he list of issues (CCPR/C/QAT</w:t>
      </w:r>
      <w:r w:rsidR="00E02F7D" w:rsidRPr="00E760E3">
        <w:t>/Q/1), which were supplemented by the oral respo</w:t>
      </w:r>
      <w:r w:rsidR="00FE3BEF">
        <w:t>nses provided by the delegation</w:t>
      </w:r>
      <w:r w:rsidR="00E02F7D" w:rsidRPr="00E760E3">
        <w:t>.</w:t>
      </w:r>
    </w:p>
    <w:p w14:paraId="0DE77432" w14:textId="479F8E37" w:rsidR="00A46555" w:rsidRPr="00E760E3" w:rsidRDefault="00A46555" w:rsidP="00A46555">
      <w:pPr>
        <w:pStyle w:val="H1G"/>
      </w:pPr>
      <w:r w:rsidRPr="00E760E3">
        <w:tab/>
      </w:r>
      <w:bookmarkStart w:id="2" w:name="_Toc529980679"/>
      <w:r w:rsidRPr="00E760E3">
        <w:t>B.</w:t>
      </w:r>
      <w:r w:rsidRPr="00E760E3">
        <w:tab/>
        <w:t>Positive aspects</w:t>
      </w:r>
      <w:bookmarkEnd w:id="2"/>
    </w:p>
    <w:p w14:paraId="340FC851" w14:textId="36072E72" w:rsidR="00A46555" w:rsidRPr="00E760E3" w:rsidRDefault="003D2EC3" w:rsidP="003D2EC3">
      <w:pPr>
        <w:pStyle w:val="ParaNoG"/>
        <w:numPr>
          <w:ilvl w:val="0"/>
          <w:numId w:val="0"/>
        </w:numPr>
        <w:tabs>
          <w:tab w:val="left" w:pos="0"/>
        </w:tabs>
        <w:ind w:left="1134"/>
      </w:pPr>
      <w:r w:rsidRPr="00E760E3">
        <w:t>3.</w:t>
      </w:r>
      <w:r w:rsidRPr="00E760E3">
        <w:tab/>
      </w:r>
      <w:r w:rsidR="00A46555">
        <w:t>T</w:t>
      </w:r>
      <w:r w:rsidR="00A46555" w:rsidRPr="00E760E3">
        <w:t>he Committee welcome</w:t>
      </w:r>
      <w:r w:rsidR="00272BB9">
        <w:t>s the adoption by the State party of the following legislative and other measures</w:t>
      </w:r>
      <w:r w:rsidR="00E16A2F">
        <w:t>:</w:t>
      </w:r>
      <w:r w:rsidR="00272BB9">
        <w:t xml:space="preserve"> </w:t>
      </w:r>
    </w:p>
    <w:p w14:paraId="0C8B2C66" w14:textId="6F8E90F2" w:rsidR="000C6DE8" w:rsidRDefault="003D2EC3" w:rsidP="003D2EC3">
      <w:pPr>
        <w:pStyle w:val="SingleTxtG"/>
        <w:ind w:firstLine="567"/>
      </w:pPr>
      <w:r>
        <w:t>(a)</w:t>
      </w:r>
      <w:r>
        <w:tab/>
      </w:r>
      <w:r w:rsidR="000C6DE8">
        <w:t>Decree</w:t>
      </w:r>
      <w:r w:rsidR="00232B13">
        <w:t xml:space="preserve">-Law No 19 of 2020 amending provisions of Act No. 21 of 2015 on the entry, exit and residency of foreigners; </w:t>
      </w:r>
    </w:p>
    <w:p w14:paraId="61ACA02B" w14:textId="4B5B7F70" w:rsidR="007A24C3" w:rsidRDefault="003D2EC3" w:rsidP="003D2EC3">
      <w:pPr>
        <w:pStyle w:val="SingleTxtG"/>
        <w:ind w:firstLine="567"/>
      </w:pPr>
      <w:r>
        <w:t>(b)</w:t>
      </w:r>
      <w:r>
        <w:tab/>
      </w:r>
      <w:r w:rsidR="00232B13">
        <w:t>Decree-</w:t>
      </w:r>
      <w:r w:rsidR="007A24C3">
        <w:t>Law No</w:t>
      </w:r>
      <w:r w:rsidR="00232B13">
        <w:t>.</w:t>
      </w:r>
      <w:r w:rsidR="00D253C7">
        <w:t xml:space="preserve"> 18 of</w:t>
      </w:r>
      <w:r w:rsidR="007A24C3">
        <w:t xml:space="preserve"> 2020</w:t>
      </w:r>
      <w:r w:rsidR="00232B13">
        <w:t xml:space="preserve"> amending provisions of the Labour Code (Act No. 14 of 2004) </w:t>
      </w:r>
      <w:r w:rsidR="00193F16">
        <w:t>increasing the</w:t>
      </w:r>
      <w:r w:rsidR="00232B13">
        <w:t xml:space="preserve"> penalties for </w:t>
      </w:r>
      <w:r w:rsidR="00193F16">
        <w:t>violations of</w:t>
      </w:r>
      <w:r w:rsidR="00232B13">
        <w:t xml:space="preserve"> the wage protection system; </w:t>
      </w:r>
    </w:p>
    <w:p w14:paraId="1F56BCEA" w14:textId="1034B858" w:rsidR="007A24C3" w:rsidRDefault="003D2EC3" w:rsidP="003D2EC3">
      <w:pPr>
        <w:pStyle w:val="SingleTxtG"/>
        <w:ind w:firstLine="567"/>
      </w:pPr>
      <w:r>
        <w:t>(c)</w:t>
      </w:r>
      <w:r>
        <w:tab/>
      </w:r>
      <w:r w:rsidR="00191EBC">
        <w:t>Act</w:t>
      </w:r>
      <w:r w:rsidR="007A24C3">
        <w:t xml:space="preserve"> No</w:t>
      </w:r>
      <w:r w:rsidR="00232B13">
        <w:t>.</w:t>
      </w:r>
      <w:r w:rsidR="00D253C7">
        <w:t xml:space="preserve"> 17 of</w:t>
      </w:r>
      <w:r w:rsidR="007A24C3">
        <w:t xml:space="preserve"> 2020</w:t>
      </w:r>
      <w:r w:rsidR="00232B13">
        <w:t xml:space="preserve"> on minimum wage; </w:t>
      </w:r>
    </w:p>
    <w:p w14:paraId="05CBD956" w14:textId="5190B47A" w:rsidR="000F2ADE" w:rsidRDefault="003D2EC3" w:rsidP="003D2EC3">
      <w:pPr>
        <w:pStyle w:val="SingleTxtG"/>
        <w:ind w:firstLine="567"/>
      </w:pPr>
      <w:r>
        <w:t>(d)</w:t>
      </w:r>
      <w:r>
        <w:tab/>
      </w:r>
      <w:r w:rsidR="000F2ADE">
        <w:t>M</w:t>
      </w:r>
      <w:r w:rsidR="000A749C">
        <w:t xml:space="preserve">inisterial </w:t>
      </w:r>
      <w:r w:rsidR="000F2ADE">
        <w:t>Decree No. 95 of 2019</w:t>
      </w:r>
      <w:r w:rsidR="000A749C">
        <w:t xml:space="preserve"> according to which several categories of workers, including domestic workers, can leave the country without an exit permit; </w:t>
      </w:r>
    </w:p>
    <w:p w14:paraId="6916DD22" w14:textId="3768821D" w:rsidR="00A46555" w:rsidRPr="00457592" w:rsidRDefault="003D2EC3" w:rsidP="003D2EC3">
      <w:pPr>
        <w:pStyle w:val="SingleTxtG"/>
        <w:ind w:firstLine="567"/>
      </w:pPr>
      <w:r>
        <w:t>(</w:t>
      </w:r>
      <w:r w:rsidRPr="00457592">
        <w:t>e)</w:t>
      </w:r>
      <w:r w:rsidRPr="00457592">
        <w:tab/>
      </w:r>
      <w:r w:rsidR="00272BB9">
        <w:t>Act No. 11 of Sep</w:t>
      </w:r>
      <w:r w:rsidR="00193F16">
        <w:t>tember 2018 on political asylum.</w:t>
      </w:r>
      <w:r w:rsidR="00194221">
        <w:t xml:space="preserve"> </w:t>
      </w:r>
    </w:p>
    <w:p w14:paraId="5A858543" w14:textId="77777777" w:rsidR="00E9107D" w:rsidRPr="00E760E3" w:rsidRDefault="00E9107D" w:rsidP="00E9107D">
      <w:pPr>
        <w:pStyle w:val="H1G"/>
      </w:pPr>
      <w:r w:rsidRPr="00E760E3">
        <w:tab/>
      </w:r>
      <w:bookmarkStart w:id="3" w:name="_Toc529980680"/>
      <w:r w:rsidRPr="00E760E3">
        <w:t>C.</w:t>
      </w:r>
      <w:r w:rsidRPr="00E760E3">
        <w:tab/>
        <w:t>Principal matters of concern and recommendations</w:t>
      </w:r>
      <w:bookmarkEnd w:id="3"/>
    </w:p>
    <w:p w14:paraId="11E00820" w14:textId="75B056A1" w:rsidR="00A46555" w:rsidRDefault="00E9107D" w:rsidP="00E9107D">
      <w:pPr>
        <w:pStyle w:val="H23G"/>
      </w:pPr>
      <w:r w:rsidRPr="00E760E3">
        <w:tab/>
      </w:r>
      <w:r w:rsidRPr="00E760E3">
        <w:tab/>
      </w:r>
      <w:bookmarkStart w:id="4" w:name="_Toc529980681"/>
      <w:r w:rsidRPr="00E760E3">
        <w:t>Domestic implementation of the Covenant</w:t>
      </w:r>
      <w:bookmarkEnd w:id="4"/>
    </w:p>
    <w:p w14:paraId="4F42ACAF" w14:textId="69A88B69" w:rsidR="00D07BEA" w:rsidRPr="00E760E3" w:rsidRDefault="003D2EC3" w:rsidP="003D2EC3">
      <w:pPr>
        <w:pStyle w:val="ParaNoG"/>
        <w:numPr>
          <w:ilvl w:val="0"/>
          <w:numId w:val="0"/>
        </w:numPr>
        <w:tabs>
          <w:tab w:val="left" w:pos="0"/>
        </w:tabs>
        <w:ind w:left="1134"/>
      </w:pPr>
      <w:r w:rsidRPr="00E760E3">
        <w:t>4.</w:t>
      </w:r>
      <w:r w:rsidRPr="00E760E3">
        <w:tab/>
      </w:r>
      <w:r w:rsidR="00D07BEA" w:rsidRPr="00E16A2F">
        <w:t>The Committee</w:t>
      </w:r>
      <w:r w:rsidR="00D07BEA" w:rsidRPr="00E760E3">
        <w:t xml:space="preserve"> notes the </w:t>
      </w:r>
      <w:r w:rsidR="00CD55E2">
        <w:t xml:space="preserve">information provided by the State party </w:t>
      </w:r>
      <w:r w:rsidR="00D07BEA" w:rsidRPr="00E760E3">
        <w:t>that the Covenant is an integral part of the domestic legal system</w:t>
      </w:r>
      <w:r w:rsidR="00005CEE">
        <w:t xml:space="preserve">, with the </w:t>
      </w:r>
      <w:r w:rsidR="00CD55E2">
        <w:t xml:space="preserve">same </w:t>
      </w:r>
      <w:r w:rsidR="00005CEE">
        <w:t xml:space="preserve">hierarchy of </w:t>
      </w:r>
      <w:r w:rsidR="00CD55E2">
        <w:t xml:space="preserve">national </w:t>
      </w:r>
      <w:r w:rsidR="00005CEE">
        <w:t>laws after the Constitution,</w:t>
      </w:r>
      <w:r w:rsidR="00D07BEA" w:rsidRPr="00E760E3">
        <w:t xml:space="preserve"> and the information </w:t>
      </w:r>
      <w:r w:rsidR="00D07BEA">
        <w:t xml:space="preserve">that </w:t>
      </w:r>
      <w:r w:rsidR="00D07BEA">
        <w:rPr>
          <w:lang w:val="en-US"/>
        </w:rPr>
        <w:t>t</w:t>
      </w:r>
      <w:r w:rsidR="00D07BEA" w:rsidRPr="00B57205">
        <w:rPr>
          <w:lang w:val="en-US"/>
        </w:rPr>
        <w:t xml:space="preserve">here had been one case in which the Covenant </w:t>
      </w:r>
      <w:r w:rsidR="00D07BEA">
        <w:rPr>
          <w:lang w:val="en-US"/>
        </w:rPr>
        <w:t>was</w:t>
      </w:r>
      <w:r w:rsidR="00D07BEA" w:rsidRPr="00B57205">
        <w:rPr>
          <w:lang w:val="en-US"/>
        </w:rPr>
        <w:t xml:space="preserve"> directly invoked before the national cour</w:t>
      </w:r>
      <w:r w:rsidR="00D07BEA">
        <w:rPr>
          <w:lang w:val="en-US"/>
        </w:rPr>
        <w:t>ts</w:t>
      </w:r>
      <w:r w:rsidR="00D07BEA" w:rsidRPr="00E760E3">
        <w:t xml:space="preserve">. Nevertheless, </w:t>
      </w:r>
      <w:r w:rsidR="00337A18">
        <w:t xml:space="preserve">the Committee is concerned about the </w:t>
      </w:r>
      <w:r w:rsidR="005F2C31">
        <w:t xml:space="preserve">precedence </w:t>
      </w:r>
      <w:r w:rsidR="00337A18">
        <w:t xml:space="preserve">of sharia law </w:t>
      </w:r>
      <w:r w:rsidR="005F2C31">
        <w:t>over international instruments,</w:t>
      </w:r>
      <w:r w:rsidR="008152AA">
        <w:t xml:space="preserve"> </w:t>
      </w:r>
      <w:r w:rsidR="00337A18">
        <w:t xml:space="preserve">including the Covenant and how </w:t>
      </w:r>
      <w:r w:rsidR="00337A18">
        <w:lastRenderedPageBreak/>
        <w:t xml:space="preserve">potential conflicts between sharia law, </w:t>
      </w:r>
      <w:r w:rsidR="00D07BEA" w:rsidRPr="00E760E3">
        <w:t xml:space="preserve">domestic statutes and Covenant guarantees </w:t>
      </w:r>
      <w:r w:rsidR="00513494">
        <w:t>would be</w:t>
      </w:r>
      <w:r w:rsidR="00337A18">
        <w:t xml:space="preserve"> resolved. T</w:t>
      </w:r>
      <w:r w:rsidR="00337A18" w:rsidRPr="00E760E3">
        <w:t>he Committee regrets the absence of specific information on</w:t>
      </w:r>
      <w:r w:rsidR="00D07BEA" w:rsidRPr="00E760E3">
        <w:t xml:space="preserve"> how individuals may invoke the provisions of the Covenant before domestic courts and in administrative proceedings and </w:t>
      </w:r>
      <w:r w:rsidR="000B2930">
        <w:t xml:space="preserve">on </w:t>
      </w:r>
      <w:r w:rsidR="00D07BEA" w:rsidRPr="00E760E3">
        <w:t>other examples of the application of the provisions of the Covenant by domestic courts (art. 2).</w:t>
      </w:r>
    </w:p>
    <w:p w14:paraId="4BE79D80" w14:textId="1F7F172B" w:rsidR="00D07BEA" w:rsidRPr="00835CD6" w:rsidRDefault="003D2EC3" w:rsidP="003D2EC3">
      <w:pPr>
        <w:pStyle w:val="ParaNoG"/>
        <w:numPr>
          <w:ilvl w:val="0"/>
          <w:numId w:val="0"/>
        </w:numPr>
        <w:tabs>
          <w:tab w:val="left" w:pos="0"/>
        </w:tabs>
        <w:ind w:left="1134"/>
        <w:rPr>
          <w:b/>
          <w:bCs/>
        </w:rPr>
      </w:pPr>
      <w:r w:rsidRPr="003D2EC3">
        <w:t>5.</w:t>
      </w:r>
      <w:r w:rsidRPr="003D2EC3">
        <w:tab/>
      </w:r>
      <w:r w:rsidR="00D07BEA" w:rsidRPr="00E16A2F">
        <w:rPr>
          <w:b/>
          <w:bCs/>
        </w:rPr>
        <w:t>The State party</w:t>
      </w:r>
      <w:r w:rsidR="00D07BEA" w:rsidRPr="00835CD6">
        <w:rPr>
          <w:b/>
          <w:bCs/>
        </w:rPr>
        <w:t xml:space="preserve"> should give full effect to the Covenant in its domestic legal order and ensure that domestic laws</w:t>
      </w:r>
      <w:r w:rsidR="008916AE">
        <w:rPr>
          <w:b/>
          <w:bCs/>
        </w:rPr>
        <w:t>, including</w:t>
      </w:r>
      <w:r w:rsidR="00513494">
        <w:rPr>
          <w:b/>
          <w:bCs/>
        </w:rPr>
        <w:t xml:space="preserve"> those based on s</w:t>
      </w:r>
      <w:r w:rsidR="008916AE">
        <w:rPr>
          <w:b/>
          <w:bCs/>
        </w:rPr>
        <w:t>haria</w:t>
      </w:r>
      <w:r w:rsidR="003A60E3">
        <w:rPr>
          <w:b/>
          <w:bCs/>
        </w:rPr>
        <w:t xml:space="preserve"> law</w:t>
      </w:r>
      <w:r w:rsidR="008916AE">
        <w:rPr>
          <w:b/>
          <w:bCs/>
        </w:rPr>
        <w:t>,</w:t>
      </w:r>
      <w:r w:rsidR="00D07BEA" w:rsidRPr="00835CD6">
        <w:rPr>
          <w:b/>
          <w:bCs/>
        </w:rPr>
        <w:t xml:space="preserve"> are interpreted and applied in conformity with its obligations under the Covenant. </w:t>
      </w:r>
      <w:r w:rsidR="00457592">
        <w:rPr>
          <w:b/>
          <w:bCs/>
        </w:rPr>
        <w:t>Additionally,</w:t>
      </w:r>
      <w:r w:rsidR="00513494">
        <w:rPr>
          <w:b/>
          <w:bCs/>
        </w:rPr>
        <w:t xml:space="preserve"> t</w:t>
      </w:r>
      <w:r w:rsidR="00005CEE" w:rsidRPr="00835CD6">
        <w:rPr>
          <w:b/>
          <w:bCs/>
        </w:rPr>
        <w:t xml:space="preserve">he State party should make efforts to raise awareness of the Covenant and its </w:t>
      </w:r>
      <w:r w:rsidR="00AD5721">
        <w:rPr>
          <w:b/>
          <w:bCs/>
        </w:rPr>
        <w:t xml:space="preserve">domestic </w:t>
      </w:r>
      <w:r w:rsidR="00005CEE" w:rsidRPr="00835CD6">
        <w:rPr>
          <w:b/>
          <w:bCs/>
        </w:rPr>
        <w:t>applicability among judges, prosecutors and lawyers to ensure that its provisions are taken into account by the courts.</w:t>
      </w:r>
      <w:r w:rsidR="00005CEE">
        <w:rPr>
          <w:b/>
          <w:bCs/>
        </w:rPr>
        <w:t xml:space="preserve"> </w:t>
      </w:r>
      <w:r w:rsidR="00D07BEA" w:rsidRPr="00835CD6">
        <w:rPr>
          <w:b/>
          <w:bCs/>
        </w:rPr>
        <w:t>It should also consider acceding to the Optional Protocol to the Covenant, which establishes an individual complaint mechanism.</w:t>
      </w:r>
      <w:r w:rsidR="00513C16">
        <w:rPr>
          <w:b/>
          <w:bCs/>
        </w:rPr>
        <w:t xml:space="preserve"> </w:t>
      </w:r>
    </w:p>
    <w:p w14:paraId="72576BF0" w14:textId="020661A6" w:rsidR="00E9107D" w:rsidRPr="00897C97" w:rsidRDefault="00CD55E2" w:rsidP="00CD55E2">
      <w:pPr>
        <w:pStyle w:val="H23G"/>
        <w:ind w:firstLine="0"/>
      </w:pPr>
      <w:r>
        <w:t xml:space="preserve">Reservations and </w:t>
      </w:r>
      <w:r w:rsidR="00E22CC1">
        <w:t>statements</w:t>
      </w:r>
    </w:p>
    <w:p w14:paraId="1ED4CEF9" w14:textId="65D10A25" w:rsidR="00E9107D" w:rsidRDefault="003D2EC3" w:rsidP="003D2EC3">
      <w:pPr>
        <w:pStyle w:val="ParaNoG"/>
        <w:numPr>
          <w:ilvl w:val="0"/>
          <w:numId w:val="0"/>
        </w:numPr>
        <w:tabs>
          <w:tab w:val="left" w:pos="1134"/>
        </w:tabs>
        <w:ind w:left="1134"/>
      </w:pPr>
      <w:r>
        <w:t>6.</w:t>
      </w:r>
      <w:r>
        <w:tab/>
      </w:r>
      <w:r w:rsidR="0058614A" w:rsidRPr="00E16A2F">
        <w:t>The Committee</w:t>
      </w:r>
      <w:r w:rsidR="0058614A">
        <w:t xml:space="preserve"> is concerned that the State party maintains its reservations to articles 3 and 23 (4) and its statements on articles 7, 18 (2), 22, 23 (2) and 27 of the Covenant. While </w:t>
      </w:r>
      <w:r w:rsidR="00E16A2F">
        <w:t>taking note</w:t>
      </w:r>
      <w:r w:rsidR="0058614A">
        <w:t xml:space="preserve"> of the information provided by the State party that it reviews its reservations </w:t>
      </w:r>
      <w:r w:rsidR="009A54B2">
        <w:t>periodically,</w:t>
      </w:r>
      <w:r w:rsidR="00E16A2F">
        <w:t xml:space="preserve"> </w:t>
      </w:r>
      <w:r w:rsidR="0058614A">
        <w:t>the Committee is concerned about the lack of clarity about when such review and changes may take place and whether all reservations and statements will be withdrawn</w:t>
      </w:r>
      <w:r w:rsidR="005F6556">
        <w:t>. In particular</w:t>
      </w:r>
      <w:r w:rsidR="00FE705F">
        <w:t>,</w:t>
      </w:r>
      <w:r w:rsidR="005F6556">
        <w:t xml:space="preserve"> it notes with concern </w:t>
      </w:r>
      <w:r w:rsidR="00FE705F">
        <w:t xml:space="preserve">its </w:t>
      </w:r>
      <w:r w:rsidR="005F6556">
        <w:t>reservation to article 23</w:t>
      </w:r>
      <w:r w:rsidR="00FE705F">
        <w:t xml:space="preserve"> </w:t>
      </w:r>
      <w:r w:rsidR="005F6556">
        <w:t xml:space="preserve">(4) </w:t>
      </w:r>
      <w:r w:rsidR="003C5F21">
        <w:t xml:space="preserve">which </w:t>
      </w:r>
      <w:r w:rsidR="000B2930">
        <w:t xml:space="preserve">according to the State party </w:t>
      </w:r>
      <w:r w:rsidR="003C5F21">
        <w:t xml:space="preserve">contravenes </w:t>
      </w:r>
      <w:r w:rsidR="00FE705F">
        <w:t>the Islamic sharia</w:t>
      </w:r>
      <w:r w:rsidR="003C5F21">
        <w:t>,</w:t>
      </w:r>
      <w:r w:rsidR="00FE705F">
        <w:t xml:space="preserve"> </w:t>
      </w:r>
      <w:r w:rsidR="005F6556">
        <w:t>and</w:t>
      </w:r>
      <w:r w:rsidR="00FE705F">
        <w:t xml:space="preserve"> its statements to articles 7, 18 (2) and 23 (2), under which these articles shall be interpreted and implemented in accordance with Islamic sharia </w:t>
      </w:r>
      <w:r w:rsidR="0058614A">
        <w:t>(art. 2).</w:t>
      </w:r>
      <w:r w:rsidR="005F6556">
        <w:t xml:space="preserve">   </w:t>
      </w:r>
      <w:r w:rsidR="0058614A">
        <w:t xml:space="preserve">  </w:t>
      </w:r>
    </w:p>
    <w:p w14:paraId="77082966" w14:textId="6CE2877A" w:rsidR="00FE705F" w:rsidRDefault="003D2EC3" w:rsidP="003D2EC3">
      <w:pPr>
        <w:pStyle w:val="ParaNoG"/>
        <w:numPr>
          <w:ilvl w:val="0"/>
          <w:numId w:val="0"/>
        </w:numPr>
        <w:tabs>
          <w:tab w:val="left" w:pos="1134"/>
        </w:tabs>
        <w:ind w:left="1134"/>
      </w:pPr>
      <w:r>
        <w:t>7.</w:t>
      </w:r>
      <w:r>
        <w:tab/>
      </w:r>
      <w:r w:rsidR="00205BB4" w:rsidRPr="00E16A2F">
        <w:rPr>
          <w:b/>
        </w:rPr>
        <w:t xml:space="preserve">The </w:t>
      </w:r>
      <w:r w:rsidR="00205BB4" w:rsidRPr="00205BB4">
        <w:rPr>
          <w:b/>
        </w:rPr>
        <w:t xml:space="preserve">State party </w:t>
      </w:r>
      <w:r w:rsidR="003818E3">
        <w:rPr>
          <w:b/>
        </w:rPr>
        <w:t xml:space="preserve">should </w:t>
      </w:r>
      <w:r w:rsidR="00205BB4" w:rsidRPr="00205BB4">
        <w:rPr>
          <w:b/>
        </w:rPr>
        <w:t xml:space="preserve">take concrete steps with the aim of withdrawing its reservations and </w:t>
      </w:r>
      <w:r w:rsidR="003818E3">
        <w:rPr>
          <w:b/>
        </w:rPr>
        <w:t>statements</w:t>
      </w:r>
      <w:r w:rsidR="00205BB4" w:rsidRPr="00205BB4">
        <w:rPr>
          <w:b/>
        </w:rPr>
        <w:t xml:space="preserve"> to </w:t>
      </w:r>
      <w:r w:rsidR="00457592">
        <w:rPr>
          <w:b/>
        </w:rPr>
        <w:t xml:space="preserve">articles of the Covenant, </w:t>
      </w:r>
      <w:r w:rsidR="00205BB4" w:rsidRPr="00205BB4">
        <w:rPr>
          <w:b/>
        </w:rPr>
        <w:t>with a view to ensur</w:t>
      </w:r>
      <w:r w:rsidR="00F85E61">
        <w:rPr>
          <w:b/>
        </w:rPr>
        <w:t>e</w:t>
      </w:r>
      <w:r w:rsidR="00205BB4" w:rsidRPr="00205BB4">
        <w:rPr>
          <w:b/>
        </w:rPr>
        <w:t xml:space="preserve"> the full and effect</w:t>
      </w:r>
      <w:r w:rsidR="00457592">
        <w:rPr>
          <w:b/>
        </w:rPr>
        <w:t>ive application of the Covenant</w:t>
      </w:r>
      <w:r w:rsidR="00205BB4" w:rsidRPr="00205BB4">
        <w:rPr>
          <w:b/>
        </w:rPr>
        <w:t>.</w:t>
      </w:r>
      <w:r w:rsidR="00205BB4">
        <w:t xml:space="preserve">  </w:t>
      </w:r>
    </w:p>
    <w:p w14:paraId="2F853B4E" w14:textId="20670D9E" w:rsidR="00E9107D" w:rsidRDefault="00CC4292" w:rsidP="00CC4292">
      <w:pPr>
        <w:pStyle w:val="H23G"/>
        <w:ind w:firstLine="0"/>
      </w:pPr>
      <w:r>
        <w:t xml:space="preserve">National human rights institution </w:t>
      </w:r>
    </w:p>
    <w:p w14:paraId="163602DE" w14:textId="3459785F" w:rsidR="005D1F8D" w:rsidRPr="005D1F8D" w:rsidRDefault="003D2EC3" w:rsidP="003D2EC3">
      <w:pPr>
        <w:pStyle w:val="ParaNoG"/>
        <w:numPr>
          <w:ilvl w:val="0"/>
          <w:numId w:val="0"/>
        </w:numPr>
        <w:tabs>
          <w:tab w:val="left" w:pos="1134"/>
        </w:tabs>
        <w:ind w:left="1134"/>
      </w:pPr>
      <w:r w:rsidRPr="005D1F8D">
        <w:t>8.</w:t>
      </w:r>
      <w:r w:rsidRPr="005D1F8D">
        <w:tab/>
      </w:r>
      <w:r w:rsidR="00486E27" w:rsidRPr="00E16A2F">
        <w:t>The Committee</w:t>
      </w:r>
      <w:r w:rsidR="00486E27">
        <w:t xml:space="preserve"> welcomes the </w:t>
      </w:r>
      <w:r w:rsidR="001954B0">
        <w:t>“A” status reaccreditation</w:t>
      </w:r>
      <w:r w:rsidR="00486E27">
        <w:t xml:space="preserve">, in 2021, </w:t>
      </w:r>
      <w:r w:rsidR="001954B0">
        <w:t>of the National Committee for Human Rights by the Global Alliance of National Human Rights Institutions</w:t>
      </w:r>
      <w:r w:rsidR="007112BD">
        <w:t xml:space="preserve"> (GANHRI)</w:t>
      </w:r>
      <w:r w:rsidR="00AC4523">
        <w:t>.</w:t>
      </w:r>
      <w:r w:rsidR="00E16A2F">
        <w:t xml:space="preserve"> </w:t>
      </w:r>
      <w:r w:rsidR="00486E27">
        <w:t xml:space="preserve">However, </w:t>
      </w:r>
      <w:r w:rsidR="003E3DE8">
        <w:t>it also notes with concern reports</w:t>
      </w:r>
      <w:r w:rsidR="007112BD">
        <w:t>, including by GANHRI,</w:t>
      </w:r>
      <w:r w:rsidR="003E3DE8">
        <w:t xml:space="preserve"> that the nomination, appointment and dismissal of its members are subject to approval by the Emir, and </w:t>
      </w:r>
      <w:r w:rsidR="001D5D91">
        <w:t>on the lack of adequate legal provisions regarding the process and criteria for appointing and dismissing of its members</w:t>
      </w:r>
      <w:r w:rsidR="007112BD">
        <w:t xml:space="preserve">, despite of </w:t>
      </w:r>
      <w:r w:rsidR="007112BD" w:rsidRPr="00F216F5">
        <w:t>the measures adopted by the State party, such as Act No. 12 of 2015 to safeguard the independence and functional immunity of its members</w:t>
      </w:r>
      <w:r w:rsidR="003F1EE5">
        <w:t xml:space="preserve"> </w:t>
      </w:r>
      <w:r w:rsidR="00000A27">
        <w:t xml:space="preserve">(art. 2). </w:t>
      </w:r>
    </w:p>
    <w:p w14:paraId="66CC9350" w14:textId="326BD3BE" w:rsidR="00E9107D" w:rsidRDefault="003D2EC3" w:rsidP="003D2EC3">
      <w:pPr>
        <w:pStyle w:val="ParaNoG"/>
        <w:numPr>
          <w:ilvl w:val="0"/>
          <w:numId w:val="0"/>
        </w:numPr>
        <w:tabs>
          <w:tab w:val="left" w:pos="1134"/>
        </w:tabs>
        <w:ind w:left="1134"/>
      </w:pPr>
      <w:r>
        <w:t>9.</w:t>
      </w:r>
      <w:r>
        <w:tab/>
      </w:r>
      <w:r w:rsidR="005436C1" w:rsidRPr="00F216F5">
        <w:rPr>
          <w:b/>
        </w:rPr>
        <w:t>The State party</w:t>
      </w:r>
      <w:r w:rsidR="005436C1" w:rsidRPr="009875B8">
        <w:rPr>
          <w:b/>
        </w:rPr>
        <w:t xml:space="preserve"> should continue its efforts to ensure that the National Committee for Human Rights </w:t>
      </w:r>
      <w:r w:rsidR="005436C1" w:rsidRPr="001A332A">
        <w:rPr>
          <w:b/>
        </w:rPr>
        <w:t xml:space="preserve">fully complies with the principles relating to the status of </w:t>
      </w:r>
      <w:r w:rsidR="00F85E61">
        <w:rPr>
          <w:b/>
        </w:rPr>
        <w:t>N</w:t>
      </w:r>
      <w:r w:rsidR="005436C1" w:rsidRPr="001A332A">
        <w:rPr>
          <w:b/>
        </w:rPr>
        <w:t xml:space="preserve">ational </w:t>
      </w:r>
      <w:r w:rsidR="00F85E61">
        <w:rPr>
          <w:b/>
        </w:rPr>
        <w:t>I</w:t>
      </w:r>
      <w:r w:rsidR="005436C1" w:rsidRPr="001A332A">
        <w:rPr>
          <w:b/>
        </w:rPr>
        <w:t xml:space="preserve">nstitutions for the </w:t>
      </w:r>
      <w:r w:rsidR="00F85E61">
        <w:rPr>
          <w:b/>
        </w:rPr>
        <w:t>P</w:t>
      </w:r>
      <w:r w:rsidR="005436C1" w:rsidRPr="001A332A">
        <w:rPr>
          <w:b/>
        </w:rPr>
        <w:t xml:space="preserve">romotion and </w:t>
      </w:r>
      <w:r w:rsidR="00F85E61">
        <w:rPr>
          <w:b/>
        </w:rPr>
        <w:t>P</w:t>
      </w:r>
      <w:r w:rsidR="005436C1" w:rsidRPr="001A332A">
        <w:rPr>
          <w:b/>
        </w:rPr>
        <w:t xml:space="preserve">rotection of </w:t>
      </w:r>
      <w:r w:rsidR="00F85E61">
        <w:rPr>
          <w:b/>
        </w:rPr>
        <w:t>H</w:t>
      </w:r>
      <w:r w:rsidR="005436C1" w:rsidRPr="001A332A">
        <w:rPr>
          <w:b/>
        </w:rPr>
        <w:t xml:space="preserve">uman </w:t>
      </w:r>
      <w:r w:rsidR="00F85E61">
        <w:rPr>
          <w:b/>
        </w:rPr>
        <w:t>R</w:t>
      </w:r>
      <w:r w:rsidR="005436C1" w:rsidRPr="001A332A">
        <w:rPr>
          <w:b/>
        </w:rPr>
        <w:t>ights (Par</w:t>
      </w:r>
      <w:r w:rsidR="009A54B2" w:rsidRPr="001A332A">
        <w:rPr>
          <w:b/>
        </w:rPr>
        <w:t>i</w:t>
      </w:r>
      <w:r w:rsidR="005436C1" w:rsidRPr="001A332A">
        <w:rPr>
          <w:b/>
        </w:rPr>
        <w:t>s Principles) and</w:t>
      </w:r>
      <w:r w:rsidR="005436C1" w:rsidRPr="009875B8">
        <w:rPr>
          <w:b/>
        </w:rPr>
        <w:t xml:space="preserve"> is able to carry out its mandate fully, effectively and independently</w:t>
      </w:r>
      <w:r w:rsidR="004267EF">
        <w:rPr>
          <w:b/>
        </w:rPr>
        <w:t xml:space="preserve">, including through </w:t>
      </w:r>
      <w:r w:rsidR="00A457D7" w:rsidRPr="009875B8">
        <w:rPr>
          <w:b/>
        </w:rPr>
        <w:t>promot</w:t>
      </w:r>
      <w:r w:rsidR="004267EF">
        <w:rPr>
          <w:b/>
        </w:rPr>
        <w:t>ing</w:t>
      </w:r>
      <w:r w:rsidR="00A457D7" w:rsidRPr="009875B8">
        <w:rPr>
          <w:b/>
        </w:rPr>
        <w:t xml:space="preserve"> the pluralism and diversity of its members and staff.</w:t>
      </w:r>
      <w:r w:rsidR="00A457D7" w:rsidRPr="00A457D7">
        <w:rPr>
          <w:b/>
        </w:rPr>
        <w:t xml:space="preserve"> </w:t>
      </w:r>
    </w:p>
    <w:p w14:paraId="10D48123" w14:textId="60A7AAA4" w:rsidR="00E9107D" w:rsidRDefault="00951D4A" w:rsidP="00951D4A">
      <w:pPr>
        <w:pStyle w:val="H23G"/>
        <w:ind w:firstLine="0"/>
      </w:pPr>
      <w:r>
        <w:t>Counter-terrorism measures</w:t>
      </w:r>
    </w:p>
    <w:p w14:paraId="334CC186" w14:textId="59ABF373" w:rsidR="00623F57" w:rsidRDefault="003D2EC3" w:rsidP="003D2EC3">
      <w:pPr>
        <w:pStyle w:val="ParaNoG"/>
        <w:numPr>
          <w:ilvl w:val="0"/>
          <w:numId w:val="0"/>
        </w:numPr>
        <w:tabs>
          <w:tab w:val="left" w:pos="1134"/>
        </w:tabs>
        <w:ind w:left="1134"/>
      </w:pPr>
      <w:r>
        <w:t>10.</w:t>
      </w:r>
      <w:r>
        <w:tab/>
      </w:r>
      <w:r w:rsidR="00AB285E" w:rsidRPr="00B3690D">
        <w:t xml:space="preserve">The Committee is concerned about </w:t>
      </w:r>
      <w:r w:rsidR="00E64486" w:rsidRPr="00B3690D">
        <w:t xml:space="preserve">the State party’s counter-terrorism legislation, in particular </w:t>
      </w:r>
      <w:r w:rsidR="00623F57" w:rsidRPr="00B3690D">
        <w:t>article 23 of the Act on Combatting Terrorism (Act No</w:t>
      </w:r>
      <w:r w:rsidR="00A67E8B" w:rsidRPr="00B3690D">
        <w:t>.</w:t>
      </w:r>
      <w:r w:rsidR="00623F57" w:rsidRPr="00B3690D">
        <w:t xml:space="preserve"> 3 of 2004 amended by Act No</w:t>
      </w:r>
      <w:r w:rsidR="00A67E8B" w:rsidRPr="00B3690D">
        <w:t>.</w:t>
      </w:r>
      <w:r w:rsidR="00623F57" w:rsidRPr="00B3690D">
        <w:t xml:space="preserve"> 27 of 2019), article 7 of the Act on the Establishment</w:t>
      </w:r>
      <w:r w:rsidR="00A67E8B" w:rsidRPr="00B3690D">
        <w:t xml:space="preserve"> of the State Security Apparatus (Act No 5 of 2003 amended by Act No. 10 of 2008) and article 2</w:t>
      </w:r>
      <w:r w:rsidR="00623F57" w:rsidRPr="00B3690D">
        <w:t xml:space="preserve"> </w:t>
      </w:r>
      <w:r w:rsidR="00A67E8B" w:rsidRPr="00B3690D">
        <w:t xml:space="preserve">of the Act on the Protection of Society (Act No. 17 of 2002), which allow for long periods of pre-trial </w:t>
      </w:r>
      <w:r w:rsidR="00353492" w:rsidRPr="00B3690D">
        <w:t>detention</w:t>
      </w:r>
      <w:r w:rsidR="00A67E8B" w:rsidRPr="00B3690D">
        <w:t xml:space="preserve"> </w:t>
      </w:r>
      <w:r w:rsidR="00353492" w:rsidRPr="00B3690D">
        <w:t>without adequate judicial review</w:t>
      </w:r>
      <w:r w:rsidR="00353492">
        <w:t>.</w:t>
      </w:r>
      <w:r w:rsidR="006A71C7">
        <w:t xml:space="preserve"> While noting the information provided by the State party on the number of individuals arrested under the Act on the Protection of Society, the Committee regrets the lack of information on the number of persons arrested on suspicion of violating the </w:t>
      </w:r>
      <w:r w:rsidR="00E06DBE">
        <w:t>Act on Combatting Terrorism and the Act on the Establishment of the State Security Apparatus</w:t>
      </w:r>
      <w:r w:rsidR="003B59BD">
        <w:t xml:space="preserve">. </w:t>
      </w:r>
      <w:r w:rsidR="003B59BD" w:rsidRPr="00B3690D">
        <w:t>It also regrets the absence of information</w:t>
      </w:r>
      <w:r w:rsidR="006A71C7" w:rsidRPr="00B3690D">
        <w:t xml:space="preserve"> on the</w:t>
      </w:r>
      <w:r w:rsidR="00E06DBE" w:rsidRPr="00B3690D">
        <w:t xml:space="preserve"> average</w:t>
      </w:r>
      <w:r w:rsidR="006A71C7" w:rsidRPr="00B3690D">
        <w:t xml:space="preserve"> length of </w:t>
      </w:r>
      <w:r w:rsidR="00E06DBE" w:rsidRPr="00B3690D">
        <w:t>pre-trial detention under these three Acts</w:t>
      </w:r>
      <w:r w:rsidR="008F75F2">
        <w:t xml:space="preserve"> </w:t>
      </w:r>
      <w:r w:rsidR="00E06DBE">
        <w:t>(arts. 2, 9 and 14).</w:t>
      </w:r>
      <w:r w:rsidR="003B59BD">
        <w:t xml:space="preserve"> </w:t>
      </w:r>
      <w:r w:rsidR="003B59BD" w:rsidRPr="003B59BD">
        <w:rPr>
          <w:highlight w:val="yellow"/>
        </w:rPr>
        <w:t xml:space="preserve"> </w:t>
      </w:r>
    </w:p>
    <w:p w14:paraId="6CCC7474" w14:textId="37715F86" w:rsidR="00E64486" w:rsidRDefault="003D2EC3" w:rsidP="003D2EC3">
      <w:pPr>
        <w:pStyle w:val="ParaNoG"/>
        <w:numPr>
          <w:ilvl w:val="0"/>
          <w:numId w:val="0"/>
        </w:numPr>
        <w:tabs>
          <w:tab w:val="left" w:pos="1134"/>
        </w:tabs>
        <w:ind w:left="1134"/>
      </w:pPr>
      <w:r>
        <w:t>11.</w:t>
      </w:r>
      <w:r>
        <w:tab/>
      </w:r>
      <w:r w:rsidR="00E64486" w:rsidRPr="00B3690D">
        <w:rPr>
          <w:b/>
        </w:rPr>
        <w:t>The State party</w:t>
      </w:r>
      <w:r w:rsidR="00E64486" w:rsidRPr="00CE7D80">
        <w:rPr>
          <w:b/>
        </w:rPr>
        <w:t xml:space="preserve"> should bring its counter-terrorism legislation into full compliance with the Covenant </w:t>
      </w:r>
      <w:r w:rsidR="00CE7D80">
        <w:rPr>
          <w:b/>
        </w:rPr>
        <w:t xml:space="preserve">and the principles of legal </w:t>
      </w:r>
      <w:r w:rsidR="00E64486" w:rsidRPr="00CE7D80">
        <w:rPr>
          <w:b/>
        </w:rPr>
        <w:t xml:space="preserve">certainty, predictability and </w:t>
      </w:r>
      <w:r w:rsidR="00E64486" w:rsidRPr="00CE7D80">
        <w:rPr>
          <w:b/>
        </w:rPr>
        <w:lastRenderedPageBreak/>
        <w:t>proportionality</w:t>
      </w:r>
      <w:r w:rsidR="00CE7D80">
        <w:rPr>
          <w:b/>
        </w:rPr>
        <w:t xml:space="preserve">, in particular the provisions that allow for long periods of pre-trial detention without adequate judicial review. </w:t>
      </w:r>
      <w:r w:rsidR="00B8540B">
        <w:rPr>
          <w:b/>
        </w:rPr>
        <w:t>The State party</w:t>
      </w:r>
      <w:r w:rsidR="00CE7D80">
        <w:rPr>
          <w:b/>
        </w:rPr>
        <w:t xml:space="preserve"> should also ensure </w:t>
      </w:r>
      <w:r w:rsidR="00E64486" w:rsidRPr="00CE7D80">
        <w:rPr>
          <w:b/>
        </w:rPr>
        <w:t xml:space="preserve">that persons suspected </w:t>
      </w:r>
      <w:r w:rsidR="00CE7D80" w:rsidRPr="00CE7D80">
        <w:rPr>
          <w:b/>
        </w:rPr>
        <w:t>of</w:t>
      </w:r>
      <w:r w:rsidR="009A54B2">
        <w:rPr>
          <w:b/>
        </w:rPr>
        <w:t>,</w:t>
      </w:r>
      <w:r w:rsidR="009570AB">
        <w:rPr>
          <w:b/>
        </w:rPr>
        <w:t xml:space="preserve"> </w:t>
      </w:r>
      <w:r w:rsidR="00CE7D80" w:rsidRPr="00CE7D80">
        <w:rPr>
          <w:b/>
        </w:rPr>
        <w:t>or charged with</w:t>
      </w:r>
      <w:r w:rsidR="009A54B2">
        <w:rPr>
          <w:b/>
        </w:rPr>
        <w:t xml:space="preserve"> </w:t>
      </w:r>
      <w:r w:rsidR="00E64486" w:rsidRPr="00CE7D80">
        <w:rPr>
          <w:b/>
        </w:rPr>
        <w:t xml:space="preserve">terrorist acts or related crimes are provided, in law and </w:t>
      </w:r>
      <w:r w:rsidR="00CE7D80" w:rsidRPr="00CE7D80">
        <w:rPr>
          <w:b/>
        </w:rPr>
        <w:t xml:space="preserve">practice, </w:t>
      </w:r>
      <w:r w:rsidR="00E64486" w:rsidRPr="00CE7D80">
        <w:rPr>
          <w:b/>
        </w:rPr>
        <w:t xml:space="preserve">with all </w:t>
      </w:r>
      <w:r w:rsidR="00CE7D80">
        <w:rPr>
          <w:b/>
        </w:rPr>
        <w:t xml:space="preserve">appropriate </w:t>
      </w:r>
      <w:r w:rsidR="00E64486" w:rsidRPr="00CE7D80">
        <w:rPr>
          <w:b/>
        </w:rPr>
        <w:t>legal safeguard</w:t>
      </w:r>
      <w:r w:rsidR="00CE7D80" w:rsidRPr="00CE7D80">
        <w:rPr>
          <w:b/>
        </w:rPr>
        <w:t>s</w:t>
      </w:r>
      <w:r w:rsidR="00E64486" w:rsidRPr="00CE7D80">
        <w:rPr>
          <w:b/>
        </w:rPr>
        <w:t>, in accordance with the Covenant.</w:t>
      </w:r>
      <w:r w:rsidR="00CE7D80">
        <w:rPr>
          <w:b/>
        </w:rPr>
        <w:t xml:space="preserve"> </w:t>
      </w:r>
    </w:p>
    <w:p w14:paraId="6F0CD044" w14:textId="256BAA92" w:rsidR="00E9107D" w:rsidRDefault="00951D4A" w:rsidP="00951D4A">
      <w:pPr>
        <w:pStyle w:val="H23G"/>
        <w:ind w:firstLine="0"/>
      </w:pPr>
      <w:r>
        <w:t>Non-discrimination</w:t>
      </w:r>
      <w:r w:rsidR="0000098A">
        <w:t xml:space="preserve"> framework</w:t>
      </w:r>
    </w:p>
    <w:p w14:paraId="191EFFFC" w14:textId="5C09A76C" w:rsidR="00E9107D" w:rsidRPr="00220408" w:rsidRDefault="003D2EC3" w:rsidP="003D2EC3">
      <w:pPr>
        <w:pStyle w:val="ParaNoG"/>
        <w:numPr>
          <w:ilvl w:val="0"/>
          <w:numId w:val="0"/>
        </w:numPr>
        <w:tabs>
          <w:tab w:val="left" w:pos="1134"/>
        </w:tabs>
        <w:ind w:left="1134"/>
      </w:pPr>
      <w:r w:rsidRPr="00220408">
        <w:t>12.</w:t>
      </w:r>
      <w:r w:rsidRPr="00220408">
        <w:tab/>
      </w:r>
      <w:r w:rsidR="0000098A" w:rsidRPr="00220408">
        <w:t xml:space="preserve">While noting that the </w:t>
      </w:r>
      <w:r w:rsidR="00B8540B">
        <w:t xml:space="preserve">State party’s </w:t>
      </w:r>
      <w:r w:rsidR="0000098A" w:rsidRPr="00220408">
        <w:t>Constitution proclaims the principle of equality in article 18 and of no discriminati</w:t>
      </w:r>
      <w:r w:rsidR="00B93A79" w:rsidRPr="00220408">
        <w:t>on on the grounds of sex, race, language or</w:t>
      </w:r>
      <w:r w:rsidR="0000098A" w:rsidRPr="00220408">
        <w:t xml:space="preserve"> religion in article 35, the Committee is concerned that the existing </w:t>
      </w:r>
      <w:r w:rsidR="00D51BCB" w:rsidRPr="00220408">
        <w:t xml:space="preserve">national </w:t>
      </w:r>
      <w:r w:rsidR="0000098A" w:rsidRPr="00220408">
        <w:t xml:space="preserve">legal framework does not </w:t>
      </w:r>
      <w:r w:rsidR="008F75F2" w:rsidRPr="00220408">
        <w:t>afford comprehensive protection against discrimination on</w:t>
      </w:r>
      <w:r w:rsidR="0000098A" w:rsidRPr="00220408">
        <w:t xml:space="preserve"> all the </w:t>
      </w:r>
      <w:proofErr w:type="gramStart"/>
      <w:r w:rsidR="0000098A" w:rsidRPr="00220408">
        <w:t xml:space="preserve">grounds </w:t>
      </w:r>
      <w:r w:rsidR="00164A2E">
        <w:t xml:space="preserve"> covered</w:t>
      </w:r>
      <w:proofErr w:type="gramEnd"/>
      <w:r w:rsidR="00164A2E">
        <w:t xml:space="preserve"> by</w:t>
      </w:r>
      <w:r w:rsidR="008F75F2" w:rsidRPr="00220408">
        <w:t xml:space="preserve"> </w:t>
      </w:r>
      <w:r w:rsidR="0000098A" w:rsidRPr="00220408">
        <w:t>the Covenant</w:t>
      </w:r>
      <w:r w:rsidR="005D62D4">
        <w:t>, including</w:t>
      </w:r>
      <w:r w:rsidR="008F75F2" w:rsidRPr="00220408">
        <w:t xml:space="preserve"> </w:t>
      </w:r>
      <w:r w:rsidR="00031A03" w:rsidRPr="00220408">
        <w:t xml:space="preserve"> on the grounds of sexual </w:t>
      </w:r>
      <w:r w:rsidR="008F75F2" w:rsidRPr="00220408">
        <w:t>orientation and gender identity</w:t>
      </w:r>
      <w:r w:rsidR="00D51BCB" w:rsidRPr="00220408">
        <w:t>.</w:t>
      </w:r>
      <w:r w:rsidR="000840C6" w:rsidRPr="00220408">
        <w:t xml:space="preserve"> </w:t>
      </w:r>
      <w:r w:rsidR="000B4B6A" w:rsidRPr="00220408">
        <w:t xml:space="preserve">The Committee is also concerned that, by law, naturalized </w:t>
      </w:r>
      <w:r w:rsidR="006F6EB2" w:rsidRPr="00220408">
        <w:t xml:space="preserve">Qataris </w:t>
      </w:r>
      <w:r w:rsidR="000B4B6A" w:rsidRPr="00220408">
        <w:t xml:space="preserve">do not enjoy certain rights on an equal basis with </w:t>
      </w:r>
      <w:r w:rsidR="006F6EB2" w:rsidRPr="00220408">
        <w:t>Qatari national</w:t>
      </w:r>
      <w:r w:rsidR="00BE5F15" w:rsidRPr="00220408">
        <w:t>s</w:t>
      </w:r>
      <w:r w:rsidR="000B4B6A" w:rsidRPr="00220408">
        <w:t xml:space="preserve">, including certain political rights (arts. 2 and 26). </w:t>
      </w:r>
    </w:p>
    <w:p w14:paraId="1584EE29" w14:textId="691DA9D8" w:rsidR="00D51BCB" w:rsidRPr="00220408" w:rsidRDefault="003D2EC3" w:rsidP="003D2EC3">
      <w:pPr>
        <w:pStyle w:val="ParaNoG"/>
        <w:numPr>
          <w:ilvl w:val="0"/>
          <w:numId w:val="0"/>
        </w:numPr>
        <w:tabs>
          <w:tab w:val="left" w:pos="1134"/>
        </w:tabs>
        <w:ind w:left="1134"/>
        <w:rPr>
          <w:b/>
        </w:rPr>
      </w:pPr>
      <w:r w:rsidRPr="003D2EC3">
        <w:rPr>
          <w:bCs/>
        </w:rPr>
        <w:t>13.</w:t>
      </w:r>
      <w:r w:rsidRPr="003D2EC3">
        <w:rPr>
          <w:bCs/>
        </w:rPr>
        <w:tab/>
      </w:r>
      <w:r w:rsidR="00D51BCB" w:rsidRPr="00220408">
        <w:rPr>
          <w:b/>
        </w:rPr>
        <w:t xml:space="preserve">The State party should take all measures necessary to ensure that its national legal framework contains a comprehensive list of </w:t>
      </w:r>
      <w:r w:rsidR="007C225A">
        <w:rPr>
          <w:b/>
        </w:rPr>
        <w:t xml:space="preserve">prohibited </w:t>
      </w:r>
      <w:r w:rsidR="00D51BCB" w:rsidRPr="00220408">
        <w:rPr>
          <w:b/>
        </w:rPr>
        <w:t>grounds</w:t>
      </w:r>
      <w:r w:rsidR="007C225A">
        <w:rPr>
          <w:b/>
        </w:rPr>
        <w:t xml:space="preserve"> </w:t>
      </w:r>
      <w:r w:rsidR="00964D8B">
        <w:rPr>
          <w:b/>
        </w:rPr>
        <w:t>of</w:t>
      </w:r>
      <w:r w:rsidR="00964D8B" w:rsidRPr="00220408">
        <w:rPr>
          <w:b/>
        </w:rPr>
        <w:t xml:space="preserve"> discrimination</w:t>
      </w:r>
      <w:r w:rsidR="00D51BCB" w:rsidRPr="00220408">
        <w:rPr>
          <w:b/>
        </w:rPr>
        <w:t xml:space="preserve"> in line with the Covenant</w:t>
      </w:r>
      <w:r w:rsidR="00031A03" w:rsidRPr="00220408">
        <w:rPr>
          <w:b/>
        </w:rPr>
        <w:t xml:space="preserve">, including sexual </w:t>
      </w:r>
      <w:r w:rsidR="000840C6" w:rsidRPr="00220408">
        <w:rPr>
          <w:b/>
        </w:rPr>
        <w:t>orientation and gender identity</w:t>
      </w:r>
      <w:r w:rsidR="00D51BCB" w:rsidRPr="00220408">
        <w:rPr>
          <w:b/>
        </w:rPr>
        <w:t xml:space="preserve">. </w:t>
      </w:r>
      <w:r w:rsidR="000B4B6A" w:rsidRPr="00220408">
        <w:rPr>
          <w:b/>
          <w:bCs/>
        </w:rPr>
        <w:t xml:space="preserve">The State party should also guarantee all rights to naturalized </w:t>
      </w:r>
      <w:r w:rsidR="006F6EB2" w:rsidRPr="00220408">
        <w:rPr>
          <w:b/>
          <w:bCs/>
        </w:rPr>
        <w:t xml:space="preserve">Qataris </w:t>
      </w:r>
      <w:r w:rsidR="000B4B6A" w:rsidRPr="00220408">
        <w:rPr>
          <w:b/>
          <w:bCs/>
        </w:rPr>
        <w:t xml:space="preserve">on an equal basis with </w:t>
      </w:r>
      <w:r w:rsidR="006F6EB2" w:rsidRPr="00220408">
        <w:rPr>
          <w:b/>
          <w:bCs/>
        </w:rPr>
        <w:t>Qatari national</w:t>
      </w:r>
      <w:r w:rsidR="006B17E9" w:rsidRPr="00220408">
        <w:rPr>
          <w:b/>
          <w:bCs/>
        </w:rPr>
        <w:t>s</w:t>
      </w:r>
      <w:r w:rsidR="007C225A">
        <w:rPr>
          <w:b/>
          <w:bCs/>
        </w:rPr>
        <w:t>.</w:t>
      </w:r>
      <w:r w:rsidR="000B4B6A" w:rsidRPr="00220408">
        <w:rPr>
          <w:b/>
          <w:bCs/>
        </w:rPr>
        <w:t xml:space="preserve"> </w:t>
      </w:r>
    </w:p>
    <w:p w14:paraId="5239523D" w14:textId="6195BC1D" w:rsidR="00E9107D" w:rsidRDefault="00E22CC1" w:rsidP="00951D4A">
      <w:pPr>
        <w:pStyle w:val="H23G"/>
        <w:ind w:firstLine="0"/>
      </w:pPr>
      <w:r>
        <w:t>Gender equality</w:t>
      </w:r>
    </w:p>
    <w:p w14:paraId="517D2E79" w14:textId="2A8E3727" w:rsidR="00F67553" w:rsidRDefault="003D2EC3" w:rsidP="003D2EC3">
      <w:pPr>
        <w:pStyle w:val="ParaNoG"/>
        <w:numPr>
          <w:ilvl w:val="0"/>
          <w:numId w:val="0"/>
        </w:numPr>
        <w:tabs>
          <w:tab w:val="left" w:pos="1134"/>
        </w:tabs>
        <w:ind w:left="1134"/>
      </w:pPr>
      <w:r>
        <w:t>14.</w:t>
      </w:r>
      <w:r>
        <w:tab/>
      </w:r>
      <w:r w:rsidR="0021290C" w:rsidRPr="00E760E3">
        <w:t xml:space="preserve">While welcoming the measures taken to promote gender equality, the Committee is concerned about the persistence of patriarchal stereotypes </w:t>
      </w:r>
      <w:r w:rsidR="00E22CC1">
        <w:t xml:space="preserve">on </w:t>
      </w:r>
      <w:r w:rsidR="0021290C" w:rsidRPr="00E760E3">
        <w:t xml:space="preserve">the role of women and men in the family and in society. It is concerned that, notwithstanding the information provided by the State party, women are underrepresented in </w:t>
      </w:r>
      <w:r w:rsidR="00B55241">
        <w:t xml:space="preserve">the formal labour market, </w:t>
      </w:r>
      <w:r w:rsidR="00926222">
        <w:t xml:space="preserve">in the </w:t>
      </w:r>
      <w:r w:rsidR="00B55241">
        <w:t>private</w:t>
      </w:r>
      <w:r w:rsidR="00926222">
        <w:t xml:space="preserve"> and </w:t>
      </w:r>
      <w:r w:rsidR="00B55241">
        <w:t xml:space="preserve">public </w:t>
      </w:r>
      <w:r w:rsidR="00926222">
        <w:t>sectors</w:t>
      </w:r>
      <w:r w:rsidR="00B55241">
        <w:t xml:space="preserve">, including in executive and legislative bodies, </w:t>
      </w:r>
      <w:r w:rsidR="003E3EBF">
        <w:t xml:space="preserve">and </w:t>
      </w:r>
      <w:r w:rsidR="00B55241">
        <w:t xml:space="preserve">particularly </w:t>
      </w:r>
      <w:r w:rsidR="00B55241" w:rsidRPr="00E760E3">
        <w:t>in decision-making positions</w:t>
      </w:r>
      <w:r w:rsidR="0021290C" w:rsidRPr="00E760E3">
        <w:t>. It is</w:t>
      </w:r>
      <w:r w:rsidR="00926222">
        <w:t xml:space="preserve"> also concerned </w:t>
      </w:r>
      <w:r w:rsidR="00F67553">
        <w:t xml:space="preserve">that, under </w:t>
      </w:r>
      <w:r w:rsidR="000A1795">
        <w:t>the Nationality Act (</w:t>
      </w:r>
      <w:r w:rsidR="00F67553">
        <w:t>Act No. 3</w:t>
      </w:r>
      <w:r w:rsidR="000A1795">
        <w:t>8</w:t>
      </w:r>
      <w:r w:rsidR="00F67553">
        <w:t xml:space="preserve"> of 2005</w:t>
      </w:r>
      <w:r w:rsidR="000A1795">
        <w:t>)</w:t>
      </w:r>
      <w:r w:rsidR="00F67553">
        <w:t xml:space="preserve">, Qatari women cannot confer their nationality upon their children and foreign spouses on an equal footing with Qatari men </w:t>
      </w:r>
      <w:r w:rsidR="00F67553" w:rsidRPr="00E760E3">
        <w:t>(arts. 2, 3, 25 and 26).</w:t>
      </w:r>
      <w:r w:rsidR="00F67553">
        <w:t xml:space="preserve"> </w:t>
      </w:r>
    </w:p>
    <w:p w14:paraId="4C749AEA" w14:textId="2764398C" w:rsidR="00A80A82" w:rsidRDefault="003D2EC3" w:rsidP="003D2EC3">
      <w:pPr>
        <w:pStyle w:val="ParaNoG"/>
        <w:numPr>
          <w:ilvl w:val="0"/>
          <w:numId w:val="0"/>
        </w:numPr>
        <w:tabs>
          <w:tab w:val="left" w:pos="1134"/>
        </w:tabs>
        <w:ind w:left="1134"/>
        <w:rPr>
          <w:b/>
        </w:rPr>
      </w:pPr>
      <w:r w:rsidRPr="003D2EC3">
        <w:rPr>
          <w:bCs/>
        </w:rPr>
        <w:t>15.</w:t>
      </w:r>
      <w:r w:rsidRPr="003D2EC3">
        <w:rPr>
          <w:bCs/>
        </w:rPr>
        <w:tab/>
      </w:r>
      <w:r w:rsidR="00A80A82" w:rsidRPr="00B3690D">
        <w:rPr>
          <w:b/>
        </w:rPr>
        <w:t>The State party should:</w:t>
      </w:r>
    </w:p>
    <w:p w14:paraId="0A1D5B85" w14:textId="289F6CB8" w:rsidR="00A80A82" w:rsidRDefault="003D2EC3" w:rsidP="00A80A82">
      <w:pPr>
        <w:pStyle w:val="ParaNoG"/>
        <w:numPr>
          <w:ilvl w:val="0"/>
          <w:numId w:val="0"/>
        </w:numPr>
        <w:tabs>
          <w:tab w:val="left" w:pos="1134"/>
        </w:tabs>
        <w:ind w:left="1134" w:firstLineChars="250" w:firstLine="502"/>
        <w:rPr>
          <w:b/>
          <w:bCs/>
        </w:rPr>
      </w:pPr>
      <w:r>
        <w:rPr>
          <w:b/>
        </w:rPr>
        <w:t>(</w:t>
      </w:r>
      <w:r w:rsidR="00A64513">
        <w:rPr>
          <w:b/>
        </w:rPr>
        <w:t xml:space="preserve">a)   </w:t>
      </w:r>
      <w:r w:rsidR="00A80A82">
        <w:rPr>
          <w:b/>
          <w:bCs/>
        </w:rPr>
        <w:t>S</w:t>
      </w:r>
      <w:r w:rsidR="0021290C" w:rsidRPr="00835CD6">
        <w:rPr>
          <w:b/>
          <w:bCs/>
        </w:rPr>
        <w:t>trengthen measures to ensure gender equality and develop strategies to combat patriarchal attitudes and stereotypes about the roles and responsibilities of women and men in the</w:t>
      </w:r>
      <w:r w:rsidR="00985475">
        <w:rPr>
          <w:b/>
          <w:bCs/>
        </w:rPr>
        <w:t xml:space="preserve"> family and in society at large;</w:t>
      </w:r>
      <w:r w:rsidR="0021290C" w:rsidRPr="00835CD6">
        <w:rPr>
          <w:b/>
          <w:bCs/>
        </w:rPr>
        <w:t xml:space="preserve"> </w:t>
      </w:r>
    </w:p>
    <w:p w14:paraId="1CF12E6A" w14:textId="071A889E" w:rsidR="00A80A82" w:rsidRDefault="003D2EC3" w:rsidP="00A80A82">
      <w:pPr>
        <w:pStyle w:val="ParaNoG"/>
        <w:numPr>
          <w:ilvl w:val="0"/>
          <w:numId w:val="0"/>
        </w:numPr>
        <w:tabs>
          <w:tab w:val="left" w:pos="1134"/>
        </w:tabs>
        <w:ind w:left="1134" w:firstLineChars="250" w:firstLine="502"/>
        <w:rPr>
          <w:b/>
          <w:bCs/>
        </w:rPr>
      </w:pPr>
      <w:r>
        <w:rPr>
          <w:b/>
          <w:bCs/>
        </w:rPr>
        <w:t>(</w:t>
      </w:r>
      <w:r w:rsidR="00A80A82">
        <w:rPr>
          <w:b/>
          <w:bCs/>
        </w:rPr>
        <w:t>b)    S</w:t>
      </w:r>
      <w:r w:rsidR="0021290C" w:rsidRPr="00835CD6">
        <w:rPr>
          <w:b/>
          <w:bCs/>
        </w:rPr>
        <w:t xml:space="preserve">tep up its efforts to achieve the equitable representation of women in the </w:t>
      </w:r>
      <w:r w:rsidR="000A1795">
        <w:rPr>
          <w:b/>
          <w:bCs/>
        </w:rPr>
        <w:t xml:space="preserve">formal labour market, </w:t>
      </w:r>
      <w:r w:rsidR="0021290C" w:rsidRPr="00835CD6">
        <w:rPr>
          <w:b/>
          <w:bCs/>
        </w:rPr>
        <w:t>public and political spheres,</w:t>
      </w:r>
      <w:r w:rsidR="00B55241">
        <w:rPr>
          <w:b/>
          <w:bCs/>
        </w:rPr>
        <w:t xml:space="preserve"> including the </w:t>
      </w:r>
      <w:proofErr w:type="spellStart"/>
      <w:r w:rsidR="00B55241">
        <w:rPr>
          <w:b/>
          <w:bCs/>
        </w:rPr>
        <w:t>Shura</w:t>
      </w:r>
      <w:proofErr w:type="spellEnd"/>
      <w:r w:rsidR="00B55241">
        <w:rPr>
          <w:b/>
          <w:bCs/>
        </w:rPr>
        <w:t xml:space="preserve"> Council and executive bodies,</w:t>
      </w:r>
      <w:r w:rsidR="0021290C" w:rsidRPr="00835CD6">
        <w:rPr>
          <w:b/>
          <w:bCs/>
        </w:rPr>
        <w:t xml:space="preserve"> particularly in decision-making positions, if necessary through appropriate temporary special measures, to give effect to</w:t>
      </w:r>
      <w:r w:rsidR="00985475">
        <w:rPr>
          <w:b/>
          <w:bCs/>
        </w:rPr>
        <w:t xml:space="preserve"> the provisions of the Covenant;</w:t>
      </w:r>
    </w:p>
    <w:p w14:paraId="26E650BB" w14:textId="1BFDFFBF" w:rsidR="0021290C" w:rsidRPr="0021290C" w:rsidRDefault="003D2EC3" w:rsidP="003730D0">
      <w:pPr>
        <w:pStyle w:val="ParaNoG"/>
        <w:numPr>
          <w:ilvl w:val="0"/>
          <w:numId w:val="0"/>
        </w:numPr>
        <w:tabs>
          <w:tab w:val="left" w:pos="1134"/>
        </w:tabs>
        <w:ind w:left="1134" w:firstLineChars="250" w:firstLine="502"/>
        <w:rPr>
          <w:b/>
        </w:rPr>
      </w:pPr>
      <w:r>
        <w:rPr>
          <w:b/>
          <w:bCs/>
        </w:rPr>
        <w:t>(</w:t>
      </w:r>
      <w:r w:rsidR="00A80A82">
        <w:rPr>
          <w:b/>
          <w:bCs/>
        </w:rPr>
        <w:t xml:space="preserve">c)    </w:t>
      </w:r>
      <w:r w:rsidR="00433618">
        <w:rPr>
          <w:b/>
          <w:bCs/>
        </w:rPr>
        <w:t>Consider</w:t>
      </w:r>
      <w:r w:rsidR="00EE16FB">
        <w:rPr>
          <w:b/>
          <w:bCs/>
        </w:rPr>
        <w:t xml:space="preserve"> </w:t>
      </w:r>
      <w:r w:rsidR="00433618">
        <w:rPr>
          <w:b/>
          <w:bCs/>
        </w:rPr>
        <w:t>a</w:t>
      </w:r>
      <w:r w:rsidR="00865081">
        <w:rPr>
          <w:b/>
          <w:bCs/>
        </w:rPr>
        <w:t>mend</w:t>
      </w:r>
      <w:r w:rsidR="00433618">
        <w:rPr>
          <w:b/>
          <w:bCs/>
        </w:rPr>
        <w:t>ing</w:t>
      </w:r>
      <w:r w:rsidR="00865081">
        <w:rPr>
          <w:b/>
          <w:bCs/>
        </w:rPr>
        <w:t xml:space="preserve"> the Nationality Act to </w:t>
      </w:r>
      <w:r w:rsidR="0021290C" w:rsidRPr="00835CD6">
        <w:rPr>
          <w:b/>
          <w:bCs/>
        </w:rPr>
        <w:t xml:space="preserve">ensure that </w:t>
      </w:r>
      <w:r w:rsidR="00865081">
        <w:rPr>
          <w:b/>
          <w:bCs/>
        </w:rPr>
        <w:t xml:space="preserve">Qatari </w:t>
      </w:r>
      <w:r w:rsidR="0021290C" w:rsidRPr="00835CD6">
        <w:rPr>
          <w:b/>
          <w:bCs/>
        </w:rPr>
        <w:t xml:space="preserve">women </w:t>
      </w:r>
      <w:r w:rsidR="00865081">
        <w:rPr>
          <w:b/>
          <w:bCs/>
        </w:rPr>
        <w:t>and men have equal rights in transmitting their nationality to their children and their foreign spouses</w:t>
      </w:r>
      <w:r w:rsidR="0021290C" w:rsidRPr="00835CD6">
        <w:rPr>
          <w:b/>
          <w:bCs/>
        </w:rPr>
        <w:t>.</w:t>
      </w:r>
    </w:p>
    <w:p w14:paraId="05A79365" w14:textId="1B514B15" w:rsidR="0021290C" w:rsidRDefault="0021290C" w:rsidP="00353BC7">
      <w:pPr>
        <w:pStyle w:val="H23G"/>
        <w:ind w:firstLine="0"/>
      </w:pPr>
      <w:r>
        <w:t>Viol</w:t>
      </w:r>
      <w:r w:rsidR="00353BC7">
        <w:t>ence against women</w:t>
      </w:r>
    </w:p>
    <w:p w14:paraId="238E6869" w14:textId="61EB9FF4" w:rsidR="0021290C" w:rsidRPr="008730BD" w:rsidRDefault="003D2EC3" w:rsidP="003D2EC3">
      <w:pPr>
        <w:pStyle w:val="ParaNoG"/>
        <w:numPr>
          <w:ilvl w:val="0"/>
          <w:numId w:val="0"/>
        </w:numPr>
        <w:tabs>
          <w:tab w:val="left" w:pos="1134"/>
        </w:tabs>
        <w:ind w:left="1134"/>
      </w:pPr>
      <w:r w:rsidRPr="008730BD">
        <w:t>16.</w:t>
      </w:r>
      <w:r w:rsidRPr="008730BD">
        <w:tab/>
      </w:r>
      <w:r w:rsidR="008730BD" w:rsidRPr="00B3690D">
        <w:t>While taking note</w:t>
      </w:r>
      <w:r w:rsidR="008730BD" w:rsidRPr="008730BD">
        <w:t xml:space="preserve"> of the measures taken to address violence against women, such as </w:t>
      </w:r>
      <w:r w:rsidR="008730BD" w:rsidRPr="008730BD">
        <w:rPr>
          <w:lang w:val="en-US"/>
        </w:rPr>
        <w:t>the provision of legal aid and free psychiatric rehabilitation services to women who were the victims of domestic violence</w:t>
      </w:r>
      <w:r w:rsidR="00417E7A">
        <w:rPr>
          <w:lang w:val="en-US"/>
        </w:rPr>
        <w:t xml:space="preserve">, </w:t>
      </w:r>
      <w:r w:rsidR="008730BD">
        <w:t>t</w:t>
      </w:r>
      <w:r w:rsidR="008730BD" w:rsidRPr="008730BD">
        <w:t>he Committee</w:t>
      </w:r>
      <w:r w:rsidR="008730BD">
        <w:t xml:space="preserve"> is concerned about</w:t>
      </w:r>
      <w:r w:rsidR="003E5744">
        <w:t xml:space="preserve"> </w:t>
      </w:r>
      <w:r w:rsidR="008730BD">
        <w:t xml:space="preserve">the absence </w:t>
      </w:r>
      <w:r w:rsidR="003E5744">
        <w:t xml:space="preserve">of legislation specifically criminalizing domestic violence, including </w:t>
      </w:r>
      <w:r w:rsidR="003E5744" w:rsidRPr="00971FBB">
        <w:t>marital rape</w:t>
      </w:r>
      <w:r w:rsidR="003E5744">
        <w:t xml:space="preserve">. It regrets not having received information on the number of investigations, prosecutions and convictions of cases of violence against women (arts. 2, 3, 7, 24 and 26). </w:t>
      </w:r>
    </w:p>
    <w:p w14:paraId="41E386AD" w14:textId="40F3BECD" w:rsidR="00CA0D8E" w:rsidRPr="00B3690D" w:rsidRDefault="003D2EC3" w:rsidP="003D2EC3">
      <w:pPr>
        <w:pStyle w:val="ParaNoG"/>
        <w:numPr>
          <w:ilvl w:val="0"/>
          <w:numId w:val="0"/>
        </w:numPr>
        <w:tabs>
          <w:tab w:val="left" w:pos="1134"/>
        </w:tabs>
        <w:ind w:left="1134"/>
      </w:pPr>
      <w:r w:rsidRPr="00B3690D">
        <w:t>17.</w:t>
      </w:r>
      <w:r w:rsidRPr="00B3690D">
        <w:tab/>
      </w:r>
      <w:r w:rsidR="003E5744" w:rsidRPr="00B3690D">
        <w:rPr>
          <w:b/>
        </w:rPr>
        <w:t>The State party should:</w:t>
      </w:r>
      <w:r w:rsidR="003E5744" w:rsidRPr="00B3690D">
        <w:t xml:space="preserve"> </w:t>
      </w:r>
    </w:p>
    <w:p w14:paraId="0C34C75C" w14:textId="62F33D9A" w:rsidR="00CA0D8E" w:rsidRPr="00E176F7" w:rsidRDefault="003D2EC3" w:rsidP="003D2EC3">
      <w:pPr>
        <w:pStyle w:val="ParaNoG"/>
        <w:numPr>
          <w:ilvl w:val="0"/>
          <w:numId w:val="0"/>
        </w:numPr>
        <w:tabs>
          <w:tab w:val="left" w:pos="1701"/>
        </w:tabs>
        <w:ind w:left="1134" w:firstLine="567"/>
        <w:rPr>
          <w:b/>
          <w:bCs/>
        </w:rPr>
      </w:pPr>
      <w:r>
        <w:rPr>
          <w:b/>
          <w:bCs/>
        </w:rPr>
        <w:t>(</w:t>
      </w:r>
      <w:r w:rsidRPr="00E176F7">
        <w:rPr>
          <w:b/>
          <w:bCs/>
        </w:rPr>
        <w:t>a)</w:t>
      </w:r>
      <w:r w:rsidRPr="00E176F7">
        <w:rPr>
          <w:b/>
          <w:bCs/>
        </w:rPr>
        <w:tab/>
      </w:r>
      <w:r w:rsidR="00CA0D8E" w:rsidRPr="00E176F7">
        <w:rPr>
          <w:b/>
          <w:bCs/>
        </w:rPr>
        <w:t>C</w:t>
      </w:r>
      <w:r w:rsidR="003E5744" w:rsidRPr="00E176F7">
        <w:rPr>
          <w:b/>
          <w:bCs/>
        </w:rPr>
        <w:t xml:space="preserve">riminalize act of domestic violence, including </w:t>
      </w:r>
      <w:r w:rsidR="003E5744" w:rsidRPr="00971FBB">
        <w:rPr>
          <w:b/>
          <w:bCs/>
        </w:rPr>
        <w:t>marital rape</w:t>
      </w:r>
      <w:r w:rsidR="003E5744" w:rsidRPr="00E176F7">
        <w:rPr>
          <w:b/>
          <w:bCs/>
        </w:rPr>
        <w:t xml:space="preserve">; </w:t>
      </w:r>
    </w:p>
    <w:p w14:paraId="2A87C94B" w14:textId="288F3701" w:rsidR="00886671" w:rsidRDefault="003D2EC3" w:rsidP="003D2EC3">
      <w:pPr>
        <w:pStyle w:val="ParaNoG"/>
        <w:numPr>
          <w:ilvl w:val="0"/>
          <w:numId w:val="0"/>
        </w:numPr>
        <w:tabs>
          <w:tab w:val="left" w:pos="1701"/>
        </w:tabs>
        <w:ind w:left="1134" w:firstLine="567"/>
        <w:rPr>
          <w:b/>
          <w:bCs/>
        </w:rPr>
      </w:pPr>
      <w:r>
        <w:rPr>
          <w:b/>
          <w:bCs/>
        </w:rPr>
        <w:t>(b)</w:t>
      </w:r>
      <w:r>
        <w:rPr>
          <w:b/>
          <w:bCs/>
        </w:rPr>
        <w:tab/>
      </w:r>
      <w:r w:rsidR="00CA0D8E" w:rsidRPr="00886671">
        <w:rPr>
          <w:b/>
          <w:bCs/>
        </w:rPr>
        <w:t>E</w:t>
      </w:r>
      <w:r w:rsidR="00502847" w:rsidRPr="00886671">
        <w:rPr>
          <w:b/>
          <w:bCs/>
        </w:rPr>
        <w:t xml:space="preserve">nsure that data on violence against women is collected and that all cases of violence against women, including domestic violence, are thoroughly investigated and that perpetrators are prosecuted and, if convicted, punished with appropriate sanctions; </w:t>
      </w:r>
    </w:p>
    <w:p w14:paraId="7C938C3B" w14:textId="193DF715" w:rsidR="00CA0D8E" w:rsidRPr="00886671" w:rsidRDefault="003D2EC3" w:rsidP="003D2EC3">
      <w:pPr>
        <w:pStyle w:val="ParaNoG"/>
        <w:numPr>
          <w:ilvl w:val="0"/>
          <w:numId w:val="0"/>
        </w:numPr>
        <w:tabs>
          <w:tab w:val="left" w:pos="1701"/>
        </w:tabs>
        <w:ind w:left="1134" w:firstLine="567"/>
        <w:rPr>
          <w:b/>
          <w:bCs/>
        </w:rPr>
      </w:pPr>
      <w:r>
        <w:rPr>
          <w:b/>
          <w:bCs/>
        </w:rPr>
        <w:lastRenderedPageBreak/>
        <w:t>(</w:t>
      </w:r>
      <w:r w:rsidRPr="00886671">
        <w:rPr>
          <w:b/>
          <w:bCs/>
        </w:rPr>
        <w:t>c)</w:t>
      </w:r>
      <w:r w:rsidRPr="00886671">
        <w:rPr>
          <w:b/>
          <w:bCs/>
        </w:rPr>
        <w:tab/>
      </w:r>
      <w:r w:rsidR="00CA0D8E" w:rsidRPr="00886671">
        <w:rPr>
          <w:b/>
          <w:bCs/>
        </w:rPr>
        <w:t>E</w:t>
      </w:r>
      <w:r w:rsidR="00502847" w:rsidRPr="00886671">
        <w:rPr>
          <w:b/>
          <w:bCs/>
        </w:rPr>
        <w:t xml:space="preserve">stablish an effective mechanism to encourage the reporting of cases of violence against women, intensify efforts to address the social stigmatization of victims and ensure that </w:t>
      </w:r>
      <w:r w:rsidR="00CA0D8E" w:rsidRPr="00886671">
        <w:rPr>
          <w:b/>
          <w:bCs/>
        </w:rPr>
        <w:t>they</w:t>
      </w:r>
      <w:r w:rsidR="00502847" w:rsidRPr="00886671">
        <w:rPr>
          <w:b/>
          <w:bCs/>
        </w:rPr>
        <w:t xml:space="preserve"> have access to </w:t>
      </w:r>
      <w:r w:rsidR="00CA0D8E" w:rsidRPr="00886671">
        <w:rPr>
          <w:b/>
          <w:bCs/>
        </w:rPr>
        <w:t>full reparation and means of protection;</w:t>
      </w:r>
      <w:r w:rsidR="00CA0D8E" w:rsidRPr="00886671">
        <w:rPr>
          <w:bCs/>
        </w:rPr>
        <w:t xml:space="preserve"> </w:t>
      </w:r>
    </w:p>
    <w:p w14:paraId="25F0F60B" w14:textId="3957E70D" w:rsidR="001763CE" w:rsidRPr="00E176F7" w:rsidRDefault="003D2EC3" w:rsidP="003D2EC3">
      <w:pPr>
        <w:pStyle w:val="ParaNoG"/>
        <w:numPr>
          <w:ilvl w:val="0"/>
          <w:numId w:val="0"/>
        </w:numPr>
        <w:tabs>
          <w:tab w:val="left" w:pos="1701"/>
        </w:tabs>
        <w:ind w:left="1134" w:firstLine="567"/>
        <w:rPr>
          <w:b/>
          <w:bCs/>
        </w:rPr>
      </w:pPr>
      <w:r>
        <w:rPr>
          <w:b/>
          <w:bCs/>
        </w:rPr>
        <w:t>(</w:t>
      </w:r>
      <w:r w:rsidRPr="00E176F7">
        <w:rPr>
          <w:b/>
          <w:bCs/>
        </w:rPr>
        <w:t>d)</w:t>
      </w:r>
      <w:r w:rsidRPr="00E176F7">
        <w:rPr>
          <w:b/>
          <w:bCs/>
        </w:rPr>
        <w:tab/>
      </w:r>
      <w:r w:rsidR="00CA0D8E" w:rsidRPr="00E176F7">
        <w:rPr>
          <w:b/>
          <w:bCs/>
        </w:rPr>
        <w:t>Conduct awareness-raising</w:t>
      </w:r>
      <w:r w:rsidR="00B8540B">
        <w:rPr>
          <w:b/>
          <w:bCs/>
        </w:rPr>
        <w:t xml:space="preserve"> campaigns</w:t>
      </w:r>
      <w:r w:rsidR="002B1078">
        <w:rPr>
          <w:b/>
          <w:bCs/>
        </w:rPr>
        <w:t xml:space="preserve"> for the general </w:t>
      </w:r>
      <w:r w:rsidR="00CA0D8E" w:rsidRPr="00E176F7">
        <w:rPr>
          <w:b/>
          <w:bCs/>
        </w:rPr>
        <w:t>public regarding violence against women, including domestic violence, and ensur</w:t>
      </w:r>
      <w:r w:rsidR="00A80A82">
        <w:rPr>
          <w:b/>
          <w:bCs/>
        </w:rPr>
        <w:t>e</w:t>
      </w:r>
      <w:r w:rsidR="00CA0D8E" w:rsidRPr="00E176F7">
        <w:rPr>
          <w:b/>
          <w:bCs/>
        </w:rPr>
        <w:t xml:space="preserve"> that police officers, prosecutors and judges receive appropriate training to e</w:t>
      </w:r>
      <w:r w:rsidR="00971FBB">
        <w:rPr>
          <w:b/>
          <w:bCs/>
        </w:rPr>
        <w:t>ffectively deal with such cases</w:t>
      </w:r>
      <w:r w:rsidR="00CA0D8E" w:rsidRPr="00E176F7">
        <w:rPr>
          <w:b/>
          <w:bCs/>
        </w:rPr>
        <w:t xml:space="preserve">. </w:t>
      </w:r>
    </w:p>
    <w:p w14:paraId="010D994B" w14:textId="13134FD2" w:rsidR="00353BC7" w:rsidRDefault="00353BC7" w:rsidP="00353BC7">
      <w:pPr>
        <w:pStyle w:val="H23G"/>
        <w:ind w:firstLine="0"/>
      </w:pPr>
      <w:r>
        <w:t>Voluntary termination of pregnancy</w:t>
      </w:r>
      <w:r w:rsidR="00BB119E">
        <w:t xml:space="preserve"> and sexual and reproductive rights</w:t>
      </w:r>
    </w:p>
    <w:p w14:paraId="0DAFC696" w14:textId="334AACFF" w:rsidR="00353BC7" w:rsidRDefault="003D2EC3" w:rsidP="003D2EC3">
      <w:pPr>
        <w:pStyle w:val="ParaNoG"/>
        <w:numPr>
          <w:ilvl w:val="0"/>
          <w:numId w:val="0"/>
        </w:numPr>
        <w:tabs>
          <w:tab w:val="left" w:pos="1134"/>
        </w:tabs>
        <w:ind w:left="1134"/>
      </w:pPr>
      <w:r>
        <w:t>18.</w:t>
      </w:r>
      <w:r>
        <w:tab/>
      </w:r>
      <w:r w:rsidR="00DA5B52" w:rsidRPr="00B3690D">
        <w:t>The Committee notes</w:t>
      </w:r>
      <w:r w:rsidR="00DA5B52">
        <w:t xml:space="preserve"> that abortion is criminalized (art</w:t>
      </w:r>
      <w:r w:rsidR="006D46DE">
        <w:t>s</w:t>
      </w:r>
      <w:r w:rsidR="00DA5B52">
        <w:t>. 316 and 317 of the Criminal Code), except</w:t>
      </w:r>
      <w:r w:rsidR="006D46DE">
        <w:t xml:space="preserve"> to preserve the life of the pregnant women, </w:t>
      </w:r>
      <w:r w:rsidR="00375199">
        <w:t xml:space="preserve">and </w:t>
      </w:r>
      <w:r w:rsidR="006D46DE">
        <w:t xml:space="preserve">in </w:t>
      </w:r>
      <w:r w:rsidR="0037400A">
        <w:t xml:space="preserve">some cases </w:t>
      </w:r>
      <w:r w:rsidR="0037400A">
        <w:rPr>
          <w:color w:val="202122"/>
          <w:shd w:val="clear" w:color="auto" w:fill="FFFFFF"/>
        </w:rPr>
        <w:t xml:space="preserve">if it </w:t>
      </w:r>
      <w:r w:rsidR="0037400A" w:rsidRPr="0037400A">
        <w:rPr>
          <w:color w:val="202122"/>
          <w:shd w:val="clear" w:color="auto" w:fill="FFFFFF"/>
        </w:rPr>
        <w:t>were to cause serious harm to the mother's health</w:t>
      </w:r>
      <w:r w:rsidR="00375199">
        <w:rPr>
          <w:color w:val="202122"/>
          <w:shd w:val="clear" w:color="auto" w:fill="FFFFFF"/>
        </w:rPr>
        <w:t xml:space="preserve"> or</w:t>
      </w:r>
      <w:r w:rsidR="0037400A" w:rsidRPr="0037400A">
        <w:rPr>
          <w:color w:val="202122"/>
          <w:shd w:val="clear" w:color="auto" w:fill="FFFFFF"/>
        </w:rPr>
        <w:t xml:space="preserve"> </w:t>
      </w:r>
      <w:r w:rsidR="006554E0">
        <w:rPr>
          <w:color w:val="202122"/>
          <w:shd w:val="clear" w:color="auto" w:fill="FFFFFF"/>
        </w:rPr>
        <w:t xml:space="preserve">in some instances of </w:t>
      </w:r>
      <w:proofErr w:type="spellStart"/>
      <w:r w:rsidR="00C257B5">
        <w:rPr>
          <w:color w:val="202122"/>
          <w:shd w:val="clear" w:color="auto" w:fill="FFFFFF"/>
        </w:rPr>
        <w:t>fetal</w:t>
      </w:r>
      <w:proofErr w:type="spellEnd"/>
      <w:r w:rsidR="00C257B5">
        <w:rPr>
          <w:color w:val="202122"/>
          <w:shd w:val="clear" w:color="auto" w:fill="FFFFFF"/>
        </w:rPr>
        <w:t xml:space="preserve"> impairment (</w:t>
      </w:r>
      <w:r w:rsidR="006F7A0C">
        <w:rPr>
          <w:color w:val="202122"/>
          <w:shd w:val="clear" w:color="auto" w:fill="FFFFFF"/>
        </w:rPr>
        <w:t xml:space="preserve">art. </w:t>
      </w:r>
      <w:r w:rsidR="00C257B5">
        <w:rPr>
          <w:color w:val="202122"/>
          <w:shd w:val="clear" w:color="auto" w:fill="FFFFFF"/>
        </w:rPr>
        <w:t xml:space="preserve">17 </w:t>
      </w:r>
      <w:r w:rsidR="006F7A0C">
        <w:rPr>
          <w:color w:val="202122"/>
          <w:shd w:val="clear" w:color="auto" w:fill="FFFFFF"/>
        </w:rPr>
        <w:t>of Act No 2 of 1983, concerning the practice of medicine, surgery and dentistry)</w:t>
      </w:r>
      <w:r w:rsidR="00C257B5">
        <w:rPr>
          <w:color w:val="202122"/>
          <w:shd w:val="clear" w:color="auto" w:fill="FFFFFF"/>
        </w:rPr>
        <w:t>. The Committee is concerned that no other exceptions are allowed</w:t>
      </w:r>
      <w:r w:rsidR="00E73E7D">
        <w:rPr>
          <w:color w:val="202122"/>
          <w:shd w:val="clear" w:color="auto" w:fill="FFFFFF"/>
        </w:rPr>
        <w:t xml:space="preserve"> and </w:t>
      </w:r>
      <w:r w:rsidR="00B2512E">
        <w:rPr>
          <w:color w:val="202122"/>
          <w:shd w:val="clear" w:color="auto" w:fill="FFFFFF"/>
        </w:rPr>
        <w:t xml:space="preserve">that </w:t>
      </w:r>
      <w:r w:rsidR="00E73E7D">
        <w:rPr>
          <w:color w:val="202122"/>
          <w:shd w:val="clear" w:color="auto" w:fill="FFFFFF"/>
        </w:rPr>
        <w:t>the existing exemptions do not apply to unmarried women</w:t>
      </w:r>
      <w:r w:rsidR="00C257B5">
        <w:rPr>
          <w:color w:val="202122"/>
          <w:shd w:val="clear" w:color="auto" w:fill="FFFFFF"/>
        </w:rPr>
        <w:t>, which results in unsafe abortions, putting</w:t>
      </w:r>
      <w:r w:rsidR="006F7A0C">
        <w:rPr>
          <w:color w:val="202122"/>
          <w:shd w:val="clear" w:color="auto" w:fill="FFFFFF"/>
        </w:rPr>
        <w:t xml:space="preserve"> the lives and health of women at risk. It regrets </w:t>
      </w:r>
      <w:r w:rsidR="00375199">
        <w:t>not having received information on the</w:t>
      </w:r>
      <w:r w:rsidR="006F7A0C">
        <w:rPr>
          <w:color w:val="202122"/>
          <w:shd w:val="clear" w:color="auto" w:fill="FFFFFF"/>
        </w:rPr>
        <w:t xml:space="preserve"> requirement</w:t>
      </w:r>
      <w:r w:rsidR="00375199">
        <w:rPr>
          <w:color w:val="202122"/>
          <w:shd w:val="clear" w:color="auto" w:fill="FFFFFF"/>
        </w:rPr>
        <w:t>s</w:t>
      </w:r>
      <w:r w:rsidR="006F7A0C">
        <w:rPr>
          <w:color w:val="202122"/>
          <w:shd w:val="clear" w:color="auto" w:fill="FFFFFF"/>
        </w:rPr>
        <w:t xml:space="preserve"> that abortions must be performed in a public hospital by a decision of a medical committee (arts 3, 6, 7, 17 and 26). </w:t>
      </w:r>
      <w:r w:rsidR="00C257B5">
        <w:rPr>
          <w:color w:val="202122"/>
          <w:shd w:val="clear" w:color="auto" w:fill="FFFFFF"/>
        </w:rPr>
        <w:t xml:space="preserve"> </w:t>
      </w:r>
    </w:p>
    <w:p w14:paraId="2DF76B95" w14:textId="5496ABD3" w:rsidR="00A80A82" w:rsidRPr="00985475" w:rsidRDefault="003D2EC3" w:rsidP="003D2EC3">
      <w:pPr>
        <w:pStyle w:val="ParaNoG"/>
        <w:numPr>
          <w:ilvl w:val="0"/>
          <w:numId w:val="0"/>
        </w:numPr>
        <w:tabs>
          <w:tab w:val="left" w:pos="1134"/>
        </w:tabs>
        <w:ind w:left="1134"/>
        <w:rPr>
          <w:b/>
        </w:rPr>
      </w:pPr>
      <w:r w:rsidRPr="003D2EC3">
        <w:rPr>
          <w:bCs/>
        </w:rPr>
        <w:t>19.</w:t>
      </w:r>
      <w:r w:rsidRPr="003D2EC3">
        <w:rPr>
          <w:bCs/>
        </w:rPr>
        <w:tab/>
      </w:r>
      <w:r w:rsidR="002E7629" w:rsidRPr="00985475">
        <w:rPr>
          <w:b/>
        </w:rPr>
        <w:t>Bearing in mind</w:t>
      </w:r>
      <w:r w:rsidR="00985475" w:rsidRPr="00985475">
        <w:rPr>
          <w:b/>
        </w:rPr>
        <w:t xml:space="preserve"> paragraph 8 of the Committee’s general comment No. 36 (2018), t</w:t>
      </w:r>
      <w:r w:rsidR="00A80A82" w:rsidRPr="00985475">
        <w:rPr>
          <w:b/>
        </w:rPr>
        <w:t>he State party should:</w:t>
      </w:r>
    </w:p>
    <w:p w14:paraId="492AE635" w14:textId="6D7A94FE" w:rsidR="00A80A82" w:rsidRDefault="003D2EC3" w:rsidP="00A80A82">
      <w:pPr>
        <w:pStyle w:val="ParaNoG"/>
        <w:numPr>
          <w:ilvl w:val="0"/>
          <w:numId w:val="0"/>
        </w:numPr>
        <w:tabs>
          <w:tab w:val="left" w:pos="1134"/>
        </w:tabs>
        <w:ind w:left="1134" w:firstLineChars="250" w:firstLine="502"/>
        <w:rPr>
          <w:b/>
        </w:rPr>
      </w:pPr>
      <w:r>
        <w:rPr>
          <w:b/>
        </w:rPr>
        <w:t>(</w:t>
      </w:r>
      <w:r w:rsidR="00A80A82">
        <w:rPr>
          <w:b/>
        </w:rPr>
        <w:t>a)      A</w:t>
      </w:r>
      <w:r w:rsidR="006F7A0C" w:rsidRPr="003E732F">
        <w:rPr>
          <w:b/>
        </w:rPr>
        <w:t xml:space="preserve">mend its legislation to guarantee safe, legal and effective </w:t>
      </w:r>
      <w:r w:rsidR="00A055C6">
        <w:rPr>
          <w:b/>
        </w:rPr>
        <w:t>access to abortion where the health of a</w:t>
      </w:r>
      <w:r w:rsidR="003E732F" w:rsidRPr="003E732F">
        <w:rPr>
          <w:b/>
        </w:rPr>
        <w:t xml:space="preserve"> preg</w:t>
      </w:r>
      <w:r w:rsidR="00A055C6">
        <w:rPr>
          <w:b/>
        </w:rPr>
        <w:t>nant women or girl is at risk,</w:t>
      </w:r>
      <w:r w:rsidR="003E732F" w:rsidRPr="003E732F">
        <w:rPr>
          <w:b/>
        </w:rPr>
        <w:t xml:space="preserve"> and when carrying a pregnancy to term would cause the </w:t>
      </w:r>
      <w:r w:rsidR="00A055C6">
        <w:rPr>
          <w:b/>
        </w:rPr>
        <w:t xml:space="preserve">pregnant </w:t>
      </w:r>
      <w:r w:rsidR="003E732F" w:rsidRPr="003E732F">
        <w:rPr>
          <w:b/>
        </w:rPr>
        <w:t xml:space="preserve">women or girl substantial pain or suffering, most notably when the pregnancy is the result of rape or incest or </w:t>
      </w:r>
      <w:r w:rsidR="00A055C6">
        <w:rPr>
          <w:b/>
        </w:rPr>
        <w:t>when</w:t>
      </w:r>
      <w:r w:rsidR="003E732F" w:rsidRPr="003E732F">
        <w:rPr>
          <w:b/>
        </w:rPr>
        <w:t xml:space="preserve"> it is not viable</w:t>
      </w:r>
      <w:r w:rsidR="00A80A82">
        <w:rPr>
          <w:b/>
        </w:rPr>
        <w:t>;</w:t>
      </w:r>
      <w:r w:rsidR="003E732F" w:rsidRPr="003E732F">
        <w:rPr>
          <w:b/>
        </w:rPr>
        <w:t xml:space="preserve"> </w:t>
      </w:r>
    </w:p>
    <w:p w14:paraId="3793A359" w14:textId="42CF431A" w:rsidR="00A80A82" w:rsidRDefault="003D2EC3" w:rsidP="00A80A82">
      <w:pPr>
        <w:pStyle w:val="ParaNoG"/>
        <w:numPr>
          <w:ilvl w:val="0"/>
          <w:numId w:val="0"/>
        </w:numPr>
        <w:tabs>
          <w:tab w:val="left" w:pos="1134"/>
        </w:tabs>
        <w:ind w:left="1134" w:firstLineChars="250" w:firstLine="502"/>
        <w:rPr>
          <w:b/>
          <w:bCs/>
        </w:rPr>
      </w:pPr>
      <w:r>
        <w:rPr>
          <w:b/>
        </w:rPr>
        <w:t>(</w:t>
      </w:r>
      <w:r w:rsidR="00A80A82">
        <w:rPr>
          <w:b/>
        </w:rPr>
        <w:t xml:space="preserve">b)    </w:t>
      </w:r>
      <w:r w:rsidR="00A80A82">
        <w:rPr>
          <w:b/>
          <w:bCs/>
        </w:rPr>
        <w:t>E</w:t>
      </w:r>
      <w:r w:rsidR="003E732F" w:rsidRPr="003E732F">
        <w:rPr>
          <w:b/>
          <w:bCs/>
        </w:rPr>
        <w:t>nsure that women and girls who have recourse to abortion and the doctors who attend to them are not subject to criminal penalties, and lift barriers, such as those related to medical authorizations, since the existence of such penalties and barriers compel women and girl</w:t>
      </w:r>
      <w:r w:rsidR="00DB26EC">
        <w:rPr>
          <w:b/>
          <w:bCs/>
        </w:rPr>
        <w:t>s to resort to unsafe abortions</w:t>
      </w:r>
      <w:r w:rsidR="00A80A82">
        <w:rPr>
          <w:b/>
          <w:bCs/>
        </w:rPr>
        <w:t>;</w:t>
      </w:r>
      <w:r w:rsidR="003E732F" w:rsidRPr="003E732F">
        <w:rPr>
          <w:b/>
          <w:bCs/>
        </w:rPr>
        <w:t xml:space="preserve"> </w:t>
      </w:r>
    </w:p>
    <w:p w14:paraId="332E83EC" w14:textId="31074775" w:rsidR="001763CE" w:rsidRPr="003E732F" w:rsidRDefault="003D2EC3" w:rsidP="00985475">
      <w:pPr>
        <w:pStyle w:val="ParaNoG"/>
        <w:numPr>
          <w:ilvl w:val="0"/>
          <w:numId w:val="0"/>
        </w:numPr>
        <w:tabs>
          <w:tab w:val="left" w:pos="1134"/>
        </w:tabs>
        <w:ind w:left="1134" w:firstLineChars="250" w:firstLine="502"/>
        <w:rPr>
          <w:b/>
        </w:rPr>
      </w:pPr>
      <w:r>
        <w:rPr>
          <w:b/>
        </w:rPr>
        <w:t>(</w:t>
      </w:r>
      <w:r w:rsidR="00A80A82">
        <w:rPr>
          <w:b/>
        </w:rPr>
        <w:t xml:space="preserve">c)  </w:t>
      </w:r>
      <w:r w:rsidR="00A80A82">
        <w:rPr>
          <w:b/>
          <w:bCs/>
        </w:rPr>
        <w:t>I</w:t>
      </w:r>
      <w:r w:rsidR="003E732F" w:rsidRPr="003E732F">
        <w:rPr>
          <w:b/>
          <w:bCs/>
        </w:rPr>
        <w:t>mplement educational policies to raise awareness about sexual and reproductive health among women, men and adolescents</w:t>
      </w:r>
      <w:r w:rsidR="00C04B68">
        <w:rPr>
          <w:b/>
          <w:bCs/>
        </w:rPr>
        <w:t xml:space="preserve">, and to </w:t>
      </w:r>
      <w:r w:rsidR="00BB119E">
        <w:rPr>
          <w:b/>
          <w:bCs/>
        </w:rPr>
        <w:t xml:space="preserve">prevent </w:t>
      </w:r>
      <w:r w:rsidR="00C04B68">
        <w:rPr>
          <w:b/>
          <w:bCs/>
        </w:rPr>
        <w:t>the stigmatization of women and girls who have recourse to abortion, as well as</w:t>
      </w:r>
      <w:r w:rsidR="003E732F" w:rsidRPr="003E732F">
        <w:rPr>
          <w:b/>
          <w:bCs/>
        </w:rPr>
        <w:t xml:space="preserve"> ensure access to appropriate and affordable contraception an</w:t>
      </w:r>
      <w:r w:rsidR="00B3690D">
        <w:rPr>
          <w:b/>
          <w:bCs/>
        </w:rPr>
        <w:t>d reproductive health services.</w:t>
      </w:r>
      <w:r w:rsidR="003E732F" w:rsidRPr="003E732F">
        <w:rPr>
          <w:b/>
        </w:rPr>
        <w:t xml:space="preserve"> </w:t>
      </w:r>
    </w:p>
    <w:p w14:paraId="7AF74E1D" w14:textId="70BF2BF8" w:rsidR="00353BC7" w:rsidRPr="00353BC7" w:rsidRDefault="00A918E7" w:rsidP="00D253C7">
      <w:pPr>
        <w:pStyle w:val="H23G"/>
        <w:ind w:left="2268"/>
      </w:pPr>
      <w:r>
        <w:t>Death penalty</w:t>
      </w:r>
    </w:p>
    <w:p w14:paraId="4E03E81E" w14:textId="328933D8" w:rsidR="00353BC7" w:rsidRDefault="003D2EC3" w:rsidP="003D2EC3">
      <w:pPr>
        <w:pStyle w:val="ParaNoG"/>
        <w:numPr>
          <w:ilvl w:val="0"/>
          <w:numId w:val="0"/>
        </w:numPr>
        <w:tabs>
          <w:tab w:val="left" w:pos="1134"/>
        </w:tabs>
        <w:ind w:left="1134"/>
      </w:pPr>
      <w:r>
        <w:t>20.</w:t>
      </w:r>
      <w:r>
        <w:tab/>
      </w:r>
      <w:r w:rsidR="00333B90" w:rsidRPr="00B3690D">
        <w:t>The Committee</w:t>
      </w:r>
      <w:r w:rsidR="00333B90">
        <w:t xml:space="preserve"> is concerned about reports that the State party recently carried out an execution in May 2020, ending the de facto moratorium on executions maintained since 2000. It is further concerned that domestic legislation maintains the death penalty for offences that do not meet the threshold of the “most serious crimes” within the meaning of the Covenant (art. 6). </w:t>
      </w:r>
    </w:p>
    <w:p w14:paraId="715E911D" w14:textId="67E81E8B" w:rsidR="001E5699" w:rsidRPr="00EE41FE" w:rsidRDefault="003D2EC3" w:rsidP="003D2EC3">
      <w:pPr>
        <w:pStyle w:val="ParaNoG"/>
        <w:numPr>
          <w:ilvl w:val="0"/>
          <w:numId w:val="0"/>
        </w:numPr>
        <w:tabs>
          <w:tab w:val="left" w:pos="1134"/>
        </w:tabs>
        <w:ind w:left="1134"/>
        <w:rPr>
          <w:b/>
        </w:rPr>
      </w:pPr>
      <w:r w:rsidRPr="003D2EC3">
        <w:rPr>
          <w:bCs/>
        </w:rPr>
        <w:t>21.</w:t>
      </w:r>
      <w:r w:rsidRPr="003D2EC3">
        <w:rPr>
          <w:bCs/>
        </w:rPr>
        <w:tab/>
      </w:r>
      <w:r w:rsidR="00333B90" w:rsidRPr="00EE41FE">
        <w:rPr>
          <w:b/>
        </w:rPr>
        <w:t>The State party should</w:t>
      </w:r>
      <w:r w:rsidR="00463B35">
        <w:rPr>
          <w:b/>
        </w:rPr>
        <w:t xml:space="preserve"> establish a </w:t>
      </w:r>
      <w:r w:rsidR="00414A25" w:rsidRPr="00A6670C">
        <w:rPr>
          <w:b/>
        </w:rPr>
        <w:t>moratorium</w:t>
      </w:r>
      <w:r w:rsidR="00414A25" w:rsidRPr="00EE41FE">
        <w:rPr>
          <w:b/>
        </w:rPr>
        <w:t xml:space="preserve"> and consider abolishing the death penalty and acceding to the Second Optional Protocol to the Covenant</w:t>
      </w:r>
      <w:r w:rsidR="00333B90" w:rsidRPr="00EE41FE">
        <w:rPr>
          <w:b/>
        </w:rPr>
        <w:t xml:space="preserve">. </w:t>
      </w:r>
      <w:r w:rsidR="00414A25" w:rsidRPr="00EE41FE">
        <w:rPr>
          <w:b/>
        </w:rPr>
        <w:t>If the death penalty is maintained, the State party should</w:t>
      </w:r>
      <w:r w:rsidR="002E2EEC" w:rsidRPr="00EE41FE">
        <w:rPr>
          <w:b/>
        </w:rPr>
        <w:t>, as a matter or priority,</w:t>
      </w:r>
      <w:r w:rsidR="00414A25" w:rsidRPr="00EE41FE">
        <w:rPr>
          <w:b/>
        </w:rPr>
        <w:t xml:space="preserve"> take all measures necessary to ensure that </w:t>
      </w:r>
      <w:r w:rsidR="002E2EEC" w:rsidRPr="00EE41FE">
        <w:rPr>
          <w:b/>
        </w:rPr>
        <w:t xml:space="preserve">it is imposed only for </w:t>
      </w:r>
      <w:r w:rsidR="00414A25" w:rsidRPr="00EE41FE">
        <w:rPr>
          <w:b/>
        </w:rPr>
        <w:t>the most serious crimes</w:t>
      </w:r>
      <w:r w:rsidR="002E2EEC" w:rsidRPr="00EE41FE">
        <w:rPr>
          <w:b/>
        </w:rPr>
        <w:t>,</w:t>
      </w:r>
      <w:r w:rsidR="00414A25" w:rsidRPr="00EE41FE">
        <w:rPr>
          <w:b/>
        </w:rPr>
        <w:t xml:space="preserve"> involving intentional killing</w:t>
      </w:r>
      <w:r w:rsidR="00B176AA" w:rsidRPr="00EE41FE">
        <w:rPr>
          <w:b/>
        </w:rPr>
        <w:t>, bearing in mind the Committee’s general comment No. 36 (2018)</w:t>
      </w:r>
      <w:r w:rsidR="00414A25" w:rsidRPr="00EE41FE">
        <w:rPr>
          <w:b/>
        </w:rPr>
        <w:t xml:space="preserve">. </w:t>
      </w:r>
      <w:r w:rsidR="00EE41FE" w:rsidRPr="00EE41FE">
        <w:rPr>
          <w:b/>
        </w:rPr>
        <w:t>It should also carry out appropriate awareness-raising measures to mobilize public opinion in support of abolition of the death penalty.</w:t>
      </w:r>
    </w:p>
    <w:p w14:paraId="4BF2D169" w14:textId="069D125B" w:rsidR="00A918E7" w:rsidRPr="00A918E7" w:rsidRDefault="00A918E7" w:rsidP="00D253C7">
      <w:pPr>
        <w:pStyle w:val="H23G"/>
        <w:ind w:left="2268"/>
      </w:pPr>
      <w:r w:rsidRPr="00A918E7">
        <w:t>D</w:t>
      </w:r>
      <w:r w:rsidR="0066354E">
        <w:t>eaths among</w:t>
      </w:r>
      <w:r w:rsidRPr="00A918E7">
        <w:t xml:space="preserve"> migrant workers</w:t>
      </w:r>
    </w:p>
    <w:p w14:paraId="321952B5" w14:textId="5703F210" w:rsidR="00A918E7" w:rsidRDefault="003D2EC3" w:rsidP="003D2EC3">
      <w:pPr>
        <w:pStyle w:val="ParaNoG"/>
        <w:numPr>
          <w:ilvl w:val="0"/>
          <w:numId w:val="0"/>
        </w:numPr>
        <w:tabs>
          <w:tab w:val="left" w:pos="1134"/>
        </w:tabs>
        <w:ind w:left="1134"/>
      </w:pPr>
      <w:r>
        <w:t>22.</w:t>
      </w:r>
      <w:r>
        <w:tab/>
      </w:r>
      <w:r w:rsidR="00F11678" w:rsidRPr="00B3690D">
        <w:t xml:space="preserve">The Committee </w:t>
      </w:r>
      <w:r w:rsidR="00375199">
        <w:t>acknowledges</w:t>
      </w:r>
      <w:r w:rsidR="00F11678" w:rsidRPr="004F17A7">
        <w:t xml:space="preserve"> the measures adopted by the S</w:t>
      </w:r>
      <w:r w:rsidR="004F17A7">
        <w:t xml:space="preserve">tate party </w:t>
      </w:r>
      <w:r w:rsidR="004F17A7" w:rsidRPr="004F17A7">
        <w:rPr>
          <w:lang w:val="en-US"/>
        </w:rPr>
        <w:t xml:space="preserve">to </w:t>
      </w:r>
      <w:r w:rsidR="004F17A7">
        <w:rPr>
          <w:lang w:val="en-US"/>
        </w:rPr>
        <w:t xml:space="preserve">protect the safety and health of </w:t>
      </w:r>
      <w:r w:rsidR="004F17A7" w:rsidRPr="004F17A7">
        <w:rPr>
          <w:lang w:val="en-US"/>
        </w:rPr>
        <w:t>workers</w:t>
      </w:r>
      <w:r w:rsidR="00F11678">
        <w:t xml:space="preserve">, including migrant workers, such as Ministerial Declaration n° 17 </w:t>
      </w:r>
      <w:r w:rsidR="000662CB">
        <w:t>of 2021 of the Ministry of Administrative Development, Labour and Social Affairs</w:t>
      </w:r>
      <w:r w:rsidR="004F17A7">
        <w:t xml:space="preserve"> on measures to protect workers from heat stress</w:t>
      </w:r>
      <w:r w:rsidR="00375199">
        <w:t xml:space="preserve">. The Committee also takes note of </w:t>
      </w:r>
      <w:r w:rsidR="000662CB">
        <w:t xml:space="preserve">the information provided by the </w:t>
      </w:r>
      <w:r w:rsidR="00417FD4">
        <w:t>delegation that any work</w:t>
      </w:r>
      <w:r w:rsidR="00E8121C">
        <w:t>-</w:t>
      </w:r>
      <w:r w:rsidR="00417FD4">
        <w:t xml:space="preserve">related incident leading to the death of the worker causes the </w:t>
      </w:r>
      <w:r w:rsidR="004B71A5">
        <w:t xml:space="preserve">automatic </w:t>
      </w:r>
      <w:r w:rsidR="00417FD4">
        <w:t>filing of a c</w:t>
      </w:r>
      <w:r w:rsidR="008B31A6">
        <w:t>omplaint against the employer</w:t>
      </w:r>
      <w:r w:rsidR="00375199">
        <w:t xml:space="preserve"> and that the family </w:t>
      </w:r>
      <w:r w:rsidR="00320425">
        <w:t xml:space="preserve">of the deceased </w:t>
      </w:r>
      <w:r w:rsidR="00375199">
        <w:t>has the</w:t>
      </w:r>
      <w:r w:rsidR="00B77CB7">
        <w:t xml:space="preserve"> right to request reparations</w:t>
      </w:r>
      <w:r w:rsidR="00B3690D">
        <w:t xml:space="preserve">. </w:t>
      </w:r>
      <w:r w:rsidR="008B31A6">
        <w:t>Nevertheless, the Committee is concerned about reports of deaths among migrant workers on construction sites in Qatar</w:t>
      </w:r>
      <w:r w:rsidR="00DA67CF">
        <w:t>,</w:t>
      </w:r>
      <w:r w:rsidR="00F2361E">
        <w:t xml:space="preserve"> </w:t>
      </w:r>
      <w:r w:rsidR="00F2361E" w:rsidRPr="00BD16A4">
        <w:t xml:space="preserve">including those </w:t>
      </w:r>
      <w:r w:rsidR="00F2361E" w:rsidRPr="00BD16A4">
        <w:lastRenderedPageBreak/>
        <w:t xml:space="preserve">in preparation for the 2022 </w:t>
      </w:r>
      <w:r w:rsidR="00B2512E">
        <w:t xml:space="preserve">Football </w:t>
      </w:r>
      <w:r w:rsidR="00F2361E" w:rsidRPr="00BD16A4">
        <w:t>World Cup,</w:t>
      </w:r>
      <w:r w:rsidR="00BD16A4">
        <w:t xml:space="preserve"> </w:t>
      </w:r>
      <w:r w:rsidR="008B31A6">
        <w:t xml:space="preserve">the absence of </w:t>
      </w:r>
      <w:r w:rsidR="00DA67CF">
        <w:t>clear information regarding the number of migrant workers deceased</w:t>
      </w:r>
      <w:r w:rsidR="00BD16A4">
        <w:t xml:space="preserve">, </w:t>
      </w:r>
      <w:r w:rsidR="00DA67CF">
        <w:t xml:space="preserve">the </w:t>
      </w:r>
      <w:r w:rsidR="00F919BE">
        <w:t xml:space="preserve">investigations conducted and the reparations </w:t>
      </w:r>
      <w:r w:rsidR="00320425">
        <w:t xml:space="preserve">provided </w:t>
      </w:r>
      <w:r w:rsidR="00F919BE">
        <w:t>for the families (arts. 2 and 6)</w:t>
      </w:r>
      <w:r w:rsidR="00F2361E">
        <w:t xml:space="preserve">. </w:t>
      </w:r>
    </w:p>
    <w:p w14:paraId="7A4E8D27" w14:textId="447A01F9" w:rsidR="00417FD4" w:rsidRPr="00FF579A" w:rsidRDefault="003D2EC3" w:rsidP="003D2EC3">
      <w:pPr>
        <w:pStyle w:val="ParaNoG"/>
        <w:numPr>
          <w:ilvl w:val="0"/>
          <w:numId w:val="0"/>
        </w:numPr>
        <w:tabs>
          <w:tab w:val="left" w:pos="1134"/>
        </w:tabs>
        <w:ind w:left="1134"/>
        <w:rPr>
          <w:b/>
        </w:rPr>
      </w:pPr>
      <w:r w:rsidRPr="003D2EC3">
        <w:rPr>
          <w:bCs/>
        </w:rPr>
        <w:t>23.</w:t>
      </w:r>
      <w:r w:rsidRPr="003D2EC3">
        <w:rPr>
          <w:bCs/>
        </w:rPr>
        <w:tab/>
      </w:r>
      <w:r w:rsidR="00F2361E" w:rsidRPr="00BD16A4">
        <w:rPr>
          <w:b/>
        </w:rPr>
        <w:t>The State party should</w:t>
      </w:r>
      <w:r w:rsidR="00F2361E" w:rsidRPr="00FF579A">
        <w:rPr>
          <w:b/>
        </w:rPr>
        <w:t xml:space="preserve"> continue and intensify its efforts to prevent the death</w:t>
      </w:r>
      <w:r w:rsidR="00FF579A" w:rsidRPr="00FF579A">
        <w:rPr>
          <w:b/>
        </w:rPr>
        <w:t xml:space="preserve"> of migrant workers, including on constructions sites</w:t>
      </w:r>
      <w:r w:rsidR="00F2361E" w:rsidRPr="00FF579A">
        <w:rPr>
          <w:b/>
        </w:rPr>
        <w:t xml:space="preserve">, </w:t>
      </w:r>
      <w:r w:rsidR="00AE595C">
        <w:rPr>
          <w:b/>
        </w:rPr>
        <w:t xml:space="preserve">in particular by </w:t>
      </w:r>
      <w:r w:rsidR="00F2361E" w:rsidRPr="00FF579A">
        <w:rPr>
          <w:b/>
        </w:rPr>
        <w:t>effectively enforcing the measures adopted to protect the safety and health of workers</w:t>
      </w:r>
      <w:r w:rsidR="00EE536B">
        <w:rPr>
          <w:b/>
        </w:rPr>
        <w:t xml:space="preserve"> as well as</w:t>
      </w:r>
      <w:r w:rsidR="00F2361E" w:rsidRPr="00FF579A">
        <w:rPr>
          <w:b/>
        </w:rPr>
        <w:t xml:space="preserve"> the legal framework concerning investigations of </w:t>
      </w:r>
      <w:r w:rsidR="00EE536B">
        <w:rPr>
          <w:b/>
        </w:rPr>
        <w:t xml:space="preserve">workplace </w:t>
      </w:r>
      <w:r w:rsidR="00F2361E" w:rsidRPr="00FF579A">
        <w:rPr>
          <w:b/>
        </w:rPr>
        <w:t xml:space="preserve">incidents and reparations for the families. </w:t>
      </w:r>
    </w:p>
    <w:p w14:paraId="058EDB48" w14:textId="336662CE" w:rsidR="00353BC7" w:rsidRPr="00353BC7" w:rsidRDefault="00686FFC" w:rsidP="00D253C7">
      <w:pPr>
        <w:pStyle w:val="H23G"/>
        <w:ind w:left="2268"/>
      </w:pPr>
      <w:r>
        <w:t xml:space="preserve">Discrimination, exploitation and abuse of </w:t>
      </w:r>
      <w:r w:rsidR="00B609C1">
        <w:t xml:space="preserve">migrant </w:t>
      </w:r>
      <w:r>
        <w:t xml:space="preserve">workers </w:t>
      </w:r>
    </w:p>
    <w:p w14:paraId="44AE38A7" w14:textId="7E7EC670" w:rsidR="00B609C1" w:rsidRDefault="003D2EC3" w:rsidP="003D2EC3">
      <w:pPr>
        <w:pStyle w:val="ParaNoG"/>
        <w:numPr>
          <w:ilvl w:val="0"/>
          <w:numId w:val="0"/>
        </w:numPr>
        <w:tabs>
          <w:tab w:val="left" w:pos="1134"/>
        </w:tabs>
        <w:ind w:left="1134"/>
      </w:pPr>
      <w:r>
        <w:t>24.</w:t>
      </w:r>
      <w:r>
        <w:tab/>
      </w:r>
      <w:r w:rsidR="00B609C1" w:rsidRPr="00B3690D">
        <w:t>The Committee</w:t>
      </w:r>
      <w:r w:rsidR="00B609C1">
        <w:t xml:space="preserve"> </w:t>
      </w:r>
      <w:r w:rsidR="0068537C">
        <w:t>welcome</w:t>
      </w:r>
      <w:r w:rsidR="00B609C1">
        <w:t>s</w:t>
      </w:r>
      <w:r w:rsidR="0068537C">
        <w:t xml:space="preserve"> </w:t>
      </w:r>
      <w:r w:rsidR="00B609C1">
        <w:t>the legislative measures adopted by the State party to abolish the sponsorship (</w:t>
      </w:r>
      <w:proofErr w:type="spellStart"/>
      <w:r w:rsidR="00B609C1" w:rsidRPr="00B609C1">
        <w:rPr>
          <w:i/>
        </w:rPr>
        <w:t>kafala</w:t>
      </w:r>
      <w:proofErr w:type="spellEnd"/>
      <w:r w:rsidR="00B609C1">
        <w:t xml:space="preserve">) system and to protect migrant workers, including migrant domestic workers. Nevertheless, the </w:t>
      </w:r>
      <w:r w:rsidR="0068537C">
        <w:t>C</w:t>
      </w:r>
      <w:r w:rsidR="00B609C1">
        <w:t>ommittee is concerned about</w:t>
      </w:r>
      <w:r w:rsidR="00635957">
        <w:t xml:space="preserve"> the challenges in effectively enforcing the legisla</w:t>
      </w:r>
      <w:r w:rsidR="00C67302">
        <w:t>tion and that</w:t>
      </w:r>
      <w:r w:rsidR="00D47331">
        <w:t>,</w:t>
      </w:r>
      <w:r w:rsidR="00C67302">
        <w:t xml:space="preserve"> despite the State party’s efforts to protect migrant workers, employers </w:t>
      </w:r>
      <w:r w:rsidR="00D47331">
        <w:t xml:space="preserve">continue to </w:t>
      </w:r>
      <w:r w:rsidR="00B1403D">
        <w:t xml:space="preserve">violate the prohibition </w:t>
      </w:r>
      <w:r w:rsidR="00992350">
        <w:t>on</w:t>
      </w:r>
      <w:r w:rsidR="00B1403D">
        <w:t xml:space="preserve"> </w:t>
      </w:r>
      <w:r w:rsidR="00992350">
        <w:t>confiscating</w:t>
      </w:r>
      <w:r w:rsidR="00B1403D">
        <w:t xml:space="preserve"> </w:t>
      </w:r>
      <w:r w:rsidR="00D47331">
        <w:t xml:space="preserve">passports and </w:t>
      </w:r>
      <w:r w:rsidR="00B1403D">
        <w:t xml:space="preserve">to withhold </w:t>
      </w:r>
      <w:r w:rsidR="00D47331">
        <w:t>salaries of employees, which worsened during the COVID-19 pandemic. It is also concerned about allegations that migrant domestic workers are subjected to abuse and exploitation, including excessive working hours, the denial of weekly rest days, and verbal, physical and sexual abuse</w:t>
      </w:r>
      <w:r w:rsidR="00A11E2E">
        <w:t xml:space="preserve">. The Committee is further concerned about information indicating that the </w:t>
      </w:r>
      <w:r w:rsidR="00A314F5">
        <w:t xml:space="preserve">reported </w:t>
      </w:r>
      <w:r w:rsidR="00A11E2E">
        <w:t xml:space="preserve">cases of abuse against migrant workers, in particular domestic workers, are underrepresented owing to fear of reprisal from the employer and the risk </w:t>
      </w:r>
      <w:r w:rsidR="00A11E2E" w:rsidRPr="00547021">
        <w:t xml:space="preserve">of being accused of </w:t>
      </w:r>
      <w:r w:rsidR="00A11E2E">
        <w:t>leaving the workplace without permission (“</w:t>
      </w:r>
      <w:r w:rsidR="00A11E2E" w:rsidRPr="00547021">
        <w:t>absconding”</w:t>
      </w:r>
      <w:r w:rsidR="00A11E2E">
        <w:t>)</w:t>
      </w:r>
      <w:r w:rsidR="00A11E2E" w:rsidRPr="00547021">
        <w:t xml:space="preserve"> and </w:t>
      </w:r>
      <w:r w:rsidR="00A80A82">
        <w:t xml:space="preserve">then </w:t>
      </w:r>
      <w:r w:rsidR="00A11E2E">
        <w:t xml:space="preserve">of being </w:t>
      </w:r>
      <w:r w:rsidR="00A11E2E" w:rsidRPr="00547021">
        <w:t>detained or deported</w:t>
      </w:r>
      <w:r w:rsidR="00A11E2E">
        <w:t xml:space="preserve"> (arts. 2, 7, 8, 12 and 26)</w:t>
      </w:r>
      <w:r w:rsidR="00992350">
        <w:t xml:space="preserve">. </w:t>
      </w:r>
    </w:p>
    <w:p w14:paraId="117DAEBC" w14:textId="6BCD70B4" w:rsidR="001D010F" w:rsidRDefault="003D2EC3" w:rsidP="003D2EC3">
      <w:pPr>
        <w:pStyle w:val="ParaNoG"/>
        <w:numPr>
          <w:ilvl w:val="0"/>
          <w:numId w:val="0"/>
        </w:numPr>
        <w:tabs>
          <w:tab w:val="left" w:pos="1134"/>
        </w:tabs>
        <w:ind w:left="1134"/>
        <w:rPr>
          <w:b/>
        </w:rPr>
      </w:pPr>
      <w:r w:rsidRPr="003D2EC3">
        <w:rPr>
          <w:bCs/>
        </w:rPr>
        <w:t>25.</w:t>
      </w:r>
      <w:r w:rsidRPr="003D2EC3">
        <w:rPr>
          <w:bCs/>
        </w:rPr>
        <w:tab/>
      </w:r>
      <w:r w:rsidR="001D010F" w:rsidRPr="00B3690D">
        <w:rPr>
          <w:b/>
        </w:rPr>
        <w:t>The State party should:</w:t>
      </w:r>
      <w:r w:rsidR="001D010F">
        <w:rPr>
          <w:b/>
        </w:rPr>
        <w:t xml:space="preserve"> a) </w:t>
      </w:r>
      <w:r w:rsidR="001D010F" w:rsidRPr="00FF579A">
        <w:rPr>
          <w:b/>
        </w:rPr>
        <w:t xml:space="preserve">continue and intensify its efforts to </w:t>
      </w:r>
      <w:r w:rsidR="001D010F">
        <w:rPr>
          <w:b/>
        </w:rPr>
        <w:t>ensure the strict enforcement of legislation protecting migrant workers</w:t>
      </w:r>
      <w:r w:rsidR="00DA5810">
        <w:rPr>
          <w:b/>
        </w:rPr>
        <w:t xml:space="preserve"> </w:t>
      </w:r>
      <w:r w:rsidR="001D010F">
        <w:rPr>
          <w:b/>
        </w:rPr>
        <w:t xml:space="preserve">including domestic workers, </w:t>
      </w:r>
      <w:r w:rsidR="00A80A82">
        <w:rPr>
          <w:b/>
        </w:rPr>
        <w:t xml:space="preserve">from abuse </w:t>
      </w:r>
      <w:r w:rsidR="001D010F">
        <w:rPr>
          <w:b/>
        </w:rPr>
        <w:t>and increase the conduct of regular labour inspections; b)</w:t>
      </w:r>
      <w:r w:rsidR="00CC5587">
        <w:rPr>
          <w:b/>
        </w:rPr>
        <w:t xml:space="preserve"> </w:t>
      </w:r>
      <w:r w:rsidR="001D010F">
        <w:rPr>
          <w:b/>
        </w:rPr>
        <w:t>investigate allegations of abuse, prosecute and sanction abusive employers and recruitment companies</w:t>
      </w:r>
      <w:r w:rsidR="00DA5810">
        <w:rPr>
          <w:b/>
        </w:rPr>
        <w:t>,</w:t>
      </w:r>
      <w:r w:rsidR="001D010F">
        <w:rPr>
          <w:b/>
        </w:rPr>
        <w:t xml:space="preserve"> and provide reparation to </w:t>
      </w:r>
      <w:r w:rsidR="00DA5810">
        <w:rPr>
          <w:b/>
        </w:rPr>
        <w:t>victims</w:t>
      </w:r>
      <w:r w:rsidR="001D010F">
        <w:rPr>
          <w:b/>
        </w:rPr>
        <w:t>; and</w:t>
      </w:r>
      <w:r w:rsidR="00DA5810">
        <w:rPr>
          <w:b/>
        </w:rPr>
        <w:t xml:space="preserve"> c)</w:t>
      </w:r>
      <w:r w:rsidR="001D010F">
        <w:rPr>
          <w:b/>
        </w:rPr>
        <w:t xml:space="preserve"> provide access to effective legal remedies for protection of the rights of migrant workers, including domestic workers, without fear of reprisal, detention or deportation</w:t>
      </w:r>
      <w:r w:rsidR="00DA5810">
        <w:rPr>
          <w:b/>
        </w:rPr>
        <w:t>.</w:t>
      </w:r>
      <w:r w:rsidR="001D010F">
        <w:rPr>
          <w:b/>
        </w:rPr>
        <w:t xml:space="preserve"> </w:t>
      </w:r>
    </w:p>
    <w:p w14:paraId="6061EB73" w14:textId="4FA45647" w:rsidR="00353BC7" w:rsidRPr="00353BC7" w:rsidRDefault="00916825" w:rsidP="00D253C7">
      <w:pPr>
        <w:pStyle w:val="H23G"/>
        <w:ind w:left="2268"/>
      </w:pPr>
      <w:r>
        <w:t>Trafficking</w:t>
      </w:r>
      <w:r w:rsidR="00E74747">
        <w:t xml:space="preserve"> in persons</w:t>
      </w:r>
    </w:p>
    <w:p w14:paraId="22D8EC55" w14:textId="43D209C4" w:rsidR="00353BC7" w:rsidRDefault="003D2EC3" w:rsidP="003D2EC3">
      <w:pPr>
        <w:pStyle w:val="ParaNoG"/>
        <w:numPr>
          <w:ilvl w:val="0"/>
          <w:numId w:val="0"/>
        </w:numPr>
        <w:tabs>
          <w:tab w:val="left" w:pos="1134"/>
        </w:tabs>
        <w:ind w:left="1134"/>
      </w:pPr>
      <w:r>
        <w:t>26.</w:t>
      </w:r>
      <w:r>
        <w:tab/>
      </w:r>
      <w:r w:rsidR="00C90654" w:rsidRPr="00B3690D">
        <w:t>The Committee welcomes</w:t>
      </w:r>
      <w:r w:rsidR="00C90654">
        <w:t xml:space="preserve"> the information provided by the State party on the work of the National Committee for Combatting Human Trafficking and on the National Plan for Combatting Human Trafficking 2017-2022. It is concerned, however, about the limited information on trafficking in persons, in particular about investigations, prosecutions, convictions and reparations for the victims of trafficking</w:t>
      </w:r>
      <w:r w:rsidR="00D552C8">
        <w:t xml:space="preserve"> (2, 8 and 26)</w:t>
      </w:r>
      <w:r w:rsidR="00C90654">
        <w:t>.</w:t>
      </w:r>
      <w:r w:rsidR="00935286">
        <w:t xml:space="preserve"> </w:t>
      </w:r>
    </w:p>
    <w:p w14:paraId="000DC66C" w14:textId="3B158668" w:rsidR="001E5699" w:rsidRDefault="003D2EC3" w:rsidP="003D2EC3">
      <w:pPr>
        <w:pStyle w:val="ParaNoG"/>
        <w:numPr>
          <w:ilvl w:val="0"/>
          <w:numId w:val="0"/>
        </w:numPr>
        <w:tabs>
          <w:tab w:val="left" w:pos="1134"/>
        </w:tabs>
        <w:ind w:left="1134"/>
      </w:pPr>
      <w:r>
        <w:t>27.</w:t>
      </w:r>
      <w:r>
        <w:tab/>
      </w:r>
      <w:r w:rsidR="00C90654" w:rsidRPr="00B3690D">
        <w:rPr>
          <w:b/>
        </w:rPr>
        <w:t>The State party</w:t>
      </w:r>
      <w:r w:rsidR="00C90654" w:rsidRPr="00C90654">
        <w:rPr>
          <w:b/>
        </w:rPr>
        <w:t xml:space="preserve"> should </w:t>
      </w:r>
      <w:r w:rsidR="002D2F1D">
        <w:rPr>
          <w:b/>
        </w:rPr>
        <w:t xml:space="preserve">intensify </w:t>
      </w:r>
      <w:r w:rsidR="00C90654" w:rsidRPr="00C90654">
        <w:rPr>
          <w:b/>
        </w:rPr>
        <w:t>its efforts to prevent</w:t>
      </w:r>
      <w:r w:rsidR="002D2F1D">
        <w:rPr>
          <w:b/>
        </w:rPr>
        <w:t xml:space="preserve"> and combat</w:t>
      </w:r>
      <w:r w:rsidR="00C90654" w:rsidRPr="00C90654">
        <w:rPr>
          <w:b/>
        </w:rPr>
        <w:t xml:space="preserve"> trafficking in persons. In particular, it should improve its system for collecting data on trafficking cases in order to evaluate the scope of the phenomenon and to assess the efficiency of the measures </w:t>
      </w:r>
      <w:r w:rsidR="002D2F1D">
        <w:rPr>
          <w:b/>
        </w:rPr>
        <w:t xml:space="preserve">adopted </w:t>
      </w:r>
      <w:r w:rsidR="00C90654" w:rsidRPr="00C90654">
        <w:rPr>
          <w:b/>
        </w:rPr>
        <w:t xml:space="preserve">to combat trafficking. It should also </w:t>
      </w:r>
      <w:r w:rsidR="00C90654">
        <w:rPr>
          <w:b/>
        </w:rPr>
        <w:t xml:space="preserve">ensure that </w:t>
      </w:r>
      <w:r w:rsidR="00C90654" w:rsidRPr="00C90654">
        <w:rPr>
          <w:b/>
        </w:rPr>
        <w:t xml:space="preserve">cases of human trafficking are thoroughly investigated, that perpetrators are brought to justice </w:t>
      </w:r>
      <w:r w:rsidR="002D2F1D">
        <w:rPr>
          <w:b/>
        </w:rPr>
        <w:t>and sentence</w:t>
      </w:r>
      <w:r w:rsidR="009C5F25">
        <w:rPr>
          <w:b/>
        </w:rPr>
        <w:t>d appropriately if found guilty</w:t>
      </w:r>
      <w:r w:rsidR="002D2F1D">
        <w:rPr>
          <w:b/>
        </w:rPr>
        <w:t xml:space="preserve">, and </w:t>
      </w:r>
      <w:r w:rsidR="00C90654" w:rsidRPr="00C90654">
        <w:rPr>
          <w:b/>
        </w:rPr>
        <w:t>that victims receive full reparation and means of protection.</w:t>
      </w:r>
      <w:r w:rsidR="00C90654">
        <w:t xml:space="preserve"> </w:t>
      </w:r>
    </w:p>
    <w:p w14:paraId="35EAC1B9" w14:textId="252110FF" w:rsidR="00353BC7" w:rsidRPr="00353BC7" w:rsidRDefault="00D253C7" w:rsidP="00D253C7">
      <w:pPr>
        <w:pStyle w:val="H23G"/>
        <w:ind w:left="2268"/>
      </w:pPr>
      <w:r>
        <w:t>T</w:t>
      </w:r>
      <w:r w:rsidR="00353BC7" w:rsidRPr="00353BC7">
        <w:t>orture and other cruel, inhuman or degrading treatment or punishment</w:t>
      </w:r>
    </w:p>
    <w:p w14:paraId="2AED41A7" w14:textId="2964D5A5" w:rsidR="001569C5" w:rsidRPr="00220408" w:rsidRDefault="003D2EC3" w:rsidP="003D2EC3">
      <w:pPr>
        <w:pStyle w:val="ParaNoG"/>
        <w:numPr>
          <w:ilvl w:val="0"/>
          <w:numId w:val="0"/>
        </w:numPr>
        <w:tabs>
          <w:tab w:val="left" w:pos="1134"/>
        </w:tabs>
        <w:ind w:left="1134"/>
      </w:pPr>
      <w:r w:rsidRPr="00220408">
        <w:t>28.</w:t>
      </w:r>
      <w:r w:rsidRPr="00220408">
        <w:tab/>
      </w:r>
      <w:r w:rsidR="001569C5" w:rsidRPr="00220408">
        <w:t>The Committee regrets not having received information on the measures adopted by the State party to ensure that its national legislation enshrines the absolute prohibition of torture and its non-</w:t>
      </w:r>
      <w:proofErr w:type="spellStart"/>
      <w:r w:rsidR="001569C5" w:rsidRPr="00220408">
        <w:t>derogable</w:t>
      </w:r>
      <w:proofErr w:type="spellEnd"/>
      <w:r w:rsidR="001569C5" w:rsidRPr="00220408">
        <w:t xml:space="preserve"> nature. The Committee is concerned about the uncertainty regarding the minimum sentences for acts of torture and about the lack of clarity on the kind of conduct covered under article 161 of the Criminal Code, which is punishable by a penalty of up to 3 years of prison, and the difference from other acts of torture covered by articles 159 and 159bis of the Criminal Code. The Committee is further concerned about the information provided by the State party on the lack of complaints alleging torture, which might be indicative of a problem with </w:t>
      </w:r>
      <w:r w:rsidR="001441CA">
        <w:t xml:space="preserve">reporting and </w:t>
      </w:r>
      <w:r w:rsidR="001569C5" w:rsidRPr="00220408">
        <w:t xml:space="preserve">the availability and effectiveness of remedies and the State party’s mechanisms of accountability (arts. 2 and 7). </w:t>
      </w:r>
    </w:p>
    <w:p w14:paraId="7BF4BCCB" w14:textId="56C8887A" w:rsidR="001569C5" w:rsidRPr="00220408" w:rsidRDefault="003D2EC3" w:rsidP="003D2EC3">
      <w:pPr>
        <w:pStyle w:val="ParaNoG"/>
        <w:numPr>
          <w:ilvl w:val="0"/>
          <w:numId w:val="0"/>
        </w:numPr>
        <w:tabs>
          <w:tab w:val="left" w:pos="1134"/>
        </w:tabs>
        <w:ind w:left="1134"/>
        <w:rPr>
          <w:b/>
        </w:rPr>
      </w:pPr>
      <w:r w:rsidRPr="003D2EC3">
        <w:rPr>
          <w:bCs/>
        </w:rPr>
        <w:lastRenderedPageBreak/>
        <w:t>29.</w:t>
      </w:r>
      <w:r w:rsidRPr="003D2EC3">
        <w:rPr>
          <w:bCs/>
        </w:rPr>
        <w:tab/>
      </w:r>
      <w:r w:rsidR="00F07004" w:rsidRPr="00220408">
        <w:rPr>
          <w:b/>
        </w:rPr>
        <w:t>The State party should</w:t>
      </w:r>
      <w:r w:rsidR="00D2012C" w:rsidRPr="00220408">
        <w:rPr>
          <w:b/>
        </w:rPr>
        <w:t xml:space="preserve">: </w:t>
      </w:r>
    </w:p>
    <w:p w14:paraId="383EA823" w14:textId="27FA32B9" w:rsidR="001E5699" w:rsidRPr="00220408" w:rsidRDefault="003D2EC3" w:rsidP="003D2EC3">
      <w:pPr>
        <w:pStyle w:val="ParaNoG"/>
        <w:numPr>
          <w:ilvl w:val="0"/>
          <w:numId w:val="0"/>
        </w:numPr>
        <w:tabs>
          <w:tab w:val="left" w:pos="1134"/>
        </w:tabs>
        <w:ind w:left="1134" w:firstLine="567"/>
        <w:rPr>
          <w:b/>
        </w:rPr>
      </w:pPr>
      <w:r>
        <w:rPr>
          <w:b/>
        </w:rPr>
        <w:t>(</w:t>
      </w:r>
      <w:r w:rsidRPr="00220408">
        <w:rPr>
          <w:b/>
        </w:rPr>
        <w:t>a)</w:t>
      </w:r>
      <w:r w:rsidRPr="00220408">
        <w:rPr>
          <w:b/>
        </w:rPr>
        <w:tab/>
      </w:r>
      <w:r w:rsidR="001569C5" w:rsidRPr="00220408">
        <w:rPr>
          <w:b/>
        </w:rPr>
        <w:t>Ensure that its legislation explicitly provides that the prohibition of torture is absolute and non-</w:t>
      </w:r>
      <w:proofErr w:type="spellStart"/>
      <w:r w:rsidR="001569C5" w:rsidRPr="00220408">
        <w:rPr>
          <w:b/>
        </w:rPr>
        <w:t>derogable</w:t>
      </w:r>
      <w:proofErr w:type="spellEnd"/>
      <w:r w:rsidR="001569C5" w:rsidRPr="00220408">
        <w:rPr>
          <w:b/>
        </w:rPr>
        <w:t>;</w:t>
      </w:r>
    </w:p>
    <w:p w14:paraId="1E535B8F" w14:textId="4478B973" w:rsidR="001569C5" w:rsidRPr="00220408" w:rsidRDefault="003D2EC3" w:rsidP="003D2EC3">
      <w:pPr>
        <w:pStyle w:val="ParaNoG"/>
        <w:numPr>
          <w:ilvl w:val="0"/>
          <w:numId w:val="0"/>
        </w:numPr>
        <w:tabs>
          <w:tab w:val="left" w:pos="1134"/>
        </w:tabs>
        <w:ind w:left="1134" w:firstLine="567"/>
        <w:rPr>
          <w:b/>
        </w:rPr>
      </w:pPr>
      <w:r>
        <w:rPr>
          <w:b/>
        </w:rPr>
        <w:t>(</w:t>
      </w:r>
      <w:r w:rsidRPr="00220408">
        <w:rPr>
          <w:b/>
        </w:rPr>
        <w:t>b)</w:t>
      </w:r>
      <w:r w:rsidRPr="00220408">
        <w:rPr>
          <w:b/>
        </w:rPr>
        <w:tab/>
      </w:r>
      <w:r w:rsidR="001569C5" w:rsidRPr="00220408">
        <w:rPr>
          <w:b/>
        </w:rPr>
        <w:t xml:space="preserve">Provide for sanctions for </w:t>
      </w:r>
      <w:r w:rsidR="00B33EF2">
        <w:rPr>
          <w:b/>
        </w:rPr>
        <w:t xml:space="preserve">all </w:t>
      </w:r>
      <w:r w:rsidR="001569C5" w:rsidRPr="00220408">
        <w:rPr>
          <w:b/>
        </w:rPr>
        <w:t>acts of torture that are commensurate with the gravity of such crimes</w:t>
      </w:r>
      <w:r w:rsidR="001569C5" w:rsidRPr="00220408">
        <w:rPr>
          <w:b/>
          <w:bCs/>
        </w:rPr>
        <w:t>;</w:t>
      </w:r>
    </w:p>
    <w:p w14:paraId="313B2E29" w14:textId="666F4D3D" w:rsidR="001569C5" w:rsidRPr="00220408" w:rsidRDefault="003D2EC3" w:rsidP="003D2EC3">
      <w:pPr>
        <w:pStyle w:val="ParaNoG"/>
        <w:numPr>
          <w:ilvl w:val="0"/>
          <w:numId w:val="0"/>
        </w:numPr>
        <w:tabs>
          <w:tab w:val="left" w:pos="1134"/>
        </w:tabs>
        <w:ind w:left="1134" w:firstLine="567"/>
        <w:rPr>
          <w:b/>
        </w:rPr>
      </w:pPr>
      <w:r>
        <w:rPr>
          <w:b/>
        </w:rPr>
        <w:t>(</w:t>
      </w:r>
      <w:r w:rsidRPr="00220408">
        <w:rPr>
          <w:b/>
        </w:rPr>
        <w:t>c)</w:t>
      </w:r>
      <w:r w:rsidRPr="00220408">
        <w:rPr>
          <w:b/>
        </w:rPr>
        <w:tab/>
      </w:r>
      <w:r w:rsidR="001569C5" w:rsidRPr="00220408">
        <w:rPr>
          <w:b/>
          <w:bCs/>
        </w:rPr>
        <w:t xml:space="preserve">Set up an accessible, independent and effective mechanism to receive complaints and investigate alleged cases of torture </w:t>
      </w:r>
      <w:r w:rsidR="008A5497" w:rsidRPr="00220408">
        <w:rPr>
          <w:b/>
          <w:bCs/>
        </w:rPr>
        <w:t xml:space="preserve">or ill-treatment </w:t>
      </w:r>
      <w:r w:rsidR="001569C5" w:rsidRPr="00220408">
        <w:rPr>
          <w:b/>
          <w:bCs/>
        </w:rPr>
        <w:t>and ensure that victims have access to full reparation.</w:t>
      </w:r>
      <w:r w:rsidR="001569C5" w:rsidRPr="00220408">
        <w:rPr>
          <w:bCs/>
        </w:rPr>
        <w:t xml:space="preserve">  </w:t>
      </w:r>
    </w:p>
    <w:p w14:paraId="5E176194" w14:textId="4E0BDECE" w:rsidR="0021290C" w:rsidRDefault="00CF4E1D" w:rsidP="00CF4E1D">
      <w:pPr>
        <w:pStyle w:val="H23G"/>
        <w:ind w:firstLine="0"/>
      </w:pPr>
      <w:r>
        <w:t xml:space="preserve">Liberty </w:t>
      </w:r>
      <w:r w:rsidR="009C5F25">
        <w:t>and security of person</w:t>
      </w:r>
    </w:p>
    <w:p w14:paraId="6A0E4DF0" w14:textId="36038775" w:rsidR="00787B62" w:rsidRPr="00FF4564" w:rsidRDefault="003D2EC3" w:rsidP="003D2EC3">
      <w:pPr>
        <w:pStyle w:val="ParaNoG"/>
        <w:numPr>
          <w:ilvl w:val="0"/>
          <w:numId w:val="0"/>
        </w:numPr>
        <w:tabs>
          <w:tab w:val="left" w:pos="1134"/>
        </w:tabs>
        <w:ind w:left="1134"/>
      </w:pPr>
      <w:r w:rsidRPr="00FF4564">
        <w:t>30.</w:t>
      </w:r>
      <w:r w:rsidRPr="00FF4564">
        <w:tab/>
      </w:r>
      <w:r w:rsidR="00CF4E1D" w:rsidRPr="00B3690D">
        <w:t>The Committee</w:t>
      </w:r>
      <w:r w:rsidR="00CF4E1D">
        <w:t xml:space="preserve"> is concerned about: </w:t>
      </w:r>
      <w:r w:rsidR="00FF4564">
        <w:t>(a) t</w:t>
      </w:r>
      <w:r w:rsidR="00FF4564" w:rsidRPr="00FF4564">
        <w:t>he criminalisation of various non-violent acts, including adultery, intimate relations outside wedlock</w:t>
      </w:r>
      <w:r w:rsidR="00FF4564" w:rsidRPr="006D43BC">
        <w:t>, same-sex relations,</w:t>
      </w:r>
      <w:r w:rsidR="00FF4564" w:rsidRPr="00FF4564">
        <w:t xml:space="preserve"> begging, consumption of alcohol and substance abuse;</w:t>
      </w:r>
      <w:r w:rsidR="00FF4564">
        <w:t xml:space="preserve"> (b)</w:t>
      </w:r>
      <w:r w:rsidR="00021879">
        <w:t xml:space="preserve"> </w:t>
      </w:r>
      <w:r w:rsidR="00F83F1F">
        <w:t xml:space="preserve">certain </w:t>
      </w:r>
      <w:r w:rsidR="00021879">
        <w:t>p</w:t>
      </w:r>
      <w:r w:rsidR="00021879" w:rsidRPr="00FF4564">
        <w:rPr>
          <w:bCs/>
        </w:rPr>
        <w:t>rovisions of the</w:t>
      </w:r>
      <w:r w:rsidR="00021879">
        <w:rPr>
          <w:bCs/>
        </w:rPr>
        <w:t xml:space="preserve"> Code of Criminal Procedure</w:t>
      </w:r>
      <w:r w:rsidR="00021879" w:rsidRPr="00FF4564">
        <w:rPr>
          <w:bCs/>
        </w:rPr>
        <w:t xml:space="preserve">, in particular article 117, which allows for the possibility of prolonged pre-trial detention and </w:t>
      </w:r>
      <w:r w:rsidR="00F83F1F">
        <w:rPr>
          <w:bCs/>
        </w:rPr>
        <w:t>allegations</w:t>
      </w:r>
      <w:r w:rsidR="00021879" w:rsidRPr="00FF4564">
        <w:rPr>
          <w:bCs/>
        </w:rPr>
        <w:t xml:space="preserve"> that many </w:t>
      </w:r>
      <w:r w:rsidR="00021879">
        <w:rPr>
          <w:bCs/>
        </w:rPr>
        <w:t>prisoners</w:t>
      </w:r>
      <w:r w:rsidR="00021879" w:rsidRPr="00FF4564">
        <w:rPr>
          <w:bCs/>
        </w:rPr>
        <w:t xml:space="preserve"> are being held in pre-trial detention for lengthy periods</w:t>
      </w:r>
      <w:r w:rsidR="00D62E29">
        <w:t>;</w:t>
      </w:r>
      <w:r w:rsidR="00FF4564">
        <w:t xml:space="preserve"> and (c)</w:t>
      </w:r>
      <w:r w:rsidR="00021879" w:rsidRPr="00021879">
        <w:t xml:space="preserve"> </w:t>
      </w:r>
      <w:r w:rsidR="00021879">
        <w:t>reports of individuals detained due to the inability to repay a debt, in particular foreign nationals</w:t>
      </w:r>
      <w:r w:rsidR="00FF4564">
        <w:t xml:space="preserve"> </w:t>
      </w:r>
      <w:r w:rsidR="00DC6EC2">
        <w:rPr>
          <w:bCs/>
        </w:rPr>
        <w:t>(arts. 9 and 11)</w:t>
      </w:r>
      <w:r w:rsidR="00B3690D">
        <w:rPr>
          <w:bCs/>
        </w:rPr>
        <w:t>.</w:t>
      </w:r>
    </w:p>
    <w:p w14:paraId="305F1967" w14:textId="44D18C63" w:rsidR="00A267CE" w:rsidRPr="00012F8C" w:rsidRDefault="003D2EC3" w:rsidP="003D2EC3">
      <w:pPr>
        <w:pStyle w:val="ParaNoG"/>
        <w:numPr>
          <w:ilvl w:val="0"/>
          <w:numId w:val="0"/>
        </w:numPr>
        <w:tabs>
          <w:tab w:val="left" w:pos="1134"/>
        </w:tabs>
        <w:ind w:left="1134"/>
        <w:rPr>
          <w:b/>
        </w:rPr>
      </w:pPr>
      <w:r w:rsidRPr="002B1078">
        <w:t>31</w:t>
      </w:r>
      <w:r w:rsidRPr="00012F8C">
        <w:rPr>
          <w:b/>
        </w:rPr>
        <w:t>.</w:t>
      </w:r>
      <w:r w:rsidRPr="00012F8C">
        <w:rPr>
          <w:b/>
        </w:rPr>
        <w:tab/>
      </w:r>
      <w:r w:rsidR="00A267CE" w:rsidRPr="00B3690D">
        <w:rPr>
          <w:b/>
        </w:rPr>
        <w:t>The State party</w:t>
      </w:r>
      <w:r w:rsidR="00A267CE" w:rsidRPr="00012F8C">
        <w:rPr>
          <w:b/>
        </w:rPr>
        <w:t xml:space="preserve"> should</w:t>
      </w:r>
      <w:r w:rsidR="00313FB7">
        <w:rPr>
          <w:b/>
        </w:rPr>
        <w:t xml:space="preserve"> </w:t>
      </w:r>
      <w:r w:rsidR="007B0D46">
        <w:rPr>
          <w:b/>
        </w:rPr>
        <w:t>bring its legislation and practices into compliance with article 9 of the Covenant, taking into account the Committee’s general comment N° 35 (2014) on liberty and security of person, and with article 11 of the Covenant. It should inter alia</w:t>
      </w:r>
      <w:r w:rsidR="00313FB7">
        <w:rPr>
          <w:b/>
        </w:rPr>
        <w:t>:</w:t>
      </w:r>
      <w:r w:rsidR="00A267CE" w:rsidRPr="00012F8C">
        <w:rPr>
          <w:b/>
        </w:rPr>
        <w:t xml:space="preserve"> </w:t>
      </w:r>
    </w:p>
    <w:p w14:paraId="57DB6471" w14:textId="00242814" w:rsidR="00C64F64" w:rsidRDefault="003D2EC3" w:rsidP="003D2EC3">
      <w:pPr>
        <w:pStyle w:val="ParaNoG"/>
        <w:numPr>
          <w:ilvl w:val="0"/>
          <w:numId w:val="0"/>
        </w:numPr>
        <w:tabs>
          <w:tab w:val="left" w:pos="1134"/>
        </w:tabs>
        <w:ind w:left="1134" w:firstLine="567"/>
        <w:rPr>
          <w:b/>
        </w:rPr>
      </w:pPr>
      <w:r>
        <w:rPr>
          <w:b/>
        </w:rPr>
        <w:t>(a)</w:t>
      </w:r>
      <w:r>
        <w:rPr>
          <w:b/>
        </w:rPr>
        <w:tab/>
      </w:r>
      <w:r w:rsidR="007B0D46">
        <w:rPr>
          <w:b/>
        </w:rPr>
        <w:t xml:space="preserve">Decriminalize </w:t>
      </w:r>
      <w:r w:rsidR="00012F8C" w:rsidRPr="00012F8C">
        <w:rPr>
          <w:b/>
        </w:rPr>
        <w:t>non-violent acts such as adultery, intimate relations out</w:t>
      </w:r>
      <w:r w:rsidR="00012F8C">
        <w:rPr>
          <w:b/>
        </w:rPr>
        <w:t>side wedlock</w:t>
      </w:r>
      <w:r w:rsidR="00012F8C" w:rsidRPr="00012F8C">
        <w:rPr>
          <w:b/>
        </w:rPr>
        <w:t xml:space="preserve">, </w:t>
      </w:r>
      <w:r w:rsidR="00012F8C" w:rsidRPr="006D43BC">
        <w:rPr>
          <w:b/>
        </w:rPr>
        <w:t>same sex relations,</w:t>
      </w:r>
      <w:r w:rsidR="00012F8C">
        <w:rPr>
          <w:b/>
        </w:rPr>
        <w:t xml:space="preserve"> </w:t>
      </w:r>
      <w:r w:rsidR="00012F8C" w:rsidRPr="00012F8C">
        <w:rPr>
          <w:b/>
        </w:rPr>
        <w:t xml:space="preserve">begging, consumption </w:t>
      </w:r>
      <w:r w:rsidR="00C64F64">
        <w:rPr>
          <w:b/>
        </w:rPr>
        <w:t>of alcohol and substance abuse;</w:t>
      </w:r>
    </w:p>
    <w:p w14:paraId="633F7A8F" w14:textId="0E210EE8" w:rsidR="00880D76" w:rsidRDefault="003D2EC3" w:rsidP="003D2EC3">
      <w:pPr>
        <w:pStyle w:val="ParaNoG"/>
        <w:numPr>
          <w:ilvl w:val="0"/>
          <w:numId w:val="0"/>
        </w:numPr>
        <w:tabs>
          <w:tab w:val="left" w:pos="1134"/>
        </w:tabs>
        <w:ind w:left="1134" w:firstLine="567"/>
        <w:rPr>
          <w:b/>
        </w:rPr>
      </w:pPr>
      <w:r>
        <w:rPr>
          <w:b/>
        </w:rPr>
        <w:t>(b)</w:t>
      </w:r>
      <w:r>
        <w:rPr>
          <w:b/>
        </w:rPr>
        <w:tab/>
      </w:r>
      <w:r w:rsidR="007B0D46">
        <w:rPr>
          <w:b/>
        </w:rPr>
        <w:t>Increase the use of non-custodial measures to pre-trial detention in practice</w:t>
      </w:r>
      <w:r w:rsidR="006D43BC">
        <w:rPr>
          <w:b/>
        </w:rPr>
        <w:t xml:space="preserve"> </w:t>
      </w:r>
      <w:r w:rsidR="00991863">
        <w:rPr>
          <w:b/>
        </w:rPr>
        <w:t>and ensure that pre-trial detention is an exceptional, reasonable and necessary measure based on individual circumstances, that is as short as possible, and that it</w:t>
      </w:r>
      <w:r w:rsidR="006D43BC">
        <w:rPr>
          <w:b/>
        </w:rPr>
        <w:t xml:space="preserve"> is </w:t>
      </w:r>
      <w:r w:rsidR="002211D8">
        <w:rPr>
          <w:b/>
        </w:rPr>
        <w:t xml:space="preserve">judicially </w:t>
      </w:r>
      <w:r w:rsidR="006D43BC">
        <w:rPr>
          <w:b/>
        </w:rPr>
        <w:t>reviewed on a regular basis</w:t>
      </w:r>
      <w:r w:rsidR="007B0D46">
        <w:rPr>
          <w:b/>
        </w:rPr>
        <w:t>;</w:t>
      </w:r>
      <w:r w:rsidR="00991863">
        <w:rPr>
          <w:b/>
        </w:rPr>
        <w:t xml:space="preserve"> </w:t>
      </w:r>
      <w:r w:rsidR="007B0D46">
        <w:rPr>
          <w:b/>
        </w:rPr>
        <w:t xml:space="preserve"> </w:t>
      </w:r>
    </w:p>
    <w:p w14:paraId="1A9254DC" w14:textId="676E5CA3" w:rsidR="007B0D46" w:rsidRPr="00C64F64" w:rsidRDefault="003D2EC3" w:rsidP="003D2EC3">
      <w:pPr>
        <w:pStyle w:val="ParaNoG"/>
        <w:numPr>
          <w:ilvl w:val="0"/>
          <w:numId w:val="0"/>
        </w:numPr>
        <w:tabs>
          <w:tab w:val="left" w:pos="1134"/>
        </w:tabs>
        <w:ind w:left="1134" w:firstLine="567"/>
        <w:rPr>
          <w:b/>
        </w:rPr>
      </w:pPr>
      <w:r>
        <w:rPr>
          <w:b/>
        </w:rPr>
        <w:t>(</w:t>
      </w:r>
      <w:r w:rsidRPr="00C64F64">
        <w:rPr>
          <w:b/>
        </w:rPr>
        <w:t>c)</w:t>
      </w:r>
      <w:r w:rsidRPr="00C64F64">
        <w:rPr>
          <w:b/>
        </w:rPr>
        <w:tab/>
      </w:r>
      <w:r w:rsidR="009D54C2">
        <w:rPr>
          <w:b/>
          <w:bCs/>
        </w:rPr>
        <w:t xml:space="preserve">Review the current legislation and practices to ensure that individuals are not imprisoned due to inability to repay a debt and implement alternative measures of recovery. </w:t>
      </w:r>
    </w:p>
    <w:p w14:paraId="60206BE6" w14:textId="5548F0F4" w:rsidR="001D0374" w:rsidRPr="001D0374" w:rsidRDefault="001D0374" w:rsidP="00EB3C7D">
      <w:pPr>
        <w:pStyle w:val="H23G"/>
        <w:ind w:left="2268"/>
      </w:pPr>
      <w:r w:rsidRPr="00833FCD">
        <w:t>Asylum seekers and refugees</w:t>
      </w:r>
      <w:r w:rsidRPr="001D0374">
        <w:t xml:space="preserve"> </w:t>
      </w:r>
    </w:p>
    <w:p w14:paraId="42B06934" w14:textId="594DD153" w:rsidR="001D0374" w:rsidRPr="005F23E3" w:rsidRDefault="003D2EC3" w:rsidP="003D2EC3">
      <w:pPr>
        <w:pStyle w:val="ParaNoG"/>
        <w:numPr>
          <w:ilvl w:val="0"/>
          <w:numId w:val="0"/>
        </w:numPr>
        <w:tabs>
          <w:tab w:val="left" w:pos="1134"/>
        </w:tabs>
        <w:ind w:left="1134"/>
      </w:pPr>
      <w:r w:rsidRPr="005F23E3">
        <w:t>32.</w:t>
      </w:r>
      <w:r w:rsidRPr="005F23E3">
        <w:tab/>
      </w:r>
      <w:r w:rsidR="005F23E3" w:rsidRPr="00833FCD">
        <w:t>The Committee</w:t>
      </w:r>
      <w:r w:rsidR="005F23E3" w:rsidRPr="005F23E3">
        <w:t xml:space="preserve"> welcomes the adoption of Political Asylum Act No. 11 of 2018</w:t>
      </w:r>
      <w:r w:rsidR="00B86442">
        <w:t>,</w:t>
      </w:r>
      <w:r w:rsidR="005F23E3" w:rsidRPr="005F23E3">
        <w:t xml:space="preserve"> the first asylum legislation in the Gulf region. Nevertheless, </w:t>
      </w:r>
      <w:r w:rsidR="00A80A82">
        <w:t xml:space="preserve">the Committee regrets not having received </w:t>
      </w:r>
      <w:r w:rsidR="00B25D11">
        <w:t xml:space="preserve">sufficient </w:t>
      </w:r>
      <w:r w:rsidR="00A80A82">
        <w:t>information on the implementation of the Act. T</w:t>
      </w:r>
      <w:r w:rsidR="005F23E3" w:rsidRPr="005F23E3">
        <w:t xml:space="preserve">he Committee is </w:t>
      </w:r>
      <w:r w:rsidR="00A80A82">
        <w:t xml:space="preserve">also </w:t>
      </w:r>
      <w:r w:rsidR="005F23E3" w:rsidRPr="005F23E3">
        <w:t xml:space="preserve">concerned </w:t>
      </w:r>
      <w:r w:rsidR="005F23E3">
        <w:t xml:space="preserve">that the Act (art. 10) restricts </w:t>
      </w:r>
      <w:r w:rsidR="005F23E3" w:rsidRPr="005F23E3">
        <w:t>the right to liberty of movement and residence</w:t>
      </w:r>
      <w:r w:rsidR="005F23E3">
        <w:t xml:space="preserve"> as it </w:t>
      </w:r>
      <w:r w:rsidR="005F23E3" w:rsidRPr="005F23E3">
        <w:t>requires refugees to seek approval if they want to move from their government-assigned place of residence</w:t>
      </w:r>
      <w:r w:rsidR="005F23E3">
        <w:t xml:space="preserve">. It is </w:t>
      </w:r>
      <w:r w:rsidR="005F23E3" w:rsidRPr="00FA72F8">
        <w:t>also concerned about</w:t>
      </w:r>
      <w:r w:rsidR="00FA72F8" w:rsidRPr="00FA72F8">
        <w:t xml:space="preserve"> the </w:t>
      </w:r>
      <w:r w:rsidR="008B47A8">
        <w:t xml:space="preserve">provision </w:t>
      </w:r>
      <w:r w:rsidR="00FA72F8" w:rsidRPr="00FA72F8">
        <w:t xml:space="preserve">(art. 11) </w:t>
      </w:r>
      <w:r w:rsidR="00FA72F8">
        <w:t>banning asylum</w:t>
      </w:r>
      <w:r w:rsidR="00FA72F8" w:rsidRPr="00FA72F8">
        <w:t xml:space="preserve"> seekers and refugees from engaging in political activity while residing in Qatar</w:t>
      </w:r>
      <w:r w:rsidR="00FA72F8">
        <w:t xml:space="preserve">, subject to deportation, which impinges also on the right to freedom of expression, and </w:t>
      </w:r>
      <w:r w:rsidR="00AC6AE7">
        <w:t xml:space="preserve">right </w:t>
      </w:r>
      <w:r w:rsidR="00FA72F8">
        <w:t xml:space="preserve">of </w:t>
      </w:r>
      <w:r w:rsidR="00AC6AE7">
        <w:t xml:space="preserve">peaceful </w:t>
      </w:r>
      <w:r w:rsidR="00FA72F8">
        <w:t xml:space="preserve">assembly and </w:t>
      </w:r>
      <w:r w:rsidR="00AC6AE7">
        <w:t xml:space="preserve">freedom of </w:t>
      </w:r>
      <w:r w:rsidR="00FA72F8">
        <w:t>association (</w:t>
      </w:r>
      <w:r w:rsidR="004B15CA">
        <w:t>arts.</w:t>
      </w:r>
      <w:r w:rsidR="00994389">
        <w:t xml:space="preserve"> 2, 12, 13, 19,</w:t>
      </w:r>
      <w:r w:rsidR="00143F5A">
        <w:t xml:space="preserve"> 21, 22 and 26</w:t>
      </w:r>
      <w:r w:rsidR="00FA72F8">
        <w:t>)</w:t>
      </w:r>
      <w:r w:rsidR="00833FCD">
        <w:t>.</w:t>
      </w:r>
      <w:r w:rsidR="00FA72F8" w:rsidRPr="00FA72F8">
        <w:t xml:space="preserve"> </w:t>
      </w:r>
      <w:r w:rsidR="005F23E3" w:rsidRPr="00FA72F8">
        <w:t xml:space="preserve"> </w:t>
      </w:r>
    </w:p>
    <w:p w14:paraId="3B13AA39" w14:textId="65B12E65" w:rsidR="001E5699" w:rsidRPr="00994389" w:rsidRDefault="003D2EC3" w:rsidP="003D2EC3">
      <w:pPr>
        <w:pStyle w:val="ParaNoG"/>
        <w:numPr>
          <w:ilvl w:val="0"/>
          <w:numId w:val="0"/>
        </w:numPr>
        <w:tabs>
          <w:tab w:val="left" w:pos="1134"/>
        </w:tabs>
        <w:ind w:left="1134"/>
        <w:rPr>
          <w:b/>
        </w:rPr>
      </w:pPr>
      <w:r w:rsidRPr="002B1078">
        <w:t>33</w:t>
      </w:r>
      <w:r w:rsidRPr="00994389">
        <w:rPr>
          <w:b/>
        </w:rPr>
        <w:t>.</w:t>
      </w:r>
      <w:r w:rsidRPr="00994389">
        <w:rPr>
          <w:b/>
        </w:rPr>
        <w:tab/>
      </w:r>
      <w:r w:rsidR="008B47A8" w:rsidRPr="00833FCD">
        <w:rPr>
          <w:b/>
        </w:rPr>
        <w:t>The State party</w:t>
      </w:r>
      <w:r w:rsidR="008B47A8" w:rsidRPr="00994389">
        <w:rPr>
          <w:b/>
        </w:rPr>
        <w:t xml:space="preserve"> should amend </w:t>
      </w:r>
      <w:r w:rsidR="00994389" w:rsidRPr="00994389">
        <w:rPr>
          <w:b/>
        </w:rPr>
        <w:t xml:space="preserve">the provisions of </w:t>
      </w:r>
      <w:r w:rsidR="008B47A8" w:rsidRPr="00994389">
        <w:rPr>
          <w:b/>
        </w:rPr>
        <w:t>Political Asylum Act No. 11 of 2018</w:t>
      </w:r>
      <w:r w:rsidR="006129EC" w:rsidRPr="00994389">
        <w:rPr>
          <w:b/>
        </w:rPr>
        <w:t xml:space="preserve"> </w:t>
      </w:r>
      <w:r w:rsidR="00994389" w:rsidRPr="00994389">
        <w:rPr>
          <w:b/>
        </w:rPr>
        <w:t>restricting the right</w:t>
      </w:r>
      <w:r w:rsidR="006129EC" w:rsidRPr="00994389">
        <w:rPr>
          <w:b/>
        </w:rPr>
        <w:t xml:space="preserve"> of asylum seekers </w:t>
      </w:r>
      <w:r w:rsidR="00994389" w:rsidRPr="00994389">
        <w:rPr>
          <w:b/>
        </w:rPr>
        <w:t xml:space="preserve">and refugees </w:t>
      </w:r>
      <w:r w:rsidR="006129EC" w:rsidRPr="00994389">
        <w:rPr>
          <w:b/>
        </w:rPr>
        <w:t>to liberty of movement and residence</w:t>
      </w:r>
      <w:r w:rsidR="007B00F3">
        <w:rPr>
          <w:b/>
        </w:rPr>
        <w:t>,</w:t>
      </w:r>
      <w:r w:rsidR="00994389" w:rsidRPr="00994389">
        <w:rPr>
          <w:b/>
        </w:rPr>
        <w:t xml:space="preserve"> and prohibiting them from engaging in political activity, and bring this legislation into compliance with the Covenant. </w:t>
      </w:r>
    </w:p>
    <w:p w14:paraId="301FA2F7" w14:textId="1F817B61" w:rsidR="001D0374" w:rsidRPr="001D0374" w:rsidRDefault="001D0374" w:rsidP="00EB3C7D">
      <w:pPr>
        <w:pStyle w:val="H23G"/>
        <w:ind w:left="2268"/>
      </w:pPr>
      <w:r w:rsidRPr="001D0374">
        <w:t>Independence of the judiciary and fair trial</w:t>
      </w:r>
      <w:r w:rsidR="0022610E">
        <w:t xml:space="preserve"> </w:t>
      </w:r>
    </w:p>
    <w:p w14:paraId="3EDF5C4F" w14:textId="1442E754" w:rsidR="001D0374" w:rsidRDefault="003D2EC3" w:rsidP="003D2EC3">
      <w:pPr>
        <w:pStyle w:val="ParaNoG"/>
        <w:numPr>
          <w:ilvl w:val="0"/>
          <w:numId w:val="0"/>
        </w:numPr>
        <w:tabs>
          <w:tab w:val="left" w:pos="1134"/>
        </w:tabs>
        <w:ind w:left="1134"/>
      </w:pPr>
      <w:r>
        <w:t>34.</w:t>
      </w:r>
      <w:r>
        <w:tab/>
      </w:r>
      <w:r w:rsidR="0091230B" w:rsidRPr="00833FCD">
        <w:t>The Committee</w:t>
      </w:r>
      <w:r w:rsidR="0091230B">
        <w:t xml:space="preserve"> welcomes the </w:t>
      </w:r>
      <w:r w:rsidR="000B626E">
        <w:t xml:space="preserve">adoption of the </w:t>
      </w:r>
      <w:r w:rsidR="0091230B">
        <w:t xml:space="preserve">Code of </w:t>
      </w:r>
      <w:r w:rsidR="000B626E">
        <w:t xml:space="preserve">Judicial </w:t>
      </w:r>
      <w:r w:rsidR="0091230B">
        <w:t>Conduct</w:t>
      </w:r>
      <w:r w:rsidR="000B626E">
        <w:t xml:space="preserve"> by the Supreme Judiciary Council</w:t>
      </w:r>
      <w:r w:rsidR="00DF23E2">
        <w:t xml:space="preserve"> to promote</w:t>
      </w:r>
      <w:r w:rsidR="00636B5B">
        <w:t xml:space="preserve"> </w:t>
      </w:r>
      <w:r w:rsidR="00DF23E2">
        <w:t xml:space="preserve">the </w:t>
      </w:r>
      <w:r w:rsidR="00636B5B">
        <w:t>integrity of judges</w:t>
      </w:r>
      <w:r w:rsidR="000B626E">
        <w:t>.</w:t>
      </w:r>
      <w:r w:rsidR="004C478B">
        <w:t xml:space="preserve"> Nevertheless, </w:t>
      </w:r>
      <w:r w:rsidR="007B00F3">
        <w:rPr>
          <w:rFonts w:asciiTheme="majorBidi" w:hAnsiTheme="majorBidi" w:cstheme="majorBidi"/>
        </w:rPr>
        <w:t>it</w:t>
      </w:r>
      <w:r w:rsidR="007B00F3" w:rsidRPr="007B00F3">
        <w:t xml:space="preserve"> </w:t>
      </w:r>
      <w:r w:rsidR="007B00F3">
        <w:t>regrets not having received information on</w:t>
      </w:r>
      <w:r w:rsidR="004C478B" w:rsidRPr="001527DA">
        <w:t xml:space="preserve"> </w:t>
      </w:r>
      <w:r w:rsidR="004C478B">
        <w:t xml:space="preserve">the competence of the Emir to dismiss judges </w:t>
      </w:r>
      <w:r w:rsidR="007B00F3">
        <w:t>for the purposes of</w:t>
      </w:r>
      <w:r w:rsidR="00636B5B">
        <w:t xml:space="preserve"> </w:t>
      </w:r>
      <w:r w:rsidR="004C478B">
        <w:t>the public interest</w:t>
      </w:r>
      <w:r w:rsidR="00833FCD">
        <w:t xml:space="preserve">. </w:t>
      </w:r>
      <w:r w:rsidR="00A3481C">
        <w:t xml:space="preserve">The Committee takes note of the procedural safeguards set out in the Constitution, the Code of Criminal Procedure and other laws, but it is concerned about </w:t>
      </w:r>
      <w:r w:rsidR="000B626E">
        <w:t xml:space="preserve">the </w:t>
      </w:r>
      <w:r w:rsidR="000B626E" w:rsidRPr="006D43BC">
        <w:t>information provided by the State party that</w:t>
      </w:r>
      <w:r w:rsidR="00B25D11">
        <w:t xml:space="preserve"> a person has</w:t>
      </w:r>
      <w:r w:rsidR="000B626E" w:rsidRPr="006D43BC">
        <w:t xml:space="preserve"> </w:t>
      </w:r>
      <w:r w:rsidR="00A3481C" w:rsidRPr="006D43BC">
        <w:t xml:space="preserve">access to a lawyer </w:t>
      </w:r>
      <w:r w:rsidR="00453A0C">
        <w:t xml:space="preserve">only </w:t>
      </w:r>
      <w:r w:rsidR="000B626E" w:rsidRPr="006D43BC">
        <w:t xml:space="preserve">from the </w:t>
      </w:r>
      <w:r w:rsidR="000B626E" w:rsidRPr="006D43BC">
        <w:lastRenderedPageBreak/>
        <w:t>beginning of the investigation of the Public Prosecution Service</w:t>
      </w:r>
      <w:r w:rsidR="00453A0C">
        <w:t xml:space="preserve"> and not from the time they become subject to police custody</w:t>
      </w:r>
      <w:r w:rsidR="00F569D5" w:rsidRPr="006D43BC">
        <w:t xml:space="preserve"> (arts. 2 and 14)</w:t>
      </w:r>
      <w:r w:rsidR="00833FCD" w:rsidRPr="006D43BC">
        <w:t>.</w:t>
      </w:r>
    </w:p>
    <w:p w14:paraId="0B7F4EFD" w14:textId="1ACBB747" w:rsidR="00F569D5" w:rsidRDefault="003D2EC3" w:rsidP="003D2EC3">
      <w:pPr>
        <w:pStyle w:val="ParaNoG"/>
        <w:numPr>
          <w:ilvl w:val="0"/>
          <w:numId w:val="0"/>
        </w:numPr>
        <w:tabs>
          <w:tab w:val="left" w:pos="1134"/>
        </w:tabs>
        <w:ind w:left="1134"/>
      </w:pPr>
      <w:r>
        <w:t>35.</w:t>
      </w:r>
      <w:r>
        <w:tab/>
      </w:r>
      <w:r w:rsidR="00F569D5" w:rsidRPr="00116CC2">
        <w:rPr>
          <w:b/>
        </w:rPr>
        <w:t>The State</w:t>
      </w:r>
      <w:r w:rsidR="00F569D5" w:rsidRPr="002360B6">
        <w:rPr>
          <w:b/>
        </w:rPr>
        <w:t xml:space="preserve"> party should </w:t>
      </w:r>
      <w:r w:rsidR="009E59AB">
        <w:rPr>
          <w:b/>
        </w:rPr>
        <w:t>take all measures necessary to safeguard, in law and in practice, the full independence and impartiality of the judiciary, including by ensuring</w:t>
      </w:r>
      <w:r w:rsidR="00F569D5" w:rsidRPr="002360B6">
        <w:rPr>
          <w:b/>
        </w:rPr>
        <w:t xml:space="preserve"> that the procedures for the removal of judges compl</w:t>
      </w:r>
      <w:r w:rsidR="00E8121C">
        <w:rPr>
          <w:b/>
        </w:rPr>
        <w:t>y</w:t>
      </w:r>
      <w:r w:rsidR="00F569D5" w:rsidRPr="002360B6">
        <w:rPr>
          <w:b/>
        </w:rPr>
        <w:t xml:space="preserve"> with the Covenant and relevant international standards, </w:t>
      </w:r>
      <w:r w:rsidR="006C3971">
        <w:rPr>
          <w:b/>
        </w:rPr>
        <w:t>such as</w:t>
      </w:r>
      <w:r w:rsidR="00F569D5" w:rsidRPr="002360B6">
        <w:rPr>
          <w:b/>
        </w:rPr>
        <w:t xml:space="preserve"> the Basic Principles on the Independence of the Judiciary.</w:t>
      </w:r>
      <w:r w:rsidR="00116CC2">
        <w:t xml:space="preserve"> </w:t>
      </w:r>
      <w:r w:rsidR="0022610E" w:rsidRPr="0022610E">
        <w:rPr>
          <w:b/>
        </w:rPr>
        <w:t>The State party should also strengthen measures to ensure that detained persons have an effective right of access to legal counsel from the time they become subject to police custody.</w:t>
      </w:r>
    </w:p>
    <w:p w14:paraId="2C40FE44" w14:textId="652A29ED" w:rsidR="001D0374" w:rsidRPr="001D0374" w:rsidRDefault="001D0374" w:rsidP="00EB3C7D">
      <w:pPr>
        <w:pStyle w:val="H23G"/>
        <w:ind w:left="2268"/>
      </w:pPr>
      <w:r w:rsidRPr="001D0374">
        <w:t>Freedom of conscience and religious belief</w:t>
      </w:r>
    </w:p>
    <w:p w14:paraId="3859C6DF" w14:textId="3446CA4D" w:rsidR="001D0374" w:rsidRPr="00871947" w:rsidRDefault="003D2EC3" w:rsidP="003D2EC3">
      <w:pPr>
        <w:pStyle w:val="ParaNoG"/>
        <w:numPr>
          <w:ilvl w:val="0"/>
          <w:numId w:val="0"/>
        </w:numPr>
        <w:tabs>
          <w:tab w:val="left" w:pos="1134"/>
        </w:tabs>
        <w:ind w:left="1134"/>
      </w:pPr>
      <w:r w:rsidRPr="00871947">
        <w:t>36.</w:t>
      </w:r>
      <w:r w:rsidRPr="00871947">
        <w:tab/>
      </w:r>
      <w:r w:rsidR="00871947" w:rsidRPr="00116CC2">
        <w:t>The Committee</w:t>
      </w:r>
      <w:r w:rsidR="00871947" w:rsidRPr="001527DA">
        <w:t xml:space="preserve"> notes the information provided by the delegation that </w:t>
      </w:r>
      <w:r w:rsidR="00871947" w:rsidRPr="001527DA">
        <w:rPr>
          <w:rFonts w:asciiTheme="majorBidi" w:hAnsiTheme="majorBidi" w:cstheme="majorBidi"/>
        </w:rPr>
        <w:t xml:space="preserve">the authorities had permitted the construction of non-Muslim places of worship outside the </w:t>
      </w:r>
      <w:proofErr w:type="spellStart"/>
      <w:r w:rsidR="00871947" w:rsidRPr="001527DA">
        <w:rPr>
          <w:rFonts w:asciiTheme="majorBidi" w:hAnsiTheme="majorBidi" w:cstheme="majorBidi"/>
        </w:rPr>
        <w:t>Mesaimeer</w:t>
      </w:r>
      <w:proofErr w:type="spellEnd"/>
      <w:r w:rsidR="00871947" w:rsidRPr="001527DA">
        <w:rPr>
          <w:rFonts w:asciiTheme="majorBidi" w:hAnsiTheme="majorBidi" w:cstheme="majorBidi"/>
        </w:rPr>
        <w:t xml:space="preserve"> Religious Complex and that Muslims were not prevented from entering the complex. Neve</w:t>
      </w:r>
      <w:r w:rsidR="007B00F3">
        <w:rPr>
          <w:rFonts w:asciiTheme="majorBidi" w:hAnsiTheme="majorBidi" w:cstheme="majorBidi"/>
        </w:rPr>
        <w:t xml:space="preserve">rtheless, the Committee regrets </w:t>
      </w:r>
      <w:r w:rsidR="007B00F3">
        <w:t xml:space="preserve">not having received information </w:t>
      </w:r>
      <w:r w:rsidR="00871947" w:rsidRPr="001527DA">
        <w:t>on the criminalisation of apostasy, blasphemy and proselytizing</w:t>
      </w:r>
      <w:r w:rsidR="001527DA" w:rsidRPr="001527DA">
        <w:t xml:space="preserve">, and on </w:t>
      </w:r>
      <w:r w:rsidR="001527DA" w:rsidRPr="001527DA">
        <w:rPr>
          <w:rFonts w:asciiTheme="majorBidi" w:hAnsiTheme="majorBidi" w:cstheme="majorBidi"/>
        </w:rPr>
        <w:t xml:space="preserve">the measures adopted to combat </w:t>
      </w:r>
      <w:r w:rsidR="007B00F3">
        <w:rPr>
          <w:rFonts w:asciiTheme="majorBidi" w:hAnsiTheme="majorBidi" w:cstheme="majorBidi"/>
        </w:rPr>
        <w:t xml:space="preserve">the </w:t>
      </w:r>
      <w:r w:rsidR="001527DA" w:rsidRPr="001527DA">
        <w:rPr>
          <w:rFonts w:asciiTheme="majorBidi" w:hAnsiTheme="majorBidi" w:cstheme="majorBidi"/>
        </w:rPr>
        <w:t xml:space="preserve">discrimination </w:t>
      </w:r>
      <w:r w:rsidR="007B00F3">
        <w:rPr>
          <w:rFonts w:asciiTheme="majorBidi" w:hAnsiTheme="majorBidi" w:cstheme="majorBidi"/>
        </w:rPr>
        <w:t xml:space="preserve">and </w:t>
      </w:r>
      <w:r w:rsidR="001527DA" w:rsidRPr="001527DA">
        <w:rPr>
          <w:rFonts w:asciiTheme="majorBidi" w:hAnsiTheme="majorBidi" w:cstheme="majorBidi"/>
        </w:rPr>
        <w:t xml:space="preserve">social pressure suffered by </w:t>
      </w:r>
      <w:r w:rsidR="001527DA">
        <w:rPr>
          <w:rFonts w:asciiTheme="majorBidi" w:hAnsiTheme="majorBidi" w:cstheme="majorBidi"/>
        </w:rPr>
        <w:t>Muslims who convert</w:t>
      </w:r>
      <w:r w:rsidR="007B00F3">
        <w:rPr>
          <w:rFonts w:asciiTheme="majorBidi" w:hAnsiTheme="majorBidi" w:cstheme="majorBidi"/>
        </w:rPr>
        <w:t xml:space="preserve"> to another faith as well as</w:t>
      </w:r>
      <w:r w:rsidR="001527DA" w:rsidRPr="001527DA">
        <w:rPr>
          <w:rFonts w:asciiTheme="majorBidi" w:hAnsiTheme="majorBidi" w:cstheme="majorBidi"/>
        </w:rPr>
        <w:t xml:space="preserve"> </w:t>
      </w:r>
      <w:r w:rsidR="001527DA">
        <w:rPr>
          <w:rFonts w:asciiTheme="majorBidi" w:hAnsiTheme="majorBidi" w:cstheme="majorBidi"/>
        </w:rPr>
        <w:t xml:space="preserve">by </w:t>
      </w:r>
      <w:r w:rsidR="007B00F3">
        <w:rPr>
          <w:rFonts w:asciiTheme="majorBidi" w:hAnsiTheme="majorBidi" w:cstheme="majorBidi"/>
        </w:rPr>
        <w:t>Muslim women who marr</w:t>
      </w:r>
      <w:r w:rsidR="00AC6AE7">
        <w:rPr>
          <w:rFonts w:asciiTheme="majorBidi" w:hAnsiTheme="majorBidi" w:cstheme="majorBidi"/>
        </w:rPr>
        <w:t>y</w:t>
      </w:r>
      <w:r w:rsidR="001527DA" w:rsidRPr="001527DA">
        <w:rPr>
          <w:rFonts w:asciiTheme="majorBidi" w:hAnsiTheme="majorBidi" w:cstheme="majorBidi"/>
        </w:rPr>
        <w:t xml:space="preserve"> a non-Muslim</w:t>
      </w:r>
      <w:r w:rsidR="001527DA">
        <w:t xml:space="preserve"> (arts. 2, 18 and 26).</w:t>
      </w:r>
    </w:p>
    <w:p w14:paraId="32ABCECD" w14:textId="0CF2B003" w:rsidR="001E5699" w:rsidRDefault="003D2EC3" w:rsidP="003D2EC3">
      <w:pPr>
        <w:pStyle w:val="ParaNoG"/>
        <w:numPr>
          <w:ilvl w:val="0"/>
          <w:numId w:val="0"/>
        </w:numPr>
        <w:tabs>
          <w:tab w:val="left" w:pos="1134"/>
        </w:tabs>
        <w:ind w:left="1134"/>
      </w:pPr>
      <w:r>
        <w:t>37.</w:t>
      </w:r>
      <w:r>
        <w:tab/>
      </w:r>
      <w:r w:rsidR="00C779AB" w:rsidRPr="00116CC2">
        <w:rPr>
          <w:b/>
        </w:rPr>
        <w:t>The State party</w:t>
      </w:r>
      <w:r w:rsidR="00C779AB" w:rsidRPr="00C779AB">
        <w:rPr>
          <w:b/>
        </w:rPr>
        <w:t xml:space="preserve"> should take further steps to ensure the respect for freedom of </w:t>
      </w:r>
      <w:r w:rsidR="00E15E33">
        <w:rPr>
          <w:b/>
        </w:rPr>
        <w:t xml:space="preserve">thought, conscience and </w:t>
      </w:r>
      <w:r w:rsidR="00C779AB" w:rsidRPr="00C779AB">
        <w:rPr>
          <w:b/>
        </w:rPr>
        <w:t>religion for all and ensure that its legislation and practices are in full conformity with the provisions of the Covenant</w:t>
      </w:r>
      <w:r w:rsidR="005A79C6">
        <w:rPr>
          <w:b/>
        </w:rPr>
        <w:t xml:space="preserve">. It should take measures to ensure </w:t>
      </w:r>
      <w:r w:rsidR="006C3971">
        <w:rPr>
          <w:b/>
          <w:bCs/>
        </w:rPr>
        <w:t>that</w:t>
      </w:r>
      <w:r w:rsidR="00A80A82" w:rsidRPr="006C3971">
        <w:rPr>
          <w:b/>
          <w:bCs/>
        </w:rPr>
        <w:t xml:space="preserve"> Muslims having converted to another faith and Muslim women marrying a non-Muslim are not subject to discrimination and social </w:t>
      </w:r>
      <w:proofErr w:type="gramStart"/>
      <w:r w:rsidR="00A80A82" w:rsidRPr="006C3971">
        <w:rPr>
          <w:b/>
          <w:bCs/>
        </w:rPr>
        <w:t>pressure</w:t>
      </w:r>
      <w:r w:rsidR="005A79C6">
        <w:rPr>
          <w:b/>
          <w:bCs/>
        </w:rPr>
        <w:t>.</w:t>
      </w:r>
      <w:r w:rsidR="00A80A82" w:rsidRPr="006C3971">
        <w:rPr>
          <w:b/>
          <w:bCs/>
        </w:rPr>
        <w:t>.</w:t>
      </w:r>
      <w:proofErr w:type="gramEnd"/>
    </w:p>
    <w:p w14:paraId="355D6FFF" w14:textId="6C2E2E1B" w:rsidR="001D0374" w:rsidRPr="001D0374" w:rsidRDefault="001D0374" w:rsidP="00EB3C7D">
      <w:pPr>
        <w:pStyle w:val="H23G"/>
        <w:ind w:left="2268"/>
      </w:pPr>
      <w:r w:rsidRPr="001D0374">
        <w:t>Freedom of expression</w:t>
      </w:r>
    </w:p>
    <w:p w14:paraId="0B7E052B" w14:textId="3586F782" w:rsidR="005563AB" w:rsidRDefault="003D2EC3" w:rsidP="003D2EC3">
      <w:pPr>
        <w:pStyle w:val="ParaNoG"/>
        <w:numPr>
          <w:ilvl w:val="0"/>
          <w:numId w:val="0"/>
        </w:numPr>
        <w:tabs>
          <w:tab w:val="left" w:pos="1134"/>
        </w:tabs>
        <w:ind w:left="1134"/>
      </w:pPr>
      <w:r>
        <w:t>38.</w:t>
      </w:r>
      <w:r>
        <w:tab/>
      </w:r>
      <w:r w:rsidR="00FA3A51" w:rsidRPr="00116CC2">
        <w:t>The C</w:t>
      </w:r>
      <w:r w:rsidR="00D26154" w:rsidRPr="00116CC2">
        <w:t>ommittee</w:t>
      </w:r>
      <w:r w:rsidR="00D26154">
        <w:t xml:space="preserve"> </w:t>
      </w:r>
      <w:r w:rsidR="00591AC4">
        <w:t xml:space="preserve">is concerned that domestic provisions may unduly restrict freedom of expression in the State party, including </w:t>
      </w:r>
      <w:r w:rsidR="004A12DD">
        <w:t xml:space="preserve">the Printing and Publishing Act of 1997, </w:t>
      </w:r>
      <w:r w:rsidR="005563AB">
        <w:t>the</w:t>
      </w:r>
      <w:r w:rsidR="005E4D00">
        <w:t xml:space="preserve"> Media Law of 2012 and the Cybercrime Prevention Act of 2014</w:t>
      </w:r>
      <w:r w:rsidR="009322B4">
        <w:t>.</w:t>
      </w:r>
      <w:r w:rsidR="00591AC4">
        <w:t xml:space="preserve"> </w:t>
      </w:r>
      <w:r w:rsidR="00D26154">
        <w:t>The Committee is also concerned about</w:t>
      </w:r>
      <w:r w:rsidR="009322B4">
        <w:t xml:space="preserve"> broad and vague provisions contained in </w:t>
      </w:r>
      <w:r w:rsidR="00D26154">
        <w:t>Act No</w:t>
      </w:r>
      <w:r w:rsidR="00591AC4">
        <w:t>.</w:t>
      </w:r>
      <w:r w:rsidR="00D26154">
        <w:t xml:space="preserve"> 2 of 2020</w:t>
      </w:r>
      <w:r w:rsidR="005563AB">
        <w:t xml:space="preserve"> amending the </w:t>
      </w:r>
      <w:r w:rsidR="00D26154">
        <w:t xml:space="preserve">Criminal Code, </w:t>
      </w:r>
      <w:r w:rsidR="005563AB">
        <w:t xml:space="preserve">under which a punishment of up to five years of prison can be awarded for </w:t>
      </w:r>
      <w:r w:rsidR="009322B4">
        <w:t>the</w:t>
      </w:r>
      <w:r w:rsidR="005563AB">
        <w:t xml:space="preserve"> dissemination of </w:t>
      </w:r>
      <w:r w:rsidR="002D084F">
        <w:t>rumours</w:t>
      </w:r>
      <w:r w:rsidR="005563AB">
        <w:t xml:space="preserve"> or false news.</w:t>
      </w:r>
      <w:r w:rsidR="00116CC2">
        <w:t xml:space="preserve"> </w:t>
      </w:r>
      <w:r w:rsidR="005563AB" w:rsidRPr="006D43BC">
        <w:rPr>
          <w:bCs/>
          <w:color w:val="000000" w:themeColor="text1"/>
        </w:rPr>
        <w:t>The Committee is further concerned that defamation is criminalized under article 36 of the Criminal Code</w:t>
      </w:r>
      <w:r w:rsidR="006D43BC">
        <w:rPr>
          <w:bCs/>
          <w:color w:val="000000" w:themeColor="text1"/>
        </w:rPr>
        <w:t xml:space="preserve"> </w:t>
      </w:r>
      <w:r w:rsidR="004A12DD">
        <w:rPr>
          <w:bCs/>
          <w:color w:val="000000" w:themeColor="text1"/>
        </w:rPr>
        <w:t>(</w:t>
      </w:r>
      <w:r w:rsidR="003C1AEB">
        <w:rPr>
          <w:bCs/>
          <w:color w:val="000000" w:themeColor="text1"/>
        </w:rPr>
        <w:t>art</w:t>
      </w:r>
      <w:r w:rsidR="005563AB" w:rsidRPr="00471607">
        <w:rPr>
          <w:bCs/>
          <w:color w:val="000000" w:themeColor="text1"/>
        </w:rPr>
        <w:t>.</w:t>
      </w:r>
      <w:r w:rsidR="004A12DD">
        <w:rPr>
          <w:bCs/>
          <w:color w:val="000000" w:themeColor="text1"/>
        </w:rPr>
        <w:t xml:space="preserve"> 19).</w:t>
      </w:r>
      <w:r w:rsidR="005563AB" w:rsidRPr="00471607">
        <w:rPr>
          <w:bCs/>
          <w:color w:val="000000" w:themeColor="text1"/>
        </w:rPr>
        <w:t xml:space="preserve"> </w:t>
      </w:r>
      <w:r w:rsidR="005563AB">
        <w:t xml:space="preserve"> </w:t>
      </w:r>
    </w:p>
    <w:p w14:paraId="63649B7A" w14:textId="07968C09" w:rsidR="003C1AEB" w:rsidRPr="003C1AEB" w:rsidRDefault="003D2EC3" w:rsidP="003D2EC3">
      <w:pPr>
        <w:pStyle w:val="ParaNoG"/>
        <w:numPr>
          <w:ilvl w:val="0"/>
          <w:numId w:val="0"/>
        </w:numPr>
        <w:tabs>
          <w:tab w:val="left" w:pos="1134"/>
        </w:tabs>
        <w:ind w:left="1134"/>
      </w:pPr>
      <w:r w:rsidRPr="003C1AEB">
        <w:t>39.</w:t>
      </w:r>
      <w:r w:rsidRPr="003C1AEB">
        <w:tab/>
      </w:r>
      <w:r w:rsidR="003C1AEB" w:rsidRPr="004F2867">
        <w:rPr>
          <w:b/>
        </w:rPr>
        <w:t>T</w:t>
      </w:r>
      <w:r w:rsidR="00000153" w:rsidRPr="004F2867">
        <w:rPr>
          <w:b/>
        </w:rPr>
        <w:t>he State party</w:t>
      </w:r>
      <w:r w:rsidR="00000153" w:rsidRPr="002066A3">
        <w:rPr>
          <w:b/>
        </w:rPr>
        <w:t xml:space="preserve"> should</w:t>
      </w:r>
      <w:r w:rsidR="003C1AEB">
        <w:rPr>
          <w:b/>
        </w:rPr>
        <w:t>:</w:t>
      </w:r>
    </w:p>
    <w:p w14:paraId="0B116BE7" w14:textId="0FE4D56F" w:rsidR="003C1AEB" w:rsidRPr="003C1AEB" w:rsidRDefault="003D2EC3" w:rsidP="003D2EC3">
      <w:pPr>
        <w:pStyle w:val="ParaNoG"/>
        <w:numPr>
          <w:ilvl w:val="0"/>
          <w:numId w:val="0"/>
        </w:numPr>
        <w:tabs>
          <w:tab w:val="left" w:pos="1134"/>
        </w:tabs>
        <w:ind w:left="1134" w:firstLine="567"/>
        <w:rPr>
          <w:b/>
        </w:rPr>
      </w:pPr>
      <w:r>
        <w:rPr>
          <w:b/>
        </w:rPr>
        <w:t>(</w:t>
      </w:r>
      <w:r w:rsidRPr="003C1AEB">
        <w:rPr>
          <w:b/>
        </w:rPr>
        <w:t>a)</w:t>
      </w:r>
      <w:r w:rsidRPr="003C1AEB">
        <w:rPr>
          <w:b/>
        </w:rPr>
        <w:tab/>
      </w:r>
      <w:r w:rsidR="003C1AEB">
        <w:rPr>
          <w:b/>
          <w:bCs/>
        </w:rPr>
        <w:t xml:space="preserve">Revise and amend national legislation that may unduly restrict the right to freedom of expression, including the laws mentioned above, with a view to bringing them into conformity with its obligations under the Covenant; </w:t>
      </w:r>
    </w:p>
    <w:p w14:paraId="71954BF1" w14:textId="58DCCC74" w:rsidR="003C1AEB" w:rsidRPr="003C1AEB" w:rsidRDefault="003D2EC3" w:rsidP="003D2EC3">
      <w:pPr>
        <w:pStyle w:val="ParaNoG"/>
        <w:numPr>
          <w:ilvl w:val="0"/>
          <w:numId w:val="0"/>
        </w:numPr>
        <w:tabs>
          <w:tab w:val="left" w:pos="1134"/>
        </w:tabs>
        <w:ind w:left="1134" w:firstLine="567"/>
        <w:rPr>
          <w:b/>
        </w:rPr>
      </w:pPr>
      <w:r>
        <w:rPr>
          <w:b/>
        </w:rPr>
        <w:t>(</w:t>
      </w:r>
      <w:r w:rsidRPr="003C1AEB">
        <w:rPr>
          <w:b/>
        </w:rPr>
        <w:t>b)</w:t>
      </w:r>
      <w:r w:rsidRPr="003C1AEB">
        <w:rPr>
          <w:b/>
        </w:rPr>
        <w:tab/>
      </w:r>
      <w:r w:rsidR="003C1AEB">
        <w:rPr>
          <w:b/>
        </w:rPr>
        <w:t>E</w:t>
      </w:r>
      <w:r w:rsidR="003C1AEB" w:rsidRPr="002066A3">
        <w:rPr>
          <w:b/>
        </w:rPr>
        <w:t>nsure that any restrictions on the exercise of freedom of expression, including online, comply with the strict requirements of article 19 (3) of the Covenant</w:t>
      </w:r>
      <w:r w:rsidR="003C1AEB">
        <w:rPr>
          <w:b/>
        </w:rPr>
        <w:t xml:space="preserve">; </w:t>
      </w:r>
    </w:p>
    <w:p w14:paraId="030D72DC" w14:textId="299C62C5" w:rsidR="003C1AEB" w:rsidRPr="003C1AEB" w:rsidRDefault="003D2EC3" w:rsidP="003D2EC3">
      <w:pPr>
        <w:pStyle w:val="ParaNoG"/>
        <w:numPr>
          <w:ilvl w:val="0"/>
          <w:numId w:val="0"/>
        </w:numPr>
        <w:tabs>
          <w:tab w:val="left" w:pos="1134"/>
        </w:tabs>
        <w:ind w:left="1134" w:firstLine="567"/>
        <w:rPr>
          <w:b/>
        </w:rPr>
      </w:pPr>
      <w:r>
        <w:rPr>
          <w:b/>
        </w:rPr>
        <w:t>(</w:t>
      </w:r>
      <w:r w:rsidRPr="003C1AEB">
        <w:rPr>
          <w:b/>
        </w:rPr>
        <w:t>c)</w:t>
      </w:r>
      <w:proofErr w:type="gramStart"/>
      <w:r w:rsidRPr="003C1AEB">
        <w:rPr>
          <w:b/>
        </w:rPr>
        <w:tab/>
      </w:r>
      <w:r w:rsidR="003C1AEB">
        <w:t xml:space="preserve"> </w:t>
      </w:r>
      <w:r w:rsidR="003C1AEB">
        <w:rPr>
          <w:b/>
        </w:rPr>
        <w:t xml:space="preserve"> C</w:t>
      </w:r>
      <w:r w:rsidR="003C1AEB" w:rsidRPr="003C1AEB">
        <w:rPr>
          <w:b/>
        </w:rPr>
        <w:t>onsider</w:t>
      </w:r>
      <w:proofErr w:type="gramEnd"/>
      <w:r w:rsidR="003C1AEB" w:rsidRPr="003C1AEB">
        <w:rPr>
          <w:b/>
        </w:rPr>
        <w:t xml:space="preserve"> decriminalizing </w:t>
      </w:r>
      <w:r w:rsidR="003C1AEB" w:rsidRPr="006D43BC">
        <w:rPr>
          <w:b/>
        </w:rPr>
        <w:t>defamation</w:t>
      </w:r>
      <w:r w:rsidR="003C1AEB" w:rsidRPr="003C1AEB">
        <w:rPr>
          <w:b/>
        </w:rPr>
        <w:t xml:space="preserve"> and, in any case, resorting to criminal law only for the most serious cases, bearing in mind that imprisonment is never an appropriate penalty for defamation, as set out in the Committee’s general comment No. 34 (2011).</w:t>
      </w:r>
      <w:r w:rsidR="003C1AEB">
        <w:rPr>
          <w:b/>
        </w:rPr>
        <w:t xml:space="preserve"> </w:t>
      </w:r>
    </w:p>
    <w:p w14:paraId="7BEB5D65" w14:textId="3E7C74CF" w:rsidR="001D0374" w:rsidRPr="001D0374" w:rsidRDefault="002D084F" w:rsidP="00EB3C7D">
      <w:pPr>
        <w:pStyle w:val="H23G"/>
        <w:ind w:left="2268"/>
      </w:pPr>
      <w:r>
        <w:t>Right</w:t>
      </w:r>
      <w:r w:rsidRPr="001D0374">
        <w:t xml:space="preserve"> </w:t>
      </w:r>
      <w:r w:rsidR="001D0374" w:rsidRPr="001D0374">
        <w:t xml:space="preserve">of </w:t>
      </w:r>
      <w:r>
        <w:t xml:space="preserve">peaceful </w:t>
      </w:r>
      <w:r w:rsidR="001D0374" w:rsidRPr="001D0374">
        <w:t>assembly</w:t>
      </w:r>
      <w:r w:rsidR="003729B1">
        <w:t xml:space="preserve"> and </w:t>
      </w:r>
      <w:r>
        <w:t xml:space="preserve">freedom of </w:t>
      </w:r>
      <w:r w:rsidR="003729B1">
        <w:t>association</w:t>
      </w:r>
    </w:p>
    <w:p w14:paraId="2D033270" w14:textId="2DD61BD9" w:rsidR="001D0374" w:rsidRDefault="003D2EC3" w:rsidP="003D2EC3">
      <w:pPr>
        <w:pStyle w:val="ParaNoG"/>
        <w:numPr>
          <w:ilvl w:val="0"/>
          <w:numId w:val="0"/>
        </w:numPr>
        <w:tabs>
          <w:tab w:val="left" w:pos="1134"/>
        </w:tabs>
        <w:ind w:left="1134"/>
      </w:pPr>
      <w:r>
        <w:t>40.</w:t>
      </w:r>
      <w:r>
        <w:tab/>
      </w:r>
      <w:r w:rsidR="005E56BD" w:rsidRPr="006D43BC">
        <w:t xml:space="preserve">The Committee is concerned </w:t>
      </w:r>
      <w:r w:rsidR="007F1627" w:rsidRPr="006D43BC">
        <w:t xml:space="preserve">that Act No. 18 of 2004 regulating public meetings and demonstrations requires prior authorization of the Ministry of Interior to hold public </w:t>
      </w:r>
      <w:r w:rsidR="00357CBA" w:rsidRPr="006D43BC">
        <w:t>gatherings</w:t>
      </w:r>
      <w:r w:rsidR="007F1627" w:rsidRPr="006D43BC">
        <w:t>.</w:t>
      </w:r>
      <w:r w:rsidR="006D43BC">
        <w:t xml:space="preserve"> </w:t>
      </w:r>
      <w:r w:rsidR="00284D57">
        <w:t xml:space="preserve">The Committee notes </w:t>
      </w:r>
      <w:r w:rsidR="007F1627" w:rsidRPr="007613F7">
        <w:t>the information provided by the State party</w:t>
      </w:r>
      <w:r w:rsidR="00CC528E" w:rsidRPr="007613F7">
        <w:t>’s delegation</w:t>
      </w:r>
      <w:r w:rsidR="007F1627" w:rsidRPr="007613F7">
        <w:t xml:space="preserve"> </w:t>
      </w:r>
      <w:r w:rsidR="00BA0BC1" w:rsidRPr="007613F7">
        <w:t xml:space="preserve">that the new legislation </w:t>
      </w:r>
      <w:r w:rsidR="00F049FC" w:rsidRPr="007613F7">
        <w:rPr>
          <w:rFonts w:asciiTheme="majorBidi" w:hAnsiTheme="majorBidi" w:cstheme="majorBidi"/>
        </w:rPr>
        <w:t>on private associations and institutions</w:t>
      </w:r>
      <w:r w:rsidR="00BA0BC1" w:rsidRPr="007613F7">
        <w:rPr>
          <w:rFonts w:asciiTheme="majorBidi" w:hAnsiTheme="majorBidi" w:cstheme="majorBidi"/>
        </w:rPr>
        <w:t xml:space="preserve"> (Decree-Law No. 21 of 2020) does not impose particular restrictions on the establishment of </w:t>
      </w:r>
      <w:r w:rsidR="00284D57">
        <w:rPr>
          <w:rFonts w:asciiTheme="majorBidi" w:hAnsiTheme="majorBidi" w:cstheme="majorBidi"/>
        </w:rPr>
        <w:t xml:space="preserve">non-governmental organisations. </w:t>
      </w:r>
      <w:r w:rsidR="00284D57" w:rsidRPr="00C454E7">
        <w:rPr>
          <w:rFonts w:asciiTheme="majorBidi" w:hAnsiTheme="majorBidi" w:cstheme="majorBidi"/>
        </w:rPr>
        <w:t xml:space="preserve">Nevertheless, </w:t>
      </w:r>
      <w:r w:rsidR="00BA0BC1" w:rsidRPr="00C454E7">
        <w:rPr>
          <w:rFonts w:asciiTheme="majorBidi" w:hAnsiTheme="majorBidi" w:cstheme="majorBidi"/>
        </w:rPr>
        <w:t xml:space="preserve">the Committee is concerned about reports that these </w:t>
      </w:r>
      <w:r w:rsidR="001131F2" w:rsidRPr="00C454E7">
        <w:rPr>
          <w:rFonts w:asciiTheme="majorBidi" w:hAnsiTheme="majorBidi" w:cstheme="majorBidi"/>
        </w:rPr>
        <w:t xml:space="preserve">associations and </w:t>
      </w:r>
      <w:r w:rsidR="00CC528E" w:rsidRPr="00C454E7">
        <w:rPr>
          <w:rFonts w:asciiTheme="majorBidi" w:hAnsiTheme="majorBidi" w:cstheme="majorBidi"/>
        </w:rPr>
        <w:t>organisations</w:t>
      </w:r>
      <w:r w:rsidR="00BA0BC1" w:rsidRPr="00C454E7">
        <w:rPr>
          <w:rFonts w:asciiTheme="majorBidi" w:hAnsiTheme="majorBidi" w:cstheme="majorBidi"/>
        </w:rPr>
        <w:t xml:space="preserve"> need to</w:t>
      </w:r>
      <w:r w:rsidR="00284D57" w:rsidRPr="00C454E7">
        <w:rPr>
          <w:rFonts w:asciiTheme="majorBidi" w:hAnsiTheme="majorBidi" w:cstheme="majorBidi"/>
        </w:rPr>
        <w:t xml:space="preserve"> comply with vague conditions</w:t>
      </w:r>
      <w:r w:rsidR="00BA0BC1" w:rsidRPr="00C454E7">
        <w:rPr>
          <w:rFonts w:asciiTheme="majorBidi" w:hAnsiTheme="majorBidi" w:cstheme="majorBidi"/>
        </w:rPr>
        <w:t xml:space="preserve"> </w:t>
      </w:r>
      <w:r w:rsidR="00C454E7" w:rsidRPr="00C454E7">
        <w:rPr>
          <w:rFonts w:asciiTheme="majorBidi" w:hAnsiTheme="majorBidi" w:cstheme="majorBidi"/>
        </w:rPr>
        <w:t xml:space="preserve">for their establishment </w:t>
      </w:r>
      <w:r w:rsidR="00284D57" w:rsidRPr="00C454E7">
        <w:rPr>
          <w:rFonts w:asciiTheme="majorBidi" w:hAnsiTheme="majorBidi" w:cstheme="majorBidi"/>
        </w:rPr>
        <w:t xml:space="preserve">and to </w:t>
      </w:r>
      <w:r w:rsidR="00BA0BC1" w:rsidRPr="00C454E7">
        <w:rPr>
          <w:rFonts w:asciiTheme="majorBidi" w:hAnsiTheme="majorBidi" w:cstheme="majorBidi"/>
        </w:rPr>
        <w:t>obtain a license from</w:t>
      </w:r>
      <w:r w:rsidR="00357CBA" w:rsidRPr="00C454E7">
        <w:rPr>
          <w:rFonts w:asciiTheme="majorBidi" w:hAnsiTheme="majorBidi" w:cstheme="majorBidi"/>
        </w:rPr>
        <w:t xml:space="preserve"> </w:t>
      </w:r>
      <w:r w:rsidR="00BA0BC1" w:rsidRPr="00C454E7">
        <w:rPr>
          <w:rFonts w:asciiTheme="majorBidi" w:hAnsiTheme="majorBidi" w:cstheme="majorBidi"/>
        </w:rPr>
        <w:t xml:space="preserve">the Ministry </w:t>
      </w:r>
      <w:r w:rsidR="00CC528E" w:rsidRPr="00C454E7">
        <w:rPr>
          <w:color w:val="212529"/>
          <w:shd w:val="clear" w:color="auto" w:fill="FFFFFF"/>
        </w:rPr>
        <w:t>of Administrative Development, Labour and Social Affairs</w:t>
      </w:r>
      <w:r w:rsidR="00F049FC">
        <w:rPr>
          <w:rFonts w:asciiTheme="majorBidi" w:hAnsiTheme="majorBidi" w:cstheme="majorBidi"/>
        </w:rPr>
        <w:t>.</w:t>
      </w:r>
      <w:r w:rsidR="00CC528E">
        <w:rPr>
          <w:rFonts w:asciiTheme="majorBidi" w:hAnsiTheme="majorBidi" w:cstheme="majorBidi"/>
        </w:rPr>
        <w:t xml:space="preserve"> The Committee </w:t>
      </w:r>
      <w:r w:rsidR="00CC528E" w:rsidRPr="00CC528E">
        <w:rPr>
          <w:rFonts w:asciiTheme="majorBidi" w:hAnsiTheme="majorBidi" w:cstheme="majorBidi"/>
        </w:rPr>
        <w:t xml:space="preserve">regrets the lack of information regarding </w:t>
      </w:r>
      <w:r w:rsidR="00CC528E" w:rsidRPr="00CC528E">
        <w:t>the right of househ</w:t>
      </w:r>
      <w:r w:rsidR="00CC528E">
        <w:t>old workers, government workers</w:t>
      </w:r>
      <w:r w:rsidR="00CC528E" w:rsidRPr="00CC528E">
        <w:t xml:space="preserve"> and </w:t>
      </w:r>
      <w:r w:rsidR="00CC528E">
        <w:t>migrant workers to form and join t</w:t>
      </w:r>
      <w:r w:rsidR="00CC528E" w:rsidRPr="00CC528E">
        <w:t xml:space="preserve">rade </w:t>
      </w:r>
      <w:r w:rsidR="00CC528E">
        <w:t>u</w:t>
      </w:r>
      <w:r w:rsidR="00CC528E" w:rsidRPr="00CC528E">
        <w:t>nions</w:t>
      </w:r>
      <w:r w:rsidR="00357CBA">
        <w:t xml:space="preserve"> (arts. 21</w:t>
      </w:r>
      <w:r w:rsidR="00EA5946">
        <w:t xml:space="preserve"> and 22</w:t>
      </w:r>
      <w:r w:rsidR="00357CBA">
        <w:t>)</w:t>
      </w:r>
      <w:r w:rsidR="00CC528E">
        <w:t xml:space="preserve">. </w:t>
      </w:r>
      <w:r w:rsidR="00F049FC">
        <w:rPr>
          <w:rFonts w:asciiTheme="majorBidi" w:hAnsiTheme="majorBidi" w:cstheme="majorBidi"/>
        </w:rPr>
        <w:t xml:space="preserve"> </w:t>
      </w:r>
    </w:p>
    <w:p w14:paraId="25EC7579" w14:textId="575332F1" w:rsidR="00A80A82" w:rsidRPr="006C3971" w:rsidRDefault="003D2EC3" w:rsidP="003D2EC3">
      <w:pPr>
        <w:pStyle w:val="ParaNoG"/>
        <w:numPr>
          <w:ilvl w:val="0"/>
          <w:numId w:val="0"/>
        </w:numPr>
        <w:tabs>
          <w:tab w:val="left" w:pos="1134"/>
        </w:tabs>
        <w:ind w:left="1134"/>
      </w:pPr>
      <w:r w:rsidRPr="006C3971">
        <w:lastRenderedPageBreak/>
        <w:t>41.</w:t>
      </w:r>
      <w:r w:rsidRPr="006C3971">
        <w:tab/>
      </w:r>
      <w:r w:rsidR="00A80A82" w:rsidRPr="00B3690D">
        <w:rPr>
          <w:b/>
        </w:rPr>
        <w:t>The State party should:</w:t>
      </w:r>
    </w:p>
    <w:p w14:paraId="5B7DBFBE" w14:textId="6F85F73B" w:rsidR="00A80A82" w:rsidRDefault="003D2EC3" w:rsidP="00A80A82">
      <w:pPr>
        <w:pStyle w:val="ParaNoG"/>
        <w:numPr>
          <w:ilvl w:val="0"/>
          <w:numId w:val="0"/>
        </w:numPr>
        <w:tabs>
          <w:tab w:val="left" w:pos="1134"/>
        </w:tabs>
        <w:ind w:left="1134" w:firstLineChars="250" w:firstLine="502"/>
      </w:pPr>
      <w:r>
        <w:rPr>
          <w:b/>
        </w:rPr>
        <w:t>(</w:t>
      </w:r>
      <w:r w:rsidR="00A80A82">
        <w:rPr>
          <w:b/>
        </w:rPr>
        <w:t>a)       B</w:t>
      </w:r>
      <w:r w:rsidR="00840555" w:rsidRPr="00C454E7">
        <w:rPr>
          <w:b/>
        </w:rPr>
        <w:t xml:space="preserve">ring its legislation governing peaceful assembly </w:t>
      </w:r>
      <w:r w:rsidR="00357CBA" w:rsidRPr="00C454E7">
        <w:rPr>
          <w:b/>
        </w:rPr>
        <w:t>into full compliance with the Covenant</w:t>
      </w:r>
      <w:r w:rsidR="00A80A82">
        <w:rPr>
          <w:b/>
        </w:rPr>
        <w:t>, b</w:t>
      </w:r>
      <w:r w:rsidR="00A80A82" w:rsidRPr="00C454E7">
        <w:rPr>
          <w:b/>
        </w:rPr>
        <w:t xml:space="preserve">earing in mind the Committees’ general comment N° 37 (2020), </w:t>
      </w:r>
      <w:r w:rsidR="00357CBA" w:rsidRPr="00C454E7">
        <w:rPr>
          <w:b/>
        </w:rPr>
        <w:t>and ensure that any restrictions imposed are in compliance with the strict requirements contained therein</w:t>
      </w:r>
      <w:r w:rsidR="00357CBA" w:rsidRPr="00357CBA">
        <w:rPr>
          <w:b/>
        </w:rPr>
        <w:t>.</w:t>
      </w:r>
      <w:r w:rsidR="003616FC">
        <w:t xml:space="preserve"> </w:t>
      </w:r>
    </w:p>
    <w:p w14:paraId="61A9897F" w14:textId="016A8035" w:rsidR="00A80A82" w:rsidRDefault="003D2EC3" w:rsidP="00A80A82">
      <w:pPr>
        <w:pStyle w:val="ParaNoG"/>
        <w:numPr>
          <w:ilvl w:val="0"/>
          <w:numId w:val="0"/>
        </w:numPr>
        <w:tabs>
          <w:tab w:val="left" w:pos="1134"/>
        </w:tabs>
        <w:ind w:left="1134" w:firstLineChars="250" w:firstLine="502"/>
        <w:rPr>
          <w:b/>
        </w:rPr>
      </w:pPr>
      <w:r>
        <w:rPr>
          <w:b/>
        </w:rPr>
        <w:t>(</w:t>
      </w:r>
      <w:r w:rsidR="00A80A82">
        <w:rPr>
          <w:b/>
        </w:rPr>
        <w:t>b)      B</w:t>
      </w:r>
      <w:r w:rsidR="00761FE6">
        <w:rPr>
          <w:b/>
        </w:rPr>
        <w:t xml:space="preserve">ring its legislation governing the establishment of associations and non-governmental organisations </w:t>
      </w:r>
      <w:r w:rsidR="00840555" w:rsidRPr="00840555">
        <w:rPr>
          <w:b/>
        </w:rPr>
        <w:t>into</w:t>
      </w:r>
      <w:r w:rsidR="00761FE6">
        <w:rPr>
          <w:b/>
        </w:rPr>
        <w:t xml:space="preserve"> full compliance </w:t>
      </w:r>
      <w:r w:rsidR="004C2823">
        <w:rPr>
          <w:b/>
        </w:rPr>
        <w:t xml:space="preserve">with </w:t>
      </w:r>
      <w:r w:rsidR="00840555" w:rsidRPr="00840555">
        <w:rPr>
          <w:b/>
        </w:rPr>
        <w:t>the Covenant</w:t>
      </w:r>
      <w:r w:rsidR="00536374">
        <w:rPr>
          <w:b/>
        </w:rPr>
        <w:t xml:space="preserve">, </w:t>
      </w:r>
      <w:r w:rsidR="00536374" w:rsidRPr="002D111C">
        <w:rPr>
          <w:b/>
        </w:rPr>
        <w:t xml:space="preserve">and </w:t>
      </w:r>
      <w:r w:rsidR="0089311D" w:rsidRPr="002D111C">
        <w:rPr>
          <w:b/>
        </w:rPr>
        <w:t xml:space="preserve">adopt measures to </w:t>
      </w:r>
      <w:r w:rsidR="00536374" w:rsidRPr="002D111C">
        <w:rPr>
          <w:b/>
        </w:rPr>
        <w:t xml:space="preserve">ensure </w:t>
      </w:r>
      <w:r w:rsidR="00662325" w:rsidRPr="002D111C">
        <w:rPr>
          <w:b/>
        </w:rPr>
        <w:t xml:space="preserve">and promote </w:t>
      </w:r>
      <w:r w:rsidR="00536374" w:rsidRPr="002D111C">
        <w:rPr>
          <w:b/>
        </w:rPr>
        <w:t xml:space="preserve">that those associations, including non-governmental organisations, </w:t>
      </w:r>
      <w:r w:rsidR="0089311D" w:rsidRPr="002D111C">
        <w:rPr>
          <w:b/>
        </w:rPr>
        <w:t xml:space="preserve">are able to operate </w:t>
      </w:r>
      <w:r w:rsidR="00662325" w:rsidRPr="002D111C">
        <w:rPr>
          <w:b/>
        </w:rPr>
        <w:t>freely and independently.</w:t>
      </w:r>
    </w:p>
    <w:p w14:paraId="26B8C345" w14:textId="6DC528C6" w:rsidR="001E5699" w:rsidRDefault="003D2EC3" w:rsidP="006C3971">
      <w:pPr>
        <w:pStyle w:val="ParaNoG"/>
        <w:numPr>
          <w:ilvl w:val="0"/>
          <w:numId w:val="0"/>
        </w:numPr>
        <w:tabs>
          <w:tab w:val="left" w:pos="1134"/>
        </w:tabs>
        <w:ind w:left="1134" w:firstLineChars="250" w:firstLine="502"/>
      </w:pPr>
      <w:r>
        <w:rPr>
          <w:b/>
        </w:rPr>
        <w:t>(</w:t>
      </w:r>
      <w:r w:rsidR="00A80A82">
        <w:rPr>
          <w:b/>
        </w:rPr>
        <w:t>c)        G</w:t>
      </w:r>
      <w:r w:rsidR="004C2823">
        <w:rPr>
          <w:b/>
        </w:rPr>
        <w:t xml:space="preserve">uarantee the exercise of </w:t>
      </w:r>
      <w:r w:rsidR="004C2823" w:rsidRPr="004C2823">
        <w:rPr>
          <w:b/>
        </w:rPr>
        <w:t>the right to form and join trade unions without discrimination</w:t>
      </w:r>
      <w:r w:rsidR="004C2823">
        <w:rPr>
          <w:b/>
        </w:rPr>
        <w:t xml:space="preserve"> </w:t>
      </w:r>
      <w:r w:rsidR="004C2823" w:rsidRPr="004C2823">
        <w:rPr>
          <w:b/>
        </w:rPr>
        <w:t xml:space="preserve">and ensure that any restrictions imposed are in </w:t>
      </w:r>
      <w:r w:rsidR="0005359F">
        <w:rPr>
          <w:b/>
        </w:rPr>
        <w:t xml:space="preserve">conformity </w:t>
      </w:r>
      <w:r w:rsidR="004C2823" w:rsidRPr="004C2823">
        <w:rPr>
          <w:b/>
        </w:rPr>
        <w:t>with article 22 of the Covenant.</w:t>
      </w:r>
      <w:r w:rsidR="003368A0">
        <w:rPr>
          <w:b/>
        </w:rPr>
        <w:t xml:space="preserve"> </w:t>
      </w:r>
    </w:p>
    <w:p w14:paraId="06064C8C" w14:textId="0E48D535" w:rsidR="001D0374" w:rsidRPr="001D0374" w:rsidRDefault="001D0374" w:rsidP="00EB3C7D">
      <w:pPr>
        <w:pStyle w:val="H23G"/>
        <w:ind w:left="2268"/>
      </w:pPr>
      <w:r w:rsidRPr="001D0374">
        <w:t>Rights of the child</w:t>
      </w:r>
    </w:p>
    <w:p w14:paraId="3A4F66EE" w14:textId="4B88B9F8" w:rsidR="001D0374" w:rsidRPr="006D3B32" w:rsidRDefault="003D2EC3" w:rsidP="003D2EC3">
      <w:pPr>
        <w:pStyle w:val="ParaNoG"/>
        <w:numPr>
          <w:ilvl w:val="0"/>
          <w:numId w:val="0"/>
        </w:numPr>
        <w:tabs>
          <w:tab w:val="left" w:pos="1134"/>
        </w:tabs>
        <w:ind w:left="1134"/>
      </w:pPr>
      <w:r w:rsidRPr="006D3B32">
        <w:t>42.</w:t>
      </w:r>
      <w:r w:rsidRPr="006D3B32">
        <w:tab/>
      </w:r>
      <w:r w:rsidR="00A80A82">
        <w:t>T</w:t>
      </w:r>
      <w:r w:rsidR="00EC0B88" w:rsidRPr="006D3B32">
        <w:rPr>
          <w:shd w:val="clear" w:color="auto" w:fill="FFFFFF"/>
        </w:rPr>
        <w:t>he Committee is concerned that the current minimum age of criminal responsibility is set at 7 years</w:t>
      </w:r>
      <w:r w:rsidR="00B43304">
        <w:rPr>
          <w:shd w:val="clear" w:color="auto" w:fill="FFFFFF"/>
        </w:rPr>
        <w:t>, while taking note that the new Children’s Code w</w:t>
      </w:r>
      <w:r w:rsidR="00B43304" w:rsidRPr="00B43304">
        <w:rPr>
          <w:shd w:val="clear" w:color="auto" w:fill="FFFFFF"/>
        </w:rPr>
        <w:t xml:space="preserve">ill </w:t>
      </w:r>
      <w:r w:rsidR="00B43304" w:rsidRPr="00B43304">
        <w:rPr>
          <w:bCs/>
        </w:rPr>
        <w:t xml:space="preserve">bring the age of criminal responsibility </w:t>
      </w:r>
      <w:r w:rsidR="00B43304">
        <w:rPr>
          <w:bCs/>
        </w:rPr>
        <w:t xml:space="preserve">in conformity </w:t>
      </w:r>
      <w:r w:rsidR="00B43304" w:rsidRPr="00B43304">
        <w:rPr>
          <w:bCs/>
        </w:rPr>
        <w:t>with</w:t>
      </w:r>
      <w:r w:rsidR="00B43304">
        <w:rPr>
          <w:bCs/>
        </w:rPr>
        <w:t xml:space="preserve"> international standards</w:t>
      </w:r>
      <w:r w:rsidR="00EC0B88" w:rsidRPr="006D3B32">
        <w:rPr>
          <w:shd w:val="clear" w:color="auto" w:fill="FFFFFF"/>
        </w:rPr>
        <w:t>. The Committee is also concerned about the lack of legislation that ex</w:t>
      </w:r>
      <w:r w:rsidR="00EC0B88" w:rsidRPr="006D3B32">
        <w:rPr>
          <w:bCs/>
        </w:rPr>
        <w:t>plicitly and clearly prohibits corporal punishment of children in all settings</w:t>
      </w:r>
      <w:r w:rsidR="00C459E1" w:rsidRPr="006D3B32">
        <w:rPr>
          <w:bCs/>
        </w:rPr>
        <w:t xml:space="preserve"> (art. </w:t>
      </w:r>
      <w:r w:rsidR="00D75531" w:rsidRPr="006D3B32">
        <w:rPr>
          <w:bCs/>
        </w:rPr>
        <w:t>7 and 24)</w:t>
      </w:r>
      <w:r w:rsidR="00EC0B88" w:rsidRPr="006D3B32">
        <w:rPr>
          <w:shd w:val="clear" w:color="auto" w:fill="FFFFFF"/>
        </w:rPr>
        <w:t>.</w:t>
      </w:r>
    </w:p>
    <w:p w14:paraId="71B4075B" w14:textId="02CB47A8" w:rsidR="001E5699" w:rsidRPr="00B862E2" w:rsidRDefault="003D2EC3" w:rsidP="003D2EC3">
      <w:pPr>
        <w:pStyle w:val="ParaNoG"/>
        <w:numPr>
          <w:ilvl w:val="0"/>
          <w:numId w:val="0"/>
        </w:numPr>
        <w:tabs>
          <w:tab w:val="left" w:pos="1134"/>
        </w:tabs>
        <w:ind w:left="1134"/>
        <w:rPr>
          <w:b/>
        </w:rPr>
      </w:pPr>
      <w:r w:rsidRPr="002B1078">
        <w:t>43.</w:t>
      </w:r>
      <w:r w:rsidRPr="00B862E2">
        <w:rPr>
          <w:b/>
        </w:rPr>
        <w:tab/>
      </w:r>
      <w:r w:rsidR="00EC0B88" w:rsidRPr="003616FC">
        <w:rPr>
          <w:b/>
        </w:rPr>
        <w:t>The State party</w:t>
      </w:r>
      <w:r w:rsidR="00EC0B88" w:rsidRPr="00B862E2">
        <w:rPr>
          <w:b/>
        </w:rPr>
        <w:t xml:space="preserve"> should </w:t>
      </w:r>
      <w:r w:rsidR="00B862E2">
        <w:rPr>
          <w:b/>
          <w:bCs/>
        </w:rPr>
        <w:t>a</w:t>
      </w:r>
      <w:r w:rsidR="00B862E2" w:rsidRPr="00B862E2">
        <w:rPr>
          <w:b/>
          <w:bCs/>
        </w:rPr>
        <w:t xml:space="preserve">ccelerate the adoption of the </w:t>
      </w:r>
      <w:r w:rsidR="00B862E2">
        <w:rPr>
          <w:b/>
          <w:bCs/>
        </w:rPr>
        <w:t xml:space="preserve">Children’s Code </w:t>
      </w:r>
      <w:r w:rsidR="00B862E2" w:rsidRPr="00B862E2">
        <w:rPr>
          <w:b/>
          <w:bCs/>
        </w:rPr>
        <w:t>and</w:t>
      </w:r>
      <w:r w:rsidR="00B862E2">
        <w:rPr>
          <w:b/>
          <w:bCs/>
        </w:rPr>
        <w:t xml:space="preserve"> </w:t>
      </w:r>
      <w:r w:rsidR="00B862E2" w:rsidRPr="00B862E2">
        <w:rPr>
          <w:b/>
          <w:bCs/>
        </w:rPr>
        <w:t>raise the minimum age of criminal responsibility in accordance with internationally accepted standards</w:t>
      </w:r>
      <w:r w:rsidR="003616FC">
        <w:rPr>
          <w:b/>
          <w:bCs/>
        </w:rPr>
        <w:t xml:space="preserve">. </w:t>
      </w:r>
      <w:r w:rsidR="00B862E2">
        <w:rPr>
          <w:b/>
          <w:bCs/>
        </w:rPr>
        <w:t>The State party should also enact legislation that explicitly and clearly prohibits corporal punishme</w:t>
      </w:r>
      <w:r w:rsidR="003616FC">
        <w:rPr>
          <w:b/>
          <w:bCs/>
        </w:rPr>
        <w:t>nt of children in all settings.</w:t>
      </w:r>
    </w:p>
    <w:p w14:paraId="7E70058C" w14:textId="33F33D99" w:rsidR="001D0374" w:rsidRPr="001D0374" w:rsidRDefault="001D0374" w:rsidP="00EB3C7D">
      <w:pPr>
        <w:pStyle w:val="H23G"/>
        <w:ind w:left="2268"/>
      </w:pPr>
      <w:r w:rsidRPr="001D0374">
        <w:t>Participation in public affairs</w:t>
      </w:r>
    </w:p>
    <w:p w14:paraId="0A12378C" w14:textId="1D55E1FC" w:rsidR="00884330" w:rsidRPr="00220408" w:rsidRDefault="003D2EC3" w:rsidP="003D2EC3">
      <w:pPr>
        <w:pStyle w:val="ParaNoG"/>
        <w:numPr>
          <w:ilvl w:val="0"/>
          <w:numId w:val="0"/>
        </w:numPr>
        <w:tabs>
          <w:tab w:val="left" w:pos="1134"/>
        </w:tabs>
        <w:ind w:left="1134"/>
      </w:pPr>
      <w:r w:rsidRPr="00220408">
        <w:t>44.</w:t>
      </w:r>
      <w:r w:rsidRPr="00220408">
        <w:tab/>
      </w:r>
      <w:r w:rsidR="00DC4403" w:rsidRPr="00220408">
        <w:t>The Committee welcomes the holding</w:t>
      </w:r>
      <w:r w:rsidR="0035652D" w:rsidRPr="00220408">
        <w:t xml:space="preserve"> </w:t>
      </w:r>
      <w:r w:rsidR="00DC4403" w:rsidRPr="00220408">
        <w:t xml:space="preserve">of the first elections for the </w:t>
      </w:r>
      <w:proofErr w:type="spellStart"/>
      <w:r w:rsidR="00DC4403" w:rsidRPr="00220408">
        <w:t>Shura</w:t>
      </w:r>
      <w:proofErr w:type="spellEnd"/>
      <w:r w:rsidR="00DC4403" w:rsidRPr="00220408">
        <w:t xml:space="preserve"> C</w:t>
      </w:r>
      <w:r w:rsidR="00C5222F" w:rsidRPr="00220408">
        <w:t xml:space="preserve">ouncil on October 2021. </w:t>
      </w:r>
      <w:r w:rsidR="0035652D" w:rsidRPr="00220408">
        <w:t xml:space="preserve">Nevertheless, the Committee is concerned that </w:t>
      </w:r>
      <w:r w:rsidR="00CF6F0C" w:rsidRPr="00220408">
        <w:t>the electoral laws adopted in July 2021, in particular Law No. 6 of 2021,</w:t>
      </w:r>
      <w:r w:rsidR="00C5222F" w:rsidRPr="00220408">
        <w:t xml:space="preserve"> granted the right to vote in these elections only </w:t>
      </w:r>
      <w:r w:rsidR="006B17E9" w:rsidRPr="00220408">
        <w:t xml:space="preserve">to </w:t>
      </w:r>
      <w:r w:rsidR="00C5222F" w:rsidRPr="00220408">
        <w:t>Qatar</w:t>
      </w:r>
      <w:r w:rsidR="006B17E9" w:rsidRPr="00220408">
        <w:t xml:space="preserve">i nationals and those whose </w:t>
      </w:r>
      <w:r w:rsidR="006B17E9" w:rsidRPr="00220408">
        <w:rPr>
          <w:shd w:val="clear" w:color="auto" w:fill="FFFFFF"/>
        </w:rPr>
        <w:t>grandfather is Qatari and born in Qatar</w:t>
      </w:r>
      <w:r w:rsidR="00884330" w:rsidRPr="00220408">
        <w:t>, excluding all other naturalized Qatari citizens</w:t>
      </w:r>
      <w:r w:rsidR="001E546F" w:rsidRPr="00220408">
        <w:t xml:space="preserve"> (arts 2, 25 and 26)</w:t>
      </w:r>
      <w:r w:rsidR="00884330" w:rsidRPr="00220408">
        <w:t xml:space="preserve">. </w:t>
      </w:r>
    </w:p>
    <w:p w14:paraId="0CC426AF" w14:textId="055808CA" w:rsidR="001D0374" w:rsidRPr="001E546F" w:rsidRDefault="003D2EC3" w:rsidP="003D2EC3">
      <w:pPr>
        <w:pStyle w:val="ParaNoG"/>
        <w:numPr>
          <w:ilvl w:val="0"/>
          <w:numId w:val="0"/>
        </w:numPr>
        <w:tabs>
          <w:tab w:val="left" w:pos="1134"/>
        </w:tabs>
        <w:ind w:left="1134"/>
        <w:rPr>
          <w:b/>
        </w:rPr>
      </w:pPr>
      <w:r w:rsidRPr="003D2EC3">
        <w:rPr>
          <w:bCs/>
        </w:rPr>
        <w:t>45.</w:t>
      </w:r>
      <w:r w:rsidRPr="001E546F">
        <w:rPr>
          <w:b/>
        </w:rPr>
        <w:tab/>
      </w:r>
      <w:r w:rsidR="00884330" w:rsidRPr="006D5302">
        <w:rPr>
          <w:b/>
        </w:rPr>
        <w:t>The State party</w:t>
      </w:r>
      <w:r w:rsidR="00690A26" w:rsidRPr="001E546F">
        <w:rPr>
          <w:b/>
        </w:rPr>
        <w:t xml:space="preserve"> should</w:t>
      </w:r>
      <w:r w:rsidR="00F60F89" w:rsidRPr="001E546F">
        <w:rPr>
          <w:b/>
        </w:rPr>
        <w:t xml:space="preserve"> bring its electoral legal framework into full compliance with the C</w:t>
      </w:r>
      <w:r w:rsidR="001E546F" w:rsidRPr="001E546F">
        <w:rPr>
          <w:b/>
        </w:rPr>
        <w:t>ovenant, in particular by eliminating</w:t>
      </w:r>
      <w:r w:rsidR="00F60F89" w:rsidRPr="001E546F">
        <w:rPr>
          <w:b/>
        </w:rPr>
        <w:t xml:space="preserve"> the restrictions on the right to vote </w:t>
      </w:r>
      <w:r w:rsidR="001E546F" w:rsidRPr="001E546F">
        <w:rPr>
          <w:b/>
        </w:rPr>
        <w:t xml:space="preserve">of naturalized Qatari citizens </w:t>
      </w:r>
      <w:r w:rsidR="00F60F89" w:rsidRPr="001E546F">
        <w:rPr>
          <w:b/>
        </w:rPr>
        <w:t xml:space="preserve">and guarantee the equal enjoyment of all citizens of the rights recognized in article 25 of the Covenant. </w:t>
      </w:r>
    </w:p>
    <w:p w14:paraId="1B696B46" w14:textId="2DBDCD71" w:rsidR="008E68A3" w:rsidRDefault="008E68A3" w:rsidP="008E68A3">
      <w:pPr>
        <w:pStyle w:val="H1G"/>
      </w:pPr>
      <w:r w:rsidRPr="00E760E3">
        <w:tab/>
      </w:r>
      <w:bookmarkStart w:id="5" w:name="_Toc529980711"/>
      <w:r w:rsidRPr="00E760E3">
        <w:t>D.</w:t>
      </w:r>
      <w:r w:rsidRPr="00E760E3">
        <w:tab/>
        <w:t>Dissemination and follow-up</w:t>
      </w:r>
      <w:bookmarkEnd w:id="5"/>
    </w:p>
    <w:p w14:paraId="2B451A55" w14:textId="627D8B5B" w:rsidR="008E68A3" w:rsidRDefault="003D2EC3" w:rsidP="003D2EC3">
      <w:pPr>
        <w:pStyle w:val="ParaNoG"/>
        <w:numPr>
          <w:ilvl w:val="0"/>
          <w:numId w:val="0"/>
        </w:numPr>
        <w:tabs>
          <w:tab w:val="left" w:pos="1134"/>
        </w:tabs>
        <w:ind w:left="1134"/>
        <w:rPr>
          <w:b/>
          <w:bCs/>
        </w:rPr>
      </w:pPr>
      <w:r w:rsidRPr="003D2EC3">
        <w:t>46.</w:t>
      </w:r>
      <w:r w:rsidRPr="003D2EC3">
        <w:tab/>
      </w:r>
      <w:r w:rsidR="008E68A3" w:rsidRPr="008E68A3">
        <w:rPr>
          <w:b/>
          <w:bCs/>
        </w:rPr>
        <w:t>The State party should widely disseminate the Covenant, its initial report, the written replies to the Committee’s list of issues and the present concluding observations with a view to raising awareness of the rights enshrined in the Covenant among the judicial, legislative and administrative authorities, civil society and NGOs</w:t>
      </w:r>
      <w:r w:rsidR="008E68A3" w:rsidRPr="008E68A3" w:rsidDel="00710C18">
        <w:rPr>
          <w:b/>
          <w:bCs/>
        </w:rPr>
        <w:t xml:space="preserve"> </w:t>
      </w:r>
      <w:r w:rsidR="008E68A3" w:rsidRPr="008E68A3">
        <w:rPr>
          <w:b/>
          <w:bCs/>
        </w:rPr>
        <w:t>operating in the country, and the general public.</w:t>
      </w:r>
    </w:p>
    <w:p w14:paraId="031F060C" w14:textId="403F2D7D" w:rsidR="008E68A3" w:rsidRPr="00F35421" w:rsidRDefault="003D2EC3" w:rsidP="003D2EC3">
      <w:pPr>
        <w:pStyle w:val="ParaNoG"/>
        <w:numPr>
          <w:ilvl w:val="0"/>
          <w:numId w:val="0"/>
        </w:numPr>
        <w:tabs>
          <w:tab w:val="left" w:pos="1134"/>
        </w:tabs>
        <w:ind w:left="1134"/>
        <w:rPr>
          <w:b/>
          <w:bCs/>
        </w:rPr>
      </w:pPr>
      <w:r w:rsidRPr="003D2EC3">
        <w:t>47.</w:t>
      </w:r>
      <w:r>
        <w:rPr>
          <w:b/>
          <w:bCs/>
        </w:rPr>
        <w:tab/>
      </w:r>
      <w:r w:rsidR="008E68A3" w:rsidRPr="008E68A3">
        <w:rPr>
          <w:b/>
          <w:bCs/>
        </w:rPr>
        <w:t>In accordance with rule 7</w:t>
      </w:r>
      <w:r w:rsidR="00494861">
        <w:rPr>
          <w:b/>
          <w:bCs/>
        </w:rPr>
        <w:t>5</w:t>
      </w:r>
      <w:r w:rsidR="008E68A3" w:rsidRPr="008E68A3">
        <w:rPr>
          <w:b/>
          <w:bCs/>
        </w:rPr>
        <w:t xml:space="preserve">, paragraph </w:t>
      </w:r>
      <w:r w:rsidR="00494861">
        <w:rPr>
          <w:b/>
          <w:bCs/>
        </w:rPr>
        <w:t>1</w:t>
      </w:r>
      <w:r w:rsidR="008E68A3" w:rsidRPr="008E68A3">
        <w:rPr>
          <w:b/>
          <w:bCs/>
        </w:rPr>
        <w:t>, of the Committee’s rules o</w:t>
      </w:r>
      <w:r w:rsidR="0056309F">
        <w:rPr>
          <w:b/>
          <w:bCs/>
        </w:rPr>
        <w:t xml:space="preserve">f procedure, the State party is </w:t>
      </w:r>
      <w:r w:rsidR="008E68A3" w:rsidRPr="008E68A3">
        <w:rPr>
          <w:b/>
          <w:bCs/>
        </w:rPr>
        <w:t xml:space="preserve">requested to provide, by </w:t>
      </w:r>
      <w:r w:rsidR="00C454E7">
        <w:rPr>
          <w:b/>
          <w:bCs/>
        </w:rPr>
        <w:t>25 March 2025</w:t>
      </w:r>
      <w:r w:rsidR="008E68A3" w:rsidRPr="008E68A3">
        <w:rPr>
          <w:b/>
          <w:bCs/>
        </w:rPr>
        <w:t xml:space="preserve">, information on the implementation of the recommendations made by the Committee </w:t>
      </w:r>
      <w:r w:rsidR="008E68A3" w:rsidRPr="00F35421">
        <w:rPr>
          <w:b/>
          <w:bCs/>
        </w:rPr>
        <w:t>in paragraphs</w:t>
      </w:r>
      <w:r w:rsidR="00905E67">
        <w:rPr>
          <w:b/>
          <w:bCs/>
        </w:rPr>
        <w:t xml:space="preserve"> </w:t>
      </w:r>
      <w:r w:rsidR="007B7901">
        <w:rPr>
          <w:b/>
          <w:bCs/>
        </w:rPr>
        <w:t>21 (death penalty)</w:t>
      </w:r>
      <w:r w:rsidR="00905E67">
        <w:rPr>
          <w:b/>
          <w:bCs/>
        </w:rPr>
        <w:t>, 23 (deaths among migrant workers)</w:t>
      </w:r>
      <w:r w:rsidR="007B7901">
        <w:rPr>
          <w:b/>
          <w:bCs/>
        </w:rPr>
        <w:t xml:space="preserve"> and 45 (participation in public affairs)</w:t>
      </w:r>
      <w:r w:rsidR="008E68A3" w:rsidRPr="00F35421">
        <w:rPr>
          <w:b/>
          <w:bCs/>
        </w:rPr>
        <w:t xml:space="preserve"> above.</w:t>
      </w:r>
    </w:p>
    <w:p w14:paraId="3C6016A4" w14:textId="63215E2A" w:rsidR="00F01AD6" w:rsidRPr="00D50E62" w:rsidRDefault="003D2EC3" w:rsidP="003D2EC3">
      <w:pPr>
        <w:pStyle w:val="ParaNoG"/>
        <w:numPr>
          <w:ilvl w:val="0"/>
          <w:numId w:val="0"/>
        </w:numPr>
        <w:tabs>
          <w:tab w:val="left" w:pos="1134"/>
        </w:tabs>
        <w:ind w:left="1134"/>
        <w:rPr>
          <w:b/>
          <w:bCs/>
        </w:rPr>
      </w:pPr>
      <w:r w:rsidRPr="003D2EC3">
        <w:t>48.</w:t>
      </w:r>
      <w:r w:rsidRPr="003D2EC3">
        <w:tab/>
      </w:r>
      <w:r w:rsidR="008E68A3" w:rsidRPr="008E68A3">
        <w:rPr>
          <w:b/>
          <w:bCs/>
        </w:rPr>
        <w:t xml:space="preserve">In line with the Committee’s predictable review cycle, the State party will receive in 2028 the Committee’s list of issues prior to the submission of the report and will be expected to submit within one year its replies to the list of issues, which will constitute its second periodic report. The Committee also requests the State party, in preparing the report, to broadly consult civil society and non-governmental organizations operating in the country. In accordance with General Assembly resolution 68/268, the </w:t>
      </w:r>
      <w:r w:rsidR="008E68A3" w:rsidRPr="008E68A3">
        <w:rPr>
          <w:b/>
          <w:bCs/>
        </w:rPr>
        <w:lastRenderedPageBreak/>
        <w:t>word limit for the report is 21,200 words. The next constructive dialogue with the State party will take place in 2030 in Geneva.</w:t>
      </w:r>
    </w:p>
    <w:p w14:paraId="156AAEA4" w14:textId="77777777" w:rsidR="003E03C6" w:rsidRPr="0006266C" w:rsidRDefault="00FD44B6" w:rsidP="00FD44B6">
      <w:pPr>
        <w:spacing w:before="240"/>
        <w:ind w:left="1134" w:right="1134"/>
        <w:jc w:val="center"/>
        <w:rPr>
          <w:u w:val="single"/>
        </w:rPr>
      </w:pPr>
      <w:r w:rsidRPr="0006266C">
        <w:rPr>
          <w:u w:val="single"/>
        </w:rPr>
        <w:tab/>
      </w:r>
      <w:r w:rsidRPr="0006266C">
        <w:rPr>
          <w:u w:val="single"/>
        </w:rPr>
        <w:tab/>
      </w:r>
      <w:r w:rsidRPr="0006266C">
        <w:rPr>
          <w:u w:val="single"/>
        </w:rPr>
        <w:tab/>
      </w:r>
    </w:p>
    <w:p w14:paraId="38BA8659" w14:textId="77777777" w:rsidR="00104655" w:rsidRDefault="00104655" w:rsidP="00FD44B6">
      <w:pPr>
        <w:spacing w:before="240"/>
        <w:ind w:left="1134" w:right="1134"/>
        <w:jc w:val="center"/>
        <w:rPr>
          <w:u w:val="single"/>
        </w:rPr>
      </w:pPr>
    </w:p>
    <w:p w14:paraId="7B5B65CB" w14:textId="2D3E5AD4" w:rsidR="00104655" w:rsidRPr="002B34D7" w:rsidRDefault="00104655" w:rsidP="002B34D7">
      <w:pPr>
        <w:suppressAutoHyphens w:val="0"/>
        <w:spacing w:after="200" w:line="276" w:lineRule="auto"/>
        <w:rPr>
          <w:u w:val="single"/>
        </w:rPr>
      </w:pPr>
    </w:p>
    <w:sectPr w:rsidR="00104655" w:rsidRPr="002B34D7">
      <w:headerReference w:type="even" r:id="rId8"/>
      <w:headerReference w:type="default" r:id="rId9"/>
      <w:footerReference w:type="even" r:id="rId10"/>
      <w:footerReference w:type="default" r:id="rId1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03A30" w14:textId="77777777" w:rsidR="00ED76F7" w:rsidRDefault="00ED76F7">
      <w:pPr>
        <w:spacing w:line="240" w:lineRule="auto"/>
      </w:pPr>
      <w:r>
        <w:separator/>
      </w:r>
    </w:p>
  </w:endnote>
  <w:endnote w:type="continuationSeparator" w:id="0">
    <w:p w14:paraId="3A9D3491" w14:textId="77777777" w:rsidR="00ED76F7" w:rsidRDefault="00ED7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7AB65" w14:textId="56C1FE83" w:rsidR="0001598A" w:rsidRDefault="0001598A" w:rsidP="00104655">
    <w:pPr>
      <w:pStyle w:val="Footer"/>
      <w:tabs>
        <w:tab w:val="left" w:pos="9390"/>
        <w:tab w:val="right" w:pos="9639"/>
      </w:tabs>
    </w:pPr>
    <w:r>
      <w:rPr>
        <w:b/>
        <w:sz w:val="18"/>
      </w:rPr>
      <w:fldChar w:fldCharType="begin"/>
    </w:r>
    <w:r>
      <w:rPr>
        <w:b/>
        <w:sz w:val="18"/>
      </w:rPr>
      <w:instrText xml:space="preserve"> PAGE  \* MERGEFORMAT </w:instrText>
    </w:r>
    <w:r>
      <w:rPr>
        <w:b/>
        <w:sz w:val="18"/>
      </w:rPr>
      <w:fldChar w:fldCharType="separate"/>
    </w:r>
    <w:r w:rsidR="00931B70">
      <w:rPr>
        <w:b/>
        <w:noProof/>
        <w:sz w:val="18"/>
      </w:rPr>
      <w:t>8</w:t>
    </w:r>
    <w:r>
      <w:rPr>
        <w:b/>
        <w:sz w:val="18"/>
      </w:rP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F483" w14:textId="214487A9" w:rsidR="0001598A" w:rsidRDefault="0001598A">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931B70">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10778" w14:textId="77777777" w:rsidR="00ED76F7" w:rsidRDefault="00ED76F7">
      <w:pPr>
        <w:spacing w:line="240" w:lineRule="auto"/>
      </w:pPr>
      <w:r>
        <w:separator/>
      </w:r>
    </w:p>
  </w:footnote>
  <w:footnote w:type="continuationSeparator" w:id="0">
    <w:p w14:paraId="50716595" w14:textId="77777777" w:rsidR="00ED76F7" w:rsidRDefault="00ED76F7">
      <w:pPr>
        <w:spacing w:line="240" w:lineRule="auto"/>
      </w:pPr>
      <w:r>
        <w:continuationSeparator/>
      </w:r>
    </w:p>
  </w:footnote>
  <w:footnote w:id="1">
    <w:p w14:paraId="53E559EB" w14:textId="77777777" w:rsidR="004748B3" w:rsidRDefault="004748B3" w:rsidP="004748B3">
      <w:pPr>
        <w:pStyle w:val="FootnoteText"/>
      </w:pPr>
      <w:r>
        <w:tab/>
      </w:r>
      <w:r>
        <w:rPr>
          <w:rStyle w:val="FootnoteReference"/>
        </w:rPr>
        <w:t>*</w:t>
      </w:r>
      <w:r>
        <w:t xml:space="preserve"> </w:t>
      </w:r>
      <w:r>
        <w:tab/>
      </w:r>
      <w:r>
        <w:rPr>
          <w:lang w:eastAsia="en-GB"/>
        </w:rPr>
        <w:t>Adopted by the Committee at its 134</w:t>
      </w:r>
      <w:r w:rsidRPr="004748B3">
        <w:rPr>
          <w:vertAlign w:val="superscript"/>
          <w:lang w:eastAsia="en-GB"/>
        </w:rPr>
        <w:t>th</w:t>
      </w:r>
      <w:r>
        <w:rPr>
          <w:lang w:eastAsia="en-GB"/>
        </w:rPr>
        <w:t xml:space="preserve"> session (28 February-25 March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C977" w14:textId="6F03D7CB" w:rsidR="0001598A" w:rsidRDefault="0001598A">
    <w:pPr>
      <w:pStyle w:val="Header"/>
    </w:pPr>
    <w:r>
      <w:t>CCPR/C/QAT/CO/1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9FDD" w14:textId="54CBA7B2" w:rsidR="0001598A" w:rsidRDefault="0001598A">
    <w:pPr>
      <w:pStyle w:val="Header"/>
      <w:jc w:val="right"/>
    </w:pPr>
    <w:r>
      <w:t>CCPR/C/QAT/CO/1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3132BBB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9C2F9B2" w:tentative="1">
      <w:start w:val="1"/>
      <w:numFmt w:val="lowerLetter"/>
      <w:lvlText w:val="%2."/>
      <w:lvlJc w:val="left"/>
      <w:pPr>
        <w:tabs>
          <w:tab w:val="num" w:pos="1440"/>
        </w:tabs>
        <w:ind w:left="1440" w:hanging="360"/>
      </w:pPr>
    </w:lvl>
    <w:lvl w:ilvl="2" w:tplc="A29A9E4A" w:tentative="1">
      <w:start w:val="1"/>
      <w:numFmt w:val="lowerRoman"/>
      <w:lvlText w:val="%3."/>
      <w:lvlJc w:val="right"/>
      <w:pPr>
        <w:tabs>
          <w:tab w:val="num" w:pos="2160"/>
        </w:tabs>
        <w:ind w:left="2160" w:hanging="180"/>
      </w:pPr>
    </w:lvl>
    <w:lvl w:ilvl="3" w:tplc="2A347F00" w:tentative="1">
      <w:start w:val="1"/>
      <w:numFmt w:val="decimal"/>
      <w:lvlText w:val="%4."/>
      <w:lvlJc w:val="left"/>
      <w:pPr>
        <w:tabs>
          <w:tab w:val="num" w:pos="2880"/>
        </w:tabs>
        <w:ind w:left="2880" w:hanging="360"/>
      </w:pPr>
    </w:lvl>
    <w:lvl w:ilvl="4" w:tplc="8EC0F47E" w:tentative="1">
      <w:start w:val="1"/>
      <w:numFmt w:val="lowerLetter"/>
      <w:lvlText w:val="%5."/>
      <w:lvlJc w:val="left"/>
      <w:pPr>
        <w:tabs>
          <w:tab w:val="num" w:pos="3600"/>
        </w:tabs>
        <w:ind w:left="3600" w:hanging="360"/>
      </w:pPr>
    </w:lvl>
    <w:lvl w:ilvl="5" w:tplc="4A7CF8EE" w:tentative="1">
      <w:start w:val="1"/>
      <w:numFmt w:val="lowerRoman"/>
      <w:lvlText w:val="%6."/>
      <w:lvlJc w:val="right"/>
      <w:pPr>
        <w:tabs>
          <w:tab w:val="num" w:pos="4320"/>
        </w:tabs>
        <w:ind w:left="4320" w:hanging="180"/>
      </w:pPr>
    </w:lvl>
    <w:lvl w:ilvl="6" w:tplc="55C851D4" w:tentative="1">
      <w:start w:val="1"/>
      <w:numFmt w:val="decimal"/>
      <w:lvlText w:val="%7."/>
      <w:lvlJc w:val="left"/>
      <w:pPr>
        <w:tabs>
          <w:tab w:val="num" w:pos="5040"/>
        </w:tabs>
        <w:ind w:left="5040" w:hanging="360"/>
      </w:pPr>
    </w:lvl>
    <w:lvl w:ilvl="7" w:tplc="9BFA31EA" w:tentative="1">
      <w:start w:val="1"/>
      <w:numFmt w:val="lowerLetter"/>
      <w:lvlText w:val="%8."/>
      <w:lvlJc w:val="left"/>
      <w:pPr>
        <w:tabs>
          <w:tab w:val="num" w:pos="5760"/>
        </w:tabs>
        <w:ind w:left="5760" w:hanging="360"/>
      </w:pPr>
    </w:lvl>
    <w:lvl w:ilvl="8" w:tplc="56927C94" w:tentative="1">
      <w:start w:val="1"/>
      <w:numFmt w:val="lowerRoman"/>
      <w:lvlText w:val="%9."/>
      <w:lvlJc w:val="right"/>
      <w:pPr>
        <w:tabs>
          <w:tab w:val="num" w:pos="6480"/>
        </w:tabs>
        <w:ind w:left="6480" w:hanging="180"/>
      </w:pPr>
    </w:lvl>
  </w:abstractNum>
  <w:abstractNum w:abstractNumId="12" w15:restartNumberingAfterBreak="0">
    <w:nsid w:val="139B4E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80D74"/>
    <w:multiLevelType w:val="hybridMultilevel"/>
    <w:tmpl w:val="818AEEB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A8F4BDC"/>
    <w:multiLevelType w:val="hybridMultilevel"/>
    <w:tmpl w:val="FA74BA34"/>
    <w:lvl w:ilvl="0" w:tplc="08090017">
      <w:start w:val="1"/>
      <w:numFmt w:val="lowerLetter"/>
      <w:lvlText w:val="%1)"/>
      <w:lvlJc w:val="left"/>
      <w:pPr>
        <w:ind w:left="1907" w:hanging="360"/>
      </w:p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15" w15:restartNumberingAfterBreak="0">
    <w:nsid w:val="3ACF4EB2"/>
    <w:multiLevelType w:val="hybridMultilevel"/>
    <w:tmpl w:val="CB6C816A"/>
    <w:lvl w:ilvl="0" w:tplc="C974158C">
      <w:start w:val="1"/>
      <w:numFmt w:val="bullet"/>
      <w:pStyle w:val="Bullet2G"/>
      <w:lvlText w:val="•"/>
      <w:lvlJc w:val="left"/>
      <w:pPr>
        <w:tabs>
          <w:tab w:val="num" w:pos="2268"/>
        </w:tabs>
        <w:ind w:left="2268" w:hanging="170"/>
      </w:pPr>
      <w:rPr>
        <w:rFonts w:ascii="Times New Roman" w:hAnsi="Times New Roman" w:cs="Times New Roman" w:hint="default"/>
      </w:rPr>
    </w:lvl>
    <w:lvl w:ilvl="1" w:tplc="18280DC4" w:tentative="1">
      <w:start w:val="1"/>
      <w:numFmt w:val="bullet"/>
      <w:lvlText w:val="o"/>
      <w:lvlJc w:val="left"/>
      <w:pPr>
        <w:tabs>
          <w:tab w:val="num" w:pos="3708"/>
        </w:tabs>
        <w:ind w:left="3708" w:hanging="360"/>
      </w:pPr>
      <w:rPr>
        <w:rFonts w:ascii="Courier New" w:hAnsi="Courier New" w:hint="default"/>
      </w:rPr>
    </w:lvl>
    <w:lvl w:ilvl="2" w:tplc="6EE0F1F2" w:tentative="1">
      <w:start w:val="1"/>
      <w:numFmt w:val="bullet"/>
      <w:lvlText w:val=""/>
      <w:lvlJc w:val="left"/>
      <w:pPr>
        <w:tabs>
          <w:tab w:val="num" w:pos="4428"/>
        </w:tabs>
        <w:ind w:left="4428" w:hanging="360"/>
      </w:pPr>
      <w:rPr>
        <w:rFonts w:ascii="Wingdings" w:hAnsi="Wingdings" w:hint="default"/>
      </w:rPr>
    </w:lvl>
    <w:lvl w:ilvl="3" w:tplc="5DF012E6" w:tentative="1">
      <w:start w:val="1"/>
      <w:numFmt w:val="bullet"/>
      <w:lvlText w:val=""/>
      <w:lvlJc w:val="left"/>
      <w:pPr>
        <w:tabs>
          <w:tab w:val="num" w:pos="5148"/>
        </w:tabs>
        <w:ind w:left="5148" w:hanging="360"/>
      </w:pPr>
      <w:rPr>
        <w:rFonts w:ascii="Symbol" w:hAnsi="Symbol" w:hint="default"/>
      </w:rPr>
    </w:lvl>
    <w:lvl w:ilvl="4" w:tplc="6B2022B6" w:tentative="1">
      <w:start w:val="1"/>
      <w:numFmt w:val="bullet"/>
      <w:lvlText w:val="o"/>
      <w:lvlJc w:val="left"/>
      <w:pPr>
        <w:tabs>
          <w:tab w:val="num" w:pos="5868"/>
        </w:tabs>
        <w:ind w:left="5868" w:hanging="360"/>
      </w:pPr>
      <w:rPr>
        <w:rFonts w:ascii="Courier New" w:hAnsi="Courier New" w:hint="default"/>
      </w:rPr>
    </w:lvl>
    <w:lvl w:ilvl="5" w:tplc="1AFA7036" w:tentative="1">
      <w:start w:val="1"/>
      <w:numFmt w:val="bullet"/>
      <w:lvlText w:val=""/>
      <w:lvlJc w:val="left"/>
      <w:pPr>
        <w:tabs>
          <w:tab w:val="num" w:pos="6588"/>
        </w:tabs>
        <w:ind w:left="6588" w:hanging="360"/>
      </w:pPr>
      <w:rPr>
        <w:rFonts w:ascii="Wingdings" w:hAnsi="Wingdings" w:hint="default"/>
      </w:rPr>
    </w:lvl>
    <w:lvl w:ilvl="6" w:tplc="3174AF7A" w:tentative="1">
      <w:start w:val="1"/>
      <w:numFmt w:val="bullet"/>
      <w:lvlText w:val=""/>
      <w:lvlJc w:val="left"/>
      <w:pPr>
        <w:tabs>
          <w:tab w:val="num" w:pos="7308"/>
        </w:tabs>
        <w:ind w:left="7308" w:hanging="360"/>
      </w:pPr>
      <w:rPr>
        <w:rFonts w:ascii="Symbol" w:hAnsi="Symbol" w:hint="default"/>
      </w:rPr>
    </w:lvl>
    <w:lvl w:ilvl="7" w:tplc="868E6A9E" w:tentative="1">
      <w:start w:val="1"/>
      <w:numFmt w:val="bullet"/>
      <w:lvlText w:val="o"/>
      <w:lvlJc w:val="left"/>
      <w:pPr>
        <w:tabs>
          <w:tab w:val="num" w:pos="8028"/>
        </w:tabs>
        <w:ind w:left="8028" w:hanging="360"/>
      </w:pPr>
      <w:rPr>
        <w:rFonts w:ascii="Courier New" w:hAnsi="Courier New" w:hint="default"/>
      </w:rPr>
    </w:lvl>
    <w:lvl w:ilvl="8" w:tplc="C36CB7AA"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08A314D"/>
    <w:multiLevelType w:val="hybridMultilevel"/>
    <w:tmpl w:val="A908213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19942BD"/>
    <w:multiLevelType w:val="hybridMultilevel"/>
    <w:tmpl w:val="02C6B14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42527E9F"/>
    <w:multiLevelType w:val="hybridMultilevel"/>
    <w:tmpl w:val="1F348A60"/>
    <w:lvl w:ilvl="0" w:tplc="BBC0298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42AC03E0"/>
    <w:multiLevelType w:val="hybridMultilevel"/>
    <w:tmpl w:val="8786A4AE"/>
    <w:lvl w:ilvl="0" w:tplc="5DA04966">
      <w:start w:val="25"/>
      <w:numFmt w:val="bullet"/>
      <w:lvlText w:val="-"/>
      <w:lvlJc w:val="left"/>
      <w:pPr>
        <w:ind w:left="1080" w:hanging="360"/>
      </w:pPr>
      <w:rPr>
        <w:rFonts w:ascii="Arial" w:eastAsiaTheme="minorHAnsi" w:hAnsi="Arial" w:cs="Arial" w:hint="default"/>
        <w:color w:val="3B3B3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E874F0"/>
    <w:multiLevelType w:val="hybridMultilevel"/>
    <w:tmpl w:val="AB8A3A1C"/>
    <w:lvl w:ilvl="0" w:tplc="6EA646E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4B64E72"/>
    <w:multiLevelType w:val="hybridMultilevel"/>
    <w:tmpl w:val="4BA08DA0"/>
    <w:lvl w:ilvl="0" w:tplc="5CC42C9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4CE519E"/>
    <w:multiLevelType w:val="hybridMultilevel"/>
    <w:tmpl w:val="BB62214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7472A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76721F"/>
    <w:multiLevelType w:val="hybridMultilevel"/>
    <w:tmpl w:val="A908213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333F72"/>
    <w:multiLevelType w:val="hybridMultilevel"/>
    <w:tmpl w:val="8160B17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5147098"/>
    <w:multiLevelType w:val="hybridMultilevel"/>
    <w:tmpl w:val="25B6F92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54128E4"/>
    <w:multiLevelType w:val="hybridMultilevel"/>
    <w:tmpl w:val="EB3CF05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8AD07B2"/>
    <w:multiLevelType w:val="hybridMultilevel"/>
    <w:tmpl w:val="7FEE3222"/>
    <w:lvl w:ilvl="0" w:tplc="F216CF9E">
      <w:start w:val="1"/>
      <w:numFmt w:val="bullet"/>
      <w:pStyle w:val="Bullet1G"/>
      <w:lvlText w:val="•"/>
      <w:lvlJc w:val="left"/>
      <w:pPr>
        <w:tabs>
          <w:tab w:val="num" w:pos="1701"/>
        </w:tabs>
        <w:ind w:left="1701" w:hanging="170"/>
      </w:pPr>
      <w:rPr>
        <w:rFonts w:ascii="Times New Roman" w:hAnsi="Times New Roman" w:cs="Times New Roman" w:hint="default"/>
      </w:rPr>
    </w:lvl>
    <w:lvl w:ilvl="1" w:tplc="8168F5E4" w:tentative="1">
      <w:start w:val="1"/>
      <w:numFmt w:val="bullet"/>
      <w:lvlText w:val="o"/>
      <w:lvlJc w:val="left"/>
      <w:pPr>
        <w:tabs>
          <w:tab w:val="num" w:pos="3141"/>
        </w:tabs>
        <w:ind w:left="3141" w:hanging="360"/>
      </w:pPr>
      <w:rPr>
        <w:rFonts w:ascii="Courier New" w:hAnsi="Courier New" w:hint="default"/>
      </w:rPr>
    </w:lvl>
    <w:lvl w:ilvl="2" w:tplc="B720C47C" w:tentative="1">
      <w:start w:val="1"/>
      <w:numFmt w:val="bullet"/>
      <w:lvlText w:val=""/>
      <w:lvlJc w:val="left"/>
      <w:pPr>
        <w:tabs>
          <w:tab w:val="num" w:pos="3861"/>
        </w:tabs>
        <w:ind w:left="3861" w:hanging="360"/>
      </w:pPr>
      <w:rPr>
        <w:rFonts w:ascii="Wingdings" w:hAnsi="Wingdings" w:hint="default"/>
      </w:rPr>
    </w:lvl>
    <w:lvl w:ilvl="3" w:tplc="73C0FA4C" w:tentative="1">
      <w:start w:val="1"/>
      <w:numFmt w:val="bullet"/>
      <w:lvlText w:val=""/>
      <w:lvlJc w:val="left"/>
      <w:pPr>
        <w:tabs>
          <w:tab w:val="num" w:pos="4581"/>
        </w:tabs>
        <w:ind w:left="4581" w:hanging="360"/>
      </w:pPr>
      <w:rPr>
        <w:rFonts w:ascii="Symbol" w:hAnsi="Symbol" w:hint="default"/>
      </w:rPr>
    </w:lvl>
    <w:lvl w:ilvl="4" w:tplc="DF94CFC6" w:tentative="1">
      <w:start w:val="1"/>
      <w:numFmt w:val="bullet"/>
      <w:lvlText w:val="o"/>
      <w:lvlJc w:val="left"/>
      <w:pPr>
        <w:tabs>
          <w:tab w:val="num" w:pos="5301"/>
        </w:tabs>
        <w:ind w:left="5301" w:hanging="360"/>
      </w:pPr>
      <w:rPr>
        <w:rFonts w:ascii="Courier New" w:hAnsi="Courier New" w:hint="default"/>
      </w:rPr>
    </w:lvl>
    <w:lvl w:ilvl="5" w:tplc="7FC408A0" w:tentative="1">
      <w:start w:val="1"/>
      <w:numFmt w:val="bullet"/>
      <w:lvlText w:val=""/>
      <w:lvlJc w:val="left"/>
      <w:pPr>
        <w:tabs>
          <w:tab w:val="num" w:pos="6021"/>
        </w:tabs>
        <w:ind w:left="6021" w:hanging="360"/>
      </w:pPr>
      <w:rPr>
        <w:rFonts w:ascii="Wingdings" w:hAnsi="Wingdings" w:hint="default"/>
      </w:rPr>
    </w:lvl>
    <w:lvl w:ilvl="6" w:tplc="2C040B98" w:tentative="1">
      <w:start w:val="1"/>
      <w:numFmt w:val="bullet"/>
      <w:lvlText w:val=""/>
      <w:lvlJc w:val="left"/>
      <w:pPr>
        <w:tabs>
          <w:tab w:val="num" w:pos="6741"/>
        </w:tabs>
        <w:ind w:left="6741" w:hanging="360"/>
      </w:pPr>
      <w:rPr>
        <w:rFonts w:ascii="Symbol" w:hAnsi="Symbol" w:hint="default"/>
      </w:rPr>
    </w:lvl>
    <w:lvl w:ilvl="7" w:tplc="4734E484" w:tentative="1">
      <w:start w:val="1"/>
      <w:numFmt w:val="bullet"/>
      <w:lvlText w:val="o"/>
      <w:lvlJc w:val="left"/>
      <w:pPr>
        <w:tabs>
          <w:tab w:val="num" w:pos="7461"/>
        </w:tabs>
        <w:ind w:left="7461" w:hanging="360"/>
      </w:pPr>
      <w:rPr>
        <w:rFonts w:ascii="Courier New" w:hAnsi="Courier New" w:hint="default"/>
      </w:rPr>
    </w:lvl>
    <w:lvl w:ilvl="8" w:tplc="16CCDC9E"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6B4B7DC5"/>
    <w:multiLevelType w:val="hybridMultilevel"/>
    <w:tmpl w:val="8142545C"/>
    <w:lvl w:ilvl="0" w:tplc="5E8ED1C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5035549"/>
    <w:multiLevelType w:val="hybridMultilevel"/>
    <w:tmpl w:val="2C1EF7D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912FD0"/>
    <w:multiLevelType w:val="hybridMultilevel"/>
    <w:tmpl w:val="DEE2386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9"/>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15"/>
  </w:num>
  <w:num w:numId="16">
    <w:abstractNumId w:val="11"/>
  </w:num>
  <w:num w:numId="17">
    <w:abstractNumId w:val="23"/>
  </w:num>
  <w:num w:numId="18">
    <w:abstractNumId w:val="25"/>
  </w:num>
  <w:num w:numId="19">
    <w:abstractNumId w:val="12"/>
  </w:num>
  <w:num w:numId="20">
    <w:abstractNumId w:val="32"/>
  </w:num>
  <w:num w:numId="21">
    <w:abstractNumId w:val="10"/>
  </w:num>
  <w:num w:numId="22">
    <w:abstractNumId w:val="17"/>
  </w:num>
  <w:num w:numId="23">
    <w:abstractNumId w:val="24"/>
  </w:num>
  <w:num w:numId="24">
    <w:abstractNumId w:val="16"/>
  </w:num>
  <w:num w:numId="25">
    <w:abstractNumId w:val="27"/>
  </w:num>
  <w:num w:numId="26">
    <w:abstractNumId w:val="30"/>
  </w:num>
  <w:num w:numId="27">
    <w:abstractNumId w:val="21"/>
  </w:num>
  <w:num w:numId="28">
    <w:abstractNumId w:val="18"/>
  </w:num>
  <w:num w:numId="29">
    <w:abstractNumId w:val="13"/>
  </w:num>
  <w:num w:numId="30">
    <w:abstractNumId w:val="28"/>
  </w:num>
  <w:num w:numId="31">
    <w:abstractNumId w:val="22"/>
  </w:num>
  <w:num w:numId="32">
    <w:abstractNumId w:val="19"/>
  </w:num>
  <w:num w:numId="33">
    <w:abstractNumId w:val="31"/>
  </w:num>
  <w:num w:numId="34">
    <w:abstractNumId w:val="1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3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09"/>
    <w:rsid w:val="00000153"/>
    <w:rsid w:val="0000098A"/>
    <w:rsid w:val="00000A27"/>
    <w:rsid w:val="000024E2"/>
    <w:rsid w:val="00004785"/>
    <w:rsid w:val="00005CEE"/>
    <w:rsid w:val="00010D2A"/>
    <w:rsid w:val="00012140"/>
    <w:rsid w:val="00012F8C"/>
    <w:rsid w:val="0001598A"/>
    <w:rsid w:val="00021363"/>
    <w:rsid w:val="00021879"/>
    <w:rsid w:val="000268C5"/>
    <w:rsid w:val="00031A03"/>
    <w:rsid w:val="00031AF3"/>
    <w:rsid w:val="00043EAA"/>
    <w:rsid w:val="0005359F"/>
    <w:rsid w:val="0006266C"/>
    <w:rsid w:val="000662CB"/>
    <w:rsid w:val="00072B6F"/>
    <w:rsid w:val="00081ABE"/>
    <w:rsid w:val="00083FAC"/>
    <w:rsid w:val="000840C6"/>
    <w:rsid w:val="000A1795"/>
    <w:rsid w:val="000A749C"/>
    <w:rsid w:val="000B18F1"/>
    <w:rsid w:val="000B2930"/>
    <w:rsid w:val="000B4B6A"/>
    <w:rsid w:val="000B626E"/>
    <w:rsid w:val="000B7120"/>
    <w:rsid w:val="000C6575"/>
    <w:rsid w:val="000C6DE8"/>
    <w:rsid w:val="000F2ADE"/>
    <w:rsid w:val="001026DF"/>
    <w:rsid w:val="001044C9"/>
    <w:rsid w:val="00104655"/>
    <w:rsid w:val="001131F2"/>
    <w:rsid w:val="00116BEA"/>
    <w:rsid w:val="00116CC2"/>
    <w:rsid w:val="001170B3"/>
    <w:rsid w:val="001313F5"/>
    <w:rsid w:val="00141DAB"/>
    <w:rsid w:val="00143F5A"/>
    <w:rsid w:val="001441CA"/>
    <w:rsid w:val="001527DA"/>
    <w:rsid w:val="001569C5"/>
    <w:rsid w:val="00164A2E"/>
    <w:rsid w:val="00171900"/>
    <w:rsid w:val="001763CE"/>
    <w:rsid w:val="00191EBC"/>
    <w:rsid w:val="00193F16"/>
    <w:rsid w:val="00194221"/>
    <w:rsid w:val="001949DD"/>
    <w:rsid w:val="001954B0"/>
    <w:rsid w:val="001A332A"/>
    <w:rsid w:val="001A3F04"/>
    <w:rsid w:val="001B1B45"/>
    <w:rsid w:val="001B2951"/>
    <w:rsid w:val="001D010F"/>
    <w:rsid w:val="001D0374"/>
    <w:rsid w:val="001D5D91"/>
    <w:rsid w:val="001E546F"/>
    <w:rsid w:val="001E5699"/>
    <w:rsid w:val="00205BB4"/>
    <w:rsid w:val="002066A3"/>
    <w:rsid w:val="0021290C"/>
    <w:rsid w:val="00220408"/>
    <w:rsid w:val="002211D8"/>
    <w:rsid w:val="0022610E"/>
    <w:rsid w:val="00227F18"/>
    <w:rsid w:val="00232B13"/>
    <w:rsid w:val="00235F58"/>
    <w:rsid w:val="002360B6"/>
    <w:rsid w:val="0023775A"/>
    <w:rsid w:val="00272A5B"/>
    <w:rsid w:val="00272BB9"/>
    <w:rsid w:val="002749E0"/>
    <w:rsid w:val="00274C8F"/>
    <w:rsid w:val="00284D57"/>
    <w:rsid w:val="00286723"/>
    <w:rsid w:val="002927C6"/>
    <w:rsid w:val="002A79F3"/>
    <w:rsid w:val="002B1078"/>
    <w:rsid w:val="002B34D7"/>
    <w:rsid w:val="002B5BFE"/>
    <w:rsid w:val="002C0C31"/>
    <w:rsid w:val="002C20BB"/>
    <w:rsid w:val="002D084F"/>
    <w:rsid w:val="002D111C"/>
    <w:rsid w:val="002D2F1D"/>
    <w:rsid w:val="002D624F"/>
    <w:rsid w:val="002E2EEC"/>
    <w:rsid w:val="002E7629"/>
    <w:rsid w:val="002F1512"/>
    <w:rsid w:val="002F3BEE"/>
    <w:rsid w:val="00301C48"/>
    <w:rsid w:val="00306E8E"/>
    <w:rsid w:val="00313341"/>
    <w:rsid w:val="00313FB7"/>
    <w:rsid w:val="00320425"/>
    <w:rsid w:val="00320D29"/>
    <w:rsid w:val="00325EAC"/>
    <w:rsid w:val="00326DEE"/>
    <w:rsid w:val="00333B90"/>
    <w:rsid w:val="003368A0"/>
    <w:rsid w:val="00337A18"/>
    <w:rsid w:val="00353492"/>
    <w:rsid w:val="00353BC7"/>
    <w:rsid w:val="003554BA"/>
    <w:rsid w:val="0035652D"/>
    <w:rsid w:val="00357CBA"/>
    <w:rsid w:val="003616FC"/>
    <w:rsid w:val="003729B1"/>
    <w:rsid w:val="003730D0"/>
    <w:rsid w:val="0037400A"/>
    <w:rsid w:val="00374DE6"/>
    <w:rsid w:val="00375199"/>
    <w:rsid w:val="003818E3"/>
    <w:rsid w:val="00384219"/>
    <w:rsid w:val="003935E0"/>
    <w:rsid w:val="00395EEB"/>
    <w:rsid w:val="003A5A40"/>
    <w:rsid w:val="003A60E3"/>
    <w:rsid w:val="003B59BD"/>
    <w:rsid w:val="003C1AEB"/>
    <w:rsid w:val="003C5F21"/>
    <w:rsid w:val="003D2EC3"/>
    <w:rsid w:val="003E03C6"/>
    <w:rsid w:val="003E0A00"/>
    <w:rsid w:val="003E389E"/>
    <w:rsid w:val="003E3DE8"/>
    <w:rsid w:val="003E3EBF"/>
    <w:rsid w:val="003E5744"/>
    <w:rsid w:val="003E732F"/>
    <w:rsid w:val="003F0216"/>
    <w:rsid w:val="003F1EE5"/>
    <w:rsid w:val="003F5B41"/>
    <w:rsid w:val="004001E9"/>
    <w:rsid w:val="004033AE"/>
    <w:rsid w:val="004053C7"/>
    <w:rsid w:val="00414A25"/>
    <w:rsid w:val="00416E1C"/>
    <w:rsid w:val="00417E7A"/>
    <w:rsid w:val="00417FD4"/>
    <w:rsid w:val="004267EF"/>
    <w:rsid w:val="00433618"/>
    <w:rsid w:val="0043368A"/>
    <w:rsid w:val="00441CDC"/>
    <w:rsid w:val="00442A30"/>
    <w:rsid w:val="00453697"/>
    <w:rsid w:val="00453A0C"/>
    <w:rsid w:val="00456420"/>
    <w:rsid w:val="00457592"/>
    <w:rsid w:val="00461518"/>
    <w:rsid w:val="00463B35"/>
    <w:rsid w:val="00464704"/>
    <w:rsid w:val="00471607"/>
    <w:rsid w:val="004748B3"/>
    <w:rsid w:val="00486E27"/>
    <w:rsid w:val="00487210"/>
    <w:rsid w:val="004876C7"/>
    <w:rsid w:val="00494861"/>
    <w:rsid w:val="004A12DD"/>
    <w:rsid w:val="004B15CA"/>
    <w:rsid w:val="004B71A5"/>
    <w:rsid w:val="004C1DF5"/>
    <w:rsid w:val="004C2823"/>
    <w:rsid w:val="004C478B"/>
    <w:rsid w:val="004F17A7"/>
    <w:rsid w:val="004F2867"/>
    <w:rsid w:val="00502847"/>
    <w:rsid w:val="00505525"/>
    <w:rsid w:val="00513494"/>
    <w:rsid w:val="00513C16"/>
    <w:rsid w:val="00536374"/>
    <w:rsid w:val="005436C1"/>
    <w:rsid w:val="00547021"/>
    <w:rsid w:val="00550CC7"/>
    <w:rsid w:val="00554183"/>
    <w:rsid w:val="005563AB"/>
    <w:rsid w:val="0056309F"/>
    <w:rsid w:val="0058614A"/>
    <w:rsid w:val="0059097F"/>
    <w:rsid w:val="00591AC4"/>
    <w:rsid w:val="00597B28"/>
    <w:rsid w:val="005A79C6"/>
    <w:rsid w:val="005D1F8D"/>
    <w:rsid w:val="005D62D4"/>
    <w:rsid w:val="005E4D00"/>
    <w:rsid w:val="005E56BD"/>
    <w:rsid w:val="005F23E3"/>
    <w:rsid w:val="005F2C31"/>
    <w:rsid w:val="005F6556"/>
    <w:rsid w:val="006129EC"/>
    <w:rsid w:val="00613920"/>
    <w:rsid w:val="006205F7"/>
    <w:rsid w:val="00621C25"/>
    <w:rsid w:val="00623F57"/>
    <w:rsid w:val="00635957"/>
    <w:rsid w:val="00636B5B"/>
    <w:rsid w:val="006444A2"/>
    <w:rsid w:val="00646AF8"/>
    <w:rsid w:val="006554E0"/>
    <w:rsid w:val="00662325"/>
    <w:rsid w:val="0066354E"/>
    <w:rsid w:val="00671022"/>
    <w:rsid w:val="0068537C"/>
    <w:rsid w:val="00686FFC"/>
    <w:rsid w:val="006879F3"/>
    <w:rsid w:val="00690A26"/>
    <w:rsid w:val="0069514D"/>
    <w:rsid w:val="006A1878"/>
    <w:rsid w:val="006A636C"/>
    <w:rsid w:val="006A71C7"/>
    <w:rsid w:val="006B17E9"/>
    <w:rsid w:val="006B3DE1"/>
    <w:rsid w:val="006C3971"/>
    <w:rsid w:val="006C4997"/>
    <w:rsid w:val="006C58EC"/>
    <w:rsid w:val="006D3B32"/>
    <w:rsid w:val="006D43BC"/>
    <w:rsid w:val="006D46DE"/>
    <w:rsid w:val="006D5302"/>
    <w:rsid w:val="006E1BDE"/>
    <w:rsid w:val="006F1351"/>
    <w:rsid w:val="006F2ECD"/>
    <w:rsid w:val="006F6EB2"/>
    <w:rsid w:val="006F7A0C"/>
    <w:rsid w:val="007112BD"/>
    <w:rsid w:val="007145AA"/>
    <w:rsid w:val="007150EE"/>
    <w:rsid w:val="00742548"/>
    <w:rsid w:val="007456EE"/>
    <w:rsid w:val="007462BF"/>
    <w:rsid w:val="00751386"/>
    <w:rsid w:val="007613F7"/>
    <w:rsid w:val="00761FE6"/>
    <w:rsid w:val="00784337"/>
    <w:rsid w:val="0078711D"/>
    <w:rsid w:val="007876AB"/>
    <w:rsid w:val="00787B62"/>
    <w:rsid w:val="007A24C3"/>
    <w:rsid w:val="007B00F3"/>
    <w:rsid w:val="007B0D46"/>
    <w:rsid w:val="007B7901"/>
    <w:rsid w:val="007C1DB0"/>
    <w:rsid w:val="007C225A"/>
    <w:rsid w:val="007D56B2"/>
    <w:rsid w:val="007F1627"/>
    <w:rsid w:val="008152AA"/>
    <w:rsid w:val="00820BF7"/>
    <w:rsid w:val="00833FCD"/>
    <w:rsid w:val="00840555"/>
    <w:rsid w:val="008408CE"/>
    <w:rsid w:val="008513AC"/>
    <w:rsid w:val="00865081"/>
    <w:rsid w:val="00871947"/>
    <w:rsid w:val="008730BD"/>
    <w:rsid w:val="00880D76"/>
    <w:rsid w:val="00884330"/>
    <w:rsid w:val="00886671"/>
    <w:rsid w:val="008916AE"/>
    <w:rsid w:val="0089311D"/>
    <w:rsid w:val="00896BEC"/>
    <w:rsid w:val="00897C97"/>
    <w:rsid w:val="008A5497"/>
    <w:rsid w:val="008B31A6"/>
    <w:rsid w:val="008B47A8"/>
    <w:rsid w:val="008B6F9F"/>
    <w:rsid w:val="008C57A1"/>
    <w:rsid w:val="008C5A84"/>
    <w:rsid w:val="008D2492"/>
    <w:rsid w:val="008E1B99"/>
    <w:rsid w:val="008E68A3"/>
    <w:rsid w:val="008F75F2"/>
    <w:rsid w:val="00905E67"/>
    <w:rsid w:val="0091230B"/>
    <w:rsid w:val="00916825"/>
    <w:rsid w:val="00926222"/>
    <w:rsid w:val="00931B70"/>
    <w:rsid w:val="009322B4"/>
    <w:rsid w:val="00935286"/>
    <w:rsid w:val="00951D4A"/>
    <w:rsid w:val="0095457D"/>
    <w:rsid w:val="009570AB"/>
    <w:rsid w:val="00962102"/>
    <w:rsid w:val="00964D8B"/>
    <w:rsid w:val="00971FBB"/>
    <w:rsid w:val="00974FED"/>
    <w:rsid w:val="009815A5"/>
    <w:rsid w:val="00985475"/>
    <w:rsid w:val="009875B8"/>
    <w:rsid w:val="00991863"/>
    <w:rsid w:val="00992350"/>
    <w:rsid w:val="00994389"/>
    <w:rsid w:val="009948E9"/>
    <w:rsid w:val="009A0523"/>
    <w:rsid w:val="009A54B2"/>
    <w:rsid w:val="009A77A2"/>
    <w:rsid w:val="009C21A5"/>
    <w:rsid w:val="009C5F25"/>
    <w:rsid w:val="009D54C2"/>
    <w:rsid w:val="009E59AB"/>
    <w:rsid w:val="009F0415"/>
    <w:rsid w:val="009F2D55"/>
    <w:rsid w:val="009F4E45"/>
    <w:rsid w:val="009F6563"/>
    <w:rsid w:val="009F76F4"/>
    <w:rsid w:val="00A055C6"/>
    <w:rsid w:val="00A11E2E"/>
    <w:rsid w:val="00A22C2C"/>
    <w:rsid w:val="00A267CE"/>
    <w:rsid w:val="00A314F5"/>
    <w:rsid w:val="00A3481C"/>
    <w:rsid w:val="00A44CF9"/>
    <w:rsid w:val="00A457D7"/>
    <w:rsid w:val="00A46555"/>
    <w:rsid w:val="00A51922"/>
    <w:rsid w:val="00A56ACC"/>
    <w:rsid w:val="00A63A09"/>
    <w:rsid w:val="00A64513"/>
    <w:rsid w:val="00A6670C"/>
    <w:rsid w:val="00A67E8B"/>
    <w:rsid w:val="00A80A82"/>
    <w:rsid w:val="00A918E7"/>
    <w:rsid w:val="00AA1EF2"/>
    <w:rsid w:val="00AA4F9B"/>
    <w:rsid w:val="00AA6C21"/>
    <w:rsid w:val="00AB285E"/>
    <w:rsid w:val="00AC116C"/>
    <w:rsid w:val="00AC357D"/>
    <w:rsid w:val="00AC4523"/>
    <w:rsid w:val="00AC6AE7"/>
    <w:rsid w:val="00AD4937"/>
    <w:rsid w:val="00AD5721"/>
    <w:rsid w:val="00AD6D82"/>
    <w:rsid w:val="00AE595C"/>
    <w:rsid w:val="00AE7589"/>
    <w:rsid w:val="00AF79D1"/>
    <w:rsid w:val="00B01CA6"/>
    <w:rsid w:val="00B1403D"/>
    <w:rsid w:val="00B176AA"/>
    <w:rsid w:val="00B2512E"/>
    <w:rsid w:val="00B25D11"/>
    <w:rsid w:val="00B33EF2"/>
    <w:rsid w:val="00B3690D"/>
    <w:rsid w:val="00B43304"/>
    <w:rsid w:val="00B54253"/>
    <w:rsid w:val="00B55241"/>
    <w:rsid w:val="00B609C1"/>
    <w:rsid w:val="00B636A5"/>
    <w:rsid w:val="00B77CB7"/>
    <w:rsid w:val="00B8522D"/>
    <w:rsid w:val="00B8540B"/>
    <w:rsid w:val="00B862E2"/>
    <w:rsid w:val="00B86442"/>
    <w:rsid w:val="00B87DEC"/>
    <w:rsid w:val="00B92E44"/>
    <w:rsid w:val="00B93A79"/>
    <w:rsid w:val="00BA0BC1"/>
    <w:rsid w:val="00BA4B89"/>
    <w:rsid w:val="00BB119E"/>
    <w:rsid w:val="00BD16A4"/>
    <w:rsid w:val="00BE2458"/>
    <w:rsid w:val="00BE5F15"/>
    <w:rsid w:val="00BF31C5"/>
    <w:rsid w:val="00BF6828"/>
    <w:rsid w:val="00C04B68"/>
    <w:rsid w:val="00C11529"/>
    <w:rsid w:val="00C251B7"/>
    <w:rsid w:val="00C257B5"/>
    <w:rsid w:val="00C30507"/>
    <w:rsid w:val="00C4293C"/>
    <w:rsid w:val="00C454E7"/>
    <w:rsid w:val="00C45521"/>
    <w:rsid w:val="00C459E1"/>
    <w:rsid w:val="00C51CB9"/>
    <w:rsid w:val="00C5222F"/>
    <w:rsid w:val="00C649D7"/>
    <w:rsid w:val="00C64F64"/>
    <w:rsid w:val="00C67302"/>
    <w:rsid w:val="00C7023F"/>
    <w:rsid w:val="00C713CE"/>
    <w:rsid w:val="00C7592D"/>
    <w:rsid w:val="00C779AB"/>
    <w:rsid w:val="00C90654"/>
    <w:rsid w:val="00C97742"/>
    <w:rsid w:val="00CA0D8E"/>
    <w:rsid w:val="00CA2936"/>
    <w:rsid w:val="00CA3ED7"/>
    <w:rsid w:val="00CA421B"/>
    <w:rsid w:val="00CA460C"/>
    <w:rsid w:val="00CA5397"/>
    <w:rsid w:val="00CA7C0C"/>
    <w:rsid w:val="00CC4292"/>
    <w:rsid w:val="00CC528E"/>
    <w:rsid w:val="00CC5587"/>
    <w:rsid w:val="00CD55E2"/>
    <w:rsid w:val="00CD7355"/>
    <w:rsid w:val="00CE4240"/>
    <w:rsid w:val="00CE7D80"/>
    <w:rsid w:val="00CF2DDF"/>
    <w:rsid w:val="00CF4E1D"/>
    <w:rsid w:val="00CF6F0C"/>
    <w:rsid w:val="00CF745E"/>
    <w:rsid w:val="00D029AE"/>
    <w:rsid w:val="00D07BEA"/>
    <w:rsid w:val="00D20079"/>
    <w:rsid w:val="00D2012C"/>
    <w:rsid w:val="00D253C7"/>
    <w:rsid w:val="00D26154"/>
    <w:rsid w:val="00D3735F"/>
    <w:rsid w:val="00D47331"/>
    <w:rsid w:val="00D50E62"/>
    <w:rsid w:val="00D51BCB"/>
    <w:rsid w:val="00D52B4E"/>
    <w:rsid w:val="00D552C8"/>
    <w:rsid w:val="00D62E29"/>
    <w:rsid w:val="00D75531"/>
    <w:rsid w:val="00D770EA"/>
    <w:rsid w:val="00D8318C"/>
    <w:rsid w:val="00D83676"/>
    <w:rsid w:val="00D97FDA"/>
    <w:rsid w:val="00DA0104"/>
    <w:rsid w:val="00DA5810"/>
    <w:rsid w:val="00DA5B52"/>
    <w:rsid w:val="00DA67CF"/>
    <w:rsid w:val="00DB26EC"/>
    <w:rsid w:val="00DB28F5"/>
    <w:rsid w:val="00DC4403"/>
    <w:rsid w:val="00DC6EC2"/>
    <w:rsid w:val="00DD0895"/>
    <w:rsid w:val="00DE41CE"/>
    <w:rsid w:val="00DF23E2"/>
    <w:rsid w:val="00DF6974"/>
    <w:rsid w:val="00E02F7D"/>
    <w:rsid w:val="00E06DBE"/>
    <w:rsid w:val="00E11888"/>
    <w:rsid w:val="00E15E33"/>
    <w:rsid w:val="00E162C1"/>
    <w:rsid w:val="00E16A2F"/>
    <w:rsid w:val="00E176F7"/>
    <w:rsid w:val="00E225B6"/>
    <w:rsid w:val="00E22CC1"/>
    <w:rsid w:val="00E64486"/>
    <w:rsid w:val="00E65D72"/>
    <w:rsid w:val="00E73E7D"/>
    <w:rsid w:val="00E74747"/>
    <w:rsid w:val="00E8121C"/>
    <w:rsid w:val="00E90C55"/>
    <w:rsid w:val="00E9107D"/>
    <w:rsid w:val="00E93E6B"/>
    <w:rsid w:val="00E9655F"/>
    <w:rsid w:val="00EA2716"/>
    <w:rsid w:val="00EA5946"/>
    <w:rsid w:val="00EB2E46"/>
    <w:rsid w:val="00EB3C7D"/>
    <w:rsid w:val="00EC0B88"/>
    <w:rsid w:val="00EC130D"/>
    <w:rsid w:val="00ED6AA8"/>
    <w:rsid w:val="00ED76F7"/>
    <w:rsid w:val="00ED7D31"/>
    <w:rsid w:val="00EE16FB"/>
    <w:rsid w:val="00EE41FE"/>
    <w:rsid w:val="00EE536B"/>
    <w:rsid w:val="00EF41E6"/>
    <w:rsid w:val="00F01AD6"/>
    <w:rsid w:val="00F049FC"/>
    <w:rsid w:val="00F05E34"/>
    <w:rsid w:val="00F07004"/>
    <w:rsid w:val="00F11678"/>
    <w:rsid w:val="00F122D6"/>
    <w:rsid w:val="00F216F5"/>
    <w:rsid w:val="00F2361E"/>
    <w:rsid w:val="00F3145F"/>
    <w:rsid w:val="00F35421"/>
    <w:rsid w:val="00F51865"/>
    <w:rsid w:val="00F52A19"/>
    <w:rsid w:val="00F565FF"/>
    <w:rsid w:val="00F569D5"/>
    <w:rsid w:val="00F60F89"/>
    <w:rsid w:val="00F67553"/>
    <w:rsid w:val="00F83F1F"/>
    <w:rsid w:val="00F85E61"/>
    <w:rsid w:val="00F919BE"/>
    <w:rsid w:val="00F928CE"/>
    <w:rsid w:val="00FA2BEC"/>
    <w:rsid w:val="00FA3A51"/>
    <w:rsid w:val="00FA72F8"/>
    <w:rsid w:val="00FB2C18"/>
    <w:rsid w:val="00FC3058"/>
    <w:rsid w:val="00FD44B6"/>
    <w:rsid w:val="00FE3BEF"/>
    <w:rsid w:val="00FE705F"/>
    <w:rsid w:val="00FF4564"/>
    <w:rsid w:val="00FF579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E7200"/>
  <w15:docId w15:val="{12F5F0E3-3ABD-4769-BEAE-19C1C91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15"/>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16"/>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ootnote,Footnotes refss,Style 10,ftref,16 Point,Superscript 6 Point,Footnote number,Endnote Text1,Rimando nota a pièdi pagina1,Footnote symbol,Знак сноски 1,callout,Footnote Refernece,Footnote Reference Number"/>
    <w:basedOn w:val="DefaultParagraphFont"/>
    <w:link w:val="4GCharChar"/>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Footnote Text Char1,Footnote Text Char Char1,Footnote Text Char1 Char Char1,Footnote Text Char Char1 Char Char,Footnote Text Char1 Char Char1 Char Char,ft Char Char Char Char Char,Geneva 9 Char Char Char Char Char,ft,Text,fn"/>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1 Char,Footnote Text Char Char1 Char,Footnote Text Char1 Char Char1 Char,Footnote Text Char Char1 Char Char Char,Footnote Text Char1 Char Char1 Char Char Char,ft Char Char Char Char Char Char,ft Char,fn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lang w:val="en-GB"/>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SingleTxtGChar">
    <w:name w:val="_ Single Txt_G Char"/>
    <w:link w:val="SingleTxtG"/>
    <w:locked/>
    <w:rPr>
      <w:rFonts w:ascii="Times New Roman" w:hAnsi="Times New Roman" w:cs="Times New Roman"/>
      <w:sz w:val="20"/>
      <w:szCs w:val="20"/>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Normal"/>
    <w:link w:val="FootnoteReference"/>
    <w:rsid w:val="009C21A5"/>
    <w:pPr>
      <w:suppressAutoHyphens w:val="0"/>
      <w:spacing w:after="160" w:line="240" w:lineRule="exact"/>
    </w:pPr>
    <w:rPr>
      <w:rFonts w:eastAsiaTheme="minorHAnsi" w:cstheme="minorBidi"/>
      <w:sz w:val="18"/>
      <w:szCs w:val="22"/>
      <w:vertAlign w:val="superscript"/>
    </w:rPr>
  </w:style>
  <w:style w:type="paragraph" w:customStyle="1" w:styleId="ParaNoG">
    <w:name w:val="_ParaNo._G"/>
    <w:basedOn w:val="SingleTxtG"/>
    <w:rsid w:val="00E02F7D"/>
    <w:pPr>
      <w:numPr>
        <w:numId w:val="21"/>
      </w:numPr>
      <w:kinsoku/>
      <w:overflowPunct/>
      <w:autoSpaceDE/>
      <w:autoSpaceDN/>
      <w:adjustRightInd/>
      <w:snapToGrid/>
    </w:pPr>
    <w:rPr>
      <w:rFonts w:eastAsia="SimSun"/>
      <w:lang w:eastAsia="zh-CN"/>
    </w:rPr>
  </w:style>
  <w:style w:type="paragraph" w:styleId="ListParagraph">
    <w:name w:val="List Paragraph"/>
    <w:basedOn w:val="Normal"/>
    <w:uiPriority w:val="34"/>
    <w:semiHidden/>
    <w:qFormat/>
    <w:rsid w:val="00E02F7D"/>
    <w:pPr>
      <w:ind w:left="720"/>
      <w:contextualSpacing/>
    </w:pPr>
  </w:style>
  <w:style w:type="paragraph" w:styleId="Revision">
    <w:name w:val="Revision"/>
    <w:hidden/>
    <w:uiPriority w:val="99"/>
    <w:semiHidden/>
    <w:rsid w:val="00EC130D"/>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EC130D"/>
    <w:rPr>
      <w:sz w:val="18"/>
      <w:szCs w:val="18"/>
    </w:rPr>
  </w:style>
  <w:style w:type="paragraph" w:styleId="CommentText">
    <w:name w:val="annotation text"/>
    <w:basedOn w:val="Normal"/>
    <w:link w:val="CommentTextChar"/>
    <w:uiPriority w:val="99"/>
    <w:semiHidden/>
    <w:unhideWhenUsed/>
    <w:rsid w:val="00EC130D"/>
  </w:style>
  <w:style w:type="character" w:customStyle="1" w:styleId="CommentTextChar">
    <w:name w:val="Comment Text Char"/>
    <w:basedOn w:val="DefaultParagraphFont"/>
    <w:link w:val="CommentText"/>
    <w:uiPriority w:val="99"/>
    <w:semiHidden/>
    <w:rsid w:val="00EC130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C130D"/>
    <w:rPr>
      <w:b/>
      <w:bCs/>
    </w:rPr>
  </w:style>
  <w:style w:type="character" w:customStyle="1" w:styleId="CommentSubjectChar">
    <w:name w:val="Comment Subject Char"/>
    <w:basedOn w:val="CommentTextChar"/>
    <w:link w:val="CommentSubject"/>
    <w:uiPriority w:val="99"/>
    <w:semiHidden/>
    <w:rsid w:val="00EC130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91F2F-67E5-48D9-9788-55138EB542BE}">
  <ds:schemaRefs>
    <ds:schemaRef ds:uri="http://schemas.openxmlformats.org/officeDocument/2006/bibliography"/>
  </ds:schemaRefs>
</ds:datastoreItem>
</file>

<file path=customXml/itemProps2.xml><?xml version="1.0" encoding="utf-8"?>
<ds:datastoreItem xmlns:ds="http://schemas.openxmlformats.org/officeDocument/2006/customXml" ds:itemID="{B51ED266-047C-4273-A558-594B496ACBA2}"/>
</file>

<file path=customXml/itemProps3.xml><?xml version="1.0" encoding="utf-8"?>
<ds:datastoreItem xmlns:ds="http://schemas.openxmlformats.org/officeDocument/2006/customXml" ds:itemID="{505FF4DF-A18A-4DF6-B41B-4F9BB00056BD}"/>
</file>

<file path=customXml/itemProps4.xml><?xml version="1.0" encoding="utf-8"?>
<ds:datastoreItem xmlns:ds="http://schemas.openxmlformats.org/officeDocument/2006/customXml" ds:itemID="{F3D2F389-FB80-4954-AA7B-07AF9065CC50}"/>
</file>

<file path=docProps/app.xml><?xml version="1.0" encoding="utf-8"?>
<Properties xmlns="http://schemas.openxmlformats.org/officeDocument/2006/extended-properties" xmlns:vt="http://schemas.openxmlformats.org/officeDocument/2006/docPropsVTypes">
  <Template>Normal.dotm</Template>
  <TotalTime>11</TotalTime>
  <Pages>9</Pages>
  <Words>4450</Words>
  <Characters>25368</Characters>
  <Application>Microsoft Office Word</Application>
  <DocSecurity>0</DocSecurity>
  <Lines>211</Lines>
  <Paragraphs>59</Paragraphs>
  <ScaleCrop>false</ScaleCrop>
  <HeadingPairs>
    <vt:vector size="8" baseType="variant">
      <vt:variant>
        <vt:lpstr>Title</vt:lpstr>
      </vt:variant>
      <vt:variant>
        <vt:i4>1</vt:i4>
      </vt:variant>
      <vt:variant>
        <vt:lpstr>Título</vt:lpstr>
      </vt:variant>
      <vt:variant>
        <vt:i4>1</vt:i4>
      </vt:variant>
      <vt:variant>
        <vt:lpstr>タイトル</vt:lpstr>
      </vt:variant>
      <vt:variant>
        <vt:i4>1</vt:i4>
      </vt:variant>
      <vt:variant>
        <vt:lpstr>Titre</vt:lpstr>
      </vt:variant>
      <vt:variant>
        <vt:i4>1</vt:i4>
      </vt:variant>
    </vt:vector>
  </HeadingPairs>
  <TitlesOfParts>
    <vt:vector size="4" baseType="lpstr">
      <vt:lpstr>CCPR/C/QAT/CO/R.1</vt:lpstr>
      <vt:lpstr>CCPR/C/QAT/CO/R.1</vt:lpstr>
      <vt:lpstr>CCPR/C/UZB/CO/R.5</vt:lpstr>
      <vt:lpstr/>
    </vt:vector>
  </TitlesOfParts>
  <Company>DCM</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CCPR/C/QAT/CO/R.1</dc:title>
  <dc:subject>2203721</dc:subject>
  <dc:creator>Corinne</dc:creator>
  <cp:keywords/>
  <dc:description/>
  <cp:lastModifiedBy>Gabriella Habtom</cp:lastModifiedBy>
  <cp:revision>5</cp:revision>
  <cp:lastPrinted>2022-03-08T15:06:00Z</cp:lastPrinted>
  <dcterms:created xsi:type="dcterms:W3CDTF">2022-03-23T08:39:00Z</dcterms:created>
  <dcterms:modified xsi:type="dcterms:W3CDTF">2022-03-30T06:52:00Z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CCPR</vt:lpwstr>
  </property>
  <property fmtid="{D5CDD505-2E9C-101B-9397-08002B2CF9AE}" pid="7" name="count">
    <vt:lpwstr>Uzbekistan</vt:lpwstr>
  </property>
  <property fmtid="{D5CDD505-2E9C-101B-9397-08002B2CF9AE}" pid="8" name="countw">
    <vt:lpwstr>Uzbekistan</vt:lpwstr>
  </property>
  <property fmtid="{D5CDD505-2E9C-101B-9397-08002B2CF9AE}" pid="9" name="countwd">
    <vt:lpwstr>Uzbekistan</vt:lpwstr>
  </property>
  <property fmtid="{D5CDD505-2E9C-101B-9397-08002B2CF9AE}" pid="10" name="date">
    <vt:lpwstr>11 February 2020</vt:lpwstr>
  </property>
  <property fmtid="{D5CDD505-2E9C-101B-9397-08002B2CF9AE}" pid="11" name="Date-Generated">
    <vt:filetime>2020-02-11T13:24:43Z</vt:filetime>
  </property>
  <property fmtid="{D5CDD505-2E9C-101B-9397-08002B2CF9AE}" pid="12" name="dist">
    <vt:lpwstr>Restricted</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fifth periodic report of Uzbekistan</vt:lpwstr>
  </property>
  <property fmtid="{D5CDD505-2E9C-101B-9397-08002B2CF9AE}" pid="20" name="preps">
    <vt:lpwstr>fifth periodic report of Uzbekistan</vt:lpwstr>
  </property>
  <property fmtid="{D5CDD505-2E9C-101B-9397-08002B2CF9AE}" pid="21" name="prepw">
    <vt:lpwstr>fifth periodic report</vt:lpwstr>
  </property>
  <property fmtid="{D5CDD505-2E9C-101B-9397-08002B2CF9AE}" pid="22" name="prepwc">
    <vt:lpwstr>Fifth periodic report </vt:lpwstr>
  </property>
  <property fmtid="{D5CDD505-2E9C-101B-9397-08002B2CF9AE}" pid="23" name="prepws">
    <vt:lpwstr>fifth periodic report</vt:lpwstr>
  </property>
  <property fmtid="{D5CDD505-2E9C-101B-9397-08002B2CF9AE}" pid="24" name="sdate">
    <vt:lpwstr>2-27 March 2020</vt:lpwstr>
  </property>
  <property fmtid="{D5CDD505-2E9C-101B-9397-08002B2CF9AE}" pid="25" name="snum">
    <vt:lpwstr>128th</vt:lpwstr>
  </property>
  <property fmtid="{D5CDD505-2E9C-101B-9397-08002B2CF9AE}" pid="26" name="stitle">
    <vt:lpwstr>[Title]</vt:lpwstr>
  </property>
  <property fmtid="{D5CDD505-2E9C-101B-9397-08002B2CF9AE}" pid="27" name="sym1">
    <vt:lpwstr>C/UZB/CO/R.5</vt:lpwstr>
  </property>
  <property fmtid="{D5CDD505-2E9C-101B-9397-08002B2CF9AE}" pid="28" name="symh">
    <vt:lpwstr>CCPR/C/UZB/CO/R.5</vt:lpwstr>
  </property>
  <property fmtid="{D5CDD505-2E9C-101B-9397-08002B2CF9AE}" pid="29" name="tlang">
    <vt:lpwstr/>
  </property>
  <property fmtid="{D5CDD505-2E9C-101B-9397-08002B2CF9AE}" pid="30" name="virs">
    <vt:lpwstr>English, French and Spanish only</vt:lpwstr>
  </property>
  <property fmtid="{D5CDD505-2E9C-101B-9397-08002B2CF9AE}" pid="31" name="ContentTypeId">
    <vt:lpwstr>0x010100D94DC6E63E0E4C40BB58A92BBDBC479C</vt:lpwstr>
  </property>
</Properties>
</file>