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80"/>
        <w:gridCol w:w="2273"/>
        <w:gridCol w:w="3267"/>
        <w:gridCol w:w="2819"/>
      </w:tblGrid>
      <w:tr w:rsidR="002D5AAC" w14:paraId="36365B42" w14:textId="77777777" w:rsidTr="00305DAA">
        <w:trPr>
          <w:trHeight w:hRule="exact" w:val="851"/>
        </w:trPr>
        <w:tc>
          <w:tcPr>
            <w:tcW w:w="1280" w:type="dxa"/>
            <w:tcBorders>
              <w:bottom w:val="single" w:sz="4" w:space="0" w:color="auto"/>
            </w:tcBorders>
          </w:tcPr>
          <w:p w14:paraId="2D7ED476" w14:textId="77777777" w:rsidR="002D5AAC" w:rsidRDefault="002D5AAC" w:rsidP="00D45638"/>
        </w:tc>
        <w:tc>
          <w:tcPr>
            <w:tcW w:w="2273" w:type="dxa"/>
            <w:tcBorders>
              <w:bottom w:val="single" w:sz="4" w:space="0" w:color="auto"/>
            </w:tcBorders>
            <w:vAlign w:val="bottom"/>
          </w:tcPr>
          <w:p w14:paraId="75A97746" w14:textId="77777777" w:rsidR="002D5AAC" w:rsidRPr="00BD33EE" w:rsidRDefault="00BD33EE" w:rsidP="00D45638">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14:paraId="0151B26B" w14:textId="688D1F4A" w:rsidR="002D5AAC" w:rsidRDefault="00305DAA" w:rsidP="007161E3">
            <w:pPr>
              <w:jc w:val="right"/>
            </w:pPr>
            <w:r w:rsidRPr="00305DAA">
              <w:rPr>
                <w:sz w:val="40"/>
              </w:rPr>
              <w:t>CCPR</w:t>
            </w:r>
            <w:r>
              <w:t>/C/13</w:t>
            </w:r>
            <w:r w:rsidR="007161E3">
              <w:t>1</w:t>
            </w:r>
            <w:r>
              <w:t>/D/2558/2015</w:t>
            </w:r>
          </w:p>
        </w:tc>
      </w:tr>
      <w:tr w:rsidR="002D5AAC" w14:paraId="423F37F3" w14:textId="77777777" w:rsidTr="00305DAA">
        <w:trPr>
          <w:trHeight w:hRule="exact" w:val="2835"/>
        </w:trPr>
        <w:tc>
          <w:tcPr>
            <w:tcW w:w="1280" w:type="dxa"/>
            <w:tcBorders>
              <w:top w:val="single" w:sz="4" w:space="0" w:color="auto"/>
              <w:bottom w:val="single" w:sz="12" w:space="0" w:color="auto"/>
            </w:tcBorders>
          </w:tcPr>
          <w:p w14:paraId="5E57C925" w14:textId="77777777" w:rsidR="002D5AAC" w:rsidRDefault="008813D9" w:rsidP="00D45638">
            <w:pPr>
              <w:spacing w:before="120"/>
              <w:jc w:val="center"/>
            </w:pPr>
            <w:r>
              <w:rPr>
                <w:noProof/>
                <w:lang w:val="en-GB" w:eastAsia="en-GB"/>
              </w:rPr>
              <w:drawing>
                <wp:inline distT="0" distB="0" distL="0" distR="0" wp14:anchorId="4DE35951" wp14:editId="25E66466">
                  <wp:extent cx="714375" cy="590550"/>
                  <wp:effectExtent l="0" t="0" r="9525"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383AF138" w14:textId="28EFFDF8" w:rsidR="002D5AAC" w:rsidRDefault="00963777" w:rsidP="00D45638">
            <w:pPr>
              <w:spacing w:before="120" w:line="360" w:lineRule="exact"/>
              <w:rPr>
                <w:b/>
                <w:sz w:val="34"/>
                <w:szCs w:val="34"/>
              </w:rPr>
            </w:pPr>
            <w:r>
              <w:rPr>
                <w:b/>
                <w:sz w:val="34"/>
                <w:szCs w:val="34"/>
              </w:rPr>
              <w:t>Pacto Internacional de Derechos</w:t>
            </w:r>
            <w:r>
              <w:rPr>
                <w:b/>
                <w:sz w:val="34"/>
                <w:szCs w:val="34"/>
              </w:rPr>
              <w:br/>
              <w:t>Civiles y Políticos</w:t>
            </w:r>
          </w:p>
          <w:p w14:paraId="19EED69B" w14:textId="77777777" w:rsidR="00C1322D" w:rsidRDefault="00C1322D" w:rsidP="00D45638">
            <w:pPr>
              <w:spacing w:before="120" w:line="360" w:lineRule="exact"/>
              <w:rPr>
                <w:b/>
                <w:sz w:val="34"/>
                <w:szCs w:val="34"/>
              </w:rPr>
            </w:pPr>
          </w:p>
          <w:p w14:paraId="68CC7165" w14:textId="3BF5EE98" w:rsidR="00C1322D" w:rsidRPr="007967DF" w:rsidRDefault="00C1322D" w:rsidP="00D45638">
            <w:pPr>
              <w:spacing w:before="120" w:line="360" w:lineRule="exact"/>
              <w:rPr>
                <w:b/>
                <w:sz w:val="34"/>
                <w:szCs w:val="34"/>
              </w:rPr>
            </w:pPr>
            <w:r w:rsidRPr="00E5051F">
              <w:rPr>
                <w:b/>
                <w:bCs/>
                <w:sz w:val="32"/>
                <w:szCs w:val="32"/>
              </w:rPr>
              <w:t>Edición avanzada sin editar</w:t>
            </w:r>
          </w:p>
        </w:tc>
        <w:tc>
          <w:tcPr>
            <w:tcW w:w="2819" w:type="dxa"/>
            <w:tcBorders>
              <w:top w:val="single" w:sz="4" w:space="0" w:color="auto"/>
              <w:bottom w:val="single" w:sz="12" w:space="0" w:color="auto"/>
            </w:tcBorders>
          </w:tcPr>
          <w:p w14:paraId="0627318C" w14:textId="26D3385B" w:rsidR="002D5AAC" w:rsidRDefault="00305DAA" w:rsidP="00305DAA">
            <w:pPr>
              <w:spacing w:before="240" w:line="240" w:lineRule="exact"/>
            </w:pPr>
            <w:proofErr w:type="spellStart"/>
            <w:r>
              <w:t>Distr</w:t>
            </w:r>
            <w:proofErr w:type="spellEnd"/>
            <w:r>
              <w:t xml:space="preserve">. </w:t>
            </w:r>
            <w:r w:rsidR="00DB2042">
              <w:t>General</w:t>
            </w:r>
          </w:p>
          <w:p w14:paraId="28A47305" w14:textId="505C166E" w:rsidR="00305DAA" w:rsidRDefault="00DB2042" w:rsidP="00A71268">
            <w:pPr>
              <w:spacing w:line="240" w:lineRule="exact"/>
            </w:pPr>
            <w:r>
              <w:t>15 de marzo de 2021</w:t>
            </w:r>
          </w:p>
          <w:p w14:paraId="47DD5245" w14:textId="77777777" w:rsidR="00305DAA" w:rsidRDefault="00305DAA" w:rsidP="00305DAA">
            <w:pPr>
              <w:spacing w:line="240" w:lineRule="exact"/>
            </w:pPr>
          </w:p>
          <w:p w14:paraId="10A9F789" w14:textId="17B794C0" w:rsidR="00305DAA" w:rsidRDefault="00305DAA" w:rsidP="00305DAA">
            <w:pPr>
              <w:spacing w:line="240" w:lineRule="exact"/>
            </w:pPr>
            <w:r>
              <w:t xml:space="preserve">Original: </w:t>
            </w:r>
            <w:r w:rsidR="00040F47">
              <w:t>español</w:t>
            </w:r>
            <w:r w:rsidR="001279B6">
              <w:t>/</w:t>
            </w:r>
            <w:proofErr w:type="gramStart"/>
            <w:r w:rsidR="001279B6">
              <w:t>Ing</w:t>
            </w:r>
            <w:bookmarkStart w:id="0" w:name="_GoBack"/>
            <w:bookmarkEnd w:id="0"/>
            <w:r w:rsidR="001279B6">
              <w:t>lés</w:t>
            </w:r>
            <w:proofErr w:type="gramEnd"/>
          </w:p>
          <w:p w14:paraId="638A0DC5" w14:textId="4E4A4DA7" w:rsidR="00305DAA" w:rsidRDefault="00305DAA" w:rsidP="00305DAA">
            <w:pPr>
              <w:spacing w:line="240" w:lineRule="exact"/>
            </w:pPr>
          </w:p>
        </w:tc>
      </w:tr>
    </w:tbl>
    <w:p w14:paraId="0E524903" w14:textId="77777777" w:rsidR="00305DAA" w:rsidRPr="00305DAA" w:rsidRDefault="00305DAA" w:rsidP="00305DAA">
      <w:pPr>
        <w:rPr>
          <w:b/>
          <w:bCs/>
          <w:sz w:val="24"/>
          <w:szCs w:val="24"/>
        </w:rPr>
      </w:pPr>
      <w:r w:rsidRPr="00305DAA">
        <w:rPr>
          <w:b/>
          <w:bCs/>
          <w:sz w:val="24"/>
          <w:szCs w:val="24"/>
        </w:rPr>
        <w:t>Comité de Derechos Humanos</w:t>
      </w:r>
    </w:p>
    <w:p w14:paraId="0E6CB4EF" w14:textId="47F0BD1A" w:rsidR="006F35EE" w:rsidRDefault="00305DAA" w:rsidP="00553B5D">
      <w:pPr>
        <w:pStyle w:val="HChG"/>
      </w:pPr>
      <w:r>
        <w:tab/>
      </w:r>
      <w:r>
        <w:tab/>
      </w:r>
      <w:r w:rsidR="00D42D75">
        <w:t>Decisión</w:t>
      </w:r>
      <w:r w:rsidR="00DB2042">
        <w:t xml:space="preserve"> adoptad</w:t>
      </w:r>
      <w:r w:rsidR="00D42D75">
        <w:t>a</w:t>
      </w:r>
      <w:r w:rsidR="00DB2042">
        <w:t xml:space="preserve"> por el Comité bajo el artículo 5 (4) del protocolo facultativo, respecto de la c</w:t>
      </w:r>
      <w:r w:rsidRPr="001C7042">
        <w:t xml:space="preserve">omunicación núm. </w:t>
      </w:r>
      <w:r>
        <w:t>2558</w:t>
      </w:r>
      <w:r w:rsidRPr="001C7042">
        <w:t>/201</w:t>
      </w:r>
      <w:r>
        <w:t>5</w:t>
      </w:r>
      <w:proofErr w:type="gramStart"/>
      <w:r w:rsidR="00C1322D" w:rsidRPr="00040F47">
        <w:footnoteReference w:customMarkFollows="1" w:id="1"/>
        <w:t>*</w:t>
      </w:r>
      <w:r w:rsidR="00426CAD" w:rsidRPr="00C1322D">
        <w:rPr>
          <w:vertAlign w:val="superscript"/>
        </w:rPr>
        <w:t>,</w:t>
      </w:r>
      <w:r w:rsidR="00C1322D" w:rsidRPr="00040F47">
        <w:footnoteReference w:customMarkFollows="1" w:id="2"/>
        <w:t>*</w:t>
      </w:r>
      <w:proofErr w:type="gramEnd"/>
      <w:r w:rsidR="00C1322D" w:rsidRPr="00040F47">
        <w:t>*</w:t>
      </w:r>
      <w:r w:rsidR="00C1322D" w:rsidRPr="00040F47">
        <w:rPr>
          <w:vertAlign w:val="superscript"/>
        </w:rPr>
        <w:t>,</w:t>
      </w:r>
      <w:r w:rsidR="00C1322D" w:rsidRPr="00040F47">
        <w:footnoteReference w:customMarkFollows="1" w:id="3"/>
        <w:t>***</w:t>
      </w:r>
    </w:p>
    <w:p w14:paraId="1198CC1C" w14:textId="5376E93B" w:rsidR="00C705BF" w:rsidRDefault="00C705BF" w:rsidP="00553B5D">
      <w:pPr>
        <w:pStyle w:val="SingleTxtG"/>
        <w:spacing w:line="220" w:lineRule="atLeast"/>
        <w:ind w:left="4253" w:hanging="3119"/>
        <w:jc w:val="left"/>
      </w:pPr>
      <w:r>
        <w:rPr>
          <w:rStyle w:val="Ninguno"/>
          <w:i/>
          <w:iCs/>
        </w:rPr>
        <w:t>Comunicación presentada por:</w:t>
      </w:r>
      <w:r>
        <w:rPr>
          <w:rStyle w:val="Ninguno"/>
        </w:rPr>
        <w:tab/>
        <w:t>M I A P (representada por el abogado Diego Fernández Fernández)</w:t>
      </w:r>
    </w:p>
    <w:p w14:paraId="2DDB126F" w14:textId="77777777" w:rsidR="00C705BF" w:rsidRDefault="00C705BF" w:rsidP="00C705BF">
      <w:pPr>
        <w:pStyle w:val="SingleTxtG"/>
        <w:spacing w:line="220" w:lineRule="atLeast"/>
        <w:ind w:left="4253" w:hanging="3119"/>
        <w:jc w:val="left"/>
      </w:pPr>
      <w:r>
        <w:rPr>
          <w:rStyle w:val="Ninguno"/>
          <w:i/>
          <w:iCs/>
        </w:rPr>
        <w:t>Presunta víctima:</w:t>
      </w:r>
      <w:r>
        <w:rPr>
          <w:rStyle w:val="Ninguno"/>
        </w:rPr>
        <w:tab/>
        <w:t>La autora</w:t>
      </w:r>
    </w:p>
    <w:p w14:paraId="485EF202" w14:textId="77777777" w:rsidR="00C705BF" w:rsidRDefault="00C705BF" w:rsidP="00C705BF">
      <w:pPr>
        <w:pStyle w:val="SingleTxtG"/>
        <w:spacing w:line="220" w:lineRule="atLeast"/>
        <w:ind w:left="4253" w:hanging="3119"/>
        <w:jc w:val="left"/>
      </w:pPr>
      <w:r>
        <w:rPr>
          <w:rStyle w:val="Ninguno"/>
          <w:i/>
          <w:iCs/>
        </w:rPr>
        <w:t>Estado parte:</w:t>
      </w:r>
      <w:r>
        <w:rPr>
          <w:rStyle w:val="Ninguno"/>
        </w:rPr>
        <w:tab/>
        <w:t>España</w:t>
      </w:r>
    </w:p>
    <w:p w14:paraId="7D770DB7" w14:textId="77777777" w:rsidR="00C705BF" w:rsidRDefault="00C705BF" w:rsidP="00C705BF">
      <w:pPr>
        <w:pStyle w:val="SingleTxtG"/>
        <w:spacing w:line="220" w:lineRule="atLeast"/>
        <w:ind w:left="4253" w:hanging="3119"/>
        <w:jc w:val="left"/>
      </w:pPr>
      <w:r>
        <w:rPr>
          <w:rStyle w:val="Ninguno"/>
          <w:i/>
          <w:iCs/>
        </w:rPr>
        <w:t>Fecha de la comunicación:</w:t>
      </w:r>
      <w:r>
        <w:rPr>
          <w:rStyle w:val="Ninguno"/>
        </w:rPr>
        <w:tab/>
        <w:t>18 de diciembre de 2014 (presentación inicial)</w:t>
      </w:r>
    </w:p>
    <w:p w14:paraId="5B562143" w14:textId="77777777" w:rsidR="00C705BF" w:rsidRDefault="00C705BF" w:rsidP="00C705BF">
      <w:pPr>
        <w:pStyle w:val="SingleTxtG"/>
        <w:spacing w:line="220" w:lineRule="atLeast"/>
        <w:ind w:left="4253" w:hanging="3119"/>
        <w:jc w:val="left"/>
      </w:pPr>
      <w:r>
        <w:rPr>
          <w:rStyle w:val="Ninguno"/>
          <w:i/>
          <w:iCs/>
        </w:rPr>
        <w:t>Referencias:</w:t>
      </w:r>
      <w:r>
        <w:rPr>
          <w:rStyle w:val="Ninguno"/>
        </w:rPr>
        <w:tab/>
      </w:r>
      <w:r w:rsidRPr="000425BB">
        <w:t xml:space="preserve">Decisión adoptada con arreglo al artículo 92 del reglamento del Comité, transmitida al Estado parte el </w:t>
      </w:r>
      <w:r>
        <w:t>30</w:t>
      </w:r>
      <w:r w:rsidRPr="000425BB">
        <w:t xml:space="preserve"> de </w:t>
      </w:r>
      <w:r>
        <w:t>en</w:t>
      </w:r>
      <w:r w:rsidRPr="000425BB">
        <w:t>ero de 201</w:t>
      </w:r>
      <w:r>
        <w:t>5</w:t>
      </w:r>
      <w:r w:rsidRPr="000425BB">
        <w:t xml:space="preserve"> (no se publicó como documento)</w:t>
      </w:r>
    </w:p>
    <w:p w14:paraId="1246E3E1" w14:textId="7BF2ACD8" w:rsidR="00C705BF" w:rsidRDefault="00C705BF" w:rsidP="00C705BF">
      <w:pPr>
        <w:pStyle w:val="SingleTxtG"/>
        <w:spacing w:line="220" w:lineRule="atLeast"/>
        <w:ind w:left="4253" w:hanging="3119"/>
        <w:jc w:val="left"/>
      </w:pPr>
      <w:r>
        <w:rPr>
          <w:rStyle w:val="Ninguno"/>
          <w:i/>
          <w:iCs/>
        </w:rPr>
        <w:t>Fecha de adopción de la decisión:</w:t>
      </w:r>
      <w:r>
        <w:rPr>
          <w:rStyle w:val="Ninguno"/>
        </w:rPr>
        <w:tab/>
      </w:r>
      <w:r w:rsidR="00C17003">
        <w:rPr>
          <w:rStyle w:val="Ninguno"/>
        </w:rPr>
        <w:t xml:space="preserve">15 </w:t>
      </w:r>
      <w:r>
        <w:rPr>
          <w:rStyle w:val="Ninguno"/>
        </w:rPr>
        <w:t xml:space="preserve">de </w:t>
      </w:r>
      <w:proofErr w:type="gramStart"/>
      <w:r w:rsidR="00C17003">
        <w:rPr>
          <w:rStyle w:val="Ninguno"/>
        </w:rPr>
        <w:t>marzo</w:t>
      </w:r>
      <w:r>
        <w:rPr>
          <w:rStyle w:val="Ninguno"/>
        </w:rPr>
        <w:t xml:space="preserve"> </w:t>
      </w:r>
      <w:r w:rsidR="00C17003">
        <w:rPr>
          <w:rStyle w:val="Ninguno"/>
        </w:rPr>
        <w:t xml:space="preserve"> </w:t>
      </w:r>
      <w:r>
        <w:rPr>
          <w:rStyle w:val="Ninguno"/>
        </w:rPr>
        <w:t>de</w:t>
      </w:r>
      <w:proofErr w:type="gramEnd"/>
      <w:r>
        <w:rPr>
          <w:rStyle w:val="Ninguno"/>
        </w:rPr>
        <w:t xml:space="preserve"> 202</w:t>
      </w:r>
      <w:r w:rsidR="00C17003">
        <w:rPr>
          <w:rStyle w:val="Ninguno"/>
        </w:rPr>
        <w:t>1</w:t>
      </w:r>
    </w:p>
    <w:p w14:paraId="44A0EEBA" w14:textId="77777777" w:rsidR="00C705BF" w:rsidRDefault="00C705BF" w:rsidP="00C705BF">
      <w:pPr>
        <w:pStyle w:val="SingleTxtG"/>
        <w:spacing w:line="220" w:lineRule="atLeast"/>
        <w:ind w:left="4253" w:hanging="3119"/>
        <w:jc w:val="left"/>
      </w:pPr>
      <w:r>
        <w:rPr>
          <w:rStyle w:val="Ninguno"/>
          <w:i/>
          <w:iCs/>
        </w:rPr>
        <w:t>Asunto:</w:t>
      </w:r>
      <w:r>
        <w:rPr>
          <w:rStyle w:val="Ninguno"/>
        </w:rPr>
        <w:tab/>
        <w:t xml:space="preserve">Discriminación </w:t>
      </w:r>
      <w:r w:rsidRPr="004F549D">
        <w:t xml:space="preserve">respecto </w:t>
      </w:r>
      <w:r>
        <w:t>a</w:t>
      </w:r>
      <w:r w:rsidRPr="004F549D">
        <w:t xml:space="preserve"> una </w:t>
      </w:r>
      <w:r>
        <w:t>soldada perteneciente a la categoría “</w:t>
      </w:r>
      <w:r w:rsidRPr="004F549D">
        <w:t>militar de empleo</w:t>
      </w:r>
      <w:r>
        <w:t>”</w:t>
      </w:r>
      <w:r w:rsidRPr="004F549D">
        <w:t xml:space="preserve"> </w:t>
      </w:r>
      <w:r w:rsidRPr="002F1154">
        <w:t>por falta de pensi</w:t>
      </w:r>
      <w:r>
        <w:t xml:space="preserve">ón o indemnización por causa de </w:t>
      </w:r>
      <w:r w:rsidRPr="002F1154">
        <w:t xml:space="preserve">incapacidad </w:t>
      </w:r>
      <w:r>
        <w:t>por enfermedad</w:t>
      </w:r>
    </w:p>
    <w:p w14:paraId="6CF3340D" w14:textId="77777777" w:rsidR="00C705BF" w:rsidRPr="004F549D" w:rsidRDefault="00C705BF" w:rsidP="00C705BF">
      <w:pPr>
        <w:pStyle w:val="SingleTxtG"/>
        <w:spacing w:line="220" w:lineRule="atLeast"/>
        <w:ind w:left="4253" w:hanging="3119"/>
        <w:jc w:val="left"/>
      </w:pPr>
      <w:r w:rsidRPr="000425BB">
        <w:rPr>
          <w:rStyle w:val="Ninguno"/>
          <w:i/>
          <w:iCs/>
        </w:rPr>
        <w:t>Cuestiones de fondo:</w:t>
      </w:r>
      <w:r w:rsidRPr="000425BB">
        <w:rPr>
          <w:rStyle w:val="Ninguno"/>
          <w:i/>
          <w:iCs/>
        </w:rPr>
        <w:tab/>
      </w:r>
      <w:r w:rsidRPr="000425BB">
        <w:rPr>
          <w:rStyle w:val="Ninguno"/>
          <w:iCs/>
        </w:rPr>
        <w:t xml:space="preserve">Derecho al debido proceso; </w:t>
      </w:r>
      <w:r>
        <w:rPr>
          <w:rStyle w:val="Ninguno"/>
          <w:iCs/>
        </w:rPr>
        <w:t xml:space="preserve">derecho a recibir decisiones motivadas; </w:t>
      </w:r>
      <w:r w:rsidRPr="000425BB">
        <w:rPr>
          <w:rStyle w:val="Ninguno"/>
          <w:iCs/>
        </w:rPr>
        <w:t>derecho a la igualdad</w:t>
      </w:r>
      <w:r w:rsidRPr="004F549D">
        <w:rPr>
          <w:sz w:val="24"/>
          <w:szCs w:val="24"/>
          <w:lang w:eastAsia="en-US"/>
        </w:rPr>
        <w:t xml:space="preserve"> </w:t>
      </w:r>
    </w:p>
    <w:p w14:paraId="4920D8CC" w14:textId="77777777" w:rsidR="00C705BF" w:rsidRDefault="00C705BF" w:rsidP="00C705BF">
      <w:pPr>
        <w:pStyle w:val="SingleTxtG"/>
        <w:spacing w:line="220" w:lineRule="atLeast"/>
        <w:ind w:left="4253" w:hanging="3119"/>
        <w:jc w:val="left"/>
        <w:rPr>
          <w:rStyle w:val="Ninguno"/>
          <w:i/>
          <w:iCs/>
        </w:rPr>
      </w:pPr>
      <w:r w:rsidRPr="000425BB">
        <w:rPr>
          <w:rStyle w:val="Ninguno"/>
          <w:i/>
          <w:iCs/>
        </w:rPr>
        <w:t>Cuestiones de procedimiento:</w:t>
      </w:r>
      <w:r>
        <w:rPr>
          <w:rStyle w:val="Ninguno"/>
          <w:i/>
          <w:iCs/>
        </w:rPr>
        <w:t xml:space="preserve"> </w:t>
      </w:r>
      <w:r>
        <w:rPr>
          <w:rStyle w:val="Ninguno"/>
          <w:i/>
          <w:iCs/>
        </w:rPr>
        <w:tab/>
      </w:r>
      <w:r w:rsidRPr="000425BB">
        <w:rPr>
          <w:rStyle w:val="Ninguno"/>
          <w:iCs/>
        </w:rPr>
        <w:t xml:space="preserve">Sometimiento a otro procedimiento o arreglo internacional; agotamiento de los recursos internos; </w:t>
      </w:r>
      <w:r>
        <w:rPr>
          <w:rStyle w:val="Ninguno"/>
          <w:iCs/>
        </w:rPr>
        <w:t>abuso del derecho</w:t>
      </w:r>
    </w:p>
    <w:p w14:paraId="0C29F08A" w14:textId="77777777" w:rsidR="00C705BF" w:rsidRDefault="00C705BF" w:rsidP="00C705BF">
      <w:pPr>
        <w:pStyle w:val="SingleTxtG"/>
        <w:spacing w:line="220" w:lineRule="atLeast"/>
        <w:ind w:left="4253" w:hanging="3119"/>
        <w:jc w:val="left"/>
      </w:pPr>
      <w:r>
        <w:rPr>
          <w:rStyle w:val="Ninguno"/>
          <w:i/>
          <w:iCs/>
        </w:rPr>
        <w:t>Artículos del Pacto:</w:t>
      </w:r>
      <w:r>
        <w:rPr>
          <w:rStyle w:val="Ninguno"/>
        </w:rPr>
        <w:tab/>
        <w:t>14 (1) y 26</w:t>
      </w:r>
    </w:p>
    <w:p w14:paraId="3FFD9D39" w14:textId="77777777" w:rsidR="00C705BF" w:rsidRDefault="00C705BF" w:rsidP="00C705BF">
      <w:pPr>
        <w:pStyle w:val="SingleTxtG"/>
        <w:rPr>
          <w:rStyle w:val="Ninguno"/>
        </w:rPr>
      </w:pPr>
      <w:r>
        <w:rPr>
          <w:rStyle w:val="Ninguno"/>
          <w:i/>
          <w:iCs/>
        </w:rPr>
        <w:t>Artículos del Protocolo Facultativo:</w:t>
      </w:r>
      <w:r>
        <w:rPr>
          <w:rStyle w:val="Ninguno"/>
          <w:i/>
          <w:iCs/>
        </w:rPr>
        <w:tab/>
      </w:r>
      <w:r w:rsidRPr="00A874F2">
        <w:rPr>
          <w:rStyle w:val="Ninguno"/>
        </w:rPr>
        <w:t>2 y 5</w:t>
      </w:r>
      <w:r>
        <w:rPr>
          <w:rStyle w:val="Ninguno"/>
        </w:rPr>
        <w:t>.2 (a), (b)</w:t>
      </w:r>
    </w:p>
    <w:p w14:paraId="3C722969" w14:textId="147268D8" w:rsidR="00C705BF" w:rsidRDefault="00C705BF" w:rsidP="00625EE7">
      <w:pPr>
        <w:pStyle w:val="SingleTxtG"/>
        <w:spacing w:before="120"/>
        <w:rPr>
          <w:rStyle w:val="Ninguno"/>
        </w:rPr>
      </w:pPr>
      <w:r>
        <w:rPr>
          <w:rStyle w:val="Ninguno"/>
        </w:rPr>
        <w:t>1.1</w:t>
      </w:r>
      <w:r>
        <w:rPr>
          <w:rStyle w:val="Ninguno"/>
        </w:rPr>
        <w:tab/>
        <w:t>La autora de la comunicación presentada el 18 de diciembre de 2014, es M</w:t>
      </w:r>
      <w:r w:rsidR="009C5A53">
        <w:rPr>
          <w:rStyle w:val="Ninguno"/>
        </w:rPr>
        <w:t>.</w:t>
      </w:r>
      <w:r>
        <w:rPr>
          <w:rStyle w:val="Ninguno"/>
        </w:rPr>
        <w:t>I</w:t>
      </w:r>
      <w:r w:rsidR="009C5A53">
        <w:rPr>
          <w:rStyle w:val="Ninguno"/>
        </w:rPr>
        <w:t>.</w:t>
      </w:r>
      <w:r>
        <w:rPr>
          <w:rStyle w:val="Ninguno"/>
        </w:rPr>
        <w:t xml:space="preserve"> A</w:t>
      </w:r>
      <w:r w:rsidR="009C5A53">
        <w:rPr>
          <w:rStyle w:val="Ninguno"/>
        </w:rPr>
        <w:t>.</w:t>
      </w:r>
      <w:r w:rsidRPr="00355FF9">
        <w:rPr>
          <w:rStyle w:val="Ninguno"/>
        </w:rPr>
        <w:t>P</w:t>
      </w:r>
      <w:r w:rsidR="009C5A53">
        <w:rPr>
          <w:rStyle w:val="Ninguno"/>
        </w:rPr>
        <w:t>.</w:t>
      </w:r>
      <w:r>
        <w:rPr>
          <w:rStyle w:val="Ninguno"/>
        </w:rPr>
        <w:t>, nacional de España y nacida el 22 de mayo de 1975. Afirma que el Estado parte violó sus derechos reconocidos por los artículos 14 (1), y (26) del Pacto Internacional de Derechos Civiles y Políticos. Está representada por abogado. El Protocolo Facultativo entró en vigor para el Estado parte el 25 de abril de 1985.</w:t>
      </w:r>
    </w:p>
    <w:p w14:paraId="02AB8314" w14:textId="77777777" w:rsidR="00C705BF" w:rsidRDefault="00C705BF" w:rsidP="00C705BF">
      <w:pPr>
        <w:pStyle w:val="SingleTxtG"/>
      </w:pPr>
      <w:r>
        <w:lastRenderedPageBreak/>
        <w:t>1.2</w:t>
      </w:r>
      <w:r>
        <w:tab/>
        <w:t>El 15 de junio de 2015, la solicitud del Estado parte de examinar separadamente la admisibilidad del fondo de la comunicación fue rechazada por los Relatores especiales sobre comunicaciones y medidas provisionales del Comité. En consecuencia, la admisibilidad y el fondo de la comunicación serán examinadas conjuntamente.</w:t>
      </w:r>
    </w:p>
    <w:p w14:paraId="08D05941" w14:textId="042CD946" w:rsidR="00C705BF" w:rsidRPr="00420185" w:rsidRDefault="00C705BF" w:rsidP="00C705BF">
      <w:pPr>
        <w:pStyle w:val="H23G"/>
      </w:pPr>
      <w:r>
        <w:rPr>
          <w:rStyle w:val="Ninguno"/>
          <w:lang w:val="es-ES"/>
        </w:rPr>
        <w:tab/>
      </w:r>
      <w:r>
        <w:rPr>
          <w:rStyle w:val="Ninguno"/>
          <w:lang w:val="es-ES"/>
        </w:rPr>
        <w:tab/>
      </w:r>
      <w:r w:rsidRPr="00C705BF">
        <w:t>Antecedentes de hecho</w:t>
      </w:r>
    </w:p>
    <w:p w14:paraId="3BFCD4ED" w14:textId="47980BC0" w:rsidR="00C705BF" w:rsidRDefault="00625EE7" w:rsidP="00C705BF">
      <w:pPr>
        <w:pStyle w:val="SingleTxtG"/>
      </w:pPr>
      <w:r>
        <w:rPr>
          <w:rStyle w:val="Ninguno"/>
        </w:rPr>
        <w:t>2.1</w:t>
      </w:r>
      <w:r>
        <w:rPr>
          <w:rStyle w:val="Ninguno"/>
        </w:rPr>
        <w:tab/>
      </w:r>
      <w:r w:rsidR="00C705BF">
        <w:rPr>
          <w:rStyle w:val="Ninguno"/>
        </w:rPr>
        <w:t xml:space="preserve">El </w:t>
      </w:r>
      <w:r w:rsidR="00C705BF" w:rsidRPr="00420185">
        <w:rPr>
          <w:rStyle w:val="Ninguno"/>
        </w:rPr>
        <w:t xml:space="preserve">7 de </w:t>
      </w:r>
      <w:r w:rsidR="00C705BF" w:rsidRPr="00C705BF">
        <w:rPr>
          <w:rStyle w:val="Ninguno"/>
          <w:lang w:val="es-ES"/>
        </w:rPr>
        <w:t>diciembre</w:t>
      </w:r>
      <w:r w:rsidR="00C705BF" w:rsidRPr="00420185">
        <w:rPr>
          <w:rStyle w:val="Ninguno"/>
        </w:rPr>
        <w:t xml:space="preserve"> de 1999</w:t>
      </w:r>
      <w:r w:rsidR="00C705BF">
        <w:rPr>
          <w:rStyle w:val="Ninguno"/>
        </w:rPr>
        <w:t xml:space="preserve"> la autora ingresó </w:t>
      </w:r>
      <w:r w:rsidR="00C705BF">
        <w:t>en el ejército de tierra en calidad de</w:t>
      </w:r>
      <w:r w:rsidR="00C705BF">
        <w:rPr>
          <w:rStyle w:val="Ninguno"/>
        </w:rPr>
        <w:t xml:space="preserve"> </w:t>
      </w:r>
      <w:r w:rsidR="00C705BF" w:rsidRPr="00420185">
        <w:rPr>
          <w:rStyle w:val="Ninguno"/>
        </w:rPr>
        <w:t>soldada militar de empleo</w:t>
      </w:r>
      <w:r w:rsidR="00C705BF">
        <w:rPr>
          <w:rStyle w:val="Ninguno"/>
        </w:rPr>
        <w:t xml:space="preserve">, </w:t>
      </w:r>
      <w:r w:rsidR="00C705BF" w:rsidRPr="00420185">
        <w:t>con e</w:t>
      </w:r>
      <w:r w:rsidR="00C705BF">
        <w:t>specialidad de ingeniero y de artillería.</w:t>
      </w:r>
      <w:r w:rsidR="00C705BF" w:rsidRPr="00420185">
        <w:t xml:space="preserve"> </w:t>
      </w:r>
      <w:r w:rsidR="00C705BF">
        <w:t xml:space="preserve">La autora indica que a pesar de que su vinculación con el ejército era de </w:t>
      </w:r>
      <w:r w:rsidR="00C705BF" w:rsidRPr="00420185">
        <w:rPr>
          <w:rStyle w:val="Ninguno"/>
        </w:rPr>
        <w:t>carácter temporal</w:t>
      </w:r>
      <w:r w:rsidR="00C705BF">
        <w:rPr>
          <w:rStyle w:val="Ninguno"/>
        </w:rPr>
        <w:t>, ésta constituía un compromiso de larga duración, puesto que a los 45 años se convertiría en reservista con derecho a sueldo hasta la jubilación, según lo dispuesto en la Ley 8/2006 referente a la tropa y marinería.</w:t>
      </w:r>
    </w:p>
    <w:p w14:paraId="6D816F69" w14:textId="77777777" w:rsidR="00C705BF" w:rsidRDefault="00C705BF" w:rsidP="00C705BF">
      <w:pPr>
        <w:pStyle w:val="SingleTxtG"/>
        <w:rPr>
          <w:rStyle w:val="Ninguno"/>
        </w:rPr>
      </w:pPr>
      <w:r>
        <w:rPr>
          <w:rStyle w:val="Ninguno"/>
        </w:rPr>
        <w:t>2.2</w:t>
      </w:r>
      <w:r>
        <w:rPr>
          <w:rStyle w:val="Ninguno"/>
        </w:rPr>
        <w:tab/>
        <w:t xml:space="preserve">El </w:t>
      </w:r>
      <w:r w:rsidRPr="00D72D90">
        <w:rPr>
          <w:rStyle w:val="Ninguno"/>
          <w:u w:color="FF0000"/>
        </w:rPr>
        <w:t xml:space="preserve">16 </w:t>
      </w:r>
      <w:r w:rsidRPr="00D72D90">
        <w:rPr>
          <w:rStyle w:val="Ninguno"/>
        </w:rPr>
        <w:t xml:space="preserve">de febrero del 2007, la autora fue dada de baja laboral por un </w:t>
      </w:r>
      <w:r w:rsidRPr="00D72D90">
        <w:rPr>
          <w:rStyle w:val="Ninguno"/>
          <w:iCs/>
        </w:rPr>
        <w:t>trastorno depresivo</w:t>
      </w:r>
      <w:r>
        <w:rPr>
          <w:rStyle w:val="Ninguno"/>
          <w:iCs/>
        </w:rPr>
        <w:t>,</w:t>
      </w:r>
      <w:r w:rsidRPr="00D72D90">
        <w:rPr>
          <w:rStyle w:val="Ninguno"/>
          <w:i/>
          <w:iCs/>
        </w:rPr>
        <w:t xml:space="preserve"> </w:t>
      </w:r>
      <w:r w:rsidRPr="00D72D90">
        <w:rPr>
          <w:rStyle w:val="Ninguno"/>
        </w:rPr>
        <w:t xml:space="preserve">calificado posteriormente como </w:t>
      </w:r>
      <w:r w:rsidRPr="00D72D90">
        <w:rPr>
          <w:rStyle w:val="Ninguno"/>
          <w:iCs/>
        </w:rPr>
        <w:t>trastorno adaptativo mixto</w:t>
      </w:r>
      <w:r>
        <w:rPr>
          <w:rStyle w:val="FootnoteReference"/>
        </w:rPr>
        <w:footnoteReference w:id="4"/>
      </w:r>
      <w:r>
        <w:rPr>
          <w:rStyle w:val="Ninguno"/>
          <w:i/>
          <w:iCs/>
        </w:rPr>
        <w:t xml:space="preserve">, </w:t>
      </w:r>
      <w:r>
        <w:rPr>
          <w:rStyle w:val="Ninguno"/>
        </w:rPr>
        <w:t xml:space="preserve">que según afirma la autora, se </w:t>
      </w:r>
      <w:r w:rsidRPr="00355FF9">
        <w:rPr>
          <w:rStyle w:val="Ninguno"/>
        </w:rPr>
        <w:t>encontraba</w:t>
      </w:r>
      <w:r w:rsidRPr="00DA0772">
        <w:rPr>
          <w:rStyle w:val="Ninguno"/>
          <w:i/>
          <w:iCs/>
        </w:rPr>
        <w:t xml:space="preserve"> </w:t>
      </w:r>
      <w:r w:rsidRPr="00DA0772">
        <w:rPr>
          <w:rStyle w:val="Ninguno"/>
        </w:rPr>
        <w:t>relacionado con su entorno laboral</w:t>
      </w:r>
      <w:r>
        <w:rPr>
          <w:rStyle w:val="Ninguno"/>
        </w:rPr>
        <w:t xml:space="preserve">, debido al acoso del que fue objeto por parte de sus </w:t>
      </w:r>
      <w:r w:rsidRPr="00C705BF">
        <w:rPr>
          <w:rStyle w:val="Ninguno"/>
          <w:lang w:val="es-ES"/>
        </w:rPr>
        <w:t>superiores</w:t>
      </w:r>
      <w:r>
        <w:rPr>
          <w:rStyle w:val="Ninguno"/>
        </w:rPr>
        <w:t xml:space="preserve"> directos. La autora indica que el nexo entre su enfermedad y su entorno laboral habría quedado demostrado con </w:t>
      </w:r>
      <w:r w:rsidRPr="00232417">
        <w:rPr>
          <w:rStyle w:val="Ninguno"/>
        </w:rPr>
        <w:t>un informe médico practicado por la psiquiatra que la trataba</w:t>
      </w:r>
      <w:r w:rsidRPr="00232417">
        <w:rPr>
          <w:rStyle w:val="Ninguno"/>
          <w:vertAlign w:val="superscript"/>
        </w:rPr>
        <w:footnoteReference w:id="5"/>
      </w:r>
      <w:r w:rsidRPr="00232417">
        <w:rPr>
          <w:rStyle w:val="Ninguno"/>
        </w:rPr>
        <w:t>.</w:t>
      </w:r>
      <w:r>
        <w:rPr>
          <w:rStyle w:val="Ninguno"/>
        </w:rPr>
        <w:t xml:space="preserve"> </w:t>
      </w:r>
    </w:p>
    <w:p w14:paraId="199C1292" w14:textId="77777777" w:rsidR="00C705BF" w:rsidRPr="00FF7208" w:rsidRDefault="00C705BF" w:rsidP="00C705BF">
      <w:pPr>
        <w:pStyle w:val="SingleTxtG"/>
      </w:pPr>
      <w:r>
        <w:rPr>
          <w:rStyle w:val="Ninguno"/>
        </w:rPr>
        <w:t>2.3</w:t>
      </w:r>
      <w:r>
        <w:rPr>
          <w:rStyle w:val="Ninguno"/>
        </w:rPr>
        <w:tab/>
        <w:t xml:space="preserve">Ante la baja laboral de la autora, la </w:t>
      </w:r>
      <w:r w:rsidRPr="00232417">
        <w:rPr>
          <w:rStyle w:val="Ninguno"/>
        </w:rPr>
        <w:t>Subsecretaría del Ministerio de Defensa</w:t>
      </w:r>
      <w:r>
        <w:rPr>
          <w:rStyle w:val="Ninguno"/>
        </w:rPr>
        <w:t xml:space="preserve"> tramitó </w:t>
      </w:r>
      <w:r w:rsidRPr="006C6BE4">
        <w:rPr>
          <w:rStyle w:val="Ninguno"/>
        </w:rPr>
        <w:t>un expediente administrativo de aptitud psicofísica para resolver si la enfermedad de la autora estaba o</w:t>
      </w:r>
      <w:r>
        <w:rPr>
          <w:rStyle w:val="Ninguno"/>
        </w:rPr>
        <w:t xml:space="preserve"> no relacionada con el servicio y</w:t>
      </w:r>
      <w:r w:rsidRPr="006C6BE4">
        <w:rPr>
          <w:rStyle w:val="Ninguno"/>
        </w:rPr>
        <w:t xml:space="preserve"> si existía una incapacidad para realizar su profesión habitual</w:t>
      </w:r>
      <w:r>
        <w:rPr>
          <w:rStyle w:val="Ninguno"/>
        </w:rPr>
        <w:t>,</w:t>
      </w:r>
      <w:r w:rsidRPr="006C6BE4">
        <w:rPr>
          <w:rStyle w:val="Ninguno"/>
        </w:rPr>
        <w:t xml:space="preserve"> y con ello </w:t>
      </w:r>
      <w:r w:rsidRPr="00355FF9">
        <w:rPr>
          <w:rStyle w:val="Ninguno"/>
        </w:rPr>
        <w:t>determinar</w:t>
      </w:r>
      <w:r w:rsidRPr="006C6BE4">
        <w:rPr>
          <w:rStyle w:val="Ninguno"/>
        </w:rPr>
        <w:t xml:space="preserve"> su situación laboral</w:t>
      </w:r>
      <w:r>
        <w:rPr>
          <w:rStyle w:val="Ninguno"/>
        </w:rPr>
        <w:t>, de conformidad con lo establecido en la Ley 8/2006</w:t>
      </w:r>
      <w:r>
        <w:t xml:space="preserve"> </w:t>
      </w:r>
      <w:r>
        <w:rPr>
          <w:rStyle w:val="Ninguno"/>
        </w:rPr>
        <w:t xml:space="preserve">y el </w:t>
      </w:r>
      <w:r>
        <w:t>Real Decreto 1186/2001, el cual desarrolla el artículo 52 Bis del Texto R</w:t>
      </w:r>
      <w:r w:rsidRPr="00AE04A9">
        <w:t>efundido de Ley de Clases Pasivas del Estado</w:t>
      </w:r>
      <w:r>
        <w:rPr>
          <w:rStyle w:val="FootnoteReference"/>
        </w:rPr>
        <w:footnoteReference w:id="6"/>
      </w:r>
      <w:r>
        <w:t>. Estas normas regulan las relaciones laborales de</w:t>
      </w:r>
      <w:r w:rsidRPr="0090644E">
        <w:rPr>
          <w:rFonts w:ascii="Verdana" w:hAnsi="Verdana"/>
          <w:sz w:val="24"/>
          <w:szCs w:val="24"/>
          <w:shd w:val="clear" w:color="auto" w:fill="FFFFFF"/>
          <w:lang w:eastAsia="en-US"/>
        </w:rPr>
        <w:t xml:space="preserve"> </w:t>
      </w:r>
      <w:r w:rsidRPr="0090644E">
        <w:t>los militares de tropa y marinería que mantienen una relación de servicios profesionales con las Fuerzas Armadas</w:t>
      </w:r>
      <w:r>
        <w:t>, así como las pensiones e indemnizaciones por incapacidad que les corresponden.</w:t>
      </w:r>
    </w:p>
    <w:p w14:paraId="13813599" w14:textId="5219BB80" w:rsidR="00C705BF" w:rsidRDefault="00C705BF" w:rsidP="00C705BF">
      <w:pPr>
        <w:pStyle w:val="SingleTxtG"/>
        <w:rPr>
          <w:rStyle w:val="Ninguno"/>
        </w:rPr>
      </w:pPr>
      <w:r>
        <w:rPr>
          <w:rStyle w:val="Ninguno"/>
        </w:rPr>
        <w:t>2.4</w:t>
      </w:r>
      <w:r>
        <w:rPr>
          <w:rStyle w:val="Ninguno"/>
        </w:rPr>
        <w:tab/>
        <w:t xml:space="preserve">El </w:t>
      </w:r>
      <w:r w:rsidRPr="00747AD3">
        <w:rPr>
          <w:rStyle w:val="Ninguno"/>
        </w:rPr>
        <w:t>26 de junio de 2008,</w:t>
      </w:r>
      <w:r>
        <w:rPr>
          <w:rStyle w:val="Ninguno"/>
        </w:rPr>
        <w:t xml:space="preserve"> la </w:t>
      </w:r>
      <w:r w:rsidRPr="00747AD3">
        <w:rPr>
          <w:rStyle w:val="Ninguno"/>
        </w:rPr>
        <w:t xml:space="preserve">Junta </w:t>
      </w:r>
      <w:r w:rsidRPr="00C705BF">
        <w:rPr>
          <w:rStyle w:val="Ninguno"/>
          <w:lang w:val="es-ES"/>
        </w:rPr>
        <w:t>Médico</w:t>
      </w:r>
      <w:r w:rsidRPr="00747AD3">
        <w:rPr>
          <w:rStyle w:val="Ninguno"/>
        </w:rPr>
        <w:t xml:space="preserve"> Pericial de Valencia dictaminó que </w:t>
      </w:r>
      <w:r>
        <w:rPr>
          <w:rStyle w:val="Ninguno"/>
        </w:rPr>
        <w:t xml:space="preserve">la autora padecía un </w:t>
      </w:r>
      <w:r w:rsidRPr="00355FF9">
        <w:rPr>
          <w:rStyle w:val="Ninguno"/>
        </w:rPr>
        <w:t>trastorno</w:t>
      </w:r>
      <w:r w:rsidRPr="00747AD3">
        <w:rPr>
          <w:rStyle w:val="Ninguno"/>
        </w:rPr>
        <w:t xml:space="preserve"> de ansiedad</w:t>
      </w:r>
      <w:r>
        <w:rPr>
          <w:rStyle w:val="Ninguno"/>
        </w:rPr>
        <w:t xml:space="preserve">, el cual </w:t>
      </w:r>
      <w:r w:rsidRPr="00747AD3">
        <w:rPr>
          <w:rStyle w:val="Ninguno"/>
        </w:rPr>
        <w:t xml:space="preserve">no guardaba relación de causa </w:t>
      </w:r>
      <w:r>
        <w:rPr>
          <w:rStyle w:val="Ninguno"/>
        </w:rPr>
        <w:t>y</w:t>
      </w:r>
      <w:r w:rsidRPr="00747AD3">
        <w:rPr>
          <w:rStyle w:val="Ninguno"/>
        </w:rPr>
        <w:t xml:space="preserve"> efecto con el servicio, </w:t>
      </w:r>
      <w:r>
        <w:rPr>
          <w:rStyle w:val="Ninguno"/>
        </w:rPr>
        <w:t xml:space="preserve">puesto que la </w:t>
      </w:r>
      <w:r w:rsidRPr="00355FF9">
        <w:rPr>
          <w:rStyle w:val="Ninguno"/>
        </w:rPr>
        <w:t>enfermedad</w:t>
      </w:r>
      <w:r>
        <w:rPr>
          <w:rStyle w:val="Ninguno"/>
        </w:rPr>
        <w:t xml:space="preserve"> tenía un carácter “</w:t>
      </w:r>
      <w:proofErr w:type="spellStart"/>
      <w:r>
        <w:rPr>
          <w:rStyle w:val="Ninguno"/>
        </w:rPr>
        <w:t>disposicional</w:t>
      </w:r>
      <w:proofErr w:type="spellEnd"/>
      <w:r>
        <w:rPr>
          <w:rStyle w:val="Ninguno"/>
        </w:rPr>
        <w:t xml:space="preserve">”, era endógena y no fue generada por ningún hecho en concreto. Asimismo, </w:t>
      </w:r>
      <w:r w:rsidRPr="00851D2B">
        <w:t xml:space="preserve">El 22 de octubre de 2008, se incluyó </w:t>
      </w:r>
      <w:r>
        <w:t>en el expediente administrativo</w:t>
      </w:r>
      <w:r w:rsidRPr="00851D2B">
        <w:t xml:space="preserve"> un informe de la Asesoría </w:t>
      </w:r>
      <w:r>
        <w:t xml:space="preserve">Jurídica </w:t>
      </w:r>
      <w:r w:rsidRPr="00851D2B">
        <w:t>General en el que se da</w:t>
      </w:r>
      <w:r>
        <w:t>ba</w:t>
      </w:r>
      <w:r w:rsidRPr="00851D2B">
        <w:t xml:space="preserve"> por resuelto el compromiso de la autora con las fuerzas Armadas como militar profesiona</w:t>
      </w:r>
      <w:r>
        <w:t xml:space="preserve">l. </w:t>
      </w:r>
    </w:p>
    <w:p w14:paraId="5EF1D7CB" w14:textId="403B08F3" w:rsidR="00C705BF" w:rsidRPr="00A442E3" w:rsidRDefault="00C705BF" w:rsidP="00C705BF">
      <w:pPr>
        <w:pStyle w:val="SingleTxtG"/>
        <w:rPr>
          <w:rStyle w:val="Ninguno"/>
        </w:rPr>
      </w:pPr>
      <w:r>
        <w:rPr>
          <w:rStyle w:val="Ninguno"/>
        </w:rPr>
        <w:t>2.5</w:t>
      </w:r>
      <w:r>
        <w:rPr>
          <w:rStyle w:val="Ninguno"/>
        </w:rPr>
        <w:tab/>
        <w:t xml:space="preserve">El </w:t>
      </w:r>
      <w:r w:rsidRPr="002575C1">
        <w:rPr>
          <w:rStyle w:val="Ninguno"/>
        </w:rPr>
        <w:t xml:space="preserve">11 de noviembre de 2008, se </w:t>
      </w:r>
      <w:r>
        <w:rPr>
          <w:rStyle w:val="Ninguno"/>
        </w:rPr>
        <w:t>resolvió el expediente administrativo de aptitud p</w:t>
      </w:r>
      <w:r w:rsidRPr="002575C1">
        <w:rPr>
          <w:rStyle w:val="Ninguno"/>
        </w:rPr>
        <w:t>sicofísica</w:t>
      </w:r>
      <w:r>
        <w:rPr>
          <w:rStyle w:val="Ninguno"/>
        </w:rPr>
        <w:t xml:space="preserve">, el cual </w:t>
      </w:r>
      <w:r w:rsidRPr="00C705BF">
        <w:rPr>
          <w:rStyle w:val="Ninguno"/>
          <w:lang w:val="es-ES"/>
        </w:rPr>
        <w:t>determinó</w:t>
      </w:r>
      <w:r w:rsidRPr="002575C1">
        <w:rPr>
          <w:rStyle w:val="Ninguno"/>
        </w:rPr>
        <w:t xml:space="preserve"> la insuficiencia de condiciones psicofísicas de la autora para el servicio</w:t>
      </w:r>
      <w:r>
        <w:rPr>
          <w:rStyle w:val="Ninguno"/>
        </w:rPr>
        <w:t xml:space="preserve"> militar</w:t>
      </w:r>
      <w:r w:rsidRPr="002575C1">
        <w:rPr>
          <w:rStyle w:val="Ninguno"/>
        </w:rPr>
        <w:t>,</w:t>
      </w:r>
      <w:r>
        <w:rPr>
          <w:rStyle w:val="Ninguno"/>
        </w:rPr>
        <w:t xml:space="preserve"> </w:t>
      </w:r>
      <w:r w:rsidRPr="002575C1">
        <w:rPr>
          <w:rStyle w:val="Ninguno"/>
        </w:rPr>
        <w:t xml:space="preserve">señalando que </w:t>
      </w:r>
      <w:r>
        <w:rPr>
          <w:rStyle w:val="Ninguno"/>
        </w:rPr>
        <w:t>su</w:t>
      </w:r>
      <w:r w:rsidRPr="002575C1">
        <w:rPr>
          <w:rStyle w:val="Ninguno"/>
        </w:rPr>
        <w:t xml:space="preserve"> trastorno depresivo</w:t>
      </w:r>
      <w:r>
        <w:rPr>
          <w:rStyle w:val="Ninguno"/>
        </w:rPr>
        <w:t xml:space="preserve"> no guardaba relación de causa y </w:t>
      </w:r>
      <w:r w:rsidRPr="00A442E3">
        <w:rPr>
          <w:rStyle w:val="Ninguno"/>
        </w:rPr>
        <w:t>efecto con el servicio</w:t>
      </w:r>
      <w:r>
        <w:rPr>
          <w:rStyle w:val="Ninguno"/>
        </w:rPr>
        <w:t xml:space="preserve"> y que, además, no fue demostrado que la </w:t>
      </w:r>
      <w:r w:rsidRPr="00334BC5">
        <w:t xml:space="preserve">enfermedad </w:t>
      </w:r>
      <w:r>
        <w:t xml:space="preserve">de la autora </w:t>
      </w:r>
      <w:r w:rsidRPr="00334BC5">
        <w:t>se h</w:t>
      </w:r>
      <w:r>
        <w:t>ubiese</w:t>
      </w:r>
      <w:r w:rsidRPr="00334BC5">
        <w:t xml:space="preserve"> producido durante </w:t>
      </w:r>
      <w:r>
        <w:t>su</w:t>
      </w:r>
      <w:r w:rsidRPr="00334BC5">
        <w:t xml:space="preserve"> periodo de servicio</w:t>
      </w:r>
      <w:r w:rsidRPr="00A442E3">
        <w:rPr>
          <w:rStyle w:val="Ninguno"/>
        </w:rPr>
        <w:t xml:space="preserve">, </w:t>
      </w:r>
      <w:r w:rsidRPr="00A442E3">
        <w:t>quedando fuera del ámbito de aplicación del Real Decreto 1186/2001</w:t>
      </w:r>
      <w:r>
        <w:rPr>
          <w:rStyle w:val="FootnoteReference"/>
        </w:rPr>
        <w:footnoteReference w:id="7"/>
      </w:r>
      <w:r w:rsidRPr="00A442E3">
        <w:t>, respecto al derecho a obtener una pensión o indemnización</w:t>
      </w:r>
      <w:r>
        <w:t xml:space="preserve"> por </w:t>
      </w:r>
      <w:r>
        <w:lastRenderedPageBreak/>
        <w:t>incapacidad</w:t>
      </w:r>
      <w:r w:rsidRPr="00A442E3">
        <w:t>.</w:t>
      </w:r>
      <w:r>
        <w:rPr>
          <w:rStyle w:val="Ninguno"/>
        </w:rPr>
        <w:t xml:space="preserve"> Asimismo, la Subsecretaría de Defensa declaró</w:t>
      </w:r>
      <w:r w:rsidRPr="00A442E3">
        <w:rPr>
          <w:rStyle w:val="Ninguno"/>
        </w:rPr>
        <w:t xml:space="preserve"> que </w:t>
      </w:r>
      <w:r>
        <w:rPr>
          <w:rStyle w:val="Ninguno"/>
        </w:rPr>
        <w:t>la</w:t>
      </w:r>
      <w:r w:rsidRPr="00A442E3">
        <w:rPr>
          <w:rStyle w:val="Ninguno"/>
        </w:rPr>
        <w:t xml:space="preserve"> enfermedad </w:t>
      </w:r>
      <w:r>
        <w:rPr>
          <w:rStyle w:val="Ninguno"/>
        </w:rPr>
        <w:t>de la autora se encontraba</w:t>
      </w:r>
      <w:r w:rsidRPr="00A442E3">
        <w:rPr>
          <w:rStyle w:val="Ninguno"/>
        </w:rPr>
        <w:t xml:space="preserve"> incluida en el Real Decreto 1971/1999</w:t>
      </w:r>
      <w:r>
        <w:rPr>
          <w:rStyle w:val="Ninguno"/>
        </w:rPr>
        <w:t xml:space="preserve">, referente al </w:t>
      </w:r>
      <w:r w:rsidRPr="00AB6F1C">
        <w:t>procedimiento para el reconocimiento, declaración y calificación del grado de minusvalía</w:t>
      </w:r>
      <w:r>
        <w:t xml:space="preserve">, </w:t>
      </w:r>
      <w:r>
        <w:rPr>
          <w:rStyle w:val="Ninguno"/>
        </w:rPr>
        <w:t>calificando su discapacidad como</w:t>
      </w:r>
      <w:r w:rsidRPr="00A442E3">
        <w:rPr>
          <w:rStyle w:val="Ninguno"/>
        </w:rPr>
        <w:t xml:space="preserve"> del 5%</w:t>
      </w:r>
      <w:r>
        <w:rPr>
          <w:rStyle w:val="FootnoteReference"/>
        </w:rPr>
        <w:footnoteReference w:id="8"/>
      </w:r>
      <w:r w:rsidRPr="00A442E3">
        <w:rPr>
          <w:rStyle w:val="Ninguno"/>
        </w:rPr>
        <w:t>.</w:t>
      </w:r>
      <w:r>
        <w:rPr>
          <w:rStyle w:val="Ninguno"/>
        </w:rPr>
        <w:t xml:space="preserve"> La autora afirma que estas decisiones </w:t>
      </w:r>
      <w:r w:rsidRPr="008D07C1">
        <w:t xml:space="preserve">en la práctica </w:t>
      </w:r>
      <w:r>
        <w:rPr>
          <w:rStyle w:val="Ninguno"/>
        </w:rPr>
        <w:t xml:space="preserve">significan que no tiene derecho a recibir pensión o indemnización alguna por su discapacidad. </w:t>
      </w:r>
    </w:p>
    <w:p w14:paraId="7EF05CD6" w14:textId="44482F7D" w:rsidR="00C705BF" w:rsidRPr="006A77C0" w:rsidRDefault="00C705BF" w:rsidP="00C705BF">
      <w:pPr>
        <w:pStyle w:val="SingleTxtG"/>
      </w:pPr>
      <w:r>
        <w:rPr>
          <w:rStyle w:val="Ninguno"/>
        </w:rPr>
        <w:t>2.6</w:t>
      </w:r>
      <w:r>
        <w:rPr>
          <w:rStyle w:val="Ninguno"/>
        </w:rPr>
        <w:tab/>
      </w:r>
      <w:r w:rsidRPr="00CF30C0">
        <w:rPr>
          <w:rStyle w:val="Ninguno"/>
        </w:rPr>
        <w:t xml:space="preserve">El </w:t>
      </w:r>
      <w:r w:rsidRPr="00082FE5">
        <w:rPr>
          <w:rStyle w:val="Ninguno"/>
        </w:rPr>
        <w:t>29 de junio de 2009</w:t>
      </w:r>
      <w:r w:rsidRPr="00CF30C0">
        <w:rPr>
          <w:rStyle w:val="Ninguno"/>
        </w:rPr>
        <w:t xml:space="preserve">, la autora interpuso un recurso </w:t>
      </w:r>
      <w:r>
        <w:rPr>
          <w:rStyle w:val="Ninguno"/>
        </w:rPr>
        <w:t>c</w:t>
      </w:r>
      <w:r w:rsidRPr="00CF30C0">
        <w:rPr>
          <w:rStyle w:val="Ninguno"/>
        </w:rPr>
        <w:t xml:space="preserve">ontencioso </w:t>
      </w:r>
      <w:r>
        <w:rPr>
          <w:rStyle w:val="Ninguno"/>
        </w:rPr>
        <w:t>a</w:t>
      </w:r>
      <w:r w:rsidRPr="00CF30C0">
        <w:rPr>
          <w:rStyle w:val="Ninguno"/>
        </w:rPr>
        <w:t xml:space="preserve">dministrativo ante el Tribunal Superior de Justicia de la Comunidad Valenciana contra la resolución del </w:t>
      </w:r>
      <w:r>
        <w:rPr>
          <w:rStyle w:val="Ninguno"/>
        </w:rPr>
        <w:t>e</w:t>
      </w:r>
      <w:r w:rsidRPr="00CF30C0">
        <w:rPr>
          <w:rStyle w:val="Ninguno"/>
        </w:rPr>
        <w:t xml:space="preserve">xpediente </w:t>
      </w:r>
      <w:r w:rsidRPr="00C705BF">
        <w:rPr>
          <w:rStyle w:val="Ninguno"/>
          <w:lang w:val="es-ES"/>
        </w:rPr>
        <w:t>administrativo</w:t>
      </w:r>
      <w:r w:rsidRPr="00CF30C0">
        <w:rPr>
          <w:rStyle w:val="Ninguno"/>
        </w:rPr>
        <w:t>.</w:t>
      </w:r>
      <w:r>
        <w:rPr>
          <w:rStyle w:val="Ninguno"/>
        </w:rPr>
        <w:t xml:space="preserve"> La autora indicó que el dictamen de la </w:t>
      </w:r>
      <w:r w:rsidRPr="00186BD0">
        <w:t>Junta Médico Pericial de Valencia</w:t>
      </w:r>
      <w:r>
        <w:t xml:space="preserve"> incurrió en error al calificar su enfermedad como trastorno de ansiedad de </w:t>
      </w:r>
      <w:r w:rsidRPr="00EF790F">
        <w:t>carácter “</w:t>
      </w:r>
      <w:proofErr w:type="spellStart"/>
      <w:r w:rsidRPr="00EF790F">
        <w:t>disposicional</w:t>
      </w:r>
      <w:proofErr w:type="spellEnd"/>
      <w:r w:rsidRPr="00EF790F">
        <w:t>”,</w:t>
      </w:r>
      <w:r>
        <w:t xml:space="preserve"> ya que padecía de trastorno adaptivo mixto causado por su entorno laboral, determinado por el acoso psicológico, </w:t>
      </w:r>
      <w:r w:rsidRPr="00EF790F">
        <w:t xml:space="preserve">humillación y desprestigio profesional por parte de </w:t>
      </w:r>
      <w:r>
        <w:t xml:space="preserve">sus superiores </w:t>
      </w:r>
      <w:r w:rsidRPr="00EF790F">
        <w:t>en el último puesto de trabajo que ocupó</w:t>
      </w:r>
      <w:r>
        <w:t>, tal como confirmó su psiquiatra, y quedó demostrado por diversas pruebas aportadas al expediente. También afirmó que las autoridades competentes tienden a tratar de excluir los profesionales militares del ámbito de aplicación del Real Decreto 1186/2001, de manera que no puedan reclamar pensión o indemnización por incapacidad, al hacer una interpretación restrictiva del artículo 1.2 del Decreto</w:t>
      </w:r>
      <w:r>
        <w:rPr>
          <w:rStyle w:val="FootnoteReference"/>
        </w:rPr>
        <w:footnoteReference w:id="9"/>
      </w:r>
      <w:r>
        <w:t>, en el sentido de que se considera que la enfermedad causante de la incapacidad debe provenir de un “hecho físico tangible”, lo que excluye las enfermedades calificadas como de carácter “</w:t>
      </w:r>
      <w:proofErr w:type="spellStart"/>
      <w:r>
        <w:t>disposicional</w:t>
      </w:r>
      <w:proofErr w:type="spellEnd"/>
      <w:r>
        <w:t xml:space="preserve"> y endógeno”. Igualmente, la autora consideró como una violación a su derecho a la igualdad el hecho de que mientras a </w:t>
      </w:r>
      <w:r w:rsidRPr="00072753">
        <w:t xml:space="preserve">los </w:t>
      </w:r>
      <w:r>
        <w:t>m</w:t>
      </w:r>
      <w:r w:rsidRPr="00072753">
        <w:t xml:space="preserve">ilitares de </w:t>
      </w:r>
      <w:r>
        <w:t>empleo -como ella-</w:t>
      </w:r>
      <w:r w:rsidRPr="00072753">
        <w:t xml:space="preserve"> </w:t>
      </w:r>
      <w:r>
        <w:t xml:space="preserve">sólo </w:t>
      </w:r>
      <w:r w:rsidRPr="00072753">
        <w:t xml:space="preserve">se les reconoce el derecho de pensión o indemnización cuando sufran </w:t>
      </w:r>
      <w:r>
        <w:t xml:space="preserve">una </w:t>
      </w:r>
      <w:r w:rsidRPr="00072753">
        <w:t>enfermedad que se produzca a consecuencia de un hecho ocurrido mientras</w:t>
      </w:r>
      <w:r>
        <w:t xml:space="preserve"> se cuenta con la condición de m</w:t>
      </w:r>
      <w:r w:rsidRPr="00072753">
        <w:t xml:space="preserve">ilitar de </w:t>
      </w:r>
      <w:r>
        <w:t>e</w:t>
      </w:r>
      <w:r w:rsidRPr="00072753">
        <w:t xml:space="preserve">mpleo, para los militares de carrera o cualquier otro funcionario que se encuentre bajo el régimen de Clases Pasivas del Estado, o </w:t>
      </w:r>
      <w:r>
        <w:t xml:space="preserve">incluso, </w:t>
      </w:r>
      <w:r w:rsidRPr="00072753">
        <w:t>el resto de trabajadores en España</w:t>
      </w:r>
      <w:r>
        <w:t>,</w:t>
      </w:r>
      <w:r w:rsidRPr="00072753">
        <w:t xml:space="preserve"> no se requiere dicha condición.</w:t>
      </w:r>
      <w:r w:rsidRPr="006A77C0">
        <w:t xml:space="preserve"> La autora solicit</w:t>
      </w:r>
      <w:r>
        <w:t>ó</w:t>
      </w:r>
      <w:r w:rsidRPr="006A77C0">
        <w:t xml:space="preserve"> </w:t>
      </w:r>
      <w:r>
        <w:t>que se declarara</w:t>
      </w:r>
      <w:r w:rsidRPr="006A77C0">
        <w:t xml:space="preserve"> la nu</w:t>
      </w:r>
      <w:r>
        <w:t>lidad de la resolución recurrida, ya que su enfermedad fue</w:t>
      </w:r>
      <w:r w:rsidRPr="006A77C0">
        <w:t xml:space="preserve"> consecuencia directa de su relación de servicio</w:t>
      </w:r>
      <w:r>
        <w:t xml:space="preserve"> con las Fuerzas Armadas y </w:t>
      </w:r>
      <w:r w:rsidRPr="006A77C0">
        <w:t>se produ</w:t>
      </w:r>
      <w:r>
        <w:t>j</w:t>
      </w:r>
      <w:r w:rsidRPr="006A77C0">
        <w:t>o mientras ostentaba la</w:t>
      </w:r>
      <w:r>
        <w:t xml:space="preserve"> condición de militar de empleo. En consecuencia, solicitó una pensión de incapacidad </w:t>
      </w:r>
      <w:r w:rsidRPr="006A77C0">
        <w:t>permanente para su profesión</w:t>
      </w:r>
      <w:r>
        <w:rPr>
          <w:rStyle w:val="FootnoteReference"/>
        </w:rPr>
        <w:footnoteReference w:id="10"/>
      </w:r>
      <w:r w:rsidRPr="006A77C0">
        <w:t xml:space="preserve">. </w:t>
      </w:r>
      <w:r>
        <w:t>Subsidiariamente solicitó que se le reconociera</w:t>
      </w:r>
      <w:r w:rsidRPr="006A77C0">
        <w:t xml:space="preserve"> el derecho a cualquier otra pensión o indemnización que se consider</w:t>
      </w:r>
      <w:r>
        <w:t xml:space="preserve">ara </w:t>
      </w:r>
      <w:r w:rsidRPr="006A77C0">
        <w:t>procedente</w:t>
      </w:r>
      <w:r>
        <w:rPr>
          <w:rStyle w:val="FootnoteReference"/>
        </w:rPr>
        <w:footnoteReference w:id="11"/>
      </w:r>
      <w:r>
        <w:t>,</w:t>
      </w:r>
      <w:r w:rsidRPr="006A77C0">
        <w:t xml:space="preserve"> en atención al grado de discapacidad global que</w:t>
      </w:r>
      <w:r>
        <w:t xml:space="preserve"> se determinara, independientemente de si la incapacidad se produjo en </w:t>
      </w:r>
      <w:r w:rsidRPr="006A77C0">
        <w:t>acto de servicio</w:t>
      </w:r>
      <w:r>
        <w:t xml:space="preserve"> o no</w:t>
      </w:r>
      <w:r w:rsidRPr="006A77C0">
        <w:t xml:space="preserve">.  </w:t>
      </w:r>
    </w:p>
    <w:p w14:paraId="662672A1" w14:textId="2052A7F4" w:rsidR="00C705BF" w:rsidRPr="00C705BF" w:rsidRDefault="00C705BF" w:rsidP="00C705BF">
      <w:pPr>
        <w:pStyle w:val="SingleTxtG"/>
      </w:pPr>
      <w:r w:rsidRPr="00C705BF">
        <w:rPr>
          <w:rStyle w:val="Ninguno"/>
          <w:lang w:val="es-ES"/>
        </w:rPr>
        <w:t>2.7</w:t>
      </w:r>
      <w:r w:rsidRPr="00C705BF">
        <w:rPr>
          <w:rStyle w:val="Ninguno"/>
          <w:lang w:val="es-ES"/>
        </w:rPr>
        <w:tab/>
        <w:t xml:space="preserve">El 21 de mayo de 2012, la Sala de lo Contencioso Administrativo del Tribunal Superior de Justicia de la Comunidad Valenciana desestimó el recurso, señalando que lo que debería resolver era si la enfermedad de la autora, la cual es la causa de su incapacidad, guardaba relación causal con la prestación de servicio. El Tribunal hizo referencia al dictamen pericial solicitado por la autora, según el cual ésta padece un trastorno depresivo mixto causado por su entorno laboral, sin que existieran factores de personalidad o endógenos susceptibles de desencadenar la patología. Sin embargo, el Tribunal consideró que dicho dictamen no tuvo en cuenta varios elementos de otro dictamen emitido por una psicóloga militar en octubre de 2007, en el que consta que la autora había contactado los servicios de psicología de las Fuerzas Armadas en el 2004 debido a síntomas depresivos, y que en 2005 y 2006 sufrió crisis de ansiedad que desencadenaron en la baja de 2007. El Tribunal por ende, indicó que de todas las pruebas practicadas durante el trámite del expediente administrativo, se concluía que los hechos a los que se atribuía por parte de la autora el presunto maltrato psicológico–calificación severa por un superior en el 2006 y arresto en el 2007-, no eran determinantes de su enfermedad y que, por el contrario, se constataba que la enfermedad de la autora no tenía origen en el servicio, siendo su causa atribuible a la concurrencia de factores externos. </w:t>
      </w:r>
    </w:p>
    <w:p w14:paraId="6C08721D" w14:textId="77777777" w:rsidR="00C705BF" w:rsidRDefault="00C705BF" w:rsidP="00C705BF">
      <w:pPr>
        <w:pStyle w:val="SingleTxtG"/>
      </w:pPr>
      <w:r w:rsidRPr="00C705BF">
        <w:t>2.8</w:t>
      </w:r>
      <w:r w:rsidRPr="00C705BF">
        <w:tab/>
        <w:t>El 18 de junio de 2012, la autora presentó un incidente excepcional de nulidad ante la Sala de lo Contencioso Administrativo del Tribunal Superior de Justicia de la Comunidad Valenciana, en el que alegó que la sentencia de 21 de mayo de 2012 vulneró su derecho a la tutela judicial efectiva, contenido en el artículo 24 de la Constitución, por falta de motivación, puesto que el Tribunal no se pronunció sobre la alegación de la autora referente a la violación al derecho a la igualdad. La autora señaló también que el Tribunal vulneró su derecho de tutela judicial efectiva al pronunciarse únicamente respecto a si su enfermedad se encontraba incluida en el artículo 1.2 del Real Decreto 1186/2001, analizando la relación de la enfermedad con el servicio, sin pronunciarse sobre si la situación de la autora podría encontrarse en los supuestos contenidos en los artículos 6 y 7 del Real Decreto citado, en el que se establecen pensiones e indemnizaciones que no relacionan la causa de la enfermedad con la prestación de servicio, bajo la condición de que se presenten durante el periodo en el que se ostenta la calidad de militar de empleo</w:t>
      </w:r>
      <w:r w:rsidRPr="00326087">
        <w:rPr>
          <w:rStyle w:val="Ninguno"/>
        </w:rPr>
        <w:t>.</w:t>
      </w:r>
      <w:r>
        <w:rPr>
          <w:rStyle w:val="Ninguno"/>
        </w:rPr>
        <w:t xml:space="preserve"> </w:t>
      </w:r>
    </w:p>
    <w:p w14:paraId="1B0EA465" w14:textId="77777777" w:rsidR="00C705BF" w:rsidRPr="00C54500" w:rsidRDefault="00C705BF" w:rsidP="00C705BF">
      <w:pPr>
        <w:pStyle w:val="SingleTxtG"/>
      </w:pPr>
      <w:r>
        <w:rPr>
          <w:rStyle w:val="Ninguno"/>
        </w:rPr>
        <w:t>2.9</w:t>
      </w:r>
      <w:r>
        <w:rPr>
          <w:rStyle w:val="Ninguno"/>
        </w:rPr>
        <w:tab/>
      </w:r>
      <w:r w:rsidRPr="0009210E">
        <w:rPr>
          <w:rStyle w:val="Ninguno"/>
        </w:rPr>
        <w:t>El 27 de diciembre de 2012, la Sala de lo Contencioso Administrativo del Tribunal Superior de Justicia de la Comunidad Valenciana, dictó un auto en el que desestimó el recurso de incidente de nulidad interpuesto por la autora</w:t>
      </w:r>
      <w:r>
        <w:rPr>
          <w:rStyle w:val="Ninguno"/>
        </w:rPr>
        <w:t xml:space="preserve"> </w:t>
      </w:r>
      <w:r w:rsidRPr="00220D36">
        <w:rPr>
          <w:rStyle w:val="Ninguno"/>
        </w:rPr>
        <w:t>y completó la sentencia de 21 de mayo de 2012</w:t>
      </w:r>
      <w:r>
        <w:rPr>
          <w:rStyle w:val="Ninguno"/>
        </w:rPr>
        <w:t xml:space="preserve">. El Tribunal consideró que </w:t>
      </w:r>
      <w:r w:rsidRPr="0035767D">
        <w:t>la pretensión principal si tuvo respuesta</w:t>
      </w:r>
      <w:r>
        <w:t>,</w:t>
      </w:r>
      <w:r w:rsidRPr="0035767D">
        <w:t xml:space="preserve"> y</w:t>
      </w:r>
      <w:r>
        <w:t>a que rechazó que la enfermedad fuese consecuencia de un acto de servicio, quedando por fuera de la aplicación del artículo 1.2 del Decreto 1186/2001. En cuanto a la</w:t>
      </w:r>
      <w:r w:rsidRPr="0035767D">
        <w:t xml:space="preserve"> pretensión subsidiaria sobre el reconocimiento al derecho de cualquier otra pensión </w:t>
      </w:r>
      <w:r>
        <w:t xml:space="preserve">o indemnización que se considerara procedente, el Tribunal reconoció que la sentencia recurrida no dio respuesta a dicha pretensión, teniendo en cuenta que la valoración de la discapacidad del 5% hecha por la Junta Médico Pericial no indica cómo llegó a dicha conclusión. Por ello ordena a la administración a que </w:t>
      </w:r>
      <w:r w:rsidRPr="00C54500">
        <w:t xml:space="preserve">proceda a la </w:t>
      </w:r>
      <w:r>
        <w:t>re</w:t>
      </w:r>
      <w:r w:rsidRPr="00C54500">
        <w:t>asignación del porcentaje de discapacidad</w:t>
      </w:r>
      <w:r>
        <w:t>, teniendo en cuenta la prueba pericial practicada durante el trámite del recurso</w:t>
      </w:r>
      <w:r>
        <w:rPr>
          <w:rStyle w:val="FootnoteReference"/>
        </w:rPr>
        <w:footnoteReference w:id="12"/>
      </w:r>
      <w:r>
        <w:t>.</w:t>
      </w:r>
    </w:p>
    <w:p w14:paraId="1BC572DD" w14:textId="1E01F171" w:rsidR="00C705BF" w:rsidRPr="000D0439" w:rsidRDefault="00C705BF" w:rsidP="00C705BF">
      <w:pPr>
        <w:pStyle w:val="SingleTxtG"/>
        <w:rPr>
          <w:rStyle w:val="Ninguno"/>
        </w:rPr>
      </w:pPr>
      <w:r>
        <w:rPr>
          <w:rStyle w:val="Ninguno"/>
        </w:rPr>
        <w:t>2.10</w:t>
      </w:r>
      <w:r>
        <w:rPr>
          <w:rStyle w:val="Ninguno"/>
        </w:rPr>
        <w:tab/>
      </w:r>
      <w:r w:rsidRPr="00DE0820">
        <w:rPr>
          <w:rStyle w:val="Ninguno"/>
        </w:rPr>
        <w:t xml:space="preserve">El 1 de febrero de 2013, la autora presentó un recurso de amparo ante el Tribunal Constitucional en contra de </w:t>
      </w:r>
      <w:r w:rsidRPr="0042676C">
        <w:rPr>
          <w:rStyle w:val="Ninguno"/>
        </w:rPr>
        <w:t>la sentencia</w:t>
      </w:r>
      <w:r>
        <w:rPr>
          <w:rStyle w:val="Ninguno"/>
        </w:rPr>
        <w:t xml:space="preserve"> de 27 de diciembre de 2012, </w:t>
      </w:r>
      <w:r w:rsidRPr="004F589A">
        <w:t xml:space="preserve">denunciando que la </w:t>
      </w:r>
      <w:r>
        <w:t xml:space="preserve">misma </w:t>
      </w:r>
      <w:r w:rsidRPr="004F589A">
        <w:t>vulneró su</w:t>
      </w:r>
      <w:r>
        <w:t>s</w:t>
      </w:r>
      <w:r w:rsidRPr="004F589A">
        <w:t xml:space="preserve"> derecho</w:t>
      </w:r>
      <w:r>
        <w:t>s</w:t>
      </w:r>
      <w:r w:rsidRPr="004F589A">
        <w:t xml:space="preserve"> a la tutela judicial efectiva y a la igualdad reconocido</w:t>
      </w:r>
      <w:r>
        <w:t>s en los</w:t>
      </w:r>
      <w:r w:rsidRPr="004F589A">
        <w:t xml:space="preserve"> artículo</w:t>
      </w:r>
      <w:r>
        <w:t>s</w:t>
      </w:r>
      <w:r w:rsidRPr="004F589A">
        <w:t xml:space="preserve"> 24</w:t>
      </w:r>
      <w:r>
        <w:t xml:space="preserve"> y 14 de la Constitución,</w:t>
      </w:r>
      <w:r w:rsidRPr="00575446">
        <w:rPr>
          <w:sz w:val="24"/>
          <w:szCs w:val="24"/>
          <w:lang w:eastAsia="en-US"/>
        </w:rPr>
        <w:t xml:space="preserve"> </w:t>
      </w:r>
      <w:r w:rsidRPr="00575446">
        <w:t>respectivamente</w:t>
      </w:r>
      <w:r>
        <w:t xml:space="preserve">. La autora indicó que el derecho a la tutela judicial efectiva fue violado </w:t>
      </w:r>
      <w:r w:rsidRPr="00AF7599">
        <w:t>debido a la fal</w:t>
      </w:r>
      <w:r>
        <w:t xml:space="preserve">ta de motivación, ya que la sentencia sólo indicó que la dolencia de la autora no tenía origen en el servicio, sin ahondar en los motivos que le llevaron a dicha conclusión; y dejó de pronunciarse sobre las pretensiones referentes a la violación del derecho a la igualdad, así como al error de interpretación del artículo 1.2 del Decreto 1186/2001, al restringirlo indebidamente por considerar que sólo es aplicable a las enfermedades originadas en el servicio, mientras que el Decreto claramente establece supuestos en los que se pueden obtener pensiones o indemnizaciones por circunstancias ajenas al acto de servicio, siempre y cuando la enfermedad haya ocurrido mientras se ostentaba la calidad de militar de empleo. En cuanto la violación del derecho a la igualdad, la autora indicó que </w:t>
      </w:r>
      <w:r w:rsidRPr="000D0439">
        <w:rPr>
          <w:rStyle w:val="Ninguno"/>
        </w:rPr>
        <w:t xml:space="preserve">la aplicación de la normativa vigente realizada por la administración </w:t>
      </w:r>
      <w:r>
        <w:rPr>
          <w:rStyle w:val="Ninguno"/>
        </w:rPr>
        <w:t>discrimina a los militares de e</w:t>
      </w:r>
      <w:r w:rsidRPr="000D0439">
        <w:rPr>
          <w:rStyle w:val="Ninguno"/>
        </w:rPr>
        <w:t>mpleo</w:t>
      </w:r>
      <w:r>
        <w:rPr>
          <w:rStyle w:val="Ninguno"/>
        </w:rPr>
        <w:t>,</w:t>
      </w:r>
      <w:r w:rsidRPr="000D0439">
        <w:rPr>
          <w:rStyle w:val="Ninguno"/>
        </w:rPr>
        <w:t xml:space="preserve"> a </w:t>
      </w:r>
      <w:r>
        <w:rPr>
          <w:rStyle w:val="Ninguno"/>
        </w:rPr>
        <w:t xml:space="preserve">quienes </w:t>
      </w:r>
      <w:r w:rsidRPr="000D0439">
        <w:rPr>
          <w:rStyle w:val="Ninguno"/>
        </w:rPr>
        <w:t>no se les otorgan</w:t>
      </w:r>
      <w:r>
        <w:rPr>
          <w:rStyle w:val="Ninguno"/>
        </w:rPr>
        <w:t xml:space="preserve"> indemnizaciones ni pensiones por</w:t>
      </w:r>
      <w:r w:rsidRPr="000D0439">
        <w:rPr>
          <w:rStyle w:val="Ninguno"/>
        </w:rPr>
        <w:t xml:space="preserve"> incapacidad,</w:t>
      </w:r>
      <w:r>
        <w:rPr>
          <w:rStyle w:val="Ninguno"/>
        </w:rPr>
        <w:t xml:space="preserve"> </w:t>
      </w:r>
      <w:r w:rsidRPr="000D0439">
        <w:rPr>
          <w:rStyle w:val="Ninguno"/>
        </w:rPr>
        <w:t>aunque hubiese una declaración de incapacidad</w:t>
      </w:r>
      <w:r>
        <w:rPr>
          <w:rStyle w:val="Ninguno"/>
        </w:rPr>
        <w:t xml:space="preserve">, lo que los pone en una situación de desigualdad frente a los militares de carrera, e incluso, a los trabajadores en general. </w:t>
      </w:r>
    </w:p>
    <w:p w14:paraId="00D4364C" w14:textId="77777777" w:rsidR="00C705BF" w:rsidRPr="00C705BF" w:rsidRDefault="00C705BF" w:rsidP="00C705BF">
      <w:pPr>
        <w:pStyle w:val="SingleTxtG"/>
        <w:rPr>
          <w:rStyle w:val="Ninguno"/>
          <w:lang w:val="es-ES"/>
        </w:rPr>
      </w:pPr>
      <w:r w:rsidRPr="00C705BF">
        <w:rPr>
          <w:rStyle w:val="Ninguno"/>
          <w:lang w:val="es-ES"/>
        </w:rPr>
        <w:t>2.11</w:t>
      </w:r>
      <w:r w:rsidRPr="00C705BF">
        <w:rPr>
          <w:rStyle w:val="Ninguno"/>
          <w:lang w:val="es-ES"/>
        </w:rPr>
        <w:tab/>
        <w:t xml:space="preserve">El 22 de abril de 2013, el Tribunal Constitucional decidió no admitir el recurso de amparo, al no haber justificado la especial trascendencia constitucional del recurso como requerido por el artículo 49.1 de la Ley Orgánica del Tribunal Constitucional. </w:t>
      </w:r>
    </w:p>
    <w:p w14:paraId="6833A2F3" w14:textId="77777777" w:rsidR="00C705BF" w:rsidRPr="00C705BF" w:rsidRDefault="00C705BF" w:rsidP="00C705BF">
      <w:pPr>
        <w:pStyle w:val="SingleTxtG"/>
        <w:rPr>
          <w:rStyle w:val="Ninguno"/>
          <w:lang w:val="es-ES"/>
        </w:rPr>
      </w:pPr>
      <w:r w:rsidRPr="00C705BF">
        <w:rPr>
          <w:rStyle w:val="Ninguno"/>
          <w:lang w:val="es-ES"/>
        </w:rPr>
        <w:t>2.12</w:t>
      </w:r>
      <w:r w:rsidRPr="00C705BF">
        <w:rPr>
          <w:rStyle w:val="Ninguno"/>
          <w:lang w:val="es-ES"/>
        </w:rPr>
        <w:tab/>
        <w:t>El 17 de octubre del 2014, en cumplimiento a la sentencia de 21 de mayo de 2012 completada por el auto de 27 de diciembre de 2012, la Junta Médico Pericial 41 determinó el grado de discapacidad de la autora de un 35%.</w:t>
      </w:r>
    </w:p>
    <w:p w14:paraId="1FFF3DF7" w14:textId="77777777" w:rsidR="00C705BF" w:rsidRPr="0003310B" w:rsidRDefault="00C705BF" w:rsidP="00C705BF">
      <w:pPr>
        <w:pStyle w:val="SingleTxtG"/>
        <w:rPr>
          <w:rStyle w:val="Ninguno"/>
        </w:rPr>
      </w:pPr>
      <w:r w:rsidRPr="00C705BF">
        <w:rPr>
          <w:rStyle w:val="Ninguno"/>
          <w:lang w:val="es-ES"/>
        </w:rPr>
        <w:t>2.13</w:t>
      </w:r>
      <w:r w:rsidRPr="00C705BF">
        <w:rPr>
          <w:rStyle w:val="Ninguno"/>
          <w:lang w:val="es-ES"/>
        </w:rPr>
        <w:tab/>
      </w:r>
      <w:r w:rsidRPr="00C705BF">
        <w:t>El 16 de septiembre de 2013, l</w:t>
      </w:r>
      <w:r w:rsidRPr="00C705BF">
        <w:rPr>
          <w:rStyle w:val="Ninguno"/>
          <w:lang w:val="es-ES"/>
        </w:rPr>
        <w:t>a autora presentó una queja ante el Tribunal Europeo de Derechos Humanos, la cual fue inadmitida el 13 de febrero de 2014 mediante decisión de juez único, declarándola inamisible con base en los artículos 34 y 35 del Convenio</w:t>
      </w:r>
      <w:r w:rsidRPr="00C705BF">
        <w:t xml:space="preserve"> Europeo de Derechos Humanos</w:t>
      </w:r>
      <w:r>
        <w:rPr>
          <w:rStyle w:val="Ninguno"/>
        </w:rPr>
        <w:t>.</w:t>
      </w:r>
    </w:p>
    <w:p w14:paraId="1DF8EB13" w14:textId="77777777" w:rsidR="00C705BF" w:rsidRDefault="00C705BF" w:rsidP="00C705BF">
      <w:pPr>
        <w:pStyle w:val="H23G"/>
        <w:rPr>
          <w:rStyle w:val="Ninguno"/>
          <w:u w:color="FF0000"/>
        </w:rPr>
      </w:pPr>
      <w:r>
        <w:rPr>
          <w:rStyle w:val="Ninguno"/>
          <w:color w:val="FF0000"/>
          <w:u w:color="FF0000"/>
        </w:rPr>
        <w:tab/>
      </w:r>
      <w:r>
        <w:rPr>
          <w:rStyle w:val="Ninguno"/>
          <w:color w:val="FF0000"/>
          <w:u w:color="FF0000"/>
        </w:rPr>
        <w:tab/>
      </w:r>
      <w:r>
        <w:rPr>
          <w:rStyle w:val="Ninguno"/>
          <w:rFonts w:eastAsia="Arial Unicode MS" w:cs="Arial Unicode MS"/>
          <w:u w:color="FF0000"/>
        </w:rPr>
        <w:t xml:space="preserve">La </w:t>
      </w:r>
      <w:r w:rsidRPr="00C705BF">
        <w:rPr>
          <w:rStyle w:val="Ninguno"/>
          <w:rFonts w:eastAsia="Arial Unicode MS"/>
          <w:lang w:val="es-ES"/>
        </w:rPr>
        <w:t>denuncia</w:t>
      </w:r>
    </w:p>
    <w:p w14:paraId="715EF02C" w14:textId="2DBB8414" w:rsidR="00C705BF" w:rsidRPr="00E91B92" w:rsidRDefault="00C705BF" w:rsidP="00C705BF">
      <w:pPr>
        <w:pStyle w:val="SingleTxtG"/>
        <w:rPr>
          <w:rStyle w:val="Ninguno"/>
          <w:color w:val="FF0000"/>
          <w:u w:color="FF0000"/>
        </w:rPr>
      </w:pPr>
      <w:r>
        <w:rPr>
          <w:rStyle w:val="Ninguno"/>
          <w:u w:color="FF0000"/>
        </w:rPr>
        <w:t>3.1</w:t>
      </w:r>
      <w:r>
        <w:rPr>
          <w:rStyle w:val="Ninguno"/>
          <w:u w:color="FF0000"/>
        </w:rPr>
        <w:tab/>
      </w:r>
      <w:r w:rsidRPr="0003310B">
        <w:rPr>
          <w:rStyle w:val="Ninguno"/>
          <w:u w:color="FF0000"/>
        </w:rPr>
        <w:t>La autora afirma que el Estado parte violó sus derechos en virtud de los artículos 14 (1) y 26 del Pacto.</w:t>
      </w:r>
      <w:r>
        <w:rPr>
          <w:rStyle w:val="Ninguno"/>
          <w:u w:color="FF0000"/>
        </w:rPr>
        <w:t xml:space="preserve"> Respecto a la violación del artículo 14 (1)</w:t>
      </w:r>
      <w:r>
        <w:rPr>
          <w:rStyle w:val="Ninguno"/>
          <w:u w:color="FF0000"/>
          <w:vertAlign w:val="superscript"/>
        </w:rPr>
        <w:footnoteReference w:id="13"/>
      </w:r>
      <w:r w:rsidR="0004006C">
        <w:rPr>
          <w:rStyle w:val="Ninguno"/>
          <w:u w:color="FF0000"/>
        </w:rPr>
        <w:t>, e</w:t>
      </w:r>
      <w:r w:rsidRPr="00B72CDC">
        <w:rPr>
          <w:rStyle w:val="Ninguno"/>
          <w:u w:color="FF0000"/>
        </w:rPr>
        <w:t xml:space="preserve">ntiende la autora que el derecho al proceso justo </w:t>
      </w:r>
      <w:r>
        <w:rPr>
          <w:rStyle w:val="Ninguno"/>
          <w:u w:color="FF0000"/>
        </w:rPr>
        <w:t xml:space="preserve">consagrado en el artículo 14 del Pacto </w:t>
      </w:r>
      <w:r w:rsidRPr="00B72CDC">
        <w:rPr>
          <w:rStyle w:val="Ninguno"/>
          <w:u w:color="FF0000"/>
        </w:rPr>
        <w:t xml:space="preserve">incluye el derecho a obtener una </w:t>
      </w:r>
      <w:r>
        <w:rPr>
          <w:rStyle w:val="Ninguno"/>
          <w:u w:color="FF0000"/>
        </w:rPr>
        <w:t xml:space="preserve">decisión </w:t>
      </w:r>
      <w:r w:rsidRPr="00B72CDC">
        <w:rPr>
          <w:rStyle w:val="Ninguno"/>
          <w:u w:color="FF0000"/>
        </w:rPr>
        <w:t>fundamentada, es decir, que</w:t>
      </w:r>
      <w:r>
        <w:rPr>
          <w:rStyle w:val="Ninguno"/>
          <w:u w:color="FF0000"/>
        </w:rPr>
        <w:t xml:space="preserve"> ésta debe </w:t>
      </w:r>
      <w:r w:rsidRPr="00B72CDC">
        <w:rPr>
          <w:rStyle w:val="Ninguno"/>
          <w:u w:color="FF0000"/>
        </w:rPr>
        <w:t>est</w:t>
      </w:r>
      <w:r>
        <w:rPr>
          <w:rStyle w:val="Ninguno"/>
          <w:u w:color="FF0000"/>
        </w:rPr>
        <w:t>ar debidamente motivada</w:t>
      </w:r>
      <w:r w:rsidRPr="00B72CDC">
        <w:rPr>
          <w:rStyle w:val="Ninguno"/>
          <w:u w:color="FF0000"/>
        </w:rPr>
        <w:t xml:space="preserve"> </w:t>
      </w:r>
      <w:r>
        <w:rPr>
          <w:rStyle w:val="Ninguno"/>
          <w:u w:color="FF0000"/>
        </w:rPr>
        <w:t xml:space="preserve">respecto de todas </w:t>
      </w:r>
      <w:r w:rsidRPr="00B72CDC">
        <w:rPr>
          <w:rStyle w:val="Ninguno"/>
          <w:u w:color="FF0000"/>
        </w:rPr>
        <w:t>las cuestiones planteadas</w:t>
      </w:r>
      <w:r>
        <w:rPr>
          <w:rStyle w:val="Ninguno"/>
          <w:u w:color="FF0000"/>
        </w:rPr>
        <w:t xml:space="preserve"> por las partes. Asimismo, la autora hace referencia a varios dictámenes del Comité</w:t>
      </w:r>
      <w:r>
        <w:rPr>
          <w:rStyle w:val="Ninguno"/>
          <w:u w:color="FF0000"/>
          <w:vertAlign w:val="superscript"/>
        </w:rPr>
        <w:footnoteReference w:id="14"/>
      </w:r>
      <w:r>
        <w:rPr>
          <w:rStyle w:val="Ninguno"/>
          <w:u w:color="FF0000"/>
        </w:rPr>
        <w:t xml:space="preserve">, en los que se ha pronunciado sobre el artículo 14, señalando que de su análisis se concluye que en principio corresponde a los tribunales internos evaluar los hechos y las pruebas de cada caso particular, a menos que dicha evaluación sea manifiestamente arbitraria o constituya una denegación de justicia, lo que ocurrió en su caso. </w:t>
      </w:r>
    </w:p>
    <w:p w14:paraId="6230B1A2" w14:textId="77777777" w:rsidR="00C705BF" w:rsidRDefault="00C705BF" w:rsidP="00C705BF">
      <w:pPr>
        <w:pStyle w:val="SingleTxtG"/>
        <w:rPr>
          <w:rStyle w:val="Ninguno"/>
          <w:u w:color="FF0000"/>
        </w:rPr>
      </w:pPr>
      <w:r>
        <w:rPr>
          <w:rStyle w:val="Ninguno"/>
          <w:u w:color="FF0000"/>
        </w:rPr>
        <w:t>3.2</w:t>
      </w:r>
      <w:r>
        <w:rPr>
          <w:rStyle w:val="Ninguno"/>
          <w:u w:color="FF0000"/>
        </w:rPr>
        <w:tab/>
        <w:t xml:space="preserve">La autora afirma que se </w:t>
      </w:r>
      <w:r w:rsidRPr="00EE002E">
        <w:rPr>
          <w:rStyle w:val="Ninguno"/>
          <w:u w:color="FF0000"/>
        </w:rPr>
        <w:t>ha vulnerado su derecho a un proceso</w:t>
      </w:r>
      <w:r>
        <w:rPr>
          <w:rStyle w:val="Ninguno"/>
          <w:u w:color="FF0000"/>
        </w:rPr>
        <w:t xml:space="preserve"> justo reconocido en el </w:t>
      </w:r>
      <w:r w:rsidRPr="00EE002E">
        <w:rPr>
          <w:rStyle w:val="Ninguno"/>
          <w:u w:color="FF0000"/>
        </w:rPr>
        <w:t>artículo 14</w:t>
      </w:r>
      <w:r>
        <w:rPr>
          <w:rStyle w:val="Ninguno"/>
          <w:u w:color="FF0000"/>
        </w:rPr>
        <w:t xml:space="preserve"> del Pacto, argumentando que las  decisiones emitidas por el </w:t>
      </w:r>
      <w:r w:rsidRPr="00EE002E">
        <w:rPr>
          <w:rStyle w:val="Ninguno"/>
          <w:u w:color="FF0000"/>
        </w:rPr>
        <w:t>Tribunal Superior de Just</w:t>
      </w:r>
      <w:r>
        <w:rPr>
          <w:rStyle w:val="Ninguno"/>
          <w:u w:color="FF0000"/>
        </w:rPr>
        <w:t xml:space="preserve">icia de la Comunidad Valenciana </w:t>
      </w:r>
      <w:r w:rsidRPr="00EE002E">
        <w:rPr>
          <w:rStyle w:val="Ninguno"/>
          <w:u w:color="FF0000"/>
        </w:rPr>
        <w:t>ha</w:t>
      </w:r>
      <w:r>
        <w:rPr>
          <w:rStyle w:val="Ninguno"/>
          <w:u w:color="FF0000"/>
        </w:rPr>
        <w:t>n</w:t>
      </w:r>
      <w:r w:rsidRPr="00EE002E">
        <w:rPr>
          <w:rStyle w:val="Ninguno"/>
          <w:u w:color="FF0000"/>
        </w:rPr>
        <w:t xml:space="preserve"> infringido </w:t>
      </w:r>
      <w:r>
        <w:rPr>
          <w:rStyle w:val="Ninguno"/>
          <w:u w:color="FF0000"/>
        </w:rPr>
        <w:t xml:space="preserve">su </w:t>
      </w:r>
      <w:r w:rsidRPr="00EE002E">
        <w:rPr>
          <w:rStyle w:val="Ninguno"/>
          <w:u w:color="FF0000"/>
        </w:rPr>
        <w:t>derecho a obtener una resolución fundada en derecho y debidamente motivada</w:t>
      </w:r>
      <w:r>
        <w:rPr>
          <w:rStyle w:val="Ninguno"/>
          <w:u w:color="FF0000"/>
        </w:rPr>
        <w:t xml:space="preserve">, ya que considera que su incidente de nulidad contra la sentencia de 21 de mayo de 2012, fue desestimado sin pronunciarse </w:t>
      </w:r>
      <w:r w:rsidRPr="00EE002E">
        <w:rPr>
          <w:rStyle w:val="Ninguno"/>
          <w:u w:color="FF0000"/>
        </w:rPr>
        <w:t xml:space="preserve">sobre la vulneración  a su derecho a la igualdad, </w:t>
      </w:r>
      <w:r>
        <w:rPr>
          <w:rStyle w:val="Ninguno"/>
          <w:u w:color="FF0000"/>
        </w:rPr>
        <w:t xml:space="preserve">argumento que </w:t>
      </w:r>
      <w:r w:rsidRPr="00EE002E">
        <w:rPr>
          <w:rStyle w:val="Ninguno"/>
          <w:u w:color="FF0000"/>
        </w:rPr>
        <w:t>fue debidamente</w:t>
      </w:r>
      <w:r>
        <w:rPr>
          <w:rStyle w:val="Ninguno"/>
          <w:u w:color="FF0000"/>
        </w:rPr>
        <w:t xml:space="preserve"> fundamentado</w:t>
      </w:r>
      <w:r w:rsidRPr="00EE002E">
        <w:rPr>
          <w:rStyle w:val="Ninguno"/>
          <w:u w:color="FF0000"/>
        </w:rPr>
        <w:t>.</w:t>
      </w:r>
      <w:r>
        <w:rPr>
          <w:rStyle w:val="Ninguno"/>
          <w:u w:color="FF0000"/>
        </w:rPr>
        <w:t xml:space="preserve"> Solicita al Comité que compruebe si las decisiones del Tribunal tienen la necesaria motivación y si incurrieron o no en arbitrariedad. También solicita que el Comité determine si el hecho de no pronunciarse sobre el argumento mencionado tiene la entidad suficiente para considerar que violó sus derechos consagrados en el Pacto.  </w:t>
      </w:r>
    </w:p>
    <w:p w14:paraId="011B7231" w14:textId="77777777" w:rsidR="00C705BF" w:rsidRPr="00C705BF" w:rsidRDefault="00C705BF" w:rsidP="00C705BF">
      <w:pPr>
        <w:pStyle w:val="SingleTxtG"/>
        <w:rPr>
          <w:rStyle w:val="Ninguno"/>
          <w:lang w:val="es-ES"/>
        </w:rPr>
      </w:pPr>
      <w:r w:rsidRPr="00C705BF">
        <w:rPr>
          <w:rStyle w:val="Ninguno"/>
          <w:lang w:val="es-ES"/>
        </w:rPr>
        <w:t>3.3</w:t>
      </w:r>
      <w:r w:rsidRPr="00C705BF">
        <w:rPr>
          <w:rStyle w:val="Ninguno"/>
          <w:lang w:val="es-ES"/>
        </w:rPr>
        <w:tab/>
        <w:t>Respecto a la violación del artículo 26, la autora afirma que el principio de no discriminación, junto con la igualdad ante la ley y la igual protección de la ley constituyen un principio básico relativo a la protección de los derechos humanos</w:t>
      </w:r>
      <w:r w:rsidRPr="00C705BF">
        <w:rPr>
          <w:rStyle w:val="FootnoteReference"/>
          <w:sz w:val="20"/>
        </w:rPr>
        <w:footnoteReference w:id="15"/>
      </w:r>
      <w:r w:rsidRPr="00C705BF">
        <w:rPr>
          <w:rStyle w:val="Ninguno"/>
          <w:lang w:val="es-ES"/>
        </w:rPr>
        <w:t>. La autora hace referencia a varias decisiones del Comité en relación con el artículo 26</w:t>
      </w:r>
      <w:r w:rsidRPr="00C705BF">
        <w:rPr>
          <w:rStyle w:val="FootnoteReference"/>
          <w:sz w:val="20"/>
        </w:rPr>
        <w:footnoteReference w:id="16"/>
      </w:r>
      <w:r w:rsidRPr="00C705BF">
        <w:rPr>
          <w:rStyle w:val="Ninguno"/>
          <w:lang w:val="es-ES"/>
        </w:rPr>
        <w:t xml:space="preserve"> y concluye que fue discriminada, ya que de acuerdo a la jurisprudencia citada, existe discriminación cuando tratándose de situaciones comparables, se da un trato diferenciado, sin que exista una justificación objetiva y razonable para ello. Alega que, debido a la evolución normativa del régimen de seguridad social de los militares de empleo, éstos, en la mayoría de los casos, no tienen derecho a ninguna pensión o indemnización en caso de incapacidad, a diferencia de lo que ocurre con los militares de carrera, con el resto de trabajadores públicos, e incluso los demás trabajadores españoles. En efecto, en la actualidad los militares de empleo tienen derecho a una pensión o indemnización por incapacidad según el grado de minusvalía que padezcan, pero ello está sujeto a una serie de “condicionantes”, a saber:  que la lesión o enfermedad se haya producido a consecuencia de un “hecho” ocurrido durante el periodo que la persona ostentaba la calidad de militar de empleo, en virtud del artículo 1.2 del Decreto 1186/2001</w:t>
      </w:r>
      <w:r w:rsidRPr="00C705BF">
        <w:rPr>
          <w:rStyle w:val="FootnoteReference"/>
          <w:sz w:val="20"/>
        </w:rPr>
        <w:footnoteReference w:id="17"/>
      </w:r>
      <w:r w:rsidRPr="00C705BF">
        <w:rPr>
          <w:rStyle w:val="Ninguno"/>
          <w:lang w:val="es-ES"/>
        </w:rPr>
        <w:t>. La interpretación que la administración y los tribunales han hecho de esta norma es restrictiva, puesto que el “hecho” que genera la incapacidad es considerado como un hecho físico y tangible de fácil demostración, lo que deja por fuera las enfermedades no producidas por un “hecho”, por ejemplo, las enfermedades genéticas o de carácter “</w:t>
      </w:r>
      <w:proofErr w:type="spellStart"/>
      <w:r w:rsidRPr="00C705BF">
        <w:rPr>
          <w:rStyle w:val="Ninguno"/>
          <w:lang w:val="es-ES"/>
        </w:rPr>
        <w:t>predisposicional</w:t>
      </w:r>
      <w:proofErr w:type="spellEnd"/>
      <w:r w:rsidRPr="00C705BF">
        <w:rPr>
          <w:rStyle w:val="Ninguno"/>
          <w:lang w:val="es-ES"/>
        </w:rPr>
        <w:t xml:space="preserve">”. </w:t>
      </w:r>
    </w:p>
    <w:p w14:paraId="14F86937" w14:textId="77777777" w:rsidR="00C705BF" w:rsidRPr="00C705BF" w:rsidRDefault="00C705BF" w:rsidP="00C705BF">
      <w:pPr>
        <w:pStyle w:val="SingleTxtG"/>
        <w:rPr>
          <w:rStyle w:val="Ninguno"/>
          <w:lang w:val="es-ES"/>
        </w:rPr>
      </w:pPr>
      <w:r w:rsidRPr="00C705BF">
        <w:rPr>
          <w:rStyle w:val="Ninguno"/>
          <w:lang w:val="es-ES"/>
        </w:rPr>
        <w:t>3.4</w:t>
      </w:r>
      <w:r w:rsidRPr="00C705BF">
        <w:rPr>
          <w:rStyle w:val="Ninguno"/>
          <w:lang w:val="es-ES"/>
        </w:rPr>
        <w:tab/>
        <w:t xml:space="preserve">Ello a diferencia de los militares de carrera y los </w:t>
      </w:r>
      <w:r w:rsidRPr="00C705BF">
        <w:t>funcionarios públicos civiles,</w:t>
      </w:r>
      <w:r w:rsidRPr="00C705BF">
        <w:rPr>
          <w:rStyle w:val="Ninguno"/>
          <w:lang w:val="es-ES"/>
        </w:rPr>
        <w:t xml:space="preserve"> quienes recibirían pensión o indemnización en caso de incapacidades temporales derivadas de enfermedades comunes o profesionales, de accidente común o acto del servicio, estipulándose que lo mismo se aplicará en caso de inutilidad para el servicio</w:t>
      </w:r>
      <w:r w:rsidRPr="00C705BF">
        <w:rPr>
          <w:rStyle w:val="FootnoteReference"/>
          <w:sz w:val="20"/>
        </w:rPr>
        <w:footnoteReference w:id="18"/>
      </w:r>
      <w:r w:rsidRPr="00C705BF">
        <w:rPr>
          <w:rStyle w:val="Ninguno"/>
          <w:vertAlign w:val="superscript"/>
          <w:lang w:val="es-ES"/>
        </w:rPr>
        <w:t>,</w:t>
      </w:r>
      <w:r w:rsidRPr="00C705BF">
        <w:rPr>
          <w:rStyle w:val="Ninguno"/>
          <w:lang w:val="es-ES"/>
        </w:rPr>
        <w:t xml:space="preserve"> independientemente del momento en que la enfermedad o lesión se presenten. La autora también indica que según el Texto Refundido de la Ley General de Seguridad Social (Decreto Legislativo 1/1994), tanto para incapacidades temporales, como para las permanentes, no se establece un periodo durante el cual deba presentarse la lesión o enfermedad, porque en el caso de las primeras, la enfermedad puede presentarse “mientras el trabajador reciba asistencia de la seguridad social y esté impedido para el trabajo”</w:t>
      </w:r>
      <w:r w:rsidRPr="00C705BF">
        <w:rPr>
          <w:rStyle w:val="FootnoteReference"/>
          <w:sz w:val="20"/>
        </w:rPr>
        <w:footnoteReference w:id="19"/>
      </w:r>
      <w:r w:rsidRPr="00C705BF">
        <w:rPr>
          <w:rStyle w:val="Ninguno"/>
          <w:lang w:val="es-ES"/>
        </w:rPr>
        <w:t>, y en las segundas, “</w:t>
      </w:r>
      <w:r w:rsidRPr="00C705BF">
        <w:t>las reducciones anatómicas o funcionales existentes en la fecha de la afiliación del interesado en la Seguridad Social no impedirán la calificación de la situación de incapacidad permanente”</w:t>
      </w:r>
      <w:r w:rsidRPr="00C705BF">
        <w:rPr>
          <w:rStyle w:val="FootnoteReference"/>
          <w:sz w:val="20"/>
        </w:rPr>
        <w:footnoteReference w:id="20"/>
      </w:r>
      <w:r w:rsidRPr="00C705BF">
        <w:t>.</w:t>
      </w:r>
      <w:r w:rsidRPr="00C705BF">
        <w:rPr>
          <w:rStyle w:val="Ninguno"/>
          <w:lang w:val="es-ES"/>
        </w:rPr>
        <w:t xml:space="preserve"> </w:t>
      </w:r>
    </w:p>
    <w:p w14:paraId="18E92B4A" w14:textId="77777777" w:rsidR="00C705BF" w:rsidRPr="00531B1A" w:rsidRDefault="00C705BF" w:rsidP="00C705BF">
      <w:pPr>
        <w:pStyle w:val="SingleTxtG"/>
        <w:rPr>
          <w:u w:color="FF0000"/>
        </w:rPr>
      </w:pPr>
      <w:r w:rsidRPr="00C705BF">
        <w:rPr>
          <w:rStyle w:val="Ninguno"/>
          <w:lang w:val="es-ES"/>
        </w:rPr>
        <w:t>3.5</w:t>
      </w:r>
      <w:r w:rsidRPr="00C705BF">
        <w:rPr>
          <w:rStyle w:val="Ninguno"/>
          <w:lang w:val="es-ES"/>
        </w:rPr>
        <w:tab/>
        <w:t xml:space="preserve">De esta manera, en el caso de que un militar de carrera, un funcionario público civil, o un trabajador adscrito al régimen general de seguridad social, sufra por ejemplo, un infarto o una dolencia psicológica-como la autora-, </w:t>
      </w:r>
      <w:r w:rsidRPr="00C705BF">
        <w:t xml:space="preserve">a diferencia de la autora, </w:t>
      </w:r>
      <w:r w:rsidRPr="00C705BF">
        <w:rPr>
          <w:rStyle w:val="Ninguno"/>
          <w:lang w:val="es-ES"/>
        </w:rPr>
        <w:t>recibirán una pensión o indemnización, ya que la legislación aplicable indica que la enfermedad puede ser común o profesional, y puede haber estado originada en un acto de servicio o no, sin indicar que la enfermedad tenga que ser la consecuencia de un hecho físico o tangible que tuvo lugar mientras estuvo vigente el compromiso profesional de la persona incapacitada. En consecuencia, l</w:t>
      </w:r>
      <w:r w:rsidRPr="00C705BF">
        <w:t>a autora considera que no ha recibido una protección igual de la ley, en relación con el resto de trabajadores de España y que la diferenciación de trato no corresponde a criterios razonables ni objetivos, ni persigue un fin legítimo.</w:t>
      </w:r>
      <w:r w:rsidRPr="00531B1A">
        <w:rPr>
          <w:u w:color="FF0000"/>
        </w:rPr>
        <w:t xml:space="preserve"> </w:t>
      </w:r>
    </w:p>
    <w:p w14:paraId="442E7FBA" w14:textId="77777777" w:rsidR="00C705BF" w:rsidRDefault="00C705BF" w:rsidP="00C705BF">
      <w:pPr>
        <w:pStyle w:val="H23G"/>
        <w:spacing w:line="240" w:lineRule="auto"/>
        <w:jc w:val="both"/>
        <w:rPr>
          <w:rStyle w:val="Ninguno"/>
          <w:i/>
          <w:iCs/>
          <w:color w:val="FF0000"/>
          <w:u w:color="FF0000"/>
        </w:rPr>
      </w:pPr>
      <w:r>
        <w:rPr>
          <w:rStyle w:val="Ninguno"/>
          <w:color w:val="FF0000"/>
          <w:u w:color="FF0000"/>
        </w:rPr>
        <w:tab/>
      </w:r>
      <w:r>
        <w:rPr>
          <w:rStyle w:val="Ninguno"/>
          <w:u w:color="FF0000"/>
        </w:rPr>
        <w:tab/>
        <w:t>Observaciones del Estado parte sobre la admisibilidad</w:t>
      </w:r>
    </w:p>
    <w:p w14:paraId="46E6C97D" w14:textId="77777777" w:rsidR="00C705BF" w:rsidRDefault="00C705BF" w:rsidP="00C705BF">
      <w:pPr>
        <w:pStyle w:val="SingleTxtG"/>
        <w:rPr>
          <w:rStyle w:val="Ninguno"/>
          <w:u w:color="FF0000"/>
        </w:rPr>
      </w:pPr>
      <w:r>
        <w:rPr>
          <w:rStyle w:val="Ninguno"/>
          <w:u w:color="FF0000"/>
        </w:rPr>
        <w:t>4.1</w:t>
      </w:r>
      <w:r>
        <w:rPr>
          <w:rStyle w:val="Ninguno"/>
          <w:u w:color="FF0000"/>
        </w:rPr>
        <w:tab/>
        <w:t xml:space="preserve">El </w:t>
      </w:r>
      <w:r w:rsidRPr="00236F45">
        <w:rPr>
          <w:rStyle w:val="Ninguno"/>
          <w:u w:color="FF0000"/>
        </w:rPr>
        <w:t>25 de marzo de 2015</w:t>
      </w:r>
      <w:r>
        <w:rPr>
          <w:rStyle w:val="Ninguno"/>
          <w:u w:color="FF0000"/>
        </w:rPr>
        <w:t xml:space="preserve">, el Estado parte presentó sus observaciones sobre la admisibilidad de la comunicación. Sostiene que es </w:t>
      </w:r>
      <w:r w:rsidRPr="00EF28A2">
        <w:rPr>
          <w:rStyle w:val="Ninguno"/>
          <w:u w:color="FF0000"/>
        </w:rPr>
        <w:t xml:space="preserve">inadmisible </w:t>
      </w:r>
      <w:r>
        <w:rPr>
          <w:rStyle w:val="Ninguno"/>
          <w:u w:color="FF0000"/>
        </w:rPr>
        <w:t xml:space="preserve">debido a que </w:t>
      </w:r>
      <w:r w:rsidRPr="009B16B4">
        <w:rPr>
          <w:rStyle w:val="Ninguno"/>
          <w:u w:color="FF0000"/>
        </w:rPr>
        <w:t>la autora había sometido la cuestión a otro procedimiento o arreglo internacional y por falta al agotamiento de los recursos internos.</w:t>
      </w:r>
    </w:p>
    <w:p w14:paraId="1ECCAA83" w14:textId="77777777" w:rsidR="00C705BF" w:rsidRDefault="00C705BF" w:rsidP="00C705BF">
      <w:pPr>
        <w:pStyle w:val="SingleTxtG"/>
        <w:rPr>
          <w:rStyle w:val="Ninguno"/>
          <w:u w:color="FF0000"/>
        </w:rPr>
      </w:pPr>
      <w:r>
        <w:rPr>
          <w:rStyle w:val="Ninguno"/>
          <w:u w:color="FF0000"/>
        </w:rPr>
        <w:t>4.2</w:t>
      </w:r>
      <w:r>
        <w:rPr>
          <w:rStyle w:val="Ninguno"/>
          <w:u w:color="FF0000"/>
        </w:rPr>
        <w:tab/>
        <w:t xml:space="preserve">El Estado parte afirma que la </w:t>
      </w:r>
      <w:r w:rsidRPr="004A220A">
        <w:rPr>
          <w:rStyle w:val="Ninguno"/>
          <w:u w:color="FF0000"/>
        </w:rPr>
        <w:t>cuestión fue sometida al Tribunal Europeo de</w:t>
      </w:r>
      <w:r>
        <w:rPr>
          <w:rStyle w:val="Ninguno"/>
          <w:u w:color="FF0000"/>
        </w:rPr>
        <w:t xml:space="preserve"> Derechos Humanos el </w:t>
      </w:r>
      <w:r w:rsidRPr="00BE4895">
        <w:rPr>
          <w:u w:color="FF0000"/>
        </w:rPr>
        <w:t>16 de septiembre de 2013</w:t>
      </w:r>
      <w:r>
        <w:rPr>
          <w:u w:color="FF0000"/>
        </w:rPr>
        <w:t xml:space="preserve">. </w:t>
      </w:r>
      <w:r>
        <w:rPr>
          <w:rStyle w:val="Ninguno"/>
          <w:u w:color="FF0000"/>
        </w:rPr>
        <w:t>El Tribunal declaró la comunicación inadmisible el 13 de febrero 2014, según lo establecido en los artículos 34 y 35 del Convenio</w:t>
      </w:r>
      <w:r w:rsidRPr="004A220A">
        <w:rPr>
          <w:sz w:val="24"/>
          <w:szCs w:val="24"/>
          <w:u w:color="FF0000"/>
          <w:lang w:eastAsia="en-US"/>
        </w:rPr>
        <w:t xml:space="preserve"> </w:t>
      </w:r>
      <w:r w:rsidRPr="004A220A">
        <w:rPr>
          <w:u w:color="FF0000"/>
        </w:rPr>
        <w:t>Europeo de Derechos Humanos</w:t>
      </w:r>
      <w:r>
        <w:rPr>
          <w:rStyle w:val="Ninguno"/>
          <w:u w:color="FF0000"/>
        </w:rPr>
        <w:t xml:space="preserve">. </w:t>
      </w:r>
      <w:r w:rsidRPr="004A220A">
        <w:rPr>
          <w:rStyle w:val="Ninguno"/>
          <w:u w:color="FF0000"/>
        </w:rPr>
        <w:t xml:space="preserve">El Estado parte alega que a pesar de que la carta del Tribunal no indica la causa concreta de la inadmisión, puede deducirse que </w:t>
      </w:r>
      <w:r>
        <w:rPr>
          <w:rStyle w:val="Ninguno"/>
          <w:u w:color="FF0000"/>
        </w:rPr>
        <w:t xml:space="preserve">lo hizo </w:t>
      </w:r>
      <w:r w:rsidRPr="004A220A">
        <w:rPr>
          <w:rStyle w:val="Ninguno"/>
          <w:u w:color="FF0000"/>
        </w:rPr>
        <w:t>con base al artículo 35.3 del Convenio</w:t>
      </w:r>
      <w:r>
        <w:rPr>
          <w:rStyle w:val="Ninguno"/>
          <w:u w:color="FF0000"/>
        </w:rPr>
        <w:t>, el cual indica</w:t>
      </w:r>
      <w:r w:rsidRPr="004A220A">
        <w:rPr>
          <w:rStyle w:val="Ninguno"/>
          <w:u w:color="FF0000"/>
        </w:rPr>
        <w:t>: “(…) la demanda es incompatible con las disposiciones del Convenio o de sus Protocolos, manifiestamente mal fundada o abusiva”</w:t>
      </w:r>
      <w:r>
        <w:rPr>
          <w:rStyle w:val="Ninguno"/>
          <w:u w:color="FF0000"/>
        </w:rPr>
        <w:t>, ya que la comunicación no se encuadra en ninguna de las otras causales consagradas en los artículos 34 y 35.</w:t>
      </w:r>
    </w:p>
    <w:p w14:paraId="2CB61EDC" w14:textId="75CA5A25" w:rsidR="00C705BF" w:rsidRDefault="00625EE7" w:rsidP="00C705BF">
      <w:pPr>
        <w:pStyle w:val="SingleTxtG"/>
        <w:rPr>
          <w:rStyle w:val="Ninguno"/>
          <w:u w:color="FF0000"/>
        </w:rPr>
      </w:pPr>
      <w:r>
        <w:rPr>
          <w:rStyle w:val="Ninguno"/>
          <w:u w:color="FF0000"/>
        </w:rPr>
        <w:t>4.3</w:t>
      </w:r>
      <w:r w:rsidR="00C705BF">
        <w:rPr>
          <w:rStyle w:val="Ninguno"/>
          <w:u w:color="FF0000"/>
        </w:rPr>
        <w:tab/>
        <w:t xml:space="preserve">En cuanto al </w:t>
      </w:r>
      <w:r w:rsidR="00C705BF" w:rsidRPr="005539E0">
        <w:rPr>
          <w:rStyle w:val="Ninguno"/>
          <w:u w:color="FF0000"/>
        </w:rPr>
        <w:t>agotamiento</w:t>
      </w:r>
      <w:r w:rsidR="00C705BF">
        <w:rPr>
          <w:rStyle w:val="Ninguno"/>
          <w:u w:color="FF0000"/>
        </w:rPr>
        <w:t xml:space="preserve"> de los recursos internos, el Estado parte argumenta </w:t>
      </w:r>
      <w:proofErr w:type="gramStart"/>
      <w:r w:rsidR="00C705BF">
        <w:rPr>
          <w:rStyle w:val="Ninguno"/>
          <w:u w:color="FF0000"/>
        </w:rPr>
        <w:t>que</w:t>
      </w:r>
      <w:proofErr w:type="gramEnd"/>
      <w:r w:rsidR="00C705BF">
        <w:rPr>
          <w:rStyle w:val="Ninguno"/>
          <w:u w:color="FF0000"/>
        </w:rPr>
        <w:t xml:space="preserve"> en el incidente de nulidad interpuesto por la autora ante el Tribunal Superior de Justicia de la Comunidad Valenciana, </w:t>
      </w:r>
      <w:r w:rsidR="00C705BF" w:rsidRPr="00573671">
        <w:rPr>
          <w:rStyle w:val="Ninguno"/>
          <w:u w:color="FF0000"/>
        </w:rPr>
        <w:t>únicamente se invocó la vulneración del derecho a la tutela judicial efectiva</w:t>
      </w:r>
      <w:r w:rsidR="00C705BF">
        <w:rPr>
          <w:rStyle w:val="Ninguno"/>
          <w:u w:color="FF0000"/>
        </w:rPr>
        <w:t xml:space="preserve"> consagrado en el artículo 24 de la Constitución, </w:t>
      </w:r>
      <w:r w:rsidR="00C705BF" w:rsidRPr="00573671">
        <w:rPr>
          <w:rStyle w:val="Ninguno"/>
          <w:u w:color="FF0000"/>
        </w:rPr>
        <w:t xml:space="preserve">por considerar que la sentencia del Tribunal de 21 de mayo de 2012, </w:t>
      </w:r>
      <w:r w:rsidR="00C705BF">
        <w:rPr>
          <w:rStyle w:val="Ninguno"/>
          <w:u w:color="FF0000"/>
        </w:rPr>
        <w:t>había incurrido</w:t>
      </w:r>
      <w:r w:rsidR="00C705BF" w:rsidRPr="00573671">
        <w:rPr>
          <w:rStyle w:val="Ninguno"/>
          <w:u w:color="FF0000"/>
        </w:rPr>
        <w:t xml:space="preserve"> en incongruencia omisiva</w:t>
      </w:r>
      <w:r w:rsidR="00C705BF">
        <w:rPr>
          <w:rStyle w:val="Ninguno"/>
          <w:u w:color="FF0000"/>
        </w:rPr>
        <w:t xml:space="preserve">. Asimismo, el Estado indica que </w:t>
      </w:r>
      <w:r w:rsidR="00C705BF" w:rsidRPr="00573671">
        <w:rPr>
          <w:rStyle w:val="Ninguno"/>
          <w:u w:color="FF0000"/>
        </w:rPr>
        <w:t>en el recurso de amparo</w:t>
      </w:r>
      <w:r w:rsidR="00C705BF">
        <w:rPr>
          <w:rStyle w:val="Ninguno"/>
          <w:u w:color="FF0000"/>
        </w:rPr>
        <w:t xml:space="preserve"> la autora invocó nuevamente el artículo 24 de la Constitución, pero agregó supuestas violaciones del derecho a la igualdad y a la inviolabilidad física. Igualmente, el Estado parte </w:t>
      </w:r>
      <w:r w:rsidR="00A62210">
        <w:rPr>
          <w:rStyle w:val="Ninguno"/>
          <w:u w:color="FF0000"/>
        </w:rPr>
        <w:t xml:space="preserve">indica </w:t>
      </w:r>
      <w:r w:rsidR="00C705BF">
        <w:rPr>
          <w:rStyle w:val="Ninguno"/>
          <w:u w:color="FF0000"/>
        </w:rPr>
        <w:t xml:space="preserve">que en la </w:t>
      </w:r>
      <w:r w:rsidR="00C705BF" w:rsidRPr="00946194">
        <w:rPr>
          <w:rStyle w:val="Ninguno"/>
          <w:u w:color="FF0000"/>
        </w:rPr>
        <w:t>queja ante el Comité</w:t>
      </w:r>
      <w:r w:rsidR="00C705BF">
        <w:rPr>
          <w:rStyle w:val="Ninguno"/>
          <w:u w:color="FF0000"/>
        </w:rPr>
        <w:t xml:space="preserve"> la autora </w:t>
      </w:r>
      <w:r w:rsidR="00C705BF" w:rsidRPr="00946194">
        <w:rPr>
          <w:rStyle w:val="Ninguno"/>
          <w:u w:color="FF0000"/>
        </w:rPr>
        <w:t>alega una supu</w:t>
      </w:r>
      <w:r w:rsidR="00C705BF">
        <w:rPr>
          <w:rStyle w:val="Ninguno"/>
          <w:u w:color="FF0000"/>
        </w:rPr>
        <w:t xml:space="preserve">esta vulneración de los artículos 14 y 26 del Pacto, referentes al proceso justo y </w:t>
      </w:r>
      <w:r w:rsidR="00C705BF" w:rsidRPr="00946194">
        <w:rPr>
          <w:rStyle w:val="Ninguno"/>
          <w:u w:color="FF0000"/>
        </w:rPr>
        <w:t>al derecho a la igualdad</w:t>
      </w:r>
      <w:r w:rsidR="00C705BF">
        <w:rPr>
          <w:rStyle w:val="Ninguno"/>
          <w:u w:color="FF0000"/>
        </w:rPr>
        <w:t>, respectivamente</w:t>
      </w:r>
      <w:r w:rsidR="00C705BF" w:rsidRPr="00946194">
        <w:rPr>
          <w:rStyle w:val="Ninguno"/>
          <w:u w:color="FF0000"/>
        </w:rPr>
        <w:t>.</w:t>
      </w:r>
      <w:r w:rsidR="00C705BF">
        <w:rPr>
          <w:rStyle w:val="Ninguno"/>
          <w:u w:color="FF0000"/>
        </w:rPr>
        <w:t xml:space="preserve"> El Estado parte considera que la queja debe ser declarada inadmisible por no agotar los recursos internos. </w:t>
      </w:r>
    </w:p>
    <w:p w14:paraId="61CAAB65" w14:textId="77777777" w:rsidR="00C705BF" w:rsidRDefault="00625EE7" w:rsidP="00625EE7">
      <w:pPr>
        <w:pStyle w:val="H23G"/>
        <w:rPr>
          <w:rStyle w:val="Ninguno"/>
          <w:b w:val="0"/>
          <w:bCs/>
          <w:u w:color="FF0000"/>
        </w:rPr>
      </w:pPr>
      <w:r>
        <w:rPr>
          <w:rStyle w:val="Ninguno"/>
          <w:bCs/>
          <w:u w:color="FF0000"/>
        </w:rPr>
        <w:tab/>
      </w:r>
      <w:r>
        <w:rPr>
          <w:rStyle w:val="Ninguno"/>
          <w:bCs/>
          <w:u w:color="FF0000"/>
        </w:rPr>
        <w:tab/>
      </w:r>
      <w:r w:rsidR="00C705BF">
        <w:rPr>
          <w:rStyle w:val="Ninguno"/>
          <w:bCs/>
          <w:u w:color="FF0000"/>
        </w:rPr>
        <w:t>Comentarios de la autora sobre las observaciones del Estado sobre la admisibilidad</w:t>
      </w:r>
    </w:p>
    <w:p w14:paraId="371E3ADA" w14:textId="77777777" w:rsidR="00C705BF" w:rsidRDefault="00C705BF" w:rsidP="00C705BF">
      <w:pPr>
        <w:pStyle w:val="SingleTxtG"/>
        <w:rPr>
          <w:rStyle w:val="Ninguno"/>
          <w:u w:color="FF0000"/>
        </w:rPr>
      </w:pPr>
      <w:r>
        <w:rPr>
          <w:rStyle w:val="Ninguno"/>
          <w:u w:color="FF0000"/>
        </w:rPr>
        <w:t>5.1</w:t>
      </w:r>
      <w:r>
        <w:rPr>
          <w:rStyle w:val="Ninguno"/>
          <w:u w:color="FF0000"/>
        </w:rPr>
        <w:tab/>
        <w:t xml:space="preserve">El 22 de mayo de 2015, la autora presentó sus comentarios. Indica que </w:t>
      </w:r>
      <w:r w:rsidRPr="00713FF2">
        <w:rPr>
          <w:u w:color="FF0000"/>
        </w:rPr>
        <w:t xml:space="preserve">la única fundamentación que contiene </w:t>
      </w:r>
      <w:r>
        <w:rPr>
          <w:rStyle w:val="Ninguno"/>
          <w:u w:color="FF0000"/>
        </w:rPr>
        <w:t xml:space="preserve">la </w:t>
      </w:r>
      <w:r w:rsidRPr="00713FF2">
        <w:rPr>
          <w:rStyle w:val="Ninguno"/>
          <w:u w:color="FF0000"/>
        </w:rPr>
        <w:t>decisión de inadmisibilidad del Tribunal Europeo</w:t>
      </w:r>
      <w:r>
        <w:rPr>
          <w:rStyle w:val="Ninguno"/>
          <w:u w:color="FF0000"/>
        </w:rPr>
        <w:t xml:space="preserve"> de Derechos Humanos es la remisión </w:t>
      </w:r>
      <w:r w:rsidRPr="00713FF2">
        <w:rPr>
          <w:rStyle w:val="Ninguno"/>
          <w:u w:color="FF0000"/>
        </w:rPr>
        <w:t>a lo dispuesto en los artículos 34 y 35</w:t>
      </w:r>
      <w:r>
        <w:rPr>
          <w:rStyle w:val="Ninguno"/>
          <w:u w:color="FF0000"/>
        </w:rPr>
        <w:t xml:space="preserve"> del Convenio, por lo que </w:t>
      </w:r>
      <w:r w:rsidRPr="00713FF2">
        <w:rPr>
          <w:rStyle w:val="Ninguno"/>
          <w:u w:color="FF0000"/>
        </w:rPr>
        <w:t>no puede extraerse cuál fue la causa tomada en cuenta para decretar la inadmisibilidad.</w:t>
      </w:r>
      <w:r>
        <w:rPr>
          <w:rStyle w:val="Ninguno"/>
          <w:u w:color="FF0000"/>
        </w:rPr>
        <w:t xml:space="preserve"> La autora alega que </w:t>
      </w:r>
      <w:r w:rsidRPr="00713FF2">
        <w:rPr>
          <w:rStyle w:val="Ninguno"/>
          <w:u w:color="FF0000"/>
        </w:rPr>
        <w:t>la jurisprudencia del Comité</w:t>
      </w:r>
      <w:r w:rsidRPr="00713FF2">
        <w:rPr>
          <w:rStyle w:val="Ninguno"/>
          <w:u w:color="FF0000"/>
          <w:vertAlign w:val="superscript"/>
        </w:rPr>
        <w:footnoteReference w:id="21"/>
      </w:r>
      <w:r w:rsidRPr="00713FF2">
        <w:rPr>
          <w:rStyle w:val="Ninguno"/>
          <w:u w:color="FF0000"/>
        </w:rPr>
        <w:t>, ha establecido que únicamente cuando un organismo internacional haya basado su decisión no sólo en motivos de forma, sino también en motivos que entrañen una consideración del fondo de la cuestión, ese asunto se tendrá como “examinado” en el sentido de las reservas al artículo 5</w:t>
      </w:r>
      <w:r>
        <w:rPr>
          <w:rStyle w:val="Ninguno"/>
          <w:u w:color="FF0000"/>
        </w:rPr>
        <w:t>.2(a)</w:t>
      </w:r>
      <w:r w:rsidRPr="00713FF2">
        <w:rPr>
          <w:rStyle w:val="Ninguno"/>
          <w:u w:color="FF0000"/>
        </w:rPr>
        <w:t xml:space="preserve"> del Protocolo Facultativo.</w:t>
      </w:r>
      <w:r>
        <w:rPr>
          <w:rStyle w:val="Ninguno"/>
          <w:u w:color="FF0000"/>
        </w:rPr>
        <w:t xml:space="preserve"> En consecuencia, considera que su comunicación no fue “examinada” por el Tribunal Europeo de Derechos Humanos.</w:t>
      </w:r>
    </w:p>
    <w:p w14:paraId="1DC48C06" w14:textId="77777777" w:rsidR="00C705BF" w:rsidRDefault="00C705BF" w:rsidP="00C705BF">
      <w:pPr>
        <w:pStyle w:val="SingleTxtG"/>
        <w:rPr>
          <w:rStyle w:val="Ninguno"/>
          <w:u w:color="FF0000"/>
        </w:rPr>
      </w:pPr>
      <w:r w:rsidRPr="00713A50">
        <w:t>5.2</w:t>
      </w:r>
      <w:r w:rsidRPr="00713A50">
        <w:tab/>
        <w:t>En cuanto a los argumentos del Estado parte respecto a la falta de agotamiento de los recursos internos, la autora indica que el Estado parte en ningún momento pone de manifiesto la existencia de algún recurso en el ordenamiento jurídico que no haya utilizado, refiriendo que siguió los cauces previstos en la legislación nacional, tanto en la vía administrativa, como en la vía jurisdiccional, y hace un recuento de los recursos instaurados. La autora añade que contrario a lo que parece afirmar el Estado parte, la violación de su derecho a la igualdad fue denunciada desde el primer recurso instaurado, es decir el recurso contencioso administrativo de 29 de junio de 2009 y fue reiterada en las demás actuaciones, es decir, en el incidente de nulidad, y el recurso de amparo</w:t>
      </w:r>
      <w:r w:rsidR="00713A50">
        <w:rPr>
          <w:rStyle w:val="Ninguno"/>
          <w:u w:color="FF0000"/>
        </w:rPr>
        <w:t>.</w:t>
      </w:r>
    </w:p>
    <w:p w14:paraId="183C78F4" w14:textId="77777777" w:rsidR="00C705BF" w:rsidRDefault="00713A50" w:rsidP="00713A50">
      <w:pPr>
        <w:pStyle w:val="H23G"/>
        <w:rPr>
          <w:rStyle w:val="Ninguno"/>
          <w:b w:val="0"/>
          <w:bCs/>
        </w:rPr>
      </w:pPr>
      <w:r>
        <w:rPr>
          <w:rStyle w:val="Ninguno"/>
          <w:bCs/>
        </w:rPr>
        <w:tab/>
      </w:r>
      <w:r>
        <w:rPr>
          <w:rStyle w:val="Ninguno"/>
          <w:bCs/>
        </w:rPr>
        <w:tab/>
      </w:r>
      <w:r w:rsidR="00C705BF">
        <w:rPr>
          <w:rStyle w:val="Ninguno"/>
          <w:bCs/>
        </w:rPr>
        <w:t>Observaciones del Estado parte sobre el fondo</w:t>
      </w:r>
    </w:p>
    <w:p w14:paraId="62F8FA03" w14:textId="77777777" w:rsidR="00C705BF" w:rsidRDefault="00C705BF" w:rsidP="00713A50">
      <w:pPr>
        <w:pStyle w:val="SingleTxtG"/>
        <w:rPr>
          <w:rStyle w:val="Ninguno"/>
        </w:rPr>
      </w:pPr>
      <w:r>
        <w:rPr>
          <w:rStyle w:val="Ninguno"/>
        </w:rPr>
        <w:t>6.1</w:t>
      </w:r>
      <w:r>
        <w:rPr>
          <w:rStyle w:val="Ninguno"/>
        </w:rPr>
        <w:tab/>
        <w:t xml:space="preserve">El 14 de octubre de 2015, el Estado parte presentó sus observaciones sobre el fondo de la comunicación. El </w:t>
      </w:r>
      <w:r w:rsidRPr="00713A50">
        <w:rPr>
          <w:rStyle w:val="Ninguno"/>
          <w:lang w:val="es-ES"/>
        </w:rPr>
        <w:t>Estado</w:t>
      </w:r>
      <w:r>
        <w:rPr>
          <w:rStyle w:val="Ninguno"/>
        </w:rPr>
        <w:t xml:space="preserve"> parte hace un recuento de los hechos e indica que, contrario a lo que alega la autora, la sentencia de 21 de mayo de 2012 completada por el auto de 27 de diciembre de 2012 </w:t>
      </w:r>
      <w:r w:rsidRPr="009C1861">
        <w:t xml:space="preserve">del Tribunal Superior de la Comunidad Valenciana </w:t>
      </w:r>
      <w:r>
        <w:rPr>
          <w:rStyle w:val="Ninguno"/>
        </w:rPr>
        <w:t xml:space="preserve">estimó parcialmente el recurso de la autora contra la resolución de 11 de noviembre de 2008, ya que anuló dicha resolución en relación con la minusvalía- del 5%-, solicitando a la administración que le asignase el porcentaje de minusvalía que le correspondiese. </w:t>
      </w:r>
    </w:p>
    <w:p w14:paraId="049C28F9" w14:textId="77777777" w:rsidR="00C705BF" w:rsidRDefault="00C705BF" w:rsidP="00C705BF">
      <w:pPr>
        <w:pStyle w:val="SingleTxtG"/>
        <w:rPr>
          <w:rStyle w:val="Ninguno"/>
        </w:rPr>
      </w:pPr>
      <w:r w:rsidRPr="00713A50">
        <w:t>6.2</w:t>
      </w:r>
      <w:r w:rsidRPr="00713A50">
        <w:tab/>
        <w:t>El Estado parte indica que el 17 de octubre de 2014, en cumplimiento del auto de 27 de diciembre de 2012, la Junta Médico Pericial Ordinaria N. 41 determinó la incapacidad de la autora en un 35%</w:t>
      </w:r>
      <w:r w:rsidRPr="00713A50">
        <w:footnoteReference w:id="22"/>
      </w:r>
      <w:r w:rsidRPr="00713A50">
        <w:t>. Asimismo, indica que una vez informado el Tribunal Superior de la Comunidad Valenciana de dicha decisión, el 24 de abril de 2014, éste procedió a dar por ejecutado su auto de 27 de diciembre de 2012</w:t>
      </w:r>
      <w:r>
        <w:rPr>
          <w:rStyle w:val="FootnoteReference"/>
        </w:rPr>
        <w:footnoteReference w:id="23"/>
      </w:r>
      <w:r>
        <w:rPr>
          <w:rStyle w:val="Ninguno"/>
        </w:rPr>
        <w:t xml:space="preserve">.  </w:t>
      </w:r>
    </w:p>
    <w:p w14:paraId="75DC90CD" w14:textId="4B983F90" w:rsidR="00C705BF" w:rsidRDefault="00C705BF" w:rsidP="00C705BF">
      <w:pPr>
        <w:pStyle w:val="SingleTxtG"/>
      </w:pPr>
      <w:r>
        <w:t>6.3</w:t>
      </w:r>
      <w:r>
        <w:tab/>
        <w:t xml:space="preserve">El Estado parte </w:t>
      </w:r>
      <w:r w:rsidRPr="00BB0943">
        <w:t>reitera las alegaciones</w:t>
      </w:r>
      <w:r>
        <w:t xml:space="preserve"> realizadas respecto al sometimiento de la cuestión a otro procedimiento o arreglo internacional y la falta de agotamiento de los recursos internos. Frente a este último agrega que la autora no agotó los recursos respecto a la supuesta violación de su derecho a la igualdad por parte del artículo 52 bis del Texto Refundido de Clases Pasivas</w:t>
      </w:r>
      <w:r>
        <w:rPr>
          <w:rStyle w:val="FootnoteReference"/>
        </w:rPr>
        <w:footnoteReference w:id="24"/>
      </w:r>
      <w:r>
        <w:t xml:space="preserve">, puesto que no lo argumentó en ningún recurso administrativo o contencioso como causa de nulidad de un acto que directamente hubiese lesionado su derecho a una pensión. </w:t>
      </w:r>
      <w:r>
        <w:rPr>
          <w:rStyle w:val="Ninguno"/>
        </w:rPr>
        <w:t>El Estado parte indica que el acto recurrido por la autora-resolución de 11 de noviembre de 2008- se limitaba a reconocer la minusvalía de la autora y a darla de baja de las Fuerzas Armadas, y que no podía pronunciarse sobre su derecho a pensión, puesto que ello le corresponde a otro órgano administrativo. Por consiguiente, a pesar de que la autora en su recurso contencioso de 29 junio de 2009 hace referencia a la vulneración del principio de igualdad, no incluye ninguna pretensión a ese respecto</w:t>
      </w:r>
      <w:r>
        <w:rPr>
          <w:rStyle w:val="FootnoteReference"/>
        </w:rPr>
        <w:footnoteReference w:id="25"/>
      </w:r>
      <w:r>
        <w:rPr>
          <w:rStyle w:val="Ninguno"/>
        </w:rPr>
        <w:t>, “lo que no podría ser de otra manera”, ya que el acto contra el cual se invocaba no reconocía o negaba una pensión, simplemente declaraba la minu</w:t>
      </w:r>
      <w:r w:rsidR="00713A50">
        <w:rPr>
          <w:rStyle w:val="Ninguno"/>
        </w:rPr>
        <w:t>svalía y la causa de la misma.</w:t>
      </w:r>
    </w:p>
    <w:p w14:paraId="29ABF917" w14:textId="77777777" w:rsidR="00C705BF" w:rsidRDefault="00C705BF" w:rsidP="00C705BF">
      <w:pPr>
        <w:pStyle w:val="SingleTxtG"/>
      </w:pPr>
      <w:r>
        <w:t>6.4</w:t>
      </w:r>
      <w:r>
        <w:tab/>
        <w:t xml:space="preserve">Igualmente, el Estado parte considera que ello determina la </w:t>
      </w:r>
      <w:r w:rsidRPr="00BB0943">
        <w:t xml:space="preserve">inexistencia de </w:t>
      </w:r>
      <w:r>
        <w:t>e</w:t>
      </w:r>
      <w:r w:rsidRPr="00BB0943">
        <w:t xml:space="preserve">status de víctima </w:t>
      </w:r>
      <w:r>
        <w:t xml:space="preserve">de la autora </w:t>
      </w:r>
      <w:r w:rsidRPr="00BB0943">
        <w:t>y el abuso de derecho</w:t>
      </w:r>
      <w:r>
        <w:t xml:space="preserve"> conforme al artículo 3 del Protocolo Facultativo, ya que ésta pretende que sus argumentos respecto a la supuesta violación al principio de igualdad incluidos en su recurso contencioso administrativo sean considerados por el Comité, ello a pesar de que se trataba de una petición genérica no relacionada con el objeto del proceso ante el Tribunal Superior de la Comunidad Valenciana, el cual reitera, se refería al grado de minusvalía y sus causas, y no a al derecho a pensión por incapacidad.</w:t>
      </w:r>
    </w:p>
    <w:p w14:paraId="457FC17F" w14:textId="77777777" w:rsidR="00C705BF" w:rsidRDefault="00C705BF" w:rsidP="00713A50">
      <w:pPr>
        <w:pStyle w:val="SingleTxtG"/>
        <w:rPr>
          <w:rStyle w:val="Ninguno"/>
        </w:rPr>
      </w:pPr>
      <w:r>
        <w:rPr>
          <w:rStyle w:val="Ninguno"/>
        </w:rPr>
        <w:t>6.5</w:t>
      </w:r>
      <w:r>
        <w:rPr>
          <w:rStyle w:val="Ninguno"/>
        </w:rPr>
        <w:tab/>
        <w:t xml:space="preserve">En cuanto </w:t>
      </w:r>
      <w:r w:rsidRPr="000104F8">
        <w:rPr>
          <w:rStyle w:val="Ninguno"/>
        </w:rPr>
        <w:t xml:space="preserve">al fondo, </w:t>
      </w:r>
      <w:r>
        <w:rPr>
          <w:rStyle w:val="Ninguno"/>
        </w:rPr>
        <w:t xml:space="preserve">el Estado parte recuerda que </w:t>
      </w:r>
      <w:r w:rsidRPr="003F0393">
        <w:rPr>
          <w:rStyle w:val="Ninguno"/>
        </w:rPr>
        <w:t xml:space="preserve">la autora considera vulnerado </w:t>
      </w:r>
      <w:r>
        <w:rPr>
          <w:rStyle w:val="Ninguno"/>
        </w:rPr>
        <w:t xml:space="preserve">el </w:t>
      </w:r>
      <w:r w:rsidRPr="003F0393">
        <w:rPr>
          <w:rStyle w:val="Ninguno"/>
        </w:rPr>
        <w:t>artículo</w:t>
      </w:r>
      <w:r>
        <w:rPr>
          <w:rStyle w:val="Ninguno"/>
        </w:rPr>
        <w:t xml:space="preserve"> 14 del Pacto</w:t>
      </w:r>
      <w:r w:rsidRPr="003F0393">
        <w:rPr>
          <w:rStyle w:val="Ninguno"/>
        </w:rPr>
        <w:t xml:space="preserve"> </w:t>
      </w:r>
      <w:r w:rsidRPr="00713A50">
        <w:rPr>
          <w:rStyle w:val="Ninguno"/>
          <w:lang w:val="es-ES"/>
        </w:rPr>
        <w:t>debido</w:t>
      </w:r>
      <w:r>
        <w:rPr>
          <w:rStyle w:val="Ninguno"/>
        </w:rPr>
        <w:t xml:space="preserve"> a</w:t>
      </w:r>
      <w:r w:rsidRPr="003F0393">
        <w:rPr>
          <w:rStyle w:val="Ninguno"/>
        </w:rPr>
        <w:t xml:space="preserve"> la “incongruencia interna” de la sentencia</w:t>
      </w:r>
      <w:r>
        <w:rPr>
          <w:rStyle w:val="Ninguno"/>
        </w:rPr>
        <w:t>,</w:t>
      </w:r>
      <w:r w:rsidRPr="003F0393">
        <w:rPr>
          <w:rStyle w:val="Ninguno"/>
        </w:rPr>
        <w:t xml:space="preserve"> al no dar respuesta a su alegación relativa a la discriminación que sufren los militares de empleo frente a los militares de carrera y el resto de los trabajadores respecto al cobro de pensión, </w:t>
      </w:r>
      <w:r>
        <w:rPr>
          <w:rStyle w:val="Ninguno"/>
        </w:rPr>
        <w:t xml:space="preserve">conforme al </w:t>
      </w:r>
      <w:r w:rsidRPr="003F0393">
        <w:rPr>
          <w:rStyle w:val="Ninguno"/>
        </w:rPr>
        <w:t>artículo 52 bis del Texto Refundido de Clases Pasivas.</w:t>
      </w:r>
      <w:r>
        <w:rPr>
          <w:rStyle w:val="Ninguno"/>
        </w:rPr>
        <w:t xml:space="preserve"> El Estado parte hace referencia a la jurisprudencia del Comité según la cual, éste sólo interviene cuando se demuestra que las actuaciones ante los tribunales internos fueron arbitrarias o incurrieron en denegación de justicia, o cuando se demuestra que los tribunales no fueron independientes o imparciales</w:t>
      </w:r>
      <w:r>
        <w:rPr>
          <w:rStyle w:val="Ninguno"/>
          <w:vertAlign w:val="superscript"/>
        </w:rPr>
        <w:footnoteReference w:id="26"/>
      </w:r>
      <w:r>
        <w:rPr>
          <w:rStyle w:val="Ninguno"/>
        </w:rPr>
        <w:t>. El Estado parte considera que estos supuestos no han ocurrido en el presente caso, ya que la autora no alega la falta de independencia o imparcialidad de los tribunales, o que sus actuaciones hayan sido arbitrarias. Asimismo, el Estado parte hace referencia a sus argumentos relacionados con la falta del agotamiento de los recursos internos y el abuso del derecho</w:t>
      </w:r>
      <w:r>
        <w:rPr>
          <w:rStyle w:val="FootnoteReference"/>
        </w:rPr>
        <w:footnoteReference w:id="27"/>
      </w:r>
      <w:r>
        <w:rPr>
          <w:rStyle w:val="Ninguno"/>
        </w:rPr>
        <w:t xml:space="preserve">. </w:t>
      </w:r>
    </w:p>
    <w:p w14:paraId="512EEC51" w14:textId="77777777" w:rsidR="00C705BF" w:rsidRDefault="00C705BF" w:rsidP="00C705BF">
      <w:pPr>
        <w:pStyle w:val="SingleTxtG"/>
        <w:rPr>
          <w:rStyle w:val="Ninguno"/>
        </w:rPr>
      </w:pPr>
      <w:r>
        <w:rPr>
          <w:rStyle w:val="Ninguno"/>
        </w:rPr>
        <w:t>6.6</w:t>
      </w:r>
      <w:r>
        <w:rPr>
          <w:rStyle w:val="Ninguno"/>
        </w:rPr>
        <w:tab/>
        <w:t xml:space="preserve">En referencia a la </w:t>
      </w:r>
      <w:r w:rsidRPr="0035501E">
        <w:rPr>
          <w:rStyle w:val="Ninguno"/>
        </w:rPr>
        <w:t>vulneración del artículo 26</w:t>
      </w:r>
      <w:r>
        <w:rPr>
          <w:rStyle w:val="Ninguno"/>
        </w:rPr>
        <w:t xml:space="preserve">, el Estado parte afirma que </w:t>
      </w:r>
      <w:r w:rsidRPr="00C70CAD">
        <w:rPr>
          <w:rStyle w:val="Ninguno"/>
        </w:rPr>
        <w:t>el derecho a la igualdad ante la ley no exige la absoluta prohibición de la diferenciación del trato sino la proscripción de la discriminación de las personas, de tal forma que no existe desigualdad cuando la distinción entre unos y otros tiene una justificación objetiva y racional</w:t>
      </w:r>
      <w:r w:rsidRPr="00C70CAD">
        <w:rPr>
          <w:rStyle w:val="Ninguno"/>
          <w:vertAlign w:val="superscript"/>
        </w:rPr>
        <w:footnoteReference w:id="28"/>
      </w:r>
      <w:r w:rsidRPr="00C70CAD">
        <w:rPr>
          <w:rStyle w:val="Ninguno"/>
        </w:rPr>
        <w:t>.</w:t>
      </w:r>
      <w:r>
        <w:rPr>
          <w:rStyle w:val="Ninguno"/>
        </w:rPr>
        <w:t xml:space="preserve"> El </w:t>
      </w:r>
      <w:r w:rsidRPr="00713A50">
        <w:t>Estado parte afirma que la interpretación que el Comité hace del artículo 26 del Pacto, coincide con la que ha hecho el Tribunal Constitucional respecto del artículo 14 de la Constitución referente al principio de igualdad. Asimismo, el Estado parte indica que el Tribunal Constitucional ha reconocido la competencia del legislador para fijar las condiciones de acceso a las prestaciones de los distintos sistemas de Seguridad Social, siempre que se respete el sistema de derechos fundamentales constitucionalmente establecido.</w:t>
      </w:r>
      <w:r>
        <w:rPr>
          <w:rStyle w:val="Ninguno"/>
        </w:rPr>
        <w:t xml:space="preserve"> </w:t>
      </w:r>
    </w:p>
    <w:p w14:paraId="102CCEB3" w14:textId="77777777" w:rsidR="00C705BF" w:rsidRDefault="00C705BF" w:rsidP="00C705BF">
      <w:pPr>
        <w:pStyle w:val="SingleTxtG"/>
        <w:rPr>
          <w:rStyle w:val="Ninguno"/>
        </w:rPr>
      </w:pPr>
      <w:r>
        <w:rPr>
          <w:rStyle w:val="Ninguno"/>
        </w:rPr>
        <w:t>6.7</w:t>
      </w:r>
      <w:r>
        <w:rPr>
          <w:rStyle w:val="Ninguno"/>
        </w:rPr>
        <w:tab/>
      </w:r>
      <w:r w:rsidRPr="00D03355">
        <w:rPr>
          <w:rStyle w:val="Ninguno"/>
        </w:rPr>
        <w:t xml:space="preserve">El Estado parte expone la normativa </w:t>
      </w:r>
      <w:r>
        <w:rPr>
          <w:rStyle w:val="Ninguno"/>
        </w:rPr>
        <w:t xml:space="preserve">que regula </w:t>
      </w:r>
      <w:r w:rsidRPr="00D03355">
        <w:rPr>
          <w:rStyle w:val="Ninguno"/>
        </w:rPr>
        <w:t xml:space="preserve">las pensiones e </w:t>
      </w:r>
      <w:r>
        <w:rPr>
          <w:rStyle w:val="Ninguno"/>
        </w:rPr>
        <w:t>indemnizaciones del régimen de C</w:t>
      </w:r>
      <w:r w:rsidRPr="00D03355">
        <w:rPr>
          <w:rStyle w:val="Ninguno"/>
        </w:rPr>
        <w:t>lase</w:t>
      </w:r>
      <w:r>
        <w:rPr>
          <w:rStyle w:val="Ninguno"/>
        </w:rPr>
        <w:t>s</w:t>
      </w:r>
      <w:r w:rsidRPr="00D03355">
        <w:rPr>
          <w:rStyle w:val="Ninguno"/>
        </w:rPr>
        <w:t xml:space="preserve"> </w:t>
      </w:r>
      <w:r>
        <w:rPr>
          <w:rStyle w:val="Ninguno"/>
        </w:rPr>
        <w:t>Pasivas del Estado, aplicable a</w:t>
      </w:r>
      <w:r w:rsidRPr="00D03355">
        <w:rPr>
          <w:rStyle w:val="Ninguno"/>
        </w:rPr>
        <w:t xml:space="preserve"> los militares profesionales,</w:t>
      </w:r>
      <w:r>
        <w:rPr>
          <w:rStyle w:val="Ninguno"/>
        </w:rPr>
        <w:t xml:space="preserve"> señalando que: a) dicho régimen está </w:t>
      </w:r>
      <w:r w:rsidRPr="003434FD">
        <w:rPr>
          <w:rStyle w:val="Ninguno"/>
        </w:rPr>
        <w:t xml:space="preserve">regulado </w:t>
      </w:r>
      <w:r>
        <w:rPr>
          <w:rStyle w:val="Ninguno"/>
        </w:rPr>
        <w:t>por</w:t>
      </w:r>
      <w:r w:rsidRPr="003434FD">
        <w:rPr>
          <w:rStyle w:val="Ninguno"/>
        </w:rPr>
        <w:t xml:space="preserve"> el Texto Refundido de la Ley de Clases Pasivas del Estado </w:t>
      </w:r>
      <w:r>
        <w:rPr>
          <w:rStyle w:val="Ninguno"/>
        </w:rPr>
        <w:t>(</w:t>
      </w:r>
      <w:r w:rsidRPr="003434FD">
        <w:rPr>
          <w:rStyle w:val="Ninguno"/>
        </w:rPr>
        <w:t>Real Decreto Legislativo 670/87</w:t>
      </w:r>
      <w:r>
        <w:rPr>
          <w:rStyle w:val="Ninguno"/>
        </w:rPr>
        <w:t xml:space="preserve">), en cuyo </w:t>
      </w:r>
      <w:r w:rsidRPr="00EE3A68">
        <w:rPr>
          <w:rStyle w:val="Ninguno"/>
        </w:rPr>
        <w:t>artículo 52 bis</w:t>
      </w:r>
      <w:r>
        <w:rPr>
          <w:rStyle w:val="Ninguno"/>
          <w:vertAlign w:val="superscript"/>
        </w:rPr>
        <w:footnoteReference w:id="29"/>
      </w:r>
      <w:r>
        <w:rPr>
          <w:rStyle w:val="Ninguno"/>
        </w:rPr>
        <w:t xml:space="preserve"> se </w:t>
      </w:r>
      <w:r w:rsidRPr="00540DD7">
        <w:rPr>
          <w:rStyle w:val="Ninguno"/>
        </w:rPr>
        <w:t>hace referencia a los supuestos en los que los  militares profesionales de carácter no permanente pueden acceder a una pensión o indemnización</w:t>
      </w:r>
      <w:r>
        <w:rPr>
          <w:rStyle w:val="Ninguno"/>
        </w:rPr>
        <w:t>; b</w:t>
      </w:r>
      <w:r w:rsidRPr="00540DD7">
        <w:rPr>
          <w:rStyle w:val="Ninguno"/>
        </w:rPr>
        <w:t xml:space="preserve">) en desarrollo de dicho artículo, se dictó el Real Decreto 771/1991, </w:t>
      </w:r>
      <w:r>
        <w:rPr>
          <w:rStyle w:val="Ninguno"/>
        </w:rPr>
        <w:t>el cual regulaba</w:t>
      </w:r>
      <w:r w:rsidRPr="00540DD7">
        <w:rPr>
          <w:rStyle w:val="Ninguno"/>
        </w:rPr>
        <w:t xml:space="preserve"> las pensiones e indemnizaciones del régimen de clases pasivas del Estado a los militares de empleo, </w:t>
      </w:r>
      <w:r>
        <w:rPr>
          <w:rStyle w:val="Ninguno"/>
        </w:rPr>
        <w:t xml:space="preserve">el cual fue </w:t>
      </w:r>
      <w:r w:rsidRPr="00540DD7">
        <w:rPr>
          <w:rStyle w:val="Ninguno"/>
        </w:rPr>
        <w:t xml:space="preserve">posteriormente sustituido por el Real Decreto 1186/2001 (vigente) </w:t>
      </w:r>
      <w:r>
        <w:rPr>
          <w:rStyle w:val="Ninguno"/>
        </w:rPr>
        <w:t>en el que también se aprobaron</w:t>
      </w:r>
      <w:r w:rsidRPr="00540DD7">
        <w:rPr>
          <w:rStyle w:val="Ninguno"/>
        </w:rPr>
        <w:t xml:space="preserve"> los cuadros médicos para el reconocimiento de dichas prestaciones</w:t>
      </w:r>
      <w:r>
        <w:rPr>
          <w:rStyle w:val="Ninguno"/>
        </w:rPr>
        <w:t xml:space="preserve">; c) </w:t>
      </w:r>
      <w:r w:rsidRPr="00540DD7">
        <w:rPr>
          <w:rStyle w:val="Ninguno"/>
        </w:rPr>
        <w:t>el Real Decreto 1186/2001</w:t>
      </w:r>
      <w:r>
        <w:rPr>
          <w:rStyle w:val="Ninguno"/>
        </w:rPr>
        <w:t xml:space="preserve"> </w:t>
      </w:r>
      <w:r w:rsidRPr="00540DD7">
        <w:t xml:space="preserve">pretende salvar las disfunciones puestas de manifiesto en el anterior sistema, teniendo en cuenta el nuevo modelo de Fuerzas Armadas </w:t>
      </w:r>
      <w:r>
        <w:t>introducido por</w:t>
      </w:r>
      <w:r w:rsidRPr="00540DD7">
        <w:t xml:space="preserve"> la Ley 17/1999</w:t>
      </w:r>
      <w:r>
        <w:t xml:space="preserve">, el cual busca </w:t>
      </w:r>
      <w:r w:rsidRPr="00540DD7">
        <w:t xml:space="preserve">la </w:t>
      </w:r>
      <w:r>
        <w:t xml:space="preserve">profesionalización de las mismas, </w:t>
      </w:r>
      <w:r w:rsidRPr="00540DD7">
        <w:t xml:space="preserve"> sin olvidar la reinserción laboral del colectivo profesional</w:t>
      </w:r>
      <w:r>
        <w:t xml:space="preserve">, </w:t>
      </w:r>
      <w:r w:rsidRPr="00540DD7">
        <w:rPr>
          <w:rStyle w:val="Ninguno"/>
        </w:rPr>
        <w:t xml:space="preserve">estableciendo tipos de prestaciones directamente relacionadas con la disminución de la capacidad para el trabajo que hubiese sido ocasionada durante </w:t>
      </w:r>
      <w:r>
        <w:rPr>
          <w:rStyle w:val="Ninguno"/>
        </w:rPr>
        <w:t xml:space="preserve">la </w:t>
      </w:r>
      <w:r w:rsidRPr="00540DD7">
        <w:rPr>
          <w:rStyle w:val="Ninguno"/>
        </w:rPr>
        <w:t>prestación de servicios en las Fuerzas Armadas y la consiguiente dificultad de la persona para la reincorporación al mercado laboral civil.</w:t>
      </w:r>
    </w:p>
    <w:p w14:paraId="22025264" w14:textId="77777777" w:rsidR="00C705BF" w:rsidRDefault="00C705BF" w:rsidP="00C705BF">
      <w:pPr>
        <w:pStyle w:val="SingleTxtG"/>
        <w:rPr>
          <w:rStyle w:val="Ninguno"/>
        </w:rPr>
      </w:pPr>
      <w:r>
        <w:rPr>
          <w:rStyle w:val="Ninguno"/>
        </w:rPr>
        <w:t>6.8</w:t>
      </w:r>
      <w:r>
        <w:rPr>
          <w:rStyle w:val="Ninguno"/>
        </w:rPr>
        <w:tab/>
        <w:t xml:space="preserve">El Estado parte indica que la autora alega que es precisamente el artículo 52bis mencionado el que provocaría una discriminación </w:t>
      </w:r>
      <w:r w:rsidRPr="00E979C0">
        <w:rPr>
          <w:rStyle w:val="Ninguno"/>
        </w:rPr>
        <w:t xml:space="preserve">respecto al resto de los trabajadores españoles, al condicionar el derecho de pensión o indemnización a </w:t>
      </w:r>
      <w:r>
        <w:rPr>
          <w:rStyle w:val="Ninguno"/>
        </w:rPr>
        <w:t xml:space="preserve">la circunstancia de </w:t>
      </w:r>
      <w:r w:rsidRPr="00E979C0">
        <w:rPr>
          <w:rStyle w:val="Ninguno"/>
        </w:rPr>
        <w:t>que la insuficiencia de condiciones psicofísicas se haya producido a consecuencia de un hecho ocurrido durante el periodo</w:t>
      </w:r>
      <w:r>
        <w:rPr>
          <w:rStyle w:val="Ninguno"/>
        </w:rPr>
        <w:t xml:space="preserve"> de prestación de servicios. Asimismo, el Estado parte indica que la autora </w:t>
      </w:r>
      <w:r w:rsidRPr="003D7B9D">
        <w:rPr>
          <w:rStyle w:val="Ninguno"/>
        </w:rPr>
        <w:t>sólo se refiere a los casos en los que se padece una insuficiencia de condiciones psicofísicas que no determina una incapacidad absoluta para cualquier profesión u oficio</w:t>
      </w:r>
      <w:r>
        <w:rPr>
          <w:rStyle w:val="Ninguno"/>
        </w:rPr>
        <w:t xml:space="preserve"> </w:t>
      </w:r>
      <w:r w:rsidRPr="003D7B9D">
        <w:rPr>
          <w:rStyle w:val="Ninguno"/>
        </w:rPr>
        <w:t>contemplad</w:t>
      </w:r>
      <w:r>
        <w:rPr>
          <w:rStyle w:val="Ninguno"/>
        </w:rPr>
        <w:t>os</w:t>
      </w:r>
      <w:r w:rsidRPr="003D7B9D">
        <w:rPr>
          <w:rStyle w:val="Ninguno"/>
        </w:rPr>
        <w:t xml:space="preserve"> en </w:t>
      </w:r>
      <w:r>
        <w:rPr>
          <w:rStyle w:val="Ninguno"/>
        </w:rPr>
        <w:t>el apartado 2 del artículo 52</w:t>
      </w:r>
      <w:r w:rsidRPr="003D7B9D">
        <w:rPr>
          <w:rStyle w:val="Ninguno"/>
        </w:rPr>
        <w:t>bis</w:t>
      </w:r>
      <w:r>
        <w:rPr>
          <w:rStyle w:val="Ninguno"/>
        </w:rPr>
        <w:t xml:space="preserve"> del Texto Refundido de la Ley de Clases Pasivas del Estado y señala que en </w:t>
      </w:r>
      <w:r w:rsidRPr="003761E6">
        <w:rPr>
          <w:rStyle w:val="Ninguno"/>
        </w:rPr>
        <w:t>aquellos casos en los que la insuficiencia de condiciones psicofísicas determine una incapacidad absoluta para cualquier profesión u oficio</w:t>
      </w:r>
      <w:r>
        <w:rPr>
          <w:rStyle w:val="Ninguno"/>
        </w:rPr>
        <w:t>, sería de aplicación el apartado 1 del artículo 52bis</w:t>
      </w:r>
      <w:r>
        <w:rPr>
          <w:rStyle w:val="FootnoteReference"/>
        </w:rPr>
        <w:footnoteReference w:id="30"/>
      </w:r>
      <w:r>
        <w:rPr>
          <w:rStyle w:val="Ninguno"/>
        </w:rPr>
        <w:t xml:space="preserve">, el cual reconoce </w:t>
      </w:r>
      <w:r w:rsidRPr="003761E6">
        <w:rPr>
          <w:rStyle w:val="Ninguno"/>
        </w:rPr>
        <w:t>el derecho a pensión</w:t>
      </w:r>
      <w:r>
        <w:rPr>
          <w:rStyle w:val="Ninguno"/>
        </w:rPr>
        <w:t xml:space="preserve"> independientemente de que el hecho incapacitante se haya producido o no durante el periodo de servicio</w:t>
      </w:r>
      <w:r w:rsidRPr="003761E6">
        <w:rPr>
          <w:rStyle w:val="Ninguno"/>
        </w:rPr>
        <w:t>.</w:t>
      </w:r>
      <w:r>
        <w:rPr>
          <w:rStyle w:val="Ninguno"/>
        </w:rPr>
        <w:t xml:space="preserve"> A este respecto, el Estado parte </w:t>
      </w:r>
      <w:r w:rsidRPr="006E6601">
        <w:rPr>
          <w:rStyle w:val="Ninguno"/>
        </w:rPr>
        <w:t>hace referencia al artículo 5</w:t>
      </w:r>
      <w:r>
        <w:rPr>
          <w:rStyle w:val="Ninguno"/>
        </w:rPr>
        <w:t>.1</w:t>
      </w:r>
      <w:r w:rsidRPr="006E6601">
        <w:rPr>
          <w:rStyle w:val="Ninguno"/>
        </w:rPr>
        <w:t xml:space="preserve"> del Real Decreto 1186/2001</w:t>
      </w:r>
      <w:r>
        <w:rPr>
          <w:rStyle w:val="Ninguno"/>
        </w:rPr>
        <w:t xml:space="preserve"> que establece que </w:t>
      </w:r>
      <w:r w:rsidRPr="006E6601">
        <w:rPr>
          <w:rStyle w:val="Ninguno"/>
        </w:rPr>
        <w:t>se entenderá que existe incapacidad absoluta para cualquier profesión u oficio cuando</w:t>
      </w:r>
      <w:r>
        <w:rPr>
          <w:rStyle w:val="Ninguno"/>
        </w:rPr>
        <w:t xml:space="preserve"> </w:t>
      </w:r>
      <w:r w:rsidRPr="006E6601">
        <w:rPr>
          <w:rStyle w:val="Ninguno"/>
        </w:rPr>
        <w:t>la discapacidad se valore en un porcentaje igual o superior al 50 por 100.</w:t>
      </w:r>
    </w:p>
    <w:p w14:paraId="4E1F83FE" w14:textId="52FE0D79" w:rsidR="00C705BF" w:rsidRDefault="00C705BF" w:rsidP="00C705BF">
      <w:pPr>
        <w:pStyle w:val="SingleTxtG"/>
        <w:rPr>
          <w:rStyle w:val="Ninguno"/>
        </w:rPr>
      </w:pPr>
      <w:r>
        <w:rPr>
          <w:rStyle w:val="Ninguno"/>
        </w:rPr>
        <w:t>6.9</w:t>
      </w:r>
      <w:r>
        <w:rPr>
          <w:rStyle w:val="Ninguno"/>
        </w:rPr>
        <w:tab/>
        <w:t xml:space="preserve">El </w:t>
      </w:r>
      <w:r w:rsidRPr="0082792B">
        <w:rPr>
          <w:rStyle w:val="Ninguno"/>
        </w:rPr>
        <w:t xml:space="preserve">Estado parte </w:t>
      </w:r>
      <w:r>
        <w:rPr>
          <w:rStyle w:val="Ninguno"/>
        </w:rPr>
        <w:t>hace referencia a la</w:t>
      </w:r>
      <w:r w:rsidRPr="0082792B">
        <w:rPr>
          <w:rStyle w:val="Ninguno"/>
        </w:rPr>
        <w:t xml:space="preserve"> jurisprudencia</w:t>
      </w:r>
      <w:r>
        <w:rPr>
          <w:rStyle w:val="Ninguno"/>
        </w:rPr>
        <w:t xml:space="preserve"> interna, la cual ha avalado la aplicación de la normativa arriba mencionada relacionada con las prestaciones a las que tienen derecho los militares de empleo. Por ejemplo, en una sentencia de 2004</w:t>
      </w:r>
      <w:r>
        <w:rPr>
          <w:rStyle w:val="FootnoteReference"/>
        </w:rPr>
        <w:footnoteReference w:id="31"/>
      </w:r>
      <w:r>
        <w:rPr>
          <w:rStyle w:val="Ninguno"/>
        </w:rPr>
        <w:t xml:space="preserve">, la Audiencia Nacional recordó que, </w:t>
      </w:r>
      <w:r w:rsidRPr="002061C2">
        <w:t xml:space="preserve">según el Decreto 771/99, </w:t>
      </w:r>
      <w:r>
        <w:rPr>
          <w:rStyle w:val="Ninguno"/>
        </w:rPr>
        <w:t xml:space="preserve">para tener derecho a recibir una pensión, es necesario que se presente una incapacidad absoluta para toda profesión y oficio, consecuencia </w:t>
      </w:r>
      <w:r w:rsidRPr="00B22CA4">
        <w:rPr>
          <w:rStyle w:val="Ninguno"/>
        </w:rPr>
        <w:t>de “un hecho ocurrido en el tiempo que media entre la adquisición de la condición -de militar profesional- y la finalización o resolución del compromiso</w:t>
      </w:r>
      <w:r>
        <w:rPr>
          <w:rStyle w:val="Ninguno"/>
        </w:rPr>
        <w:t xml:space="preserve"> (…) ”</w:t>
      </w:r>
      <w:r w:rsidRPr="00B22CA4">
        <w:rPr>
          <w:rStyle w:val="Ninguno"/>
        </w:rPr>
        <w:t xml:space="preserve"> </w:t>
      </w:r>
      <w:r>
        <w:rPr>
          <w:rStyle w:val="Ninguno"/>
        </w:rPr>
        <w:t xml:space="preserve">y que dicho hecho debe ser tangible, real y con la vocación de determinar la aparición del brote de la enfermedad  En otras palabras, la lesión o </w:t>
      </w:r>
      <w:r w:rsidRPr="009C3E51">
        <w:rPr>
          <w:rStyle w:val="Ninguno"/>
        </w:rPr>
        <w:t>enfermedad debe tener “como momento temporal de su generación y existencia el lapso fijado en la norma reglamentaria</w:t>
      </w:r>
      <w:r>
        <w:rPr>
          <w:rStyle w:val="Ninguno"/>
        </w:rPr>
        <w:t xml:space="preserve">, por lo que, </w:t>
      </w:r>
      <w:r w:rsidRPr="009C3E51">
        <w:rPr>
          <w:rStyle w:val="Ninguno"/>
        </w:rPr>
        <w:t>en los supuestos de enfermedad invalidante no es suficiente la mera aparición de los sín</w:t>
      </w:r>
      <w:r>
        <w:rPr>
          <w:rStyle w:val="Ninguno"/>
        </w:rPr>
        <w:t>tomas externos de la enfermedad (…) si é</w:t>
      </w:r>
      <w:r w:rsidRPr="009C3E51">
        <w:rPr>
          <w:rStyle w:val="Ninguno"/>
        </w:rPr>
        <w:t>sta es de carácter congénito y endógeno del propio paciente</w:t>
      </w:r>
      <w:r>
        <w:rPr>
          <w:rStyle w:val="Ninguno"/>
        </w:rPr>
        <w:t xml:space="preserve"> (…) </w:t>
      </w:r>
      <w:r w:rsidRPr="009C3E51">
        <w:rPr>
          <w:rStyle w:val="Ninguno"/>
        </w:rPr>
        <w:t xml:space="preserve">y su manifestación de forma externa en un determinado momento temporal es una </w:t>
      </w:r>
      <w:r>
        <w:rPr>
          <w:rStyle w:val="Ninguno"/>
        </w:rPr>
        <w:t>m</w:t>
      </w:r>
      <w:r w:rsidRPr="009C3E51">
        <w:rPr>
          <w:rStyle w:val="Ninguno"/>
        </w:rPr>
        <w:t>era circunstancia accesoria</w:t>
      </w:r>
      <w:r>
        <w:rPr>
          <w:rStyle w:val="Ninguno"/>
        </w:rPr>
        <w:t xml:space="preserve"> (…)</w:t>
      </w:r>
      <w:r w:rsidRPr="00A744B7">
        <w:rPr>
          <w:rStyle w:val="Ninguno"/>
        </w:rPr>
        <w:t>”</w:t>
      </w:r>
      <w:r>
        <w:rPr>
          <w:rStyle w:val="Ninguno"/>
        </w:rPr>
        <w:t xml:space="preserve">. </w:t>
      </w:r>
    </w:p>
    <w:p w14:paraId="2A1793EC" w14:textId="77777777" w:rsidR="00C705BF" w:rsidRPr="00E17726" w:rsidRDefault="00C705BF" w:rsidP="00C705BF">
      <w:pPr>
        <w:pStyle w:val="SingleTxtG"/>
        <w:rPr>
          <w:rStyle w:val="Ninguno"/>
        </w:rPr>
      </w:pPr>
      <w:r>
        <w:rPr>
          <w:rStyle w:val="Ninguno"/>
        </w:rPr>
        <w:t>6.10</w:t>
      </w:r>
      <w:r>
        <w:rPr>
          <w:rStyle w:val="Ninguno"/>
        </w:rPr>
        <w:tab/>
      </w:r>
      <w:r w:rsidRPr="00A744B7">
        <w:rPr>
          <w:rStyle w:val="Ninguno"/>
        </w:rPr>
        <w:t>El Estado parte afirma que el personal militar profesional de carácter no permanente</w:t>
      </w:r>
      <w:r>
        <w:rPr>
          <w:rStyle w:val="Ninguno"/>
        </w:rPr>
        <w:t>-como la autora-</w:t>
      </w:r>
      <w:r w:rsidRPr="00A744B7">
        <w:rPr>
          <w:rStyle w:val="Ninguno"/>
        </w:rPr>
        <w:t xml:space="preserve"> está vinculado a las Fuerzas armadas por compromisos temporales</w:t>
      </w:r>
      <w:r>
        <w:rPr>
          <w:rStyle w:val="Ninguno"/>
        </w:rPr>
        <w:t xml:space="preserve"> y que el Real Decreto 1186/2001 tiene presente que, </w:t>
      </w:r>
      <w:r w:rsidRPr="00C50317">
        <w:t xml:space="preserve">una vez finalizados sus </w:t>
      </w:r>
      <w:r>
        <w:t xml:space="preserve">servicios a las Fuerzas Armadas, éstos tienen la expectativa de </w:t>
      </w:r>
      <w:r>
        <w:rPr>
          <w:rStyle w:val="Ninguno"/>
        </w:rPr>
        <w:t xml:space="preserve">incorporarse a la vida laboral civil. Por consiguiente, cuando, como en el caso de la autora, se presentan </w:t>
      </w:r>
      <w:r w:rsidRPr="00403F5E">
        <w:rPr>
          <w:rStyle w:val="Ninguno"/>
        </w:rPr>
        <w:t xml:space="preserve">patologías </w:t>
      </w:r>
      <w:r>
        <w:rPr>
          <w:rStyle w:val="Ninguno"/>
        </w:rPr>
        <w:t xml:space="preserve">que incapacitan únicamente para el desempeño de sus funciones dentro de las Fuerzas Armadas, existe la expectativa de incorporarse al mercado laboral civil. Es por ello que el Decreto establece que recibirán pensión o indemnización aquellos militares de empleo que sufran patologías que se hayan originado durante el tiempo en el que se tiene una relación de servicio con las Fuerzas Armadas y que los incapacite de manera absoluta para cualquier profesión u oficio, lo que en la opinión del Estado parte constituye una </w:t>
      </w:r>
      <w:r w:rsidRPr="00412434">
        <w:t xml:space="preserve">circunstancia razonable y objetiva que justifica la diferenciación de trato, pero </w:t>
      </w:r>
      <w:r>
        <w:t xml:space="preserve">que </w:t>
      </w:r>
      <w:r w:rsidRPr="00412434">
        <w:t>no permite apreciar una vulneración del principio de igualdad.</w:t>
      </w:r>
    </w:p>
    <w:p w14:paraId="659286BF" w14:textId="77777777" w:rsidR="00C705BF" w:rsidRDefault="00713A50" w:rsidP="00713A50">
      <w:pPr>
        <w:pStyle w:val="H23G"/>
        <w:rPr>
          <w:rStyle w:val="Ninguno"/>
          <w:b w:val="0"/>
          <w:bCs/>
          <w:u w:color="FF0000"/>
        </w:rPr>
      </w:pPr>
      <w:r>
        <w:rPr>
          <w:rStyle w:val="Ninguno"/>
          <w:bCs/>
          <w:u w:color="FF0000"/>
        </w:rPr>
        <w:tab/>
      </w:r>
      <w:r>
        <w:rPr>
          <w:rStyle w:val="Ninguno"/>
          <w:bCs/>
          <w:u w:color="FF0000"/>
        </w:rPr>
        <w:tab/>
      </w:r>
      <w:r w:rsidR="00C705BF">
        <w:rPr>
          <w:rStyle w:val="Ninguno"/>
          <w:bCs/>
          <w:u w:color="FF0000"/>
        </w:rPr>
        <w:t xml:space="preserve">Comentarios de la autora sobre las observaciones del Estado parte  </w:t>
      </w:r>
    </w:p>
    <w:p w14:paraId="41482833" w14:textId="77777777" w:rsidR="00C705BF" w:rsidRDefault="00C705BF" w:rsidP="00C705BF">
      <w:pPr>
        <w:pStyle w:val="SingleTxtG"/>
        <w:rPr>
          <w:rStyle w:val="Ninguno"/>
          <w:u w:color="941751"/>
        </w:rPr>
      </w:pPr>
      <w:r>
        <w:rPr>
          <w:rStyle w:val="Ninguno"/>
          <w:u w:color="941751"/>
        </w:rPr>
        <w:t>7.1</w:t>
      </w:r>
      <w:r>
        <w:rPr>
          <w:rStyle w:val="Ninguno"/>
          <w:u w:color="941751"/>
        </w:rPr>
        <w:tab/>
        <w:t xml:space="preserve">El 3 de enero de 2016, la autora presentó sus comentarios a las observaciones del Estado parte. La autora afirma que </w:t>
      </w:r>
      <w:r w:rsidRPr="006C5CF1">
        <w:rPr>
          <w:rStyle w:val="Ninguno"/>
          <w:u w:color="941751"/>
        </w:rPr>
        <w:t xml:space="preserve">la resolución </w:t>
      </w:r>
      <w:r>
        <w:rPr>
          <w:rStyle w:val="Ninguno"/>
          <w:u w:color="941751"/>
        </w:rPr>
        <w:t>de 11 de noviembre de 200</w:t>
      </w:r>
      <w:r w:rsidRPr="006C5CF1">
        <w:rPr>
          <w:rStyle w:val="Ninguno"/>
          <w:u w:color="941751"/>
        </w:rPr>
        <w:t>8 s</w:t>
      </w:r>
      <w:r>
        <w:rPr>
          <w:rStyle w:val="Ninguno"/>
          <w:u w:color="941751"/>
        </w:rPr>
        <w:t>í</w:t>
      </w:r>
      <w:r w:rsidRPr="006C5CF1">
        <w:rPr>
          <w:rStyle w:val="Ninguno"/>
          <w:u w:color="941751"/>
        </w:rPr>
        <w:t xml:space="preserve"> se pronunció sobre su derecho a pensi</w:t>
      </w:r>
      <w:r>
        <w:rPr>
          <w:rStyle w:val="Ninguno"/>
          <w:u w:color="941751"/>
        </w:rPr>
        <w:t xml:space="preserve">ón o indemnización, ya que a pesar de que no se refería expresamente al reconocimiento de determinada pensión, el contenido de la misma afectaba dicha cuestión, debido a que al determinar que la patología que sufría la autora quedaba fuera del ámbito de aplicación del Real Decreto 1186/2001, se le estaba negando toda posibilidad de solicitar una pensión o indemnización, independientemente del grado de minusvalía que se le asignase. Asimismo, estima la autora que, si bien es cierto que el auto de 27 de diciembre de 2012 dice “estimar parcialmente” su recurso en lo concerniente al grado de minusvalía, no puede extraerse de dicha afirmación que el Tribunal Superior de la Comunidad Valenciana haya estimado su pretensión subsidiaria, es decir que se avaluase la minusvalía a efectos de determinar si le correspondía una pensión o indemnización en los términos de los artículos 6 y 7 del Real Decreto 1186/2001. En efecto, el auto de 24 de abril de 2014, </w:t>
      </w:r>
      <w:r w:rsidRPr="00FC32AA">
        <w:rPr>
          <w:u w:color="941751"/>
        </w:rPr>
        <w:t>el cual determina la minusval</w:t>
      </w:r>
      <w:r>
        <w:rPr>
          <w:u w:color="941751"/>
        </w:rPr>
        <w:t xml:space="preserve">ía en 35%, no se pronuncia en modo alguno sobre la concesión de una pensión o indemnización contemplada en dichos artículos. </w:t>
      </w:r>
    </w:p>
    <w:p w14:paraId="083B0C11" w14:textId="77777777" w:rsidR="00C705BF" w:rsidRPr="008C2372" w:rsidRDefault="00C705BF" w:rsidP="00C705BF">
      <w:pPr>
        <w:pStyle w:val="SingleTxtG"/>
        <w:rPr>
          <w:rStyle w:val="Ninguno"/>
          <w:u w:color="941751"/>
        </w:rPr>
      </w:pPr>
      <w:r>
        <w:rPr>
          <w:rStyle w:val="Ninguno"/>
          <w:u w:color="941751"/>
        </w:rPr>
        <w:t>7.2</w:t>
      </w:r>
      <w:r>
        <w:rPr>
          <w:rStyle w:val="Ninguno"/>
          <w:u w:color="941751"/>
        </w:rPr>
        <w:tab/>
        <w:t xml:space="preserve">Igualmente, afirma la autora que la determinación posterior de su minusvalía en un 35% constituye una cuestión meramente formal, puesto que no tiene ningún efecto en la práctica, teniendo en cuenta que el Tribunal </w:t>
      </w:r>
      <w:r w:rsidRPr="00BF511B">
        <w:rPr>
          <w:u w:color="941751"/>
        </w:rPr>
        <w:t xml:space="preserve">Superior de la Comunidad Valenciana </w:t>
      </w:r>
      <w:r>
        <w:rPr>
          <w:rStyle w:val="Ninguno"/>
          <w:u w:color="941751"/>
        </w:rPr>
        <w:t xml:space="preserve">declaró en su sentencia de 21 de mayo de 2012, que la autora estaba por fuera del ámbito de aplicación del Real Decreto 1186/2001, y que, por tanto, no tendría derecho a ninguna indemnización o pensión contemplada en dicha norma. Ello resulta confirmado por los documentos del Ministerio de Defensa aportados al Comité que indican que “no procede llevar a cabo ninguna actuación de ejecución de la sentencia de </w:t>
      </w:r>
      <w:r w:rsidRPr="00FB37D5">
        <w:rPr>
          <w:u w:color="941751"/>
        </w:rPr>
        <w:t>21 de mayo de 2012</w:t>
      </w:r>
      <w:r>
        <w:rPr>
          <w:u w:color="941751"/>
        </w:rPr>
        <w:t>,</w:t>
      </w:r>
      <w:r>
        <w:rPr>
          <w:rStyle w:val="Ninguno"/>
          <w:u w:color="941751"/>
        </w:rPr>
        <w:t xml:space="preserve"> completada por el auto de </w:t>
      </w:r>
      <w:r w:rsidRPr="00FB37D5">
        <w:rPr>
          <w:u w:color="941751"/>
        </w:rPr>
        <w:t>27 de diciembre de 2012</w:t>
      </w:r>
      <w:r>
        <w:rPr>
          <w:u w:color="941751"/>
        </w:rPr>
        <w:t>, y que de conformidad con el auto de 24 de abril de 2014 se tiene por ejecutada”</w:t>
      </w:r>
      <w:r>
        <w:rPr>
          <w:rStyle w:val="FootnoteReference"/>
          <w:u w:color="941751"/>
        </w:rPr>
        <w:footnoteReference w:id="32"/>
      </w:r>
      <w:r>
        <w:rPr>
          <w:u w:color="941751"/>
        </w:rPr>
        <w:t xml:space="preserve">.  </w:t>
      </w:r>
    </w:p>
    <w:p w14:paraId="5C4A8BFD" w14:textId="77777777" w:rsidR="00C705BF" w:rsidRDefault="00C705BF" w:rsidP="00C705BF">
      <w:pPr>
        <w:pStyle w:val="SingleTxtG"/>
        <w:rPr>
          <w:rStyle w:val="Ninguno"/>
          <w:u w:color="941751"/>
        </w:rPr>
      </w:pPr>
      <w:r>
        <w:rPr>
          <w:rStyle w:val="Ninguno"/>
          <w:u w:color="941751"/>
        </w:rPr>
        <w:t>7.3</w:t>
      </w:r>
      <w:r>
        <w:rPr>
          <w:rStyle w:val="Ninguno"/>
          <w:u w:color="941751"/>
        </w:rPr>
        <w:tab/>
        <w:t xml:space="preserve">En cuanto a al argumento del Estado parte de la inexistencia </w:t>
      </w:r>
      <w:r w:rsidRPr="00D036B5">
        <w:rPr>
          <w:rStyle w:val="Ninguno"/>
          <w:u w:color="941751"/>
        </w:rPr>
        <w:t>de status de víctima y abuso de derecho conforme al artículo 3 del Protocolo Facultativo,</w:t>
      </w:r>
      <w:r>
        <w:rPr>
          <w:rStyle w:val="Ninguno"/>
          <w:u w:color="941751"/>
        </w:rPr>
        <w:t xml:space="preserve"> así como sobre la falta de agotamiento de los recursos internos respecto a la alegación de violación de su derecho a la igualdad, la autora reitera que alegó </w:t>
      </w:r>
      <w:r w:rsidRPr="00D036B5">
        <w:rPr>
          <w:rStyle w:val="Ninguno"/>
          <w:u w:color="941751"/>
        </w:rPr>
        <w:t xml:space="preserve">la vulneración de </w:t>
      </w:r>
      <w:r>
        <w:rPr>
          <w:rStyle w:val="Ninguno"/>
          <w:u w:color="941751"/>
        </w:rPr>
        <w:t xml:space="preserve">dicho derecho por la aplicación </w:t>
      </w:r>
      <w:r w:rsidRPr="0081239E">
        <w:rPr>
          <w:u w:color="941751"/>
        </w:rPr>
        <w:t xml:space="preserve">del artículo 52bis </w:t>
      </w:r>
      <w:r>
        <w:rPr>
          <w:u w:color="941751"/>
        </w:rPr>
        <w:t xml:space="preserve">del Texto Refundido </w:t>
      </w:r>
      <w:r w:rsidRPr="00C85A0D">
        <w:rPr>
          <w:u w:color="941751"/>
        </w:rPr>
        <w:t xml:space="preserve">de la Ley de Clases Pasivas del Estado </w:t>
      </w:r>
      <w:r w:rsidRPr="0081239E">
        <w:rPr>
          <w:u w:color="941751"/>
        </w:rPr>
        <w:t>y el Real Decreto 1186/2001</w:t>
      </w:r>
      <w:r>
        <w:rPr>
          <w:rStyle w:val="Ninguno"/>
          <w:u w:color="941751"/>
        </w:rPr>
        <w:t xml:space="preserve">, </w:t>
      </w:r>
      <w:r w:rsidRPr="00D036B5">
        <w:rPr>
          <w:rStyle w:val="Ninguno"/>
          <w:u w:color="941751"/>
        </w:rPr>
        <w:t xml:space="preserve">desde </w:t>
      </w:r>
      <w:r>
        <w:rPr>
          <w:rStyle w:val="Ninguno"/>
          <w:u w:color="941751"/>
        </w:rPr>
        <w:t xml:space="preserve">el momento en </w:t>
      </w:r>
      <w:r w:rsidRPr="00D036B5">
        <w:rPr>
          <w:rStyle w:val="Ninguno"/>
          <w:u w:color="941751"/>
        </w:rPr>
        <w:t>que promovió el recurso contencioso administrativo</w:t>
      </w:r>
      <w:r>
        <w:rPr>
          <w:rStyle w:val="Ninguno"/>
          <w:u w:color="941751"/>
        </w:rPr>
        <w:t xml:space="preserve">, </w:t>
      </w:r>
      <w:r w:rsidRPr="0091678F">
        <w:rPr>
          <w:rStyle w:val="Ninguno"/>
          <w:u w:color="941751"/>
        </w:rPr>
        <w:t>así como en el incidente excepcional de nulidad contra la decisión del Tribunal Super</w:t>
      </w:r>
      <w:r>
        <w:rPr>
          <w:rStyle w:val="Ninguno"/>
          <w:u w:color="941751"/>
        </w:rPr>
        <w:t xml:space="preserve">ior de Justicia de la Comunidad Valenciana de 21 de mayo de 2012, </w:t>
      </w:r>
      <w:r w:rsidRPr="0091678F">
        <w:rPr>
          <w:rStyle w:val="Ninguno"/>
          <w:u w:color="941751"/>
        </w:rPr>
        <w:t>en el que además denunciaba la falta de pronunciamiento del Tribunal sobre tal cuestión.</w:t>
      </w:r>
      <w:r>
        <w:rPr>
          <w:rStyle w:val="Ninguno"/>
          <w:u w:color="941751"/>
        </w:rPr>
        <w:t xml:space="preserve"> La autora indica que </w:t>
      </w:r>
      <w:r w:rsidRPr="0091678F">
        <w:rPr>
          <w:rStyle w:val="Ninguno"/>
          <w:u w:color="941751"/>
        </w:rPr>
        <w:t>estas eran las únicas</w:t>
      </w:r>
      <w:r>
        <w:rPr>
          <w:rStyle w:val="Ninguno"/>
          <w:u w:color="941751"/>
        </w:rPr>
        <w:t xml:space="preserve"> ví</w:t>
      </w:r>
      <w:r w:rsidRPr="0091678F">
        <w:rPr>
          <w:rStyle w:val="Ninguno"/>
          <w:u w:color="941751"/>
        </w:rPr>
        <w:t>as</w:t>
      </w:r>
      <w:r>
        <w:rPr>
          <w:rStyle w:val="Ninguno"/>
          <w:u w:color="941751"/>
        </w:rPr>
        <w:t xml:space="preserve"> jurídicas</w:t>
      </w:r>
      <w:r w:rsidRPr="0091678F">
        <w:rPr>
          <w:rStyle w:val="Ninguno"/>
          <w:u w:color="941751"/>
        </w:rPr>
        <w:t xml:space="preserve"> disponibles, </w:t>
      </w:r>
      <w:r>
        <w:rPr>
          <w:rStyle w:val="Ninguno"/>
          <w:u w:color="941751"/>
        </w:rPr>
        <w:t xml:space="preserve">ya que en el ordenamiento jurídico español </w:t>
      </w:r>
      <w:r w:rsidRPr="0091678F">
        <w:rPr>
          <w:rStyle w:val="Ninguno"/>
          <w:u w:color="941751"/>
        </w:rPr>
        <w:t xml:space="preserve">no existe </w:t>
      </w:r>
      <w:r>
        <w:rPr>
          <w:rStyle w:val="Ninguno"/>
          <w:u w:color="941751"/>
        </w:rPr>
        <w:t xml:space="preserve">ningún </w:t>
      </w:r>
      <w:r w:rsidRPr="0091678F">
        <w:rPr>
          <w:rStyle w:val="Ninguno"/>
          <w:u w:color="941751"/>
        </w:rPr>
        <w:t xml:space="preserve">mecanismo </w:t>
      </w:r>
      <w:r>
        <w:rPr>
          <w:rStyle w:val="Ninguno"/>
          <w:u w:color="941751"/>
        </w:rPr>
        <w:t>que permita a un c</w:t>
      </w:r>
      <w:r w:rsidRPr="0091678F">
        <w:rPr>
          <w:rStyle w:val="Ninguno"/>
          <w:u w:color="941751"/>
        </w:rPr>
        <w:t>iudadano solicitar la declaración de inconstitucional</w:t>
      </w:r>
      <w:r>
        <w:rPr>
          <w:rStyle w:val="Ninguno"/>
          <w:u w:color="941751"/>
        </w:rPr>
        <w:t>idad</w:t>
      </w:r>
      <w:r w:rsidRPr="0091678F">
        <w:rPr>
          <w:rStyle w:val="Ninguno"/>
          <w:u w:color="941751"/>
        </w:rPr>
        <w:t xml:space="preserve"> de </w:t>
      </w:r>
      <w:r>
        <w:rPr>
          <w:rStyle w:val="Ninguno"/>
          <w:u w:color="941751"/>
        </w:rPr>
        <w:t xml:space="preserve">una ley </w:t>
      </w:r>
      <w:r w:rsidRPr="0091678F">
        <w:rPr>
          <w:rStyle w:val="Ninguno"/>
          <w:u w:color="941751"/>
        </w:rPr>
        <w:t>determinada</w:t>
      </w:r>
      <w:r>
        <w:rPr>
          <w:rStyle w:val="Ninguno"/>
          <w:u w:color="941751"/>
        </w:rPr>
        <w:t>.</w:t>
      </w:r>
    </w:p>
    <w:p w14:paraId="32E9625F" w14:textId="0B426ED9" w:rsidR="00C705BF" w:rsidRDefault="00C705BF" w:rsidP="00C705BF">
      <w:pPr>
        <w:pStyle w:val="SingleTxtG"/>
        <w:rPr>
          <w:u w:color="941751"/>
        </w:rPr>
      </w:pPr>
      <w:r>
        <w:rPr>
          <w:u w:color="941751"/>
        </w:rPr>
        <w:t>7.4</w:t>
      </w:r>
      <w:r w:rsidRPr="0081239E">
        <w:rPr>
          <w:u w:color="941751"/>
        </w:rPr>
        <w:tab/>
      </w:r>
      <w:r>
        <w:rPr>
          <w:u w:color="941751"/>
        </w:rPr>
        <w:t>En cuanto la violación del artículo 14, l</w:t>
      </w:r>
      <w:r w:rsidRPr="0081239E">
        <w:rPr>
          <w:u w:color="941751"/>
        </w:rPr>
        <w:t>a autora reitera que las decisiones del Tribunal Superior de la Comunidad Valenciana carecen de la motivación necesaria en lo que se refiere a sus alegaciones sobre la violación de su derecho a la igualdad</w:t>
      </w:r>
      <w:r w:rsidR="00F23A67">
        <w:rPr>
          <w:u w:color="941751"/>
        </w:rPr>
        <w:t>.</w:t>
      </w:r>
      <w:r w:rsidRPr="0081239E">
        <w:rPr>
          <w:u w:color="941751"/>
        </w:rPr>
        <w:t xml:space="preserve"> La autora considera que el Tribunal ha debido pronunciarse respecto a sus alegaciones, pudiendo haber considerado: a) que la interpretación del artículo 52bis</w:t>
      </w:r>
      <w:r>
        <w:rPr>
          <w:u w:color="941751"/>
        </w:rPr>
        <w:t xml:space="preserve"> </w:t>
      </w:r>
      <w:r w:rsidRPr="00C85A0D">
        <w:rPr>
          <w:u w:color="941751"/>
        </w:rPr>
        <w:t xml:space="preserve">del Texto Refundido de la Ley de Clases Pasivas del Estado </w:t>
      </w:r>
      <w:r w:rsidRPr="0081239E">
        <w:rPr>
          <w:u w:color="941751"/>
        </w:rPr>
        <w:t>y del artículo 1.2 del Real Decreto 1186/2001</w:t>
      </w:r>
      <w:r>
        <w:rPr>
          <w:u w:color="941751"/>
        </w:rPr>
        <w:t xml:space="preserve"> hechas por las autoridades judiciales en su caso </w:t>
      </w:r>
      <w:r w:rsidRPr="0081239E">
        <w:rPr>
          <w:u w:color="941751"/>
        </w:rPr>
        <w:t>constituían una violación al principio a la igualdad; b) que la cuestión merecía un planteamiento de inconstitucionalidad ante el Tribunal Constitucional</w:t>
      </w:r>
      <w:r w:rsidRPr="0081239E">
        <w:rPr>
          <w:u w:color="941751"/>
          <w:vertAlign w:val="superscript"/>
        </w:rPr>
        <w:footnoteReference w:id="33"/>
      </w:r>
      <w:r w:rsidRPr="0081239E">
        <w:rPr>
          <w:u w:color="941751"/>
        </w:rPr>
        <w:t xml:space="preserve">; o c) simplemente que no existía ninguna violación al </w:t>
      </w:r>
      <w:r>
        <w:rPr>
          <w:u w:color="941751"/>
        </w:rPr>
        <w:t>derecho a la igualdad. Lo que</w:t>
      </w:r>
      <w:r w:rsidRPr="0081239E">
        <w:rPr>
          <w:u w:color="941751"/>
        </w:rPr>
        <w:t xml:space="preserve"> no podía hacer el Tribunal era guardar absoluto silenc</w:t>
      </w:r>
      <w:r>
        <w:rPr>
          <w:u w:color="941751"/>
        </w:rPr>
        <w:t xml:space="preserve">io sobre dichas alegaciones. </w:t>
      </w:r>
      <w:r>
        <w:rPr>
          <w:rStyle w:val="Ninguno"/>
          <w:u w:color="941751"/>
        </w:rPr>
        <w:t>La autora también indica que lo que alega no es que el Tribunal no haya sido independiente o imparcial, sino que no obtuvo ninguna respuesta a sus pretensiones relacionadas con la violación de su derecho a la igualdad, lo cual constituye una denegación de justicia, y, por consiguiente, una infracción al derecho a un proceso justo.</w:t>
      </w:r>
    </w:p>
    <w:p w14:paraId="3E6F9AD9" w14:textId="036BE70E" w:rsidR="00C705BF" w:rsidRDefault="00C705BF" w:rsidP="00C705BF">
      <w:pPr>
        <w:pStyle w:val="SingleTxtG"/>
        <w:rPr>
          <w:rStyle w:val="Ninguno"/>
          <w:u w:color="941751"/>
        </w:rPr>
      </w:pPr>
      <w:r>
        <w:rPr>
          <w:rStyle w:val="Ninguno"/>
          <w:u w:color="941751"/>
        </w:rPr>
        <w:t>7.5</w:t>
      </w:r>
      <w:r>
        <w:rPr>
          <w:rStyle w:val="Ninguno"/>
          <w:u w:color="941751"/>
        </w:rPr>
        <w:tab/>
      </w:r>
      <w:r>
        <w:rPr>
          <w:u w:color="941751"/>
        </w:rPr>
        <w:t xml:space="preserve">En cuanto la violación a su derecho a la igualdad consagrado en el artículo 26 del Pacto, </w:t>
      </w:r>
      <w:r w:rsidRPr="008C2372">
        <w:rPr>
          <w:u w:color="941751"/>
        </w:rPr>
        <w:t>la autora indica que</w:t>
      </w:r>
      <w:r>
        <w:rPr>
          <w:u w:color="941751"/>
        </w:rPr>
        <w:t xml:space="preserve"> contrario a lo expuesto por el Estado parte, </w:t>
      </w:r>
      <w:r w:rsidRPr="008C2372">
        <w:rPr>
          <w:u w:color="941751"/>
        </w:rPr>
        <w:t xml:space="preserve">lo que plantea en su denuncia ante el Comité no es la violación </w:t>
      </w:r>
      <w:r>
        <w:rPr>
          <w:u w:color="941751"/>
        </w:rPr>
        <w:t xml:space="preserve">de dicho derecho </w:t>
      </w:r>
      <w:r w:rsidRPr="008C2372">
        <w:rPr>
          <w:u w:color="941751"/>
        </w:rPr>
        <w:t>por el acto administrativo impugnado-resolución de 11 de noviembre de 2008-, sino la violación de su derecho a la igualdad por la aplicación rea</w:t>
      </w:r>
      <w:r>
        <w:rPr>
          <w:u w:color="941751"/>
        </w:rPr>
        <w:t xml:space="preserve">lizada </w:t>
      </w:r>
      <w:r w:rsidRPr="00FC32AA">
        <w:rPr>
          <w:u w:color="941751"/>
        </w:rPr>
        <w:t xml:space="preserve">en su caso </w:t>
      </w:r>
      <w:r w:rsidRPr="008C2372">
        <w:rPr>
          <w:u w:color="941751"/>
        </w:rPr>
        <w:t>del artículo 52bis</w:t>
      </w:r>
      <w:r>
        <w:rPr>
          <w:u w:color="941751"/>
        </w:rPr>
        <w:t xml:space="preserve"> </w:t>
      </w:r>
      <w:r w:rsidRPr="00980E34">
        <w:rPr>
          <w:u w:color="941751"/>
        </w:rPr>
        <w:t xml:space="preserve">del Texto Refundido de la Ley de Clases Pasivas del Estado </w:t>
      </w:r>
      <w:r w:rsidRPr="008C2372">
        <w:rPr>
          <w:u w:color="941751"/>
        </w:rPr>
        <w:t>y el Real Decreto 1186/2001</w:t>
      </w:r>
      <w:r>
        <w:rPr>
          <w:u w:color="941751"/>
        </w:rPr>
        <w:t xml:space="preserve">. </w:t>
      </w:r>
      <w:r>
        <w:rPr>
          <w:rStyle w:val="Ninguno"/>
          <w:u w:color="941751"/>
        </w:rPr>
        <w:t xml:space="preserve">Asimismo, la autora señala </w:t>
      </w:r>
      <w:r w:rsidRPr="008D0257">
        <w:rPr>
          <w:rStyle w:val="Ninguno"/>
          <w:u w:color="941751"/>
        </w:rPr>
        <w:t>que</w:t>
      </w:r>
      <w:r>
        <w:rPr>
          <w:rStyle w:val="Ninguno"/>
          <w:u w:color="941751"/>
        </w:rPr>
        <w:t>,</w:t>
      </w:r>
      <w:r w:rsidRPr="008D0257">
        <w:rPr>
          <w:rStyle w:val="Ninguno"/>
          <w:u w:color="941751"/>
        </w:rPr>
        <w:t xml:space="preserve"> si bien el Estado parte </w:t>
      </w:r>
      <w:r>
        <w:rPr>
          <w:rStyle w:val="Ninguno"/>
          <w:u w:color="941751"/>
        </w:rPr>
        <w:t>pretende indicar que dicho Decreto</w:t>
      </w:r>
      <w:r w:rsidR="005B36F3">
        <w:rPr>
          <w:rStyle w:val="Ninguno"/>
          <w:u w:color="941751"/>
        </w:rPr>
        <w:t xml:space="preserve"> </w:t>
      </w:r>
      <w:r>
        <w:rPr>
          <w:rStyle w:val="Ninguno"/>
          <w:u w:color="941751"/>
        </w:rPr>
        <w:t>constituye una mejora para los derechos de los militares de empleo</w:t>
      </w:r>
      <w:r w:rsidRPr="008D0257">
        <w:rPr>
          <w:rStyle w:val="Ninguno"/>
          <w:u w:color="941751"/>
        </w:rPr>
        <w:t>, del análisis de la normativa expuesta se concluye que la norma ha incurrido en una clara discriminación de los militares profesionales en relación con el resto de trabajadores españoles.</w:t>
      </w:r>
      <w:r>
        <w:rPr>
          <w:rStyle w:val="Ninguno"/>
          <w:u w:color="941751"/>
        </w:rPr>
        <w:t xml:space="preserve"> </w:t>
      </w:r>
    </w:p>
    <w:p w14:paraId="5A94437B" w14:textId="77777777" w:rsidR="00C705BF" w:rsidRPr="00916F24" w:rsidRDefault="00C705BF" w:rsidP="00C705BF">
      <w:pPr>
        <w:pStyle w:val="SingleTxtG"/>
        <w:rPr>
          <w:rStyle w:val="Ninguno"/>
          <w:u w:color="941751"/>
        </w:rPr>
      </w:pPr>
      <w:r>
        <w:rPr>
          <w:rStyle w:val="Ninguno"/>
          <w:u w:color="941751"/>
        </w:rPr>
        <w:t>7.6</w:t>
      </w:r>
      <w:r>
        <w:rPr>
          <w:rStyle w:val="Ninguno"/>
          <w:u w:color="941751"/>
        </w:rPr>
        <w:tab/>
        <w:t xml:space="preserve">Respecto a la afirmación del Estado parte de que la diferenciación de trato establecida por la normativa arriba citada no se refiere a los supuestos de incapacidad absoluta para toda profesión u oficio, y que en lo que se refiere a la incapacidad permanente para su profesión u oficio habitual, la diferencia de trato estaría justificada por el carácter temporal del compromiso de los militares de empleo, la autora indica que ello implica que los militares de empleo se encuentran en una situación de desigualdad frente al resto de trabajadores españoles. Así, indica la autora que, a diferencia de su caso, cualquier trabajador español con un compromiso laboral temporal y que presente una patología como la suya, es decir de aquellas que determinan </w:t>
      </w:r>
      <w:r w:rsidRPr="00C65B94">
        <w:rPr>
          <w:rStyle w:val="Ninguno"/>
          <w:u w:color="941751"/>
        </w:rPr>
        <w:t>una incapacidad no absoluta para cualquier profesión u oficio,</w:t>
      </w:r>
      <w:r>
        <w:rPr>
          <w:rStyle w:val="Ninguno"/>
          <w:u w:color="941751"/>
        </w:rPr>
        <w:t xml:space="preserve"> tiene derecho a una pensión, la cual será determinada teniendo en cuenta ciertas circunstancias, entre ellas el tiempo cotizado, </w:t>
      </w:r>
      <w:r w:rsidRPr="001D2B1B">
        <w:rPr>
          <w:u w:color="941751"/>
        </w:rPr>
        <w:t>o incluso</w:t>
      </w:r>
      <w:r>
        <w:rPr>
          <w:u w:color="941751"/>
        </w:rPr>
        <w:t>,</w:t>
      </w:r>
      <w:r w:rsidRPr="001D2B1B">
        <w:rPr>
          <w:u w:color="941751"/>
        </w:rPr>
        <w:t xml:space="preserve"> </w:t>
      </w:r>
      <w:r>
        <w:rPr>
          <w:u w:color="941751"/>
        </w:rPr>
        <w:t>el</w:t>
      </w:r>
      <w:r w:rsidRPr="001D2B1B">
        <w:rPr>
          <w:u w:color="941751"/>
        </w:rPr>
        <w:t xml:space="preserve"> derecho a percibir una pensión </w:t>
      </w:r>
      <w:r>
        <w:rPr>
          <w:u w:color="941751"/>
        </w:rPr>
        <w:t xml:space="preserve">podría estar </w:t>
      </w:r>
      <w:r w:rsidRPr="001D2B1B">
        <w:rPr>
          <w:u w:color="941751"/>
        </w:rPr>
        <w:t>determinado por la existencia de un periodo mínimo de cotización</w:t>
      </w:r>
      <w:r>
        <w:rPr>
          <w:u w:color="941751"/>
        </w:rPr>
        <w:t xml:space="preserve">. Ello claramente no ocurre en el caso de los militares de empleo. En este sentido, la autora considera que resultaría ajustado al principio de igualdad que se estableciese un plazo mínimo de cotización para obtener el derecho a una pensión respecto de los militares de empleo, en lugar de suprimir tal derecho con base en el carácter temporal de su vínculo laboral. </w:t>
      </w:r>
    </w:p>
    <w:p w14:paraId="04EDBEEC" w14:textId="7757ACA0" w:rsidR="00C705BF" w:rsidRDefault="00C705BF" w:rsidP="00C705BF">
      <w:pPr>
        <w:pStyle w:val="SingleTxtG"/>
        <w:rPr>
          <w:rStyle w:val="Ninguno"/>
          <w:u w:color="941751"/>
        </w:rPr>
      </w:pPr>
      <w:r>
        <w:rPr>
          <w:rStyle w:val="Ninguno"/>
          <w:u w:color="941751"/>
        </w:rPr>
        <w:t>7.7</w:t>
      </w:r>
      <w:r>
        <w:rPr>
          <w:rStyle w:val="Ninguno"/>
          <w:u w:color="941751"/>
        </w:rPr>
        <w:tab/>
        <w:t xml:space="preserve">La autora indica que </w:t>
      </w:r>
      <w:r w:rsidRPr="00836ECA">
        <w:rPr>
          <w:rStyle w:val="Ninguno"/>
          <w:u w:color="941751"/>
        </w:rPr>
        <w:t xml:space="preserve">llevaba </w:t>
      </w:r>
      <w:r>
        <w:rPr>
          <w:rStyle w:val="Ninguno"/>
          <w:u w:color="941751"/>
        </w:rPr>
        <w:t>siete</w:t>
      </w:r>
      <w:r w:rsidRPr="00836ECA">
        <w:rPr>
          <w:rStyle w:val="Ninguno"/>
          <w:u w:color="941751"/>
        </w:rPr>
        <w:t xml:space="preserve"> años en las Fuerzas Armadas cuando se produjo la baja médica inicial, de forma que ya presentaba un compromiso de larga duración sin necesidad de </w:t>
      </w:r>
      <w:r>
        <w:rPr>
          <w:rStyle w:val="Ninguno"/>
          <w:u w:color="941751"/>
        </w:rPr>
        <w:t xml:space="preserve">renovación </w:t>
      </w:r>
      <w:r w:rsidRPr="00836ECA">
        <w:rPr>
          <w:rStyle w:val="Ninguno"/>
          <w:u w:color="941751"/>
        </w:rPr>
        <w:t>hasta los 45 años,</w:t>
      </w:r>
      <w:r>
        <w:rPr>
          <w:rStyle w:val="Ninguno"/>
          <w:u w:color="941751"/>
        </w:rPr>
        <w:t xml:space="preserve"> momento en el que </w:t>
      </w:r>
      <w:r w:rsidRPr="00836ECA">
        <w:rPr>
          <w:rStyle w:val="Ninguno"/>
          <w:u w:color="941751"/>
        </w:rPr>
        <w:t>pasaría a ser reservista</w:t>
      </w:r>
      <w:r>
        <w:rPr>
          <w:rStyle w:val="Ninguno"/>
          <w:u w:color="941751"/>
        </w:rPr>
        <w:t xml:space="preserve">; por tanto, afirmar que se trataba de un </w:t>
      </w:r>
      <w:r w:rsidRPr="004F1918">
        <w:rPr>
          <w:u w:color="941751"/>
        </w:rPr>
        <w:t xml:space="preserve">un </w:t>
      </w:r>
      <w:r>
        <w:rPr>
          <w:u w:color="941751"/>
        </w:rPr>
        <w:t>compromiso de carácter temporal</w:t>
      </w:r>
      <w:r w:rsidRPr="004F1918">
        <w:rPr>
          <w:u w:color="941751"/>
        </w:rPr>
        <w:t xml:space="preserve"> “resulta cuando menos sorprendente”</w:t>
      </w:r>
      <w:r>
        <w:rPr>
          <w:u w:color="941751"/>
        </w:rPr>
        <w:t xml:space="preserve">. </w:t>
      </w:r>
      <w:r w:rsidRPr="004F1918">
        <w:rPr>
          <w:rStyle w:val="Ninguno"/>
          <w:u w:color="941751"/>
        </w:rPr>
        <w:t xml:space="preserve">Por lo tanto, la autora considera que la diferenciación de trato entre los militares de empleo y el resto de trabajadores españoles con base en el ámbito temporal de su contrato, no constituye una justificación razonable ni suficiente para la discriminación sufrida por </w:t>
      </w:r>
      <w:r>
        <w:rPr>
          <w:rStyle w:val="Ninguno"/>
          <w:u w:color="941751"/>
        </w:rPr>
        <w:t>dicho</w:t>
      </w:r>
      <w:r w:rsidRPr="004F1918">
        <w:rPr>
          <w:rStyle w:val="Ninguno"/>
          <w:u w:color="941751"/>
        </w:rPr>
        <w:t xml:space="preserve"> colectivo.</w:t>
      </w:r>
      <w:r>
        <w:rPr>
          <w:rStyle w:val="Ninguno"/>
          <w:u w:color="941751"/>
        </w:rPr>
        <w:t xml:space="preserve"> En consecuencia, considera que en su caso ha existido una violación de lo dispuesto en el artículo 26 del Pacto.  </w:t>
      </w:r>
    </w:p>
    <w:p w14:paraId="2FC2132A" w14:textId="77777777" w:rsidR="00C705BF" w:rsidRDefault="00C705BF" w:rsidP="00713A50">
      <w:pPr>
        <w:pStyle w:val="H23G"/>
        <w:rPr>
          <w:rStyle w:val="Ninguno"/>
          <w:u w:color="FF0000"/>
        </w:rPr>
      </w:pPr>
      <w:r>
        <w:rPr>
          <w:rStyle w:val="Ninguno"/>
          <w:rFonts w:eastAsia="Arial Unicode MS" w:cs="Arial Unicode MS"/>
          <w:u w:color="FF0000"/>
        </w:rPr>
        <w:tab/>
      </w:r>
      <w:r>
        <w:rPr>
          <w:rStyle w:val="Ninguno"/>
          <w:rFonts w:eastAsia="Arial Unicode MS" w:cs="Arial Unicode MS"/>
          <w:u w:color="FF0000"/>
        </w:rPr>
        <w:tab/>
        <w:t>Deliberaciones del Comité</w:t>
      </w:r>
    </w:p>
    <w:p w14:paraId="43660B46" w14:textId="77777777" w:rsidR="00C705BF" w:rsidRDefault="00C705BF" w:rsidP="00713A50">
      <w:pPr>
        <w:pStyle w:val="H4G"/>
        <w:rPr>
          <w:rStyle w:val="Ninguno"/>
          <w:u w:color="FF0000"/>
        </w:rPr>
      </w:pPr>
      <w:r>
        <w:rPr>
          <w:rStyle w:val="Ninguno"/>
          <w:rFonts w:eastAsia="Arial Unicode MS" w:cs="Arial Unicode MS"/>
          <w:u w:color="FF0000"/>
        </w:rPr>
        <w:tab/>
      </w:r>
      <w:r>
        <w:rPr>
          <w:rStyle w:val="Ninguno"/>
          <w:rFonts w:eastAsia="Arial Unicode MS" w:cs="Arial Unicode MS"/>
          <w:u w:color="FF0000"/>
        </w:rPr>
        <w:tab/>
        <w:t xml:space="preserve">Examen de la </w:t>
      </w:r>
      <w:r w:rsidRPr="00713A50">
        <w:rPr>
          <w:rStyle w:val="Ninguno"/>
          <w:rFonts w:eastAsia="Arial Unicode MS"/>
          <w:lang w:val="es-ES"/>
        </w:rPr>
        <w:t>admisibilidad</w:t>
      </w:r>
    </w:p>
    <w:p w14:paraId="3CCB4E2D" w14:textId="77777777" w:rsidR="00C705BF" w:rsidRDefault="00C705BF" w:rsidP="00C705BF">
      <w:pPr>
        <w:pStyle w:val="SingleTxtG"/>
        <w:rPr>
          <w:rStyle w:val="Ninguno"/>
          <w:u w:color="FF0000"/>
        </w:rPr>
      </w:pPr>
      <w:r>
        <w:rPr>
          <w:rStyle w:val="Ninguno"/>
          <w:u w:color="FF0000"/>
        </w:rPr>
        <w:t>8.1</w:t>
      </w:r>
      <w:r>
        <w:rPr>
          <w:rStyle w:val="Ninguno"/>
          <w:u w:color="FF0000"/>
        </w:rPr>
        <w:tab/>
        <w:t xml:space="preserve">Antes de examinar cualquier reclamación formulada en una comunicación, el Comité de Derechos Humanos debe decidir, de conformidad con el artículo </w:t>
      </w:r>
      <w:r w:rsidR="00FA0E81">
        <w:rPr>
          <w:rStyle w:val="Ninguno"/>
          <w:u w:color="FF0000"/>
        </w:rPr>
        <w:t xml:space="preserve">97 </w:t>
      </w:r>
      <w:r>
        <w:rPr>
          <w:rStyle w:val="Ninguno"/>
          <w:u w:color="FF0000"/>
        </w:rPr>
        <w:t>de su reglamento, si el caso es o no admisible en virtud del Protocolo Facultativo del Pacto.</w:t>
      </w:r>
    </w:p>
    <w:p w14:paraId="5E82F4B4" w14:textId="05510940" w:rsidR="00C705BF" w:rsidRDefault="003114B8" w:rsidP="00C705BF">
      <w:pPr>
        <w:pStyle w:val="SingleTxtG"/>
      </w:pPr>
      <w:r>
        <w:rPr>
          <w:rStyle w:val="Ninguno"/>
          <w:u w:color="FF0000"/>
        </w:rPr>
        <w:t>8.2</w:t>
      </w:r>
      <w:r>
        <w:rPr>
          <w:rStyle w:val="Ninguno"/>
          <w:u w:color="FF0000"/>
        </w:rPr>
        <w:tab/>
      </w:r>
      <w:r w:rsidR="00C705BF">
        <w:rPr>
          <w:rStyle w:val="Ninguno"/>
          <w:u w:color="FF0000"/>
        </w:rPr>
        <w:t>E</w:t>
      </w:r>
      <w:r w:rsidR="00C705BF">
        <w:t xml:space="preserve">l Comité recuerda que, al ratificar el Protocolo Facultativo, el Estado parte </w:t>
      </w:r>
      <w:r w:rsidR="00C705BF" w:rsidRPr="00685921">
        <w:t>introdujo una reserva por la que excluía la competencia del Comité en relación con los asuntos que hubiesen sido o estuvieran siendo examinados por otro procedimiento de examen o arreglo internacional.</w:t>
      </w:r>
      <w:r w:rsidR="00C705BF">
        <w:t xml:space="preserve"> </w:t>
      </w:r>
      <w:r w:rsidR="00C705BF" w:rsidRPr="00685921">
        <w:t xml:space="preserve">El Comité toma </w:t>
      </w:r>
      <w:r w:rsidR="00C705BF">
        <w:t>nota de la afirmación del Estado parte relativa</w:t>
      </w:r>
      <w:r w:rsidR="00C705BF" w:rsidRPr="00685921">
        <w:t xml:space="preserve"> a que </w:t>
      </w:r>
      <w:r w:rsidR="00C705BF">
        <w:t>la</w:t>
      </w:r>
      <w:r w:rsidR="00C705BF" w:rsidRPr="00685921">
        <w:t xml:space="preserve"> presente </w:t>
      </w:r>
      <w:r w:rsidR="00C705BF">
        <w:t>queja fue sometida</w:t>
      </w:r>
      <w:r w:rsidR="00C705BF" w:rsidRPr="00685921">
        <w:t xml:space="preserve"> al Tribunal Europeo de Derechos Humanos mediante </w:t>
      </w:r>
      <w:r w:rsidR="00C705BF">
        <w:t>queja de 16 septiembre 2013, y que fue declarada inadmisible por dicho Tribunal el 13 de febrero de 2014</w:t>
      </w:r>
      <w:r w:rsidR="0091667E">
        <w:t xml:space="preserve"> </w:t>
      </w:r>
      <w:r w:rsidR="00C705BF" w:rsidRPr="00EA42F0">
        <w:t>según lo establecido en los artículos 34 y 35 del Convenio Europeo de Derechos Humanos</w:t>
      </w:r>
      <w:r w:rsidR="00F23A67">
        <w:t xml:space="preserve"> </w:t>
      </w:r>
      <w:r w:rsidR="00773DB6">
        <w:t xml:space="preserve">y </w:t>
      </w:r>
      <w:r w:rsidR="00C705BF">
        <w:t xml:space="preserve"> de que, </w:t>
      </w:r>
      <w:r w:rsidR="00C705BF" w:rsidRPr="00EA42F0">
        <w:t xml:space="preserve">a pesar de que la carta del Tribunal no indica la causa concreta de la inadmisión, puede deducirse que </w:t>
      </w:r>
      <w:r w:rsidR="00C705BF">
        <w:t>se</w:t>
      </w:r>
      <w:r w:rsidR="00C705BF" w:rsidRPr="00EA42F0">
        <w:t xml:space="preserve"> hizo </w:t>
      </w:r>
      <w:r w:rsidR="00773DB6">
        <w:t xml:space="preserve">debido a </w:t>
      </w:r>
      <w:r w:rsidR="00C705BF">
        <w:t xml:space="preserve">la falta de compatibilidad de la queja con </w:t>
      </w:r>
      <w:r w:rsidR="00C705BF" w:rsidRPr="00EA42F0">
        <w:t xml:space="preserve">las disposiciones del Convenio o de sus Protocolos, </w:t>
      </w:r>
      <w:r w:rsidR="00C705BF">
        <w:t xml:space="preserve">que era </w:t>
      </w:r>
      <w:r w:rsidR="00C705BF" w:rsidRPr="00EA42F0">
        <w:t>manifiestamente mal fundada o abusiva</w:t>
      </w:r>
      <w:r w:rsidR="00C705BF">
        <w:t xml:space="preserve">, </w:t>
      </w:r>
      <w:r w:rsidR="00C705BF" w:rsidRPr="00EA42F0">
        <w:t>ya que la comunicación no se encuadra en ninguna de las otras causales consagradas en los artículos 34 y 35</w:t>
      </w:r>
      <w:r w:rsidR="00C705BF">
        <w:t xml:space="preserve"> del Convenio</w:t>
      </w:r>
      <w:r w:rsidR="00C705BF" w:rsidRPr="00EA42F0">
        <w:t>.</w:t>
      </w:r>
      <w:r w:rsidR="00C705BF">
        <w:t xml:space="preserve"> </w:t>
      </w:r>
    </w:p>
    <w:p w14:paraId="5438FD0C" w14:textId="5527E96A" w:rsidR="00C705BF" w:rsidRPr="00AD3BA1" w:rsidRDefault="003114B8" w:rsidP="00C705BF">
      <w:pPr>
        <w:pStyle w:val="SingleTxtG"/>
      </w:pPr>
      <w:r>
        <w:t>8.</w:t>
      </w:r>
      <w:r w:rsidR="00C778BC">
        <w:t>3</w:t>
      </w:r>
      <w:r w:rsidR="00C705BF">
        <w:tab/>
        <w:t>E</w:t>
      </w:r>
      <w:r w:rsidR="00C705BF" w:rsidRPr="00510B08">
        <w:t>l Comité observa que el T</w:t>
      </w:r>
      <w:r w:rsidR="00C705BF">
        <w:t xml:space="preserve">ribunal </w:t>
      </w:r>
      <w:r w:rsidR="00C705BF" w:rsidRPr="00510B08">
        <w:t>E</w:t>
      </w:r>
      <w:r w:rsidR="00C705BF">
        <w:t xml:space="preserve">uropeo de </w:t>
      </w:r>
      <w:r w:rsidR="00C705BF" w:rsidRPr="00510B08">
        <w:t>D</w:t>
      </w:r>
      <w:r w:rsidR="00C705BF">
        <w:t xml:space="preserve">erechos </w:t>
      </w:r>
      <w:r w:rsidR="00C705BF" w:rsidRPr="00510B08">
        <w:t>H</w:t>
      </w:r>
      <w:r w:rsidR="00C705BF">
        <w:t>umanos</w:t>
      </w:r>
      <w:r w:rsidR="00C705BF" w:rsidRPr="00510B08">
        <w:t xml:space="preserve"> declaró inadmisible la demanda </w:t>
      </w:r>
      <w:r w:rsidR="00C705BF">
        <w:t xml:space="preserve">de la autora </w:t>
      </w:r>
      <w:r w:rsidR="00C705BF" w:rsidRPr="00510B08">
        <w:t xml:space="preserve">por no cumplir los requisitos de admisibilidad contemplados en los artículos 34 y 35 de la Convención. </w:t>
      </w:r>
      <w:r w:rsidR="00C705BF">
        <w:t xml:space="preserve">El Comité </w:t>
      </w:r>
      <w:r w:rsidR="00C705BF" w:rsidRPr="00990706">
        <w:t xml:space="preserve">recuerda su jurisprudencia </w:t>
      </w:r>
      <w:r w:rsidR="00C705BF">
        <w:t>según la cual,</w:t>
      </w:r>
      <w:r w:rsidR="00C705BF" w:rsidRPr="00990706">
        <w:t xml:space="preserve"> cuando </w:t>
      </w:r>
      <w:r w:rsidR="00C705BF" w:rsidRPr="00510B08">
        <w:t xml:space="preserve">un procedimiento de examen o arreglo internacional </w:t>
      </w:r>
      <w:r w:rsidR="00C705BF">
        <w:t>declara inadmisible una queja</w:t>
      </w:r>
      <w:r w:rsidR="00C705BF" w:rsidRPr="00990706">
        <w:t xml:space="preserve"> no solamente en razones de procedimiento, sino también </w:t>
      </w:r>
      <w:r w:rsidR="00C705BF">
        <w:t>por</w:t>
      </w:r>
      <w:r w:rsidR="00C705BF" w:rsidRPr="00990706">
        <w:t xml:space="preserve"> razones que incluyen en cierta medida un examen del fondo del caso, se debe considerar que el asunto ha sido examinado en el sentido de las reservas al artículo 5, párrafo 2 a), del Protocolo Facultativo</w:t>
      </w:r>
      <w:r w:rsidR="00C705BF" w:rsidRPr="00990706">
        <w:rPr>
          <w:vertAlign w:val="superscript"/>
        </w:rPr>
        <w:footnoteReference w:id="34"/>
      </w:r>
      <w:r w:rsidR="00C705BF" w:rsidRPr="00990706">
        <w:t>.</w:t>
      </w:r>
      <w:r w:rsidR="00C705BF">
        <w:t xml:space="preserve"> </w:t>
      </w:r>
      <w:r w:rsidR="00C705BF" w:rsidRPr="00AD3BA1">
        <w:t>No pudiendo descartar, con base en la decisión del T</w:t>
      </w:r>
      <w:r w:rsidR="00C705BF">
        <w:t xml:space="preserve">ribunal </w:t>
      </w:r>
      <w:r w:rsidR="00C705BF" w:rsidRPr="00AD3BA1">
        <w:t>E</w:t>
      </w:r>
      <w:r w:rsidR="00C705BF">
        <w:t xml:space="preserve">uropeo de </w:t>
      </w:r>
      <w:r w:rsidR="00C705BF" w:rsidRPr="00AD3BA1">
        <w:t>D</w:t>
      </w:r>
      <w:r w:rsidR="00C705BF">
        <w:t xml:space="preserve">erechos </w:t>
      </w:r>
      <w:r w:rsidR="00C705BF" w:rsidRPr="00AD3BA1">
        <w:t>H</w:t>
      </w:r>
      <w:r w:rsidR="00C705BF">
        <w:t>umanos, que é</w:t>
      </w:r>
      <w:r w:rsidR="00C705BF" w:rsidRPr="00AD3BA1">
        <w:t xml:space="preserve">ste </w:t>
      </w:r>
      <w:r w:rsidR="00C705BF">
        <w:t>hubiese desestimado la demanda de la</w:t>
      </w:r>
      <w:r w:rsidR="00C705BF" w:rsidRPr="00AD3BA1">
        <w:t xml:space="preserve"> autora sobre la base de consideraciones puramente formales y sin entrar a examinar, ni siquiera de manera limitada, el fondo del asunto, el Comité concluye que no existe obstáculo para </w:t>
      </w:r>
      <w:r w:rsidR="00C705BF">
        <w:t>su</w:t>
      </w:r>
      <w:r w:rsidR="00C705BF" w:rsidRPr="00AD3BA1">
        <w:t xml:space="preserve"> competencia </w:t>
      </w:r>
      <w:r w:rsidR="00C705BF">
        <w:t>conforme al</w:t>
      </w:r>
      <w:r w:rsidR="00C705BF" w:rsidRPr="00AD3BA1">
        <w:t xml:space="preserve"> artículo 5, párrafo 2(a) del Protocolo Facultativo.</w:t>
      </w:r>
    </w:p>
    <w:p w14:paraId="2950A42E" w14:textId="77326517" w:rsidR="00C705BF" w:rsidRDefault="003114B8" w:rsidP="00C705BF">
      <w:pPr>
        <w:pStyle w:val="SingleTxtG"/>
      </w:pPr>
      <w:r>
        <w:t>8.</w:t>
      </w:r>
      <w:r w:rsidR="001A3417">
        <w:t>4</w:t>
      </w:r>
      <w:r w:rsidR="00C705BF">
        <w:tab/>
      </w:r>
      <w:r w:rsidR="00C705BF" w:rsidRPr="00E0581E">
        <w:t>El Comité toma nota del argumento del E</w:t>
      </w:r>
      <w:r w:rsidR="00C705BF">
        <w:t>stado p</w:t>
      </w:r>
      <w:r w:rsidR="00C705BF" w:rsidRPr="00E0581E">
        <w:t>arte según el cual la autora no ha agotado los recursos internos</w:t>
      </w:r>
      <w:r w:rsidR="00C705BF">
        <w:t>, en lo que se refiere a su alegación de violación del derecho a la igualdad</w:t>
      </w:r>
      <w:r w:rsidR="00C705BF" w:rsidRPr="00A3727D">
        <w:t xml:space="preserve">, </w:t>
      </w:r>
      <w:r w:rsidR="00B0430A">
        <w:t xml:space="preserve">ya </w:t>
      </w:r>
      <w:r w:rsidR="00C705BF">
        <w:t>que el acto recurrido por la autora se limitaba a reconocer su</w:t>
      </w:r>
      <w:r w:rsidR="00C705BF" w:rsidRPr="00536715">
        <w:t xml:space="preserve"> </w:t>
      </w:r>
      <w:r w:rsidR="00C705BF">
        <w:t>discapacidad</w:t>
      </w:r>
      <w:r w:rsidR="00C705BF" w:rsidRPr="00536715">
        <w:t xml:space="preserve"> y a darla de baja de las Fuerzas Armadas</w:t>
      </w:r>
      <w:r w:rsidR="00C705BF">
        <w:t xml:space="preserve">, y, por consiguiente, a pesar de que la autora hubiese hecho </w:t>
      </w:r>
      <w:r w:rsidR="00C705BF" w:rsidRPr="00536715">
        <w:t>referencia a la vulneración del principio de igualdad</w:t>
      </w:r>
      <w:r w:rsidR="00C705BF">
        <w:t xml:space="preserve"> en su recurso contencioso administrativo</w:t>
      </w:r>
      <w:r w:rsidR="00B0430A">
        <w:t xml:space="preserve"> contra dicho acto</w:t>
      </w:r>
      <w:r w:rsidR="00C705BF">
        <w:t>, no incluyó</w:t>
      </w:r>
      <w:r w:rsidR="00C705BF" w:rsidRPr="00536715">
        <w:t xml:space="preserve"> ninguna pretensión a ese respecto</w:t>
      </w:r>
      <w:r w:rsidR="00C705BF">
        <w:t xml:space="preserve">, lo que no hubiese podido ser de otra manera, porque </w:t>
      </w:r>
      <w:r w:rsidR="00C705BF" w:rsidRPr="00536715">
        <w:t xml:space="preserve">el acto </w:t>
      </w:r>
      <w:r w:rsidR="00B0430A">
        <w:t xml:space="preserve">en cuestión </w:t>
      </w:r>
      <w:r w:rsidR="00C705BF" w:rsidRPr="00536715">
        <w:t>no reconocía o negaba una pensión</w:t>
      </w:r>
      <w:r w:rsidR="00C705BF">
        <w:t xml:space="preserve">. </w:t>
      </w:r>
      <w:r w:rsidR="00C705BF" w:rsidRPr="00536715">
        <w:t xml:space="preserve"> </w:t>
      </w:r>
    </w:p>
    <w:p w14:paraId="15B744FE" w14:textId="1DF481B9" w:rsidR="00C705BF" w:rsidRDefault="003114B8" w:rsidP="00C705BF">
      <w:pPr>
        <w:pStyle w:val="SingleTxtG"/>
      </w:pPr>
      <w:r>
        <w:t>8.</w:t>
      </w:r>
      <w:r w:rsidR="001A3417">
        <w:t>5</w:t>
      </w:r>
      <w:r w:rsidR="00C705BF">
        <w:tab/>
        <w:t xml:space="preserve">Igualmente, el Comité toma </w:t>
      </w:r>
      <w:r w:rsidR="00C63EE3">
        <w:t xml:space="preserve">nota </w:t>
      </w:r>
      <w:r w:rsidR="00C705BF">
        <w:t xml:space="preserve">de la alegación de la autora de que la resolución </w:t>
      </w:r>
      <w:r w:rsidR="00C705BF" w:rsidRPr="00977F9B">
        <w:t>de 11 de noviembre de 2008</w:t>
      </w:r>
      <w:r w:rsidR="00B86378">
        <w:t xml:space="preserve"> </w:t>
      </w:r>
      <w:r w:rsidR="00C705BF">
        <w:t>sí</w:t>
      </w:r>
      <w:r w:rsidR="00C705BF" w:rsidRPr="00977F9B">
        <w:t xml:space="preserve"> se pronunció sobre su derecho a pensión o indemnización, ya que </w:t>
      </w:r>
      <w:r w:rsidR="00C705BF" w:rsidRPr="00773DB6">
        <w:t>el</w:t>
      </w:r>
      <w:r w:rsidR="00C705BF" w:rsidRPr="00977F9B">
        <w:t xml:space="preserve"> contenido de la misma afectaba </w:t>
      </w:r>
      <w:proofErr w:type="gramStart"/>
      <w:r w:rsidR="00B86378">
        <w:t xml:space="preserve">la </w:t>
      </w:r>
      <w:r w:rsidR="00C705BF" w:rsidRPr="00977F9B">
        <w:t xml:space="preserve"> cuestión</w:t>
      </w:r>
      <w:proofErr w:type="gramEnd"/>
      <w:r w:rsidR="00B86378">
        <w:t xml:space="preserve"> de la pensión</w:t>
      </w:r>
      <w:r w:rsidR="00C705BF">
        <w:t xml:space="preserve">, porque al determinar que la autora </w:t>
      </w:r>
      <w:r w:rsidR="00C705BF" w:rsidRPr="003F6B72">
        <w:t xml:space="preserve">quedaba fuera del ámbito de aplicación del Real Decreto 1186/2001, se le estaba negando toda posibilidad de solicitar una pensión o indemnización, independientemente del grado de </w:t>
      </w:r>
      <w:r w:rsidR="00C705BF">
        <w:t>discapacidad</w:t>
      </w:r>
      <w:r w:rsidR="00C705BF" w:rsidRPr="003F6B72">
        <w:t xml:space="preserve"> que se le asignase</w:t>
      </w:r>
      <w:r w:rsidR="00C705BF">
        <w:t xml:space="preserve">. El Comité, asimismo, toma nota del argumento de la autora de que </w:t>
      </w:r>
      <w:r w:rsidR="00C705BF" w:rsidRPr="003F6B72">
        <w:t>alegó la vulneración de</w:t>
      </w:r>
      <w:r w:rsidR="00C705BF">
        <w:t xml:space="preserve"> su</w:t>
      </w:r>
      <w:r w:rsidR="00C705BF" w:rsidRPr="003F6B72">
        <w:t xml:space="preserve"> derecho</w:t>
      </w:r>
      <w:r w:rsidR="00C705BF">
        <w:t xml:space="preserve"> a la igualdad</w:t>
      </w:r>
      <w:r w:rsidR="00C705BF" w:rsidRPr="003F6B72">
        <w:t xml:space="preserve"> por la aplicación </w:t>
      </w:r>
      <w:r w:rsidR="00C705BF">
        <w:t xml:space="preserve">en su caso </w:t>
      </w:r>
      <w:r w:rsidR="00C705BF" w:rsidRPr="003F6B72">
        <w:t xml:space="preserve">del artículo 52bis del Texto Refundido de la Ley de Clases Pasivas del Estado y </w:t>
      </w:r>
      <w:r w:rsidR="00C705BF">
        <w:t>d</w:t>
      </w:r>
      <w:r w:rsidR="00C705BF" w:rsidRPr="003F6B72">
        <w:t xml:space="preserve">el Real Decreto 1186/2001, </w:t>
      </w:r>
      <w:r w:rsidR="00F23A67">
        <w:t xml:space="preserve">tanto en </w:t>
      </w:r>
      <w:r w:rsidR="00C705BF" w:rsidRPr="003F6B72">
        <w:t>el recurso contencioso administrativo, así como en el incidente excepcional de nulidad contra la decisión del Tribunal</w:t>
      </w:r>
      <w:r w:rsidR="00C705BF">
        <w:t xml:space="preserve"> Superior de 21 de mayo de 2012. </w:t>
      </w:r>
      <w:r w:rsidR="009D6C6D">
        <w:t xml:space="preserve"> </w:t>
      </w:r>
    </w:p>
    <w:p w14:paraId="32DE744E" w14:textId="482161A9" w:rsidR="00C705BF" w:rsidRDefault="003114B8" w:rsidP="00C705BF">
      <w:pPr>
        <w:pStyle w:val="SingleTxtG"/>
      </w:pPr>
      <w:r>
        <w:t>8.</w:t>
      </w:r>
      <w:r w:rsidR="006C14DA">
        <w:t>6</w:t>
      </w:r>
      <w:r>
        <w:tab/>
      </w:r>
      <w:r w:rsidR="00C705BF">
        <w:t xml:space="preserve">El Comité observa que la resolución de 11 de noviembre de 2008 determinó que la autora quedaba </w:t>
      </w:r>
      <w:r w:rsidR="00C705BF" w:rsidRPr="003A4FF1">
        <w:t>fuera del ámbito de aplic</w:t>
      </w:r>
      <w:r w:rsidR="00C705BF">
        <w:t xml:space="preserve">ación del Real Decreto 1186/2001, lo cual tiene un efecto directo sobre su derecho a una pensión, ya que el quedar por fuera del ámbito de aplicación de dicho Decreto, tiene como consecuencia el no poder reclamar </w:t>
      </w:r>
      <w:r w:rsidR="00C705BF" w:rsidRPr="00821C58">
        <w:t>las pensiones e indemnizaciones contempladas en dicha normativa</w:t>
      </w:r>
      <w:r w:rsidR="00C705BF">
        <w:t xml:space="preserve">. El Comité observa que </w:t>
      </w:r>
      <w:r w:rsidR="00C705BF" w:rsidRPr="00821C58">
        <w:t xml:space="preserve">la autora argumentó la violación de su derecho a la igualdad en </w:t>
      </w:r>
      <w:r w:rsidR="00C705BF">
        <w:t>el</w:t>
      </w:r>
      <w:r w:rsidR="00C705BF" w:rsidRPr="00821C58">
        <w:t xml:space="preserve"> recurso contencioso administrativo</w:t>
      </w:r>
      <w:r w:rsidR="00C705BF">
        <w:t xml:space="preserve"> que atacaba la resolución en cuestión</w:t>
      </w:r>
      <w:r w:rsidR="00C705BF" w:rsidRPr="00821C58">
        <w:t>,</w:t>
      </w:r>
      <w:r w:rsidR="00C705BF">
        <w:t xml:space="preserve"> así como </w:t>
      </w:r>
      <w:r w:rsidR="00C705BF" w:rsidRPr="00821C58">
        <w:t xml:space="preserve">en </w:t>
      </w:r>
      <w:r w:rsidR="00C705BF">
        <w:t>el</w:t>
      </w:r>
      <w:r w:rsidR="00C705BF" w:rsidRPr="00821C58">
        <w:t xml:space="preserve"> incidente de nulidad contra la sentencia </w:t>
      </w:r>
      <w:r w:rsidR="00C705BF">
        <w:t>que resolvió dicho recurso</w:t>
      </w:r>
      <w:r w:rsidR="00C705BF" w:rsidRPr="00821C58">
        <w:t xml:space="preserve">, </w:t>
      </w:r>
      <w:r w:rsidR="00C705BF">
        <w:t xml:space="preserve">y </w:t>
      </w:r>
      <w:r w:rsidR="00C705BF" w:rsidRPr="00821C58">
        <w:t xml:space="preserve">en su recurso de amparo ante el Tribunal Constitucional. </w:t>
      </w:r>
      <w:r w:rsidR="00C705BF">
        <w:t xml:space="preserve">Asimismo, el Comité toma nota de la afirmación del Estado parte de que la autora no hubiese podido incluir ninguna pretensión respecto de su derecho a la igualdad en su recurso contencioso, puesto que el Tribunal Superior </w:t>
      </w:r>
      <w:r w:rsidR="00C705BF" w:rsidRPr="00C16CDD">
        <w:t xml:space="preserve">no podía pronunciarse sobre su derecho a pensión, </w:t>
      </w:r>
      <w:r w:rsidR="00C705BF">
        <w:t xml:space="preserve">dado que </w:t>
      </w:r>
      <w:r w:rsidR="00C705BF" w:rsidRPr="00C16CDD">
        <w:t>ello correspondía a otro organismo</w:t>
      </w:r>
      <w:r w:rsidR="00C705BF">
        <w:t xml:space="preserve">. Sin embargo, el Comité nota que el Estado parte no indica ante qué organismo hubiese podido acudir la autora con este fin. El Comité también observa que frente a la afirmación de la autora de que el </w:t>
      </w:r>
      <w:r w:rsidR="00C705BF" w:rsidRPr="00C16CDD">
        <w:t>recurso contencioso</w:t>
      </w:r>
      <w:r w:rsidR="00C705BF">
        <w:t xml:space="preserve"> y</w:t>
      </w:r>
      <w:r w:rsidR="00C705BF" w:rsidRPr="00C16CDD">
        <w:t xml:space="preserve"> el incidente de nulidad interpuestos por ella eran las únicas vías jurídicas disponibles</w:t>
      </w:r>
      <w:r w:rsidR="00C705BF">
        <w:t xml:space="preserve"> para alegar su violación del derecho a la igualdad, el Estado parte no hace ninguna observación. </w:t>
      </w:r>
      <w:r w:rsidR="00C705BF" w:rsidRPr="00C22B45">
        <w:t>Igualmente, el Comité observa que el Estado parte no indica qué recurso ha debido utilizar l</w:t>
      </w:r>
      <w:r w:rsidR="00C705BF">
        <w:t>a autora para considerar agotados</w:t>
      </w:r>
      <w:r w:rsidR="00C705BF" w:rsidRPr="00C22B45">
        <w:t xml:space="preserve"> l</w:t>
      </w:r>
      <w:r w:rsidR="00C705BF">
        <w:t>os</w:t>
      </w:r>
      <w:r w:rsidR="00C705BF" w:rsidRPr="00C22B45">
        <w:t xml:space="preserve"> </w:t>
      </w:r>
      <w:r w:rsidR="00C705BF">
        <w:t>recursos internos</w:t>
      </w:r>
      <w:r w:rsidR="00C705BF" w:rsidRPr="00C22B45">
        <w:t>. En consecuencia,</w:t>
      </w:r>
      <w:r w:rsidR="00C705BF">
        <w:t xml:space="preserve"> el Comité considera que el </w:t>
      </w:r>
      <w:r w:rsidR="00C705BF" w:rsidRPr="003F00A4">
        <w:t xml:space="preserve">artículo 5, párrafo 2 </w:t>
      </w:r>
      <w:r w:rsidR="00C705BF">
        <w:t>b</w:t>
      </w:r>
      <w:r w:rsidR="00C705BF" w:rsidRPr="003F00A4">
        <w:t>), del Protocolo Facultativo</w:t>
      </w:r>
      <w:r w:rsidR="00C705BF">
        <w:t xml:space="preserve"> no constituye un obstáculo para el examen de la comunicación. </w:t>
      </w:r>
    </w:p>
    <w:p w14:paraId="1B209860" w14:textId="43AC66DD" w:rsidR="00C705BF" w:rsidRDefault="003114B8" w:rsidP="00C705BF">
      <w:pPr>
        <w:pStyle w:val="SingleTxtG"/>
      </w:pPr>
      <w:r>
        <w:t>8.</w:t>
      </w:r>
      <w:r w:rsidR="006C14DA">
        <w:t>7</w:t>
      </w:r>
      <w:r w:rsidR="00C705BF">
        <w:tab/>
        <w:t xml:space="preserve">El </w:t>
      </w:r>
      <w:r w:rsidR="00C705BF" w:rsidRPr="00626424">
        <w:t xml:space="preserve">Comité </w:t>
      </w:r>
      <w:r w:rsidR="00C705BF">
        <w:t xml:space="preserve">también toma </w:t>
      </w:r>
      <w:r w:rsidR="00C705BF" w:rsidRPr="00626424">
        <w:t xml:space="preserve">nota </w:t>
      </w:r>
      <w:r w:rsidR="00C705BF">
        <w:t>d</w:t>
      </w:r>
      <w:r w:rsidR="00C705BF" w:rsidRPr="00626424">
        <w:t xml:space="preserve">el argumento del Estado parte de que la autora cometió abuso del derecho puesto que sus argumentos referentes a la violación del derecho a la igualdad constituían una petición genérica no relacionada con el objeto del proceso ante las autoridades judiciales internas, el cual se refería al grado de </w:t>
      </w:r>
      <w:r w:rsidR="00C705BF">
        <w:t>discapacidad</w:t>
      </w:r>
      <w:r w:rsidR="00C705BF" w:rsidRPr="00626424">
        <w:t xml:space="preserve"> y sus causas, y no a al derecho a pensión por incapacidad.</w:t>
      </w:r>
      <w:r w:rsidR="00C705BF">
        <w:t xml:space="preserve"> </w:t>
      </w:r>
      <w:r w:rsidR="00C705BF" w:rsidRPr="00773DB6">
        <w:t>Como arriba mencionado</w:t>
      </w:r>
      <w:r w:rsidR="00C705BF">
        <w:t xml:space="preserve">, el Comité considera que la resolución de 11 de noviembre de 2008 tuvo un efecto directo sobre el reconocimiento a pensión o indemnización de la autora, por tanto, el Comité considera que los argumentos referentes al derecho a la igualdad estaban ligados al objeto del proceso llevado ante los tribunales internos. </w:t>
      </w:r>
      <w:r w:rsidR="00C705BF" w:rsidRPr="00905891">
        <w:t>En consecuencia, el Comité considera que no existe abuso del derecho a presentar la comunicación</w:t>
      </w:r>
      <w:r w:rsidR="00C705BF">
        <w:rPr>
          <w:rStyle w:val="FootnoteReference"/>
        </w:rPr>
        <w:footnoteReference w:id="35"/>
      </w:r>
      <w:r w:rsidR="00C705BF">
        <w:t>.</w:t>
      </w:r>
    </w:p>
    <w:p w14:paraId="4C824BA7" w14:textId="58CC9BC3" w:rsidR="00C705BF" w:rsidRDefault="003114B8" w:rsidP="00C705BF">
      <w:pPr>
        <w:pStyle w:val="SingleTxtG"/>
      </w:pPr>
      <w:r>
        <w:t>8.</w:t>
      </w:r>
      <w:r w:rsidR="006C14DA">
        <w:t>8</w:t>
      </w:r>
      <w:r w:rsidR="00C705BF">
        <w:tab/>
        <w:t xml:space="preserve">El Comité toma nota de la alegación de la autora de que </w:t>
      </w:r>
      <w:r w:rsidR="00C705BF" w:rsidRPr="00883732">
        <w:t>se ha vulnerado su derecho a un proceso justo reconocido en el artículo 14</w:t>
      </w:r>
      <w:r w:rsidR="00C705BF">
        <w:t xml:space="preserve"> del Pacto porque</w:t>
      </w:r>
      <w:r w:rsidR="00C705BF" w:rsidRPr="00883732">
        <w:t xml:space="preserve"> las decisiones emitidas por el Tribunal Superior de Justicia de la Comunidad Valenciana han infringido su derecho a obtener una resolución fundada en derecho y debidamente motivada</w:t>
      </w:r>
      <w:r w:rsidR="00C705BF">
        <w:t xml:space="preserve">, en lo referente a sus alegaciones, en particular las referentes a la supuesta violación de su derecho a la igualdad. Igualmente, el Comité </w:t>
      </w:r>
      <w:r w:rsidR="00C63EE3">
        <w:t xml:space="preserve">toma </w:t>
      </w:r>
      <w:r w:rsidR="00C705BF">
        <w:t xml:space="preserve">nota </w:t>
      </w:r>
      <w:r w:rsidR="00A62210">
        <w:t>d</w:t>
      </w:r>
      <w:r w:rsidR="00C705BF">
        <w:t xml:space="preserve">el argumento del Estado parte de que el Comité sólo puede intervenir </w:t>
      </w:r>
      <w:r w:rsidR="00C705BF" w:rsidRPr="00B86866">
        <w:t>cuando se</w:t>
      </w:r>
      <w:r w:rsidR="00C705BF">
        <w:t xml:space="preserve"> demuestra que las actuaciones de </w:t>
      </w:r>
      <w:r w:rsidR="00C705BF" w:rsidRPr="00B86866">
        <w:t>los tribunales internos fueron arbitrarias, o cuando se demuestra que los tribunales no fueron independientes o imparciales</w:t>
      </w:r>
      <w:r w:rsidR="00C705BF">
        <w:t>, lo que no ocurrió en el presente caso. El Comité observa que el Tribunal Superior</w:t>
      </w:r>
      <w:r w:rsidR="00C705BF" w:rsidRPr="001763AE">
        <w:t xml:space="preserve"> </w:t>
      </w:r>
      <w:r w:rsidR="00C705BF">
        <w:t xml:space="preserve">de la Comunidad Valenciana en su sentencia de 21 de mayo de 2012, determinó que la autora quedaba por fuera del ámbito de aplicación del Real Decreto 1186/2001, y  que en el </w:t>
      </w:r>
      <w:r w:rsidR="00C705BF" w:rsidRPr="00BF6D4F">
        <w:t>auto de 27 de diciembre de 2012,</w:t>
      </w:r>
      <w:r w:rsidR="00C705BF">
        <w:t xml:space="preserve"> </w:t>
      </w:r>
      <w:r w:rsidR="00C705BF" w:rsidRPr="00BF6D4F">
        <w:t>reconoció que la sentencia recurrida no dio respuesta a</w:t>
      </w:r>
      <w:r w:rsidR="00C705BF">
        <w:t xml:space="preserve"> la pretensión de la autora referente al </w:t>
      </w:r>
      <w:r w:rsidR="00C705BF" w:rsidRPr="00BF6D4F">
        <w:t>reconocimiento al derecho de cualquier otra pensión o indemnización que se considerara procedente</w:t>
      </w:r>
      <w:r w:rsidR="00C705BF">
        <w:t xml:space="preserve">, ordenando </w:t>
      </w:r>
      <w:r w:rsidR="00C705BF" w:rsidRPr="00BF6D4F">
        <w:t xml:space="preserve">que </w:t>
      </w:r>
      <w:r w:rsidR="00C705BF">
        <w:t xml:space="preserve">se </w:t>
      </w:r>
      <w:r w:rsidR="00C705BF" w:rsidRPr="00BF6D4F">
        <w:t>proced</w:t>
      </w:r>
      <w:r w:rsidR="00C705BF">
        <w:t>ier</w:t>
      </w:r>
      <w:r w:rsidR="00C705BF" w:rsidRPr="00BF6D4F">
        <w:t xml:space="preserve">a a la reasignación del porcentaje de discapacidad, teniendo en cuenta la prueba pericial </w:t>
      </w:r>
      <w:r w:rsidR="00C705BF">
        <w:t xml:space="preserve">solicitada por la autora. </w:t>
      </w:r>
      <w:r w:rsidR="00C705BF" w:rsidRPr="00BF6D4F">
        <w:t xml:space="preserve">A este respecto, el Comité recuerda su jurisprudencia, según la cual corresponde a los </w:t>
      </w:r>
      <w:r w:rsidR="00C705BF">
        <w:t>órganos</w:t>
      </w:r>
      <w:r w:rsidR="00C705BF" w:rsidRPr="00BF6D4F">
        <w:t xml:space="preserve"> de los Estados partes evaluar en cada caso los hechos y las pruebas, o la aplicación de la legislación nacional, a menos que pueda demostrarse que dicha evaluación o aplicación fue claramente arbitraria o equivalió a un error manifiesto o a una denegación de justicia</w:t>
      </w:r>
      <w:r w:rsidR="00C705BF" w:rsidRPr="00BF6D4F">
        <w:rPr>
          <w:vertAlign w:val="superscript"/>
        </w:rPr>
        <w:footnoteReference w:id="36"/>
      </w:r>
      <w:r w:rsidR="00C705BF" w:rsidRPr="00BF6D4F">
        <w:t>. Sobre la base de la</w:t>
      </w:r>
      <w:r w:rsidR="00C705BF">
        <w:t xml:space="preserve"> documentación presentada por la</w:t>
      </w:r>
      <w:r w:rsidR="00C705BF" w:rsidRPr="00BF6D4F">
        <w:t xml:space="preserve"> autor</w:t>
      </w:r>
      <w:r w:rsidR="00C705BF">
        <w:t xml:space="preserve">a, </w:t>
      </w:r>
      <w:r w:rsidR="00C705BF" w:rsidRPr="00BF6D4F">
        <w:t xml:space="preserve">el Comité </w:t>
      </w:r>
      <w:r w:rsidR="006C14DA">
        <w:t xml:space="preserve">considera </w:t>
      </w:r>
      <w:r w:rsidR="006C14DA" w:rsidRPr="006C14DA">
        <w:t xml:space="preserve">que la autora no ha justificado en qué medida </w:t>
      </w:r>
      <w:r w:rsidR="00C705BF">
        <w:t xml:space="preserve">el </w:t>
      </w:r>
      <w:r w:rsidR="00C705BF" w:rsidRPr="00E84C62">
        <w:t xml:space="preserve">Tribunal Superior de la Comunidad Valenciana </w:t>
      </w:r>
      <w:proofErr w:type="gramStart"/>
      <w:r w:rsidR="00C705BF" w:rsidRPr="00BF6D4F">
        <w:t>ha</w:t>
      </w:r>
      <w:r w:rsidR="006C14DA">
        <w:t xml:space="preserve">bría </w:t>
      </w:r>
      <w:r w:rsidR="00C705BF" w:rsidRPr="00BF6D4F">
        <w:t xml:space="preserve"> actuado</w:t>
      </w:r>
      <w:proofErr w:type="gramEnd"/>
      <w:r w:rsidR="00C705BF" w:rsidRPr="00BF6D4F">
        <w:t xml:space="preserve"> de manera arbitraria</w:t>
      </w:r>
      <w:r w:rsidR="00C705BF">
        <w:t>,</w:t>
      </w:r>
      <w:r w:rsidR="00C705BF" w:rsidRPr="00BF6D4F">
        <w:t xml:space="preserve"> </w:t>
      </w:r>
      <w:r w:rsidR="006C14DA">
        <w:t xml:space="preserve">o incurrido en </w:t>
      </w:r>
      <w:r w:rsidR="00C705BF" w:rsidRPr="00BF6D4F">
        <w:t>un error manifiesto o una denegación de justicia</w:t>
      </w:r>
      <w:r w:rsidR="00C705BF" w:rsidRPr="00E84C62">
        <w:t xml:space="preserve">. Por consiguiente, </w:t>
      </w:r>
      <w:r w:rsidR="006C14DA" w:rsidRPr="006C14DA">
        <w:t xml:space="preserve">el Comité concluye que la autora no ha fundamentado suficientemente su queja basada en el artículo 14(1) del Pacto a los efectos de admisibilidad y declara </w:t>
      </w:r>
      <w:r w:rsidR="00C705BF">
        <w:t xml:space="preserve">esta parte de </w:t>
      </w:r>
      <w:r w:rsidR="00C705BF" w:rsidRPr="00E84C62">
        <w:t>la comunicación inadmisible de conformidad con el artículo 2 del Protocolo Facultativo.</w:t>
      </w:r>
    </w:p>
    <w:p w14:paraId="3D9D2906" w14:textId="3C806128" w:rsidR="00C705BF" w:rsidRPr="00494F88" w:rsidRDefault="003114B8" w:rsidP="00C705BF">
      <w:pPr>
        <w:pStyle w:val="SingleTxtG"/>
      </w:pPr>
      <w:r>
        <w:t>8.</w:t>
      </w:r>
      <w:r w:rsidR="006C14DA">
        <w:t>9</w:t>
      </w:r>
      <w:r w:rsidR="00C705BF">
        <w:tab/>
        <w:t xml:space="preserve">Respecto al artículo 26 del Pacto, el Comité </w:t>
      </w:r>
      <w:r w:rsidR="00A62210">
        <w:t xml:space="preserve">toma </w:t>
      </w:r>
      <w:r w:rsidR="00C705BF">
        <w:t xml:space="preserve">nota </w:t>
      </w:r>
      <w:r w:rsidR="00A62210">
        <w:t xml:space="preserve">de </w:t>
      </w:r>
      <w:r w:rsidR="00C705BF">
        <w:t xml:space="preserve">la alegación de la autora de que </w:t>
      </w:r>
      <w:r w:rsidR="00C705BF" w:rsidRPr="00C67249">
        <w:t>los militares de empleo</w:t>
      </w:r>
      <w:r w:rsidR="00C705BF">
        <w:t>, como ella, sufren una discriminación respecto de</w:t>
      </w:r>
      <w:r w:rsidR="00C705BF" w:rsidRPr="00C67249">
        <w:t xml:space="preserve"> los militares de carrera, </w:t>
      </w:r>
      <w:r w:rsidR="00C705BF">
        <w:t>de</w:t>
      </w:r>
      <w:r w:rsidR="00C705BF" w:rsidRPr="00C67249">
        <w:t xml:space="preserve">l resto de trabajadores públicos, e incluso </w:t>
      </w:r>
      <w:r w:rsidR="00C705BF">
        <w:t xml:space="preserve">de </w:t>
      </w:r>
      <w:r w:rsidR="00C705BF" w:rsidRPr="00C67249">
        <w:t>los demás trabajadores esp</w:t>
      </w:r>
      <w:r w:rsidR="00C705BF">
        <w:t xml:space="preserve">añoles, debido a que </w:t>
      </w:r>
      <w:r w:rsidR="00C705BF" w:rsidRPr="00C67249">
        <w:t>los militares de empleo</w:t>
      </w:r>
      <w:r w:rsidR="00C705BF">
        <w:t>, a pesar de tener</w:t>
      </w:r>
      <w:r w:rsidR="00C705BF" w:rsidRPr="00C67249">
        <w:t xml:space="preserve"> derecho a una pensión o indemnización por incapacidad</w:t>
      </w:r>
      <w:r w:rsidR="00C705BF">
        <w:t xml:space="preserve">, ésta es sometida a varias restricciones incorporadas por el Real Decreto 1186/200, solo aplicable a los militares de empleo. El Comité igualmente nota el argumento del Estado parte de que los militares de empleo </w:t>
      </w:r>
      <w:r w:rsidR="00C705BF" w:rsidRPr="00AC72F8">
        <w:t>está</w:t>
      </w:r>
      <w:r w:rsidR="00C705BF">
        <w:t>n</w:t>
      </w:r>
      <w:r w:rsidR="00C705BF" w:rsidRPr="00AC72F8">
        <w:t xml:space="preserve"> vinculado</w:t>
      </w:r>
      <w:r w:rsidR="00C705BF">
        <w:t>s</w:t>
      </w:r>
      <w:r w:rsidR="00C705BF" w:rsidRPr="00AC72F8">
        <w:t xml:space="preserve"> a las Fuerzas </w:t>
      </w:r>
      <w:r w:rsidR="00C705BF">
        <w:t>A</w:t>
      </w:r>
      <w:r w:rsidR="00C705BF" w:rsidRPr="00AC72F8">
        <w:t>rmadas por compromisos temporales</w:t>
      </w:r>
      <w:r w:rsidR="00C705BF" w:rsidRPr="00AC72F8">
        <w:rPr>
          <w:sz w:val="24"/>
          <w:szCs w:val="24"/>
          <w:lang w:eastAsia="en-US"/>
        </w:rPr>
        <w:t xml:space="preserve"> </w:t>
      </w:r>
      <w:r w:rsidR="00C705BF" w:rsidRPr="00AC72F8">
        <w:t>y que el Real Decreto 1186/2001 tiene presente que, una vez finalizados sus servicios a las Fuerzas Armadas, éstos tienen la expectativa de incorporarse a la vida laboral civil</w:t>
      </w:r>
      <w:r w:rsidR="00C705BF">
        <w:t xml:space="preserve"> y que ello </w:t>
      </w:r>
      <w:r w:rsidR="00C705BF" w:rsidRPr="00F651AD">
        <w:t>constituye una circunstancia razonable y objetiva que justifica la diferenciación de trato, pero que no permite apreciar una vulneración del principio de igualdad.</w:t>
      </w:r>
      <w:r w:rsidR="00C705BF">
        <w:t xml:space="preserve"> A este respecto, el Comité </w:t>
      </w:r>
      <w:r w:rsidR="00A62210">
        <w:t xml:space="preserve">toma </w:t>
      </w:r>
      <w:r w:rsidR="00C705BF">
        <w:t>nota</w:t>
      </w:r>
      <w:r w:rsidR="00A62210">
        <w:t xml:space="preserve"> de</w:t>
      </w:r>
      <w:r w:rsidR="00C705BF">
        <w:t xml:space="preserve"> la alegación de la autora de que cualquier trabajador español con un vínculo laboral temporal tiene derecho a pensión o indemnización por incapacidad; y de que no se puede considerar que la autora tenga un simple vínculo temporal con las Fueras Armadas porque su contrato era de larga duración, con la expectativa de ser renovado hasta los 45 años, momento en que adquiriría la condición de reservista.</w:t>
      </w:r>
    </w:p>
    <w:p w14:paraId="513B9F79" w14:textId="61A3CF41" w:rsidR="00C705BF" w:rsidRDefault="003114B8" w:rsidP="00713A50">
      <w:pPr>
        <w:pStyle w:val="SingleTxtG"/>
      </w:pPr>
      <w:r>
        <w:t>8.1</w:t>
      </w:r>
      <w:r w:rsidR="006C14DA">
        <w:t>0</w:t>
      </w:r>
      <w:r w:rsidR="00C705BF">
        <w:tab/>
        <w:t>El Comité observa que la queja de la autora basada en el artículo 26 del Pacto parece relacionarse con la interpretación y aplicación de la legislación interna vigente en materia de pensiones a personal militar, cuestión que compete, en principio, a los órganos nacionales.</w:t>
      </w:r>
      <w:r w:rsidR="00C705BF" w:rsidRPr="00494F88">
        <w:t xml:space="preserve"> </w:t>
      </w:r>
      <w:r w:rsidR="00C63EE3" w:rsidRPr="00382FEC">
        <w:t>Asimis</w:t>
      </w:r>
      <w:r w:rsidR="00C63EE3" w:rsidRPr="000D6FC4">
        <w:t>mo, el Comité observa que la autora no ha demostrado, a efectos de la admisibilidad, la existencia de una discriminación en su contra respecto de los militares de carrera, los demás trabajadores públicos y, en gene</w:t>
      </w:r>
      <w:r w:rsidR="00C63EE3" w:rsidRPr="00A10DD5">
        <w:t>ral, los trabajadores españoles, teniendo en cuenta que los regímenes aplicables a los militares de empleo-como la autora-, los militares de carrera, los demás funcionarios públicos y los trabajadores españoles, son diferentes</w:t>
      </w:r>
      <w:r w:rsidR="00C63EE3" w:rsidRPr="00382FEC">
        <w:t xml:space="preserve">. </w:t>
      </w:r>
      <w:r w:rsidR="006F38F1" w:rsidRPr="00382FEC">
        <w:t>E</w:t>
      </w:r>
      <w:r w:rsidR="006F38F1" w:rsidRPr="006C14DA">
        <w:t>l Comité también observa que l</w:t>
      </w:r>
      <w:r w:rsidR="00C705BF" w:rsidRPr="006C14DA">
        <w:t xml:space="preserve">a autora tampoco ha justificado suficientemente, a los efectos de la admisibilidad, en qué medida su condición de militar de empleo con un vínculo laboral de “larga duración” determinaría la necesidad de que se le diese un trato idéntico al que se </w:t>
      </w:r>
      <w:proofErr w:type="gramStart"/>
      <w:r w:rsidR="00C705BF" w:rsidRPr="006C14DA">
        <w:t>le</w:t>
      </w:r>
      <w:proofErr w:type="gramEnd"/>
      <w:r w:rsidR="00C705BF" w:rsidRPr="006C14DA">
        <w:t xml:space="preserve"> da a los </w:t>
      </w:r>
      <w:r w:rsidR="00C705BF" w:rsidRPr="00900770">
        <w:t>militares</w:t>
      </w:r>
      <w:r w:rsidR="008C6F51" w:rsidRPr="00900770">
        <w:t xml:space="preserve"> de carrera</w:t>
      </w:r>
      <w:r w:rsidR="00C705BF" w:rsidRPr="00900770">
        <w:t>, y que, en caso contrario, se constituiría un trato discriminatorio sobre la base de los motivos previstos en el artículo 26 del Pacto.</w:t>
      </w:r>
      <w:r w:rsidR="00C705BF" w:rsidRPr="00D134FB">
        <w:t xml:space="preserve"> </w:t>
      </w:r>
      <w:r w:rsidR="00AE0CA4" w:rsidRPr="00AE0CA4">
        <w:t xml:space="preserve">En consecuencia,  el Comité considera que en el presente caso, </w:t>
      </w:r>
      <w:r w:rsidR="006F38F1" w:rsidRPr="006F38F1">
        <w:t>la autora no ha demostrado que la actuación de las autoridades judiciales internas, y, en particular, su aplicación de estándares de diferenciación</w:t>
      </w:r>
      <w:r w:rsidR="00222C55">
        <w:t>,</w:t>
      </w:r>
      <w:r w:rsidR="006F38F1" w:rsidRPr="006F38F1">
        <w:t xml:space="preserve"> haya sido arbitraria o haya constituido un error manifiesto o denegación de justicia</w:t>
      </w:r>
      <w:r w:rsidR="006F38F1" w:rsidRPr="006F38F1">
        <w:rPr>
          <w:vertAlign w:val="superscript"/>
        </w:rPr>
        <w:footnoteReference w:id="37"/>
      </w:r>
      <w:r w:rsidR="006F38F1" w:rsidRPr="006F38F1">
        <w:t xml:space="preserve">. </w:t>
      </w:r>
      <w:r w:rsidR="00AE0CA4">
        <w:t xml:space="preserve">Por consiguiente, </w:t>
      </w:r>
      <w:r w:rsidR="00C705BF" w:rsidRPr="00D134FB">
        <w:t>e</w:t>
      </w:r>
      <w:r w:rsidR="00C705BF">
        <w:t>l Comité concluye que la</w:t>
      </w:r>
      <w:r w:rsidR="00C705BF" w:rsidRPr="00D134FB">
        <w:t xml:space="preserve"> autora no ha fundamentado suficientemente</w:t>
      </w:r>
      <w:r w:rsidR="00C705BF">
        <w:t xml:space="preserve"> esta parte de su comunicación </w:t>
      </w:r>
      <w:r w:rsidR="00C705BF" w:rsidRPr="00D134FB">
        <w:t xml:space="preserve">a los efectos de la admisibilidad, y la </w:t>
      </w:r>
      <w:r w:rsidR="00C705BF" w:rsidRPr="00713A50">
        <w:t>declara</w:t>
      </w:r>
      <w:r w:rsidR="00C705BF" w:rsidRPr="00D134FB">
        <w:t xml:space="preserve"> inadmisible con arreglo al artículo 2 del Protocolo Facultativo.</w:t>
      </w:r>
    </w:p>
    <w:p w14:paraId="7761CC0E" w14:textId="77777777" w:rsidR="00C705BF" w:rsidRPr="00226957" w:rsidRDefault="00713A50" w:rsidP="00C705BF">
      <w:pPr>
        <w:pStyle w:val="SingleTxtG"/>
      </w:pPr>
      <w:r>
        <w:t>9</w:t>
      </w:r>
      <w:r w:rsidR="00C705BF" w:rsidRPr="00226957">
        <w:t>.</w:t>
      </w:r>
      <w:r w:rsidR="00C705BF" w:rsidRPr="00226957">
        <w:tab/>
        <w:t>Por lo tanto, el Comité de Derechos Humanos decide:</w:t>
      </w:r>
    </w:p>
    <w:p w14:paraId="7DDE32E3" w14:textId="77777777" w:rsidR="00C705BF" w:rsidRPr="00226957" w:rsidRDefault="00C705BF" w:rsidP="00713A50">
      <w:pPr>
        <w:pStyle w:val="SingleTxtG"/>
        <w:ind w:firstLine="567"/>
      </w:pPr>
      <w:r w:rsidRPr="00226957">
        <w:t>a)</w:t>
      </w:r>
      <w:r w:rsidRPr="00226957">
        <w:tab/>
        <w:t xml:space="preserve">Que </w:t>
      </w:r>
      <w:r w:rsidRPr="00713A50">
        <w:t>la</w:t>
      </w:r>
      <w:r w:rsidRPr="00226957">
        <w:t xml:space="preserve"> comunicación es inadmisible en virtud del artículo 2 del Protocolo Facultativo;</w:t>
      </w:r>
    </w:p>
    <w:p w14:paraId="50532DC4" w14:textId="77777777" w:rsidR="00C705BF" w:rsidRDefault="00C705BF" w:rsidP="00713A50">
      <w:pPr>
        <w:pStyle w:val="SingleTxtG"/>
        <w:ind w:firstLine="567"/>
      </w:pPr>
      <w:r w:rsidRPr="00226957">
        <w:t>b)</w:t>
      </w:r>
      <w:r w:rsidRPr="00226957">
        <w:tab/>
        <w:t>Que la presente decisión se ponga en conocimiento del Estado parte y de la autora de</w:t>
      </w:r>
      <w:r>
        <w:t xml:space="preserve"> la </w:t>
      </w:r>
      <w:r w:rsidRPr="00713A50">
        <w:t>comunicación</w:t>
      </w:r>
      <w:r>
        <w:t>.</w:t>
      </w:r>
    </w:p>
    <w:p w14:paraId="220FA96C" w14:textId="5ACB2C2B" w:rsidR="00713A50" w:rsidRDefault="00713A50" w:rsidP="00713A50">
      <w:pPr>
        <w:pStyle w:val="SingleTxtG"/>
        <w:suppressAutoHyphens/>
        <w:spacing w:before="240" w:after="0"/>
        <w:jc w:val="center"/>
        <w:rPr>
          <w:u w:val="single"/>
        </w:rPr>
      </w:pPr>
    </w:p>
    <w:p w14:paraId="5526D6F9" w14:textId="77777777" w:rsidR="00426CAD" w:rsidRDefault="00426CAD" w:rsidP="00713A50">
      <w:pPr>
        <w:pStyle w:val="SingleTxtG"/>
        <w:suppressAutoHyphens/>
        <w:spacing w:before="240" w:after="0"/>
        <w:jc w:val="center"/>
        <w:rPr>
          <w:u w:val="single"/>
        </w:rPr>
        <w:sectPr w:rsidR="00426CAD" w:rsidSect="00305DAA">
          <w:headerReference w:type="even" r:id="rId8"/>
          <w:headerReference w:type="default" r:id="rId9"/>
          <w:footerReference w:type="even" r:id="rId10"/>
          <w:footerReference w:type="default" r:id="rId11"/>
          <w:footerReference w:type="first" r:id="rId12"/>
          <w:pgSz w:w="11906" w:h="16838" w:code="9"/>
          <w:pgMar w:top="1417" w:right="1134" w:bottom="1134" w:left="1134" w:header="850" w:footer="567" w:gutter="0"/>
          <w:cols w:space="708"/>
          <w:titlePg/>
          <w:docGrid w:linePitch="360"/>
        </w:sectPr>
      </w:pPr>
    </w:p>
    <w:p w14:paraId="3A93A944" w14:textId="77777777" w:rsidR="00426CAD" w:rsidRDefault="00426CAD" w:rsidP="00426CAD">
      <w:pPr>
        <w:spacing w:line="276" w:lineRule="auto"/>
        <w:jc w:val="both"/>
        <w:rPr>
          <w:b/>
          <w:sz w:val="24"/>
          <w:szCs w:val="24"/>
        </w:rPr>
      </w:pPr>
      <w:r>
        <w:rPr>
          <w:b/>
          <w:sz w:val="24"/>
          <w:szCs w:val="24"/>
        </w:rPr>
        <w:t>Anexo</w:t>
      </w:r>
    </w:p>
    <w:p w14:paraId="78156921" w14:textId="77777777" w:rsidR="00426CAD" w:rsidRPr="00BD1036" w:rsidRDefault="00426CAD" w:rsidP="00426CAD">
      <w:pPr>
        <w:pStyle w:val="H1G"/>
      </w:pPr>
      <w:r>
        <w:tab/>
      </w:r>
      <w:r>
        <w:tab/>
      </w:r>
      <w:proofErr w:type="spellStart"/>
      <w:r>
        <w:t>Joint</w:t>
      </w:r>
      <w:proofErr w:type="spellEnd"/>
      <w:r>
        <w:t xml:space="preserve"> </w:t>
      </w:r>
      <w:proofErr w:type="spellStart"/>
      <w:r w:rsidRPr="00BD1036">
        <w:t>opinion</w:t>
      </w:r>
      <w:proofErr w:type="spellEnd"/>
      <w:r w:rsidRPr="00BD1036">
        <w:t xml:space="preserve"> </w:t>
      </w:r>
      <w:proofErr w:type="spellStart"/>
      <w:r>
        <w:t>by</w:t>
      </w:r>
      <w:proofErr w:type="spellEnd"/>
      <w:r>
        <w:t xml:space="preserve"> </w:t>
      </w:r>
      <w:proofErr w:type="spellStart"/>
      <w:r>
        <w:t>Committee</w:t>
      </w:r>
      <w:proofErr w:type="spellEnd"/>
      <w:r>
        <w:t xml:space="preserve"> </w:t>
      </w:r>
      <w:proofErr w:type="spellStart"/>
      <w:r>
        <w:t>members</w:t>
      </w:r>
      <w:proofErr w:type="spellEnd"/>
      <w:r>
        <w:t xml:space="preserve"> </w:t>
      </w:r>
      <w:r w:rsidRPr="00BD1036">
        <w:t xml:space="preserve">Marcia V. J. </w:t>
      </w:r>
      <w:proofErr w:type="spellStart"/>
      <w:r w:rsidRPr="00BD1036">
        <w:t>Kr</w:t>
      </w:r>
      <w:r>
        <w:t>an</w:t>
      </w:r>
      <w:proofErr w:type="spellEnd"/>
      <w:r>
        <w:t xml:space="preserve"> and </w:t>
      </w:r>
      <w:proofErr w:type="spellStart"/>
      <w:r>
        <w:t>Gentian</w:t>
      </w:r>
      <w:proofErr w:type="spellEnd"/>
      <w:r>
        <w:t xml:space="preserve"> </w:t>
      </w:r>
      <w:proofErr w:type="spellStart"/>
      <w:r>
        <w:t>Zyberi</w:t>
      </w:r>
      <w:proofErr w:type="spellEnd"/>
      <w:r>
        <w:t xml:space="preserve"> (</w:t>
      </w:r>
      <w:proofErr w:type="spellStart"/>
      <w:r>
        <w:t>Dissenting</w:t>
      </w:r>
      <w:proofErr w:type="spellEnd"/>
      <w:r>
        <w:t>)</w:t>
      </w:r>
    </w:p>
    <w:p w14:paraId="686F0A73" w14:textId="77777777" w:rsidR="00426CAD" w:rsidRPr="00292066" w:rsidRDefault="00426CAD" w:rsidP="00426CAD">
      <w:pPr>
        <w:pStyle w:val="SingleTxtG"/>
      </w:pPr>
      <w:r>
        <w:t>1.</w:t>
      </w:r>
      <w:r>
        <w:tab/>
      </w:r>
      <w:proofErr w:type="spellStart"/>
      <w:r>
        <w:t>We</w:t>
      </w:r>
      <w:proofErr w:type="spellEnd"/>
      <w:r>
        <w:t xml:space="preserve"> are</w:t>
      </w:r>
      <w:r w:rsidRPr="00292066">
        <w:t xml:space="preserve"> </w:t>
      </w:r>
      <w:proofErr w:type="spellStart"/>
      <w:r w:rsidRPr="00292066">
        <w:t>not</w:t>
      </w:r>
      <w:proofErr w:type="spellEnd"/>
      <w:r w:rsidRPr="00292066">
        <w:t xml:space="preserve"> </w:t>
      </w:r>
      <w:proofErr w:type="spellStart"/>
      <w:r w:rsidRPr="00292066">
        <w:t>able</w:t>
      </w:r>
      <w:proofErr w:type="spellEnd"/>
      <w:r w:rsidRPr="00292066">
        <w:t xml:space="preserve"> to </w:t>
      </w:r>
      <w:proofErr w:type="spellStart"/>
      <w:r w:rsidRPr="00292066">
        <w:t>agree</w:t>
      </w:r>
      <w:proofErr w:type="spellEnd"/>
      <w:r w:rsidRPr="00292066">
        <w:t xml:space="preserve"> </w:t>
      </w:r>
      <w:proofErr w:type="spellStart"/>
      <w:r w:rsidRPr="00292066">
        <w:t>with</w:t>
      </w:r>
      <w:proofErr w:type="spellEnd"/>
      <w:r w:rsidRPr="00292066">
        <w:t xml:space="preserve"> the </w:t>
      </w:r>
      <w:proofErr w:type="spellStart"/>
      <w:r w:rsidRPr="00292066">
        <w:t>Committee’s</w:t>
      </w:r>
      <w:proofErr w:type="spellEnd"/>
      <w:r w:rsidRPr="00292066">
        <w:t xml:space="preserve"> </w:t>
      </w:r>
      <w:proofErr w:type="spellStart"/>
      <w:r>
        <w:t>findings</w:t>
      </w:r>
      <w:proofErr w:type="spellEnd"/>
      <w:r w:rsidRPr="00292066">
        <w:t xml:space="preserve"> </w:t>
      </w:r>
      <w:proofErr w:type="spellStart"/>
      <w:r w:rsidRPr="00292066">
        <w:t>that</w:t>
      </w:r>
      <w:proofErr w:type="spellEnd"/>
      <w:r w:rsidRPr="00292066">
        <w:t xml:space="preserve"> the </w:t>
      </w:r>
      <w:proofErr w:type="spellStart"/>
      <w:r w:rsidRPr="00292066">
        <w:t>author</w:t>
      </w:r>
      <w:proofErr w:type="spellEnd"/>
      <w:r w:rsidRPr="00292066">
        <w:t xml:space="preserve"> has </w:t>
      </w:r>
      <w:proofErr w:type="spellStart"/>
      <w:r w:rsidRPr="00292066">
        <w:t>not</w:t>
      </w:r>
      <w:proofErr w:type="spellEnd"/>
      <w:r w:rsidRPr="00292066">
        <w:t xml:space="preserve"> </w:t>
      </w:r>
      <w:proofErr w:type="spellStart"/>
      <w:r w:rsidRPr="00292066">
        <w:t>substantiated</w:t>
      </w:r>
      <w:proofErr w:type="spellEnd"/>
      <w:r w:rsidRPr="00292066">
        <w:t xml:space="preserve">, </w:t>
      </w:r>
      <w:proofErr w:type="spellStart"/>
      <w:r w:rsidRPr="00292066">
        <w:t>for</w:t>
      </w:r>
      <w:proofErr w:type="spellEnd"/>
      <w:r w:rsidRPr="00292066">
        <w:t xml:space="preserve"> the </w:t>
      </w:r>
      <w:proofErr w:type="spellStart"/>
      <w:r w:rsidRPr="00292066">
        <w:t>purposes</w:t>
      </w:r>
      <w:proofErr w:type="spellEnd"/>
      <w:r w:rsidRPr="00292066">
        <w:t xml:space="preserve"> of </w:t>
      </w:r>
      <w:proofErr w:type="spellStart"/>
      <w:r w:rsidRPr="00292066">
        <w:t>admissibility</w:t>
      </w:r>
      <w:proofErr w:type="spellEnd"/>
      <w:r w:rsidRPr="00292066">
        <w:t xml:space="preserve">, </w:t>
      </w:r>
      <w:proofErr w:type="spellStart"/>
      <w:r w:rsidRPr="00292066">
        <w:t>her</w:t>
      </w:r>
      <w:proofErr w:type="spellEnd"/>
      <w:r w:rsidRPr="00292066">
        <w:t xml:space="preserve"> </w:t>
      </w:r>
      <w:proofErr w:type="spellStart"/>
      <w:r w:rsidRPr="00292066">
        <w:t>claim</w:t>
      </w:r>
      <w:r>
        <w:t>s</w:t>
      </w:r>
      <w:proofErr w:type="spellEnd"/>
      <w:r w:rsidRPr="00292066">
        <w:t xml:space="preserve"> </w:t>
      </w:r>
      <w:proofErr w:type="spellStart"/>
      <w:r w:rsidRPr="00292066">
        <w:t>under</w:t>
      </w:r>
      <w:proofErr w:type="spellEnd"/>
      <w:r w:rsidRPr="00292066">
        <w:t xml:space="preserve"> </w:t>
      </w:r>
      <w:proofErr w:type="spellStart"/>
      <w:r w:rsidRPr="00292066">
        <w:t>articles</w:t>
      </w:r>
      <w:proofErr w:type="spellEnd"/>
      <w:r w:rsidRPr="00292066">
        <w:t xml:space="preserve"> 14 (1) </w:t>
      </w:r>
      <w:r>
        <w:t>and</w:t>
      </w:r>
      <w:r w:rsidRPr="00292066">
        <w:t xml:space="preserve"> 26. </w:t>
      </w:r>
      <w:r>
        <w:t xml:space="preserve">In </w:t>
      </w:r>
      <w:proofErr w:type="spellStart"/>
      <w:r>
        <w:t>our</w:t>
      </w:r>
      <w:proofErr w:type="spellEnd"/>
      <w:r w:rsidRPr="00292066">
        <w:t xml:space="preserve"> </w:t>
      </w:r>
      <w:proofErr w:type="spellStart"/>
      <w:r w:rsidRPr="00292066">
        <w:t>opinion</w:t>
      </w:r>
      <w:proofErr w:type="spellEnd"/>
      <w:r>
        <w:t>,</w:t>
      </w:r>
      <w:r w:rsidRPr="00292066">
        <w:t xml:space="preserve"> the </w:t>
      </w:r>
      <w:proofErr w:type="spellStart"/>
      <w:r w:rsidRPr="00292066">
        <w:t>author’s</w:t>
      </w:r>
      <w:proofErr w:type="spellEnd"/>
      <w:r w:rsidRPr="00292066">
        <w:t xml:space="preserve"> </w:t>
      </w:r>
      <w:proofErr w:type="spellStart"/>
      <w:r w:rsidRPr="00292066">
        <w:t>rights</w:t>
      </w:r>
      <w:proofErr w:type="spellEnd"/>
      <w:r w:rsidRPr="00292066">
        <w:t xml:space="preserve"> </w:t>
      </w:r>
      <w:proofErr w:type="spellStart"/>
      <w:r w:rsidRPr="00292066">
        <w:t>under</w:t>
      </w:r>
      <w:proofErr w:type="spellEnd"/>
      <w:r w:rsidRPr="00292066">
        <w:t xml:space="preserve"> </w:t>
      </w:r>
      <w:proofErr w:type="spellStart"/>
      <w:r w:rsidRPr="00292066">
        <w:t>both</w:t>
      </w:r>
      <w:proofErr w:type="spellEnd"/>
      <w:r w:rsidRPr="00292066">
        <w:t xml:space="preserve"> of </w:t>
      </w:r>
      <w:proofErr w:type="spellStart"/>
      <w:r w:rsidRPr="00292066">
        <w:t>these</w:t>
      </w:r>
      <w:proofErr w:type="spellEnd"/>
      <w:r w:rsidRPr="00292066">
        <w:t xml:space="preserve"> </w:t>
      </w:r>
      <w:proofErr w:type="spellStart"/>
      <w:r w:rsidRPr="00292066">
        <w:t>articles</w:t>
      </w:r>
      <w:proofErr w:type="spellEnd"/>
      <w:r w:rsidRPr="00292066">
        <w:t xml:space="preserve"> </w:t>
      </w:r>
      <w:proofErr w:type="spellStart"/>
      <w:r w:rsidRPr="00292066">
        <w:t>have</w:t>
      </w:r>
      <w:proofErr w:type="spellEnd"/>
      <w:r w:rsidRPr="00292066">
        <w:t xml:space="preserve"> </w:t>
      </w:r>
      <w:proofErr w:type="spellStart"/>
      <w:r w:rsidRPr="00292066">
        <w:t>been</w:t>
      </w:r>
      <w:proofErr w:type="spellEnd"/>
      <w:r w:rsidRPr="00292066">
        <w:t xml:space="preserve"> </w:t>
      </w:r>
      <w:proofErr w:type="spellStart"/>
      <w:r w:rsidRPr="00292066">
        <w:t>violated</w:t>
      </w:r>
      <w:proofErr w:type="spellEnd"/>
      <w:r w:rsidRPr="00292066">
        <w:t xml:space="preserve">. </w:t>
      </w:r>
    </w:p>
    <w:p w14:paraId="06F0DA89" w14:textId="77777777" w:rsidR="00426CAD" w:rsidRPr="00292066" w:rsidRDefault="00426CAD" w:rsidP="00426CAD">
      <w:pPr>
        <w:pStyle w:val="SingleTxtG"/>
      </w:pPr>
      <w:r>
        <w:t>2.</w:t>
      </w:r>
      <w:r>
        <w:tab/>
      </w:r>
      <w:proofErr w:type="spellStart"/>
      <w:r w:rsidRPr="00292066">
        <w:t>Regarding</w:t>
      </w:r>
      <w:proofErr w:type="spellEnd"/>
      <w:r w:rsidRPr="00292066">
        <w:t xml:space="preserve"> </w:t>
      </w:r>
      <w:proofErr w:type="spellStart"/>
      <w:r w:rsidRPr="00292066">
        <w:t>article</w:t>
      </w:r>
      <w:proofErr w:type="spellEnd"/>
      <w:r w:rsidRPr="00292066">
        <w:t xml:space="preserve"> 14 (1), the </w:t>
      </w:r>
      <w:proofErr w:type="spellStart"/>
      <w:r w:rsidRPr="00292066">
        <w:t>author</w:t>
      </w:r>
      <w:proofErr w:type="spellEnd"/>
      <w:r w:rsidRPr="00292066">
        <w:t xml:space="preserve"> </w:t>
      </w:r>
      <w:proofErr w:type="spellStart"/>
      <w:r w:rsidRPr="00292066">
        <w:t>raised</w:t>
      </w:r>
      <w:proofErr w:type="spellEnd"/>
      <w:r w:rsidRPr="00292066">
        <w:t xml:space="preserve"> the </w:t>
      </w:r>
      <w:proofErr w:type="spellStart"/>
      <w:r w:rsidRPr="00292066">
        <w:t>violation</w:t>
      </w:r>
      <w:proofErr w:type="spellEnd"/>
      <w:r w:rsidRPr="00292066">
        <w:t xml:space="preserve"> of </w:t>
      </w:r>
      <w:proofErr w:type="spellStart"/>
      <w:r w:rsidRPr="00292066">
        <w:t>her</w:t>
      </w:r>
      <w:proofErr w:type="spellEnd"/>
      <w:r w:rsidRPr="00292066">
        <w:t xml:space="preserve"> </w:t>
      </w:r>
      <w:proofErr w:type="spellStart"/>
      <w:r w:rsidRPr="00292066">
        <w:t>right</w:t>
      </w:r>
      <w:proofErr w:type="spellEnd"/>
      <w:r w:rsidRPr="00292066">
        <w:t xml:space="preserve"> to </w:t>
      </w:r>
      <w:proofErr w:type="spellStart"/>
      <w:r w:rsidRPr="00292066">
        <w:t>equality</w:t>
      </w:r>
      <w:proofErr w:type="spellEnd"/>
      <w:r w:rsidRPr="00292066">
        <w:t xml:space="preserve"> </w:t>
      </w:r>
      <w:proofErr w:type="spellStart"/>
      <w:r w:rsidRPr="00292066">
        <w:t>on</w:t>
      </w:r>
      <w:proofErr w:type="spellEnd"/>
      <w:r w:rsidRPr="00292066">
        <w:t xml:space="preserve"> at </w:t>
      </w:r>
      <w:proofErr w:type="spellStart"/>
      <w:r w:rsidRPr="00292066">
        <w:t>least</w:t>
      </w:r>
      <w:proofErr w:type="spellEnd"/>
      <w:r w:rsidRPr="00292066">
        <w:t xml:space="preserve"> </w:t>
      </w:r>
      <w:proofErr w:type="spellStart"/>
      <w:r w:rsidRPr="00292066">
        <w:t>three</w:t>
      </w:r>
      <w:proofErr w:type="spellEnd"/>
      <w:r w:rsidRPr="00292066">
        <w:t xml:space="preserve"> </w:t>
      </w:r>
      <w:proofErr w:type="spellStart"/>
      <w:r w:rsidRPr="00292066">
        <w:t>occasions</w:t>
      </w:r>
      <w:proofErr w:type="spellEnd"/>
      <w:r>
        <w:t xml:space="preserve"> (</w:t>
      </w:r>
      <w:proofErr w:type="spellStart"/>
      <w:r>
        <w:t>paragraphs</w:t>
      </w:r>
      <w:proofErr w:type="spellEnd"/>
      <w:r>
        <w:t xml:space="preserve"> 8.5 and 8.6)</w:t>
      </w:r>
      <w:r w:rsidRPr="00292066">
        <w:t xml:space="preserve">.  </w:t>
      </w:r>
      <w:proofErr w:type="spellStart"/>
      <w:r w:rsidRPr="00292066">
        <w:t>She</w:t>
      </w:r>
      <w:proofErr w:type="spellEnd"/>
      <w:r w:rsidRPr="00292066">
        <w:t xml:space="preserve"> </w:t>
      </w:r>
      <w:proofErr w:type="spellStart"/>
      <w:r w:rsidRPr="00292066">
        <w:t>first</w:t>
      </w:r>
      <w:proofErr w:type="spellEnd"/>
      <w:r w:rsidRPr="00292066">
        <w:t xml:space="preserve"> </w:t>
      </w:r>
      <w:proofErr w:type="spellStart"/>
      <w:r w:rsidRPr="00292066">
        <w:t>raised</w:t>
      </w:r>
      <w:proofErr w:type="spellEnd"/>
      <w:r w:rsidRPr="00292066">
        <w:t xml:space="preserve"> the </w:t>
      </w:r>
      <w:proofErr w:type="spellStart"/>
      <w:r w:rsidRPr="00292066">
        <w:t>violation</w:t>
      </w:r>
      <w:proofErr w:type="spellEnd"/>
      <w:r w:rsidRPr="00292066">
        <w:t xml:space="preserve"> in </w:t>
      </w:r>
      <w:proofErr w:type="spellStart"/>
      <w:r w:rsidRPr="00292066">
        <w:t>her</w:t>
      </w:r>
      <w:proofErr w:type="spellEnd"/>
      <w:r w:rsidRPr="00292066">
        <w:t xml:space="preserve"> 29 June 2009 </w:t>
      </w:r>
      <w:proofErr w:type="spellStart"/>
      <w:r w:rsidRPr="00292066">
        <w:t>administrative</w:t>
      </w:r>
      <w:proofErr w:type="spellEnd"/>
      <w:r w:rsidRPr="00292066">
        <w:t xml:space="preserve"> appeal of the 11 </w:t>
      </w:r>
      <w:proofErr w:type="spellStart"/>
      <w:r w:rsidRPr="00292066">
        <w:t>November</w:t>
      </w:r>
      <w:proofErr w:type="spellEnd"/>
      <w:r w:rsidRPr="00292066">
        <w:t xml:space="preserve"> 2008 </w:t>
      </w:r>
      <w:proofErr w:type="spellStart"/>
      <w:r w:rsidRPr="00292066">
        <w:t>decision</w:t>
      </w:r>
      <w:proofErr w:type="spellEnd"/>
      <w:r w:rsidRPr="00292066">
        <w:t xml:space="preserve"> </w:t>
      </w:r>
      <w:proofErr w:type="spellStart"/>
      <w:r w:rsidRPr="00292066">
        <w:t>that</w:t>
      </w:r>
      <w:proofErr w:type="spellEnd"/>
      <w:r w:rsidRPr="00292066">
        <w:t xml:space="preserve"> </w:t>
      </w:r>
      <w:proofErr w:type="spellStart"/>
      <w:r w:rsidRPr="00292066">
        <w:t>ruled</w:t>
      </w:r>
      <w:proofErr w:type="spellEnd"/>
      <w:r w:rsidRPr="00292066">
        <w:t xml:space="preserve"> </w:t>
      </w:r>
      <w:proofErr w:type="spellStart"/>
      <w:r w:rsidRPr="00292066">
        <w:t>her</w:t>
      </w:r>
      <w:proofErr w:type="spellEnd"/>
      <w:r w:rsidRPr="00292066">
        <w:t xml:space="preserve"> </w:t>
      </w:r>
      <w:proofErr w:type="spellStart"/>
      <w:r w:rsidRPr="00292066">
        <w:t>complaint</w:t>
      </w:r>
      <w:proofErr w:type="spellEnd"/>
      <w:r w:rsidRPr="00292066">
        <w:t xml:space="preserve"> </w:t>
      </w:r>
      <w:proofErr w:type="spellStart"/>
      <w:r w:rsidRPr="00292066">
        <w:t>fell</w:t>
      </w:r>
      <w:proofErr w:type="spellEnd"/>
      <w:r w:rsidRPr="00292066">
        <w:t xml:space="preserve"> </w:t>
      </w:r>
      <w:proofErr w:type="spellStart"/>
      <w:r w:rsidRPr="00292066">
        <w:t>outside</w:t>
      </w:r>
      <w:proofErr w:type="spellEnd"/>
      <w:r w:rsidRPr="00292066">
        <w:t xml:space="preserve"> the </w:t>
      </w:r>
      <w:proofErr w:type="spellStart"/>
      <w:r w:rsidRPr="00292066">
        <w:t>scope</w:t>
      </w:r>
      <w:proofErr w:type="spellEnd"/>
      <w:r w:rsidRPr="00292066">
        <w:t xml:space="preserve"> of Royal </w:t>
      </w:r>
      <w:proofErr w:type="spellStart"/>
      <w:r w:rsidRPr="00292066">
        <w:t>Decree</w:t>
      </w:r>
      <w:proofErr w:type="spellEnd"/>
      <w:r w:rsidRPr="00292066">
        <w:t xml:space="preserve"> No. 1186/2001. </w:t>
      </w:r>
      <w:proofErr w:type="spellStart"/>
      <w:r>
        <w:t>Then</w:t>
      </w:r>
      <w:proofErr w:type="spellEnd"/>
      <w:r>
        <w:t xml:space="preserve">, </w:t>
      </w:r>
      <w:proofErr w:type="spellStart"/>
      <w:r>
        <w:t>s</w:t>
      </w:r>
      <w:r w:rsidRPr="00292066">
        <w:t>he</w:t>
      </w:r>
      <w:proofErr w:type="spellEnd"/>
      <w:r w:rsidRPr="00292066">
        <w:t xml:space="preserve"> </w:t>
      </w:r>
      <w:proofErr w:type="spellStart"/>
      <w:r w:rsidRPr="00292066">
        <w:t>again</w:t>
      </w:r>
      <w:proofErr w:type="spellEnd"/>
      <w:r w:rsidRPr="00292066">
        <w:t xml:space="preserve"> </w:t>
      </w:r>
      <w:proofErr w:type="spellStart"/>
      <w:r w:rsidRPr="00292066">
        <w:t>raised</w:t>
      </w:r>
      <w:proofErr w:type="spellEnd"/>
      <w:r w:rsidRPr="00292066">
        <w:t xml:space="preserve"> the </w:t>
      </w:r>
      <w:proofErr w:type="spellStart"/>
      <w:r w:rsidRPr="00292066">
        <w:t>equality</w:t>
      </w:r>
      <w:proofErr w:type="spellEnd"/>
      <w:r w:rsidRPr="00292066">
        <w:t xml:space="preserve"> </w:t>
      </w:r>
      <w:proofErr w:type="spellStart"/>
      <w:r w:rsidRPr="00292066">
        <w:t>violation</w:t>
      </w:r>
      <w:proofErr w:type="spellEnd"/>
      <w:r w:rsidRPr="00292066">
        <w:t xml:space="preserve"> in </w:t>
      </w:r>
      <w:proofErr w:type="spellStart"/>
      <w:r w:rsidRPr="00292066">
        <w:t>her</w:t>
      </w:r>
      <w:proofErr w:type="spellEnd"/>
      <w:r w:rsidRPr="00292066">
        <w:t xml:space="preserve"> 18 June 2012 </w:t>
      </w:r>
      <w:proofErr w:type="spellStart"/>
      <w:r w:rsidRPr="00292066">
        <w:t>application</w:t>
      </w:r>
      <w:proofErr w:type="spellEnd"/>
      <w:r w:rsidRPr="00292066">
        <w:t xml:space="preserve"> </w:t>
      </w:r>
      <w:proofErr w:type="spellStart"/>
      <w:r w:rsidRPr="00292066">
        <w:t>for</w:t>
      </w:r>
      <w:proofErr w:type="spellEnd"/>
      <w:r w:rsidRPr="00292066">
        <w:t xml:space="preserve"> </w:t>
      </w:r>
      <w:proofErr w:type="spellStart"/>
      <w:r w:rsidRPr="00292066">
        <w:t>annulment</w:t>
      </w:r>
      <w:proofErr w:type="spellEnd"/>
      <w:r w:rsidRPr="00292066">
        <w:t xml:space="preserve"> of the appeal </w:t>
      </w:r>
      <w:proofErr w:type="spellStart"/>
      <w:r w:rsidRPr="00292066">
        <w:t>judgment</w:t>
      </w:r>
      <w:proofErr w:type="spellEnd"/>
      <w:r w:rsidRPr="00292066">
        <w:t xml:space="preserve">. </w:t>
      </w:r>
      <w:proofErr w:type="spellStart"/>
      <w:r w:rsidRPr="00292066">
        <w:t>She</w:t>
      </w:r>
      <w:proofErr w:type="spellEnd"/>
      <w:r w:rsidRPr="00292066">
        <w:t xml:space="preserve"> </w:t>
      </w:r>
      <w:proofErr w:type="spellStart"/>
      <w:r w:rsidRPr="00292066">
        <w:t>yet</w:t>
      </w:r>
      <w:proofErr w:type="spellEnd"/>
      <w:r w:rsidRPr="00292066">
        <w:t xml:space="preserve"> </w:t>
      </w:r>
      <w:proofErr w:type="spellStart"/>
      <w:r w:rsidRPr="00292066">
        <w:t>again</w:t>
      </w:r>
      <w:proofErr w:type="spellEnd"/>
      <w:r>
        <w:t xml:space="preserve"> </w:t>
      </w:r>
      <w:proofErr w:type="spellStart"/>
      <w:r w:rsidRPr="00292066">
        <w:t>raised</w:t>
      </w:r>
      <w:proofErr w:type="spellEnd"/>
      <w:r w:rsidRPr="00292066">
        <w:t xml:space="preserve"> the </w:t>
      </w:r>
      <w:proofErr w:type="spellStart"/>
      <w:r w:rsidRPr="00292066">
        <w:t>equality</w:t>
      </w:r>
      <w:proofErr w:type="spellEnd"/>
      <w:r w:rsidRPr="00292066">
        <w:t xml:space="preserve"> </w:t>
      </w:r>
      <w:proofErr w:type="spellStart"/>
      <w:r w:rsidRPr="00292066">
        <w:t>violation</w:t>
      </w:r>
      <w:proofErr w:type="spellEnd"/>
      <w:r w:rsidRPr="00292066">
        <w:t xml:space="preserve"> in </w:t>
      </w:r>
      <w:proofErr w:type="spellStart"/>
      <w:r w:rsidRPr="00292066">
        <w:t>her</w:t>
      </w:r>
      <w:proofErr w:type="spellEnd"/>
      <w:r w:rsidRPr="00292066">
        <w:t xml:space="preserve"> 1 </w:t>
      </w:r>
      <w:proofErr w:type="spellStart"/>
      <w:r w:rsidRPr="00292066">
        <w:t>February</w:t>
      </w:r>
      <w:proofErr w:type="spellEnd"/>
      <w:r w:rsidRPr="00292066">
        <w:t xml:space="preserve"> 2013 </w:t>
      </w:r>
      <w:proofErr w:type="spellStart"/>
      <w:r w:rsidRPr="00292066">
        <w:t>application</w:t>
      </w:r>
      <w:proofErr w:type="spellEnd"/>
      <w:r w:rsidRPr="00292066">
        <w:t xml:space="preserve"> </w:t>
      </w:r>
      <w:proofErr w:type="spellStart"/>
      <w:r w:rsidRPr="00292066">
        <w:t>for</w:t>
      </w:r>
      <w:proofErr w:type="spellEnd"/>
      <w:r w:rsidRPr="00292066">
        <w:t xml:space="preserve"> </w:t>
      </w:r>
      <w:r w:rsidRPr="00292066">
        <w:rPr>
          <w:i/>
        </w:rPr>
        <w:t>amparo</w:t>
      </w:r>
      <w:r w:rsidRPr="00292066">
        <w:t xml:space="preserve"> </w:t>
      </w:r>
      <w:proofErr w:type="spellStart"/>
      <w:r w:rsidRPr="00292066">
        <w:t>before</w:t>
      </w:r>
      <w:proofErr w:type="spellEnd"/>
      <w:r w:rsidRPr="00292066">
        <w:t xml:space="preserve"> </w:t>
      </w:r>
      <w:proofErr w:type="spellStart"/>
      <w:r w:rsidRPr="00292066">
        <w:t>Spain’s</w:t>
      </w:r>
      <w:proofErr w:type="spellEnd"/>
      <w:r w:rsidRPr="00292066">
        <w:t xml:space="preserve"> </w:t>
      </w:r>
      <w:proofErr w:type="spellStart"/>
      <w:r w:rsidRPr="00292066">
        <w:t>Constitutional</w:t>
      </w:r>
      <w:proofErr w:type="spellEnd"/>
      <w:r w:rsidRPr="00292066">
        <w:t xml:space="preserve"> </w:t>
      </w:r>
      <w:proofErr w:type="spellStart"/>
      <w:r w:rsidRPr="00292066">
        <w:t>Court</w:t>
      </w:r>
      <w:proofErr w:type="spellEnd"/>
      <w:r w:rsidRPr="00292066">
        <w:t xml:space="preserve">. </w:t>
      </w:r>
      <w:proofErr w:type="spellStart"/>
      <w:r w:rsidRPr="00292066">
        <w:t>None</w:t>
      </w:r>
      <w:proofErr w:type="spellEnd"/>
      <w:r w:rsidRPr="00292066">
        <w:t xml:space="preserve"> of the </w:t>
      </w:r>
      <w:proofErr w:type="spellStart"/>
      <w:r w:rsidRPr="00292066">
        <w:t>decisions</w:t>
      </w:r>
      <w:proofErr w:type="spellEnd"/>
      <w:r w:rsidRPr="00292066">
        <w:t xml:space="preserve"> in </w:t>
      </w:r>
      <w:proofErr w:type="spellStart"/>
      <w:r w:rsidRPr="00292066">
        <w:t>these</w:t>
      </w:r>
      <w:proofErr w:type="spellEnd"/>
      <w:r w:rsidRPr="00292066">
        <w:t xml:space="preserve"> </w:t>
      </w:r>
      <w:proofErr w:type="spellStart"/>
      <w:r w:rsidRPr="00292066">
        <w:t>three</w:t>
      </w:r>
      <w:proofErr w:type="spellEnd"/>
      <w:r w:rsidRPr="00292066">
        <w:t xml:space="preserve"> </w:t>
      </w:r>
      <w:proofErr w:type="spellStart"/>
      <w:r w:rsidRPr="00292066">
        <w:t>applications</w:t>
      </w:r>
      <w:proofErr w:type="spellEnd"/>
      <w:r w:rsidRPr="00292066">
        <w:t xml:space="preserve"> </w:t>
      </w:r>
      <w:proofErr w:type="spellStart"/>
      <w:r w:rsidRPr="00292066">
        <w:t>for</w:t>
      </w:r>
      <w:proofErr w:type="spellEnd"/>
      <w:r w:rsidRPr="00292066">
        <w:t xml:space="preserve"> </w:t>
      </w:r>
      <w:proofErr w:type="spellStart"/>
      <w:r w:rsidRPr="00292066">
        <w:t>relief</w:t>
      </w:r>
      <w:proofErr w:type="spellEnd"/>
      <w:r w:rsidRPr="00292066">
        <w:t xml:space="preserve"> </w:t>
      </w:r>
      <w:proofErr w:type="spellStart"/>
      <w:r w:rsidRPr="00292066">
        <w:t>addressed</w:t>
      </w:r>
      <w:proofErr w:type="spellEnd"/>
      <w:r w:rsidRPr="00292066">
        <w:t xml:space="preserve"> </w:t>
      </w:r>
      <w:proofErr w:type="spellStart"/>
      <w:r w:rsidRPr="00292066">
        <w:t>her</w:t>
      </w:r>
      <w:proofErr w:type="spellEnd"/>
      <w:r w:rsidRPr="00292066">
        <w:t xml:space="preserve"> </w:t>
      </w:r>
      <w:proofErr w:type="spellStart"/>
      <w:r w:rsidRPr="00292066">
        <w:t>equality</w:t>
      </w:r>
      <w:proofErr w:type="spellEnd"/>
      <w:r w:rsidRPr="00292066">
        <w:t xml:space="preserve"> </w:t>
      </w:r>
      <w:proofErr w:type="spellStart"/>
      <w:r w:rsidRPr="00292066">
        <w:t>claim</w:t>
      </w:r>
      <w:proofErr w:type="spellEnd"/>
      <w:r w:rsidRPr="00292066">
        <w:t xml:space="preserve">. </w:t>
      </w:r>
    </w:p>
    <w:p w14:paraId="60FC7DCE" w14:textId="77777777" w:rsidR="00426CAD" w:rsidRPr="00292066" w:rsidRDefault="00426CAD" w:rsidP="00426CAD">
      <w:pPr>
        <w:pStyle w:val="SingleTxtG"/>
      </w:pPr>
      <w:r>
        <w:t>3.</w:t>
      </w:r>
      <w:r>
        <w:tab/>
      </w:r>
      <w:r w:rsidRPr="00292066">
        <w:t xml:space="preserve">The </w:t>
      </w:r>
      <w:proofErr w:type="spellStart"/>
      <w:r w:rsidRPr="00292066">
        <w:t>State</w:t>
      </w:r>
      <w:proofErr w:type="spellEnd"/>
      <w:r w:rsidRPr="00292066">
        <w:t xml:space="preserve"> </w:t>
      </w:r>
      <w:proofErr w:type="spellStart"/>
      <w:r w:rsidRPr="00292066">
        <w:t>party</w:t>
      </w:r>
      <w:proofErr w:type="spellEnd"/>
      <w:r w:rsidRPr="00292066">
        <w:t xml:space="preserve"> </w:t>
      </w:r>
      <w:proofErr w:type="spellStart"/>
      <w:r w:rsidRPr="00292066">
        <w:t>does</w:t>
      </w:r>
      <w:proofErr w:type="spellEnd"/>
      <w:r w:rsidRPr="00292066">
        <w:t xml:space="preserve"> </w:t>
      </w:r>
      <w:proofErr w:type="spellStart"/>
      <w:r w:rsidRPr="00292066">
        <w:t>not</w:t>
      </w:r>
      <w:proofErr w:type="spellEnd"/>
      <w:r w:rsidRPr="00292066">
        <w:t xml:space="preserve"> </w:t>
      </w:r>
      <w:proofErr w:type="spellStart"/>
      <w:r w:rsidRPr="00292066">
        <w:t>contest</w:t>
      </w:r>
      <w:proofErr w:type="spellEnd"/>
      <w:r w:rsidRPr="00292066">
        <w:t xml:space="preserve"> </w:t>
      </w:r>
      <w:proofErr w:type="spellStart"/>
      <w:r w:rsidRPr="00292066">
        <w:t>that</w:t>
      </w:r>
      <w:proofErr w:type="spellEnd"/>
      <w:r w:rsidRPr="00292066">
        <w:t xml:space="preserve"> the </w:t>
      </w:r>
      <w:proofErr w:type="spellStart"/>
      <w:r w:rsidRPr="00292066">
        <w:t>decisions</w:t>
      </w:r>
      <w:proofErr w:type="spellEnd"/>
      <w:r w:rsidRPr="00292066">
        <w:t xml:space="preserve"> of the High </w:t>
      </w:r>
      <w:proofErr w:type="spellStart"/>
      <w:r w:rsidRPr="00292066">
        <w:t>Court</w:t>
      </w:r>
      <w:proofErr w:type="spellEnd"/>
      <w:r w:rsidRPr="00292066">
        <w:t xml:space="preserve"> </w:t>
      </w:r>
      <w:proofErr w:type="spellStart"/>
      <w:r w:rsidRPr="00292066">
        <w:t>lacked</w:t>
      </w:r>
      <w:proofErr w:type="spellEnd"/>
      <w:r w:rsidRPr="00292066">
        <w:t xml:space="preserve"> the </w:t>
      </w:r>
      <w:proofErr w:type="spellStart"/>
      <w:r w:rsidRPr="00292066">
        <w:t>requisite</w:t>
      </w:r>
      <w:proofErr w:type="spellEnd"/>
      <w:r w:rsidRPr="00292066">
        <w:t xml:space="preserve"> </w:t>
      </w:r>
      <w:proofErr w:type="spellStart"/>
      <w:r w:rsidRPr="00292066">
        <w:t>reasoning</w:t>
      </w:r>
      <w:proofErr w:type="spellEnd"/>
      <w:r w:rsidRPr="00292066">
        <w:t xml:space="preserve"> </w:t>
      </w:r>
      <w:proofErr w:type="spellStart"/>
      <w:r w:rsidRPr="00292066">
        <w:t>regarding</w:t>
      </w:r>
      <w:proofErr w:type="spellEnd"/>
      <w:r w:rsidRPr="00292066">
        <w:t xml:space="preserve"> the </w:t>
      </w:r>
      <w:proofErr w:type="spellStart"/>
      <w:r w:rsidRPr="00292066">
        <w:t>author’s</w:t>
      </w:r>
      <w:proofErr w:type="spellEnd"/>
      <w:r w:rsidRPr="00292066">
        <w:t xml:space="preserve"> </w:t>
      </w:r>
      <w:proofErr w:type="spellStart"/>
      <w:r w:rsidRPr="00292066">
        <w:t>allegation</w:t>
      </w:r>
      <w:proofErr w:type="spellEnd"/>
      <w:r w:rsidRPr="00292066">
        <w:t xml:space="preserve"> of the </w:t>
      </w:r>
      <w:proofErr w:type="spellStart"/>
      <w:r w:rsidRPr="00292066">
        <w:t>violation</w:t>
      </w:r>
      <w:proofErr w:type="spellEnd"/>
      <w:r w:rsidRPr="00292066">
        <w:t xml:space="preserve"> of </w:t>
      </w:r>
      <w:proofErr w:type="spellStart"/>
      <w:r w:rsidRPr="00292066">
        <w:t>her</w:t>
      </w:r>
      <w:proofErr w:type="spellEnd"/>
      <w:r w:rsidRPr="00292066">
        <w:t xml:space="preserve"> </w:t>
      </w:r>
      <w:proofErr w:type="spellStart"/>
      <w:r w:rsidRPr="00292066">
        <w:t>right</w:t>
      </w:r>
      <w:proofErr w:type="spellEnd"/>
      <w:r w:rsidRPr="00292066">
        <w:t xml:space="preserve"> to </w:t>
      </w:r>
      <w:proofErr w:type="spellStart"/>
      <w:r w:rsidRPr="00292066">
        <w:t>equal</w:t>
      </w:r>
      <w:proofErr w:type="spellEnd"/>
      <w:r>
        <w:t xml:space="preserve"> </w:t>
      </w:r>
      <w:proofErr w:type="spellStart"/>
      <w:r>
        <w:t>protection</w:t>
      </w:r>
      <w:proofErr w:type="spellEnd"/>
      <w:r>
        <w:t xml:space="preserve"> of the </w:t>
      </w:r>
      <w:proofErr w:type="spellStart"/>
      <w:r>
        <w:t>law</w:t>
      </w:r>
      <w:proofErr w:type="spellEnd"/>
      <w:r w:rsidRPr="00292066">
        <w:t xml:space="preserve">. The High </w:t>
      </w:r>
      <w:proofErr w:type="spellStart"/>
      <w:r w:rsidRPr="00292066">
        <w:t>Court</w:t>
      </w:r>
      <w:proofErr w:type="spellEnd"/>
      <w:r w:rsidRPr="00292066">
        <w:t xml:space="preserve"> </w:t>
      </w:r>
      <w:proofErr w:type="spellStart"/>
      <w:r w:rsidRPr="00292066">
        <w:t>remained</w:t>
      </w:r>
      <w:proofErr w:type="spellEnd"/>
      <w:r w:rsidRPr="00292066">
        <w:t xml:space="preserve"> </w:t>
      </w:r>
      <w:proofErr w:type="spellStart"/>
      <w:r w:rsidRPr="00292066">
        <w:t>completely</w:t>
      </w:r>
      <w:proofErr w:type="spellEnd"/>
      <w:r w:rsidRPr="00292066">
        <w:t xml:space="preserve"> </w:t>
      </w:r>
      <w:proofErr w:type="spellStart"/>
      <w:r w:rsidRPr="00292066">
        <w:t>silent</w:t>
      </w:r>
      <w:proofErr w:type="spellEnd"/>
      <w:r w:rsidRPr="00292066">
        <w:t xml:space="preserve"> </w:t>
      </w:r>
      <w:proofErr w:type="spellStart"/>
      <w:r w:rsidRPr="00292066">
        <w:t>on</w:t>
      </w:r>
      <w:proofErr w:type="spellEnd"/>
      <w:r w:rsidRPr="00292066">
        <w:t xml:space="preserve"> the </w:t>
      </w:r>
      <w:proofErr w:type="spellStart"/>
      <w:r w:rsidRPr="00292066">
        <w:t>equality</w:t>
      </w:r>
      <w:proofErr w:type="spellEnd"/>
      <w:r w:rsidRPr="00292066">
        <w:t xml:space="preserve"> </w:t>
      </w:r>
      <w:proofErr w:type="spellStart"/>
      <w:r>
        <w:t>violation</w:t>
      </w:r>
      <w:proofErr w:type="spellEnd"/>
      <w:r>
        <w:t xml:space="preserve"> </w:t>
      </w:r>
      <w:proofErr w:type="spellStart"/>
      <w:r w:rsidRPr="00292066">
        <w:t>allegation</w:t>
      </w:r>
      <w:proofErr w:type="spellEnd"/>
      <w:r w:rsidRPr="00292066">
        <w:t xml:space="preserve">. The </w:t>
      </w:r>
      <w:proofErr w:type="spellStart"/>
      <w:r w:rsidRPr="00292066">
        <w:t>Constitutional</w:t>
      </w:r>
      <w:proofErr w:type="spellEnd"/>
      <w:r w:rsidRPr="00292066">
        <w:t xml:space="preserve"> </w:t>
      </w:r>
      <w:proofErr w:type="spellStart"/>
      <w:r w:rsidRPr="00292066">
        <w:t>Court</w:t>
      </w:r>
      <w:proofErr w:type="spellEnd"/>
      <w:r w:rsidRPr="00292066">
        <w:t xml:space="preserve"> </w:t>
      </w:r>
      <w:proofErr w:type="spellStart"/>
      <w:r w:rsidRPr="00292066">
        <w:t>denied</w:t>
      </w:r>
      <w:proofErr w:type="spellEnd"/>
      <w:r w:rsidRPr="00292066">
        <w:t xml:space="preserve"> the </w:t>
      </w:r>
      <w:proofErr w:type="spellStart"/>
      <w:r w:rsidRPr="00292066">
        <w:t>author’s</w:t>
      </w:r>
      <w:proofErr w:type="spellEnd"/>
      <w:r w:rsidRPr="00292066">
        <w:t xml:space="preserve"> </w:t>
      </w:r>
      <w:proofErr w:type="spellStart"/>
      <w:r w:rsidRPr="00292066">
        <w:t>application</w:t>
      </w:r>
      <w:proofErr w:type="spellEnd"/>
      <w:r w:rsidRPr="00292066">
        <w:t xml:space="preserve"> </w:t>
      </w:r>
      <w:proofErr w:type="spellStart"/>
      <w:r w:rsidRPr="00292066">
        <w:t>for</w:t>
      </w:r>
      <w:proofErr w:type="spellEnd"/>
      <w:r w:rsidRPr="00292066">
        <w:t xml:space="preserve"> </w:t>
      </w:r>
      <w:r w:rsidRPr="00292066">
        <w:rPr>
          <w:i/>
        </w:rPr>
        <w:t>amparo</w:t>
      </w:r>
      <w:r w:rsidRPr="00292066">
        <w:t xml:space="preserve"> </w:t>
      </w:r>
      <w:proofErr w:type="spellStart"/>
      <w:r w:rsidRPr="00292066">
        <w:t>on</w:t>
      </w:r>
      <w:proofErr w:type="spellEnd"/>
      <w:r w:rsidRPr="00292066">
        <w:t xml:space="preserve"> the </w:t>
      </w:r>
      <w:proofErr w:type="spellStart"/>
      <w:r w:rsidRPr="00292066">
        <w:t>grounds</w:t>
      </w:r>
      <w:proofErr w:type="spellEnd"/>
      <w:r w:rsidRPr="00292066">
        <w:t xml:space="preserve"> </w:t>
      </w:r>
      <w:proofErr w:type="spellStart"/>
      <w:r w:rsidRPr="00292066">
        <w:t>that</w:t>
      </w:r>
      <w:proofErr w:type="spellEnd"/>
      <w:r w:rsidRPr="00292066">
        <w:t xml:space="preserve"> </w:t>
      </w:r>
      <w:proofErr w:type="spellStart"/>
      <w:r w:rsidRPr="00292066">
        <w:t>she</w:t>
      </w:r>
      <w:proofErr w:type="spellEnd"/>
      <w:r w:rsidRPr="00292066">
        <w:t xml:space="preserve"> </w:t>
      </w:r>
      <w:proofErr w:type="spellStart"/>
      <w:r w:rsidRPr="00292066">
        <w:t>had</w:t>
      </w:r>
      <w:proofErr w:type="spellEnd"/>
      <w:r w:rsidRPr="00292066">
        <w:t xml:space="preserve"> </w:t>
      </w:r>
      <w:proofErr w:type="spellStart"/>
      <w:r w:rsidRPr="00292066">
        <w:t>not</w:t>
      </w:r>
      <w:proofErr w:type="spellEnd"/>
      <w:r w:rsidRPr="00292066">
        <w:t xml:space="preserve"> </w:t>
      </w:r>
      <w:proofErr w:type="spellStart"/>
      <w:r w:rsidRPr="00292066">
        <w:t>demonstrated</w:t>
      </w:r>
      <w:proofErr w:type="spellEnd"/>
      <w:r w:rsidRPr="00292066">
        <w:t xml:space="preserve"> the </w:t>
      </w:r>
      <w:proofErr w:type="spellStart"/>
      <w:r w:rsidRPr="00292066">
        <w:t>special</w:t>
      </w:r>
      <w:proofErr w:type="spellEnd"/>
      <w:r w:rsidRPr="00292066">
        <w:t xml:space="preserve"> </w:t>
      </w:r>
      <w:proofErr w:type="spellStart"/>
      <w:r w:rsidRPr="00292066">
        <w:t>constitutional</w:t>
      </w:r>
      <w:proofErr w:type="spellEnd"/>
      <w:r w:rsidRPr="00292066">
        <w:t xml:space="preserve"> </w:t>
      </w:r>
      <w:proofErr w:type="spellStart"/>
      <w:r w:rsidRPr="00292066">
        <w:t>significance</w:t>
      </w:r>
      <w:proofErr w:type="spellEnd"/>
      <w:r w:rsidRPr="00292066">
        <w:t xml:space="preserve"> of </w:t>
      </w:r>
      <w:proofErr w:type="spellStart"/>
      <w:r w:rsidRPr="00292066">
        <w:t>her</w:t>
      </w:r>
      <w:proofErr w:type="spellEnd"/>
      <w:r w:rsidRPr="00292066">
        <w:t xml:space="preserve"> </w:t>
      </w:r>
      <w:proofErr w:type="spellStart"/>
      <w:r w:rsidRPr="00292066">
        <w:t>complaint</w:t>
      </w:r>
      <w:proofErr w:type="spellEnd"/>
      <w:r w:rsidRPr="00292066">
        <w:t xml:space="preserve">, </w:t>
      </w:r>
      <w:proofErr w:type="spellStart"/>
      <w:r w:rsidRPr="00292066">
        <w:t>despite</w:t>
      </w:r>
      <w:proofErr w:type="spellEnd"/>
      <w:r w:rsidRPr="00292066">
        <w:t xml:space="preserve"> the </w:t>
      </w:r>
      <w:proofErr w:type="spellStart"/>
      <w:r w:rsidRPr="00292066">
        <w:t>fact</w:t>
      </w:r>
      <w:proofErr w:type="spellEnd"/>
      <w:r w:rsidRPr="00292066">
        <w:t xml:space="preserve"> </w:t>
      </w:r>
      <w:proofErr w:type="spellStart"/>
      <w:r w:rsidRPr="00292066">
        <w:t>that</w:t>
      </w:r>
      <w:proofErr w:type="spellEnd"/>
      <w:r w:rsidRPr="00292066">
        <w:t xml:space="preserve"> </w:t>
      </w:r>
      <w:proofErr w:type="spellStart"/>
      <w:r w:rsidRPr="00292066">
        <w:t>equality</w:t>
      </w:r>
      <w:proofErr w:type="spellEnd"/>
      <w:r w:rsidRPr="00292066">
        <w:t xml:space="preserve"> </w:t>
      </w:r>
      <w:proofErr w:type="spellStart"/>
      <w:r w:rsidRPr="00292066">
        <w:t>is</w:t>
      </w:r>
      <w:proofErr w:type="spellEnd"/>
      <w:r w:rsidRPr="00292066">
        <w:t xml:space="preserve"> </w:t>
      </w:r>
      <w:proofErr w:type="spellStart"/>
      <w:r w:rsidRPr="00292066">
        <w:t>an</w:t>
      </w:r>
      <w:proofErr w:type="spellEnd"/>
      <w:r w:rsidRPr="00292066">
        <w:t xml:space="preserve"> </w:t>
      </w:r>
      <w:proofErr w:type="spellStart"/>
      <w:r w:rsidRPr="00292066">
        <w:t>explicit</w:t>
      </w:r>
      <w:proofErr w:type="spellEnd"/>
      <w:r w:rsidRPr="00292066">
        <w:t xml:space="preserve"> </w:t>
      </w:r>
      <w:proofErr w:type="spellStart"/>
      <w:r w:rsidRPr="00292066">
        <w:t>constitutional</w:t>
      </w:r>
      <w:proofErr w:type="spellEnd"/>
      <w:r w:rsidRPr="00292066">
        <w:t xml:space="preserve"> </w:t>
      </w:r>
      <w:proofErr w:type="spellStart"/>
      <w:r w:rsidRPr="00292066">
        <w:t>right</w:t>
      </w:r>
      <w:proofErr w:type="spellEnd"/>
      <w:r w:rsidRPr="00292066">
        <w:t xml:space="preserve"> in </w:t>
      </w:r>
      <w:proofErr w:type="spellStart"/>
      <w:r w:rsidRPr="00292066">
        <w:t>Spain’s</w:t>
      </w:r>
      <w:proofErr w:type="spellEnd"/>
      <w:r w:rsidRPr="00292066">
        <w:t xml:space="preserve"> </w:t>
      </w:r>
      <w:proofErr w:type="spellStart"/>
      <w:r>
        <w:t>C</w:t>
      </w:r>
      <w:r w:rsidRPr="00292066">
        <w:t>onstitution</w:t>
      </w:r>
      <w:proofErr w:type="spellEnd"/>
      <w:r>
        <w:t xml:space="preserve"> (</w:t>
      </w:r>
      <w:proofErr w:type="spellStart"/>
      <w:r>
        <w:t>Chapter</w:t>
      </w:r>
      <w:proofErr w:type="spellEnd"/>
      <w:r>
        <w:t xml:space="preserve"> II, </w:t>
      </w:r>
      <w:proofErr w:type="spellStart"/>
      <w:r>
        <w:t>Section</w:t>
      </w:r>
      <w:proofErr w:type="spellEnd"/>
      <w:r>
        <w:t xml:space="preserve"> 14</w:t>
      </w:r>
      <w:r w:rsidRPr="00AA06B4">
        <w:rPr>
          <w:rStyle w:val="FootnoteReference"/>
          <w:sz w:val="24"/>
          <w:szCs w:val="24"/>
        </w:rPr>
        <w:footnoteReference w:id="38"/>
      </w:r>
      <w:r>
        <w:t>)</w:t>
      </w:r>
      <w:r w:rsidRPr="00292066">
        <w:t>.</w:t>
      </w:r>
    </w:p>
    <w:p w14:paraId="51731EFA" w14:textId="77777777" w:rsidR="00426CAD" w:rsidRPr="00292066" w:rsidRDefault="00426CAD" w:rsidP="00426CAD">
      <w:pPr>
        <w:pStyle w:val="SingleTxtG"/>
      </w:pPr>
      <w:r>
        <w:t>4.</w:t>
      </w:r>
      <w:r>
        <w:tab/>
      </w:r>
      <w:r w:rsidRPr="00292066">
        <w:t xml:space="preserve">The </w:t>
      </w:r>
      <w:proofErr w:type="spellStart"/>
      <w:r w:rsidRPr="00292066">
        <w:t>State</w:t>
      </w:r>
      <w:proofErr w:type="spellEnd"/>
      <w:r w:rsidRPr="00292066">
        <w:t xml:space="preserve"> </w:t>
      </w:r>
      <w:proofErr w:type="spellStart"/>
      <w:r w:rsidRPr="00292066">
        <w:t>party</w:t>
      </w:r>
      <w:proofErr w:type="spellEnd"/>
      <w:r w:rsidRPr="00292066">
        <w:t xml:space="preserve"> </w:t>
      </w:r>
      <w:proofErr w:type="spellStart"/>
      <w:r w:rsidRPr="00292066">
        <w:t>asserted</w:t>
      </w:r>
      <w:proofErr w:type="spellEnd"/>
      <w:r w:rsidRPr="00292066">
        <w:t xml:space="preserve"> </w:t>
      </w:r>
      <w:proofErr w:type="spellStart"/>
      <w:r w:rsidRPr="00292066">
        <w:t>that</w:t>
      </w:r>
      <w:proofErr w:type="spellEnd"/>
      <w:r w:rsidRPr="00292066">
        <w:t xml:space="preserve"> the </w:t>
      </w:r>
      <w:proofErr w:type="spellStart"/>
      <w:r w:rsidRPr="00292066">
        <w:t>author</w:t>
      </w:r>
      <w:proofErr w:type="spellEnd"/>
      <w:r w:rsidRPr="00292066">
        <w:t xml:space="preserve"> </w:t>
      </w:r>
      <w:proofErr w:type="spellStart"/>
      <w:r w:rsidRPr="00292066">
        <w:t>could</w:t>
      </w:r>
      <w:proofErr w:type="spellEnd"/>
      <w:r w:rsidRPr="00292066">
        <w:t xml:space="preserve"> </w:t>
      </w:r>
      <w:proofErr w:type="spellStart"/>
      <w:r w:rsidRPr="00292066">
        <w:t>not</w:t>
      </w:r>
      <w:proofErr w:type="spellEnd"/>
      <w:r w:rsidRPr="00292066">
        <w:t xml:space="preserve"> </w:t>
      </w:r>
      <w:proofErr w:type="spellStart"/>
      <w:r w:rsidRPr="00292066">
        <w:t>have</w:t>
      </w:r>
      <w:proofErr w:type="spellEnd"/>
      <w:r w:rsidRPr="00292066">
        <w:t xml:space="preserve"> </w:t>
      </w:r>
      <w:proofErr w:type="spellStart"/>
      <w:r w:rsidRPr="00292066">
        <w:t>included</w:t>
      </w:r>
      <w:proofErr w:type="spellEnd"/>
      <w:r w:rsidRPr="00292066">
        <w:t xml:space="preserve"> a </w:t>
      </w:r>
      <w:proofErr w:type="spellStart"/>
      <w:r w:rsidRPr="00292066">
        <w:t>claim</w:t>
      </w:r>
      <w:proofErr w:type="spellEnd"/>
      <w:r w:rsidRPr="00292066">
        <w:t xml:space="preserve"> </w:t>
      </w:r>
      <w:proofErr w:type="spellStart"/>
      <w:r w:rsidRPr="00292066">
        <w:t>regarding</w:t>
      </w:r>
      <w:proofErr w:type="spellEnd"/>
      <w:r w:rsidRPr="00292066">
        <w:t xml:space="preserve"> </w:t>
      </w:r>
      <w:proofErr w:type="spellStart"/>
      <w:r w:rsidRPr="00292066">
        <w:t>her</w:t>
      </w:r>
      <w:proofErr w:type="spellEnd"/>
      <w:r w:rsidRPr="00292066">
        <w:t xml:space="preserve"> </w:t>
      </w:r>
      <w:proofErr w:type="spellStart"/>
      <w:r w:rsidRPr="00292066">
        <w:t>right</w:t>
      </w:r>
      <w:proofErr w:type="spellEnd"/>
      <w:r w:rsidRPr="00292066">
        <w:t xml:space="preserve"> to </w:t>
      </w:r>
      <w:proofErr w:type="spellStart"/>
      <w:r w:rsidRPr="00292066">
        <w:t>equality</w:t>
      </w:r>
      <w:proofErr w:type="spellEnd"/>
      <w:r w:rsidRPr="00292066">
        <w:t xml:space="preserve"> in </w:t>
      </w:r>
      <w:proofErr w:type="spellStart"/>
      <w:r w:rsidRPr="00292066">
        <w:t>her</w:t>
      </w:r>
      <w:proofErr w:type="spellEnd"/>
      <w:r w:rsidRPr="00292066">
        <w:t xml:space="preserve"> </w:t>
      </w:r>
      <w:proofErr w:type="spellStart"/>
      <w:r w:rsidRPr="00292066">
        <w:t>administrative</w:t>
      </w:r>
      <w:proofErr w:type="spellEnd"/>
      <w:r w:rsidRPr="00292066">
        <w:t xml:space="preserve"> appeal </w:t>
      </w:r>
      <w:proofErr w:type="spellStart"/>
      <w:r w:rsidRPr="00292066">
        <w:t>because</w:t>
      </w:r>
      <w:proofErr w:type="spellEnd"/>
      <w:r w:rsidRPr="00292066">
        <w:t xml:space="preserve"> the High </w:t>
      </w:r>
      <w:proofErr w:type="spellStart"/>
      <w:r w:rsidRPr="00292066">
        <w:t>Court</w:t>
      </w:r>
      <w:proofErr w:type="spellEnd"/>
      <w:r w:rsidRPr="00292066">
        <w:t xml:space="preserve"> </w:t>
      </w:r>
      <w:proofErr w:type="spellStart"/>
      <w:r w:rsidRPr="00292066">
        <w:t>could</w:t>
      </w:r>
      <w:proofErr w:type="spellEnd"/>
      <w:r w:rsidRPr="00292066">
        <w:t xml:space="preserve"> </w:t>
      </w:r>
      <w:proofErr w:type="spellStart"/>
      <w:r w:rsidRPr="00292066">
        <w:t>not</w:t>
      </w:r>
      <w:proofErr w:type="spellEnd"/>
      <w:r w:rsidRPr="00292066">
        <w:t xml:space="preserve"> rule </w:t>
      </w:r>
      <w:proofErr w:type="spellStart"/>
      <w:r w:rsidRPr="00292066">
        <w:t>on</w:t>
      </w:r>
      <w:proofErr w:type="spellEnd"/>
      <w:r w:rsidRPr="00292066">
        <w:t xml:space="preserve"> </w:t>
      </w:r>
      <w:proofErr w:type="spellStart"/>
      <w:r w:rsidRPr="00292066">
        <w:t>her</w:t>
      </w:r>
      <w:proofErr w:type="spellEnd"/>
      <w:r w:rsidRPr="00292066">
        <w:t xml:space="preserve"> </w:t>
      </w:r>
      <w:proofErr w:type="spellStart"/>
      <w:r w:rsidRPr="00292066">
        <w:t>right</w:t>
      </w:r>
      <w:proofErr w:type="spellEnd"/>
      <w:r w:rsidRPr="00292066">
        <w:t xml:space="preserve"> to a </w:t>
      </w:r>
      <w:proofErr w:type="spellStart"/>
      <w:r w:rsidRPr="00292066">
        <w:t>pension</w:t>
      </w:r>
      <w:proofErr w:type="spellEnd"/>
      <w:r w:rsidRPr="00292066">
        <w:t xml:space="preserve"> </w:t>
      </w:r>
      <w:proofErr w:type="spellStart"/>
      <w:r>
        <w:t>or</w:t>
      </w:r>
      <w:proofErr w:type="spellEnd"/>
      <w:r>
        <w:t xml:space="preserve"> </w:t>
      </w:r>
      <w:proofErr w:type="spellStart"/>
      <w:r>
        <w:t>other</w:t>
      </w:r>
      <w:proofErr w:type="spellEnd"/>
      <w:r>
        <w:t xml:space="preserve"> </w:t>
      </w:r>
      <w:proofErr w:type="spellStart"/>
      <w:r>
        <w:t>compensation</w:t>
      </w:r>
      <w:proofErr w:type="spellEnd"/>
      <w:r>
        <w:t xml:space="preserve"> </w:t>
      </w:r>
      <w:r w:rsidRPr="00292066">
        <w:t xml:space="preserve">as </w:t>
      </w:r>
      <w:proofErr w:type="spellStart"/>
      <w:r w:rsidRPr="00292066">
        <w:t>this</w:t>
      </w:r>
      <w:proofErr w:type="spellEnd"/>
      <w:r w:rsidRPr="00292066">
        <w:t xml:space="preserve"> </w:t>
      </w:r>
      <w:proofErr w:type="spellStart"/>
      <w:r w:rsidRPr="00292066">
        <w:t>determination</w:t>
      </w:r>
      <w:proofErr w:type="spellEnd"/>
      <w:r w:rsidRPr="00292066">
        <w:t xml:space="preserve"> </w:t>
      </w:r>
      <w:proofErr w:type="spellStart"/>
      <w:r w:rsidRPr="00292066">
        <w:t>fell</w:t>
      </w:r>
      <w:proofErr w:type="spellEnd"/>
      <w:r w:rsidRPr="00292066">
        <w:t xml:space="preserve"> </w:t>
      </w:r>
      <w:proofErr w:type="spellStart"/>
      <w:r w:rsidRPr="00292066">
        <w:t>under</w:t>
      </w:r>
      <w:proofErr w:type="spellEnd"/>
      <w:r w:rsidRPr="00292066">
        <w:t xml:space="preserve"> the </w:t>
      </w:r>
      <w:proofErr w:type="spellStart"/>
      <w:r w:rsidRPr="00292066">
        <w:t>jurisdiction</w:t>
      </w:r>
      <w:proofErr w:type="spellEnd"/>
      <w:r w:rsidRPr="00292066">
        <w:t xml:space="preserve"> of a </w:t>
      </w:r>
      <w:proofErr w:type="spellStart"/>
      <w:r w:rsidRPr="00292066">
        <w:t>different</w:t>
      </w:r>
      <w:proofErr w:type="spellEnd"/>
      <w:r w:rsidRPr="00292066">
        <w:t xml:space="preserve"> </w:t>
      </w:r>
      <w:proofErr w:type="spellStart"/>
      <w:r w:rsidRPr="00292066">
        <w:t>body</w:t>
      </w:r>
      <w:proofErr w:type="spellEnd"/>
      <w:r w:rsidRPr="00292066">
        <w:t xml:space="preserve">. </w:t>
      </w:r>
      <w:proofErr w:type="spellStart"/>
      <w:r w:rsidRPr="00292066">
        <w:t>However</w:t>
      </w:r>
      <w:proofErr w:type="spellEnd"/>
      <w:r w:rsidRPr="00292066">
        <w:t xml:space="preserve">, the </w:t>
      </w:r>
      <w:proofErr w:type="spellStart"/>
      <w:r w:rsidRPr="00292066">
        <w:t>State</w:t>
      </w:r>
      <w:proofErr w:type="spellEnd"/>
      <w:r w:rsidRPr="00292066">
        <w:t xml:space="preserve"> </w:t>
      </w:r>
      <w:proofErr w:type="spellStart"/>
      <w:r w:rsidRPr="00292066">
        <w:t>party</w:t>
      </w:r>
      <w:proofErr w:type="spellEnd"/>
      <w:r w:rsidRPr="00292066">
        <w:t xml:space="preserve"> </w:t>
      </w:r>
      <w:proofErr w:type="spellStart"/>
      <w:r w:rsidRPr="00292066">
        <w:t>did</w:t>
      </w:r>
      <w:proofErr w:type="spellEnd"/>
      <w:r w:rsidRPr="00292066">
        <w:t xml:space="preserve"> </w:t>
      </w:r>
      <w:proofErr w:type="spellStart"/>
      <w:r w:rsidRPr="00292066">
        <w:t>not</w:t>
      </w:r>
      <w:proofErr w:type="spellEnd"/>
      <w:r w:rsidRPr="00292066">
        <w:t xml:space="preserve"> </w:t>
      </w:r>
      <w:proofErr w:type="spellStart"/>
      <w:r w:rsidRPr="00292066">
        <w:t>indicate</w:t>
      </w:r>
      <w:proofErr w:type="spellEnd"/>
      <w:r w:rsidRPr="00292066">
        <w:t xml:space="preserve"> </w:t>
      </w:r>
      <w:proofErr w:type="spellStart"/>
      <w:r w:rsidRPr="00292066">
        <w:t>which</w:t>
      </w:r>
      <w:proofErr w:type="spellEnd"/>
      <w:r w:rsidRPr="00292066">
        <w:t xml:space="preserve"> </w:t>
      </w:r>
      <w:proofErr w:type="spellStart"/>
      <w:r w:rsidRPr="00292066">
        <w:t>body</w:t>
      </w:r>
      <w:proofErr w:type="spellEnd"/>
      <w:r w:rsidRPr="00292066">
        <w:t xml:space="preserve"> </w:t>
      </w:r>
      <w:proofErr w:type="spellStart"/>
      <w:r w:rsidRPr="00292066">
        <w:t>had</w:t>
      </w:r>
      <w:proofErr w:type="spellEnd"/>
      <w:r w:rsidRPr="00292066">
        <w:t xml:space="preserve"> </w:t>
      </w:r>
      <w:proofErr w:type="spellStart"/>
      <w:r w:rsidRPr="00292066">
        <w:t>jurisdiction</w:t>
      </w:r>
      <w:proofErr w:type="spellEnd"/>
      <w:r w:rsidRPr="00292066">
        <w:t xml:space="preserve"> to determine </w:t>
      </w:r>
      <w:proofErr w:type="spellStart"/>
      <w:r w:rsidRPr="00292066">
        <w:t>th</w:t>
      </w:r>
      <w:r>
        <w:t>is</w:t>
      </w:r>
      <w:proofErr w:type="spellEnd"/>
      <w:r w:rsidRPr="00292066">
        <w:t xml:space="preserve"> </w:t>
      </w:r>
      <w:proofErr w:type="spellStart"/>
      <w:r w:rsidRPr="00292066">
        <w:t>matter</w:t>
      </w:r>
      <w:proofErr w:type="spellEnd"/>
      <w:r w:rsidRPr="00292066">
        <w:t xml:space="preserve">. </w:t>
      </w:r>
      <w:proofErr w:type="spellStart"/>
      <w:r w:rsidRPr="00292066">
        <w:t>From</w:t>
      </w:r>
      <w:proofErr w:type="spellEnd"/>
      <w:r w:rsidRPr="00292066">
        <w:t xml:space="preserve"> the </w:t>
      </w:r>
      <w:proofErr w:type="spellStart"/>
      <w:r w:rsidRPr="00292066">
        <w:t>information</w:t>
      </w:r>
      <w:proofErr w:type="spellEnd"/>
      <w:r w:rsidRPr="00292066">
        <w:t xml:space="preserve"> </w:t>
      </w:r>
      <w:proofErr w:type="spellStart"/>
      <w:r w:rsidRPr="00292066">
        <w:t>available</w:t>
      </w:r>
      <w:proofErr w:type="spellEnd"/>
      <w:r w:rsidRPr="00292066">
        <w:t xml:space="preserve"> to the </w:t>
      </w:r>
      <w:proofErr w:type="spellStart"/>
      <w:r w:rsidRPr="00292066">
        <w:t>Committee</w:t>
      </w:r>
      <w:proofErr w:type="spellEnd"/>
      <w:r w:rsidRPr="00292066">
        <w:t xml:space="preserve">, </w:t>
      </w:r>
      <w:proofErr w:type="spellStart"/>
      <w:r w:rsidRPr="00292066">
        <w:t>it</w:t>
      </w:r>
      <w:proofErr w:type="spellEnd"/>
      <w:r w:rsidRPr="00292066">
        <w:t xml:space="preserve"> </w:t>
      </w:r>
      <w:proofErr w:type="spellStart"/>
      <w:r w:rsidRPr="00292066">
        <w:t>thus</w:t>
      </w:r>
      <w:proofErr w:type="spellEnd"/>
      <w:r w:rsidRPr="00292066">
        <w:t xml:space="preserve"> </w:t>
      </w:r>
      <w:proofErr w:type="spellStart"/>
      <w:r w:rsidRPr="00292066">
        <w:t>appears</w:t>
      </w:r>
      <w:proofErr w:type="spellEnd"/>
      <w:r w:rsidRPr="00292066">
        <w:t xml:space="preserve"> </w:t>
      </w:r>
      <w:proofErr w:type="spellStart"/>
      <w:r w:rsidRPr="00292066">
        <w:t>that</w:t>
      </w:r>
      <w:proofErr w:type="spellEnd"/>
      <w:r w:rsidRPr="00292066">
        <w:t xml:space="preserve"> the </w:t>
      </w:r>
      <w:proofErr w:type="spellStart"/>
      <w:r w:rsidRPr="00292066">
        <w:t>courts</w:t>
      </w:r>
      <w:proofErr w:type="spellEnd"/>
      <w:r w:rsidRPr="00292066">
        <w:t xml:space="preserve"> in the </w:t>
      </w:r>
      <w:proofErr w:type="spellStart"/>
      <w:r w:rsidRPr="00292066">
        <w:t>State</w:t>
      </w:r>
      <w:proofErr w:type="spellEnd"/>
      <w:r w:rsidRPr="00292066">
        <w:t xml:space="preserve"> </w:t>
      </w:r>
      <w:proofErr w:type="spellStart"/>
      <w:r w:rsidRPr="00292066">
        <w:t>party</w:t>
      </w:r>
      <w:proofErr w:type="spellEnd"/>
      <w:r w:rsidRPr="00292066">
        <w:t xml:space="preserve"> </w:t>
      </w:r>
      <w:proofErr w:type="spellStart"/>
      <w:r w:rsidRPr="00292066">
        <w:t>have</w:t>
      </w:r>
      <w:proofErr w:type="spellEnd"/>
      <w:r w:rsidRPr="00292066">
        <w:t xml:space="preserve"> </w:t>
      </w:r>
      <w:proofErr w:type="spellStart"/>
      <w:r w:rsidRPr="00292066">
        <w:t>not</w:t>
      </w:r>
      <w:proofErr w:type="spellEnd"/>
      <w:r w:rsidRPr="00292066">
        <w:t xml:space="preserve"> </w:t>
      </w:r>
      <w:proofErr w:type="spellStart"/>
      <w:r w:rsidRPr="00292066">
        <w:t>fully</w:t>
      </w:r>
      <w:proofErr w:type="spellEnd"/>
      <w:r w:rsidRPr="00292066">
        <w:t xml:space="preserve"> </w:t>
      </w:r>
      <w:proofErr w:type="spellStart"/>
      <w:r w:rsidRPr="00292066">
        <w:t>considered</w:t>
      </w:r>
      <w:proofErr w:type="spellEnd"/>
      <w:r w:rsidRPr="00292066">
        <w:t xml:space="preserve"> and </w:t>
      </w:r>
      <w:proofErr w:type="spellStart"/>
      <w:r w:rsidRPr="00292066">
        <w:t>dismissed</w:t>
      </w:r>
      <w:proofErr w:type="spellEnd"/>
      <w:r w:rsidRPr="00292066">
        <w:t xml:space="preserve"> the </w:t>
      </w:r>
      <w:proofErr w:type="spellStart"/>
      <w:r w:rsidRPr="00292066">
        <w:t>author’s</w:t>
      </w:r>
      <w:proofErr w:type="spellEnd"/>
      <w:r w:rsidRPr="00292066">
        <w:t xml:space="preserve"> </w:t>
      </w:r>
      <w:proofErr w:type="spellStart"/>
      <w:r w:rsidRPr="00292066">
        <w:t>equality</w:t>
      </w:r>
      <w:proofErr w:type="spellEnd"/>
      <w:r w:rsidRPr="00292066">
        <w:t xml:space="preserve"> </w:t>
      </w:r>
      <w:proofErr w:type="spellStart"/>
      <w:r w:rsidRPr="00292066">
        <w:t>violation</w:t>
      </w:r>
      <w:proofErr w:type="spellEnd"/>
      <w:r w:rsidRPr="00292066">
        <w:t xml:space="preserve"> </w:t>
      </w:r>
      <w:proofErr w:type="spellStart"/>
      <w:r w:rsidRPr="00292066">
        <w:t>claim</w:t>
      </w:r>
      <w:proofErr w:type="spellEnd"/>
      <w:r>
        <w:t xml:space="preserve"> (</w:t>
      </w:r>
      <w:proofErr w:type="spellStart"/>
      <w:r>
        <w:t>s</w:t>
      </w:r>
      <w:r w:rsidRPr="00292066">
        <w:t>ee</w:t>
      </w:r>
      <w:proofErr w:type="spellEnd"/>
      <w:r w:rsidRPr="00292066">
        <w:t xml:space="preserve"> </w:t>
      </w:r>
      <w:proofErr w:type="spellStart"/>
      <w:r w:rsidRPr="00292066">
        <w:t>paragraphs</w:t>
      </w:r>
      <w:proofErr w:type="spellEnd"/>
      <w:r w:rsidRPr="00292066">
        <w:t xml:space="preserve"> 2.8, 3.2, 5.2, 7.1 and 8.7</w:t>
      </w:r>
      <w:r>
        <w:t>.)</w:t>
      </w:r>
      <w:r w:rsidRPr="00292066">
        <w:t xml:space="preserve"> </w:t>
      </w:r>
      <w:proofErr w:type="spellStart"/>
      <w:r w:rsidRPr="00292066">
        <w:t>This</w:t>
      </w:r>
      <w:proofErr w:type="spellEnd"/>
      <w:r w:rsidRPr="00292066">
        <w:t xml:space="preserve"> </w:t>
      </w:r>
      <w:proofErr w:type="spellStart"/>
      <w:r w:rsidRPr="00292066">
        <w:t>failure</w:t>
      </w:r>
      <w:proofErr w:type="spellEnd"/>
      <w:r w:rsidRPr="00292066">
        <w:t xml:space="preserve"> to </w:t>
      </w:r>
      <w:proofErr w:type="spellStart"/>
      <w:r w:rsidRPr="00292066">
        <w:t>consider</w:t>
      </w:r>
      <w:proofErr w:type="spellEnd"/>
      <w:r w:rsidRPr="00292066">
        <w:t xml:space="preserve"> </w:t>
      </w:r>
      <w:proofErr w:type="spellStart"/>
      <w:r w:rsidRPr="00292066">
        <w:t>her</w:t>
      </w:r>
      <w:proofErr w:type="spellEnd"/>
      <w:r w:rsidRPr="00292066">
        <w:t xml:space="preserve"> </w:t>
      </w:r>
      <w:proofErr w:type="spellStart"/>
      <w:r>
        <w:t>repeatedly</w:t>
      </w:r>
      <w:proofErr w:type="spellEnd"/>
      <w:r>
        <w:t xml:space="preserve"> </w:t>
      </w:r>
      <w:proofErr w:type="spellStart"/>
      <w:r>
        <w:t>raised</w:t>
      </w:r>
      <w:proofErr w:type="spellEnd"/>
      <w:r>
        <w:t xml:space="preserve"> </w:t>
      </w:r>
      <w:proofErr w:type="spellStart"/>
      <w:r w:rsidRPr="00292066">
        <w:t>claim</w:t>
      </w:r>
      <w:proofErr w:type="spellEnd"/>
      <w:r w:rsidRPr="00292066">
        <w:t xml:space="preserve"> </w:t>
      </w:r>
      <w:proofErr w:type="spellStart"/>
      <w:r w:rsidRPr="00292066">
        <w:t>constitutes</w:t>
      </w:r>
      <w:proofErr w:type="spellEnd"/>
      <w:r w:rsidRPr="00292066">
        <w:t xml:space="preserve"> </w:t>
      </w:r>
      <w:r>
        <w:t xml:space="preserve">a </w:t>
      </w:r>
      <w:proofErr w:type="spellStart"/>
      <w:r w:rsidRPr="00292066">
        <w:t>denial</w:t>
      </w:r>
      <w:proofErr w:type="spellEnd"/>
      <w:r w:rsidRPr="00292066">
        <w:t xml:space="preserve"> of </w:t>
      </w:r>
      <w:proofErr w:type="spellStart"/>
      <w:r w:rsidRPr="00292066">
        <w:t>justice</w:t>
      </w:r>
      <w:proofErr w:type="spellEnd"/>
      <w:r w:rsidRPr="00292066">
        <w:t xml:space="preserve"> and, </w:t>
      </w:r>
      <w:proofErr w:type="spellStart"/>
      <w:r w:rsidRPr="00292066">
        <w:t>therefore</w:t>
      </w:r>
      <w:proofErr w:type="spellEnd"/>
      <w:r w:rsidRPr="00292066">
        <w:t xml:space="preserve">, </w:t>
      </w:r>
      <w:proofErr w:type="spellStart"/>
      <w:r w:rsidRPr="00292066">
        <w:t>an</w:t>
      </w:r>
      <w:proofErr w:type="spellEnd"/>
      <w:r w:rsidRPr="00292066">
        <w:t xml:space="preserve"> </w:t>
      </w:r>
      <w:proofErr w:type="spellStart"/>
      <w:r w:rsidRPr="00292066">
        <w:t>infringement</w:t>
      </w:r>
      <w:proofErr w:type="spellEnd"/>
      <w:r w:rsidRPr="00292066">
        <w:t xml:space="preserve"> of the </w:t>
      </w:r>
      <w:proofErr w:type="spellStart"/>
      <w:r w:rsidRPr="00292066">
        <w:t>right</w:t>
      </w:r>
      <w:proofErr w:type="spellEnd"/>
      <w:r w:rsidRPr="00292066">
        <w:t xml:space="preserve"> to a </w:t>
      </w:r>
      <w:proofErr w:type="spellStart"/>
      <w:r w:rsidRPr="00292066">
        <w:t>fair</w:t>
      </w:r>
      <w:proofErr w:type="spellEnd"/>
      <w:r w:rsidRPr="00292066">
        <w:t xml:space="preserve"> trial </w:t>
      </w:r>
      <w:proofErr w:type="spellStart"/>
      <w:r w:rsidRPr="00292066">
        <w:t>under</w:t>
      </w:r>
      <w:proofErr w:type="spellEnd"/>
      <w:r w:rsidRPr="00292066">
        <w:t xml:space="preserve"> </w:t>
      </w:r>
      <w:proofErr w:type="spellStart"/>
      <w:r w:rsidRPr="00292066">
        <w:t>article</w:t>
      </w:r>
      <w:proofErr w:type="spellEnd"/>
      <w:r w:rsidRPr="00292066">
        <w:t xml:space="preserve"> 14 (1).</w:t>
      </w:r>
      <w:r w:rsidRPr="00BD1036">
        <w:rPr>
          <w:rStyle w:val="FootnoteReference"/>
          <w:sz w:val="24"/>
          <w:szCs w:val="24"/>
        </w:rPr>
        <w:footnoteReference w:id="39"/>
      </w:r>
      <w:r w:rsidRPr="00292066">
        <w:t xml:space="preserve"> </w:t>
      </w:r>
    </w:p>
    <w:p w14:paraId="4878402D" w14:textId="77777777" w:rsidR="00426CAD" w:rsidRDefault="00426CAD" w:rsidP="00426CAD">
      <w:pPr>
        <w:pStyle w:val="SingleTxtG"/>
      </w:pPr>
      <w:r>
        <w:t>5.</w:t>
      </w:r>
      <w:r>
        <w:tab/>
      </w:r>
      <w:proofErr w:type="spellStart"/>
      <w:r w:rsidRPr="00DC21C2">
        <w:t>Regarding</w:t>
      </w:r>
      <w:proofErr w:type="spellEnd"/>
      <w:r w:rsidRPr="00DC21C2">
        <w:t xml:space="preserve"> </w:t>
      </w:r>
      <w:proofErr w:type="spellStart"/>
      <w:r w:rsidRPr="00DC21C2">
        <w:t>article</w:t>
      </w:r>
      <w:proofErr w:type="spellEnd"/>
      <w:r w:rsidRPr="00DC21C2">
        <w:t xml:space="preserve"> 26, the </w:t>
      </w:r>
      <w:proofErr w:type="spellStart"/>
      <w:r w:rsidRPr="00DC21C2">
        <w:t>author</w:t>
      </w:r>
      <w:proofErr w:type="spellEnd"/>
      <w:r w:rsidRPr="00DC21C2">
        <w:t xml:space="preserve"> has </w:t>
      </w:r>
      <w:proofErr w:type="spellStart"/>
      <w:r w:rsidRPr="00DC21C2">
        <w:t>raised</w:t>
      </w:r>
      <w:proofErr w:type="spellEnd"/>
      <w:r w:rsidRPr="00DC21C2">
        <w:t xml:space="preserve"> a </w:t>
      </w:r>
      <w:proofErr w:type="spellStart"/>
      <w:r w:rsidRPr="00DC21C2">
        <w:t>complex</w:t>
      </w:r>
      <w:proofErr w:type="spellEnd"/>
      <w:r w:rsidRPr="00DC21C2">
        <w:t xml:space="preserve"> </w:t>
      </w:r>
      <w:proofErr w:type="spellStart"/>
      <w:r w:rsidRPr="00DC21C2">
        <w:t>claim</w:t>
      </w:r>
      <w:proofErr w:type="spellEnd"/>
      <w:r w:rsidRPr="00DC21C2">
        <w:t xml:space="preserve"> of </w:t>
      </w:r>
      <w:proofErr w:type="spellStart"/>
      <w:r w:rsidRPr="00DC21C2">
        <w:t>discrimination</w:t>
      </w:r>
      <w:proofErr w:type="spellEnd"/>
      <w:r w:rsidRPr="00DC21C2">
        <w:t xml:space="preserve"> </w:t>
      </w:r>
      <w:proofErr w:type="spellStart"/>
      <w:r w:rsidRPr="00DC21C2">
        <w:t>based</w:t>
      </w:r>
      <w:proofErr w:type="spellEnd"/>
      <w:r w:rsidRPr="00DC21C2">
        <w:t xml:space="preserve"> </w:t>
      </w:r>
      <w:proofErr w:type="spellStart"/>
      <w:r w:rsidRPr="00DC21C2">
        <w:t>on</w:t>
      </w:r>
      <w:proofErr w:type="spellEnd"/>
      <w:r w:rsidRPr="00DC21C2">
        <w:t xml:space="preserve"> the </w:t>
      </w:r>
      <w:proofErr w:type="spellStart"/>
      <w:r w:rsidRPr="00DC21C2">
        <w:t>grounds</w:t>
      </w:r>
      <w:proofErr w:type="spellEnd"/>
      <w:r w:rsidRPr="00DC21C2">
        <w:t xml:space="preserve"> of status and </w:t>
      </w:r>
      <w:proofErr w:type="spellStart"/>
      <w:r w:rsidRPr="00DC21C2">
        <w:t>disability</w:t>
      </w:r>
      <w:proofErr w:type="spellEnd"/>
      <w:r w:rsidRPr="00DC21C2">
        <w:t xml:space="preserve">. </w:t>
      </w:r>
      <w:proofErr w:type="spellStart"/>
      <w:r w:rsidRPr="00DC21C2">
        <w:t>Further</w:t>
      </w:r>
      <w:proofErr w:type="spellEnd"/>
      <w:r w:rsidRPr="00DC21C2">
        <w:t xml:space="preserve">, the </w:t>
      </w:r>
      <w:proofErr w:type="spellStart"/>
      <w:r w:rsidRPr="00DC21C2">
        <w:t>author</w:t>
      </w:r>
      <w:proofErr w:type="spellEnd"/>
      <w:r w:rsidRPr="00DC21C2">
        <w:t xml:space="preserve"> </w:t>
      </w:r>
      <w:proofErr w:type="spellStart"/>
      <w:r w:rsidRPr="00DC21C2">
        <w:t>is</w:t>
      </w:r>
      <w:proofErr w:type="spellEnd"/>
      <w:r w:rsidRPr="00DC21C2">
        <w:t xml:space="preserve"> a </w:t>
      </w:r>
      <w:proofErr w:type="spellStart"/>
      <w:r w:rsidRPr="00DC21C2">
        <w:t>woman</w:t>
      </w:r>
      <w:proofErr w:type="spellEnd"/>
      <w:r w:rsidRPr="00DC21C2">
        <w:t xml:space="preserve"> </w:t>
      </w:r>
      <w:proofErr w:type="spellStart"/>
      <w:r w:rsidRPr="00DC21C2">
        <w:t>working</w:t>
      </w:r>
      <w:proofErr w:type="spellEnd"/>
      <w:r w:rsidRPr="00DC21C2">
        <w:t xml:space="preserve"> in the </w:t>
      </w:r>
      <w:proofErr w:type="spellStart"/>
      <w:r w:rsidRPr="00DC21C2">
        <w:t>military</w:t>
      </w:r>
      <w:proofErr w:type="spellEnd"/>
      <w:r w:rsidRPr="00DC21C2">
        <w:t xml:space="preserve">, a </w:t>
      </w:r>
      <w:proofErr w:type="spellStart"/>
      <w:r w:rsidRPr="00DC21C2">
        <w:t>traditionally</w:t>
      </w:r>
      <w:proofErr w:type="spellEnd"/>
      <w:r w:rsidRPr="00DC21C2">
        <w:t xml:space="preserve"> </w:t>
      </w:r>
      <w:proofErr w:type="spellStart"/>
      <w:r w:rsidRPr="00DC21C2">
        <w:t>male-dominated</w:t>
      </w:r>
      <w:proofErr w:type="spellEnd"/>
      <w:r w:rsidRPr="00DC21C2">
        <w:t xml:space="preserve"> </w:t>
      </w:r>
      <w:proofErr w:type="spellStart"/>
      <w:r w:rsidRPr="00DC21C2">
        <w:t>profession</w:t>
      </w:r>
      <w:proofErr w:type="spellEnd"/>
      <w:r w:rsidRPr="00DC21C2">
        <w:t xml:space="preserve"> in </w:t>
      </w:r>
      <w:proofErr w:type="spellStart"/>
      <w:r w:rsidRPr="00DC21C2">
        <w:t>which</w:t>
      </w:r>
      <w:proofErr w:type="spellEnd"/>
      <w:r w:rsidRPr="00DC21C2">
        <w:t xml:space="preserve"> </w:t>
      </w:r>
      <w:proofErr w:type="spellStart"/>
      <w:r w:rsidRPr="00DC21C2">
        <w:t>women</w:t>
      </w:r>
      <w:proofErr w:type="spellEnd"/>
      <w:r w:rsidRPr="00DC21C2">
        <w:t xml:space="preserve"> </w:t>
      </w:r>
      <w:proofErr w:type="spellStart"/>
      <w:r w:rsidRPr="00DC21C2">
        <w:t>have</w:t>
      </w:r>
      <w:proofErr w:type="spellEnd"/>
      <w:r w:rsidRPr="00DC21C2">
        <w:t xml:space="preserve"> </w:t>
      </w:r>
      <w:proofErr w:type="spellStart"/>
      <w:r w:rsidRPr="00DC21C2">
        <w:t>long</w:t>
      </w:r>
      <w:proofErr w:type="spellEnd"/>
      <w:r w:rsidRPr="00DC21C2">
        <w:t xml:space="preserve"> </w:t>
      </w:r>
      <w:proofErr w:type="spellStart"/>
      <w:r w:rsidRPr="00DC21C2">
        <w:t>experienced</w:t>
      </w:r>
      <w:proofErr w:type="spellEnd"/>
      <w:r w:rsidRPr="00DC21C2">
        <w:t xml:space="preserve"> </w:t>
      </w:r>
      <w:proofErr w:type="spellStart"/>
      <w:r w:rsidRPr="00DC21C2">
        <w:t>marginalization</w:t>
      </w:r>
      <w:proofErr w:type="spellEnd"/>
      <w:r w:rsidRPr="00DC21C2">
        <w:t xml:space="preserve"> and </w:t>
      </w:r>
      <w:proofErr w:type="spellStart"/>
      <w:r w:rsidRPr="00DC21C2">
        <w:t>disadvantage</w:t>
      </w:r>
      <w:proofErr w:type="spellEnd"/>
      <w:r w:rsidRPr="00DC21C2">
        <w:t xml:space="preserve">. </w:t>
      </w:r>
      <w:proofErr w:type="spellStart"/>
      <w:r w:rsidRPr="00DC21C2">
        <w:t>Her</w:t>
      </w:r>
      <w:proofErr w:type="spellEnd"/>
      <w:r w:rsidRPr="00DC21C2">
        <w:t xml:space="preserve"> status as a non-</w:t>
      </w:r>
      <w:proofErr w:type="spellStart"/>
      <w:r w:rsidRPr="00DC21C2">
        <w:t>career</w:t>
      </w:r>
      <w:proofErr w:type="spellEnd"/>
      <w:r w:rsidRPr="00DC21C2">
        <w:t xml:space="preserve"> </w:t>
      </w:r>
      <w:proofErr w:type="spellStart"/>
      <w:r w:rsidRPr="00DC21C2">
        <w:t>service</w:t>
      </w:r>
      <w:proofErr w:type="spellEnd"/>
      <w:r w:rsidRPr="00DC21C2">
        <w:t xml:space="preserve"> </w:t>
      </w:r>
      <w:proofErr w:type="spellStart"/>
      <w:r w:rsidRPr="00DC21C2">
        <w:t>member</w:t>
      </w:r>
      <w:proofErr w:type="spellEnd"/>
      <w:r w:rsidRPr="00DC21C2">
        <w:t xml:space="preserve"> of the </w:t>
      </w:r>
      <w:proofErr w:type="spellStart"/>
      <w:r w:rsidRPr="00DC21C2">
        <w:t>military</w:t>
      </w:r>
      <w:proofErr w:type="spellEnd"/>
      <w:r w:rsidRPr="00DC21C2">
        <w:t xml:space="preserve">, </w:t>
      </w:r>
      <w:proofErr w:type="spellStart"/>
      <w:r w:rsidRPr="00DC21C2">
        <w:t>or</w:t>
      </w:r>
      <w:proofErr w:type="spellEnd"/>
      <w:r w:rsidRPr="00DC21C2">
        <w:t xml:space="preserve"> </w:t>
      </w:r>
      <w:proofErr w:type="spellStart"/>
      <w:r w:rsidRPr="00DC21C2">
        <w:t>temporary</w:t>
      </w:r>
      <w:proofErr w:type="spellEnd"/>
      <w:r w:rsidRPr="00DC21C2">
        <w:t xml:space="preserve"> </w:t>
      </w:r>
      <w:proofErr w:type="spellStart"/>
      <w:r w:rsidRPr="00DC21C2">
        <w:t>professional</w:t>
      </w:r>
      <w:proofErr w:type="spellEnd"/>
      <w:r w:rsidRPr="00DC21C2">
        <w:t xml:space="preserve"> </w:t>
      </w:r>
      <w:proofErr w:type="spellStart"/>
      <w:r w:rsidRPr="00DC21C2">
        <w:t>military</w:t>
      </w:r>
      <w:proofErr w:type="spellEnd"/>
      <w:r w:rsidRPr="00DC21C2">
        <w:t xml:space="preserve"> </w:t>
      </w:r>
      <w:proofErr w:type="spellStart"/>
      <w:r w:rsidRPr="00DC21C2">
        <w:t>personnel</w:t>
      </w:r>
      <w:proofErr w:type="spellEnd"/>
      <w:r w:rsidRPr="00DC21C2">
        <w:t xml:space="preserve"> (</w:t>
      </w:r>
      <w:proofErr w:type="spellStart"/>
      <w:r w:rsidRPr="00DC21C2">
        <w:t>see</w:t>
      </w:r>
      <w:proofErr w:type="spellEnd"/>
      <w:r w:rsidRPr="00DC21C2">
        <w:t xml:space="preserve"> </w:t>
      </w:r>
      <w:proofErr w:type="spellStart"/>
      <w:r w:rsidRPr="00DC21C2">
        <w:t>paragraph</w:t>
      </w:r>
      <w:proofErr w:type="spellEnd"/>
      <w:r w:rsidRPr="00DC21C2">
        <w:t xml:space="preserve"> 6.10), places </w:t>
      </w:r>
      <w:proofErr w:type="spellStart"/>
      <w:r w:rsidRPr="00DC21C2">
        <w:t>her</w:t>
      </w:r>
      <w:proofErr w:type="spellEnd"/>
      <w:r w:rsidRPr="00DC21C2">
        <w:t xml:space="preserve"> in a vulnerable position, </w:t>
      </w:r>
      <w:proofErr w:type="spellStart"/>
      <w:r w:rsidRPr="00DC21C2">
        <w:t>despite</w:t>
      </w:r>
      <w:proofErr w:type="spellEnd"/>
      <w:r w:rsidRPr="00DC21C2">
        <w:t xml:space="preserve"> </w:t>
      </w:r>
      <w:proofErr w:type="spellStart"/>
      <w:r w:rsidRPr="00DC21C2">
        <w:t>having</w:t>
      </w:r>
      <w:proofErr w:type="spellEnd"/>
      <w:r w:rsidRPr="00DC21C2">
        <w:t xml:space="preserve"> </w:t>
      </w:r>
      <w:proofErr w:type="spellStart"/>
      <w:r w:rsidRPr="00DC21C2">
        <w:t>long-term</w:t>
      </w:r>
      <w:proofErr w:type="spellEnd"/>
      <w:r w:rsidRPr="00DC21C2">
        <w:t xml:space="preserve"> </w:t>
      </w:r>
      <w:proofErr w:type="spellStart"/>
      <w:r w:rsidRPr="00DC21C2">
        <w:t>employment</w:t>
      </w:r>
      <w:proofErr w:type="spellEnd"/>
      <w:r w:rsidRPr="00DC21C2">
        <w:t>.</w:t>
      </w:r>
    </w:p>
    <w:p w14:paraId="4842D2A4" w14:textId="77777777" w:rsidR="00426CAD" w:rsidRPr="00292066" w:rsidRDefault="00426CAD" w:rsidP="00426CAD">
      <w:pPr>
        <w:pStyle w:val="SingleTxtG"/>
      </w:pPr>
      <w:r>
        <w:t>6.</w:t>
      </w:r>
      <w:r>
        <w:tab/>
      </w:r>
      <w:r w:rsidRPr="00292066">
        <w:t xml:space="preserve">The </w:t>
      </w:r>
      <w:proofErr w:type="spellStart"/>
      <w:r w:rsidRPr="00292066">
        <w:t>author</w:t>
      </w:r>
      <w:proofErr w:type="spellEnd"/>
      <w:r w:rsidRPr="00292066">
        <w:t xml:space="preserve"> </w:t>
      </w:r>
      <w:proofErr w:type="spellStart"/>
      <w:r w:rsidRPr="00292066">
        <w:t>alleged</w:t>
      </w:r>
      <w:proofErr w:type="spellEnd"/>
      <w:r w:rsidRPr="00292066">
        <w:t xml:space="preserve"> </w:t>
      </w:r>
      <w:proofErr w:type="spellStart"/>
      <w:r w:rsidRPr="00292066">
        <w:t>that</w:t>
      </w:r>
      <w:proofErr w:type="spellEnd"/>
      <w:r w:rsidRPr="00292066">
        <w:t xml:space="preserve"> </w:t>
      </w:r>
      <w:proofErr w:type="spellStart"/>
      <w:r w:rsidRPr="00292066">
        <w:t>she</w:t>
      </w:r>
      <w:proofErr w:type="spellEnd"/>
      <w:r w:rsidRPr="00292066">
        <w:t xml:space="preserve"> </w:t>
      </w:r>
      <w:proofErr w:type="spellStart"/>
      <w:r w:rsidRPr="00292066">
        <w:t>experienced</w:t>
      </w:r>
      <w:proofErr w:type="spellEnd"/>
      <w:r w:rsidRPr="00292066">
        <w:t xml:space="preserve"> </w:t>
      </w:r>
      <w:proofErr w:type="spellStart"/>
      <w:r w:rsidRPr="00292066">
        <w:t>workplace</w:t>
      </w:r>
      <w:proofErr w:type="spellEnd"/>
      <w:r w:rsidRPr="00292066">
        <w:t xml:space="preserve"> </w:t>
      </w:r>
      <w:proofErr w:type="spellStart"/>
      <w:r w:rsidRPr="00292066">
        <w:t>psychological</w:t>
      </w:r>
      <w:proofErr w:type="spellEnd"/>
      <w:r w:rsidRPr="00292066">
        <w:t xml:space="preserve"> </w:t>
      </w:r>
      <w:proofErr w:type="spellStart"/>
      <w:r w:rsidRPr="00292066">
        <w:t>harassment</w:t>
      </w:r>
      <w:proofErr w:type="spellEnd"/>
      <w:r w:rsidRPr="00292066">
        <w:t xml:space="preserve">, </w:t>
      </w:r>
      <w:proofErr w:type="spellStart"/>
      <w:r w:rsidRPr="00292066">
        <w:t>humiliation</w:t>
      </w:r>
      <w:proofErr w:type="spellEnd"/>
      <w:r w:rsidRPr="00292066">
        <w:t xml:space="preserve"> and </w:t>
      </w:r>
      <w:proofErr w:type="spellStart"/>
      <w:r w:rsidRPr="00292066">
        <w:t>professional</w:t>
      </w:r>
      <w:proofErr w:type="spellEnd"/>
      <w:r w:rsidRPr="00292066">
        <w:t xml:space="preserve"> </w:t>
      </w:r>
      <w:proofErr w:type="spellStart"/>
      <w:r w:rsidRPr="00292066">
        <w:t>disparagement</w:t>
      </w:r>
      <w:proofErr w:type="spellEnd"/>
      <w:r w:rsidRPr="00292066">
        <w:t xml:space="preserve">. </w:t>
      </w:r>
      <w:proofErr w:type="spellStart"/>
      <w:r w:rsidRPr="00292066">
        <w:t>This</w:t>
      </w:r>
      <w:proofErr w:type="spellEnd"/>
      <w:r w:rsidRPr="00292066">
        <w:t xml:space="preserve"> </w:t>
      </w:r>
      <w:proofErr w:type="spellStart"/>
      <w:r w:rsidRPr="00292066">
        <w:t>mistreatment</w:t>
      </w:r>
      <w:proofErr w:type="spellEnd"/>
      <w:r w:rsidRPr="00292066">
        <w:t xml:space="preserve"> </w:t>
      </w:r>
      <w:proofErr w:type="spellStart"/>
      <w:r w:rsidRPr="00292066">
        <w:t>contributed</w:t>
      </w:r>
      <w:proofErr w:type="spellEnd"/>
      <w:r w:rsidRPr="00292066">
        <w:t xml:space="preserve"> to the </w:t>
      </w:r>
      <w:proofErr w:type="spellStart"/>
      <w:r w:rsidRPr="00292066">
        <w:t>exacerbation</w:t>
      </w:r>
      <w:proofErr w:type="spellEnd"/>
      <w:r w:rsidRPr="00292066">
        <w:t xml:space="preserve"> of </w:t>
      </w:r>
      <w:proofErr w:type="spellStart"/>
      <w:r w:rsidRPr="00292066">
        <w:t>her</w:t>
      </w:r>
      <w:proofErr w:type="spellEnd"/>
      <w:r w:rsidRPr="00292066">
        <w:t xml:space="preserve"> </w:t>
      </w:r>
      <w:proofErr w:type="spellStart"/>
      <w:r w:rsidRPr="00292066">
        <w:t>anxiety</w:t>
      </w:r>
      <w:proofErr w:type="spellEnd"/>
      <w:r w:rsidRPr="00292066">
        <w:t xml:space="preserve"> and </w:t>
      </w:r>
      <w:proofErr w:type="spellStart"/>
      <w:r w:rsidRPr="00292066">
        <w:t>depression</w:t>
      </w:r>
      <w:proofErr w:type="spellEnd"/>
      <w:r w:rsidRPr="00292066">
        <w:t xml:space="preserve"> and </w:t>
      </w:r>
      <w:proofErr w:type="spellStart"/>
      <w:r w:rsidRPr="00292066">
        <w:t>caused</w:t>
      </w:r>
      <w:proofErr w:type="spellEnd"/>
      <w:r w:rsidRPr="00292066">
        <w:t xml:space="preserve"> </w:t>
      </w:r>
      <w:proofErr w:type="spellStart"/>
      <w:r w:rsidRPr="00292066">
        <w:t>her</w:t>
      </w:r>
      <w:proofErr w:type="spellEnd"/>
      <w:r w:rsidRPr="00292066">
        <w:t xml:space="preserve"> to be </w:t>
      </w:r>
      <w:proofErr w:type="spellStart"/>
      <w:r w:rsidRPr="00292066">
        <w:t>unable</w:t>
      </w:r>
      <w:proofErr w:type="spellEnd"/>
      <w:r w:rsidRPr="00292066">
        <w:t xml:space="preserve"> to </w:t>
      </w:r>
      <w:proofErr w:type="spellStart"/>
      <w:r w:rsidRPr="00292066">
        <w:t>work</w:t>
      </w:r>
      <w:proofErr w:type="spellEnd"/>
      <w:r w:rsidRPr="00292066">
        <w:t xml:space="preserve"> </w:t>
      </w:r>
      <w:proofErr w:type="spellStart"/>
      <w:r w:rsidRPr="00292066">
        <w:t>due</w:t>
      </w:r>
      <w:proofErr w:type="spellEnd"/>
      <w:r w:rsidRPr="00292066">
        <w:t xml:space="preserve"> to </w:t>
      </w:r>
      <w:proofErr w:type="spellStart"/>
      <w:r w:rsidRPr="00292066">
        <w:t>disability</w:t>
      </w:r>
      <w:proofErr w:type="spellEnd"/>
      <w:r w:rsidRPr="00292066">
        <w:t xml:space="preserve">. </w:t>
      </w:r>
      <w:proofErr w:type="spellStart"/>
      <w:r w:rsidRPr="00292066">
        <w:t>Harassment</w:t>
      </w:r>
      <w:proofErr w:type="spellEnd"/>
      <w:r w:rsidRPr="00292066">
        <w:t xml:space="preserve"> of </w:t>
      </w:r>
      <w:proofErr w:type="spellStart"/>
      <w:r w:rsidRPr="00292066">
        <w:t>women</w:t>
      </w:r>
      <w:proofErr w:type="spellEnd"/>
      <w:r w:rsidRPr="00292066">
        <w:t xml:space="preserve"> in the </w:t>
      </w:r>
      <w:proofErr w:type="spellStart"/>
      <w:r w:rsidRPr="00292066">
        <w:t>workplace</w:t>
      </w:r>
      <w:proofErr w:type="spellEnd"/>
      <w:r w:rsidRPr="00292066">
        <w:t xml:space="preserve"> </w:t>
      </w:r>
      <w:proofErr w:type="spellStart"/>
      <w:r w:rsidRPr="00292066">
        <w:t>constitutes</w:t>
      </w:r>
      <w:proofErr w:type="spellEnd"/>
      <w:r w:rsidRPr="00292066">
        <w:t xml:space="preserve"> sex-</w:t>
      </w:r>
      <w:proofErr w:type="spellStart"/>
      <w:r w:rsidRPr="00292066">
        <w:t>based</w:t>
      </w:r>
      <w:proofErr w:type="spellEnd"/>
      <w:r w:rsidRPr="00292066">
        <w:t xml:space="preserve"> </w:t>
      </w:r>
      <w:proofErr w:type="spellStart"/>
      <w:r w:rsidRPr="00292066">
        <w:t>discrimination</w:t>
      </w:r>
      <w:proofErr w:type="spellEnd"/>
      <w:r w:rsidRPr="00292066">
        <w:t xml:space="preserve">, </w:t>
      </w:r>
      <w:proofErr w:type="spellStart"/>
      <w:r w:rsidRPr="00292066">
        <w:t>which</w:t>
      </w:r>
      <w:proofErr w:type="spellEnd"/>
      <w:r w:rsidRPr="00292066">
        <w:t xml:space="preserve"> </w:t>
      </w:r>
      <w:proofErr w:type="spellStart"/>
      <w:r w:rsidRPr="00292066">
        <w:t>violates</w:t>
      </w:r>
      <w:proofErr w:type="spellEnd"/>
      <w:r w:rsidRPr="00292066">
        <w:t xml:space="preserve"> </w:t>
      </w:r>
      <w:proofErr w:type="spellStart"/>
      <w:r w:rsidRPr="00292066">
        <w:t>article</w:t>
      </w:r>
      <w:proofErr w:type="spellEnd"/>
      <w:r w:rsidRPr="00292066">
        <w:t xml:space="preserve"> 26 of the </w:t>
      </w:r>
      <w:proofErr w:type="spellStart"/>
      <w:r w:rsidRPr="00292066">
        <w:t>Covenant</w:t>
      </w:r>
      <w:proofErr w:type="spellEnd"/>
      <w:r w:rsidRPr="00292066">
        <w:t>.</w:t>
      </w:r>
      <w:r w:rsidRPr="00BD1036">
        <w:rPr>
          <w:rStyle w:val="FootnoteReference"/>
          <w:sz w:val="24"/>
          <w:szCs w:val="24"/>
        </w:rPr>
        <w:footnoteReference w:id="40"/>
      </w:r>
      <w:r w:rsidRPr="00292066">
        <w:t xml:space="preserve"> </w:t>
      </w:r>
      <w:proofErr w:type="spellStart"/>
      <w:r w:rsidRPr="00292066">
        <w:t>States</w:t>
      </w:r>
      <w:proofErr w:type="spellEnd"/>
      <w:r w:rsidRPr="00292066">
        <w:t xml:space="preserve"> </w:t>
      </w:r>
      <w:proofErr w:type="spellStart"/>
      <w:r w:rsidRPr="00292066">
        <w:t>parties</w:t>
      </w:r>
      <w:proofErr w:type="spellEnd"/>
      <w:r w:rsidRPr="00292066">
        <w:t xml:space="preserve"> </w:t>
      </w:r>
      <w:proofErr w:type="spellStart"/>
      <w:r w:rsidRPr="00292066">
        <w:t>have</w:t>
      </w:r>
      <w:proofErr w:type="spellEnd"/>
      <w:r w:rsidRPr="00292066">
        <w:t xml:space="preserve"> </w:t>
      </w:r>
      <w:proofErr w:type="spellStart"/>
      <w:r w:rsidRPr="00292066">
        <w:t>an</w:t>
      </w:r>
      <w:proofErr w:type="spellEnd"/>
      <w:r w:rsidRPr="00292066">
        <w:t xml:space="preserve"> </w:t>
      </w:r>
      <w:proofErr w:type="spellStart"/>
      <w:r w:rsidRPr="00292066">
        <w:t>obligation</w:t>
      </w:r>
      <w:proofErr w:type="spellEnd"/>
      <w:r w:rsidRPr="00292066">
        <w:t xml:space="preserve"> to </w:t>
      </w:r>
      <w:proofErr w:type="spellStart"/>
      <w:r w:rsidRPr="00292066">
        <w:t>address</w:t>
      </w:r>
      <w:proofErr w:type="spellEnd"/>
      <w:r w:rsidRPr="00292066">
        <w:t xml:space="preserve"> the </w:t>
      </w:r>
      <w:proofErr w:type="spellStart"/>
      <w:r w:rsidRPr="00292066">
        <w:t>ways</w:t>
      </w:r>
      <w:proofErr w:type="spellEnd"/>
      <w:r w:rsidRPr="00292066">
        <w:t xml:space="preserve"> in </w:t>
      </w:r>
      <w:proofErr w:type="spellStart"/>
      <w:r w:rsidRPr="00292066">
        <w:t>which</w:t>
      </w:r>
      <w:proofErr w:type="spellEnd"/>
      <w:r w:rsidRPr="00292066">
        <w:t xml:space="preserve"> </w:t>
      </w:r>
      <w:proofErr w:type="spellStart"/>
      <w:r w:rsidRPr="00292066">
        <w:t>instances</w:t>
      </w:r>
      <w:proofErr w:type="spellEnd"/>
      <w:r w:rsidRPr="00292066">
        <w:t xml:space="preserve"> of </w:t>
      </w:r>
      <w:proofErr w:type="spellStart"/>
      <w:r w:rsidRPr="00292066">
        <w:t>discrimination</w:t>
      </w:r>
      <w:proofErr w:type="spellEnd"/>
      <w:r w:rsidRPr="00292066">
        <w:t xml:space="preserve"> </w:t>
      </w:r>
      <w:proofErr w:type="spellStart"/>
      <w:r w:rsidRPr="00292066">
        <w:t>affect</w:t>
      </w:r>
      <w:proofErr w:type="spellEnd"/>
      <w:r w:rsidRPr="00292066">
        <w:t xml:space="preserve"> </w:t>
      </w:r>
      <w:proofErr w:type="spellStart"/>
      <w:r w:rsidRPr="00292066">
        <w:t>women</w:t>
      </w:r>
      <w:proofErr w:type="spellEnd"/>
      <w:r w:rsidRPr="00292066">
        <w:t xml:space="preserve"> in particular.</w:t>
      </w:r>
      <w:r w:rsidRPr="00BD1036">
        <w:rPr>
          <w:rStyle w:val="FootnoteReference"/>
          <w:sz w:val="24"/>
          <w:szCs w:val="24"/>
        </w:rPr>
        <w:footnoteReference w:id="41"/>
      </w:r>
      <w:r w:rsidRPr="00292066">
        <w:t xml:space="preserve"> </w:t>
      </w:r>
      <w:proofErr w:type="spellStart"/>
      <w:r w:rsidRPr="00292066">
        <w:t>Despite</w:t>
      </w:r>
      <w:proofErr w:type="spellEnd"/>
      <w:r w:rsidRPr="00292066">
        <w:t xml:space="preserve"> </w:t>
      </w:r>
      <w:proofErr w:type="spellStart"/>
      <w:r w:rsidRPr="00292066">
        <w:t>this</w:t>
      </w:r>
      <w:proofErr w:type="spellEnd"/>
      <w:r w:rsidRPr="00292066">
        <w:t xml:space="preserve"> </w:t>
      </w:r>
      <w:proofErr w:type="spellStart"/>
      <w:r w:rsidRPr="00292066">
        <w:t>obligation</w:t>
      </w:r>
      <w:proofErr w:type="spellEnd"/>
      <w:r w:rsidRPr="00292066">
        <w:t xml:space="preserve">, the </w:t>
      </w:r>
      <w:proofErr w:type="spellStart"/>
      <w:r w:rsidRPr="00292066">
        <w:t>effect</w:t>
      </w:r>
      <w:proofErr w:type="spellEnd"/>
      <w:r w:rsidRPr="00292066">
        <w:t xml:space="preserve"> of the </w:t>
      </w:r>
      <w:proofErr w:type="spellStart"/>
      <w:r w:rsidRPr="00292066">
        <w:t>discrimination</w:t>
      </w:r>
      <w:proofErr w:type="spellEnd"/>
      <w:r w:rsidRPr="00292066">
        <w:t xml:space="preserve"> </w:t>
      </w:r>
      <w:proofErr w:type="spellStart"/>
      <w:r w:rsidRPr="00292066">
        <w:t>on</w:t>
      </w:r>
      <w:proofErr w:type="spellEnd"/>
      <w:r w:rsidRPr="00292066">
        <w:t xml:space="preserve"> the </w:t>
      </w:r>
      <w:proofErr w:type="spellStart"/>
      <w:r w:rsidRPr="00292066">
        <w:t>author</w:t>
      </w:r>
      <w:proofErr w:type="spellEnd"/>
      <w:r w:rsidRPr="00292066">
        <w:t xml:space="preserve"> has </w:t>
      </w:r>
      <w:proofErr w:type="spellStart"/>
      <w:r w:rsidRPr="00292066">
        <w:t>not</w:t>
      </w:r>
      <w:proofErr w:type="spellEnd"/>
      <w:r w:rsidRPr="00292066">
        <w:t xml:space="preserve"> </w:t>
      </w:r>
      <w:proofErr w:type="spellStart"/>
      <w:r w:rsidRPr="00292066">
        <w:t>been</w:t>
      </w:r>
      <w:proofErr w:type="spellEnd"/>
      <w:r w:rsidRPr="00292066">
        <w:t xml:space="preserve"> </w:t>
      </w:r>
      <w:proofErr w:type="spellStart"/>
      <w:r w:rsidRPr="00292066">
        <w:t>recognized</w:t>
      </w:r>
      <w:proofErr w:type="spellEnd"/>
      <w:r w:rsidRPr="00292066">
        <w:t xml:space="preserve"> </w:t>
      </w:r>
      <w:proofErr w:type="spellStart"/>
      <w:r w:rsidRPr="00292066">
        <w:t>by</w:t>
      </w:r>
      <w:proofErr w:type="spellEnd"/>
      <w:r w:rsidRPr="00292066">
        <w:t xml:space="preserve"> the </w:t>
      </w:r>
      <w:proofErr w:type="spellStart"/>
      <w:r w:rsidRPr="00292066">
        <w:t>State</w:t>
      </w:r>
      <w:proofErr w:type="spellEnd"/>
      <w:r w:rsidRPr="00292066">
        <w:t xml:space="preserve"> </w:t>
      </w:r>
      <w:proofErr w:type="spellStart"/>
      <w:r w:rsidRPr="00292066">
        <w:t>party</w:t>
      </w:r>
      <w:proofErr w:type="spellEnd"/>
      <w:r w:rsidRPr="00292066">
        <w:t xml:space="preserve"> as a </w:t>
      </w:r>
      <w:proofErr w:type="spellStart"/>
      <w:r w:rsidRPr="00292066">
        <w:t>contributing</w:t>
      </w:r>
      <w:proofErr w:type="spellEnd"/>
      <w:r w:rsidRPr="00292066">
        <w:t xml:space="preserve"> cause to </w:t>
      </w:r>
      <w:proofErr w:type="spellStart"/>
      <w:r w:rsidRPr="00292066">
        <w:t>her</w:t>
      </w:r>
      <w:proofErr w:type="spellEnd"/>
      <w:r w:rsidRPr="00292066">
        <w:t xml:space="preserve"> </w:t>
      </w:r>
      <w:proofErr w:type="spellStart"/>
      <w:r w:rsidRPr="00292066">
        <w:t>disability</w:t>
      </w:r>
      <w:proofErr w:type="spellEnd"/>
      <w:r w:rsidRPr="00292066">
        <w:t xml:space="preserve"> and, as </w:t>
      </w:r>
      <w:proofErr w:type="spellStart"/>
      <w:r w:rsidRPr="00292066">
        <w:t>such</w:t>
      </w:r>
      <w:proofErr w:type="spellEnd"/>
      <w:r w:rsidRPr="00292066">
        <w:t xml:space="preserve">, </w:t>
      </w:r>
      <w:proofErr w:type="spellStart"/>
      <w:r w:rsidRPr="00292066">
        <w:t>she</w:t>
      </w:r>
      <w:proofErr w:type="spellEnd"/>
      <w:r w:rsidRPr="00292066">
        <w:t xml:space="preserve"> </w:t>
      </w:r>
      <w:proofErr w:type="spellStart"/>
      <w:r w:rsidRPr="00292066">
        <w:t>was</w:t>
      </w:r>
      <w:proofErr w:type="spellEnd"/>
      <w:r w:rsidRPr="00292066">
        <w:t xml:space="preserve"> </w:t>
      </w:r>
      <w:proofErr w:type="spellStart"/>
      <w:r w:rsidRPr="00292066">
        <w:t>denied</w:t>
      </w:r>
      <w:proofErr w:type="spellEnd"/>
      <w:r w:rsidRPr="00292066">
        <w:t xml:space="preserve"> a </w:t>
      </w:r>
      <w:proofErr w:type="spellStart"/>
      <w:r w:rsidRPr="00292066">
        <w:t>disability</w:t>
      </w:r>
      <w:proofErr w:type="spellEnd"/>
      <w:r w:rsidRPr="00292066">
        <w:t xml:space="preserve"> </w:t>
      </w:r>
      <w:proofErr w:type="spellStart"/>
      <w:r w:rsidRPr="00292066">
        <w:t>pension</w:t>
      </w:r>
      <w:proofErr w:type="spellEnd"/>
      <w:r w:rsidRPr="00292066">
        <w:t xml:space="preserve">. </w:t>
      </w:r>
    </w:p>
    <w:p w14:paraId="47611EA7" w14:textId="77777777" w:rsidR="00426CAD" w:rsidRPr="001F387D" w:rsidRDefault="00426CAD" w:rsidP="00426CAD">
      <w:pPr>
        <w:pStyle w:val="SingleTxtG"/>
      </w:pPr>
      <w:r>
        <w:t>7.</w:t>
      </w:r>
      <w:r>
        <w:tab/>
        <w:t xml:space="preserve">In </w:t>
      </w:r>
      <w:proofErr w:type="spellStart"/>
      <w:r>
        <w:t>paragraph</w:t>
      </w:r>
      <w:proofErr w:type="spellEnd"/>
      <w:r>
        <w:t xml:space="preserve"> 7, </w:t>
      </w:r>
      <w:r w:rsidRPr="00292066">
        <w:t xml:space="preserve">General </w:t>
      </w:r>
      <w:proofErr w:type="spellStart"/>
      <w:r w:rsidRPr="00292066">
        <w:t>Comment</w:t>
      </w:r>
      <w:proofErr w:type="spellEnd"/>
      <w:r w:rsidRPr="00292066">
        <w:t xml:space="preserve"> 18 </w:t>
      </w:r>
      <w:proofErr w:type="spellStart"/>
      <w:r w:rsidRPr="00292066">
        <w:t>on</w:t>
      </w:r>
      <w:proofErr w:type="spellEnd"/>
      <w:r w:rsidRPr="00292066">
        <w:t xml:space="preserve"> non-</w:t>
      </w:r>
      <w:proofErr w:type="spellStart"/>
      <w:r w:rsidRPr="00292066">
        <w:t>discrimination</w:t>
      </w:r>
      <w:proofErr w:type="spellEnd"/>
      <w:r w:rsidRPr="00292066">
        <w:t xml:space="preserve"> </w:t>
      </w:r>
      <w:proofErr w:type="spellStart"/>
      <w:r w:rsidRPr="00292066">
        <w:t>provides</w:t>
      </w:r>
      <w:proofErr w:type="spellEnd"/>
      <w:r w:rsidRPr="00292066">
        <w:t xml:space="preserve"> </w:t>
      </w:r>
      <w:proofErr w:type="spellStart"/>
      <w:r w:rsidRPr="00292066">
        <w:t>that</w:t>
      </w:r>
      <w:proofErr w:type="spellEnd"/>
      <w:r w:rsidRPr="00292066">
        <w:t xml:space="preserve"> “</w:t>
      </w:r>
      <w:proofErr w:type="spellStart"/>
      <w:r w:rsidRPr="00292066">
        <w:t>discrimination</w:t>
      </w:r>
      <w:proofErr w:type="spellEnd"/>
      <w:r w:rsidRPr="00292066">
        <w:t xml:space="preserve">” as </w:t>
      </w:r>
      <w:proofErr w:type="spellStart"/>
      <w:r w:rsidRPr="00292066">
        <w:t>used</w:t>
      </w:r>
      <w:proofErr w:type="spellEnd"/>
      <w:r w:rsidRPr="00292066">
        <w:t xml:space="preserve"> in the </w:t>
      </w:r>
      <w:proofErr w:type="spellStart"/>
      <w:r w:rsidRPr="00292066">
        <w:t>Covenant</w:t>
      </w:r>
      <w:proofErr w:type="spellEnd"/>
      <w:r w:rsidRPr="00292066">
        <w:t xml:space="preserve"> </w:t>
      </w:r>
      <w:proofErr w:type="spellStart"/>
      <w:r w:rsidRPr="00292066">
        <w:t>should</w:t>
      </w:r>
      <w:proofErr w:type="spellEnd"/>
      <w:r w:rsidRPr="00292066">
        <w:t xml:space="preserve"> be </w:t>
      </w:r>
      <w:proofErr w:type="spellStart"/>
      <w:r w:rsidRPr="00292066">
        <w:t>understood</w:t>
      </w:r>
      <w:proofErr w:type="spellEnd"/>
      <w:r w:rsidRPr="00292066">
        <w:t xml:space="preserve"> to </w:t>
      </w:r>
      <w:proofErr w:type="spellStart"/>
      <w:r w:rsidRPr="00292066">
        <w:t>imply</w:t>
      </w:r>
      <w:proofErr w:type="spellEnd"/>
      <w:r w:rsidRPr="00292066">
        <w:t xml:space="preserve"> </w:t>
      </w:r>
      <w:proofErr w:type="spellStart"/>
      <w:r w:rsidRPr="00292066">
        <w:t>any</w:t>
      </w:r>
      <w:proofErr w:type="spellEnd"/>
      <w:r w:rsidRPr="00292066">
        <w:t xml:space="preserve"> </w:t>
      </w:r>
      <w:proofErr w:type="spellStart"/>
      <w:r w:rsidRPr="00292066">
        <w:t>distinction</w:t>
      </w:r>
      <w:proofErr w:type="spellEnd"/>
      <w:r w:rsidRPr="00292066">
        <w:t xml:space="preserve">, </w:t>
      </w:r>
      <w:proofErr w:type="spellStart"/>
      <w:r w:rsidRPr="00292066">
        <w:t>exclusion</w:t>
      </w:r>
      <w:proofErr w:type="spellEnd"/>
      <w:r w:rsidRPr="00292066">
        <w:t xml:space="preserve">, </w:t>
      </w:r>
      <w:proofErr w:type="spellStart"/>
      <w:r w:rsidRPr="00292066">
        <w:t>restriction</w:t>
      </w:r>
      <w:proofErr w:type="spellEnd"/>
      <w:r w:rsidRPr="00292066">
        <w:t xml:space="preserve"> </w:t>
      </w:r>
      <w:proofErr w:type="spellStart"/>
      <w:r w:rsidRPr="00292066">
        <w:t>or</w:t>
      </w:r>
      <w:proofErr w:type="spellEnd"/>
      <w:r w:rsidRPr="00292066">
        <w:t xml:space="preserve"> </w:t>
      </w:r>
      <w:proofErr w:type="spellStart"/>
      <w:r w:rsidRPr="00292066">
        <w:t>preference</w:t>
      </w:r>
      <w:proofErr w:type="spellEnd"/>
      <w:r w:rsidRPr="00292066">
        <w:t xml:space="preserve"> </w:t>
      </w:r>
      <w:proofErr w:type="spellStart"/>
      <w:r w:rsidRPr="00292066">
        <w:t>which</w:t>
      </w:r>
      <w:proofErr w:type="spellEnd"/>
      <w:r w:rsidRPr="00292066">
        <w:t xml:space="preserve"> </w:t>
      </w:r>
      <w:proofErr w:type="spellStart"/>
      <w:r w:rsidRPr="00292066">
        <w:t>is</w:t>
      </w:r>
      <w:proofErr w:type="spellEnd"/>
      <w:r w:rsidRPr="00292066">
        <w:t xml:space="preserve"> </w:t>
      </w:r>
      <w:proofErr w:type="spellStart"/>
      <w:r w:rsidRPr="00292066">
        <w:t>based</w:t>
      </w:r>
      <w:proofErr w:type="spellEnd"/>
      <w:r w:rsidRPr="00292066">
        <w:t xml:space="preserve"> </w:t>
      </w:r>
      <w:proofErr w:type="spellStart"/>
      <w:r w:rsidRPr="00292066">
        <w:t>on</w:t>
      </w:r>
      <w:proofErr w:type="spellEnd"/>
      <w:r w:rsidRPr="00292066">
        <w:t xml:space="preserve"> </w:t>
      </w:r>
      <w:proofErr w:type="spellStart"/>
      <w:r w:rsidRPr="00292066">
        <w:t>any</w:t>
      </w:r>
      <w:proofErr w:type="spellEnd"/>
      <w:r w:rsidRPr="00292066">
        <w:t xml:space="preserve"> </w:t>
      </w:r>
      <w:proofErr w:type="spellStart"/>
      <w:r w:rsidRPr="00292066">
        <w:t>ground</w:t>
      </w:r>
      <w:proofErr w:type="spellEnd"/>
      <w:r w:rsidRPr="00292066">
        <w:t xml:space="preserve"> </w:t>
      </w:r>
      <w:proofErr w:type="spellStart"/>
      <w:r w:rsidRPr="00292066">
        <w:t>such</w:t>
      </w:r>
      <w:proofErr w:type="spellEnd"/>
      <w:r w:rsidRPr="00292066">
        <w:t xml:space="preserve"> as </w:t>
      </w:r>
      <w:proofErr w:type="spellStart"/>
      <w:r w:rsidRPr="00292066">
        <w:t>race</w:t>
      </w:r>
      <w:proofErr w:type="spellEnd"/>
      <w:r w:rsidRPr="00292066">
        <w:t xml:space="preserve">, </w:t>
      </w:r>
      <w:proofErr w:type="spellStart"/>
      <w:r w:rsidRPr="00292066">
        <w:t>colour</w:t>
      </w:r>
      <w:proofErr w:type="spellEnd"/>
      <w:r w:rsidRPr="00292066">
        <w:t xml:space="preserve">, sex, </w:t>
      </w:r>
      <w:proofErr w:type="spellStart"/>
      <w:r w:rsidRPr="00292066">
        <w:t>language</w:t>
      </w:r>
      <w:proofErr w:type="spellEnd"/>
      <w:r w:rsidRPr="00292066">
        <w:t xml:space="preserve">, </w:t>
      </w:r>
      <w:proofErr w:type="spellStart"/>
      <w:r w:rsidRPr="00292066">
        <w:t>religion</w:t>
      </w:r>
      <w:proofErr w:type="spellEnd"/>
      <w:r w:rsidRPr="00292066">
        <w:t xml:space="preserve">, </w:t>
      </w:r>
      <w:proofErr w:type="spellStart"/>
      <w:r w:rsidRPr="00292066">
        <w:t>political</w:t>
      </w:r>
      <w:proofErr w:type="spellEnd"/>
      <w:r w:rsidRPr="00292066">
        <w:t xml:space="preserve"> </w:t>
      </w:r>
      <w:proofErr w:type="spellStart"/>
      <w:r w:rsidRPr="00292066">
        <w:t>or</w:t>
      </w:r>
      <w:proofErr w:type="spellEnd"/>
      <w:r w:rsidRPr="00292066">
        <w:t xml:space="preserve"> </w:t>
      </w:r>
      <w:proofErr w:type="spellStart"/>
      <w:r w:rsidRPr="00292066">
        <w:t>other</w:t>
      </w:r>
      <w:proofErr w:type="spellEnd"/>
      <w:r w:rsidRPr="00292066">
        <w:t xml:space="preserve"> </w:t>
      </w:r>
      <w:proofErr w:type="spellStart"/>
      <w:r w:rsidRPr="00292066">
        <w:t>opinion</w:t>
      </w:r>
      <w:proofErr w:type="spellEnd"/>
      <w:r w:rsidRPr="00292066">
        <w:t xml:space="preserve">, </w:t>
      </w:r>
      <w:proofErr w:type="spellStart"/>
      <w:r w:rsidRPr="00292066">
        <w:t>national</w:t>
      </w:r>
      <w:proofErr w:type="spellEnd"/>
      <w:r w:rsidRPr="00292066">
        <w:t xml:space="preserve"> </w:t>
      </w:r>
      <w:proofErr w:type="spellStart"/>
      <w:r w:rsidRPr="00292066">
        <w:t>or</w:t>
      </w:r>
      <w:proofErr w:type="spellEnd"/>
      <w:r w:rsidRPr="00292066">
        <w:t xml:space="preserve"> social </w:t>
      </w:r>
      <w:proofErr w:type="spellStart"/>
      <w:r w:rsidRPr="00292066">
        <w:t>origin</w:t>
      </w:r>
      <w:proofErr w:type="spellEnd"/>
      <w:r w:rsidRPr="00292066">
        <w:t xml:space="preserve">, </w:t>
      </w:r>
      <w:proofErr w:type="spellStart"/>
      <w:r w:rsidRPr="00292066">
        <w:t>property</w:t>
      </w:r>
      <w:proofErr w:type="spellEnd"/>
      <w:r w:rsidRPr="00292066">
        <w:t xml:space="preserve">, </w:t>
      </w:r>
      <w:proofErr w:type="spellStart"/>
      <w:r w:rsidRPr="00292066">
        <w:t>birth</w:t>
      </w:r>
      <w:proofErr w:type="spellEnd"/>
      <w:r w:rsidRPr="00292066">
        <w:t xml:space="preserve"> </w:t>
      </w:r>
      <w:proofErr w:type="spellStart"/>
      <w:r w:rsidRPr="00292066">
        <w:t>or</w:t>
      </w:r>
      <w:proofErr w:type="spellEnd"/>
      <w:r w:rsidRPr="00292066">
        <w:t xml:space="preserve"> </w:t>
      </w:r>
      <w:proofErr w:type="spellStart"/>
      <w:r w:rsidRPr="00292066">
        <w:t>other</w:t>
      </w:r>
      <w:proofErr w:type="spellEnd"/>
      <w:r w:rsidRPr="00292066">
        <w:t xml:space="preserve"> status, and </w:t>
      </w:r>
      <w:proofErr w:type="spellStart"/>
      <w:r w:rsidRPr="00292066">
        <w:t>which</w:t>
      </w:r>
      <w:proofErr w:type="spellEnd"/>
      <w:r w:rsidRPr="00292066">
        <w:t xml:space="preserve"> has the </w:t>
      </w:r>
      <w:proofErr w:type="spellStart"/>
      <w:r w:rsidRPr="00292066">
        <w:t>purpose</w:t>
      </w:r>
      <w:proofErr w:type="spellEnd"/>
      <w:r w:rsidRPr="00292066">
        <w:t xml:space="preserve"> </w:t>
      </w:r>
      <w:proofErr w:type="spellStart"/>
      <w:r w:rsidRPr="00292066">
        <w:t>or</w:t>
      </w:r>
      <w:proofErr w:type="spellEnd"/>
      <w:r w:rsidRPr="00292066">
        <w:t xml:space="preserve"> </w:t>
      </w:r>
      <w:proofErr w:type="spellStart"/>
      <w:r w:rsidRPr="00292066">
        <w:t>effect</w:t>
      </w:r>
      <w:proofErr w:type="spellEnd"/>
      <w:r w:rsidRPr="00292066">
        <w:t xml:space="preserve"> of </w:t>
      </w:r>
      <w:proofErr w:type="spellStart"/>
      <w:r w:rsidRPr="00292066">
        <w:t>nullifying</w:t>
      </w:r>
      <w:proofErr w:type="spellEnd"/>
      <w:r w:rsidRPr="00292066">
        <w:t xml:space="preserve"> </w:t>
      </w:r>
      <w:proofErr w:type="spellStart"/>
      <w:r w:rsidRPr="00292066">
        <w:t>or</w:t>
      </w:r>
      <w:proofErr w:type="spellEnd"/>
      <w:r w:rsidRPr="00292066">
        <w:t xml:space="preserve"> </w:t>
      </w:r>
      <w:proofErr w:type="spellStart"/>
      <w:r w:rsidRPr="00292066">
        <w:t>impairing</w:t>
      </w:r>
      <w:proofErr w:type="spellEnd"/>
      <w:r w:rsidRPr="00292066">
        <w:t xml:space="preserve"> the </w:t>
      </w:r>
      <w:proofErr w:type="spellStart"/>
      <w:r w:rsidRPr="00292066">
        <w:t>recognition</w:t>
      </w:r>
      <w:proofErr w:type="spellEnd"/>
      <w:r w:rsidRPr="00292066">
        <w:t xml:space="preserve">, </w:t>
      </w:r>
      <w:proofErr w:type="spellStart"/>
      <w:r w:rsidRPr="00292066">
        <w:t>enjoyment</w:t>
      </w:r>
      <w:proofErr w:type="spellEnd"/>
      <w:r w:rsidRPr="00292066">
        <w:t xml:space="preserve"> </w:t>
      </w:r>
      <w:proofErr w:type="spellStart"/>
      <w:r w:rsidRPr="00292066">
        <w:t>or</w:t>
      </w:r>
      <w:proofErr w:type="spellEnd"/>
      <w:r w:rsidRPr="00292066">
        <w:t xml:space="preserve"> </w:t>
      </w:r>
      <w:proofErr w:type="spellStart"/>
      <w:r w:rsidRPr="00292066">
        <w:t>exercise</w:t>
      </w:r>
      <w:proofErr w:type="spellEnd"/>
      <w:r w:rsidRPr="00292066">
        <w:t xml:space="preserve"> </w:t>
      </w:r>
      <w:proofErr w:type="spellStart"/>
      <w:r w:rsidRPr="00292066">
        <w:t>by</w:t>
      </w:r>
      <w:proofErr w:type="spellEnd"/>
      <w:r w:rsidRPr="00292066">
        <w:t xml:space="preserve"> </w:t>
      </w:r>
      <w:proofErr w:type="spellStart"/>
      <w:r w:rsidRPr="00292066">
        <w:t>all</w:t>
      </w:r>
      <w:proofErr w:type="spellEnd"/>
      <w:r w:rsidRPr="00292066">
        <w:t xml:space="preserve"> </w:t>
      </w:r>
      <w:proofErr w:type="spellStart"/>
      <w:r w:rsidRPr="00292066">
        <w:t>persons</w:t>
      </w:r>
      <w:proofErr w:type="spellEnd"/>
      <w:r w:rsidRPr="00292066">
        <w:t xml:space="preserve">, </w:t>
      </w:r>
      <w:proofErr w:type="spellStart"/>
      <w:r w:rsidRPr="00292066">
        <w:t>on</w:t>
      </w:r>
      <w:proofErr w:type="spellEnd"/>
      <w:r w:rsidRPr="00292066">
        <w:t xml:space="preserve"> </w:t>
      </w:r>
      <w:proofErr w:type="spellStart"/>
      <w:r w:rsidRPr="00292066">
        <w:t>an</w:t>
      </w:r>
      <w:proofErr w:type="spellEnd"/>
      <w:r w:rsidRPr="00292066">
        <w:t xml:space="preserve"> </w:t>
      </w:r>
      <w:proofErr w:type="spellStart"/>
      <w:r w:rsidRPr="00292066">
        <w:t>equal</w:t>
      </w:r>
      <w:proofErr w:type="spellEnd"/>
      <w:r w:rsidRPr="00292066">
        <w:t xml:space="preserve"> footing, of </w:t>
      </w:r>
      <w:proofErr w:type="spellStart"/>
      <w:r w:rsidRPr="00292066">
        <w:t>all</w:t>
      </w:r>
      <w:proofErr w:type="spellEnd"/>
      <w:r w:rsidRPr="00292066">
        <w:t xml:space="preserve"> </w:t>
      </w:r>
      <w:proofErr w:type="spellStart"/>
      <w:r w:rsidRPr="00292066">
        <w:t>rights</w:t>
      </w:r>
      <w:proofErr w:type="spellEnd"/>
      <w:r w:rsidRPr="00292066">
        <w:t xml:space="preserve"> and </w:t>
      </w:r>
      <w:proofErr w:type="spellStart"/>
      <w:r w:rsidRPr="00292066">
        <w:t>freedoms</w:t>
      </w:r>
      <w:proofErr w:type="spellEnd"/>
      <w:r w:rsidRPr="00292066">
        <w:t xml:space="preserve">”. The </w:t>
      </w:r>
      <w:proofErr w:type="spellStart"/>
      <w:r w:rsidRPr="00292066">
        <w:t>Committee</w:t>
      </w:r>
      <w:proofErr w:type="spellEnd"/>
      <w:r w:rsidRPr="00292066">
        <w:t xml:space="preserve"> has </w:t>
      </w:r>
      <w:proofErr w:type="spellStart"/>
      <w:r w:rsidRPr="00292066">
        <w:t>established</w:t>
      </w:r>
      <w:proofErr w:type="spellEnd"/>
      <w:r w:rsidRPr="00292066">
        <w:t xml:space="preserve"> </w:t>
      </w:r>
      <w:proofErr w:type="spellStart"/>
      <w:r w:rsidRPr="00292066">
        <w:t>that</w:t>
      </w:r>
      <w:proofErr w:type="spellEnd"/>
      <w:r w:rsidRPr="00292066">
        <w:t xml:space="preserve"> “the </w:t>
      </w:r>
      <w:proofErr w:type="spellStart"/>
      <w:r w:rsidRPr="00292066">
        <w:t>principle</w:t>
      </w:r>
      <w:proofErr w:type="spellEnd"/>
      <w:r w:rsidRPr="00292066">
        <w:t xml:space="preserve"> of </w:t>
      </w:r>
      <w:proofErr w:type="spellStart"/>
      <w:r w:rsidRPr="00292066">
        <w:t>equality</w:t>
      </w:r>
      <w:proofErr w:type="spellEnd"/>
      <w:r w:rsidRPr="00292066">
        <w:t xml:space="preserve"> </w:t>
      </w:r>
      <w:proofErr w:type="spellStart"/>
      <w:r w:rsidRPr="00292066">
        <w:t>sometimes</w:t>
      </w:r>
      <w:proofErr w:type="spellEnd"/>
      <w:r w:rsidRPr="00292066">
        <w:t xml:space="preserve"> </w:t>
      </w:r>
      <w:proofErr w:type="spellStart"/>
      <w:r w:rsidRPr="00292066">
        <w:t>requires</w:t>
      </w:r>
      <w:proofErr w:type="spellEnd"/>
      <w:r w:rsidRPr="00292066">
        <w:t xml:space="preserve"> </w:t>
      </w:r>
      <w:proofErr w:type="spellStart"/>
      <w:r w:rsidRPr="00292066">
        <w:t>States</w:t>
      </w:r>
      <w:proofErr w:type="spellEnd"/>
      <w:r w:rsidRPr="00292066">
        <w:t xml:space="preserve"> </w:t>
      </w:r>
      <w:proofErr w:type="spellStart"/>
      <w:r w:rsidRPr="00292066">
        <w:t>parties</w:t>
      </w:r>
      <w:proofErr w:type="spellEnd"/>
      <w:r w:rsidRPr="00292066">
        <w:t xml:space="preserve"> to </w:t>
      </w:r>
      <w:proofErr w:type="spellStart"/>
      <w:r w:rsidRPr="00292066">
        <w:t>take</w:t>
      </w:r>
      <w:proofErr w:type="spellEnd"/>
      <w:r w:rsidRPr="00292066">
        <w:t xml:space="preserve"> </w:t>
      </w:r>
      <w:proofErr w:type="spellStart"/>
      <w:r w:rsidRPr="00292066">
        <w:t>affirmative</w:t>
      </w:r>
      <w:proofErr w:type="spellEnd"/>
      <w:r w:rsidRPr="00292066">
        <w:t xml:space="preserve"> </w:t>
      </w:r>
      <w:proofErr w:type="spellStart"/>
      <w:r w:rsidRPr="00292066">
        <w:t>action</w:t>
      </w:r>
      <w:proofErr w:type="spellEnd"/>
      <w:r w:rsidRPr="00292066">
        <w:t xml:space="preserve"> in </w:t>
      </w:r>
      <w:proofErr w:type="spellStart"/>
      <w:r w:rsidRPr="00292066">
        <w:t>order</w:t>
      </w:r>
      <w:proofErr w:type="spellEnd"/>
      <w:r w:rsidRPr="00292066">
        <w:t xml:space="preserve"> to </w:t>
      </w:r>
      <w:proofErr w:type="spellStart"/>
      <w:r w:rsidRPr="00292066">
        <w:t>diminish</w:t>
      </w:r>
      <w:proofErr w:type="spellEnd"/>
      <w:r w:rsidRPr="00292066">
        <w:t xml:space="preserve"> </w:t>
      </w:r>
      <w:proofErr w:type="spellStart"/>
      <w:r w:rsidRPr="00292066">
        <w:t>or</w:t>
      </w:r>
      <w:proofErr w:type="spellEnd"/>
      <w:r w:rsidRPr="00292066">
        <w:t xml:space="preserve"> </w:t>
      </w:r>
      <w:proofErr w:type="spellStart"/>
      <w:r w:rsidRPr="00292066">
        <w:t>eliminate</w:t>
      </w:r>
      <w:proofErr w:type="spellEnd"/>
      <w:r w:rsidRPr="00292066">
        <w:t xml:space="preserve"> </w:t>
      </w:r>
      <w:proofErr w:type="spellStart"/>
      <w:r w:rsidRPr="00292066">
        <w:t>conditions</w:t>
      </w:r>
      <w:proofErr w:type="spellEnd"/>
      <w:r w:rsidRPr="00292066">
        <w:t xml:space="preserve"> </w:t>
      </w:r>
      <w:proofErr w:type="spellStart"/>
      <w:r w:rsidRPr="00292066">
        <w:t>which</w:t>
      </w:r>
      <w:proofErr w:type="spellEnd"/>
      <w:r w:rsidRPr="00292066">
        <w:t xml:space="preserve"> cause </w:t>
      </w:r>
      <w:proofErr w:type="spellStart"/>
      <w:r w:rsidRPr="00292066">
        <w:t>or</w:t>
      </w:r>
      <w:proofErr w:type="spellEnd"/>
      <w:r w:rsidRPr="00292066">
        <w:t xml:space="preserve"> </w:t>
      </w:r>
      <w:proofErr w:type="spellStart"/>
      <w:r w:rsidRPr="00292066">
        <w:t>help</w:t>
      </w:r>
      <w:proofErr w:type="spellEnd"/>
      <w:r w:rsidRPr="00292066">
        <w:t xml:space="preserve"> to </w:t>
      </w:r>
      <w:proofErr w:type="spellStart"/>
      <w:r w:rsidRPr="00292066">
        <w:t>perpetuate</w:t>
      </w:r>
      <w:proofErr w:type="spellEnd"/>
      <w:r w:rsidRPr="00292066">
        <w:t xml:space="preserve"> </w:t>
      </w:r>
      <w:proofErr w:type="spellStart"/>
      <w:r w:rsidRPr="00292066">
        <w:t>discrimination</w:t>
      </w:r>
      <w:proofErr w:type="spellEnd"/>
      <w:r w:rsidRPr="00292066">
        <w:t xml:space="preserve"> </w:t>
      </w:r>
      <w:proofErr w:type="spellStart"/>
      <w:r w:rsidRPr="00292066">
        <w:t>prohibited</w:t>
      </w:r>
      <w:proofErr w:type="spellEnd"/>
      <w:r w:rsidRPr="00292066">
        <w:t xml:space="preserve"> </w:t>
      </w:r>
      <w:proofErr w:type="spellStart"/>
      <w:r w:rsidRPr="00292066">
        <w:t>by</w:t>
      </w:r>
      <w:proofErr w:type="spellEnd"/>
      <w:r w:rsidRPr="00292066">
        <w:t xml:space="preserve"> the </w:t>
      </w:r>
      <w:proofErr w:type="spellStart"/>
      <w:r w:rsidRPr="00292066">
        <w:t>Covenant</w:t>
      </w:r>
      <w:proofErr w:type="spellEnd"/>
      <w:r w:rsidRPr="00292066">
        <w:t>.”</w:t>
      </w:r>
      <w:r w:rsidRPr="00BD1036">
        <w:rPr>
          <w:rStyle w:val="FootnoteReference"/>
          <w:sz w:val="24"/>
          <w:szCs w:val="24"/>
        </w:rPr>
        <w:footnoteReference w:id="42"/>
      </w:r>
      <w:r w:rsidRPr="00292066">
        <w:t xml:space="preserve"> </w:t>
      </w:r>
      <w:r>
        <w:t xml:space="preserve">The </w:t>
      </w:r>
      <w:proofErr w:type="spellStart"/>
      <w:r>
        <w:t>right</w:t>
      </w:r>
      <w:proofErr w:type="spellEnd"/>
      <w:r>
        <w:t xml:space="preserve"> to </w:t>
      </w:r>
      <w:proofErr w:type="spellStart"/>
      <w:r>
        <w:t>equal</w:t>
      </w:r>
      <w:proofErr w:type="spellEnd"/>
      <w:r>
        <w:t xml:space="preserve"> </w:t>
      </w:r>
      <w:proofErr w:type="spellStart"/>
      <w:r>
        <w:t>protection</w:t>
      </w:r>
      <w:proofErr w:type="spellEnd"/>
      <w:r>
        <w:t xml:space="preserve"> of the </w:t>
      </w:r>
      <w:proofErr w:type="spellStart"/>
      <w:r>
        <w:t>law</w:t>
      </w:r>
      <w:proofErr w:type="spellEnd"/>
      <w:r>
        <w:t xml:space="preserve">, the </w:t>
      </w:r>
      <w:proofErr w:type="spellStart"/>
      <w:r>
        <w:t>prohibition</w:t>
      </w:r>
      <w:proofErr w:type="spellEnd"/>
      <w:r>
        <w:t xml:space="preserve"> of </w:t>
      </w:r>
      <w:proofErr w:type="spellStart"/>
      <w:r>
        <w:t>discrimination</w:t>
      </w:r>
      <w:proofErr w:type="spellEnd"/>
      <w:r>
        <w:t xml:space="preserve">, and the </w:t>
      </w:r>
      <w:proofErr w:type="spellStart"/>
      <w:r>
        <w:t>right</w:t>
      </w:r>
      <w:proofErr w:type="spellEnd"/>
      <w:r>
        <w:t xml:space="preserve"> to </w:t>
      </w:r>
      <w:proofErr w:type="spellStart"/>
      <w:r>
        <w:t>protection</w:t>
      </w:r>
      <w:proofErr w:type="spellEnd"/>
      <w:r>
        <w:t xml:space="preserve"> </w:t>
      </w:r>
      <w:proofErr w:type="spellStart"/>
      <w:r>
        <w:t>against</w:t>
      </w:r>
      <w:proofErr w:type="spellEnd"/>
      <w:r>
        <w:t xml:space="preserve"> </w:t>
      </w:r>
      <w:proofErr w:type="spellStart"/>
      <w:r>
        <w:t>discrimination</w:t>
      </w:r>
      <w:proofErr w:type="spellEnd"/>
      <w:r>
        <w:t xml:space="preserve"> in </w:t>
      </w:r>
      <w:proofErr w:type="spellStart"/>
      <w:r>
        <w:t>Article</w:t>
      </w:r>
      <w:proofErr w:type="spellEnd"/>
      <w:r>
        <w:t xml:space="preserve"> 26 </w:t>
      </w:r>
      <w:proofErr w:type="spellStart"/>
      <w:r>
        <w:t>form</w:t>
      </w:r>
      <w:proofErr w:type="spellEnd"/>
      <w:r>
        <w:t xml:space="preserve"> a </w:t>
      </w:r>
      <w:proofErr w:type="spellStart"/>
      <w:r>
        <w:t>unit</w:t>
      </w:r>
      <w:proofErr w:type="spellEnd"/>
      <w:r>
        <w:t xml:space="preserve">, </w:t>
      </w:r>
      <w:proofErr w:type="spellStart"/>
      <w:r>
        <w:t>highlighting</w:t>
      </w:r>
      <w:proofErr w:type="spellEnd"/>
      <w:r>
        <w:t xml:space="preserve"> the </w:t>
      </w:r>
      <w:proofErr w:type="spellStart"/>
      <w:r>
        <w:t>obligation</w:t>
      </w:r>
      <w:proofErr w:type="spellEnd"/>
      <w:r>
        <w:t xml:space="preserve"> of the </w:t>
      </w:r>
      <w:proofErr w:type="spellStart"/>
      <w:r>
        <w:t>State</w:t>
      </w:r>
      <w:proofErr w:type="spellEnd"/>
      <w:r>
        <w:t xml:space="preserve"> </w:t>
      </w:r>
      <w:proofErr w:type="spellStart"/>
      <w:r>
        <w:t>parties</w:t>
      </w:r>
      <w:proofErr w:type="spellEnd"/>
      <w:r>
        <w:t xml:space="preserve"> to </w:t>
      </w:r>
      <w:proofErr w:type="spellStart"/>
      <w:r>
        <w:t>ensure</w:t>
      </w:r>
      <w:proofErr w:type="spellEnd"/>
      <w:r>
        <w:t xml:space="preserve"> substantive </w:t>
      </w:r>
      <w:proofErr w:type="spellStart"/>
      <w:r>
        <w:t>equality</w:t>
      </w:r>
      <w:proofErr w:type="spellEnd"/>
      <w:r>
        <w:t xml:space="preserve"> </w:t>
      </w:r>
      <w:proofErr w:type="spellStart"/>
      <w:r>
        <w:t>by</w:t>
      </w:r>
      <w:proofErr w:type="spellEnd"/>
      <w:r>
        <w:t xml:space="preserve"> </w:t>
      </w:r>
      <w:proofErr w:type="spellStart"/>
      <w:r>
        <w:t>way</w:t>
      </w:r>
      <w:proofErr w:type="spellEnd"/>
      <w:r>
        <w:t xml:space="preserve"> of </w:t>
      </w:r>
      <w:proofErr w:type="spellStart"/>
      <w:r>
        <w:t>legislation</w:t>
      </w:r>
      <w:proofErr w:type="spellEnd"/>
      <w:r>
        <w:t>.</w:t>
      </w:r>
      <w:r>
        <w:rPr>
          <w:rStyle w:val="FootnoteReference"/>
          <w:szCs w:val="24"/>
        </w:rPr>
        <w:footnoteReference w:id="43"/>
      </w:r>
      <w:r>
        <w:t xml:space="preserve"> </w:t>
      </w:r>
      <w:proofErr w:type="spellStart"/>
      <w:r w:rsidRPr="00292066">
        <w:t>Given</w:t>
      </w:r>
      <w:proofErr w:type="spellEnd"/>
      <w:r w:rsidRPr="00292066">
        <w:t xml:space="preserve"> the vulnerable position the </w:t>
      </w:r>
      <w:proofErr w:type="spellStart"/>
      <w:r w:rsidRPr="00292066">
        <w:t>author</w:t>
      </w:r>
      <w:proofErr w:type="spellEnd"/>
      <w:r w:rsidRPr="00292066">
        <w:t xml:space="preserve">, a </w:t>
      </w:r>
      <w:proofErr w:type="spellStart"/>
      <w:r w:rsidRPr="00292066">
        <w:t>woman</w:t>
      </w:r>
      <w:proofErr w:type="spellEnd"/>
      <w:r w:rsidRPr="00292066">
        <w:t xml:space="preserve"> </w:t>
      </w:r>
      <w:proofErr w:type="spellStart"/>
      <w:r w:rsidRPr="00292066">
        <w:t>with</w:t>
      </w:r>
      <w:proofErr w:type="spellEnd"/>
      <w:r w:rsidRPr="00292066">
        <w:t xml:space="preserve"> a </w:t>
      </w:r>
      <w:proofErr w:type="spellStart"/>
      <w:r w:rsidRPr="00292066">
        <w:t>disability</w:t>
      </w:r>
      <w:proofErr w:type="spellEnd"/>
      <w:r w:rsidRPr="00292066">
        <w:t xml:space="preserve">, </w:t>
      </w:r>
      <w:proofErr w:type="spellStart"/>
      <w:r w:rsidRPr="00292066">
        <w:t>found</w:t>
      </w:r>
      <w:proofErr w:type="spellEnd"/>
      <w:r w:rsidRPr="00292066">
        <w:t xml:space="preserve"> </w:t>
      </w:r>
      <w:proofErr w:type="spellStart"/>
      <w:r w:rsidRPr="00292066">
        <w:t>herself</w:t>
      </w:r>
      <w:proofErr w:type="spellEnd"/>
      <w:r w:rsidRPr="00292066">
        <w:t xml:space="preserve"> in </w:t>
      </w:r>
      <w:proofErr w:type="spellStart"/>
      <w:r w:rsidRPr="00292066">
        <w:t>due</w:t>
      </w:r>
      <w:proofErr w:type="spellEnd"/>
      <w:r w:rsidRPr="00292066">
        <w:t xml:space="preserve"> to </w:t>
      </w:r>
      <w:proofErr w:type="spellStart"/>
      <w:r w:rsidRPr="00292066">
        <w:t>being</w:t>
      </w:r>
      <w:proofErr w:type="spellEnd"/>
      <w:r w:rsidRPr="00292066">
        <w:t xml:space="preserve"> </w:t>
      </w:r>
      <w:proofErr w:type="spellStart"/>
      <w:r w:rsidRPr="00292066">
        <w:t>classified</w:t>
      </w:r>
      <w:proofErr w:type="spellEnd"/>
      <w:r w:rsidRPr="00292066">
        <w:t xml:space="preserve"> as a </w:t>
      </w:r>
      <w:proofErr w:type="spellStart"/>
      <w:r w:rsidRPr="00292066">
        <w:t>long-term</w:t>
      </w:r>
      <w:proofErr w:type="spellEnd"/>
      <w:r w:rsidRPr="00292066">
        <w:t xml:space="preserve"> </w:t>
      </w:r>
      <w:proofErr w:type="spellStart"/>
      <w:r w:rsidRPr="00292066">
        <w:t>but</w:t>
      </w:r>
      <w:proofErr w:type="spellEnd"/>
      <w:r w:rsidRPr="00292066">
        <w:t xml:space="preserve"> “non-</w:t>
      </w:r>
      <w:proofErr w:type="spellStart"/>
      <w:r w:rsidRPr="00292066">
        <w:t>career</w:t>
      </w:r>
      <w:proofErr w:type="spellEnd"/>
      <w:r w:rsidRPr="00292066">
        <w:t xml:space="preserve">” </w:t>
      </w:r>
      <w:proofErr w:type="spellStart"/>
      <w:r w:rsidRPr="00292066">
        <w:t>employee</w:t>
      </w:r>
      <w:proofErr w:type="spellEnd"/>
      <w:r w:rsidRPr="00292066">
        <w:t xml:space="preserve"> in a </w:t>
      </w:r>
      <w:proofErr w:type="spellStart"/>
      <w:r w:rsidRPr="00292066">
        <w:t>traditionally</w:t>
      </w:r>
      <w:proofErr w:type="spellEnd"/>
      <w:r w:rsidRPr="00292066">
        <w:t xml:space="preserve"> </w:t>
      </w:r>
      <w:proofErr w:type="spellStart"/>
      <w:r w:rsidRPr="00292066">
        <w:t>male-dominated</w:t>
      </w:r>
      <w:proofErr w:type="spellEnd"/>
      <w:r w:rsidRPr="00292066">
        <w:t xml:space="preserve"> </w:t>
      </w:r>
      <w:proofErr w:type="spellStart"/>
      <w:r w:rsidRPr="00292066">
        <w:t>field</w:t>
      </w:r>
      <w:proofErr w:type="spellEnd"/>
      <w:r w:rsidRPr="00292066">
        <w:t xml:space="preserve">, the </w:t>
      </w:r>
      <w:proofErr w:type="spellStart"/>
      <w:r w:rsidRPr="00292066">
        <w:t>State</w:t>
      </w:r>
      <w:proofErr w:type="spellEnd"/>
      <w:r w:rsidRPr="00292066">
        <w:t xml:space="preserve"> </w:t>
      </w:r>
      <w:proofErr w:type="spellStart"/>
      <w:r w:rsidRPr="00292066">
        <w:t>party</w:t>
      </w:r>
      <w:proofErr w:type="spellEnd"/>
      <w:r w:rsidRPr="00292066">
        <w:t xml:space="preserve"> </w:t>
      </w:r>
      <w:proofErr w:type="spellStart"/>
      <w:r w:rsidRPr="00292066">
        <w:t>should</w:t>
      </w:r>
      <w:proofErr w:type="spellEnd"/>
      <w:r w:rsidRPr="00292066">
        <w:t xml:space="preserve"> </w:t>
      </w:r>
      <w:proofErr w:type="spellStart"/>
      <w:r w:rsidRPr="00292066">
        <w:t>have</w:t>
      </w:r>
      <w:proofErr w:type="spellEnd"/>
      <w:r w:rsidRPr="00292066">
        <w:t xml:space="preserve"> </w:t>
      </w:r>
      <w:proofErr w:type="spellStart"/>
      <w:r w:rsidRPr="00292066">
        <w:t>taken</w:t>
      </w:r>
      <w:proofErr w:type="spellEnd"/>
      <w:r w:rsidRPr="00292066">
        <w:t xml:space="preserve"> </w:t>
      </w:r>
      <w:proofErr w:type="spellStart"/>
      <w:r w:rsidRPr="00292066">
        <w:t>measures</w:t>
      </w:r>
      <w:proofErr w:type="spellEnd"/>
      <w:r w:rsidRPr="00292066">
        <w:t xml:space="preserve"> to </w:t>
      </w:r>
      <w:proofErr w:type="spellStart"/>
      <w:r w:rsidRPr="00292066">
        <w:t>ensure</w:t>
      </w:r>
      <w:proofErr w:type="spellEnd"/>
      <w:r w:rsidRPr="00292066">
        <w:t xml:space="preserve"> the </w:t>
      </w:r>
      <w:proofErr w:type="spellStart"/>
      <w:r w:rsidRPr="00292066">
        <w:t>author</w:t>
      </w:r>
      <w:proofErr w:type="spellEnd"/>
      <w:r w:rsidRPr="00292066">
        <w:t xml:space="preserve"> </w:t>
      </w:r>
      <w:proofErr w:type="spellStart"/>
      <w:r w:rsidRPr="00292066">
        <w:t>received</w:t>
      </w:r>
      <w:proofErr w:type="spellEnd"/>
      <w:r w:rsidRPr="00292066">
        <w:t xml:space="preserve"> </w:t>
      </w:r>
      <w:proofErr w:type="spellStart"/>
      <w:r>
        <w:t>work</w:t>
      </w:r>
      <w:proofErr w:type="spellEnd"/>
      <w:r>
        <w:t xml:space="preserve"> </w:t>
      </w:r>
      <w:proofErr w:type="spellStart"/>
      <w:r w:rsidRPr="00292066">
        <w:t>benefits</w:t>
      </w:r>
      <w:proofErr w:type="spellEnd"/>
      <w:r w:rsidRPr="00292066">
        <w:t xml:space="preserve"> </w:t>
      </w:r>
      <w:proofErr w:type="spellStart"/>
      <w:r w:rsidRPr="00292066">
        <w:t>on</w:t>
      </w:r>
      <w:proofErr w:type="spellEnd"/>
      <w:r w:rsidRPr="00292066">
        <w:t xml:space="preserve"> </w:t>
      </w:r>
      <w:proofErr w:type="spellStart"/>
      <w:r w:rsidRPr="00292066">
        <w:t>an</w:t>
      </w:r>
      <w:proofErr w:type="spellEnd"/>
      <w:r w:rsidRPr="00292066">
        <w:t xml:space="preserve"> </w:t>
      </w:r>
      <w:proofErr w:type="spellStart"/>
      <w:r w:rsidRPr="00292066">
        <w:t>equal</w:t>
      </w:r>
      <w:proofErr w:type="spellEnd"/>
      <w:r w:rsidRPr="00292066">
        <w:t xml:space="preserve"> footing </w:t>
      </w:r>
      <w:proofErr w:type="spellStart"/>
      <w:r w:rsidRPr="00292066">
        <w:t>with</w:t>
      </w:r>
      <w:proofErr w:type="spellEnd"/>
      <w:r w:rsidRPr="00292066">
        <w:t xml:space="preserve"> </w:t>
      </w:r>
      <w:proofErr w:type="spellStart"/>
      <w:r>
        <w:t>similarly</w:t>
      </w:r>
      <w:proofErr w:type="spellEnd"/>
      <w:r>
        <w:t xml:space="preserve"> </w:t>
      </w:r>
      <w:proofErr w:type="spellStart"/>
      <w:r>
        <w:t>situated</w:t>
      </w:r>
      <w:proofErr w:type="spellEnd"/>
      <w:r>
        <w:t xml:space="preserve"> </w:t>
      </w:r>
      <w:proofErr w:type="spellStart"/>
      <w:r>
        <w:t>persons</w:t>
      </w:r>
      <w:proofErr w:type="spellEnd"/>
      <w:r>
        <w:t xml:space="preserve"> </w:t>
      </w:r>
      <w:proofErr w:type="spellStart"/>
      <w:r>
        <w:t>such</w:t>
      </w:r>
      <w:proofErr w:type="spellEnd"/>
      <w:r>
        <w:t xml:space="preserve"> as </w:t>
      </w:r>
      <w:proofErr w:type="spellStart"/>
      <w:r w:rsidRPr="00292066">
        <w:t>career</w:t>
      </w:r>
      <w:proofErr w:type="spellEnd"/>
      <w:r w:rsidRPr="00292066">
        <w:t xml:space="preserve"> </w:t>
      </w:r>
      <w:proofErr w:type="spellStart"/>
      <w:r w:rsidRPr="00292066">
        <w:t>military</w:t>
      </w:r>
      <w:proofErr w:type="spellEnd"/>
      <w:r w:rsidRPr="00292066">
        <w:t xml:space="preserve"> </w:t>
      </w:r>
      <w:proofErr w:type="spellStart"/>
      <w:r w:rsidRPr="00292066">
        <w:t>personnel</w:t>
      </w:r>
      <w:proofErr w:type="spellEnd"/>
      <w:r w:rsidRPr="00292066">
        <w:t xml:space="preserve">, </w:t>
      </w:r>
      <w:proofErr w:type="spellStart"/>
      <w:r w:rsidRPr="00292066">
        <w:t>public</w:t>
      </w:r>
      <w:proofErr w:type="spellEnd"/>
      <w:r w:rsidRPr="00292066">
        <w:t xml:space="preserve"> </w:t>
      </w:r>
      <w:proofErr w:type="spellStart"/>
      <w:r w:rsidRPr="00292066">
        <w:t>servants</w:t>
      </w:r>
      <w:proofErr w:type="spellEnd"/>
      <w:r w:rsidRPr="00292066">
        <w:t xml:space="preserve"> and </w:t>
      </w:r>
      <w:proofErr w:type="spellStart"/>
      <w:r w:rsidRPr="00292066">
        <w:t>other</w:t>
      </w:r>
      <w:proofErr w:type="spellEnd"/>
      <w:r w:rsidRPr="00292066">
        <w:t xml:space="preserve"> </w:t>
      </w:r>
      <w:proofErr w:type="spellStart"/>
      <w:r w:rsidRPr="00292066">
        <w:t>Spanish</w:t>
      </w:r>
      <w:proofErr w:type="spellEnd"/>
      <w:r w:rsidRPr="00292066">
        <w:t xml:space="preserve"> </w:t>
      </w:r>
      <w:proofErr w:type="spellStart"/>
      <w:r w:rsidRPr="00292066">
        <w:t>workers</w:t>
      </w:r>
      <w:proofErr w:type="spellEnd"/>
      <w:r w:rsidRPr="00292066">
        <w:t xml:space="preserve">. </w:t>
      </w:r>
      <w:proofErr w:type="spellStart"/>
      <w:r w:rsidRPr="00292066">
        <w:t>Instead</w:t>
      </w:r>
      <w:proofErr w:type="spellEnd"/>
      <w:r w:rsidRPr="00292066">
        <w:t xml:space="preserve">, the </w:t>
      </w:r>
      <w:proofErr w:type="spellStart"/>
      <w:r w:rsidRPr="00292066">
        <w:t>State</w:t>
      </w:r>
      <w:proofErr w:type="spellEnd"/>
      <w:r w:rsidRPr="00292066">
        <w:t xml:space="preserve"> </w:t>
      </w:r>
      <w:proofErr w:type="spellStart"/>
      <w:r w:rsidRPr="00292066">
        <w:t>party’s</w:t>
      </w:r>
      <w:proofErr w:type="spellEnd"/>
      <w:r w:rsidRPr="00292066">
        <w:t xml:space="preserve"> </w:t>
      </w:r>
      <w:proofErr w:type="spellStart"/>
      <w:r w:rsidRPr="00292066">
        <w:t>policies</w:t>
      </w:r>
      <w:proofErr w:type="spellEnd"/>
      <w:r w:rsidRPr="00292066">
        <w:t xml:space="preserve"> </w:t>
      </w:r>
      <w:proofErr w:type="spellStart"/>
      <w:r w:rsidRPr="00292066">
        <w:t>further</w:t>
      </w:r>
      <w:proofErr w:type="spellEnd"/>
      <w:r w:rsidRPr="00292066">
        <w:t xml:space="preserve"> </w:t>
      </w:r>
      <w:proofErr w:type="spellStart"/>
      <w:r w:rsidRPr="00292066">
        <w:t>perpetuated</w:t>
      </w:r>
      <w:proofErr w:type="spellEnd"/>
      <w:r w:rsidRPr="00292066">
        <w:t xml:space="preserve"> </w:t>
      </w:r>
      <w:proofErr w:type="spellStart"/>
      <w:r w:rsidRPr="00292066">
        <w:t>her</w:t>
      </w:r>
      <w:proofErr w:type="spellEnd"/>
      <w:r w:rsidRPr="00292066">
        <w:t xml:space="preserve"> </w:t>
      </w:r>
      <w:proofErr w:type="spellStart"/>
      <w:r w:rsidRPr="00292066">
        <w:t>disadvantage</w:t>
      </w:r>
      <w:proofErr w:type="spellEnd"/>
      <w:r w:rsidRPr="00292066">
        <w:t xml:space="preserve"> </w:t>
      </w:r>
      <w:proofErr w:type="spellStart"/>
      <w:r w:rsidRPr="00292066">
        <w:t>on</w:t>
      </w:r>
      <w:proofErr w:type="spellEnd"/>
      <w:r w:rsidRPr="00292066">
        <w:t xml:space="preserve"> the </w:t>
      </w:r>
      <w:proofErr w:type="spellStart"/>
      <w:r w:rsidRPr="00292066">
        <w:t>basis</w:t>
      </w:r>
      <w:proofErr w:type="spellEnd"/>
      <w:r w:rsidRPr="00292066">
        <w:t xml:space="preserve"> of </w:t>
      </w:r>
      <w:r>
        <w:t>status,</w:t>
      </w:r>
      <w:r w:rsidRPr="00292066">
        <w:t xml:space="preserve"> </w:t>
      </w:r>
      <w:r>
        <w:t>sex,</w:t>
      </w:r>
      <w:r w:rsidRPr="00292066">
        <w:t xml:space="preserve"> </w:t>
      </w:r>
      <w:r>
        <w:t xml:space="preserve">and </w:t>
      </w:r>
      <w:proofErr w:type="spellStart"/>
      <w:r>
        <w:t>disability</w:t>
      </w:r>
      <w:proofErr w:type="spellEnd"/>
      <w:r>
        <w:t xml:space="preserve"> </w:t>
      </w:r>
      <w:r w:rsidRPr="00292066">
        <w:t xml:space="preserve">as </w:t>
      </w:r>
      <w:proofErr w:type="spellStart"/>
      <w:r w:rsidRPr="00292066">
        <w:t>she</w:t>
      </w:r>
      <w:proofErr w:type="spellEnd"/>
      <w:r w:rsidRPr="00292066">
        <w:t xml:space="preserve"> </w:t>
      </w:r>
      <w:proofErr w:type="spellStart"/>
      <w:r w:rsidRPr="00292066">
        <w:t>was</w:t>
      </w:r>
      <w:proofErr w:type="spellEnd"/>
      <w:r w:rsidRPr="00292066">
        <w:t xml:space="preserve"> </w:t>
      </w:r>
      <w:proofErr w:type="spellStart"/>
      <w:r w:rsidRPr="00292066">
        <w:t>excluded</w:t>
      </w:r>
      <w:proofErr w:type="spellEnd"/>
      <w:r w:rsidRPr="00292066">
        <w:t xml:space="preserve"> </w:t>
      </w:r>
      <w:proofErr w:type="spellStart"/>
      <w:r w:rsidRPr="00292066">
        <w:t>from</w:t>
      </w:r>
      <w:proofErr w:type="spellEnd"/>
      <w:r w:rsidRPr="00292066">
        <w:t xml:space="preserve"> </w:t>
      </w:r>
      <w:proofErr w:type="spellStart"/>
      <w:r>
        <w:t>receiving</w:t>
      </w:r>
      <w:proofErr w:type="spellEnd"/>
      <w:r>
        <w:t xml:space="preserve"> </w:t>
      </w:r>
      <w:proofErr w:type="spellStart"/>
      <w:r>
        <w:t>disability-related</w:t>
      </w:r>
      <w:proofErr w:type="spellEnd"/>
      <w:r>
        <w:t xml:space="preserve"> </w:t>
      </w:r>
      <w:proofErr w:type="spellStart"/>
      <w:r w:rsidRPr="00292066">
        <w:t>benefits</w:t>
      </w:r>
      <w:proofErr w:type="spellEnd"/>
      <w:r>
        <w:t>,</w:t>
      </w:r>
      <w:r w:rsidRPr="00292066">
        <w:t xml:space="preserve"> </w:t>
      </w:r>
      <w:proofErr w:type="spellStart"/>
      <w:r w:rsidRPr="00292066">
        <w:t>despite</w:t>
      </w:r>
      <w:proofErr w:type="spellEnd"/>
      <w:r w:rsidRPr="00292066">
        <w:t xml:space="preserve"> </w:t>
      </w:r>
      <w:proofErr w:type="spellStart"/>
      <w:r w:rsidRPr="00292066">
        <w:t>doing</w:t>
      </w:r>
      <w:proofErr w:type="spellEnd"/>
      <w:r w:rsidRPr="00292066">
        <w:t xml:space="preserve"> </w:t>
      </w:r>
      <w:proofErr w:type="spellStart"/>
      <w:r w:rsidRPr="00292066">
        <w:t>substantially</w:t>
      </w:r>
      <w:proofErr w:type="spellEnd"/>
      <w:r w:rsidRPr="00292066">
        <w:t xml:space="preserve"> the </w:t>
      </w:r>
      <w:proofErr w:type="spellStart"/>
      <w:r w:rsidRPr="00292066">
        <w:t>same</w:t>
      </w:r>
      <w:proofErr w:type="spellEnd"/>
      <w:r w:rsidRPr="00292066">
        <w:t xml:space="preserve"> </w:t>
      </w:r>
      <w:proofErr w:type="spellStart"/>
      <w:r w:rsidRPr="00292066">
        <w:t>work</w:t>
      </w:r>
      <w:proofErr w:type="spellEnd"/>
      <w:r w:rsidRPr="00292066">
        <w:t xml:space="preserve"> as </w:t>
      </w:r>
      <w:proofErr w:type="spellStart"/>
      <w:r w:rsidRPr="00292066">
        <w:t>career</w:t>
      </w:r>
      <w:proofErr w:type="spellEnd"/>
      <w:r w:rsidRPr="00292066">
        <w:t xml:space="preserve"> </w:t>
      </w:r>
      <w:proofErr w:type="spellStart"/>
      <w:r w:rsidRPr="00292066">
        <w:t>military</w:t>
      </w:r>
      <w:proofErr w:type="spellEnd"/>
      <w:r w:rsidRPr="00292066">
        <w:t xml:space="preserve"> </w:t>
      </w:r>
      <w:proofErr w:type="spellStart"/>
      <w:r w:rsidRPr="00292066">
        <w:t>personnel</w:t>
      </w:r>
      <w:proofErr w:type="spellEnd"/>
      <w:r w:rsidRPr="00292066">
        <w:t xml:space="preserve">. </w:t>
      </w:r>
    </w:p>
    <w:p w14:paraId="3763DC95" w14:textId="77777777" w:rsidR="00426CAD" w:rsidRPr="00292066" w:rsidRDefault="00426CAD" w:rsidP="00426CAD">
      <w:pPr>
        <w:pStyle w:val="SingleTxtG"/>
      </w:pPr>
      <w:r>
        <w:t>8.</w:t>
      </w:r>
      <w:r>
        <w:tab/>
      </w:r>
      <w:r w:rsidRPr="00292066">
        <w:t xml:space="preserve">The </w:t>
      </w:r>
      <w:proofErr w:type="spellStart"/>
      <w:r w:rsidRPr="00292066">
        <w:t>Committee</w:t>
      </w:r>
      <w:proofErr w:type="spellEnd"/>
      <w:r w:rsidRPr="00292066">
        <w:t xml:space="preserve"> has </w:t>
      </w:r>
      <w:proofErr w:type="spellStart"/>
      <w:r w:rsidRPr="00292066">
        <w:t>found</w:t>
      </w:r>
      <w:proofErr w:type="spellEnd"/>
      <w:r w:rsidRPr="00292066">
        <w:t xml:space="preserve"> </w:t>
      </w:r>
      <w:proofErr w:type="spellStart"/>
      <w:r w:rsidRPr="00292066">
        <w:t>that</w:t>
      </w:r>
      <w:proofErr w:type="spellEnd"/>
      <w:r w:rsidRPr="00292066">
        <w:t xml:space="preserve"> “</w:t>
      </w:r>
      <w:proofErr w:type="spellStart"/>
      <w:r w:rsidRPr="00292066">
        <w:t>not</w:t>
      </w:r>
      <w:proofErr w:type="spellEnd"/>
      <w:r w:rsidRPr="00292066">
        <w:t xml:space="preserve"> </w:t>
      </w:r>
      <w:proofErr w:type="spellStart"/>
      <w:r w:rsidRPr="00292066">
        <w:t>every</w:t>
      </w:r>
      <w:proofErr w:type="spellEnd"/>
      <w:r w:rsidRPr="00292066">
        <w:t xml:space="preserve"> </w:t>
      </w:r>
      <w:proofErr w:type="spellStart"/>
      <w:r w:rsidRPr="00292066">
        <w:t>differentiation</w:t>
      </w:r>
      <w:proofErr w:type="spellEnd"/>
      <w:r w:rsidRPr="00292066">
        <w:t xml:space="preserve"> of </w:t>
      </w:r>
      <w:proofErr w:type="spellStart"/>
      <w:r w:rsidRPr="00292066">
        <w:t>treatment</w:t>
      </w:r>
      <w:proofErr w:type="spellEnd"/>
      <w:r w:rsidRPr="00292066">
        <w:t xml:space="preserve"> </w:t>
      </w:r>
      <w:proofErr w:type="spellStart"/>
      <w:r w:rsidRPr="00292066">
        <w:t>will</w:t>
      </w:r>
      <w:proofErr w:type="spellEnd"/>
      <w:r w:rsidRPr="00292066">
        <w:t xml:space="preserve"> </w:t>
      </w:r>
      <w:proofErr w:type="spellStart"/>
      <w:r w:rsidRPr="00292066">
        <w:t>constitute</w:t>
      </w:r>
      <w:proofErr w:type="spellEnd"/>
      <w:r w:rsidRPr="00292066">
        <w:t xml:space="preserve"> </w:t>
      </w:r>
      <w:proofErr w:type="spellStart"/>
      <w:r w:rsidRPr="00292066">
        <w:t>discrimination</w:t>
      </w:r>
      <w:proofErr w:type="spellEnd"/>
      <w:r w:rsidRPr="00292066">
        <w:t xml:space="preserve">, </w:t>
      </w:r>
      <w:proofErr w:type="spellStart"/>
      <w:r w:rsidRPr="00292066">
        <w:t>if</w:t>
      </w:r>
      <w:proofErr w:type="spellEnd"/>
      <w:r w:rsidRPr="00292066">
        <w:t xml:space="preserve"> the </w:t>
      </w:r>
      <w:proofErr w:type="spellStart"/>
      <w:r w:rsidRPr="00292066">
        <w:t>criteria</w:t>
      </w:r>
      <w:proofErr w:type="spellEnd"/>
      <w:r w:rsidRPr="00292066">
        <w:t xml:space="preserve"> </w:t>
      </w:r>
      <w:proofErr w:type="spellStart"/>
      <w:r w:rsidRPr="00292066">
        <w:t>for</w:t>
      </w:r>
      <w:proofErr w:type="spellEnd"/>
      <w:r w:rsidRPr="00292066">
        <w:t xml:space="preserve"> </w:t>
      </w:r>
      <w:proofErr w:type="spellStart"/>
      <w:r w:rsidRPr="00292066">
        <w:t>such</w:t>
      </w:r>
      <w:proofErr w:type="spellEnd"/>
      <w:r w:rsidRPr="00292066">
        <w:t xml:space="preserve"> </w:t>
      </w:r>
      <w:proofErr w:type="spellStart"/>
      <w:r w:rsidRPr="00292066">
        <w:t>differentiation</w:t>
      </w:r>
      <w:proofErr w:type="spellEnd"/>
      <w:r w:rsidRPr="00292066">
        <w:t xml:space="preserve"> are </w:t>
      </w:r>
      <w:proofErr w:type="spellStart"/>
      <w:r w:rsidRPr="00292066">
        <w:t>reasonable</w:t>
      </w:r>
      <w:proofErr w:type="spellEnd"/>
      <w:r w:rsidRPr="00292066">
        <w:t xml:space="preserve"> and </w:t>
      </w:r>
      <w:proofErr w:type="spellStart"/>
      <w:r w:rsidRPr="00292066">
        <w:t>objective</w:t>
      </w:r>
      <w:proofErr w:type="spellEnd"/>
      <w:r w:rsidRPr="00292066">
        <w:t xml:space="preserve"> and </w:t>
      </w:r>
      <w:proofErr w:type="spellStart"/>
      <w:r w:rsidRPr="00292066">
        <w:t>if</w:t>
      </w:r>
      <w:proofErr w:type="spellEnd"/>
      <w:r w:rsidRPr="00292066">
        <w:t xml:space="preserve"> the </w:t>
      </w:r>
      <w:proofErr w:type="spellStart"/>
      <w:r w:rsidRPr="00292066">
        <w:t>aim</w:t>
      </w:r>
      <w:proofErr w:type="spellEnd"/>
      <w:r w:rsidRPr="00292066">
        <w:t xml:space="preserve"> </w:t>
      </w:r>
      <w:proofErr w:type="spellStart"/>
      <w:r w:rsidRPr="00292066">
        <w:t>is</w:t>
      </w:r>
      <w:proofErr w:type="spellEnd"/>
      <w:r w:rsidRPr="00292066">
        <w:t xml:space="preserve"> to </w:t>
      </w:r>
      <w:proofErr w:type="spellStart"/>
      <w:r w:rsidRPr="00292066">
        <w:t>achieve</w:t>
      </w:r>
      <w:proofErr w:type="spellEnd"/>
      <w:r w:rsidRPr="00292066">
        <w:t xml:space="preserve"> a </w:t>
      </w:r>
      <w:proofErr w:type="spellStart"/>
      <w:r w:rsidRPr="00292066">
        <w:t>purpose</w:t>
      </w:r>
      <w:proofErr w:type="spellEnd"/>
      <w:r w:rsidRPr="00292066">
        <w:t xml:space="preserve"> </w:t>
      </w:r>
      <w:proofErr w:type="spellStart"/>
      <w:r w:rsidRPr="00292066">
        <w:t>which</w:t>
      </w:r>
      <w:proofErr w:type="spellEnd"/>
      <w:r w:rsidRPr="00292066">
        <w:t xml:space="preserve"> </w:t>
      </w:r>
      <w:proofErr w:type="spellStart"/>
      <w:r w:rsidRPr="00292066">
        <w:t>is</w:t>
      </w:r>
      <w:proofErr w:type="spellEnd"/>
      <w:r w:rsidRPr="00292066">
        <w:t xml:space="preserve"> </w:t>
      </w:r>
      <w:proofErr w:type="spellStart"/>
      <w:r w:rsidRPr="00292066">
        <w:t>legitimate</w:t>
      </w:r>
      <w:proofErr w:type="spellEnd"/>
      <w:r w:rsidRPr="00292066">
        <w:t xml:space="preserve"> </w:t>
      </w:r>
      <w:proofErr w:type="spellStart"/>
      <w:r w:rsidRPr="00292066">
        <w:t>under</w:t>
      </w:r>
      <w:proofErr w:type="spellEnd"/>
      <w:r w:rsidRPr="00292066">
        <w:t xml:space="preserve"> the </w:t>
      </w:r>
      <w:proofErr w:type="spellStart"/>
      <w:r w:rsidRPr="00292066">
        <w:t>Covenant</w:t>
      </w:r>
      <w:proofErr w:type="spellEnd"/>
      <w:r w:rsidRPr="00292066">
        <w:t>”.</w:t>
      </w:r>
      <w:r w:rsidRPr="00BD1036">
        <w:rPr>
          <w:rStyle w:val="FootnoteReference"/>
          <w:sz w:val="24"/>
          <w:szCs w:val="24"/>
        </w:rPr>
        <w:footnoteReference w:id="44"/>
      </w:r>
      <w:r w:rsidRPr="00292066">
        <w:t xml:space="preserve"> </w:t>
      </w:r>
      <w:proofErr w:type="spellStart"/>
      <w:r>
        <w:t>However</w:t>
      </w:r>
      <w:proofErr w:type="spellEnd"/>
      <w:r>
        <w:t>, t</w:t>
      </w:r>
      <w:r w:rsidRPr="00292066">
        <w:t xml:space="preserve">he </w:t>
      </w:r>
      <w:proofErr w:type="spellStart"/>
      <w:r w:rsidRPr="00292066">
        <w:t>State</w:t>
      </w:r>
      <w:proofErr w:type="spellEnd"/>
      <w:r w:rsidRPr="00292066">
        <w:t xml:space="preserve"> </w:t>
      </w:r>
      <w:proofErr w:type="spellStart"/>
      <w:r w:rsidRPr="00292066">
        <w:t>party’s</w:t>
      </w:r>
      <w:proofErr w:type="spellEnd"/>
      <w:r w:rsidRPr="00292066">
        <w:t xml:space="preserve"> </w:t>
      </w:r>
      <w:proofErr w:type="spellStart"/>
      <w:r w:rsidRPr="00292066">
        <w:t>criteria</w:t>
      </w:r>
      <w:proofErr w:type="spellEnd"/>
      <w:r w:rsidRPr="00292066">
        <w:t xml:space="preserve"> </w:t>
      </w:r>
      <w:proofErr w:type="spellStart"/>
      <w:r w:rsidRPr="00292066">
        <w:t>for</w:t>
      </w:r>
      <w:proofErr w:type="spellEnd"/>
      <w:r w:rsidRPr="00292066">
        <w:t xml:space="preserve"> </w:t>
      </w:r>
      <w:proofErr w:type="spellStart"/>
      <w:r w:rsidRPr="00292066">
        <w:t>disentitling</w:t>
      </w:r>
      <w:proofErr w:type="spellEnd"/>
      <w:r w:rsidRPr="00292066">
        <w:t xml:space="preserve"> the </w:t>
      </w:r>
      <w:proofErr w:type="spellStart"/>
      <w:r w:rsidRPr="00292066">
        <w:t>author</w:t>
      </w:r>
      <w:proofErr w:type="spellEnd"/>
      <w:r w:rsidRPr="00292066">
        <w:t xml:space="preserve"> </w:t>
      </w:r>
      <w:proofErr w:type="spellStart"/>
      <w:r w:rsidRPr="00292066">
        <w:t>from</w:t>
      </w:r>
      <w:proofErr w:type="spellEnd"/>
      <w:r w:rsidRPr="00292066">
        <w:t xml:space="preserve"> a </w:t>
      </w:r>
      <w:proofErr w:type="spellStart"/>
      <w:r w:rsidRPr="00292066">
        <w:t>disability</w:t>
      </w:r>
      <w:proofErr w:type="spellEnd"/>
      <w:r w:rsidRPr="00292066">
        <w:t xml:space="preserve"> </w:t>
      </w:r>
      <w:proofErr w:type="spellStart"/>
      <w:r w:rsidRPr="00292066">
        <w:t>pension</w:t>
      </w:r>
      <w:proofErr w:type="spellEnd"/>
      <w:r w:rsidRPr="00292066">
        <w:t xml:space="preserve"> </w:t>
      </w:r>
      <w:proofErr w:type="spellStart"/>
      <w:r>
        <w:t>or</w:t>
      </w:r>
      <w:proofErr w:type="spellEnd"/>
      <w:r>
        <w:t xml:space="preserve"> </w:t>
      </w:r>
      <w:proofErr w:type="spellStart"/>
      <w:r>
        <w:t>compensation</w:t>
      </w:r>
      <w:proofErr w:type="spellEnd"/>
      <w:r>
        <w:t xml:space="preserve"> </w:t>
      </w:r>
      <w:r w:rsidRPr="00292066">
        <w:t xml:space="preserve">do </w:t>
      </w:r>
      <w:proofErr w:type="spellStart"/>
      <w:r w:rsidRPr="00292066">
        <w:t>not</w:t>
      </w:r>
      <w:proofErr w:type="spellEnd"/>
      <w:r w:rsidRPr="00292066">
        <w:t xml:space="preserve"> </w:t>
      </w:r>
      <w:proofErr w:type="spellStart"/>
      <w:r w:rsidRPr="00292066">
        <w:t>reflect</w:t>
      </w:r>
      <w:proofErr w:type="spellEnd"/>
      <w:r w:rsidRPr="00292066">
        <w:t xml:space="preserve"> </w:t>
      </w:r>
      <w:proofErr w:type="spellStart"/>
      <w:r w:rsidRPr="00292066">
        <w:t>her</w:t>
      </w:r>
      <w:proofErr w:type="spellEnd"/>
      <w:r w:rsidRPr="00292066">
        <w:t xml:space="preserve"> factual </w:t>
      </w:r>
      <w:proofErr w:type="spellStart"/>
      <w:r w:rsidRPr="00292066">
        <w:t>situation</w:t>
      </w:r>
      <w:proofErr w:type="spellEnd"/>
      <w:r w:rsidRPr="00292066">
        <w:t xml:space="preserve"> of </w:t>
      </w:r>
      <w:proofErr w:type="spellStart"/>
      <w:r w:rsidRPr="00292066">
        <w:t>long-term</w:t>
      </w:r>
      <w:proofErr w:type="spellEnd"/>
      <w:r w:rsidRPr="00292066">
        <w:t>, non-</w:t>
      </w:r>
      <w:proofErr w:type="spellStart"/>
      <w:r w:rsidRPr="00292066">
        <w:t>temporary</w:t>
      </w:r>
      <w:proofErr w:type="spellEnd"/>
      <w:r w:rsidRPr="00292066">
        <w:t xml:space="preserve">, </w:t>
      </w:r>
      <w:proofErr w:type="spellStart"/>
      <w:r w:rsidRPr="00292066">
        <w:t>military</w:t>
      </w:r>
      <w:proofErr w:type="spellEnd"/>
      <w:r w:rsidRPr="00292066">
        <w:t xml:space="preserve"> </w:t>
      </w:r>
      <w:proofErr w:type="spellStart"/>
      <w:r w:rsidRPr="00292066">
        <w:t>employment</w:t>
      </w:r>
      <w:proofErr w:type="spellEnd"/>
      <w:r w:rsidRPr="00292066">
        <w:t xml:space="preserve">. </w:t>
      </w:r>
      <w:proofErr w:type="spellStart"/>
      <w:r w:rsidRPr="00292066">
        <w:t>Nor</w:t>
      </w:r>
      <w:proofErr w:type="spellEnd"/>
      <w:r w:rsidRPr="00292066">
        <w:t xml:space="preserve"> are the </w:t>
      </w:r>
      <w:proofErr w:type="spellStart"/>
      <w:r w:rsidRPr="00292066">
        <w:t>criteria</w:t>
      </w:r>
      <w:proofErr w:type="spellEnd"/>
      <w:r w:rsidRPr="00292066">
        <w:t xml:space="preserve"> similar </w:t>
      </w:r>
      <w:r>
        <w:t xml:space="preserve">to the </w:t>
      </w:r>
      <w:proofErr w:type="spellStart"/>
      <w:r>
        <w:t>ones</w:t>
      </w:r>
      <w:proofErr w:type="spellEnd"/>
      <w:r>
        <w:t xml:space="preserve"> </w:t>
      </w:r>
      <w:proofErr w:type="spellStart"/>
      <w:r>
        <w:t>applied</w:t>
      </w:r>
      <w:proofErr w:type="spellEnd"/>
      <w:r>
        <w:t xml:space="preserve"> to </w:t>
      </w:r>
      <w:proofErr w:type="spellStart"/>
      <w:r w:rsidRPr="00292066">
        <w:t>temporary</w:t>
      </w:r>
      <w:proofErr w:type="spellEnd"/>
      <w:r w:rsidRPr="00292066">
        <w:t xml:space="preserve"> </w:t>
      </w:r>
      <w:proofErr w:type="spellStart"/>
      <w:r w:rsidRPr="00292066">
        <w:t>public</w:t>
      </w:r>
      <w:proofErr w:type="spellEnd"/>
      <w:r w:rsidRPr="00292066">
        <w:t>, non-</w:t>
      </w:r>
      <w:proofErr w:type="spellStart"/>
      <w:r w:rsidRPr="00292066">
        <w:t>military</w:t>
      </w:r>
      <w:proofErr w:type="spellEnd"/>
      <w:r w:rsidRPr="00292066">
        <w:t xml:space="preserve">, </w:t>
      </w:r>
      <w:proofErr w:type="spellStart"/>
      <w:r w:rsidRPr="00292066">
        <w:t>workers</w:t>
      </w:r>
      <w:proofErr w:type="spellEnd"/>
      <w:r w:rsidRPr="00292066">
        <w:t xml:space="preserve">, and no </w:t>
      </w:r>
      <w:proofErr w:type="spellStart"/>
      <w:r w:rsidRPr="00292066">
        <w:t>justification</w:t>
      </w:r>
      <w:proofErr w:type="spellEnd"/>
      <w:r w:rsidRPr="00292066">
        <w:t xml:space="preserve"> has </w:t>
      </w:r>
      <w:proofErr w:type="spellStart"/>
      <w:r w:rsidRPr="00292066">
        <w:t>been</w:t>
      </w:r>
      <w:proofErr w:type="spellEnd"/>
      <w:r w:rsidRPr="00292066">
        <w:t xml:space="preserve"> </w:t>
      </w:r>
      <w:proofErr w:type="spellStart"/>
      <w:r w:rsidRPr="00292066">
        <w:t>provided</w:t>
      </w:r>
      <w:proofErr w:type="spellEnd"/>
      <w:r w:rsidRPr="00292066">
        <w:t xml:space="preserve"> </w:t>
      </w:r>
      <w:proofErr w:type="spellStart"/>
      <w:r w:rsidRPr="00292066">
        <w:t>for</w:t>
      </w:r>
      <w:proofErr w:type="spellEnd"/>
      <w:r w:rsidRPr="00292066">
        <w:t xml:space="preserve"> </w:t>
      </w:r>
      <w:proofErr w:type="spellStart"/>
      <w:r w:rsidRPr="00292066">
        <w:t>this</w:t>
      </w:r>
      <w:proofErr w:type="spellEnd"/>
      <w:r w:rsidRPr="00292066">
        <w:t xml:space="preserve"> </w:t>
      </w:r>
      <w:proofErr w:type="spellStart"/>
      <w:r w:rsidRPr="00292066">
        <w:t>differentiation</w:t>
      </w:r>
      <w:proofErr w:type="spellEnd"/>
      <w:r w:rsidRPr="00292066">
        <w:t xml:space="preserve"> </w:t>
      </w:r>
      <w:proofErr w:type="spellStart"/>
      <w:r w:rsidRPr="00292066">
        <w:t>by</w:t>
      </w:r>
      <w:proofErr w:type="spellEnd"/>
      <w:r w:rsidRPr="00292066">
        <w:t xml:space="preserve"> the </w:t>
      </w:r>
      <w:proofErr w:type="spellStart"/>
      <w:r w:rsidRPr="00292066">
        <w:t>State</w:t>
      </w:r>
      <w:proofErr w:type="spellEnd"/>
      <w:r w:rsidRPr="00292066">
        <w:t xml:space="preserve"> </w:t>
      </w:r>
      <w:proofErr w:type="spellStart"/>
      <w:r w:rsidRPr="00292066">
        <w:t>party</w:t>
      </w:r>
      <w:proofErr w:type="spellEnd"/>
      <w:r w:rsidRPr="00292066">
        <w:t xml:space="preserve">. </w:t>
      </w:r>
      <w:proofErr w:type="spellStart"/>
      <w:r w:rsidRPr="00292066">
        <w:t>The</w:t>
      </w:r>
      <w:r>
        <w:t>refore</w:t>
      </w:r>
      <w:proofErr w:type="spellEnd"/>
      <w:r>
        <w:t xml:space="preserve">, in </w:t>
      </w:r>
      <w:proofErr w:type="spellStart"/>
      <w:r>
        <w:t>this</w:t>
      </w:r>
      <w:proofErr w:type="spellEnd"/>
      <w:r>
        <w:t xml:space="preserve"> particular case, </w:t>
      </w:r>
      <w:proofErr w:type="spellStart"/>
      <w:r>
        <w:t>these</w:t>
      </w:r>
      <w:proofErr w:type="spellEnd"/>
      <w:r w:rsidRPr="00292066">
        <w:t xml:space="preserve"> </w:t>
      </w:r>
      <w:proofErr w:type="spellStart"/>
      <w:r w:rsidRPr="00292066">
        <w:t>distinctions</w:t>
      </w:r>
      <w:proofErr w:type="spellEnd"/>
      <w:r w:rsidRPr="00292066">
        <w:t xml:space="preserve"> a</w:t>
      </w:r>
      <w:r>
        <w:t>re</w:t>
      </w:r>
      <w:r w:rsidRPr="00292066">
        <w:t xml:space="preserve"> </w:t>
      </w:r>
      <w:proofErr w:type="spellStart"/>
      <w:r w:rsidRPr="00292066">
        <w:t>arbitrary</w:t>
      </w:r>
      <w:proofErr w:type="spellEnd"/>
      <w:r>
        <w:t>.</w:t>
      </w:r>
    </w:p>
    <w:p w14:paraId="0C506C63" w14:textId="4DFF1649" w:rsidR="00137CBA" w:rsidRDefault="00426CAD" w:rsidP="00040F47">
      <w:pPr>
        <w:pStyle w:val="SingleTxtG"/>
      </w:pPr>
      <w:r>
        <w:t>9.</w:t>
      </w:r>
      <w:r>
        <w:tab/>
      </w:r>
      <w:proofErr w:type="spellStart"/>
      <w:r>
        <w:t>We</w:t>
      </w:r>
      <w:proofErr w:type="spellEnd"/>
      <w:r>
        <w:t xml:space="preserve"> </w:t>
      </w:r>
      <w:proofErr w:type="spellStart"/>
      <w:r w:rsidRPr="00292066">
        <w:t>would</w:t>
      </w:r>
      <w:proofErr w:type="spellEnd"/>
      <w:r w:rsidRPr="00292066">
        <w:t xml:space="preserve"> </w:t>
      </w:r>
      <w:proofErr w:type="spellStart"/>
      <w:r w:rsidRPr="00292066">
        <w:t>conclude</w:t>
      </w:r>
      <w:proofErr w:type="spellEnd"/>
      <w:r w:rsidRPr="00292066">
        <w:t xml:space="preserve"> </w:t>
      </w:r>
      <w:proofErr w:type="spellStart"/>
      <w:r w:rsidRPr="00292066">
        <w:t>that</w:t>
      </w:r>
      <w:proofErr w:type="spellEnd"/>
      <w:r w:rsidRPr="00292066">
        <w:t xml:space="preserve"> the </w:t>
      </w:r>
      <w:proofErr w:type="spellStart"/>
      <w:r w:rsidRPr="00292066">
        <w:t>author</w:t>
      </w:r>
      <w:proofErr w:type="spellEnd"/>
      <w:r w:rsidRPr="00292066">
        <w:t xml:space="preserve"> </w:t>
      </w:r>
      <w:proofErr w:type="spellStart"/>
      <w:r w:rsidRPr="00292066">
        <w:t>was</w:t>
      </w:r>
      <w:proofErr w:type="spellEnd"/>
      <w:r w:rsidRPr="00292066">
        <w:t xml:space="preserve"> </w:t>
      </w:r>
      <w:proofErr w:type="spellStart"/>
      <w:r w:rsidRPr="00292066">
        <w:t>not</w:t>
      </w:r>
      <w:proofErr w:type="spellEnd"/>
      <w:r w:rsidRPr="00292066">
        <w:t xml:space="preserve"> </w:t>
      </w:r>
      <w:proofErr w:type="spellStart"/>
      <w:r w:rsidRPr="00292066">
        <w:t>provided</w:t>
      </w:r>
      <w:proofErr w:type="spellEnd"/>
      <w:r w:rsidRPr="00292066">
        <w:t xml:space="preserve"> </w:t>
      </w:r>
      <w:proofErr w:type="spellStart"/>
      <w:r w:rsidRPr="00292066">
        <w:t>with</w:t>
      </w:r>
      <w:proofErr w:type="spellEnd"/>
      <w:r w:rsidRPr="00292066">
        <w:t xml:space="preserve"> the </w:t>
      </w:r>
      <w:proofErr w:type="spellStart"/>
      <w:r w:rsidRPr="00292066">
        <w:t>same</w:t>
      </w:r>
      <w:proofErr w:type="spellEnd"/>
      <w:r w:rsidRPr="00292066">
        <w:t xml:space="preserve"> </w:t>
      </w:r>
      <w:proofErr w:type="spellStart"/>
      <w:r w:rsidRPr="00292066">
        <w:t>protection</w:t>
      </w:r>
      <w:proofErr w:type="spellEnd"/>
      <w:r w:rsidRPr="00292066">
        <w:t xml:space="preserve"> </w:t>
      </w:r>
      <w:proofErr w:type="spellStart"/>
      <w:r w:rsidRPr="00292066">
        <w:t>under</w:t>
      </w:r>
      <w:proofErr w:type="spellEnd"/>
      <w:r w:rsidRPr="00292066">
        <w:t xml:space="preserve"> the </w:t>
      </w:r>
      <w:proofErr w:type="spellStart"/>
      <w:r w:rsidRPr="00292066">
        <w:t>law</w:t>
      </w:r>
      <w:proofErr w:type="spellEnd"/>
      <w:r w:rsidRPr="00292066">
        <w:t xml:space="preserve"> as </w:t>
      </w:r>
      <w:proofErr w:type="spellStart"/>
      <w:r w:rsidRPr="00292066">
        <w:t>other</w:t>
      </w:r>
      <w:proofErr w:type="spellEnd"/>
      <w:r w:rsidRPr="00292066">
        <w:t xml:space="preserve"> </w:t>
      </w:r>
      <w:proofErr w:type="spellStart"/>
      <w:r w:rsidRPr="00292066">
        <w:t>w</w:t>
      </w:r>
      <w:r w:rsidRPr="00426CAD">
        <w:t>o</w:t>
      </w:r>
      <w:r w:rsidRPr="00292066">
        <w:t>rkers</w:t>
      </w:r>
      <w:proofErr w:type="spellEnd"/>
      <w:r w:rsidRPr="00292066">
        <w:t xml:space="preserve"> in </w:t>
      </w:r>
      <w:proofErr w:type="spellStart"/>
      <w:r w:rsidRPr="00292066">
        <w:t>Spain</w:t>
      </w:r>
      <w:proofErr w:type="spellEnd"/>
      <w:r w:rsidRPr="00292066">
        <w:t xml:space="preserve"> and </w:t>
      </w:r>
      <w:proofErr w:type="spellStart"/>
      <w:r w:rsidRPr="00426CAD">
        <w:t>that</w:t>
      </w:r>
      <w:proofErr w:type="spellEnd"/>
      <w:r w:rsidRPr="00292066">
        <w:t xml:space="preserve"> </w:t>
      </w:r>
      <w:proofErr w:type="spellStart"/>
      <w:r w:rsidRPr="00292066">
        <w:t>this</w:t>
      </w:r>
      <w:proofErr w:type="spellEnd"/>
      <w:r w:rsidRPr="00292066">
        <w:t xml:space="preserve"> </w:t>
      </w:r>
      <w:proofErr w:type="spellStart"/>
      <w:r w:rsidRPr="00292066">
        <w:t>differential</w:t>
      </w:r>
      <w:proofErr w:type="spellEnd"/>
      <w:r w:rsidRPr="00292066">
        <w:t xml:space="preserve"> </w:t>
      </w:r>
      <w:proofErr w:type="spellStart"/>
      <w:r w:rsidRPr="00292066">
        <w:t>treatment</w:t>
      </w:r>
      <w:proofErr w:type="spellEnd"/>
      <w:r w:rsidRPr="00292066">
        <w:t xml:space="preserve"> </w:t>
      </w:r>
      <w:proofErr w:type="spellStart"/>
      <w:r w:rsidRPr="00292066">
        <w:t>did</w:t>
      </w:r>
      <w:proofErr w:type="spellEnd"/>
      <w:r w:rsidRPr="00292066">
        <w:t xml:space="preserve"> </w:t>
      </w:r>
      <w:proofErr w:type="spellStart"/>
      <w:r w:rsidRPr="00292066">
        <w:t>not</w:t>
      </w:r>
      <w:proofErr w:type="spellEnd"/>
      <w:r w:rsidRPr="00292066">
        <w:t xml:space="preserve"> </w:t>
      </w:r>
      <w:proofErr w:type="spellStart"/>
      <w:r w:rsidRPr="00292066">
        <w:t>flow</w:t>
      </w:r>
      <w:proofErr w:type="spellEnd"/>
      <w:r w:rsidRPr="00292066">
        <w:t xml:space="preserve"> </w:t>
      </w:r>
      <w:proofErr w:type="spellStart"/>
      <w:r w:rsidRPr="00292066">
        <w:t>from</w:t>
      </w:r>
      <w:proofErr w:type="spellEnd"/>
      <w:r w:rsidRPr="00292066">
        <w:t xml:space="preserve"> </w:t>
      </w:r>
      <w:proofErr w:type="spellStart"/>
      <w:r w:rsidRPr="00292066">
        <w:t>reasonable</w:t>
      </w:r>
      <w:proofErr w:type="spellEnd"/>
      <w:r w:rsidRPr="00292066">
        <w:t xml:space="preserve"> </w:t>
      </w:r>
      <w:proofErr w:type="spellStart"/>
      <w:r w:rsidRPr="00292066">
        <w:t>or</w:t>
      </w:r>
      <w:proofErr w:type="spellEnd"/>
      <w:r w:rsidRPr="00292066">
        <w:t xml:space="preserve"> </w:t>
      </w:r>
      <w:proofErr w:type="spellStart"/>
      <w:r w:rsidRPr="00292066">
        <w:t>objective</w:t>
      </w:r>
      <w:proofErr w:type="spellEnd"/>
      <w:r w:rsidRPr="00292066">
        <w:t xml:space="preserve"> </w:t>
      </w:r>
      <w:proofErr w:type="spellStart"/>
      <w:r w:rsidRPr="00292066">
        <w:t>criteria</w:t>
      </w:r>
      <w:proofErr w:type="spellEnd"/>
      <w:r w:rsidRPr="00292066">
        <w:t xml:space="preserve"> </w:t>
      </w:r>
      <w:proofErr w:type="spellStart"/>
      <w:r w:rsidRPr="00292066">
        <w:t>or</w:t>
      </w:r>
      <w:proofErr w:type="spellEnd"/>
      <w:r w:rsidRPr="00292066">
        <w:t xml:space="preserve"> </w:t>
      </w:r>
      <w:proofErr w:type="spellStart"/>
      <w:r w:rsidRPr="00292066">
        <w:t>have</w:t>
      </w:r>
      <w:proofErr w:type="spellEnd"/>
      <w:r w:rsidRPr="00292066">
        <w:t xml:space="preserve"> a </w:t>
      </w:r>
      <w:proofErr w:type="spellStart"/>
      <w:r w:rsidRPr="00292066">
        <w:t>legitimate</w:t>
      </w:r>
      <w:proofErr w:type="spellEnd"/>
      <w:r w:rsidRPr="00292066">
        <w:t xml:space="preserve"> </w:t>
      </w:r>
      <w:proofErr w:type="spellStart"/>
      <w:r w:rsidRPr="00292066">
        <w:t>purpose</w:t>
      </w:r>
      <w:proofErr w:type="spellEnd"/>
      <w:r w:rsidRPr="00292066">
        <w:t xml:space="preserve">. In sum, </w:t>
      </w:r>
      <w:proofErr w:type="spellStart"/>
      <w:r>
        <w:t>we</w:t>
      </w:r>
      <w:proofErr w:type="spellEnd"/>
      <w:r>
        <w:t xml:space="preserve"> </w:t>
      </w:r>
      <w:proofErr w:type="spellStart"/>
      <w:r w:rsidRPr="00292066">
        <w:t>would</w:t>
      </w:r>
      <w:proofErr w:type="spellEnd"/>
      <w:r w:rsidRPr="00292066">
        <w:t xml:space="preserve"> </w:t>
      </w:r>
      <w:proofErr w:type="spellStart"/>
      <w:r w:rsidRPr="00292066">
        <w:t>find</w:t>
      </w:r>
      <w:proofErr w:type="spellEnd"/>
      <w:r w:rsidRPr="00292066">
        <w:t xml:space="preserve"> </w:t>
      </w:r>
      <w:proofErr w:type="spellStart"/>
      <w:r w:rsidRPr="00292066">
        <w:t>her</w:t>
      </w:r>
      <w:proofErr w:type="spellEnd"/>
      <w:r w:rsidRPr="00292066">
        <w:t xml:space="preserve"> </w:t>
      </w:r>
      <w:proofErr w:type="spellStart"/>
      <w:r>
        <w:t>right</w:t>
      </w:r>
      <w:proofErr w:type="spellEnd"/>
      <w:r>
        <w:t xml:space="preserve"> to </w:t>
      </w:r>
      <w:proofErr w:type="spellStart"/>
      <w:r>
        <w:t>equal</w:t>
      </w:r>
      <w:proofErr w:type="spellEnd"/>
      <w:r>
        <w:t xml:space="preserve"> </w:t>
      </w:r>
      <w:proofErr w:type="spellStart"/>
      <w:r>
        <w:t>protection</w:t>
      </w:r>
      <w:proofErr w:type="spellEnd"/>
      <w:r>
        <w:t xml:space="preserve"> of the </w:t>
      </w:r>
      <w:proofErr w:type="spellStart"/>
      <w:r>
        <w:t>law</w:t>
      </w:r>
      <w:proofErr w:type="spellEnd"/>
      <w:r w:rsidRPr="00292066">
        <w:t xml:space="preserve"> </w:t>
      </w:r>
      <w:proofErr w:type="spellStart"/>
      <w:r w:rsidRPr="00292066">
        <w:t>under</w:t>
      </w:r>
      <w:proofErr w:type="spellEnd"/>
      <w:r w:rsidRPr="00292066">
        <w:t xml:space="preserve"> </w:t>
      </w:r>
      <w:proofErr w:type="spellStart"/>
      <w:r w:rsidRPr="00292066">
        <w:t>article</w:t>
      </w:r>
      <w:proofErr w:type="spellEnd"/>
      <w:r w:rsidRPr="00292066">
        <w:t xml:space="preserve"> 26 </w:t>
      </w:r>
      <w:proofErr w:type="spellStart"/>
      <w:r w:rsidRPr="00292066">
        <w:t>w</w:t>
      </w:r>
      <w:r>
        <w:t>as</w:t>
      </w:r>
      <w:proofErr w:type="spellEnd"/>
      <w:r w:rsidRPr="00292066">
        <w:t xml:space="preserve"> </w:t>
      </w:r>
      <w:proofErr w:type="spellStart"/>
      <w:r w:rsidRPr="00292066">
        <w:t>violated</w:t>
      </w:r>
      <w:proofErr w:type="spellEnd"/>
      <w:r>
        <w:t>.</w:t>
      </w:r>
    </w:p>
    <w:p w14:paraId="4E06C19D" w14:textId="6B304A93" w:rsidR="00426CAD" w:rsidRPr="00426CAD" w:rsidRDefault="00426CAD">
      <w:pPr>
        <w:pStyle w:val="SingleTxtG"/>
        <w:suppressAutoHyphens/>
        <w:spacing w:before="240" w:after="0"/>
        <w:jc w:val="center"/>
        <w:rPr>
          <w:u w:val="single"/>
        </w:rPr>
      </w:pPr>
      <w:r>
        <w:rPr>
          <w:u w:val="single"/>
        </w:rPr>
        <w:tab/>
      </w:r>
      <w:r>
        <w:rPr>
          <w:u w:val="single"/>
        </w:rPr>
        <w:tab/>
      </w:r>
      <w:r>
        <w:rPr>
          <w:u w:val="single"/>
        </w:rPr>
        <w:tab/>
      </w:r>
    </w:p>
    <w:sectPr w:rsidR="00426CAD" w:rsidRPr="00426CAD" w:rsidSect="00040F47">
      <w:footnotePr>
        <w:numRestart w:val="eachSect"/>
      </w:foot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BD8BA" w14:textId="77777777" w:rsidR="009346C4" w:rsidRDefault="009346C4">
      <w:r>
        <w:separator/>
      </w:r>
    </w:p>
  </w:endnote>
  <w:endnote w:type="continuationSeparator" w:id="0">
    <w:p w14:paraId="395FB0DC" w14:textId="77777777" w:rsidR="009346C4" w:rsidRDefault="0093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8A51A" w14:textId="592C9CCF" w:rsidR="00305DAA" w:rsidRPr="00305DAA" w:rsidRDefault="00305DAA" w:rsidP="00305DAA">
    <w:pPr>
      <w:pStyle w:val="Footer"/>
      <w:tabs>
        <w:tab w:val="right" w:pos="9638"/>
      </w:tabs>
    </w:pPr>
    <w:r w:rsidRPr="00305DAA">
      <w:rPr>
        <w:b/>
        <w:sz w:val="18"/>
      </w:rPr>
      <w:fldChar w:fldCharType="begin"/>
    </w:r>
    <w:r w:rsidRPr="00305DAA">
      <w:rPr>
        <w:b/>
        <w:sz w:val="18"/>
      </w:rPr>
      <w:instrText xml:space="preserve"> PAGE  \* MERGEFORMAT </w:instrText>
    </w:r>
    <w:r w:rsidRPr="00305DAA">
      <w:rPr>
        <w:b/>
        <w:sz w:val="18"/>
      </w:rPr>
      <w:fldChar w:fldCharType="separate"/>
    </w:r>
    <w:r w:rsidR="00040F47">
      <w:rPr>
        <w:b/>
        <w:noProof/>
        <w:sz w:val="18"/>
      </w:rPr>
      <w:t>16</w:t>
    </w:r>
    <w:r w:rsidRPr="00305D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A4D8D" w14:textId="12DCB94D" w:rsidR="00305DAA" w:rsidRPr="00305DAA" w:rsidRDefault="00305DAA" w:rsidP="00305DAA">
    <w:pPr>
      <w:pStyle w:val="Footer"/>
      <w:tabs>
        <w:tab w:val="right" w:pos="9638"/>
      </w:tabs>
      <w:rPr>
        <w:b/>
        <w:sz w:val="18"/>
      </w:rPr>
    </w:pPr>
    <w:r>
      <w:tab/>
    </w:r>
    <w:r w:rsidRPr="00305DAA">
      <w:rPr>
        <w:b/>
        <w:sz w:val="18"/>
      </w:rPr>
      <w:fldChar w:fldCharType="begin"/>
    </w:r>
    <w:r w:rsidRPr="00305DAA">
      <w:rPr>
        <w:b/>
        <w:sz w:val="18"/>
      </w:rPr>
      <w:instrText xml:space="preserve"> PAGE  \* MERGEFORMAT </w:instrText>
    </w:r>
    <w:r w:rsidRPr="00305DAA">
      <w:rPr>
        <w:b/>
        <w:sz w:val="18"/>
      </w:rPr>
      <w:fldChar w:fldCharType="separate"/>
    </w:r>
    <w:r w:rsidR="00040F47">
      <w:rPr>
        <w:b/>
        <w:noProof/>
        <w:sz w:val="18"/>
      </w:rPr>
      <w:t>15</w:t>
    </w:r>
    <w:r w:rsidRPr="00305DA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1ECF" w14:textId="4EA9FCCE" w:rsidR="00070B1F" w:rsidRPr="00070B1F" w:rsidRDefault="00070B1F" w:rsidP="00070B1F">
    <w:pPr>
      <w:pStyle w:val="Footer"/>
      <w:spacing w:before="120" w:line="240" w:lineRule="auto"/>
      <w:rPr>
        <w:sz w:val="20"/>
      </w:rPr>
    </w:pPr>
    <w:r w:rsidRPr="00070B1F">
      <w:rPr>
        <w:rFonts w:ascii="C39T30Lfz" w:hAnsi="C39T30Lfz"/>
        <w:noProof/>
        <w:sz w:val="56"/>
        <w:lang w:val="en-GB" w:eastAsia="en-GB"/>
      </w:rPr>
      <w:drawing>
        <wp:anchor distT="0" distB="0" distL="114300" distR="114300" simplePos="0" relativeHeight="251660288" behindDoc="0" locked="1" layoutInCell="1" allowOverlap="1" wp14:anchorId="6A61AF60" wp14:editId="4091F69A">
          <wp:simplePos x="0" y="0"/>
          <wp:positionH relativeFrom="margin">
            <wp:posOffset>4319905</wp:posOffset>
          </wp:positionH>
          <wp:positionV relativeFrom="margin">
            <wp:posOffset>9145270</wp:posOffset>
          </wp:positionV>
          <wp:extent cx="1087200" cy="230400"/>
          <wp:effectExtent l="0" t="0" r="0" b="0"/>
          <wp:wrapNone/>
          <wp:docPr id="3"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00" cy="2304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val="en-GB" w:eastAsia="en-GB"/>
      </w:rPr>
      <w:drawing>
        <wp:anchor distT="0" distB="0" distL="114300" distR="114300" simplePos="0" relativeHeight="251658240" behindDoc="0" locked="0" layoutInCell="1" allowOverlap="1" wp14:anchorId="3AAE4E08" wp14:editId="4BF46BD0">
          <wp:simplePos x="0" y="0"/>
          <wp:positionH relativeFrom="margin">
            <wp:posOffset>5489575</wp:posOffset>
          </wp:positionH>
          <wp:positionV relativeFrom="margin">
            <wp:posOffset>8891905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754E4" w14:textId="77777777" w:rsidR="009346C4" w:rsidRPr="001075E9" w:rsidRDefault="009346C4" w:rsidP="001075E9">
      <w:pPr>
        <w:tabs>
          <w:tab w:val="right" w:pos="2155"/>
        </w:tabs>
        <w:spacing w:after="80" w:line="240" w:lineRule="auto"/>
        <w:ind w:left="680"/>
        <w:rPr>
          <w:u w:val="single"/>
        </w:rPr>
      </w:pPr>
      <w:r>
        <w:rPr>
          <w:u w:val="single"/>
        </w:rPr>
        <w:tab/>
      </w:r>
    </w:p>
  </w:footnote>
  <w:footnote w:type="continuationSeparator" w:id="0">
    <w:p w14:paraId="28CC0531" w14:textId="77777777" w:rsidR="009346C4" w:rsidRDefault="009346C4" w:rsidP="00AE0E02">
      <w:pPr>
        <w:tabs>
          <w:tab w:val="right" w:pos="2155"/>
        </w:tabs>
        <w:spacing w:after="80" w:line="240" w:lineRule="auto"/>
        <w:ind w:left="680"/>
        <w:rPr>
          <w:u w:val="single"/>
        </w:rPr>
      </w:pPr>
      <w:r>
        <w:rPr>
          <w:u w:val="single"/>
        </w:rPr>
        <w:tab/>
      </w:r>
    </w:p>
  </w:footnote>
  <w:footnote w:id="1">
    <w:p w14:paraId="089D6F91" w14:textId="3EF67AD7" w:rsidR="00C1322D" w:rsidRPr="00040F47" w:rsidRDefault="00C1322D">
      <w:pPr>
        <w:pStyle w:val="FootnoteText"/>
        <w:rPr>
          <w:lang w:val="en-GB"/>
        </w:rPr>
      </w:pPr>
      <w:r>
        <w:rPr>
          <w:rStyle w:val="FootnoteReference"/>
        </w:rPr>
        <w:tab/>
      </w:r>
      <w:r w:rsidRPr="00040F47">
        <w:rPr>
          <w:rStyle w:val="FootnoteReference"/>
          <w:sz w:val="20"/>
          <w:vertAlign w:val="baseline"/>
        </w:rPr>
        <w:t>*</w:t>
      </w:r>
      <w:r>
        <w:rPr>
          <w:rStyle w:val="FootnoteReference"/>
          <w:sz w:val="20"/>
          <w:vertAlign w:val="baseline"/>
        </w:rPr>
        <w:tab/>
      </w:r>
      <w:r w:rsidRPr="000F40BF">
        <w:t>Adoptado por el Comité en</w:t>
      </w:r>
      <w:r>
        <w:t xml:space="preserve"> su 131° período de sesiones (1 -</w:t>
      </w:r>
      <w:r w:rsidRPr="000F40BF">
        <w:t xml:space="preserve"> </w:t>
      </w:r>
      <w:r>
        <w:t>26 de marzo de 2021</w:t>
      </w:r>
    </w:p>
  </w:footnote>
  <w:footnote w:id="2">
    <w:p w14:paraId="65E0A550" w14:textId="735BA0C3" w:rsidR="00C1322D" w:rsidRPr="00C1322D" w:rsidRDefault="00C1322D">
      <w:pPr>
        <w:pStyle w:val="FootnoteText"/>
      </w:pPr>
      <w:r>
        <w:rPr>
          <w:rStyle w:val="FootnoteReference"/>
        </w:rPr>
        <w:tab/>
      </w:r>
      <w:r w:rsidRPr="00040F47">
        <w:rPr>
          <w:rStyle w:val="FootnoteReference"/>
          <w:sz w:val="20"/>
          <w:vertAlign w:val="baseline"/>
        </w:rPr>
        <w:t>**</w:t>
      </w:r>
      <w:r>
        <w:rPr>
          <w:rStyle w:val="FootnoteReference"/>
          <w:sz w:val="20"/>
          <w:vertAlign w:val="baseline"/>
        </w:rPr>
        <w:tab/>
      </w:r>
      <w:r w:rsidRPr="000F40BF">
        <w:t>Los siguientes miembros del Comité participaron en el exa</w:t>
      </w:r>
      <w:r>
        <w:t>men de la presente comunicación</w:t>
      </w:r>
      <w:r w:rsidRPr="001F1700">
        <w:t>:</w:t>
      </w:r>
      <w:r>
        <w:rPr>
          <w:sz w:val="20"/>
        </w:rPr>
        <w:t xml:space="preserve"> </w:t>
      </w:r>
      <w:r w:rsidRPr="001F1700">
        <w:t xml:space="preserve">Tania </w:t>
      </w:r>
      <w:proofErr w:type="spellStart"/>
      <w:r w:rsidRPr="001F1700">
        <w:t>Abdo</w:t>
      </w:r>
      <w:proofErr w:type="spellEnd"/>
      <w:r>
        <w:t xml:space="preserve"> </w:t>
      </w:r>
      <w:proofErr w:type="spellStart"/>
      <w:r>
        <w:t>Rocholl</w:t>
      </w:r>
      <w:proofErr w:type="spellEnd"/>
      <w:r>
        <w:t xml:space="preserve">, </w:t>
      </w:r>
      <w:proofErr w:type="spellStart"/>
      <w:r>
        <w:t>Yadh</w:t>
      </w:r>
      <w:proofErr w:type="spellEnd"/>
      <w:r>
        <w:t xml:space="preserve"> Ben </w:t>
      </w:r>
      <w:proofErr w:type="spellStart"/>
      <w:r>
        <w:t>Achour</w:t>
      </w:r>
      <w:proofErr w:type="spellEnd"/>
      <w:r>
        <w:t xml:space="preserve">, </w:t>
      </w:r>
      <w:proofErr w:type="spellStart"/>
      <w:r>
        <w:t>Arif</w:t>
      </w:r>
      <w:proofErr w:type="spellEnd"/>
      <w:r>
        <w:t xml:space="preserve"> </w:t>
      </w:r>
      <w:proofErr w:type="spellStart"/>
      <w:r>
        <w:t>Bulkan</w:t>
      </w:r>
      <w:proofErr w:type="spellEnd"/>
      <w:r>
        <w:t xml:space="preserve">, </w:t>
      </w:r>
      <w:proofErr w:type="spellStart"/>
      <w:r w:rsidRPr="00626EDE">
        <w:t>Wafaa</w:t>
      </w:r>
      <w:proofErr w:type="spellEnd"/>
      <w:r w:rsidRPr="00626EDE">
        <w:t xml:space="preserve"> </w:t>
      </w:r>
      <w:proofErr w:type="spellStart"/>
      <w:r w:rsidRPr="00626EDE">
        <w:t>Ashraf</w:t>
      </w:r>
      <w:proofErr w:type="spellEnd"/>
      <w:r w:rsidRPr="00626EDE">
        <w:t xml:space="preserve"> </w:t>
      </w:r>
      <w:proofErr w:type="spellStart"/>
      <w:r w:rsidRPr="00626EDE">
        <w:t>Moharram</w:t>
      </w:r>
      <w:proofErr w:type="spellEnd"/>
      <w:r>
        <w:t xml:space="preserve"> </w:t>
      </w:r>
      <w:proofErr w:type="spellStart"/>
      <w:r>
        <w:t>Bassim</w:t>
      </w:r>
      <w:proofErr w:type="spellEnd"/>
      <w:r>
        <w:t xml:space="preserve">, </w:t>
      </w:r>
      <w:proofErr w:type="spellStart"/>
      <w:r w:rsidRPr="001F1700">
        <w:t>Mahjoub</w:t>
      </w:r>
      <w:proofErr w:type="spellEnd"/>
      <w:r>
        <w:t xml:space="preserve"> El </w:t>
      </w:r>
      <w:proofErr w:type="spellStart"/>
      <w:r>
        <w:t>Haiba</w:t>
      </w:r>
      <w:proofErr w:type="spellEnd"/>
      <w:r>
        <w:t xml:space="preserve">, </w:t>
      </w:r>
      <w:proofErr w:type="spellStart"/>
      <w:r w:rsidRPr="001F1700">
        <w:t>Shuichi</w:t>
      </w:r>
      <w:proofErr w:type="spellEnd"/>
      <w:r>
        <w:t xml:space="preserve"> </w:t>
      </w:r>
      <w:proofErr w:type="spellStart"/>
      <w:r>
        <w:t>Furuya</w:t>
      </w:r>
      <w:proofErr w:type="spellEnd"/>
      <w:r>
        <w:t xml:space="preserve">, </w:t>
      </w:r>
      <w:r w:rsidRPr="00C1322D">
        <w:t xml:space="preserve">Marcia V. J. </w:t>
      </w:r>
      <w:proofErr w:type="spellStart"/>
      <w:r w:rsidRPr="00C1322D">
        <w:t>Kran</w:t>
      </w:r>
      <w:proofErr w:type="spellEnd"/>
      <w:r>
        <w:t xml:space="preserve">, </w:t>
      </w:r>
      <w:proofErr w:type="spellStart"/>
      <w:r w:rsidRPr="001F1700">
        <w:t>Kobauyah</w:t>
      </w:r>
      <w:proofErr w:type="spellEnd"/>
      <w:r w:rsidRPr="001F1700">
        <w:t xml:space="preserve"> </w:t>
      </w:r>
      <w:proofErr w:type="spellStart"/>
      <w:r w:rsidRPr="001F1700">
        <w:t>Tchamdja</w:t>
      </w:r>
      <w:proofErr w:type="spellEnd"/>
      <w:r>
        <w:t xml:space="preserve"> </w:t>
      </w:r>
      <w:proofErr w:type="spellStart"/>
      <w:r>
        <w:t>Kpatcha</w:t>
      </w:r>
      <w:proofErr w:type="spellEnd"/>
      <w:r>
        <w:t xml:space="preserve">, </w:t>
      </w:r>
      <w:r w:rsidRPr="001F1700">
        <w:t xml:space="preserve">Duncan </w:t>
      </w:r>
      <w:proofErr w:type="spellStart"/>
      <w:r w:rsidRPr="001F1700">
        <w:t>Laki</w:t>
      </w:r>
      <w:proofErr w:type="spellEnd"/>
      <w:r>
        <w:t xml:space="preserve"> </w:t>
      </w:r>
      <w:proofErr w:type="spellStart"/>
      <w:r>
        <w:t>Muhumuza</w:t>
      </w:r>
      <w:proofErr w:type="spellEnd"/>
      <w:r>
        <w:t xml:space="preserve">. Carlos Gómez Martínez, </w:t>
      </w:r>
      <w:proofErr w:type="spellStart"/>
      <w:r w:rsidRPr="001F1700">
        <w:t>Photini</w:t>
      </w:r>
      <w:proofErr w:type="spellEnd"/>
      <w:r w:rsidRPr="001F1700">
        <w:t xml:space="preserve"> </w:t>
      </w:r>
      <w:proofErr w:type="spellStart"/>
      <w:r w:rsidRPr="001F1700">
        <w:t>Pzartzis</w:t>
      </w:r>
      <w:proofErr w:type="spellEnd"/>
      <w:r w:rsidRPr="001F1700">
        <w:t xml:space="preserve">, Hernán Quezada, </w:t>
      </w:r>
      <w:proofErr w:type="spellStart"/>
      <w:r w:rsidRPr="001F1700">
        <w:t>Vasilka</w:t>
      </w:r>
      <w:proofErr w:type="spellEnd"/>
      <w:r w:rsidRPr="001F1700">
        <w:t xml:space="preserve"> </w:t>
      </w:r>
      <w:proofErr w:type="spellStart"/>
      <w:r w:rsidRPr="001F1700">
        <w:t>Sancin</w:t>
      </w:r>
      <w:proofErr w:type="spellEnd"/>
      <w:r w:rsidRPr="001F1700">
        <w:t>, Jos</w:t>
      </w:r>
      <w:r w:rsidRPr="000E15F6">
        <w:t>é M</w:t>
      </w:r>
      <w:r w:rsidRPr="001F1700">
        <w:t xml:space="preserve">anuel Santos </w:t>
      </w:r>
      <w:proofErr w:type="spellStart"/>
      <w:r w:rsidRPr="001F1700">
        <w:t>Pais</w:t>
      </w:r>
      <w:proofErr w:type="spellEnd"/>
      <w:r w:rsidRPr="001F1700">
        <w:t xml:space="preserve">, </w:t>
      </w:r>
      <w:proofErr w:type="spellStart"/>
      <w:r w:rsidRPr="001F1700">
        <w:t>Changrok</w:t>
      </w:r>
      <w:proofErr w:type="spellEnd"/>
      <w:r>
        <w:t xml:space="preserve"> </w:t>
      </w:r>
      <w:proofErr w:type="spellStart"/>
      <w:r>
        <w:t>Soh</w:t>
      </w:r>
      <w:proofErr w:type="spellEnd"/>
      <w:r>
        <w:t xml:space="preserve">, </w:t>
      </w:r>
      <w:r w:rsidRPr="001F1700">
        <w:t>Hélène</w:t>
      </w:r>
      <w:r>
        <w:t xml:space="preserve"> </w:t>
      </w:r>
      <w:proofErr w:type="spellStart"/>
      <w:r>
        <w:t>Tigroudja</w:t>
      </w:r>
      <w:proofErr w:type="spellEnd"/>
      <w:r>
        <w:t xml:space="preserve">, </w:t>
      </w:r>
      <w:proofErr w:type="spellStart"/>
      <w:r w:rsidRPr="001F1700">
        <w:t>Imeru</w:t>
      </w:r>
      <w:proofErr w:type="spellEnd"/>
      <w:r w:rsidRPr="001F1700">
        <w:t xml:space="preserve"> </w:t>
      </w:r>
      <w:proofErr w:type="spellStart"/>
      <w:r w:rsidRPr="001F1700">
        <w:t>Tamerat</w:t>
      </w:r>
      <w:proofErr w:type="spellEnd"/>
      <w:r>
        <w:t xml:space="preserve"> </w:t>
      </w:r>
      <w:proofErr w:type="spellStart"/>
      <w:r>
        <w:t>Yigezu</w:t>
      </w:r>
      <w:proofErr w:type="spellEnd"/>
      <w:r>
        <w:t xml:space="preserve"> and </w:t>
      </w:r>
      <w:proofErr w:type="spellStart"/>
      <w:r>
        <w:t>Gentian</w:t>
      </w:r>
      <w:proofErr w:type="spellEnd"/>
      <w:r>
        <w:t xml:space="preserve"> </w:t>
      </w:r>
      <w:proofErr w:type="spellStart"/>
      <w:r>
        <w:t>Zyberi</w:t>
      </w:r>
      <w:proofErr w:type="spellEnd"/>
    </w:p>
  </w:footnote>
  <w:footnote w:id="3">
    <w:p w14:paraId="71AB45C4" w14:textId="6CB45A13" w:rsidR="00C1322D" w:rsidRPr="00040F47" w:rsidRDefault="00C1322D">
      <w:pPr>
        <w:pStyle w:val="FootnoteText"/>
        <w:rPr>
          <w:lang w:val="en-GB"/>
        </w:rPr>
      </w:pPr>
      <w:r>
        <w:rPr>
          <w:rStyle w:val="FootnoteReference"/>
        </w:rPr>
        <w:tab/>
      </w:r>
      <w:r w:rsidRPr="00040F47">
        <w:rPr>
          <w:rStyle w:val="FootnoteReference"/>
          <w:sz w:val="20"/>
          <w:vertAlign w:val="baseline"/>
        </w:rPr>
        <w:t>***</w:t>
      </w:r>
      <w:r>
        <w:rPr>
          <w:rStyle w:val="FootnoteReference"/>
          <w:sz w:val="20"/>
          <w:vertAlign w:val="baseline"/>
        </w:rPr>
        <w:tab/>
      </w:r>
      <w:r w:rsidRPr="00C1322D">
        <w:t xml:space="preserve">El texto de </w:t>
      </w:r>
      <w:r w:rsidRPr="00040F47">
        <w:t>una</w:t>
      </w:r>
      <w:r w:rsidRPr="00C1322D">
        <w:t xml:space="preserve"> opinión separada de dos miembros del Comité, en el idioma de presentación (inglés), se adjunta como anexo a la presente </w:t>
      </w:r>
      <w:r w:rsidR="009C5A53">
        <w:t>decisión</w:t>
      </w:r>
      <w:r w:rsidRPr="00C1322D">
        <w:t>.</w:t>
      </w:r>
    </w:p>
  </w:footnote>
  <w:footnote w:id="4">
    <w:p w14:paraId="49D4B9E2" w14:textId="77777777" w:rsidR="00C705BF" w:rsidRPr="00355FF9" w:rsidRDefault="00C705BF" w:rsidP="00C705BF">
      <w:pPr>
        <w:pStyle w:val="FootnoteText"/>
      </w:pPr>
      <w:r>
        <w:tab/>
      </w:r>
      <w:r w:rsidRPr="00355FF9">
        <w:rPr>
          <w:rStyle w:val="FootnoteReference"/>
        </w:rPr>
        <w:footnoteRef/>
      </w:r>
      <w:r>
        <w:tab/>
      </w:r>
      <w:r w:rsidRPr="00355FF9">
        <w:t>La autora indica que el trastorno adaptativo mixto ocurre como reacción a un estresante externo (el entorno laboral) y que cuando se extiende en el tiempo, como ocurrió en su caso, se encuadra en un trastorno depresivo o del humor. La autora también indica que el Comandante Médico de su Unidad reconoció que efectivamente padecía un trastorno adaptativo mixto, tal como consta en un informe de 28 de noviembre de 2007, que aparece en el expediente administrativo. [Sin embargo, la autora no proporciona copia de dicho informe</w:t>
      </w:r>
      <w:r w:rsidR="00625EE7">
        <w:t>.</w:t>
      </w:r>
      <w:r w:rsidRPr="00355FF9">
        <w:t>]</w:t>
      </w:r>
    </w:p>
  </w:footnote>
  <w:footnote w:id="5">
    <w:p w14:paraId="00EBF2B7" w14:textId="77777777" w:rsidR="00C705BF" w:rsidRPr="00355FF9" w:rsidRDefault="00C705BF" w:rsidP="00C705BF">
      <w:pPr>
        <w:pStyle w:val="FootnoteText"/>
      </w:pPr>
      <w:r w:rsidRPr="00355FF9">
        <w:rPr>
          <w:rStyle w:val="Ninguno"/>
        </w:rPr>
        <w:tab/>
      </w:r>
      <w:r w:rsidRPr="00625EE7">
        <w:rPr>
          <w:rStyle w:val="Ninguno"/>
          <w:vertAlign w:val="superscript"/>
        </w:rPr>
        <w:footnoteRef/>
      </w:r>
      <w:r>
        <w:rPr>
          <w:rStyle w:val="Ninguno"/>
          <w:rFonts w:eastAsia="Arial Unicode MS"/>
        </w:rPr>
        <w:tab/>
      </w:r>
      <w:r w:rsidRPr="00355FF9">
        <w:rPr>
          <w:rStyle w:val="Ninguno"/>
          <w:rFonts w:eastAsia="Arial Unicode MS"/>
        </w:rPr>
        <w:t xml:space="preserve">El informe pericial no fue proporcionado por la autora. </w:t>
      </w:r>
    </w:p>
  </w:footnote>
  <w:footnote w:id="6">
    <w:p w14:paraId="76CB0143" w14:textId="77777777" w:rsidR="00C705BF" w:rsidRPr="00E83938" w:rsidRDefault="00C705BF" w:rsidP="00C705BF">
      <w:pPr>
        <w:pStyle w:val="FootnoteText"/>
      </w:pPr>
      <w:r>
        <w:tab/>
      </w:r>
      <w:r w:rsidRPr="00355FF9">
        <w:rPr>
          <w:rStyle w:val="FootnoteReference"/>
        </w:rPr>
        <w:footnoteRef/>
      </w:r>
      <w:r>
        <w:tab/>
      </w:r>
      <w:r w:rsidRPr="00355FF9">
        <w:t>Este artículo dispone que: “1. El personal militar de empleo (…) de tropa y marinería profesional, que no tenga adquirido el derecho a permanecer en las Fuerzas Armadas hasta la edad del retiro, mientras dure la relación de servicios de carácter no permanente, causará en su favor pensión de retiro ordinaria o extraordinaria de acuerdo con lo dispuesto en los precedentes Capítulos II y V, en el caso de que se inutilicen, siempre que la inutilidad se entienda en los términos regulados en el apartado 2 c) del artículo 28 de este Texto, pero referido a la incapacidad absoluta para cualquier profesión u oficio. 2. Este personal tendrá derecho, en los términos que reglamentariamente se determinen, a pensiones o indemnizaciones por una sola vez, en caso de que sufran lesiones permanentes no invalidantes, o no determinantes de inutilidad absoluta para toda profesión u oficio (…)”</w:t>
      </w:r>
      <w:r w:rsidR="00625EE7">
        <w:t>.</w:t>
      </w:r>
    </w:p>
  </w:footnote>
  <w:footnote w:id="7">
    <w:p w14:paraId="53B31F13" w14:textId="77777777" w:rsidR="00C705BF" w:rsidRPr="00EF790F" w:rsidRDefault="00C705BF" w:rsidP="00C705BF">
      <w:pPr>
        <w:pStyle w:val="FootnoteText"/>
        <w:jc w:val="both"/>
      </w:pPr>
      <w:r>
        <w:tab/>
      </w:r>
      <w:r>
        <w:rPr>
          <w:rStyle w:val="FootnoteReference"/>
        </w:rPr>
        <w:footnoteRef/>
      </w:r>
      <w:r>
        <w:tab/>
        <w:t>Cuyo artículo 1.2 establece que el Decreto aplica “</w:t>
      </w:r>
      <w:r w:rsidRPr="00EF790F">
        <w:t xml:space="preserve">cuando el accidente, lesión o enfermedad determinantes de la insuficiencia de condiciones psicofísicas se hayan producido a consecuencia de un </w:t>
      </w:r>
      <w:r w:rsidRPr="00625EE7">
        <w:t>hecho ocurrido durante el período</w:t>
      </w:r>
      <w:r w:rsidRPr="00EF790F">
        <w:t xml:space="preserve"> que comienza con la adquisición de la condición de </w:t>
      </w:r>
      <w:r>
        <w:t xml:space="preserve">(…) </w:t>
      </w:r>
      <w:r w:rsidRPr="00EF790F">
        <w:t>de militar pr</w:t>
      </w:r>
      <w:r>
        <w:t>ofesional de tropa y marinería (..)</w:t>
      </w:r>
      <w:r w:rsidRPr="00EF790F">
        <w:t xml:space="preserve"> hasta la finalización o resolución del compromiso por las causas pr</w:t>
      </w:r>
      <w:r>
        <w:t>evistas en la normativa vigente”</w:t>
      </w:r>
      <w:r w:rsidR="00625EE7">
        <w:t>.</w:t>
      </w:r>
    </w:p>
  </w:footnote>
  <w:footnote w:id="8">
    <w:p w14:paraId="19BC06FA" w14:textId="77777777" w:rsidR="00C705BF" w:rsidRPr="00AB6F1C" w:rsidRDefault="00C705BF" w:rsidP="00C705BF">
      <w:pPr>
        <w:pStyle w:val="FootnoteText"/>
      </w:pPr>
      <w:r>
        <w:tab/>
      </w:r>
      <w:r>
        <w:rPr>
          <w:rStyle w:val="FootnoteReference"/>
        </w:rPr>
        <w:footnoteRef/>
      </w:r>
      <w:r>
        <w:tab/>
        <w:t>La autora indica que su enfermedad quedó incluida</w:t>
      </w:r>
      <w:r w:rsidRPr="00AB6F1C">
        <w:t xml:space="preserve"> en el apartado 267, letra a), coeficiente 5, del Cuadro de Condiciones Psicofísicas que figura como anexo al Real Decreto 994/2001, que</w:t>
      </w:r>
      <w:r>
        <w:t xml:space="preserve"> indica que</w:t>
      </w:r>
      <w:r w:rsidRPr="00AB6F1C">
        <w:t xml:space="preserve"> la enfermedad es irreversible o de remota o incierta reversibilidad y constitutiva de una incapacidad total para el desempeño de las funciones propias de su Cuerpo, Escala, plaza o carrera, con un grado de </w:t>
      </w:r>
      <w:r>
        <w:t>discapacidad del 5%.</w:t>
      </w:r>
      <w:r w:rsidRPr="00AB6F1C">
        <w:t xml:space="preserve"> </w:t>
      </w:r>
    </w:p>
  </w:footnote>
  <w:footnote w:id="9">
    <w:p w14:paraId="18FF86F3" w14:textId="5DF071A1" w:rsidR="00C705BF" w:rsidRPr="00453BF1" w:rsidRDefault="00C705BF" w:rsidP="00C705BF">
      <w:pPr>
        <w:pStyle w:val="FootnoteText"/>
      </w:pPr>
      <w:r>
        <w:tab/>
      </w:r>
      <w:r w:rsidRPr="0065511F">
        <w:rPr>
          <w:rStyle w:val="FootnoteReference"/>
        </w:rPr>
        <w:footnoteRef/>
      </w:r>
      <w:r>
        <w:tab/>
      </w:r>
      <w:r w:rsidRPr="0065511F">
        <w:t xml:space="preserve">Ver nota al pie </w:t>
      </w:r>
      <w:r w:rsidR="00F13F93">
        <w:t>4</w:t>
      </w:r>
      <w:r w:rsidR="00625EE7">
        <w:t>.</w:t>
      </w:r>
    </w:p>
  </w:footnote>
  <w:footnote w:id="10">
    <w:p w14:paraId="1DE8DFD6" w14:textId="77777777" w:rsidR="00C705BF" w:rsidRPr="00E044FF" w:rsidRDefault="00C705BF" w:rsidP="00C705BF">
      <w:pPr>
        <w:pStyle w:val="FootnoteText"/>
      </w:pPr>
      <w:r>
        <w:tab/>
      </w:r>
      <w:r>
        <w:rPr>
          <w:rStyle w:val="FootnoteReference"/>
        </w:rPr>
        <w:footnoteRef/>
      </w:r>
      <w:r>
        <w:tab/>
        <w:t>Artículo 5 del Real Decreto 1186/2001</w:t>
      </w:r>
      <w:r w:rsidR="00625EE7">
        <w:t>.</w:t>
      </w:r>
    </w:p>
  </w:footnote>
  <w:footnote w:id="11">
    <w:p w14:paraId="09DFDA21" w14:textId="77777777" w:rsidR="00C705BF" w:rsidRPr="00AA0F26" w:rsidRDefault="00C705BF" w:rsidP="00C705BF">
      <w:pPr>
        <w:pStyle w:val="FootnoteText"/>
      </w:pPr>
      <w:r>
        <w:tab/>
      </w:r>
      <w:r>
        <w:rPr>
          <w:rStyle w:val="FootnoteReference"/>
        </w:rPr>
        <w:footnoteRef/>
      </w:r>
      <w:r w:rsidR="00625EE7">
        <w:tab/>
      </w:r>
      <w:r>
        <w:t xml:space="preserve">El artículo 6 del </w:t>
      </w:r>
      <w:r w:rsidRPr="00E11FD1">
        <w:t>Real Decreto 1186/2001</w:t>
      </w:r>
      <w:r>
        <w:t xml:space="preserve"> se refiere a incapacidades no absolutas para la profesión originadas en una “</w:t>
      </w:r>
      <w:r w:rsidRPr="00AA0F26">
        <w:t>inutilidad</w:t>
      </w:r>
      <w:r>
        <w:t xml:space="preserve"> [que]</w:t>
      </w:r>
      <w:r w:rsidRPr="00AA0F26">
        <w:t xml:space="preserve"> se haya producido en circunstancias ajenas al servicio o en acto de servici</w:t>
      </w:r>
      <w:r>
        <w:t xml:space="preserve">o o como consecuencia del mismo (…)”. El artículo 7 se refiere a las incapacidades leves como consecuencia de un acto del servicio o no. </w:t>
      </w:r>
      <w:r w:rsidRPr="00E11FD1">
        <w:t>[</w:t>
      </w:r>
      <w:r>
        <w:t>El monto de la pensión o indemnización varía dependiendo de si la enfermedad se produjo en acto de servicio o no</w:t>
      </w:r>
      <w:r w:rsidR="00625EE7">
        <w:t>.]</w:t>
      </w:r>
    </w:p>
  </w:footnote>
  <w:footnote w:id="12">
    <w:p w14:paraId="3ADEF4B6" w14:textId="70B8DBDD" w:rsidR="00C705BF" w:rsidRPr="00C54500" w:rsidRDefault="00C705BF" w:rsidP="00C705BF">
      <w:pPr>
        <w:pStyle w:val="FootnoteText"/>
      </w:pPr>
      <w:r>
        <w:tab/>
      </w:r>
      <w:r>
        <w:rPr>
          <w:rStyle w:val="FootnoteReference"/>
        </w:rPr>
        <w:footnoteRef/>
      </w:r>
      <w:r>
        <w:tab/>
        <w:t xml:space="preserve">La sentencia no indica quien solicitó o practicó dicho dictamen, solo indica que fue practicado el </w:t>
      </w:r>
      <w:r w:rsidRPr="005035CB">
        <w:t>27 de diciembre de 2011</w:t>
      </w:r>
      <w:r>
        <w:t xml:space="preserve">. </w:t>
      </w:r>
    </w:p>
  </w:footnote>
  <w:footnote w:id="13">
    <w:p w14:paraId="4CBE5D9B" w14:textId="77777777" w:rsidR="00C705BF" w:rsidRDefault="00C705BF" w:rsidP="00C705BF">
      <w:pPr>
        <w:pStyle w:val="FootnoteText"/>
      </w:pPr>
      <w:r>
        <w:rPr>
          <w:rStyle w:val="Ninguno"/>
          <w:rFonts w:eastAsia="Arial Unicode MS" w:cs="Arial Unicode MS"/>
        </w:rPr>
        <w:tab/>
      </w:r>
      <w:r>
        <w:rPr>
          <w:rStyle w:val="Ninguno"/>
          <w:u w:color="FF0000"/>
          <w:vertAlign w:val="superscript"/>
        </w:rPr>
        <w:footnoteRef/>
      </w:r>
      <w:r>
        <w:rPr>
          <w:rStyle w:val="Ninguno"/>
          <w:rFonts w:eastAsia="Arial Unicode MS" w:cs="Arial Unicode MS"/>
        </w:rPr>
        <w:tab/>
        <w:t xml:space="preserve">Hace referencia a la </w:t>
      </w:r>
      <w:r w:rsidRPr="00C705BF">
        <w:rPr>
          <w:rStyle w:val="Ninguno"/>
          <w:rFonts w:eastAsia="Arial Unicode MS"/>
          <w:lang w:val="es-ES"/>
        </w:rPr>
        <w:t>Observación</w:t>
      </w:r>
      <w:r>
        <w:rPr>
          <w:rStyle w:val="Ninguno"/>
          <w:rFonts w:eastAsia="Arial Unicode MS" w:cs="Arial Unicode MS"/>
        </w:rPr>
        <w:t xml:space="preserve"> General No. 32, </w:t>
      </w:r>
      <w:proofErr w:type="spellStart"/>
      <w:r>
        <w:rPr>
          <w:rStyle w:val="Ninguno"/>
          <w:rFonts w:eastAsia="Arial Unicode MS" w:cs="Arial Unicode MS"/>
        </w:rPr>
        <w:t>párrs</w:t>
      </w:r>
      <w:proofErr w:type="spellEnd"/>
      <w:r>
        <w:rPr>
          <w:rStyle w:val="Ninguno"/>
          <w:rFonts w:eastAsia="Arial Unicode MS" w:cs="Arial Unicode MS"/>
        </w:rPr>
        <w:t xml:space="preserve">. 2 a 4, 15 a 17 y 26.   </w:t>
      </w:r>
    </w:p>
  </w:footnote>
  <w:footnote w:id="14">
    <w:p w14:paraId="3E19E77D" w14:textId="77777777" w:rsidR="00C705BF" w:rsidRPr="006C0597" w:rsidRDefault="00C705BF" w:rsidP="00C705BF">
      <w:pPr>
        <w:pStyle w:val="FootnoteText"/>
      </w:pPr>
      <w:r>
        <w:rPr>
          <w:rStyle w:val="Ninguno"/>
          <w:rFonts w:eastAsia="Arial Unicode MS" w:cs="Arial Unicode MS"/>
        </w:rPr>
        <w:tab/>
      </w:r>
      <w:r>
        <w:rPr>
          <w:rStyle w:val="Ninguno"/>
          <w:u w:color="FF0000"/>
          <w:vertAlign w:val="superscript"/>
        </w:rPr>
        <w:footnoteRef/>
      </w:r>
      <w:r>
        <w:rPr>
          <w:rStyle w:val="Ninguno"/>
          <w:rFonts w:eastAsia="Arial Unicode MS" w:cs="Arial Unicode MS"/>
        </w:rPr>
        <w:tab/>
        <w:t xml:space="preserve">Entre otras, </w:t>
      </w:r>
      <w:r w:rsidRPr="00C705BF">
        <w:rPr>
          <w:rStyle w:val="Ninguno"/>
          <w:rFonts w:eastAsia="Arial Unicode MS"/>
          <w:lang w:val="es-ES"/>
        </w:rPr>
        <w:t>Arredondo</w:t>
      </w:r>
      <w:r w:rsidRPr="00AC666A">
        <w:rPr>
          <w:rStyle w:val="Ninguno"/>
          <w:rFonts w:eastAsia="Arial Unicode MS" w:cs="Arial Unicode MS"/>
          <w:i/>
        </w:rPr>
        <w:t xml:space="preserve"> c. Perú</w:t>
      </w:r>
      <w:r w:rsidRPr="00576BD7">
        <w:rPr>
          <w:rStyle w:val="Ninguno"/>
          <w:rFonts w:eastAsia="Arial Unicode MS" w:cs="Arial Unicode MS"/>
        </w:rPr>
        <w:t>, (</w:t>
      </w:r>
      <w:r w:rsidRPr="00576BD7">
        <w:rPr>
          <w:rFonts w:eastAsia="Arial Unicode MS"/>
        </w:rPr>
        <w:t>CCPR/C/69/D/688/1996</w:t>
      </w:r>
      <w:r>
        <w:rPr>
          <w:rFonts w:eastAsia="Arial Unicode MS"/>
        </w:rPr>
        <w:t>)</w:t>
      </w:r>
      <w:r>
        <w:rPr>
          <w:rStyle w:val="Ninguno"/>
          <w:rFonts w:eastAsia="Arial Unicode MS" w:cs="Arial Unicode MS"/>
        </w:rPr>
        <w:t xml:space="preserve">; </w:t>
      </w:r>
      <w:proofErr w:type="spellStart"/>
      <w:r w:rsidRPr="00AC666A">
        <w:rPr>
          <w:rStyle w:val="Ninguno"/>
          <w:rFonts w:eastAsia="Arial Unicode MS" w:cs="Arial Unicode MS"/>
          <w:i/>
        </w:rPr>
        <w:t>Gridin</w:t>
      </w:r>
      <w:proofErr w:type="spellEnd"/>
      <w:r w:rsidRPr="00AC666A">
        <w:rPr>
          <w:rStyle w:val="Ninguno"/>
          <w:rFonts w:eastAsia="Arial Unicode MS" w:cs="Arial Unicode MS"/>
          <w:i/>
        </w:rPr>
        <w:t xml:space="preserve"> c.</w:t>
      </w:r>
      <w:r>
        <w:rPr>
          <w:rStyle w:val="Ninguno"/>
          <w:rFonts w:eastAsia="Arial Unicode MS" w:cs="Arial Unicode MS"/>
          <w:i/>
        </w:rPr>
        <w:t xml:space="preserve"> Federación </w:t>
      </w:r>
      <w:r w:rsidRPr="00AC666A">
        <w:rPr>
          <w:rStyle w:val="Ninguno"/>
          <w:rFonts w:eastAsia="Arial Unicode MS" w:cs="Arial Unicode MS"/>
          <w:i/>
        </w:rPr>
        <w:t>Rusa</w:t>
      </w:r>
      <w:r>
        <w:rPr>
          <w:rStyle w:val="Ninguno"/>
          <w:rFonts w:eastAsia="Arial Unicode MS" w:cs="Arial Unicode MS"/>
          <w:i/>
        </w:rPr>
        <w:t xml:space="preserve">, </w:t>
      </w:r>
      <w:r w:rsidRPr="00576BD7">
        <w:rPr>
          <w:rStyle w:val="Ninguno"/>
          <w:rFonts w:eastAsia="Arial Unicode MS" w:cs="Arial Unicode MS"/>
        </w:rPr>
        <w:t>(CCPR/C/69/D/770/1997);</w:t>
      </w:r>
      <w:r w:rsidRPr="00AC666A">
        <w:rPr>
          <w:rFonts w:eastAsia="Arial Unicode MS"/>
          <w:sz w:val="27"/>
          <w:szCs w:val="27"/>
          <w:shd w:val="clear" w:color="auto" w:fill="FFFFFF"/>
          <w:lang w:eastAsia="en-US"/>
        </w:rPr>
        <w:t xml:space="preserve"> </w:t>
      </w:r>
      <w:r w:rsidRPr="00AC666A">
        <w:rPr>
          <w:rStyle w:val="Ninguno"/>
          <w:rFonts w:eastAsia="Arial Unicode MS" w:cs="Arial Unicode MS"/>
          <w:i/>
        </w:rPr>
        <w:t>Ben Said c. Noruega</w:t>
      </w:r>
      <w:r>
        <w:rPr>
          <w:rStyle w:val="Ninguno"/>
          <w:rFonts w:eastAsia="Arial Unicode MS" w:cs="Arial Unicode MS"/>
          <w:i/>
        </w:rPr>
        <w:t xml:space="preserve">, </w:t>
      </w:r>
      <w:r w:rsidRPr="00576BD7">
        <w:rPr>
          <w:rStyle w:val="Ninguno"/>
          <w:rFonts w:eastAsia="Arial Unicode MS" w:cs="Arial Unicode MS"/>
        </w:rPr>
        <w:t>(</w:t>
      </w:r>
      <w:r w:rsidRPr="00576BD7">
        <w:rPr>
          <w:rFonts w:eastAsia="Arial Unicode MS"/>
        </w:rPr>
        <w:t>CCPR/C/68/D/767/1997</w:t>
      </w:r>
      <w:r>
        <w:rPr>
          <w:rFonts w:eastAsia="Arial Unicode MS"/>
        </w:rPr>
        <w:t>)</w:t>
      </w:r>
      <w:r w:rsidRPr="00576BD7">
        <w:rPr>
          <w:rFonts w:eastAsia="Arial Unicode MS"/>
          <w:i/>
        </w:rPr>
        <w:t>;</w:t>
      </w:r>
      <w:r>
        <w:rPr>
          <w:rStyle w:val="Ninguno"/>
          <w:rFonts w:eastAsia="Arial Unicode MS" w:cs="Arial Unicode MS"/>
        </w:rPr>
        <w:t xml:space="preserve"> y </w:t>
      </w:r>
      <w:proofErr w:type="spellStart"/>
      <w:r>
        <w:rPr>
          <w:rStyle w:val="Ninguno"/>
          <w:rFonts w:eastAsia="Arial Unicode MS" w:cs="Arial Unicode MS"/>
          <w:i/>
        </w:rPr>
        <w:t>Sem</w:t>
      </w:r>
      <w:r w:rsidRPr="00AC666A">
        <w:rPr>
          <w:rStyle w:val="Ninguno"/>
          <w:rFonts w:eastAsia="Arial Unicode MS" w:cs="Arial Unicode MS"/>
          <w:i/>
        </w:rPr>
        <w:t>ey</w:t>
      </w:r>
      <w:proofErr w:type="spellEnd"/>
      <w:r w:rsidRPr="00AC666A">
        <w:rPr>
          <w:rStyle w:val="Ninguno"/>
          <w:rFonts w:eastAsia="Arial Unicode MS" w:cs="Arial Unicode MS"/>
          <w:i/>
        </w:rPr>
        <w:t xml:space="preserve"> </w:t>
      </w:r>
      <w:proofErr w:type="spellStart"/>
      <w:r w:rsidRPr="00AC666A">
        <w:rPr>
          <w:rStyle w:val="Ninguno"/>
          <w:rFonts w:eastAsia="Arial Unicode MS" w:cs="Arial Unicode MS"/>
          <w:i/>
        </w:rPr>
        <w:t>Joe</w:t>
      </w:r>
      <w:proofErr w:type="spellEnd"/>
      <w:r w:rsidRPr="00AC666A">
        <w:rPr>
          <w:rStyle w:val="Ninguno"/>
          <w:rFonts w:eastAsia="Arial Unicode MS" w:cs="Arial Unicode MS"/>
          <w:i/>
        </w:rPr>
        <w:t xml:space="preserve"> Johnson c. España</w:t>
      </w:r>
      <w:r>
        <w:rPr>
          <w:rStyle w:val="Ninguno"/>
          <w:rFonts w:eastAsia="Arial Unicode MS" w:cs="Arial Unicode MS"/>
          <w:i/>
        </w:rPr>
        <w:t xml:space="preserve">, </w:t>
      </w:r>
      <w:r>
        <w:rPr>
          <w:rStyle w:val="Ninguno"/>
          <w:rFonts w:eastAsia="Arial Unicode MS" w:cs="Arial Unicode MS"/>
        </w:rPr>
        <w:t>(CCPR/C/86/D/</w:t>
      </w:r>
      <w:r w:rsidRPr="00C705BF">
        <w:rPr>
          <w:rStyle w:val="Ninguno"/>
          <w:rFonts w:eastAsia="Arial Unicode MS"/>
          <w:lang w:val="es-ES"/>
        </w:rPr>
        <w:t>1102</w:t>
      </w:r>
      <w:r>
        <w:rPr>
          <w:rStyle w:val="Ninguno"/>
          <w:rFonts w:eastAsia="Arial Unicode MS" w:cs="Arial Unicode MS"/>
        </w:rPr>
        <w:t>/2002).</w:t>
      </w:r>
    </w:p>
  </w:footnote>
  <w:footnote w:id="15">
    <w:p w14:paraId="02D27AA2" w14:textId="77777777" w:rsidR="00C705BF" w:rsidRPr="00AB247F" w:rsidRDefault="00C705BF" w:rsidP="00C705BF">
      <w:pPr>
        <w:pStyle w:val="FootnoteText"/>
      </w:pPr>
      <w:r>
        <w:tab/>
      </w:r>
      <w:r>
        <w:rPr>
          <w:rStyle w:val="FootnoteReference"/>
        </w:rPr>
        <w:footnoteRef/>
      </w:r>
      <w:r>
        <w:tab/>
      </w:r>
      <w:r w:rsidRPr="00AB247F">
        <w:t>La autora hace referencia a la Observación General no. 18 del Comité</w:t>
      </w:r>
      <w:r>
        <w:t>, párr. 1, 12</w:t>
      </w:r>
      <w:r w:rsidR="00625EE7">
        <w:t>.</w:t>
      </w:r>
    </w:p>
  </w:footnote>
  <w:footnote w:id="16">
    <w:p w14:paraId="5FB7529F" w14:textId="77777777" w:rsidR="00C705BF" w:rsidRPr="0066317D" w:rsidRDefault="00C705BF" w:rsidP="00C705BF">
      <w:pPr>
        <w:pStyle w:val="FootnoteText"/>
      </w:pPr>
      <w:r>
        <w:tab/>
      </w:r>
      <w:r>
        <w:rPr>
          <w:rStyle w:val="FootnoteReference"/>
        </w:rPr>
        <w:footnoteRef/>
      </w:r>
      <w:r>
        <w:tab/>
        <w:t>E</w:t>
      </w:r>
      <w:r w:rsidRPr="004A4EB1">
        <w:t>ntre otras,</w:t>
      </w:r>
      <w:r>
        <w:t xml:space="preserve"> </w:t>
      </w:r>
      <w:proofErr w:type="spellStart"/>
      <w:r w:rsidRPr="004A4EB1">
        <w:rPr>
          <w:i/>
        </w:rPr>
        <w:t>Sprenger</w:t>
      </w:r>
      <w:proofErr w:type="spellEnd"/>
      <w:r w:rsidRPr="004A4EB1">
        <w:rPr>
          <w:i/>
        </w:rPr>
        <w:t xml:space="preserve"> c. Pa</w:t>
      </w:r>
      <w:r>
        <w:rPr>
          <w:i/>
        </w:rPr>
        <w:t>íses B</w:t>
      </w:r>
      <w:r w:rsidRPr="004A4EB1">
        <w:rPr>
          <w:i/>
        </w:rPr>
        <w:t>ajos</w:t>
      </w:r>
      <w:r>
        <w:rPr>
          <w:i/>
        </w:rPr>
        <w:t>,</w:t>
      </w:r>
      <w:r w:rsidRPr="0066317D">
        <w:t xml:space="preserve"> </w:t>
      </w:r>
      <w:r>
        <w:t>(</w:t>
      </w:r>
      <w:r w:rsidRPr="0066317D">
        <w:t>CCPR/C/44/D/395/1990</w:t>
      </w:r>
      <w:r>
        <w:t xml:space="preserve">); </w:t>
      </w:r>
      <w:proofErr w:type="spellStart"/>
      <w:r w:rsidRPr="004A4EB1">
        <w:rPr>
          <w:i/>
        </w:rPr>
        <w:t>Foin</w:t>
      </w:r>
      <w:proofErr w:type="spellEnd"/>
      <w:r w:rsidRPr="004A4EB1">
        <w:rPr>
          <w:i/>
        </w:rPr>
        <w:t xml:space="preserve"> c. Francia</w:t>
      </w:r>
      <w:r>
        <w:rPr>
          <w:i/>
        </w:rPr>
        <w:t>,</w:t>
      </w:r>
      <w:r w:rsidRPr="0066317D">
        <w:t xml:space="preserve"> </w:t>
      </w:r>
      <w:r>
        <w:t>(</w:t>
      </w:r>
      <w:r w:rsidRPr="0066317D">
        <w:t>CCPR/C/67/D/666/1995</w:t>
      </w:r>
      <w:r>
        <w:t xml:space="preserve">); </w:t>
      </w:r>
      <w:proofErr w:type="spellStart"/>
      <w:r w:rsidRPr="004A4EB1">
        <w:rPr>
          <w:i/>
        </w:rPr>
        <w:t>Haraldsson</w:t>
      </w:r>
      <w:proofErr w:type="spellEnd"/>
      <w:r w:rsidRPr="004A4EB1">
        <w:rPr>
          <w:i/>
        </w:rPr>
        <w:t xml:space="preserve"> y </w:t>
      </w:r>
      <w:proofErr w:type="spellStart"/>
      <w:r w:rsidRPr="004A4EB1">
        <w:rPr>
          <w:i/>
        </w:rPr>
        <w:t>Sveinsson</w:t>
      </w:r>
      <w:proofErr w:type="spellEnd"/>
      <w:r w:rsidRPr="004A4EB1">
        <w:rPr>
          <w:i/>
        </w:rPr>
        <w:t xml:space="preserve"> c. Islandia</w:t>
      </w:r>
      <w:r>
        <w:rPr>
          <w:i/>
        </w:rPr>
        <w:t xml:space="preserve">, </w:t>
      </w:r>
      <w:r w:rsidRPr="00C35D35">
        <w:t>(</w:t>
      </w:r>
      <w:r>
        <w:t>CCPR/C/91/D/1306/2004)</w:t>
      </w:r>
      <w:r w:rsidR="00625EE7">
        <w:t>.</w:t>
      </w:r>
    </w:p>
  </w:footnote>
  <w:footnote w:id="17">
    <w:p w14:paraId="16E97954" w14:textId="7ED799B4" w:rsidR="00C705BF" w:rsidRPr="000517A3" w:rsidRDefault="00C705BF" w:rsidP="00C705BF">
      <w:pPr>
        <w:pStyle w:val="FootnoteText"/>
      </w:pPr>
      <w:r>
        <w:tab/>
      </w:r>
      <w:r>
        <w:rPr>
          <w:rStyle w:val="FootnoteReference"/>
        </w:rPr>
        <w:footnoteRef/>
      </w:r>
      <w:r>
        <w:tab/>
        <w:t xml:space="preserve">Ver nota al pie </w:t>
      </w:r>
      <w:r w:rsidR="00962785">
        <w:t>4</w:t>
      </w:r>
      <w:r w:rsidR="00625EE7">
        <w:t>.</w:t>
      </w:r>
    </w:p>
  </w:footnote>
  <w:footnote w:id="18">
    <w:p w14:paraId="15E054A6" w14:textId="77777777" w:rsidR="00C705BF" w:rsidRPr="00B337EB" w:rsidRDefault="00C705BF" w:rsidP="00C705BF">
      <w:pPr>
        <w:pStyle w:val="FootnoteText"/>
      </w:pPr>
      <w:r>
        <w:tab/>
      </w:r>
      <w:r>
        <w:rPr>
          <w:rStyle w:val="FootnoteReference"/>
        </w:rPr>
        <w:footnoteRef/>
      </w:r>
      <w:r>
        <w:tab/>
        <w:t>La autora hace referencia al texto Refundido de la Ley de Seguridad Social de las Fuerzas Armadas, Decreto Legislativo 1/200, artículos 3, 8 y al Texto Refundido de la Ley sobre Seguridad Social de los Funcionarios Civiles del Estado, Decreto Legisl</w:t>
      </w:r>
      <w:r w:rsidR="00625EE7">
        <w:t>ativo 4/2000, artículos 11 y 12.</w:t>
      </w:r>
    </w:p>
  </w:footnote>
  <w:footnote w:id="19">
    <w:p w14:paraId="5A1C2292" w14:textId="77777777" w:rsidR="00C705BF" w:rsidRPr="0019360D" w:rsidRDefault="00C705BF" w:rsidP="00C705BF">
      <w:pPr>
        <w:pStyle w:val="FootnoteText"/>
      </w:pPr>
      <w:r>
        <w:tab/>
      </w:r>
      <w:r>
        <w:rPr>
          <w:rStyle w:val="FootnoteReference"/>
        </w:rPr>
        <w:footnoteRef/>
      </w:r>
      <w:r>
        <w:tab/>
        <w:t>Artículo 128</w:t>
      </w:r>
      <w:r w:rsidR="00625EE7">
        <w:t>.</w:t>
      </w:r>
    </w:p>
  </w:footnote>
  <w:footnote w:id="20">
    <w:p w14:paraId="046712B6" w14:textId="77777777" w:rsidR="00C705BF" w:rsidRPr="0019360D" w:rsidRDefault="00C705BF" w:rsidP="00C705BF">
      <w:pPr>
        <w:pStyle w:val="FootnoteText"/>
      </w:pPr>
      <w:r>
        <w:tab/>
      </w:r>
      <w:r>
        <w:rPr>
          <w:rStyle w:val="FootnoteReference"/>
        </w:rPr>
        <w:footnoteRef/>
      </w:r>
      <w:r>
        <w:tab/>
        <w:t>Artículo 136.1</w:t>
      </w:r>
      <w:r w:rsidR="00625EE7">
        <w:t>.</w:t>
      </w:r>
    </w:p>
  </w:footnote>
  <w:footnote w:id="21">
    <w:p w14:paraId="0145712A" w14:textId="77777777" w:rsidR="00C705BF" w:rsidRDefault="00C705BF" w:rsidP="00C705BF">
      <w:pPr>
        <w:pStyle w:val="FootnoteText"/>
        <w:jc w:val="both"/>
      </w:pPr>
      <w:r>
        <w:rPr>
          <w:rStyle w:val="Ninguno"/>
        </w:rPr>
        <w:tab/>
      </w:r>
      <w:r>
        <w:rPr>
          <w:rStyle w:val="Ninguno"/>
          <w:u w:color="FF0000"/>
          <w:vertAlign w:val="superscript"/>
        </w:rPr>
        <w:footnoteRef/>
      </w:r>
      <w:r>
        <w:rPr>
          <w:rStyle w:val="Ninguno"/>
        </w:rPr>
        <w:tab/>
      </w:r>
      <w:r w:rsidRPr="00C705BF">
        <w:t xml:space="preserve">Hace referencia a </w:t>
      </w:r>
      <w:proofErr w:type="spellStart"/>
      <w:r w:rsidRPr="00C705BF">
        <w:t>Kehler</w:t>
      </w:r>
      <w:proofErr w:type="spellEnd"/>
      <w:r w:rsidRPr="00C705BF">
        <w:t xml:space="preserve"> c. Alemania, (CCPR/C/71/D/834/1998); </w:t>
      </w:r>
      <w:proofErr w:type="spellStart"/>
      <w:r w:rsidRPr="00C705BF">
        <w:t>Alexandrovitch</w:t>
      </w:r>
      <w:proofErr w:type="spellEnd"/>
      <w:r w:rsidRPr="00C705BF">
        <w:t xml:space="preserve"> </w:t>
      </w:r>
      <w:proofErr w:type="spellStart"/>
      <w:r w:rsidRPr="00C705BF">
        <w:t>Dugin</w:t>
      </w:r>
      <w:proofErr w:type="spellEnd"/>
      <w:r w:rsidRPr="00C705BF">
        <w:t xml:space="preserve"> c. Federación de Rusia (CCPR/C/81/D/815/1998); </w:t>
      </w:r>
      <w:proofErr w:type="spellStart"/>
      <w:r w:rsidRPr="00C705BF">
        <w:t>Fillacier</w:t>
      </w:r>
      <w:proofErr w:type="spellEnd"/>
      <w:r w:rsidRPr="00C705BF">
        <w:t xml:space="preserve"> c. Francia,</w:t>
      </w:r>
      <w:r w:rsidRPr="00C705BF">
        <w:rPr>
          <w:rFonts w:eastAsia="Arial Unicode MS"/>
        </w:rPr>
        <w:t xml:space="preserve"> (</w:t>
      </w:r>
      <w:r w:rsidRPr="00C705BF">
        <w:t>CCPR/C/86/D/1434/2005).</w:t>
      </w:r>
      <w:r>
        <w:rPr>
          <w:rStyle w:val="Ninguno"/>
        </w:rPr>
        <w:t xml:space="preserve"> </w:t>
      </w:r>
    </w:p>
  </w:footnote>
  <w:footnote w:id="22">
    <w:p w14:paraId="60130FB4" w14:textId="6B6A7AF3" w:rsidR="00C705BF" w:rsidRPr="005F1C98" w:rsidRDefault="00713A50" w:rsidP="00C705BF">
      <w:pPr>
        <w:pStyle w:val="FootnoteText"/>
      </w:pPr>
      <w:r>
        <w:tab/>
      </w:r>
      <w:r w:rsidR="00C705BF">
        <w:rPr>
          <w:rStyle w:val="FootnoteReference"/>
        </w:rPr>
        <w:footnoteRef/>
      </w:r>
      <w:r>
        <w:tab/>
      </w:r>
      <w:r w:rsidR="0053311E" w:rsidRPr="0053311E">
        <w:t>El Estado parte no proporciona ninguna información sobre el razonamiento utilizado por la Junta Médico Pericial para cambiar la calificación de la incapacidad de la autora.</w:t>
      </w:r>
    </w:p>
  </w:footnote>
  <w:footnote w:id="23">
    <w:p w14:paraId="564E561D" w14:textId="77777777" w:rsidR="00C705BF" w:rsidRPr="006032F5" w:rsidRDefault="00713A50" w:rsidP="00C705BF">
      <w:pPr>
        <w:pStyle w:val="FootnoteText"/>
      </w:pPr>
      <w:r>
        <w:tab/>
      </w:r>
      <w:r w:rsidR="00C705BF">
        <w:rPr>
          <w:rStyle w:val="FootnoteReference"/>
        </w:rPr>
        <w:footnoteRef/>
      </w:r>
      <w:r>
        <w:tab/>
      </w:r>
      <w:r w:rsidR="00C705BF">
        <w:t>El Estado parte aporta dos documentos del Ministerio de Defensa de 30 de octubre y 10 de diciembre de 2014 que indican que la sentencia de</w:t>
      </w:r>
      <w:r w:rsidR="00C705BF" w:rsidRPr="006032F5">
        <w:t xml:space="preserve"> 21 de mayo</w:t>
      </w:r>
      <w:r w:rsidR="00C705BF">
        <w:t xml:space="preserve"> completada por el auto de 27 de diciembre del mismo año “se tiene por ejecutada” y que no procede llevar a cabo ninguna actuación adicional para su ejecución.</w:t>
      </w:r>
    </w:p>
  </w:footnote>
  <w:footnote w:id="24">
    <w:p w14:paraId="164A8728" w14:textId="77777777" w:rsidR="00C705BF" w:rsidRPr="00B224B7" w:rsidRDefault="00713A50" w:rsidP="00C705BF">
      <w:pPr>
        <w:pStyle w:val="FootnoteText"/>
      </w:pPr>
      <w:r>
        <w:tab/>
      </w:r>
      <w:r w:rsidR="00C705BF">
        <w:rPr>
          <w:rStyle w:val="FootnoteReference"/>
        </w:rPr>
        <w:footnoteRef/>
      </w:r>
      <w:r>
        <w:tab/>
      </w:r>
      <w:r w:rsidR="00C705BF">
        <w:t>Ver para. 2.3</w:t>
      </w:r>
      <w:r w:rsidR="00625EE7">
        <w:t>.</w:t>
      </w:r>
    </w:p>
  </w:footnote>
  <w:footnote w:id="25">
    <w:p w14:paraId="767B6702" w14:textId="77777777" w:rsidR="00C705BF" w:rsidRPr="008A66C8" w:rsidRDefault="00713A50" w:rsidP="00C705BF">
      <w:pPr>
        <w:pStyle w:val="FootnoteText"/>
      </w:pPr>
      <w:r>
        <w:tab/>
      </w:r>
      <w:r w:rsidR="00C705BF">
        <w:rPr>
          <w:rStyle w:val="FootnoteReference"/>
        </w:rPr>
        <w:footnoteRef/>
      </w:r>
      <w:r>
        <w:tab/>
      </w:r>
      <w:r w:rsidR="00C705BF">
        <w:t xml:space="preserve">El Estado parte indica que dicha </w:t>
      </w:r>
      <w:r w:rsidR="00C705BF" w:rsidRPr="008A66C8">
        <w:t>competencia correspondería al Tribunal Constitucional</w:t>
      </w:r>
      <w:r w:rsidR="00625EE7">
        <w:t>.</w:t>
      </w:r>
    </w:p>
  </w:footnote>
  <w:footnote w:id="26">
    <w:p w14:paraId="772BAB1D" w14:textId="77777777" w:rsidR="00C705BF" w:rsidRPr="0066317D" w:rsidRDefault="00713A50" w:rsidP="00C705BF">
      <w:pPr>
        <w:pStyle w:val="FootnoteText"/>
        <w:rPr>
          <w:rStyle w:val="Ninguno"/>
          <w:rFonts w:eastAsia="Arial Unicode MS" w:cs="Arial Unicode MS"/>
        </w:rPr>
      </w:pPr>
      <w:r>
        <w:rPr>
          <w:rStyle w:val="Ninguno"/>
          <w:rFonts w:eastAsia="Arial Unicode MS" w:cs="Arial Unicode MS"/>
        </w:rPr>
        <w:tab/>
      </w:r>
      <w:r w:rsidR="00C705BF">
        <w:rPr>
          <w:rStyle w:val="Ninguno"/>
          <w:vertAlign w:val="superscript"/>
        </w:rPr>
        <w:footnoteRef/>
      </w:r>
      <w:r>
        <w:rPr>
          <w:rStyle w:val="Ninguno"/>
          <w:rFonts w:eastAsia="Arial Unicode MS" w:cs="Arial Unicode MS"/>
        </w:rPr>
        <w:tab/>
      </w:r>
      <w:r w:rsidR="00C705BF">
        <w:rPr>
          <w:rStyle w:val="Ninguno"/>
          <w:rFonts w:eastAsia="Arial Unicode MS" w:cs="Arial Unicode MS"/>
        </w:rPr>
        <w:t xml:space="preserve">El Estado parte hace referencia a </w:t>
      </w:r>
      <w:r w:rsidR="00C705BF" w:rsidRPr="003F0393">
        <w:rPr>
          <w:rStyle w:val="Ninguno"/>
          <w:rFonts w:eastAsia="Arial Unicode MS" w:cs="Arial Unicode MS"/>
          <w:i/>
        </w:rPr>
        <w:t>V.S c. Lituania</w:t>
      </w:r>
      <w:r w:rsidR="00C705BF">
        <w:rPr>
          <w:rStyle w:val="Ninguno"/>
          <w:rFonts w:eastAsia="Arial Unicode MS" w:cs="Arial Unicode MS"/>
        </w:rPr>
        <w:t>, (CCPR/C/114/D/2437/2014).</w:t>
      </w:r>
    </w:p>
  </w:footnote>
  <w:footnote w:id="27">
    <w:p w14:paraId="61506D3F" w14:textId="6EFBAB05" w:rsidR="00C705BF" w:rsidRPr="003015C3" w:rsidRDefault="00713A50" w:rsidP="00C705BF">
      <w:pPr>
        <w:pStyle w:val="FootnoteText"/>
      </w:pPr>
      <w:r>
        <w:tab/>
      </w:r>
      <w:r w:rsidR="00C705BF">
        <w:rPr>
          <w:rStyle w:val="FootnoteReference"/>
        </w:rPr>
        <w:footnoteRef/>
      </w:r>
      <w:r>
        <w:tab/>
      </w:r>
      <w:r w:rsidR="00C705BF">
        <w:t xml:space="preserve">Ver </w:t>
      </w:r>
      <w:proofErr w:type="spellStart"/>
      <w:r w:rsidR="00C705BF">
        <w:t>párrs</w:t>
      </w:r>
      <w:proofErr w:type="spellEnd"/>
      <w:r w:rsidR="00C705BF">
        <w:t>. 6.3 y 6.4</w:t>
      </w:r>
      <w:r w:rsidR="00625EE7">
        <w:t>.</w:t>
      </w:r>
    </w:p>
  </w:footnote>
  <w:footnote w:id="28">
    <w:p w14:paraId="657BF183" w14:textId="77777777" w:rsidR="00C705BF" w:rsidRDefault="00713A50" w:rsidP="00C705BF">
      <w:pPr>
        <w:pStyle w:val="FootnoteText"/>
        <w:jc w:val="both"/>
      </w:pPr>
      <w:r>
        <w:rPr>
          <w:rStyle w:val="Ninguno"/>
        </w:rPr>
        <w:tab/>
      </w:r>
      <w:r w:rsidR="00C705BF">
        <w:rPr>
          <w:rStyle w:val="Ninguno"/>
          <w:vertAlign w:val="superscript"/>
        </w:rPr>
        <w:footnoteRef/>
      </w:r>
      <w:r>
        <w:rPr>
          <w:rStyle w:val="Ninguno"/>
        </w:rPr>
        <w:tab/>
      </w:r>
      <w:r w:rsidR="00C705BF">
        <w:rPr>
          <w:rStyle w:val="Ninguno"/>
        </w:rPr>
        <w:t xml:space="preserve">El Estado parte hace referencia a la Observación General no. 18 del Comité, párrafos 8 y 13, que </w:t>
      </w:r>
      <w:r w:rsidR="00625EE7">
        <w:rPr>
          <w:rStyle w:val="Ninguno"/>
        </w:rPr>
        <w:t>refieren respectivamente que: “</w:t>
      </w:r>
      <w:r w:rsidR="00C705BF">
        <w:rPr>
          <w:rStyle w:val="Ninguno"/>
        </w:rPr>
        <w:t>(…) el goce en condiciones de igualdad de los derechos y libertades no significa identidad de trato en toda circunstancia” y “el Comité observa que no toda diferenciación de trato constituirá una discriminación si los criterios para tal diferenciación son razonables, objetivos y lo que se persigue es lograr un propósito legítimo en virtud del Pacto”.</w:t>
      </w:r>
    </w:p>
  </w:footnote>
  <w:footnote w:id="29">
    <w:p w14:paraId="5EED1072" w14:textId="47DCCAA3" w:rsidR="00C705BF" w:rsidRDefault="00713A50" w:rsidP="00C705BF">
      <w:pPr>
        <w:pStyle w:val="FootnoteText"/>
        <w:jc w:val="both"/>
      </w:pPr>
      <w:r>
        <w:rPr>
          <w:rStyle w:val="Ninguno"/>
        </w:rPr>
        <w:tab/>
      </w:r>
      <w:r w:rsidR="00C705BF">
        <w:rPr>
          <w:rStyle w:val="Ninguno"/>
          <w:vertAlign w:val="superscript"/>
        </w:rPr>
        <w:footnoteRef/>
      </w:r>
      <w:r>
        <w:rPr>
          <w:rStyle w:val="Ninguno"/>
        </w:rPr>
        <w:tab/>
      </w:r>
      <w:r w:rsidR="00C705BF">
        <w:rPr>
          <w:rStyle w:val="Ninguno"/>
        </w:rPr>
        <w:t xml:space="preserve">Ver nota al pie </w:t>
      </w:r>
      <w:r w:rsidR="00675EE1">
        <w:rPr>
          <w:rStyle w:val="Ninguno"/>
        </w:rPr>
        <w:t>3</w:t>
      </w:r>
      <w:r w:rsidR="00625EE7">
        <w:rPr>
          <w:rStyle w:val="Ninguno"/>
        </w:rPr>
        <w:t>.</w:t>
      </w:r>
    </w:p>
  </w:footnote>
  <w:footnote w:id="30">
    <w:p w14:paraId="479CC7CB" w14:textId="77777777" w:rsidR="00C705BF" w:rsidRPr="003761E6" w:rsidRDefault="00713A50" w:rsidP="00C705BF">
      <w:pPr>
        <w:pStyle w:val="FootnoteText"/>
      </w:pPr>
      <w:r>
        <w:tab/>
      </w:r>
      <w:r w:rsidR="00C705BF">
        <w:rPr>
          <w:rStyle w:val="FootnoteReference"/>
        </w:rPr>
        <w:footnoteRef/>
      </w:r>
      <w:r>
        <w:tab/>
      </w:r>
      <w:proofErr w:type="spellStart"/>
      <w:r w:rsidR="00C705BF">
        <w:t>Ibidem</w:t>
      </w:r>
      <w:proofErr w:type="spellEnd"/>
      <w:r w:rsidR="00625EE7">
        <w:t>.</w:t>
      </w:r>
    </w:p>
  </w:footnote>
  <w:footnote w:id="31">
    <w:p w14:paraId="64A9A38A" w14:textId="77777777" w:rsidR="00C705BF" w:rsidRPr="00B22CA4" w:rsidRDefault="00713A50" w:rsidP="00713A50">
      <w:pPr>
        <w:pStyle w:val="FootnoteText"/>
      </w:pPr>
      <w:r>
        <w:tab/>
      </w:r>
      <w:r w:rsidR="00C705BF">
        <w:rPr>
          <w:rStyle w:val="FootnoteReference"/>
        </w:rPr>
        <w:footnoteRef/>
      </w:r>
      <w:r>
        <w:tab/>
      </w:r>
      <w:r w:rsidR="00C705BF">
        <w:t xml:space="preserve">El Estado parte da la siguiente referencia: Audiencia Nacional, sentencia de 16 de septiembre de 2004, </w:t>
      </w:r>
      <w:r w:rsidR="00C705BF" w:rsidRPr="00713A50">
        <w:t>dictada</w:t>
      </w:r>
      <w:r w:rsidR="00C705BF">
        <w:t xml:space="preserve"> en el recurso de apelación núm. 92/2004</w:t>
      </w:r>
      <w:r w:rsidR="00625EE7">
        <w:t>.</w:t>
      </w:r>
    </w:p>
  </w:footnote>
  <w:footnote w:id="32">
    <w:p w14:paraId="583676FC" w14:textId="77777777" w:rsidR="00C705BF" w:rsidRPr="00FB37D5" w:rsidRDefault="00713A50" w:rsidP="00C705BF">
      <w:pPr>
        <w:pStyle w:val="FootnoteText"/>
      </w:pPr>
      <w:r>
        <w:tab/>
      </w:r>
      <w:r w:rsidR="00C705BF">
        <w:rPr>
          <w:rStyle w:val="FootnoteReference"/>
        </w:rPr>
        <w:footnoteRef/>
      </w:r>
      <w:r>
        <w:tab/>
      </w:r>
      <w:r w:rsidR="00C705BF">
        <w:t>Ver nota al pie 29</w:t>
      </w:r>
      <w:r w:rsidR="00625EE7">
        <w:t>.</w:t>
      </w:r>
    </w:p>
  </w:footnote>
  <w:footnote w:id="33">
    <w:p w14:paraId="3C7F81D5" w14:textId="77777777" w:rsidR="00C705BF" w:rsidRPr="00004C9F" w:rsidRDefault="00713A50" w:rsidP="00C705BF">
      <w:pPr>
        <w:pStyle w:val="FootnoteText"/>
        <w:jc w:val="both"/>
      </w:pPr>
      <w:r>
        <w:tab/>
      </w:r>
      <w:r w:rsidR="00C705BF">
        <w:rPr>
          <w:rStyle w:val="FootnoteReference"/>
        </w:rPr>
        <w:footnoteRef/>
      </w:r>
      <w:r>
        <w:tab/>
      </w:r>
      <w:r w:rsidR="00C705BF">
        <w:t>En virtud del artículo 35 y siguientes de la Ley Orgánica del Tribunal Constitucional que establece: “</w:t>
      </w:r>
      <w:r w:rsidR="00C705BF" w:rsidRPr="00976327">
        <w:t>Cuando un Juez o Tribunal, de oficio o a instancia de parte, considere que una norma con rango de Ley aplicable al caso y de cuya validez dependa el fallo pueda ser contraria a la Constitución, planteará la cuestión al Tribunal Constitucional con sujeción a lo dispuesto en esta Ley</w:t>
      </w:r>
      <w:r w:rsidR="00C705BF">
        <w:t>”</w:t>
      </w:r>
      <w:r w:rsidR="00625EE7">
        <w:t>.</w:t>
      </w:r>
    </w:p>
  </w:footnote>
  <w:footnote w:id="34">
    <w:p w14:paraId="0F4BEDFA" w14:textId="61CC9DD6" w:rsidR="00C705BF" w:rsidRPr="00B821D7" w:rsidRDefault="00713A50" w:rsidP="00A42C98">
      <w:pPr>
        <w:pStyle w:val="FootnoteText"/>
        <w:rPr>
          <w:rFonts w:eastAsia="Arial Unicode MS"/>
        </w:rPr>
      </w:pPr>
      <w:r>
        <w:rPr>
          <w:rFonts w:eastAsia="Arial Unicode MS"/>
        </w:rPr>
        <w:tab/>
      </w:r>
      <w:r w:rsidR="00C705BF">
        <w:rPr>
          <w:vertAlign w:val="superscript"/>
        </w:rPr>
        <w:footnoteRef/>
      </w:r>
      <w:r>
        <w:rPr>
          <w:rFonts w:eastAsia="Arial Unicode MS"/>
        </w:rPr>
        <w:tab/>
      </w:r>
      <w:r w:rsidR="00C705BF">
        <w:rPr>
          <w:rFonts w:eastAsia="Arial Unicode MS"/>
        </w:rPr>
        <w:t xml:space="preserve">Véase </w:t>
      </w:r>
      <w:proofErr w:type="spellStart"/>
      <w:r w:rsidR="00A42C98" w:rsidRPr="00B821D7">
        <w:rPr>
          <w:rFonts w:eastAsia="Arial Unicode MS"/>
          <w:i/>
        </w:rPr>
        <w:t>Achabal</w:t>
      </w:r>
      <w:proofErr w:type="spellEnd"/>
      <w:r w:rsidR="00A42C98" w:rsidRPr="00B821D7">
        <w:rPr>
          <w:rFonts w:eastAsia="Arial Unicode MS"/>
          <w:i/>
        </w:rPr>
        <w:t xml:space="preserve"> Puertas c. España</w:t>
      </w:r>
      <w:r w:rsidR="00A42C98" w:rsidRPr="00B821D7">
        <w:rPr>
          <w:rFonts w:eastAsia="Arial Unicode MS"/>
        </w:rPr>
        <w:t>,</w:t>
      </w:r>
      <w:r w:rsidR="00A42C98" w:rsidRPr="00A42C98">
        <w:t xml:space="preserve"> </w:t>
      </w:r>
      <w:r w:rsidR="00A42C98">
        <w:t>(</w:t>
      </w:r>
      <w:r w:rsidR="00A42C98" w:rsidRPr="00A42C98">
        <w:rPr>
          <w:rFonts w:eastAsia="Arial Unicode MS"/>
        </w:rPr>
        <w:t>CCPR/C/107/D/1945/2010</w:t>
      </w:r>
      <w:r w:rsidR="00A42C98">
        <w:rPr>
          <w:rFonts w:eastAsia="Arial Unicode MS"/>
        </w:rPr>
        <w:t>)</w:t>
      </w:r>
      <w:r w:rsidR="00A42C98" w:rsidRPr="00A42C98">
        <w:rPr>
          <w:rFonts w:eastAsia="Arial Unicode MS"/>
        </w:rPr>
        <w:t>, p</w:t>
      </w:r>
      <w:r w:rsidR="00A42C98">
        <w:rPr>
          <w:rFonts w:eastAsia="Arial Unicode MS"/>
        </w:rPr>
        <w:t>á</w:t>
      </w:r>
      <w:r w:rsidR="00A42C98" w:rsidRPr="00B821D7">
        <w:rPr>
          <w:rFonts w:eastAsia="Arial Unicode MS"/>
        </w:rPr>
        <w:t>rr. 7.3</w:t>
      </w:r>
      <w:r w:rsidR="00A42C98">
        <w:rPr>
          <w:rFonts w:eastAsia="Arial Unicode MS"/>
        </w:rPr>
        <w:t xml:space="preserve">; </w:t>
      </w:r>
      <w:proofErr w:type="spellStart"/>
      <w:r w:rsidR="00C705BF">
        <w:rPr>
          <w:rFonts w:eastAsia="Arial Unicode MS"/>
          <w:i/>
          <w:iCs/>
        </w:rPr>
        <w:t>Mahabir</w:t>
      </w:r>
      <w:proofErr w:type="spellEnd"/>
      <w:r w:rsidR="00C705BF">
        <w:rPr>
          <w:rFonts w:eastAsia="Arial Unicode MS"/>
          <w:i/>
          <w:iCs/>
        </w:rPr>
        <w:t xml:space="preserve"> c. Austria</w:t>
      </w:r>
      <w:r w:rsidR="00C705BF">
        <w:rPr>
          <w:rFonts w:eastAsia="Arial Unicode MS"/>
        </w:rPr>
        <w:t>, (</w:t>
      </w:r>
      <w:r w:rsidR="00C705BF" w:rsidRPr="008956D8">
        <w:rPr>
          <w:rFonts w:eastAsia="Arial Unicode MS"/>
        </w:rPr>
        <w:t>CCPR/C/82/D/944/2000</w:t>
      </w:r>
      <w:r w:rsidR="00C705BF">
        <w:rPr>
          <w:rFonts w:eastAsia="Arial Unicode MS"/>
        </w:rPr>
        <w:t>)</w:t>
      </w:r>
      <w:r w:rsidR="00C705BF" w:rsidRPr="008956D8">
        <w:rPr>
          <w:rFonts w:eastAsia="Arial Unicode MS"/>
        </w:rPr>
        <w:t xml:space="preserve">, </w:t>
      </w:r>
      <w:r w:rsidR="00C705BF">
        <w:rPr>
          <w:rFonts w:eastAsia="Arial Unicode MS"/>
        </w:rPr>
        <w:t xml:space="preserve">párr. 8.3; </w:t>
      </w:r>
      <w:proofErr w:type="spellStart"/>
      <w:r w:rsidR="00C705BF" w:rsidRPr="008956D8">
        <w:rPr>
          <w:rFonts w:eastAsia="Arial Unicode MS"/>
          <w:i/>
        </w:rPr>
        <w:t>Bertelli</w:t>
      </w:r>
      <w:proofErr w:type="spellEnd"/>
      <w:r w:rsidR="00C705BF" w:rsidRPr="008956D8">
        <w:rPr>
          <w:rFonts w:eastAsia="Arial Unicode MS"/>
          <w:i/>
        </w:rPr>
        <w:t xml:space="preserve"> Gálvez c. España</w:t>
      </w:r>
      <w:r w:rsidR="00C705BF" w:rsidRPr="008956D8">
        <w:rPr>
          <w:rFonts w:eastAsia="Arial Unicode MS"/>
        </w:rPr>
        <w:t xml:space="preserve"> (CCPR/C/84/D/1389</w:t>
      </w:r>
      <w:r w:rsidR="00C705BF" w:rsidRPr="008956D8">
        <w:rPr>
          <w:rFonts w:eastAsia="Arial Unicode MS"/>
          <w:b/>
          <w:bCs/>
        </w:rPr>
        <w:t>/</w:t>
      </w:r>
      <w:r w:rsidR="00C705BF" w:rsidRPr="008956D8">
        <w:rPr>
          <w:rFonts w:eastAsia="Arial Unicode MS"/>
        </w:rPr>
        <w:t xml:space="preserve">2005), párr. 4.3; </w:t>
      </w:r>
      <w:proofErr w:type="spellStart"/>
      <w:r w:rsidR="00C705BF" w:rsidRPr="008956D8">
        <w:rPr>
          <w:rFonts w:eastAsia="Arial Unicode MS"/>
          <w:i/>
        </w:rPr>
        <w:t>Wdowiak</w:t>
      </w:r>
      <w:proofErr w:type="spellEnd"/>
      <w:r w:rsidR="00C705BF" w:rsidRPr="008956D8">
        <w:rPr>
          <w:rFonts w:eastAsia="Arial Unicode MS"/>
          <w:i/>
        </w:rPr>
        <w:t xml:space="preserve"> c. Polonia </w:t>
      </w:r>
      <w:r w:rsidR="00C705BF" w:rsidRPr="008956D8">
        <w:rPr>
          <w:rFonts w:eastAsia="Arial Unicode MS"/>
        </w:rPr>
        <w:t>(</w:t>
      </w:r>
      <w:r w:rsidR="00C705BF" w:rsidRPr="008956D8">
        <w:rPr>
          <w:rFonts w:eastAsia="Arial Unicode MS"/>
          <w:bCs/>
        </w:rPr>
        <w:t>CCPR/C/88/D/1446/2006</w:t>
      </w:r>
      <w:r w:rsidR="00C705BF" w:rsidRPr="008956D8">
        <w:rPr>
          <w:rFonts w:eastAsia="Arial Unicode MS"/>
        </w:rPr>
        <w:t>), párr. 6.2</w:t>
      </w:r>
      <w:r w:rsidR="003114B8">
        <w:rPr>
          <w:rFonts w:eastAsia="Arial Unicode MS"/>
        </w:rPr>
        <w:t>.</w:t>
      </w:r>
    </w:p>
  </w:footnote>
  <w:footnote w:id="35">
    <w:p w14:paraId="6EF55055" w14:textId="77777777" w:rsidR="00C705BF" w:rsidRPr="000036CC" w:rsidRDefault="00713A50" w:rsidP="00713A50">
      <w:pPr>
        <w:pStyle w:val="FootnoteText"/>
      </w:pPr>
      <w:r>
        <w:tab/>
      </w:r>
      <w:r w:rsidR="00C705BF">
        <w:rPr>
          <w:rStyle w:val="FootnoteReference"/>
        </w:rPr>
        <w:footnoteRef/>
      </w:r>
      <w:r>
        <w:tab/>
      </w:r>
      <w:r w:rsidR="00C705BF">
        <w:t>Véase</w:t>
      </w:r>
      <w:r w:rsidR="00C705BF" w:rsidRPr="000036CC">
        <w:t xml:space="preserve"> </w:t>
      </w:r>
      <w:r w:rsidR="00C705BF" w:rsidRPr="00BF6D4F">
        <w:rPr>
          <w:i/>
        </w:rPr>
        <w:t xml:space="preserve">Rosa </w:t>
      </w:r>
      <w:r w:rsidR="00C705BF" w:rsidRPr="00713A50">
        <w:t>María</w:t>
      </w:r>
      <w:r w:rsidR="00C705BF" w:rsidRPr="00BF6D4F">
        <w:rPr>
          <w:i/>
        </w:rPr>
        <w:t xml:space="preserve"> Serna et al</w:t>
      </w:r>
      <w:r w:rsidR="00C705BF">
        <w:t>, (</w:t>
      </w:r>
      <w:r w:rsidR="00C705BF" w:rsidRPr="00713A50">
        <w:t>CCPR</w:t>
      </w:r>
      <w:r w:rsidR="00C705BF" w:rsidRPr="000036CC">
        <w:t>/C/114/D/2134/2012</w:t>
      </w:r>
      <w:r w:rsidR="003114B8">
        <w:t>), párr. 8.5.</w:t>
      </w:r>
    </w:p>
  </w:footnote>
  <w:footnote w:id="36">
    <w:p w14:paraId="5417B5C7" w14:textId="77777777" w:rsidR="00C705BF" w:rsidRPr="00982F6D" w:rsidRDefault="00713A50" w:rsidP="00C705BF">
      <w:pPr>
        <w:pStyle w:val="FootnoteText"/>
      </w:pPr>
      <w:r>
        <w:tab/>
      </w:r>
      <w:r w:rsidR="00C705BF" w:rsidRPr="00982F6D">
        <w:rPr>
          <w:rStyle w:val="FootnoteReference"/>
        </w:rPr>
        <w:footnoteRef/>
      </w:r>
      <w:r w:rsidR="00C705BF" w:rsidRPr="00982F6D">
        <w:tab/>
        <w:t xml:space="preserve">F.B.L c. Costa Rica, (CCPR/C/109/D/1612/2007), párr. 4.2; </w:t>
      </w:r>
      <w:proofErr w:type="spellStart"/>
      <w:r w:rsidR="00C705BF" w:rsidRPr="00982F6D">
        <w:t>Arenz</w:t>
      </w:r>
      <w:proofErr w:type="spellEnd"/>
      <w:r w:rsidR="00C705BF" w:rsidRPr="00982F6D">
        <w:t xml:space="preserve"> y otros c. Alemania CCPR/C/80/D/1138/2002), párr. 8.6; Manzano y otros c. Colombia, (CCPR/C/114/D/1909/2009), párr. 6.4</w:t>
      </w:r>
      <w:r w:rsidR="003114B8">
        <w:t>.</w:t>
      </w:r>
    </w:p>
  </w:footnote>
  <w:footnote w:id="37">
    <w:p w14:paraId="72431E4C" w14:textId="77777777" w:rsidR="006F38F1" w:rsidRPr="00226957" w:rsidRDefault="006F38F1" w:rsidP="006F38F1">
      <w:pPr>
        <w:pStyle w:val="FootnoteText"/>
      </w:pPr>
      <w:r>
        <w:tab/>
      </w:r>
      <w:r w:rsidRPr="00982F6D">
        <w:rPr>
          <w:rStyle w:val="FootnoteReference"/>
        </w:rPr>
        <w:footnoteRef/>
      </w:r>
      <w:r w:rsidRPr="00982F6D">
        <w:tab/>
      </w:r>
      <w:proofErr w:type="spellStart"/>
      <w:r w:rsidRPr="00982F6D">
        <w:t>Riedl-Riedenstein</w:t>
      </w:r>
      <w:proofErr w:type="spellEnd"/>
      <w:r w:rsidRPr="00982F6D">
        <w:t xml:space="preserve"> y otros. c. Alemania (CCPR/C/82/D/1188/2003), párr. 7.3; </w:t>
      </w:r>
      <w:proofErr w:type="spellStart"/>
      <w:r w:rsidRPr="00982F6D">
        <w:t>Bondarenko</w:t>
      </w:r>
      <w:proofErr w:type="spellEnd"/>
      <w:r w:rsidRPr="00982F6D">
        <w:t xml:space="preserve"> c. Bielorrusia (CCPR/C/77/D/886/1999). Ver nota al pie 46 [Ver proyecto de la comunicación 3778/2020, párr. 4.4, a ser discutida durante la sesión 130</w:t>
      </w:r>
      <w:r>
        <w:t>.</w:t>
      </w:r>
      <w:r w:rsidRPr="00982F6D">
        <w:t>]</w:t>
      </w:r>
    </w:p>
  </w:footnote>
  <w:footnote w:id="38">
    <w:p w14:paraId="6BE126EC" w14:textId="5E47D197" w:rsidR="00426CAD" w:rsidRPr="00AA06B4" w:rsidRDefault="00426CAD" w:rsidP="00040F47">
      <w:pPr>
        <w:pStyle w:val="FootnoteText"/>
      </w:pPr>
      <w:r>
        <w:tab/>
      </w:r>
      <w:r w:rsidRPr="00AA06B4">
        <w:rPr>
          <w:rStyle w:val="FootnoteReference"/>
          <w:sz w:val="20"/>
        </w:rPr>
        <w:footnoteRef/>
      </w:r>
      <w:r w:rsidRPr="00AA06B4">
        <w:t xml:space="preserve"> </w:t>
      </w:r>
      <w:r>
        <w:tab/>
      </w:r>
      <w:r>
        <w:tab/>
      </w:r>
      <w:proofErr w:type="spellStart"/>
      <w:r w:rsidRPr="00AA06B4">
        <w:t>Section</w:t>
      </w:r>
      <w:proofErr w:type="spellEnd"/>
      <w:r w:rsidRPr="00AA06B4">
        <w:t xml:space="preserve"> 14 </w:t>
      </w:r>
      <w:proofErr w:type="spellStart"/>
      <w:r w:rsidRPr="00AA06B4">
        <w:t>reads</w:t>
      </w:r>
      <w:proofErr w:type="spellEnd"/>
      <w:r w:rsidRPr="00AA06B4">
        <w:t>: “</w:t>
      </w:r>
      <w:proofErr w:type="spellStart"/>
      <w:r w:rsidRPr="00AA06B4">
        <w:t>Spaniards</w:t>
      </w:r>
      <w:proofErr w:type="spellEnd"/>
      <w:r w:rsidRPr="00AA06B4">
        <w:t xml:space="preserve"> </w:t>
      </w:r>
      <w:r w:rsidRPr="00426CAD">
        <w:t>are</w:t>
      </w:r>
      <w:r w:rsidRPr="00AA06B4">
        <w:t xml:space="preserve"> </w:t>
      </w:r>
      <w:proofErr w:type="spellStart"/>
      <w:r w:rsidRPr="00AA06B4">
        <w:t>equal</w:t>
      </w:r>
      <w:proofErr w:type="spellEnd"/>
      <w:r w:rsidRPr="00AA06B4">
        <w:t xml:space="preserve"> </w:t>
      </w:r>
      <w:proofErr w:type="spellStart"/>
      <w:r w:rsidRPr="00AA06B4">
        <w:t>before</w:t>
      </w:r>
      <w:proofErr w:type="spellEnd"/>
      <w:r w:rsidRPr="00AA06B4">
        <w:t xml:space="preserve"> the </w:t>
      </w:r>
      <w:proofErr w:type="spellStart"/>
      <w:r w:rsidRPr="00AA06B4">
        <w:t>law</w:t>
      </w:r>
      <w:proofErr w:type="spellEnd"/>
      <w:r w:rsidRPr="00AA06B4">
        <w:t xml:space="preserve"> and </w:t>
      </w:r>
      <w:proofErr w:type="spellStart"/>
      <w:r w:rsidRPr="00AA06B4">
        <w:t>may</w:t>
      </w:r>
      <w:proofErr w:type="spellEnd"/>
      <w:r w:rsidRPr="00AA06B4">
        <w:t xml:space="preserve"> </w:t>
      </w:r>
      <w:proofErr w:type="spellStart"/>
      <w:r w:rsidRPr="00AA06B4">
        <w:t>not</w:t>
      </w:r>
      <w:proofErr w:type="spellEnd"/>
      <w:r w:rsidRPr="00AA06B4">
        <w:t xml:space="preserve"> in </w:t>
      </w:r>
      <w:proofErr w:type="spellStart"/>
      <w:r w:rsidRPr="00AA06B4">
        <w:t>any</w:t>
      </w:r>
      <w:proofErr w:type="spellEnd"/>
      <w:r w:rsidRPr="00AA06B4">
        <w:t xml:space="preserve"> </w:t>
      </w:r>
      <w:proofErr w:type="spellStart"/>
      <w:r>
        <w:t>way</w:t>
      </w:r>
      <w:proofErr w:type="spellEnd"/>
      <w:r>
        <w:t xml:space="preserve"> be </w:t>
      </w:r>
      <w:proofErr w:type="spellStart"/>
      <w:r>
        <w:t>discriminated</w:t>
      </w:r>
      <w:proofErr w:type="spellEnd"/>
      <w:r>
        <w:t xml:space="preserve"> </w:t>
      </w:r>
      <w:proofErr w:type="spellStart"/>
      <w:r>
        <w:t>against</w:t>
      </w:r>
      <w:proofErr w:type="spellEnd"/>
      <w:r>
        <w:t xml:space="preserve"> </w:t>
      </w:r>
      <w:proofErr w:type="spellStart"/>
      <w:r w:rsidRPr="00AA06B4">
        <w:t>on</w:t>
      </w:r>
      <w:proofErr w:type="spellEnd"/>
      <w:r w:rsidRPr="00AA06B4">
        <w:t xml:space="preserve"> </w:t>
      </w:r>
      <w:proofErr w:type="spellStart"/>
      <w:r w:rsidRPr="00AA06B4">
        <w:t>account</w:t>
      </w:r>
      <w:proofErr w:type="spellEnd"/>
      <w:r w:rsidRPr="00AA06B4">
        <w:t xml:space="preserve"> of </w:t>
      </w:r>
      <w:proofErr w:type="spellStart"/>
      <w:r w:rsidRPr="00AA06B4">
        <w:t>birth</w:t>
      </w:r>
      <w:proofErr w:type="spellEnd"/>
      <w:r w:rsidRPr="00AA06B4">
        <w:t xml:space="preserve">, </w:t>
      </w:r>
      <w:proofErr w:type="spellStart"/>
      <w:r w:rsidRPr="00AA06B4">
        <w:t>race</w:t>
      </w:r>
      <w:proofErr w:type="spellEnd"/>
      <w:r w:rsidRPr="00AA06B4">
        <w:t xml:space="preserve">, sex, </w:t>
      </w:r>
      <w:proofErr w:type="spellStart"/>
      <w:r w:rsidRPr="00AA06B4">
        <w:t>religion</w:t>
      </w:r>
      <w:proofErr w:type="spellEnd"/>
      <w:r w:rsidRPr="00AA06B4">
        <w:t xml:space="preserve">, </w:t>
      </w:r>
      <w:proofErr w:type="spellStart"/>
      <w:r w:rsidRPr="00AA06B4">
        <w:t>opinion</w:t>
      </w:r>
      <w:proofErr w:type="spellEnd"/>
      <w:r w:rsidRPr="00AA06B4">
        <w:t xml:space="preserve"> </w:t>
      </w:r>
      <w:proofErr w:type="spellStart"/>
      <w:r w:rsidRPr="00AA06B4">
        <w:t>or</w:t>
      </w:r>
      <w:proofErr w:type="spellEnd"/>
      <w:r w:rsidRPr="00AA06B4">
        <w:t xml:space="preserve"> </w:t>
      </w:r>
      <w:proofErr w:type="spellStart"/>
      <w:r w:rsidRPr="00AA06B4">
        <w:t>any</w:t>
      </w:r>
      <w:proofErr w:type="spellEnd"/>
      <w:r w:rsidRPr="00AA06B4">
        <w:t xml:space="preserve"> </w:t>
      </w:r>
      <w:proofErr w:type="spellStart"/>
      <w:r w:rsidRPr="00AA06B4">
        <w:t>other</w:t>
      </w:r>
      <w:proofErr w:type="spellEnd"/>
      <w:r w:rsidRPr="00AA06B4">
        <w:t xml:space="preserve"> personal </w:t>
      </w:r>
      <w:proofErr w:type="spellStart"/>
      <w:r w:rsidRPr="00AA06B4">
        <w:t>or</w:t>
      </w:r>
      <w:proofErr w:type="spellEnd"/>
      <w:r w:rsidRPr="00AA06B4">
        <w:t xml:space="preserve"> social </w:t>
      </w:r>
      <w:proofErr w:type="spellStart"/>
      <w:r w:rsidRPr="00AA06B4">
        <w:t>condition</w:t>
      </w:r>
      <w:proofErr w:type="spellEnd"/>
      <w:r w:rsidRPr="00AA06B4">
        <w:t xml:space="preserve"> </w:t>
      </w:r>
      <w:proofErr w:type="spellStart"/>
      <w:r w:rsidRPr="00AA06B4">
        <w:t>or</w:t>
      </w:r>
      <w:proofErr w:type="spellEnd"/>
      <w:r w:rsidRPr="00AA06B4">
        <w:t xml:space="preserve"> </w:t>
      </w:r>
      <w:proofErr w:type="spellStart"/>
      <w:r w:rsidRPr="00AA06B4">
        <w:t>circumstance</w:t>
      </w:r>
      <w:proofErr w:type="spellEnd"/>
      <w:r w:rsidRPr="00AA06B4">
        <w:t>.”</w:t>
      </w:r>
    </w:p>
  </w:footnote>
  <w:footnote w:id="39">
    <w:p w14:paraId="379F1DC7" w14:textId="1FE68435" w:rsidR="00426CAD" w:rsidRPr="00C02F7C" w:rsidRDefault="00426CAD" w:rsidP="00040F47">
      <w:pPr>
        <w:pStyle w:val="FootnoteText"/>
      </w:pPr>
      <w:r>
        <w:tab/>
      </w:r>
      <w:r w:rsidRPr="00C02F7C">
        <w:rPr>
          <w:rStyle w:val="FootnoteReference"/>
        </w:rPr>
        <w:footnoteRef/>
      </w:r>
      <w:r w:rsidRPr="00C02F7C">
        <w:t xml:space="preserve"> </w:t>
      </w:r>
      <w:r>
        <w:tab/>
      </w:r>
      <w:r>
        <w:tab/>
      </w:r>
      <w:r w:rsidRPr="00C02F7C">
        <w:t xml:space="preserve">General </w:t>
      </w:r>
      <w:proofErr w:type="spellStart"/>
      <w:r w:rsidRPr="00C02F7C">
        <w:t>Comment</w:t>
      </w:r>
      <w:proofErr w:type="spellEnd"/>
      <w:r w:rsidRPr="00C02F7C">
        <w:t xml:space="preserve"> no. 32, </w:t>
      </w:r>
      <w:proofErr w:type="spellStart"/>
      <w:r w:rsidRPr="00C02F7C">
        <w:t>Article</w:t>
      </w:r>
      <w:proofErr w:type="spellEnd"/>
      <w:r w:rsidRPr="00C02F7C">
        <w:t xml:space="preserve"> 14: </w:t>
      </w:r>
      <w:proofErr w:type="spellStart"/>
      <w:r w:rsidRPr="00C02F7C">
        <w:t>Right</w:t>
      </w:r>
      <w:proofErr w:type="spellEnd"/>
      <w:r w:rsidRPr="00C02F7C">
        <w:t xml:space="preserve"> to </w:t>
      </w:r>
      <w:proofErr w:type="spellStart"/>
      <w:r w:rsidRPr="00C02F7C">
        <w:t>equality</w:t>
      </w:r>
      <w:proofErr w:type="spellEnd"/>
      <w:r w:rsidRPr="00C02F7C">
        <w:t xml:space="preserve"> </w:t>
      </w:r>
      <w:proofErr w:type="spellStart"/>
      <w:r w:rsidRPr="00C02F7C">
        <w:t>before</w:t>
      </w:r>
      <w:proofErr w:type="spellEnd"/>
      <w:r w:rsidRPr="00C02F7C">
        <w:t xml:space="preserve"> </w:t>
      </w:r>
      <w:proofErr w:type="spellStart"/>
      <w:r w:rsidRPr="00C02F7C">
        <w:t>courts</w:t>
      </w:r>
      <w:proofErr w:type="spellEnd"/>
      <w:r w:rsidRPr="00C02F7C">
        <w:t xml:space="preserve"> and </w:t>
      </w:r>
      <w:proofErr w:type="spellStart"/>
      <w:r w:rsidRPr="00C02F7C">
        <w:t>tribunals</w:t>
      </w:r>
      <w:proofErr w:type="spellEnd"/>
      <w:r w:rsidRPr="00C02F7C">
        <w:t xml:space="preserve"> and to a </w:t>
      </w:r>
      <w:proofErr w:type="spellStart"/>
      <w:r w:rsidRPr="00C02F7C">
        <w:t>fair</w:t>
      </w:r>
      <w:proofErr w:type="spellEnd"/>
      <w:r w:rsidRPr="00C02F7C">
        <w:t xml:space="preserve"> trial at para. 26</w:t>
      </w:r>
      <w:r>
        <w:t>.</w:t>
      </w:r>
    </w:p>
  </w:footnote>
  <w:footnote w:id="40">
    <w:p w14:paraId="6E462073" w14:textId="549DD888" w:rsidR="00426CAD" w:rsidRPr="00C02F7C" w:rsidRDefault="00426CAD" w:rsidP="00426CAD">
      <w:pPr>
        <w:pStyle w:val="FootnoteText"/>
        <w:spacing w:line="276" w:lineRule="auto"/>
        <w:jc w:val="both"/>
        <w:rPr>
          <w:sz w:val="20"/>
          <w:lang w:val="en-US"/>
        </w:rPr>
      </w:pPr>
      <w:r>
        <w:rPr>
          <w:sz w:val="20"/>
        </w:rPr>
        <w:tab/>
      </w:r>
      <w:r w:rsidRPr="00C02F7C">
        <w:rPr>
          <w:rStyle w:val="FootnoteReference"/>
          <w:sz w:val="20"/>
        </w:rPr>
        <w:footnoteRef/>
      </w:r>
      <w:r w:rsidRPr="00C02F7C">
        <w:rPr>
          <w:sz w:val="20"/>
        </w:rPr>
        <w:t xml:space="preserve"> </w:t>
      </w:r>
      <w:r>
        <w:rPr>
          <w:sz w:val="20"/>
        </w:rPr>
        <w:tab/>
      </w:r>
      <w:r>
        <w:rPr>
          <w:sz w:val="20"/>
        </w:rPr>
        <w:tab/>
      </w:r>
      <w:proofErr w:type="gramStart"/>
      <w:r w:rsidRPr="00C02F7C">
        <w:rPr>
          <w:sz w:val="20"/>
        </w:rPr>
        <w:t xml:space="preserve">General  </w:t>
      </w:r>
      <w:proofErr w:type="spellStart"/>
      <w:r w:rsidRPr="00C02F7C">
        <w:rPr>
          <w:sz w:val="20"/>
        </w:rPr>
        <w:t>Comment</w:t>
      </w:r>
      <w:proofErr w:type="spellEnd"/>
      <w:proofErr w:type="gramEnd"/>
      <w:r w:rsidRPr="00C02F7C">
        <w:rPr>
          <w:sz w:val="20"/>
        </w:rPr>
        <w:t xml:space="preserve"> no. 28: </w:t>
      </w:r>
      <w:proofErr w:type="spellStart"/>
      <w:r w:rsidRPr="00C02F7C">
        <w:rPr>
          <w:sz w:val="20"/>
        </w:rPr>
        <w:t>Article</w:t>
      </w:r>
      <w:proofErr w:type="spellEnd"/>
      <w:r w:rsidRPr="00C02F7C">
        <w:rPr>
          <w:sz w:val="20"/>
        </w:rPr>
        <w:t xml:space="preserve"> 3 (The </w:t>
      </w:r>
      <w:proofErr w:type="spellStart"/>
      <w:r w:rsidRPr="00C02F7C">
        <w:rPr>
          <w:sz w:val="20"/>
        </w:rPr>
        <w:t>equality</w:t>
      </w:r>
      <w:proofErr w:type="spellEnd"/>
      <w:r w:rsidRPr="00C02F7C">
        <w:rPr>
          <w:sz w:val="20"/>
        </w:rPr>
        <w:t xml:space="preserve"> of </w:t>
      </w:r>
      <w:proofErr w:type="spellStart"/>
      <w:r w:rsidRPr="00C02F7C">
        <w:rPr>
          <w:sz w:val="20"/>
        </w:rPr>
        <w:t>rights</w:t>
      </w:r>
      <w:proofErr w:type="spellEnd"/>
      <w:r w:rsidRPr="00C02F7C">
        <w:rPr>
          <w:sz w:val="20"/>
        </w:rPr>
        <w:t xml:space="preserve"> </w:t>
      </w:r>
      <w:proofErr w:type="spellStart"/>
      <w:r w:rsidRPr="00C02F7C">
        <w:rPr>
          <w:sz w:val="20"/>
        </w:rPr>
        <w:t>between</w:t>
      </w:r>
      <w:proofErr w:type="spellEnd"/>
      <w:r w:rsidRPr="00C02F7C">
        <w:rPr>
          <w:sz w:val="20"/>
        </w:rPr>
        <w:t xml:space="preserve"> </w:t>
      </w:r>
      <w:proofErr w:type="spellStart"/>
      <w:r w:rsidRPr="00C02F7C">
        <w:rPr>
          <w:sz w:val="20"/>
        </w:rPr>
        <w:t>men</w:t>
      </w:r>
      <w:proofErr w:type="spellEnd"/>
      <w:r w:rsidRPr="00C02F7C">
        <w:rPr>
          <w:sz w:val="20"/>
        </w:rPr>
        <w:t xml:space="preserve"> and </w:t>
      </w:r>
      <w:proofErr w:type="spellStart"/>
      <w:r w:rsidRPr="00C02F7C">
        <w:rPr>
          <w:sz w:val="20"/>
        </w:rPr>
        <w:t>women</w:t>
      </w:r>
      <w:proofErr w:type="spellEnd"/>
      <w:r w:rsidRPr="00C02F7C">
        <w:rPr>
          <w:sz w:val="20"/>
        </w:rPr>
        <w:t>)</w:t>
      </w:r>
      <w:r>
        <w:rPr>
          <w:sz w:val="20"/>
        </w:rPr>
        <w:t>.</w:t>
      </w:r>
    </w:p>
  </w:footnote>
  <w:footnote w:id="41">
    <w:p w14:paraId="1357CEB8" w14:textId="04795E23" w:rsidR="00426CAD" w:rsidRPr="00C02F7C" w:rsidRDefault="00426CAD" w:rsidP="00426CAD">
      <w:pPr>
        <w:pStyle w:val="FootnoteText"/>
        <w:spacing w:line="276" w:lineRule="auto"/>
        <w:jc w:val="both"/>
        <w:rPr>
          <w:sz w:val="20"/>
          <w:lang w:val="en-US"/>
        </w:rPr>
      </w:pPr>
      <w:r>
        <w:rPr>
          <w:sz w:val="20"/>
        </w:rPr>
        <w:tab/>
      </w:r>
      <w:r w:rsidRPr="00C02F7C">
        <w:rPr>
          <w:rStyle w:val="FootnoteReference"/>
          <w:sz w:val="20"/>
        </w:rPr>
        <w:footnoteRef/>
      </w:r>
      <w:r w:rsidRPr="00C02F7C">
        <w:rPr>
          <w:sz w:val="20"/>
        </w:rPr>
        <w:t xml:space="preserve"> </w:t>
      </w:r>
      <w:r>
        <w:rPr>
          <w:sz w:val="20"/>
        </w:rPr>
        <w:tab/>
      </w:r>
      <w:r>
        <w:rPr>
          <w:sz w:val="20"/>
        </w:rPr>
        <w:tab/>
      </w:r>
      <w:proofErr w:type="gramStart"/>
      <w:r w:rsidRPr="00C02F7C">
        <w:rPr>
          <w:sz w:val="20"/>
        </w:rPr>
        <w:t xml:space="preserve">General  </w:t>
      </w:r>
      <w:proofErr w:type="spellStart"/>
      <w:r w:rsidRPr="00C02F7C">
        <w:rPr>
          <w:sz w:val="20"/>
        </w:rPr>
        <w:t>Comment</w:t>
      </w:r>
      <w:proofErr w:type="spellEnd"/>
      <w:proofErr w:type="gramEnd"/>
      <w:r w:rsidRPr="00C02F7C">
        <w:rPr>
          <w:sz w:val="20"/>
        </w:rPr>
        <w:t xml:space="preserve"> no. 28: </w:t>
      </w:r>
      <w:proofErr w:type="spellStart"/>
      <w:r w:rsidRPr="00C02F7C">
        <w:rPr>
          <w:sz w:val="20"/>
        </w:rPr>
        <w:t>Article</w:t>
      </w:r>
      <w:proofErr w:type="spellEnd"/>
      <w:r w:rsidRPr="00C02F7C">
        <w:rPr>
          <w:sz w:val="20"/>
        </w:rPr>
        <w:t xml:space="preserve"> 3 (The </w:t>
      </w:r>
      <w:proofErr w:type="spellStart"/>
      <w:r w:rsidRPr="00C02F7C">
        <w:rPr>
          <w:sz w:val="20"/>
        </w:rPr>
        <w:t>equality</w:t>
      </w:r>
      <w:proofErr w:type="spellEnd"/>
      <w:r w:rsidRPr="00C02F7C">
        <w:rPr>
          <w:sz w:val="20"/>
        </w:rPr>
        <w:t xml:space="preserve"> of </w:t>
      </w:r>
      <w:proofErr w:type="spellStart"/>
      <w:r w:rsidRPr="00C02F7C">
        <w:rPr>
          <w:sz w:val="20"/>
        </w:rPr>
        <w:t>rights</w:t>
      </w:r>
      <w:proofErr w:type="spellEnd"/>
      <w:r w:rsidRPr="00C02F7C">
        <w:rPr>
          <w:sz w:val="20"/>
        </w:rPr>
        <w:t xml:space="preserve"> </w:t>
      </w:r>
      <w:proofErr w:type="spellStart"/>
      <w:r w:rsidRPr="00C02F7C">
        <w:rPr>
          <w:sz w:val="20"/>
        </w:rPr>
        <w:t>between</w:t>
      </w:r>
      <w:proofErr w:type="spellEnd"/>
      <w:r w:rsidRPr="00C02F7C">
        <w:rPr>
          <w:sz w:val="20"/>
        </w:rPr>
        <w:t xml:space="preserve"> </w:t>
      </w:r>
      <w:proofErr w:type="spellStart"/>
      <w:r w:rsidRPr="00C02F7C">
        <w:rPr>
          <w:sz w:val="20"/>
        </w:rPr>
        <w:t>men</w:t>
      </w:r>
      <w:proofErr w:type="spellEnd"/>
      <w:r w:rsidRPr="00C02F7C">
        <w:rPr>
          <w:sz w:val="20"/>
        </w:rPr>
        <w:t xml:space="preserve"> and </w:t>
      </w:r>
      <w:proofErr w:type="spellStart"/>
      <w:r w:rsidRPr="00C02F7C">
        <w:rPr>
          <w:sz w:val="20"/>
        </w:rPr>
        <w:t>women</w:t>
      </w:r>
      <w:proofErr w:type="spellEnd"/>
      <w:r w:rsidRPr="00C02F7C">
        <w:rPr>
          <w:sz w:val="20"/>
        </w:rPr>
        <w:t>)</w:t>
      </w:r>
      <w:r w:rsidRPr="00C02F7C">
        <w:rPr>
          <w:sz w:val="20"/>
          <w:lang w:val="en-US"/>
        </w:rPr>
        <w:t xml:space="preserve"> at para. 30</w:t>
      </w:r>
      <w:r>
        <w:rPr>
          <w:sz w:val="20"/>
          <w:lang w:val="en-US"/>
        </w:rPr>
        <w:t>.</w:t>
      </w:r>
    </w:p>
  </w:footnote>
  <w:footnote w:id="42">
    <w:p w14:paraId="2AA234E6" w14:textId="1653FA94" w:rsidR="00426CAD" w:rsidRPr="00C02F7C" w:rsidRDefault="00426CAD" w:rsidP="00040F47">
      <w:pPr>
        <w:pStyle w:val="FootnoteText"/>
        <w:rPr>
          <w:lang w:val="en-US"/>
        </w:rPr>
      </w:pPr>
      <w:r>
        <w:tab/>
      </w:r>
      <w:r w:rsidRPr="00C02F7C">
        <w:rPr>
          <w:rStyle w:val="FootnoteReference"/>
          <w:sz w:val="20"/>
        </w:rPr>
        <w:footnoteRef/>
      </w:r>
      <w:r w:rsidRPr="00C02F7C">
        <w:t xml:space="preserve"> </w:t>
      </w:r>
      <w:r>
        <w:tab/>
      </w:r>
      <w:r>
        <w:tab/>
      </w:r>
      <w:r w:rsidRPr="00C02F7C">
        <w:rPr>
          <w:lang w:val="en-US"/>
        </w:rPr>
        <w:t xml:space="preserve">General </w:t>
      </w:r>
      <w:proofErr w:type="spellStart"/>
      <w:r w:rsidRPr="00040F47">
        <w:t>Comment</w:t>
      </w:r>
      <w:proofErr w:type="spellEnd"/>
      <w:r w:rsidRPr="00C02F7C">
        <w:rPr>
          <w:lang w:val="en-US"/>
        </w:rPr>
        <w:t xml:space="preserve"> no. 18: Non-discrimination at para. 10.</w:t>
      </w:r>
    </w:p>
  </w:footnote>
  <w:footnote w:id="43">
    <w:p w14:paraId="2BD41D0B" w14:textId="4DFDD7AA" w:rsidR="00426CAD" w:rsidRPr="00725612" w:rsidRDefault="00426CAD" w:rsidP="00040F47">
      <w:pPr>
        <w:pStyle w:val="FootnoteText"/>
      </w:pPr>
      <w:r>
        <w:tab/>
      </w:r>
      <w:r>
        <w:rPr>
          <w:rStyle w:val="FootnoteReference"/>
        </w:rPr>
        <w:footnoteRef/>
      </w:r>
      <w:r>
        <w:t xml:space="preserve"> </w:t>
      </w:r>
      <w:r>
        <w:tab/>
      </w:r>
      <w:r>
        <w:tab/>
      </w:r>
      <w:r w:rsidRPr="00952567">
        <w:t xml:space="preserve">William A. </w:t>
      </w:r>
      <w:proofErr w:type="spellStart"/>
      <w:r w:rsidRPr="00040F47">
        <w:t>Schabas</w:t>
      </w:r>
      <w:proofErr w:type="spellEnd"/>
      <w:r w:rsidRPr="00952567">
        <w:t xml:space="preserve">, </w:t>
      </w:r>
      <w:proofErr w:type="spellStart"/>
      <w:r w:rsidRPr="00952567">
        <w:t>Nowak’s</w:t>
      </w:r>
      <w:proofErr w:type="spellEnd"/>
      <w:r w:rsidRPr="00952567">
        <w:t xml:space="preserve"> CCPR </w:t>
      </w:r>
      <w:proofErr w:type="spellStart"/>
      <w:r w:rsidRPr="00952567">
        <w:t>Commentary</w:t>
      </w:r>
      <w:proofErr w:type="spellEnd"/>
      <w:r w:rsidRPr="00952567">
        <w:t xml:space="preserve"> 3</w:t>
      </w:r>
      <w:r w:rsidRPr="00952567">
        <w:rPr>
          <w:vertAlign w:val="superscript"/>
        </w:rPr>
        <w:t>rd</w:t>
      </w:r>
      <w:r w:rsidRPr="00952567">
        <w:t xml:space="preserve"> </w:t>
      </w:r>
      <w:proofErr w:type="spellStart"/>
      <w:r w:rsidRPr="00952567">
        <w:t>revised</w:t>
      </w:r>
      <w:proofErr w:type="spellEnd"/>
      <w:r w:rsidRPr="00952567">
        <w:t xml:space="preserve"> </w:t>
      </w:r>
      <w:proofErr w:type="spellStart"/>
      <w:r w:rsidRPr="00952567">
        <w:t>edition</w:t>
      </w:r>
      <w:proofErr w:type="spellEnd"/>
      <w:r w:rsidRPr="00952567">
        <w:t xml:space="preserve"> (N. P. </w:t>
      </w:r>
      <w:proofErr w:type="spellStart"/>
      <w:r w:rsidRPr="00952567">
        <w:t>Engel</w:t>
      </w:r>
      <w:proofErr w:type="spellEnd"/>
      <w:r w:rsidRPr="00952567">
        <w:t xml:space="preserve"> Publisher, 2019), p. 749 and </w:t>
      </w:r>
      <w:proofErr w:type="spellStart"/>
      <w:r w:rsidRPr="00952567">
        <w:t>footnote</w:t>
      </w:r>
      <w:proofErr w:type="spellEnd"/>
      <w:r w:rsidRPr="00952567">
        <w:t xml:space="preserve"> 64.</w:t>
      </w:r>
    </w:p>
  </w:footnote>
  <w:footnote w:id="44">
    <w:p w14:paraId="036AFF66" w14:textId="0FE0022B" w:rsidR="00426CAD" w:rsidRPr="00C02F7C" w:rsidRDefault="00426CAD" w:rsidP="00040F47">
      <w:pPr>
        <w:pStyle w:val="FootnoteText"/>
        <w:rPr>
          <w:lang w:val="en-US"/>
        </w:rPr>
      </w:pPr>
      <w:r>
        <w:tab/>
      </w:r>
      <w:r w:rsidRPr="00C02F7C">
        <w:rPr>
          <w:rStyle w:val="FootnoteReference"/>
          <w:sz w:val="20"/>
        </w:rPr>
        <w:footnoteRef/>
      </w:r>
      <w:r w:rsidRPr="00C02F7C">
        <w:t xml:space="preserve"> </w:t>
      </w:r>
      <w:r>
        <w:tab/>
      </w:r>
      <w:r>
        <w:tab/>
      </w:r>
      <w:r w:rsidRPr="00C02F7C">
        <w:rPr>
          <w:lang w:val="en-US"/>
        </w:rPr>
        <w:t>General Comment no. 18: Non-discrimination at para. 13</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5A44" w14:textId="1BA6005F" w:rsidR="00305DAA" w:rsidRPr="00305DAA" w:rsidRDefault="00040F47">
    <w:pPr>
      <w:pStyle w:val="Header"/>
    </w:pPr>
    <w:r>
      <w:fldChar w:fldCharType="begin"/>
    </w:r>
    <w:r>
      <w:instrText xml:space="preserve"> TITLE  \* MERGEFORMAT </w:instrText>
    </w:r>
    <w:r>
      <w:fldChar w:fldCharType="separate"/>
    </w:r>
    <w:r>
      <w:t>CCPR/C/130/DR/2558/2015</w:t>
    </w:r>
    <w:r>
      <w:fldChar w:fldCharType="end"/>
    </w:r>
    <w:r w:rsidRPr="00040F47">
      <w:t xml:space="preserve"> Edición avanzada sin editar</w:t>
    </w:r>
    <w:r w:rsidRPr="00040F47" w:rsidDel="003578B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EF02" w14:textId="38C577D2" w:rsidR="00305DAA" w:rsidRPr="00305DAA" w:rsidRDefault="00040F47" w:rsidP="00305DAA">
    <w:pPr>
      <w:pStyle w:val="Header"/>
      <w:jc w:val="right"/>
    </w:pPr>
    <w:r>
      <w:fldChar w:fldCharType="begin"/>
    </w:r>
    <w:r>
      <w:instrText xml:space="preserve"> TITLE  \* MERGEFORMAT </w:instrText>
    </w:r>
    <w:r>
      <w:fldChar w:fldCharType="separate"/>
    </w:r>
    <w:r>
      <w:t>CCPR/C/130/DR/2558/2015</w:t>
    </w:r>
    <w:r>
      <w:fldChar w:fldCharType="end"/>
    </w:r>
    <w:r w:rsidRPr="00040F47">
      <w:t xml:space="preserve"> Edición avanzada sin editar</w:t>
    </w:r>
    <w:r w:rsidRPr="00040F47" w:rsidDel="00DB204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3135DF"/>
    <w:multiLevelType w:val="hybridMultilevel"/>
    <w:tmpl w:val="E96C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16"/>
  </w:num>
  <w:num w:numId="4">
    <w:abstractNumId w:val="15"/>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AA"/>
    <w:rsid w:val="00006BB9"/>
    <w:rsid w:val="0004006C"/>
    <w:rsid w:val="00040F47"/>
    <w:rsid w:val="0005274F"/>
    <w:rsid w:val="00070B1F"/>
    <w:rsid w:val="000A36A2"/>
    <w:rsid w:val="000A7A79"/>
    <w:rsid w:val="000B57E7"/>
    <w:rsid w:val="000D6FC4"/>
    <w:rsid w:val="000E15F6"/>
    <w:rsid w:val="000F09DF"/>
    <w:rsid w:val="000F61B2"/>
    <w:rsid w:val="001075E9"/>
    <w:rsid w:val="001279B6"/>
    <w:rsid w:val="00137CBA"/>
    <w:rsid w:val="00152180"/>
    <w:rsid w:val="00160FF7"/>
    <w:rsid w:val="00180183"/>
    <w:rsid w:val="00196389"/>
    <w:rsid w:val="001A3417"/>
    <w:rsid w:val="001C7A89"/>
    <w:rsid w:val="00222C55"/>
    <w:rsid w:val="0022765D"/>
    <w:rsid w:val="002A061F"/>
    <w:rsid w:val="002A2EFC"/>
    <w:rsid w:val="002A6FA7"/>
    <w:rsid w:val="002B3BDB"/>
    <w:rsid w:val="002C0E18"/>
    <w:rsid w:val="002C33BB"/>
    <w:rsid w:val="002D5AAC"/>
    <w:rsid w:val="002D7C8D"/>
    <w:rsid w:val="002F13FE"/>
    <w:rsid w:val="00301299"/>
    <w:rsid w:val="00305DAA"/>
    <w:rsid w:val="003114B8"/>
    <w:rsid w:val="00322004"/>
    <w:rsid w:val="003402C2"/>
    <w:rsid w:val="003578BD"/>
    <w:rsid w:val="00381C24"/>
    <w:rsid w:val="00382FEC"/>
    <w:rsid w:val="003958D0"/>
    <w:rsid w:val="003E1F6E"/>
    <w:rsid w:val="003E58D0"/>
    <w:rsid w:val="00403FF1"/>
    <w:rsid w:val="004128B0"/>
    <w:rsid w:val="00426CAD"/>
    <w:rsid w:val="00454E07"/>
    <w:rsid w:val="004875CF"/>
    <w:rsid w:val="004A69D8"/>
    <w:rsid w:val="004D5D80"/>
    <w:rsid w:val="004E4B46"/>
    <w:rsid w:val="0050108D"/>
    <w:rsid w:val="005200F0"/>
    <w:rsid w:val="0053311E"/>
    <w:rsid w:val="00553B5D"/>
    <w:rsid w:val="00572E19"/>
    <w:rsid w:val="00592FC2"/>
    <w:rsid w:val="00594934"/>
    <w:rsid w:val="005B36F3"/>
    <w:rsid w:val="005F0B42"/>
    <w:rsid w:val="00614642"/>
    <w:rsid w:val="00625EE7"/>
    <w:rsid w:val="00626EDE"/>
    <w:rsid w:val="00655A21"/>
    <w:rsid w:val="00675EE1"/>
    <w:rsid w:val="006808A9"/>
    <w:rsid w:val="00684545"/>
    <w:rsid w:val="006C14DA"/>
    <w:rsid w:val="006E064E"/>
    <w:rsid w:val="006E6568"/>
    <w:rsid w:val="006F16A8"/>
    <w:rsid w:val="006F35EE"/>
    <w:rsid w:val="006F38F1"/>
    <w:rsid w:val="007021FF"/>
    <w:rsid w:val="007076CB"/>
    <w:rsid w:val="00713A50"/>
    <w:rsid w:val="007161E3"/>
    <w:rsid w:val="00721764"/>
    <w:rsid w:val="00746670"/>
    <w:rsid w:val="00773DB6"/>
    <w:rsid w:val="007967DF"/>
    <w:rsid w:val="00834B71"/>
    <w:rsid w:val="0086445C"/>
    <w:rsid w:val="008813D9"/>
    <w:rsid w:val="00890FAE"/>
    <w:rsid w:val="008A08D7"/>
    <w:rsid w:val="008A13F9"/>
    <w:rsid w:val="008C6F51"/>
    <w:rsid w:val="008D5DB6"/>
    <w:rsid w:val="00900770"/>
    <w:rsid w:val="00906890"/>
    <w:rsid w:val="00916396"/>
    <w:rsid w:val="0091667E"/>
    <w:rsid w:val="009346C4"/>
    <w:rsid w:val="00951972"/>
    <w:rsid w:val="00962785"/>
    <w:rsid w:val="00963777"/>
    <w:rsid w:val="009B452A"/>
    <w:rsid w:val="009B4E5E"/>
    <w:rsid w:val="009C5A53"/>
    <w:rsid w:val="009D6C6D"/>
    <w:rsid w:val="00A10DD5"/>
    <w:rsid w:val="00A16E05"/>
    <w:rsid w:val="00A17DFD"/>
    <w:rsid w:val="00A32DBB"/>
    <w:rsid w:val="00A3727D"/>
    <w:rsid w:val="00A42C98"/>
    <w:rsid w:val="00A51017"/>
    <w:rsid w:val="00A62210"/>
    <w:rsid w:val="00A71268"/>
    <w:rsid w:val="00A917B3"/>
    <w:rsid w:val="00AB4B51"/>
    <w:rsid w:val="00AE0CA4"/>
    <w:rsid w:val="00AE0E02"/>
    <w:rsid w:val="00AE4CC4"/>
    <w:rsid w:val="00B0430A"/>
    <w:rsid w:val="00B06B1F"/>
    <w:rsid w:val="00B10CC7"/>
    <w:rsid w:val="00B22E88"/>
    <w:rsid w:val="00B62458"/>
    <w:rsid w:val="00B821D7"/>
    <w:rsid w:val="00B8496D"/>
    <w:rsid w:val="00B86378"/>
    <w:rsid w:val="00BB797B"/>
    <w:rsid w:val="00BC6E12"/>
    <w:rsid w:val="00BD33EE"/>
    <w:rsid w:val="00C1322D"/>
    <w:rsid w:val="00C17003"/>
    <w:rsid w:val="00C33381"/>
    <w:rsid w:val="00C40F2F"/>
    <w:rsid w:val="00C56FC7"/>
    <w:rsid w:val="00C60F0C"/>
    <w:rsid w:val="00C61226"/>
    <w:rsid w:val="00C63EE3"/>
    <w:rsid w:val="00C705BF"/>
    <w:rsid w:val="00C70BE6"/>
    <w:rsid w:val="00C76505"/>
    <w:rsid w:val="00C778BC"/>
    <w:rsid w:val="00C805C9"/>
    <w:rsid w:val="00CA1679"/>
    <w:rsid w:val="00D337B3"/>
    <w:rsid w:val="00D37BDC"/>
    <w:rsid w:val="00D405C2"/>
    <w:rsid w:val="00D42D75"/>
    <w:rsid w:val="00D45638"/>
    <w:rsid w:val="00D5042C"/>
    <w:rsid w:val="00D60BE4"/>
    <w:rsid w:val="00D80BBB"/>
    <w:rsid w:val="00D90138"/>
    <w:rsid w:val="00D9773D"/>
    <w:rsid w:val="00DB2042"/>
    <w:rsid w:val="00DE44AD"/>
    <w:rsid w:val="00E32AD4"/>
    <w:rsid w:val="00E73F76"/>
    <w:rsid w:val="00EB650E"/>
    <w:rsid w:val="00EC1557"/>
    <w:rsid w:val="00ED34DD"/>
    <w:rsid w:val="00EF1360"/>
    <w:rsid w:val="00EF3220"/>
    <w:rsid w:val="00F02E54"/>
    <w:rsid w:val="00F068B3"/>
    <w:rsid w:val="00F13F93"/>
    <w:rsid w:val="00F23A67"/>
    <w:rsid w:val="00F44B33"/>
    <w:rsid w:val="00F94155"/>
    <w:rsid w:val="00F944A3"/>
    <w:rsid w:val="00FA0E81"/>
    <w:rsid w:val="00FC431B"/>
    <w:rsid w:val="00FD2EF7"/>
    <w:rsid w:val="00FD4AD6"/>
    <w:rsid w:val="00FF1D3D"/>
    <w:rsid w:val="00FF1E5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3008C15"/>
  <w15:docId w15:val="{DDBF8870-9290-4D56-A9D4-49FB8DB2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80"/>
    <w:pPr>
      <w:spacing w:line="240" w:lineRule="atLeast"/>
    </w:pPr>
    <w:rPr>
      <w:lang w:val="es-ES" w:eastAsia="es-ES"/>
    </w:rPr>
  </w:style>
  <w:style w:type="paragraph" w:styleId="Heading1">
    <w:name w:val="heading 1"/>
    <w:aliases w:val="Table_G"/>
    <w:basedOn w:val="SingleTxtG"/>
    <w:next w:val="SingleTxtG"/>
    <w:qFormat/>
    <w:rsid w:val="004875CF"/>
    <w:pPr>
      <w:keepNext/>
      <w:spacing w:after="0" w:line="240" w:lineRule="auto"/>
      <w:outlineLvl w:val="0"/>
    </w:pPr>
    <w:rPr>
      <w:rFonts w:cs="Arial"/>
      <w:bCs/>
      <w:szCs w:val="32"/>
    </w:rPr>
  </w:style>
  <w:style w:type="paragraph" w:styleId="Heading2">
    <w:name w:val="heading 2"/>
    <w:basedOn w:val="Normal"/>
    <w:next w:val="Normal"/>
    <w:semiHidden/>
    <w:qFormat/>
    <w:rsid w:val="00C76505"/>
    <w:pPr>
      <w:keepNext/>
      <w:outlineLvl w:val="1"/>
    </w:pPr>
    <w:rPr>
      <w:rFonts w:cs="Arial"/>
      <w:bCs/>
      <w:iCs/>
      <w:szCs w:val="28"/>
    </w:rPr>
  </w:style>
  <w:style w:type="paragraph" w:styleId="Heading3">
    <w:name w:val="heading 3"/>
    <w:basedOn w:val="Normal"/>
    <w:next w:val="Normal"/>
    <w:link w:val="Heading3Char"/>
    <w:uiPriority w:val="9"/>
    <w:semiHidden/>
    <w:qFormat/>
    <w:rsid w:val="00C76505"/>
    <w:pPr>
      <w:keepNext/>
      <w:spacing w:before="240" w:after="60"/>
      <w:outlineLvl w:val="2"/>
    </w:pPr>
    <w:rPr>
      <w:rFonts w:ascii="Arial" w:hAnsi="Arial" w:cs="Arial"/>
      <w:b/>
      <w:bCs/>
      <w:sz w:val="26"/>
      <w:szCs w:val="26"/>
    </w:rPr>
  </w:style>
  <w:style w:type="paragraph" w:styleId="Heading4">
    <w:name w:val="heading 4"/>
    <w:basedOn w:val="Normal"/>
    <w:next w:val="Normal"/>
    <w:semiHidden/>
    <w:qFormat/>
    <w:rsid w:val="00C76505"/>
    <w:pPr>
      <w:keepNext/>
      <w:spacing w:before="240" w:after="60"/>
      <w:outlineLvl w:val="3"/>
    </w:pPr>
    <w:rPr>
      <w:b/>
      <w:bCs/>
      <w:sz w:val="28"/>
      <w:szCs w:val="28"/>
    </w:rPr>
  </w:style>
  <w:style w:type="paragraph" w:styleId="Heading5">
    <w:name w:val="heading 5"/>
    <w:basedOn w:val="Normal"/>
    <w:next w:val="Normal"/>
    <w:semiHidden/>
    <w:qFormat/>
    <w:rsid w:val="00C76505"/>
    <w:pPr>
      <w:spacing w:before="240" w:after="60"/>
      <w:outlineLvl w:val="4"/>
    </w:pPr>
    <w:rPr>
      <w:b/>
      <w:bCs/>
      <w:i/>
      <w:iCs/>
      <w:sz w:val="26"/>
      <w:szCs w:val="26"/>
    </w:rPr>
  </w:style>
  <w:style w:type="paragraph" w:styleId="Heading6">
    <w:name w:val="heading 6"/>
    <w:basedOn w:val="Normal"/>
    <w:next w:val="Normal"/>
    <w:semiHidden/>
    <w:qFormat/>
    <w:rsid w:val="00C76505"/>
    <w:pPr>
      <w:spacing w:before="240" w:after="60"/>
      <w:outlineLvl w:val="5"/>
    </w:pPr>
    <w:rPr>
      <w:b/>
      <w:bCs/>
      <w:sz w:val="22"/>
      <w:szCs w:val="22"/>
    </w:rPr>
  </w:style>
  <w:style w:type="paragraph" w:styleId="Heading7">
    <w:name w:val="heading 7"/>
    <w:basedOn w:val="Normal"/>
    <w:next w:val="Normal"/>
    <w:semiHidden/>
    <w:qFormat/>
    <w:rsid w:val="00C76505"/>
    <w:pPr>
      <w:spacing w:before="240" w:after="60"/>
      <w:outlineLvl w:val="6"/>
    </w:pPr>
    <w:rPr>
      <w:sz w:val="24"/>
      <w:szCs w:val="24"/>
    </w:rPr>
  </w:style>
  <w:style w:type="paragraph" w:styleId="Heading8">
    <w:name w:val="heading 8"/>
    <w:basedOn w:val="Normal"/>
    <w:next w:val="Normal"/>
    <w:semiHidden/>
    <w:qFormat/>
    <w:rsid w:val="00C76505"/>
    <w:pPr>
      <w:spacing w:before="240" w:after="60"/>
      <w:outlineLvl w:val="7"/>
    </w:pPr>
    <w:rPr>
      <w:i/>
      <w:iCs/>
      <w:sz w:val="24"/>
      <w:szCs w:val="24"/>
    </w:rPr>
  </w:style>
  <w:style w:type="paragraph" w:styleId="Heading9">
    <w:name w:val="heading 9"/>
    <w:basedOn w:val="Normal"/>
    <w:next w:val="Normal"/>
    <w:semiHidden/>
    <w:qFormat/>
    <w:rsid w:val="00C765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 number,ftref,Footnotes refss,Style 10,referencia nota al pie,BVI fnr,Footnote text,4_Footnote text,callout,Fago Fußnotenzeichen,16 Point,Superscript 6 Point,Footnote,Footnote symbol,Appel note de bas de p.,f"/>
    <w:basedOn w:val="DefaultParagraphFont"/>
    <w:uiPriority w:val="99"/>
    <w:qFormat/>
    <w:rsid w:val="00C76505"/>
    <w:rPr>
      <w:rFonts w:ascii="Times New Roman" w:hAnsi="Times New Roman"/>
      <w:sz w:val="18"/>
      <w:vertAlign w:val="superscript"/>
    </w:rPr>
  </w:style>
  <w:style w:type="paragraph" w:customStyle="1" w:styleId="HMG">
    <w:name w:val="_ H __M_G"/>
    <w:basedOn w:val="Normal"/>
    <w:next w:val="Normal"/>
    <w:qFormat/>
    <w:rsid w:val="00C76505"/>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C76505"/>
    <w:pPr>
      <w:keepNext/>
      <w:keepLines/>
      <w:tabs>
        <w:tab w:val="right" w:pos="851"/>
      </w:tabs>
      <w:suppressAutoHyphens/>
      <w:spacing w:before="360" w:after="240" w:line="300" w:lineRule="exact"/>
      <w:ind w:left="1134" w:right="1134" w:hanging="1134"/>
    </w:pPr>
    <w:rPr>
      <w:b/>
      <w:sz w:val="28"/>
    </w:rPr>
  </w:style>
  <w:style w:type="paragraph" w:styleId="BalloonText">
    <w:name w:val="Balloon Text"/>
    <w:basedOn w:val="Normal"/>
    <w:link w:val="BalloonTextChar"/>
    <w:uiPriority w:val="99"/>
    <w:semiHidden/>
    <w:rsid w:val="004D5D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80"/>
    <w:rPr>
      <w:rFonts w:ascii="Tahoma" w:hAnsi="Tahoma" w:cs="Tahoma"/>
      <w:sz w:val="16"/>
      <w:szCs w:val="16"/>
      <w:lang w:val="es-ES" w:eastAsia="es-ES"/>
    </w:rPr>
  </w:style>
  <w:style w:type="paragraph" w:customStyle="1" w:styleId="H1G">
    <w:name w:val="_ H_1_G"/>
    <w:basedOn w:val="Normal"/>
    <w:next w:val="Normal"/>
    <w:qFormat/>
    <w:rsid w:val="00C76505"/>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C76505"/>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C76505"/>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C76505"/>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qFormat/>
    <w:rsid w:val="008D5DB6"/>
    <w:pPr>
      <w:pBdr>
        <w:bottom w:val="single" w:sz="4" w:space="4" w:color="auto"/>
      </w:pBdr>
      <w:spacing w:line="240" w:lineRule="auto"/>
    </w:pPr>
    <w:rPr>
      <w:b/>
      <w:sz w:val="18"/>
    </w:rPr>
  </w:style>
  <w:style w:type="paragraph" w:customStyle="1" w:styleId="SingleTxtG">
    <w:name w:val="_ Single Txt_G"/>
    <w:basedOn w:val="Normal"/>
    <w:qFormat/>
    <w:rsid w:val="00C76505"/>
    <w:pPr>
      <w:spacing w:after="120"/>
      <w:ind w:left="1134" w:right="1134"/>
      <w:jc w:val="both"/>
    </w:pPr>
  </w:style>
  <w:style w:type="paragraph" w:customStyle="1" w:styleId="SMG">
    <w:name w:val="__S_M_G"/>
    <w:basedOn w:val="Normal"/>
    <w:next w:val="Normal"/>
    <w:rsid w:val="00C76505"/>
    <w:pPr>
      <w:keepNext/>
      <w:keepLines/>
      <w:suppressAutoHyphens/>
      <w:spacing w:before="240" w:after="240" w:line="420" w:lineRule="exact"/>
      <w:ind w:left="1134" w:right="1134"/>
    </w:pPr>
    <w:rPr>
      <w:b/>
      <w:sz w:val="40"/>
    </w:rPr>
  </w:style>
  <w:style w:type="paragraph" w:customStyle="1" w:styleId="SLG">
    <w:name w:val="__S_L_G"/>
    <w:basedOn w:val="Normal"/>
    <w:next w:val="Normal"/>
    <w:rsid w:val="00C76505"/>
    <w:pPr>
      <w:keepNext/>
      <w:keepLines/>
      <w:spacing w:before="240" w:after="240" w:line="580" w:lineRule="exact"/>
      <w:ind w:left="1134" w:right="1134"/>
    </w:pPr>
    <w:rPr>
      <w:b/>
      <w:sz w:val="56"/>
    </w:rPr>
  </w:style>
  <w:style w:type="paragraph" w:customStyle="1" w:styleId="SSG">
    <w:name w:val="__S_S_G"/>
    <w:basedOn w:val="Normal"/>
    <w:next w:val="Normal"/>
    <w:rsid w:val="00C76505"/>
    <w:pPr>
      <w:keepNext/>
      <w:keepLines/>
      <w:spacing w:before="240" w:after="240" w:line="300" w:lineRule="exact"/>
      <w:ind w:left="1134" w:right="1134"/>
    </w:pPr>
    <w:rPr>
      <w:b/>
      <w:sz w:val="28"/>
    </w:rPr>
  </w:style>
  <w:style w:type="paragraph" w:styleId="Footer">
    <w:name w:val="footer"/>
    <w:aliases w:val="3_G"/>
    <w:basedOn w:val="Normal"/>
    <w:next w:val="Normal"/>
    <w:qFormat/>
    <w:rsid w:val="00C76505"/>
    <w:rPr>
      <w:sz w:val="16"/>
    </w:rPr>
  </w:style>
  <w:style w:type="paragraph" w:customStyle="1" w:styleId="XLargeG">
    <w:name w:val="__XLarge_G"/>
    <w:basedOn w:val="Normal"/>
    <w:next w:val="Normal"/>
    <w:rsid w:val="00C76505"/>
    <w:pPr>
      <w:keepNext/>
      <w:keepLines/>
      <w:spacing w:before="240" w:after="240" w:line="420" w:lineRule="exact"/>
      <w:ind w:left="1134" w:right="1134"/>
    </w:pPr>
    <w:rPr>
      <w:b/>
      <w:sz w:val="40"/>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 Char,Footnote Reference1,Char,fn,Ca"/>
    <w:basedOn w:val="Normal"/>
    <w:link w:val="FootnoteTextChar"/>
    <w:uiPriority w:val="99"/>
    <w:qFormat/>
    <w:rsid w:val="00C76505"/>
    <w:pPr>
      <w:tabs>
        <w:tab w:val="right" w:pos="1021"/>
      </w:tabs>
      <w:spacing w:line="220" w:lineRule="exact"/>
      <w:ind w:left="1134" w:right="1134" w:hanging="1134"/>
    </w:pPr>
    <w:rPr>
      <w:sz w:val="18"/>
    </w:rPr>
  </w:style>
  <w:style w:type="table" w:styleId="TableGrid">
    <w:name w:val="Table Grid"/>
    <w:basedOn w:val="TableNormal"/>
    <w:semiHidden/>
    <w:rsid w:val="0059493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111111">
    <w:name w:val="Outline List 2"/>
    <w:basedOn w:val="NoList"/>
    <w:semiHidden/>
    <w:rsid w:val="00C76505"/>
    <w:pPr>
      <w:numPr>
        <w:numId w:val="3"/>
      </w:numPr>
    </w:pPr>
  </w:style>
  <w:style w:type="numbering" w:styleId="1ai">
    <w:name w:val="Outline List 1"/>
    <w:basedOn w:val="NoList"/>
    <w:semiHidden/>
    <w:rsid w:val="00C76505"/>
    <w:pPr>
      <w:numPr>
        <w:numId w:val="4"/>
      </w:numPr>
    </w:pPr>
  </w:style>
  <w:style w:type="character" w:styleId="HTMLAcronym">
    <w:name w:val="HTML Acronym"/>
    <w:basedOn w:val="DefaultParagraphFont"/>
    <w:semiHidden/>
    <w:rsid w:val="00C76505"/>
  </w:style>
  <w:style w:type="numbering" w:styleId="ArticleSection">
    <w:name w:val="Outline List 3"/>
    <w:basedOn w:val="NoList"/>
    <w:semiHidden/>
    <w:rsid w:val="00C76505"/>
    <w:pPr>
      <w:numPr>
        <w:numId w:val="5"/>
      </w:numPr>
    </w:pPr>
  </w:style>
  <w:style w:type="paragraph" w:styleId="Closing">
    <w:name w:val="Closing"/>
    <w:basedOn w:val="Normal"/>
    <w:semiHidden/>
    <w:rsid w:val="00C76505"/>
    <w:pPr>
      <w:ind w:left="4252"/>
    </w:pPr>
  </w:style>
  <w:style w:type="character" w:styleId="HTMLCite">
    <w:name w:val="HTML Cite"/>
    <w:basedOn w:val="DefaultParagraphFont"/>
    <w:semiHidden/>
    <w:rsid w:val="00C76505"/>
    <w:rPr>
      <w:i/>
      <w:iCs/>
    </w:rPr>
  </w:style>
  <w:style w:type="character" w:styleId="HTMLCode">
    <w:name w:val="HTML Code"/>
    <w:basedOn w:val="DefaultParagraphFont"/>
    <w:semiHidden/>
    <w:rsid w:val="00C76505"/>
    <w:rPr>
      <w:rFonts w:ascii="Courier New" w:hAnsi="Courier New" w:cs="Courier New"/>
      <w:sz w:val="20"/>
      <w:szCs w:val="20"/>
    </w:rPr>
  </w:style>
  <w:style w:type="paragraph" w:styleId="ListContinue">
    <w:name w:val="List Continue"/>
    <w:basedOn w:val="Normal"/>
    <w:semiHidden/>
    <w:rsid w:val="00C76505"/>
    <w:pPr>
      <w:spacing w:after="120"/>
      <w:ind w:left="283"/>
    </w:pPr>
  </w:style>
  <w:style w:type="paragraph" w:styleId="ListContinue2">
    <w:name w:val="List Continue 2"/>
    <w:basedOn w:val="Normal"/>
    <w:semiHidden/>
    <w:rsid w:val="00C76505"/>
    <w:pPr>
      <w:spacing w:after="120"/>
      <w:ind w:left="566"/>
    </w:pPr>
  </w:style>
  <w:style w:type="paragraph" w:styleId="ListContinue3">
    <w:name w:val="List Continue 3"/>
    <w:basedOn w:val="Normal"/>
    <w:semiHidden/>
    <w:rsid w:val="00C76505"/>
    <w:pPr>
      <w:spacing w:after="120"/>
      <w:ind w:left="849"/>
    </w:pPr>
  </w:style>
  <w:style w:type="paragraph" w:styleId="ListContinue4">
    <w:name w:val="List Continue 4"/>
    <w:basedOn w:val="Normal"/>
    <w:semiHidden/>
    <w:rsid w:val="00C76505"/>
    <w:pPr>
      <w:spacing w:after="120"/>
      <w:ind w:left="1132"/>
    </w:pPr>
  </w:style>
  <w:style w:type="paragraph" w:styleId="ListContinue5">
    <w:name w:val="List Continue 5"/>
    <w:basedOn w:val="Normal"/>
    <w:semiHidden/>
    <w:rsid w:val="00C76505"/>
    <w:pPr>
      <w:spacing w:after="120"/>
      <w:ind w:left="1415"/>
    </w:pPr>
  </w:style>
  <w:style w:type="character" w:styleId="HTMLDefinition">
    <w:name w:val="HTML Definition"/>
    <w:basedOn w:val="DefaultParagraphFont"/>
    <w:semiHidden/>
    <w:rsid w:val="00C76505"/>
    <w:rPr>
      <w:i/>
      <w:iCs/>
    </w:rPr>
  </w:style>
  <w:style w:type="paragraph" w:styleId="HTMLAddress">
    <w:name w:val="HTML Address"/>
    <w:basedOn w:val="Normal"/>
    <w:semiHidden/>
    <w:rsid w:val="00C76505"/>
    <w:rPr>
      <w:i/>
      <w:iCs/>
    </w:rPr>
  </w:style>
  <w:style w:type="paragraph" w:styleId="EnvelopeAddress">
    <w:name w:val="envelope address"/>
    <w:basedOn w:val="Normal"/>
    <w:semiHidden/>
    <w:rsid w:val="00C76505"/>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C76505"/>
    <w:rPr>
      <w:rFonts w:ascii="Courier New" w:hAnsi="Courier New" w:cs="Courier New"/>
    </w:rPr>
  </w:style>
  <w:style w:type="paragraph" w:styleId="MessageHeader">
    <w:name w:val="Message Header"/>
    <w:basedOn w:val="Normal"/>
    <w:semiHidden/>
    <w:rsid w:val="00C76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C76505"/>
  </w:style>
  <w:style w:type="character" w:styleId="Emphasis">
    <w:name w:val="Emphasis"/>
    <w:basedOn w:val="DefaultParagraphFont"/>
    <w:semiHidden/>
    <w:qFormat/>
    <w:rsid w:val="00C76505"/>
    <w:rPr>
      <w:i/>
      <w:iCs/>
    </w:rPr>
  </w:style>
  <w:style w:type="paragraph" w:styleId="Date">
    <w:name w:val="Date"/>
    <w:basedOn w:val="Normal"/>
    <w:next w:val="Normal"/>
    <w:semiHidden/>
    <w:rsid w:val="00C76505"/>
  </w:style>
  <w:style w:type="paragraph" w:styleId="Signature">
    <w:name w:val="Signature"/>
    <w:basedOn w:val="Normal"/>
    <w:semiHidden/>
    <w:rsid w:val="00C76505"/>
    <w:pPr>
      <w:ind w:left="4252"/>
    </w:pPr>
  </w:style>
  <w:style w:type="paragraph" w:styleId="E-mailSignature">
    <w:name w:val="E-mail Signature"/>
    <w:basedOn w:val="Normal"/>
    <w:semiHidden/>
    <w:rsid w:val="00C76505"/>
  </w:style>
  <w:style w:type="character" w:styleId="Hyperlink">
    <w:name w:val="Hyperlink"/>
    <w:basedOn w:val="DefaultParagraphFont"/>
    <w:rsid w:val="00594934"/>
    <w:rPr>
      <w:color w:val="auto"/>
      <w:u w:val="none"/>
    </w:rPr>
  </w:style>
  <w:style w:type="character" w:styleId="FollowedHyperlink">
    <w:name w:val="FollowedHyperlink"/>
    <w:basedOn w:val="DefaultParagraphFont"/>
    <w:semiHidden/>
    <w:rsid w:val="00594934"/>
    <w:rPr>
      <w:color w:val="auto"/>
      <w:u w:val="none"/>
    </w:rPr>
  </w:style>
  <w:style w:type="paragraph" w:styleId="HTMLPreformatted">
    <w:name w:val="HTML Preformatted"/>
    <w:basedOn w:val="Normal"/>
    <w:semiHidden/>
    <w:rsid w:val="00C76505"/>
    <w:rPr>
      <w:rFonts w:ascii="Courier New" w:hAnsi="Courier New" w:cs="Courier New"/>
    </w:rPr>
  </w:style>
  <w:style w:type="paragraph" w:styleId="List">
    <w:name w:val="List"/>
    <w:basedOn w:val="Normal"/>
    <w:semiHidden/>
    <w:rsid w:val="00C76505"/>
    <w:pPr>
      <w:ind w:left="283" w:hanging="283"/>
    </w:pPr>
  </w:style>
  <w:style w:type="paragraph" w:styleId="List2">
    <w:name w:val="List 2"/>
    <w:basedOn w:val="Normal"/>
    <w:semiHidden/>
    <w:rsid w:val="00C76505"/>
    <w:pPr>
      <w:ind w:left="566" w:hanging="283"/>
    </w:pPr>
  </w:style>
  <w:style w:type="paragraph" w:styleId="List3">
    <w:name w:val="List 3"/>
    <w:basedOn w:val="Normal"/>
    <w:semiHidden/>
    <w:rsid w:val="00C76505"/>
    <w:pPr>
      <w:ind w:left="849" w:hanging="283"/>
    </w:pPr>
  </w:style>
  <w:style w:type="paragraph" w:styleId="List4">
    <w:name w:val="List 4"/>
    <w:basedOn w:val="Normal"/>
    <w:semiHidden/>
    <w:rsid w:val="00C76505"/>
    <w:pPr>
      <w:ind w:left="1132" w:hanging="283"/>
    </w:pPr>
  </w:style>
  <w:style w:type="paragraph" w:styleId="List5">
    <w:name w:val="List 5"/>
    <w:basedOn w:val="Normal"/>
    <w:semiHidden/>
    <w:rsid w:val="00C76505"/>
    <w:pPr>
      <w:ind w:left="1415" w:hanging="283"/>
    </w:pPr>
  </w:style>
  <w:style w:type="paragraph" w:styleId="ListNumber">
    <w:name w:val="List Number"/>
    <w:basedOn w:val="Normal"/>
    <w:semiHidden/>
    <w:rsid w:val="00C76505"/>
    <w:pPr>
      <w:numPr>
        <w:numId w:val="6"/>
      </w:numPr>
    </w:pPr>
  </w:style>
  <w:style w:type="paragraph" w:styleId="ListNumber2">
    <w:name w:val="List Number 2"/>
    <w:basedOn w:val="Normal"/>
    <w:semiHidden/>
    <w:rsid w:val="00C76505"/>
    <w:pPr>
      <w:numPr>
        <w:numId w:val="7"/>
      </w:numPr>
    </w:pPr>
  </w:style>
  <w:style w:type="paragraph" w:styleId="ListNumber3">
    <w:name w:val="List Number 3"/>
    <w:basedOn w:val="Normal"/>
    <w:semiHidden/>
    <w:rsid w:val="00C76505"/>
    <w:pPr>
      <w:numPr>
        <w:numId w:val="8"/>
      </w:numPr>
    </w:pPr>
  </w:style>
  <w:style w:type="paragraph" w:styleId="ListNumber4">
    <w:name w:val="List Number 4"/>
    <w:basedOn w:val="Normal"/>
    <w:semiHidden/>
    <w:rsid w:val="00C76505"/>
    <w:pPr>
      <w:numPr>
        <w:numId w:val="9"/>
      </w:numPr>
    </w:pPr>
  </w:style>
  <w:style w:type="paragraph" w:styleId="ListNumber5">
    <w:name w:val="List Number 5"/>
    <w:basedOn w:val="Normal"/>
    <w:semiHidden/>
    <w:rsid w:val="00C76505"/>
    <w:pPr>
      <w:numPr>
        <w:numId w:val="10"/>
      </w:numPr>
    </w:pPr>
  </w:style>
  <w:style w:type="paragraph" w:styleId="ListBullet">
    <w:name w:val="List Bullet"/>
    <w:basedOn w:val="Normal"/>
    <w:semiHidden/>
    <w:rsid w:val="00C76505"/>
    <w:pPr>
      <w:numPr>
        <w:numId w:val="11"/>
      </w:numPr>
    </w:pPr>
  </w:style>
  <w:style w:type="paragraph" w:styleId="ListBullet2">
    <w:name w:val="List Bullet 2"/>
    <w:basedOn w:val="Normal"/>
    <w:semiHidden/>
    <w:rsid w:val="00C76505"/>
    <w:pPr>
      <w:numPr>
        <w:numId w:val="12"/>
      </w:numPr>
    </w:pPr>
  </w:style>
  <w:style w:type="paragraph" w:styleId="ListBullet3">
    <w:name w:val="List Bullet 3"/>
    <w:basedOn w:val="Normal"/>
    <w:semiHidden/>
    <w:rsid w:val="00C76505"/>
    <w:pPr>
      <w:numPr>
        <w:numId w:val="13"/>
      </w:numPr>
    </w:pPr>
  </w:style>
  <w:style w:type="paragraph" w:styleId="ListBullet4">
    <w:name w:val="List Bullet 4"/>
    <w:basedOn w:val="Normal"/>
    <w:semiHidden/>
    <w:rsid w:val="00C76505"/>
    <w:pPr>
      <w:numPr>
        <w:numId w:val="14"/>
      </w:numPr>
    </w:pPr>
  </w:style>
  <w:style w:type="paragraph" w:styleId="ListBullet5">
    <w:name w:val="List Bullet 5"/>
    <w:basedOn w:val="Normal"/>
    <w:semiHidden/>
    <w:rsid w:val="00C76505"/>
    <w:pPr>
      <w:numPr>
        <w:numId w:val="15"/>
      </w:numPr>
    </w:pPr>
  </w:style>
  <w:style w:type="character" w:styleId="HTMLTypewriter">
    <w:name w:val="HTML Typewriter"/>
    <w:basedOn w:val="DefaultParagraphFont"/>
    <w:semiHidden/>
    <w:rsid w:val="00C76505"/>
    <w:rPr>
      <w:rFonts w:ascii="Courier New" w:hAnsi="Courier New" w:cs="Courier New"/>
      <w:sz w:val="20"/>
      <w:szCs w:val="20"/>
    </w:rPr>
  </w:style>
  <w:style w:type="paragraph" w:styleId="NormalWeb">
    <w:name w:val="Normal (Web)"/>
    <w:basedOn w:val="Normal"/>
    <w:semiHidden/>
    <w:rsid w:val="00C76505"/>
    <w:rPr>
      <w:sz w:val="24"/>
      <w:szCs w:val="24"/>
    </w:rPr>
  </w:style>
  <w:style w:type="character" w:styleId="LineNumber">
    <w:name w:val="line number"/>
    <w:basedOn w:val="DefaultParagraphFont"/>
    <w:semiHidden/>
    <w:rsid w:val="00C76505"/>
  </w:style>
  <w:style w:type="character" w:styleId="PageNumber">
    <w:name w:val="page number"/>
    <w:aliases w:val="7_G"/>
    <w:basedOn w:val="DefaultParagraphFont"/>
    <w:qFormat/>
    <w:rsid w:val="00C76505"/>
    <w:rPr>
      <w:b/>
      <w:sz w:val="18"/>
    </w:rPr>
  </w:style>
  <w:style w:type="character" w:styleId="EndnoteReference">
    <w:name w:val="endnote reference"/>
    <w:aliases w:val="1_G"/>
    <w:basedOn w:val="FootnoteReference"/>
    <w:qFormat/>
    <w:rsid w:val="00C76505"/>
    <w:rPr>
      <w:rFonts w:ascii="Times New Roman" w:hAnsi="Times New Roman"/>
      <w:sz w:val="18"/>
      <w:vertAlign w:val="superscript"/>
    </w:rPr>
  </w:style>
  <w:style w:type="paragraph" w:styleId="EnvelopeReturn">
    <w:name w:val="envelope return"/>
    <w:basedOn w:val="Normal"/>
    <w:semiHidden/>
    <w:rsid w:val="00C76505"/>
    <w:rPr>
      <w:rFonts w:ascii="Arial" w:hAnsi="Arial" w:cs="Arial"/>
    </w:rPr>
  </w:style>
  <w:style w:type="paragraph" w:styleId="Salutation">
    <w:name w:val="Salutation"/>
    <w:basedOn w:val="Normal"/>
    <w:next w:val="Normal"/>
    <w:semiHidden/>
    <w:rsid w:val="00C76505"/>
  </w:style>
  <w:style w:type="paragraph" w:styleId="BodyTextIndent2">
    <w:name w:val="Body Text Indent 2"/>
    <w:basedOn w:val="Normal"/>
    <w:semiHidden/>
    <w:rsid w:val="00C76505"/>
    <w:pPr>
      <w:spacing w:after="120" w:line="480" w:lineRule="auto"/>
      <w:ind w:left="283"/>
    </w:pPr>
  </w:style>
  <w:style w:type="paragraph" w:styleId="BodyTextIndent3">
    <w:name w:val="Body Text Indent 3"/>
    <w:basedOn w:val="Normal"/>
    <w:semiHidden/>
    <w:rsid w:val="00C76505"/>
    <w:pPr>
      <w:spacing w:after="120"/>
      <w:ind w:left="283"/>
    </w:pPr>
    <w:rPr>
      <w:sz w:val="16"/>
      <w:szCs w:val="16"/>
    </w:rPr>
  </w:style>
  <w:style w:type="paragraph" w:styleId="BodyTextIndent">
    <w:name w:val="Body Text Indent"/>
    <w:basedOn w:val="Normal"/>
    <w:semiHidden/>
    <w:rsid w:val="00C76505"/>
    <w:pPr>
      <w:spacing w:after="120"/>
      <w:ind w:left="283"/>
    </w:pPr>
  </w:style>
  <w:style w:type="paragraph" w:styleId="NormalIndent">
    <w:name w:val="Normal Indent"/>
    <w:basedOn w:val="Normal"/>
    <w:semiHidden/>
    <w:rsid w:val="00C76505"/>
    <w:pPr>
      <w:ind w:left="567"/>
    </w:pPr>
  </w:style>
  <w:style w:type="paragraph" w:styleId="Subtitle">
    <w:name w:val="Subtitle"/>
    <w:basedOn w:val="Normal"/>
    <w:semiHidden/>
    <w:qFormat/>
    <w:rsid w:val="00C76505"/>
    <w:pPr>
      <w:spacing w:after="60"/>
      <w:jc w:val="center"/>
      <w:outlineLvl w:val="1"/>
    </w:pPr>
    <w:rPr>
      <w:rFonts w:ascii="Arial" w:hAnsi="Arial" w:cs="Arial"/>
      <w:sz w:val="24"/>
      <w:szCs w:val="24"/>
    </w:rPr>
  </w:style>
  <w:style w:type="table" w:styleId="TableSimple1">
    <w:name w:val="Table Simple 1"/>
    <w:basedOn w:val="TableNormal"/>
    <w:semiHidden/>
    <w:rsid w:val="00C7650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6505"/>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6505"/>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6505"/>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C76505"/>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6505"/>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6505"/>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6505"/>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6505"/>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6505"/>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6505"/>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6505"/>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6505"/>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6505"/>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C76505"/>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6505"/>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6505"/>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C76505"/>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6505"/>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6505"/>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6505"/>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C7650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C76505"/>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C76505"/>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6505"/>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6505"/>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C76505"/>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6505"/>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6505"/>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C76505"/>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6505"/>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6505"/>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C76505"/>
    <w:rPr>
      <w:rFonts w:ascii="Courier New" w:hAnsi="Courier New" w:cs="Courier New"/>
      <w:sz w:val="20"/>
      <w:szCs w:val="20"/>
    </w:rPr>
  </w:style>
  <w:style w:type="paragraph" w:styleId="BlockText">
    <w:name w:val="Block Text"/>
    <w:basedOn w:val="Normal"/>
    <w:semiHidden/>
    <w:rsid w:val="00C76505"/>
    <w:pPr>
      <w:spacing w:after="120"/>
      <w:ind w:left="1440" w:right="1440"/>
    </w:pPr>
  </w:style>
  <w:style w:type="character" w:styleId="Strong">
    <w:name w:val="Strong"/>
    <w:basedOn w:val="DefaultParagraphFont"/>
    <w:semiHidden/>
    <w:qFormat/>
    <w:rsid w:val="00C76505"/>
    <w:rPr>
      <w:b/>
      <w:bCs/>
    </w:rPr>
  </w:style>
  <w:style w:type="paragraph" w:styleId="BodyText">
    <w:name w:val="Body Text"/>
    <w:basedOn w:val="Normal"/>
    <w:semiHidden/>
    <w:rsid w:val="00C76505"/>
    <w:pPr>
      <w:spacing w:after="120"/>
    </w:pPr>
  </w:style>
  <w:style w:type="paragraph" w:styleId="BodyText2">
    <w:name w:val="Body Text 2"/>
    <w:basedOn w:val="Normal"/>
    <w:semiHidden/>
    <w:rsid w:val="00C76505"/>
    <w:pPr>
      <w:spacing w:after="120" w:line="480" w:lineRule="auto"/>
    </w:pPr>
  </w:style>
  <w:style w:type="paragraph" w:styleId="BodyText3">
    <w:name w:val="Body Text 3"/>
    <w:basedOn w:val="Normal"/>
    <w:semiHidden/>
    <w:rsid w:val="00C76505"/>
    <w:pPr>
      <w:spacing w:after="120"/>
    </w:pPr>
    <w:rPr>
      <w:sz w:val="16"/>
      <w:szCs w:val="16"/>
    </w:rPr>
  </w:style>
  <w:style w:type="paragraph" w:styleId="BodyTextFirstIndent">
    <w:name w:val="Body Text First Indent"/>
    <w:basedOn w:val="BodyText"/>
    <w:semiHidden/>
    <w:rsid w:val="00C76505"/>
    <w:pPr>
      <w:ind w:firstLine="210"/>
    </w:pPr>
  </w:style>
  <w:style w:type="paragraph" w:styleId="BodyTextFirstIndent2">
    <w:name w:val="Body Text First Indent 2"/>
    <w:basedOn w:val="BodyTextIndent"/>
    <w:semiHidden/>
    <w:rsid w:val="00C76505"/>
    <w:pPr>
      <w:ind w:firstLine="210"/>
    </w:pPr>
  </w:style>
  <w:style w:type="paragraph" w:styleId="EndnoteText">
    <w:name w:val="endnote text"/>
    <w:aliases w:val="2_G"/>
    <w:basedOn w:val="FootnoteText"/>
    <w:qFormat/>
    <w:rsid w:val="00C76505"/>
  </w:style>
  <w:style w:type="paragraph" w:styleId="PlainText">
    <w:name w:val="Plain Text"/>
    <w:basedOn w:val="Normal"/>
    <w:semiHidden/>
    <w:rsid w:val="00C76505"/>
    <w:rPr>
      <w:rFonts w:ascii="Courier New" w:hAnsi="Courier New" w:cs="Courier New"/>
    </w:rPr>
  </w:style>
  <w:style w:type="paragraph" w:styleId="Title">
    <w:name w:val="Title"/>
    <w:basedOn w:val="Normal"/>
    <w:semiHidden/>
    <w:qFormat/>
    <w:rsid w:val="00C76505"/>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C76505"/>
    <w:rPr>
      <w:i/>
      <w:iCs/>
    </w:rPr>
  </w:style>
  <w:style w:type="paragraph" w:customStyle="1" w:styleId="Bullet1G">
    <w:name w:val="_Bullet 1_G"/>
    <w:basedOn w:val="Normal"/>
    <w:qFormat/>
    <w:rsid w:val="00C76505"/>
    <w:pPr>
      <w:numPr>
        <w:numId w:val="1"/>
      </w:numPr>
      <w:spacing w:after="120"/>
      <w:ind w:right="1134"/>
      <w:jc w:val="both"/>
    </w:pPr>
    <w:rPr>
      <w:lang w:eastAsia="en-US"/>
    </w:rPr>
  </w:style>
  <w:style w:type="paragraph" w:customStyle="1" w:styleId="Bullet2G">
    <w:name w:val="_Bullet 2_G"/>
    <w:basedOn w:val="Normal"/>
    <w:qFormat/>
    <w:rsid w:val="00C76505"/>
    <w:pPr>
      <w:numPr>
        <w:numId w:val="2"/>
      </w:numPr>
      <w:spacing w:after="120"/>
      <w:ind w:right="1134"/>
      <w:jc w:val="both"/>
    </w:pPr>
  </w:style>
  <w:style w:type="paragraph" w:customStyle="1" w:styleId="ParNoG">
    <w:name w:val="_ParNo_G"/>
    <w:basedOn w:val="SingleTxtG"/>
    <w:qFormat/>
    <w:rsid w:val="00D60BE4"/>
    <w:pPr>
      <w:numPr>
        <w:numId w:val="16"/>
      </w:numPr>
      <w:suppressAutoHyphens/>
      <w:kinsoku w:val="0"/>
      <w:overflowPunct w:val="0"/>
      <w:autoSpaceDE w:val="0"/>
      <w:autoSpaceDN w:val="0"/>
      <w:adjustRightInd w:val="0"/>
      <w:snapToGrid w:val="0"/>
    </w:pPr>
    <w:rPr>
      <w:lang w:eastAsia="en-US"/>
    </w:rPr>
  </w:style>
  <w:style w:type="paragraph" w:customStyle="1" w:styleId="CuerpoA">
    <w:name w:val="Cuerpo A"/>
    <w:rsid w:val="00305DAA"/>
    <w:pPr>
      <w:pBdr>
        <w:top w:val="nil"/>
        <w:left w:val="nil"/>
        <w:bottom w:val="nil"/>
        <w:right w:val="nil"/>
        <w:between w:val="nil"/>
        <w:bar w:val="nil"/>
      </w:pBdr>
      <w:spacing w:line="240" w:lineRule="atLeast"/>
    </w:pPr>
    <w:rPr>
      <w:rFonts w:eastAsia="Arial Unicode MS" w:cs="Arial Unicode MS"/>
      <w:color w:val="000000"/>
      <w:u w:color="000000"/>
      <w:bdr w:val="nil"/>
      <w:lang w:val="es-ES_tradnl" w:eastAsia="en-GB"/>
      <w14:textOutline w14:w="12700" w14:cap="flat" w14:cmpd="sng" w14:algn="ctr">
        <w14:noFill/>
        <w14:prstDash w14:val="solid"/>
        <w14:miter w14:lim="400000"/>
      </w14:textOutline>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 Char Char,Footnote Reference1 Char"/>
    <w:basedOn w:val="DefaultParagraphFont"/>
    <w:link w:val="FootnoteText"/>
    <w:uiPriority w:val="99"/>
    <w:rsid w:val="00305DAA"/>
    <w:rPr>
      <w:sz w:val="18"/>
      <w:lang w:val="es-ES" w:eastAsia="es-ES"/>
    </w:rPr>
  </w:style>
  <w:style w:type="character" w:customStyle="1" w:styleId="Ninguno">
    <w:name w:val="Ninguno"/>
    <w:rsid w:val="00C705BF"/>
    <w:rPr>
      <w:lang w:val="es-ES_tradnl"/>
    </w:rPr>
  </w:style>
  <w:style w:type="paragraph" w:customStyle="1" w:styleId="EncabezadoypieA">
    <w:name w:val="Encabezado y pie A"/>
    <w:rsid w:val="00C705BF"/>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Cuerpo">
    <w:name w:val="Cuerpo"/>
    <w:rsid w:val="00C705BF"/>
    <w:pPr>
      <w:pBdr>
        <w:top w:val="nil"/>
        <w:left w:val="nil"/>
        <w:bottom w:val="nil"/>
        <w:right w:val="nil"/>
        <w:between w:val="nil"/>
        <w:bar w:val="nil"/>
      </w:pBdr>
    </w:pPr>
    <w:rPr>
      <w:color w:val="000000"/>
      <w:sz w:val="24"/>
      <w:szCs w:val="24"/>
      <w:u w:color="000000"/>
      <w:bdr w:val="nil"/>
      <w:lang w:val="en-GB" w:eastAsia="en-GB"/>
      <w14:textOutline w14:w="0" w14:cap="flat" w14:cmpd="sng" w14:algn="ctr">
        <w14:noFill/>
        <w14:prstDash w14:val="solid"/>
        <w14:bevel/>
      </w14:textOutline>
    </w:rPr>
  </w:style>
  <w:style w:type="paragraph" w:customStyle="1" w:styleId="CuerpoB">
    <w:name w:val="Cuerpo B"/>
    <w:rsid w:val="00C705BF"/>
    <w:pPr>
      <w:pBdr>
        <w:top w:val="nil"/>
        <w:left w:val="nil"/>
        <w:bottom w:val="nil"/>
        <w:right w:val="nil"/>
        <w:between w:val="nil"/>
        <w:bar w:val="nil"/>
      </w:pBdr>
    </w:pPr>
    <w:rPr>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CuerpoBA">
    <w:name w:val="Cuerpo B A"/>
    <w:rsid w:val="00C705BF"/>
    <w:pPr>
      <w:pBdr>
        <w:top w:val="nil"/>
        <w:left w:val="nil"/>
        <w:bottom w:val="nil"/>
        <w:right w:val="nil"/>
        <w:between w:val="nil"/>
        <w:bar w:val="nil"/>
      </w:pBdr>
    </w:pPr>
    <w:rPr>
      <w:color w:val="000000"/>
      <w:sz w:val="24"/>
      <w:szCs w:val="24"/>
      <w:u w:color="000000"/>
      <w:bdr w:val="nil"/>
      <w:lang w:val="en-US" w:eastAsia="en-GB"/>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C705BF"/>
    <w:rPr>
      <w:sz w:val="16"/>
      <w:szCs w:val="16"/>
    </w:rPr>
  </w:style>
  <w:style w:type="paragraph" w:styleId="CommentText">
    <w:name w:val="annotation text"/>
    <w:basedOn w:val="Normal"/>
    <w:link w:val="CommentTextChar"/>
    <w:uiPriority w:val="99"/>
    <w:semiHidden/>
    <w:unhideWhenUsed/>
    <w:rsid w:val="00C705BF"/>
    <w:pPr>
      <w:pBdr>
        <w:top w:val="nil"/>
        <w:left w:val="nil"/>
        <w:bottom w:val="nil"/>
        <w:right w:val="nil"/>
        <w:between w:val="nil"/>
        <w:bar w:val="nil"/>
      </w:pBdr>
      <w:spacing w:line="240" w:lineRule="auto"/>
    </w:pPr>
    <w:rPr>
      <w:rFonts w:eastAsia="Arial Unicode MS"/>
      <w:bdr w:val="nil"/>
      <w:lang w:val="en-US" w:eastAsia="en-US"/>
    </w:rPr>
  </w:style>
  <w:style w:type="character" w:customStyle="1" w:styleId="CommentTextChar">
    <w:name w:val="Comment Text Char"/>
    <w:basedOn w:val="DefaultParagraphFont"/>
    <w:link w:val="CommentText"/>
    <w:uiPriority w:val="99"/>
    <w:semiHidden/>
    <w:rsid w:val="00C705BF"/>
    <w:rPr>
      <w:rFonts w:eastAsia="Arial Unicode MS"/>
      <w:bdr w:val="nil"/>
      <w:lang w:val="en-US" w:eastAsia="en-US"/>
    </w:rPr>
  </w:style>
  <w:style w:type="paragraph" w:styleId="CommentSubject">
    <w:name w:val="annotation subject"/>
    <w:basedOn w:val="CommentText"/>
    <w:next w:val="CommentText"/>
    <w:link w:val="CommentSubjectChar"/>
    <w:uiPriority w:val="99"/>
    <w:semiHidden/>
    <w:unhideWhenUsed/>
    <w:rsid w:val="00C705BF"/>
    <w:rPr>
      <w:b/>
      <w:bCs/>
    </w:rPr>
  </w:style>
  <w:style w:type="character" w:customStyle="1" w:styleId="CommentSubjectChar">
    <w:name w:val="Comment Subject Char"/>
    <w:basedOn w:val="CommentTextChar"/>
    <w:link w:val="CommentSubject"/>
    <w:uiPriority w:val="99"/>
    <w:semiHidden/>
    <w:rsid w:val="00C705BF"/>
    <w:rPr>
      <w:rFonts w:eastAsia="Arial Unicode MS"/>
      <w:b/>
      <w:bCs/>
      <w:bdr w:val="nil"/>
      <w:lang w:val="en-US" w:eastAsia="en-US"/>
    </w:rPr>
  </w:style>
  <w:style w:type="character" w:customStyle="1" w:styleId="Heading3Char">
    <w:name w:val="Heading 3 Char"/>
    <w:basedOn w:val="DefaultParagraphFont"/>
    <w:link w:val="Heading3"/>
    <w:uiPriority w:val="9"/>
    <w:semiHidden/>
    <w:rsid w:val="00C705BF"/>
    <w:rPr>
      <w:rFonts w:ascii="Arial" w:hAnsi="Arial" w:cs="Arial"/>
      <w:b/>
      <w:bCs/>
      <w:sz w:val="26"/>
      <w:szCs w:val="26"/>
      <w:lang w:val="es-ES" w:eastAsia="es-ES"/>
    </w:rPr>
  </w:style>
  <w:style w:type="paragraph" w:styleId="ListParagraph">
    <w:name w:val="List Paragraph"/>
    <w:basedOn w:val="Normal"/>
    <w:uiPriority w:val="34"/>
    <w:qFormat/>
    <w:rsid w:val="00137CBA"/>
    <w:pPr>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07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CPR\CCPR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7B928-853F-4173-838A-95512BA4FBF4}"/>
</file>

<file path=customXml/itemProps2.xml><?xml version="1.0" encoding="utf-8"?>
<ds:datastoreItem xmlns:ds="http://schemas.openxmlformats.org/officeDocument/2006/customXml" ds:itemID="{28F0781E-74B9-4F15-BFDE-D818E6134938}"/>
</file>

<file path=customXml/itemProps3.xml><?xml version="1.0" encoding="utf-8"?>
<ds:datastoreItem xmlns:ds="http://schemas.openxmlformats.org/officeDocument/2006/customXml" ds:itemID="{9518618E-BADE-4621-9213-B97E5F296ACA}"/>
</file>

<file path=docProps/app.xml><?xml version="1.0" encoding="utf-8"?>
<Properties xmlns="http://schemas.openxmlformats.org/officeDocument/2006/extended-properties" xmlns:vt="http://schemas.openxmlformats.org/officeDocument/2006/docPropsVTypes">
  <Template>CCPR_S.dotm</Template>
  <TotalTime>3</TotalTime>
  <Pages>16</Pages>
  <Words>9525</Words>
  <Characters>49134</Characters>
  <Application>Microsoft Office Word</Application>
  <DocSecurity>0</DocSecurity>
  <Lines>409</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CCPR/C/130/DR/2558/2015</vt:lpstr>
      <vt:lpstr>Naciones Unidas</vt:lpstr>
    </vt:vector>
  </TitlesOfParts>
  <Company>DCM</Company>
  <LinksUpToDate>false</LinksUpToDate>
  <CharactersWithSpaces>58542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CCPR/C/130/DR/2558/2015</dc:title>
  <dc:subject/>
  <dc:creator>Maria Luisa Zeballos Moreno</dc:creator>
  <cp:keywords/>
  <dc:description/>
  <cp:lastModifiedBy>Mohamed Abdelazim</cp:lastModifiedBy>
  <cp:revision>3</cp:revision>
  <cp:lastPrinted>2022-02-02T09:56:00Z</cp:lastPrinted>
  <dcterms:created xsi:type="dcterms:W3CDTF">2022-02-02T09:54:00Z</dcterms:created>
  <dcterms:modified xsi:type="dcterms:W3CDTF">2022-02-02T09:58:00Z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