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6554A" w:rsidRPr="0036554A" w14:paraId="52345619" w14:textId="77777777" w:rsidTr="00F603F4">
        <w:trPr>
          <w:cantSplit/>
          <w:trHeight w:hRule="exact" w:val="851"/>
        </w:trPr>
        <w:tc>
          <w:tcPr>
            <w:tcW w:w="1276" w:type="dxa"/>
            <w:tcBorders>
              <w:bottom w:val="single" w:sz="4" w:space="0" w:color="auto"/>
            </w:tcBorders>
            <w:vAlign w:val="bottom"/>
          </w:tcPr>
          <w:p w14:paraId="51AAFD68" w14:textId="77777777" w:rsidR="00165C15" w:rsidRPr="0036554A" w:rsidRDefault="00165C15" w:rsidP="00F603F4">
            <w:pPr>
              <w:spacing w:after="80"/>
              <w:rPr>
                <w:lang w:val="es-ES"/>
              </w:rPr>
            </w:pPr>
          </w:p>
        </w:tc>
        <w:tc>
          <w:tcPr>
            <w:tcW w:w="2268" w:type="dxa"/>
            <w:tcBorders>
              <w:bottom w:val="single" w:sz="4" w:space="0" w:color="auto"/>
            </w:tcBorders>
            <w:vAlign w:val="bottom"/>
          </w:tcPr>
          <w:p w14:paraId="27C86D9A" w14:textId="77777777" w:rsidR="00165C15" w:rsidRPr="0036554A" w:rsidRDefault="003A3F12" w:rsidP="00F603F4">
            <w:pPr>
              <w:spacing w:after="80" w:line="300" w:lineRule="exact"/>
              <w:rPr>
                <w:b/>
                <w:sz w:val="24"/>
                <w:szCs w:val="24"/>
                <w:lang w:val="es-ES"/>
              </w:rPr>
            </w:pPr>
            <w:r w:rsidRPr="0036554A">
              <w:rPr>
                <w:sz w:val="28"/>
                <w:lang w:val="es-ES"/>
              </w:rPr>
              <w:t>Naciones Unidas</w:t>
            </w:r>
          </w:p>
        </w:tc>
        <w:tc>
          <w:tcPr>
            <w:tcW w:w="6095" w:type="dxa"/>
            <w:gridSpan w:val="2"/>
            <w:tcBorders>
              <w:bottom w:val="single" w:sz="4" w:space="0" w:color="auto"/>
            </w:tcBorders>
            <w:vAlign w:val="bottom"/>
          </w:tcPr>
          <w:p w14:paraId="4F217939" w14:textId="63D362BD" w:rsidR="00165C15" w:rsidRPr="00724ECB" w:rsidRDefault="00724ECB" w:rsidP="00724ECB">
            <w:pPr>
              <w:suppressAutoHyphens w:val="0"/>
              <w:jc w:val="right"/>
              <w:rPr>
                <w:lang w:val="es-ES"/>
              </w:rPr>
            </w:pPr>
            <w:r w:rsidRPr="00724ECB">
              <w:rPr>
                <w:sz w:val="40"/>
                <w:lang w:val="es-ES"/>
              </w:rPr>
              <w:t>CCPR</w:t>
            </w:r>
            <w:r>
              <w:rPr>
                <w:lang w:val="es-ES"/>
              </w:rPr>
              <w:t>/C/130/D/3778/2020</w:t>
            </w:r>
          </w:p>
        </w:tc>
      </w:tr>
      <w:tr w:rsidR="0036554A" w:rsidRPr="009C1286" w14:paraId="750CA76D" w14:textId="77777777" w:rsidTr="004A72F6">
        <w:trPr>
          <w:cantSplit/>
          <w:trHeight w:hRule="exact" w:val="2835"/>
        </w:trPr>
        <w:tc>
          <w:tcPr>
            <w:tcW w:w="1276" w:type="dxa"/>
            <w:tcBorders>
              <w:top w:val="single" w:sz="4" w:space="0" w:color="auto"/>
              <w:bottom w:val="single" w:sz="12" w:space="0" w:color="auto"/>
            </w:tcBorders>
          </w:tcPr>
          <w:p w14:paraId="3CD7E77B" w14:textId="77777777" w:rsidR="00165C15" w:rsidRPr="0036554A" w:rsidRDefault="00165C15" w:rsidP="00F603F4">
            <w:pPr>
              <w:spacing w:before="120"/>
              <w:rPr>
                <w:lang w:val="es-ES"/>
              </w:rPr>
            </w:pPr>
            <w:r w:rsidRPr="0036554A">
              <w:rPr>
                <w:noProof/>
                <w:lang w:eastAsia="en-GB"/>
              </w:rPr>
              <w:drawing>
                <wp:inline distT="0" distB="0" distL="0" distR="0" wp14:anchorId="2C714987" wp14:editId="111E93E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D830D3" w14:textId="77777777" w:rsidR="00165C15" w:rsidRPr="007B1BCB" w:rsidRDefault="003A3F12" w:rsidP="00F603F4">
            <w:pPr>
              <w:spacing w:before="120" w:line="380" w:lineRule="exact"/>
              <w:rPr>
                <w:sz w:val="34"/>
                <w:lang w:val="es-ES"/>
              </w:rPr>
            </w:pPr>
            <w:r w:rsidRPr="00280BCD">
              <w:rPr>
                <w:b/>
                <w:sz w:val="34"/>
                <w:szCs w:val="34"/>
                <w:lang w:val="es-ES"/>
              </w:rPr>
              <w:t>Pacto Internacional de Derechos</w:t>
            </w:r>
            <w:r w:rsidRPr="00280BCD">
              <w:rPr>
                <w:b/>
                <w:sz w:val="34"/>
                <w:szCs w:val="34"/>
                <w:lang w:val="es-ES"/>
              </w:rPr>
              <w:br/>
              <w:t>Civiles y Políticos</w:t>
            </w:r>
          </w:p>
        </w:tc>
        <w:tc>
          <w:tcPr>
            <w:tcW w:w="2835" w:type="dxa"/>
            <w:tcBorders>
              <w:top w:val="single" w:sz="4" w:space="0" w:color="auto"/>
              <w:bottom w:val="single" w:sz="12" w:space="0" w:color="auto"/>
            </w:tcBorders>
          </w:tcPr>
          <w:p w14:paraId="1DD5F202" w14:textId="06D7E291" w:rsidR="00165C15" w:rsidRPr="0036554A" w:rsidRDefault="006A31AE" w:rsidP="001D44D0">
            <w:pPr>
              <w:suppressAutoHyphens w:val="0"/>
              <w:spacing w:before="240" w:line="240" w:lineRule="exact"/>
              <w:rPr>
                <w:lang w:val="es-ES"/>
              </w:rPr>
            </w:pPr>
            <w:proofErr w:type="spellStart"/>
            <w:r w:rsidRPr="0036554A">
              <w:rPr>
                <w:lang w:val="es-ES"/>
              </w:rPr>
              <w:t>Distr</w:t>
            </w:r>
            <w:proofErr w:type="spellEnd"/>
            <w:r w:rsidRPr="0036554A">
              <w:rPr>
                <w:lang w:val="es-ES"/>
              </w:rPr>
              <w:t xml:space="preserve">. </w:t>
            </w:r>
            <w:r w:rsidR="00396DCA">
              <w:rPr>
                <w:lang w:val="es-ES"/>
              </w:rPr>
              <w:t>general</w:t>
            </w:r>
          </w:p>
          <w:p w14:paraId="33B20B06" w14:textId="4DD34293" w:rsidR="006A31AE" w:rsidRDefault="00E9721A" w:rsidP="003A7B16">
            <w:pPr>
              <w:suppressAutoHyphens w:val="0"/>
              <w:rPr>
                <w:lang w:val="es-ES"/>
              </w:rPr>
            </w:pPr>
            <w:r>
              <w:rPr>
                <w:lang w:val="es-ES"/>
              </w:rPr>
              <w:t>5</w:t>
            </w:r>
            <w:r w:rsidR="00396DCA" w:rsidRPr="00AC3828">
              <w:rPr>
                <w:lang w:val="es-ES"/>
              </w:rPr>
              <w:t xml:space="preserve"> </w:t>
            </w:r>
            <w:r w:rsidR="003411F5" w:rsidRPr="00AC3828">
              <w:rPr>
                <w:lang w:val="es-ES"/>
              </w:rPr>
              <w:t xml:space="preserve">de </w:t>
            </w:r>
            <w:r w:rsidR="00DD2757">
              <w:rPr>
                <w:lang w:val="es-ES"/>
              </w:rPr>
              <w:t>marzo</w:t>
            </w:r>
            <w:r w:rsidR="007560D4">
              <w:rPr>
                <w:lang w:val="es-ES"/>
              </w:rPr>
              <w:t xml:space="preserve"> </w:t>
            </w:r>
            <w:r w:rsidR="003411F5" w:rsidRPr="0043793E">
              <w:rPr>
                <w:lang w:val="es-ES"/>
              </w:rPr>
              <w:t>de</w:t>
            </w:r>
            <w:r w:rsidR="00A03D75">
              <w:rPr>
                <w:lang w:val="es-ES"/>
              </w:rPr>
              <w:t xml:space="preserve"> </w:t>
            </w:r>
            <w:r w:rsidR="001D44D0" w:rsidRPr="0043793E">
              <w:rPr>
                <w:lang w:val="es-ES"/>
              </w:rPr>
              <w:t>20</w:t>
            </w:r>
            <w:r w:rsidR="001D44D0">
              <w:rPr>
                <w:lang w:val="es-ES"/>
              </w:rPr>
              <w:t>21</w:t>
            </w:r>
          </w:p>
          <w:p w14:paraId="505DA5EB" w14:textId="77777777" w:rsidR="0043793E" w:rsidRPr="00280BCD" w:rsidRDefault="0043793E" w:rsidP="00F603F4">
            <w:pPr>
              <w:suppressAutoHyphens w:val="0"/>
              <w:rPr>
                <w:lang w:val="es-ES"/>
              </w:rPr>
            </w:pPr>
          </w:p>
          <w:p w14:paraId="116F350A" w14:textId="77777777" w:rsidR="004256B8" w:rsidRDefault="006A31AE" w:rsidP="00A04B21">
            <w:pPr>
              <w:suppressAutoHyphens w:val="0"/>
              <w:rPr>
                <w:lang w:val="es-ES"/>
              </w:rPr>
            </w:pPr>
            <w:r w:rsidRPr="0036554A">
              <w:rPr>
                <w:lang w:val="es-ES"/>
              </w:rPr>
              <w:t xml:space="preserve">Original: </w:t>
            </w:r>
            <w:r w:rsidR="003A3F12" w:rsidRPr="0036554A">
              <w:rPr>
                <w:lang w:val="es-ES"/>
              </w:rPr>
              <w:t>español</w:t>
            </w:r>
          </w:p>
          <w:p w14:paraId="33B2FFD0" w14:textId="73469CF8" w:rsidR="006A31AE" w:rsidRPr="0036554A" w:rsidRDefault="006A31AE" w:rsidP="00A04B21">
            <w:pPr>
              <w:suppressAutoHyphens w:val="0"/>
              <w:rPr>
                <w:lang w:val="es-ES"/>
              </w:rPr>
            </w:pPr>
          </w:p>
        </w:tc>
      </w:tr>
    </w:tbl>
    <w:p w14:paraId="363D83C5" w14:textId="00C17C6F" w:rsidR="009F335C" w:rsidRPr="003175D8" w:rsidRDefault="009F335C" w:rsidP="00930BDF">
      <w:pPr>
        <w:spacing w:before="120"/>
        <w:rPr>
          <w:b/>
          <w:bCs/>
          <w:lang w:val="es-ES"/>
        </w:rPr>
      </w:pPr>
      <w:r w:rsidRPr="0036554A">
        <w:rPr>
          <w:b/>
          <w:sz w:val="24"/>
          <w:szCs w:val="24"/>
          <w:lang w:val="es-ES"/>
        </w:rPr>
        <w:t>Comité de Derechos Humanos</w:t>
      </w:r>
    </w:p>
    <w:p w14:paraId="3AAD052C" w14:textId="07560021" w:rsidR="006A31AE" w:rsidRPr="0036554A" w:rsidRDefault="006A31AE" w:rsidP="00930BDF">
      <w:pPr>
        <w:pStyle w:val="HChG"/>
        <w:rPr>
          <w:rFonts w:eastAsia="MS Mincho"/>
          <w:lang w:val="es-ES"/>
        </w:rPr>
      </w:pPr>
      <w:r w:rsidRPr="00B34D53">
        <w:rPr>
          <w:lang w:val="es-ES"/>
        </w:rPr>
        <w:tab/>
      </w:r>
      <w:r w:rsidRPr="00B34D53">
        <w:rPr>
          <w:lang w:val="es-ES"/>
        </w:rPr>
        <w:tab/>
      </w:r>
      <w:r w:rsidR="00103AF8" w:rsidRPr="00930BDF">
        <w:rPr>
          <w:lang w:val="es-ES"/>
        </w:rPr>
        <w:t xml:space="preserve">Decisión </w:t>
      </w:r>
      <w:r w:rsidR="001D44D0" w:rsidRPr="00930BDF">
        <w:rPr>
          <w:lang w:val="es-ES"/>
        </w:rPr>
        <w:t>adoptad</w:t>
      </w:r>
      <w:r w:rsidR="00103AF8" w:rsidRPr="00930BDF">
        <w:rPr>
          <w:lang w:val="es-ES"/>
        </w:rPr>
        <w:t>a</w:t>
      </w:r>
      <w:r w:rsidR="001D44D0" w:rsidRPr="00930BDF">
        <w:rPr>
          <w:lang w:val="es-ES"/>
        </w:rPr>
        <w:t xml:space="preserve"> por el Comité </w:t>
      </w:r>
      <w:r w:rsidR="00B34D53" w:rsidRPr="00930BDF">
        <w:rPr>
          <w:lang w:val="es-ES"/>
        </w:rPr>
        <w:t>a tenor d</w:t>
      </w:r>
      <w:r w:rsidR="001D44D0" w:rsidRPr="00930BDF">
        <w:rPr>
          <w:lang w:val="es-ES"/>
        </w:rPr>
        <w:t>el artículo 5</w:t>
      </w:r>
      <w:r w:rsidR="00B34D53" w:rsidRPr="00930BDF">
        <w:rPr>
          <w:lang w:val="es-ES"/>
        </w:rPr>
        <w:t>, párrafo</w:t>
      </w:r>
      <w:r w:rsidR="001D44D0" w:rsidRPr="00930BDF">
        <w:rPr>
          <w:lang w:val="es-ES"/>
        </w:rPr>
        <w:t xml:space="preserve"> 4</w:t>
      </w:r>
      <w:r w:rsidR="00B34D53" w:rsidRPr="00930BDF">
        <w:rPr>
          <w:lang w:val="es-ES"/>
        </w:rPr>
        <w:t>,</w:t>
      </w:r>
      <w:r w:rsidR="001D44D0" w:rsidRPr="00930BDF">
        <w:rPr>
          <w:lang w:val="es-ES"/>
        </w:rPr>
        <w:t xml:space="preserve"> del Protocolo </w:t>
      </w:r>
      <w:r w:rsidR="00644D2F" w:rsidRPr="00930BDF">
        <w:rPr>
          <w:lang w:val="es-ES"/>
        </w:rPr>
        <w:t>F</w:t>
      </w:r>
      <w:r w:rsidR="001D44D0" w:rsidRPr="00930BDF">
        <w:rPr>
          <w:lang w:val="es-ES"/>
        </w:rPr>
        <w:t>acultativo</w:t>
      </w:r>
      <w:r w:rsidR="00B34D53" w:rsidRPr="00930BDF">
        <w:rPr>
          <w:lang w:val="es-ES"/>
        </w:rPr>
        <w:t xml:space="preserve">, respecto </w:t>
      </w:r>
      <w:r w:rsidR="0007420E">
        <w:rPr>
          <w:lang w:val="es-ES"/>
        </w:rPr>
        <w:br/>
      </w:r>
      <w:r w:rsidR="00B34D53" w:rsidRPr="00930BDF">
        <w:rPr>
          <w:lang w:val="es-ES"/>
        </w:rPr>
        <w:t xml:space="preserve">de </w:t>
      </w:r>
      <w:r w:rsidR="001D44D0" w:rsidRPr="00930BDF">
        <w:rPr>
          <w:lang w:val="es-ES"/>
        </w:rPr>
        <w:t>la c</w:t>
      </w:r>
      <w:r w:rsidR="00F40CA5" w:rsidRPr="00930BDF">
        <w:rPr>
          <w:lang w:val="es-ES"/>
        </w:rPr>
        <w:t>omunicación</w:t>
      </w:r>
      <w:r w:rsidRPr="00930BDF">
        <w:rPr>
          <w:lang w:val="es-ES"/>
        </w:rPr>
        <w:t xml:space="preserve"> </w:t>
      </w:r>
      <w:r w:rsidR="007C5636" w:rsidRPr="00930BDF">
        <w:rPr>
          <w:lang w:val="es-ES"/>
        </w:rPr>
        <w:t>n</w:t>
      </w:r>
      <w:r w:rsidR="0036554A" w:rsidRPr="00930BDF">
        <w:rPr>
          <w:lang w:val="es-ES"/>
        </w:rPr>
        <w:t>úm</w:t>
      </w:r>
      <w:r w:rsidRPr="00930BDF">
        <w:rPr>
          <w:lang w:val="es-ES"/>
        </w:rPr>
        <w:t xml:space="preserve">. </w:t>
      </w:r>
      <w:r w:rsidR="00F85DD4" w:rsidRPr="00930BDF">
        <w:rPr>
          <w:lang w:val="es-ES"/>
        </w:rPr>
        <w:t>3</w:t>
      </w:r>
      <w:r w:rsidR="0001593A" w:rsidRPr="00930BDF">
        <w:rPr>
          <w:lang w:val="es-ES"/>
        </w:rPr>
        <w:t>778</w:t>
      </w:r>
      <w:r w:rsidRPr="00930BDF">
        <w:rPr>
          <w:lang w:val="es-ES"/>
        </w:rPr>
        <w:t>/</w:t>
      </w:r>
      <w:r w:rsidR="00F85DD4" w:rsidRPr="00930BDF">
        <w:rPr>
          <w:lang w:val="es-ES"/>
        </w:rPr>
        <w:t>20</w:t>
      </w:r>
      <w:r w:rsidR="0001593A" w:rsidRPr="00930BDF">
        <w:rPr>
          <w:lang w:val="es-ES"/>
        </w:rPr>
        <w:t>20</w:t>
      </w:r>
      <w:r w:rsidR="001D44D0" w:rsidRPr="0007420E">
        <w:rPr>
          <w:rStyle w:val="FootnoteReference"/>
          <w:b w:val="0"/>
          <w:bCs/>
          <w:sz w:val="20"/>
          <w:vertAlign w:val="baseline"/>
          <w:lang w:val="es-ES"/>
        </w:rPr>
        <w:footnoteReference w:customMarkFollows="1" w:id="1"/>
        <w:t>*</w:t>
      </w:r>
      <w:r w:rsidR="001D44D0" w:rsidRPr="0007420E">
        <w:rPr>
          <w:b w:val="0"/>
          <w:position w:val="6"/>
          <w:sz w:val="20"/>
          <w:lang w:val="es-ES"/>
        </w:rPr>
        <w:t>,</w:t>
      </w:r>
      <w:r w:rsidR="003A7B16" w:rsidRPr="0007420E">
        <w:rPr>
          <w:b w:val="0"/>
          <w:sz w:val="20"/>
          <w:lang w:val="es-ES"/>
        </w:rPr>
        <w:t xml:space="preserve"> </w:t>
      </w:r>
      <w:r w:rsidR="001D44D0" w:rsidRPr="0007420E">
        <w:rPr>
          <w:rStyle w:val="FootnoteReference"/>
          <w:b w:val="0"/>
          <w:bCs/>
          <w:sz w:val="20"/>
          <w:vertAlign w:val="baseline"/>
          <w:lang w:val="es-ES"/>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0"/>
      </w:tblGrid>
      <w:tr w:rsidR="0036554A" w:rsidRPr="0007420E" w14:paraId="2648C942" w14:textId="77777777" w:rsidTr="00930BDF">
        <w:tc>
          <w:tcPr>
            <w:tcW w:w="2694" w:type="dxa"/>
          </w:tcPr>
          <w:p w14:paraId="1AAC36B0" w14:textId="77777777" w:rsidR="006A31AE" w:rsidRPr="00930BDF" w:rsidRDefault="0013341D" w:rsidP="00930BDF">
            <w:pPr>
              <w:pStyle w:val="SingleTxtG"/>
              <w:suppressAutoHyphens w:val="0"/>
              <w:ind w:left="0" w:right="0"/>
              <w:jc w:val="left"/>
              <w:rPr>
                <w:rFonts w:eastAsiaTheme="minorEastAsia"/>
                <w:i/>
                <w:lang w:val="es-ES" w:eastAsia="es-ES"/>
              </w:rPr>
            </w:pPr>
            <w:r w:rsidRPr="00930BDF">
              <w:rPr>
                <w:rFonts w:eastAsiaTheme="minorEastAsia"/>
                <w:i/>
                <w:lang w:val="es-ES" w:eastAsia="es-ES"/>
              </w:rPr>
              <w:t>Comunicación</w:t>
            </w:r>
            <w:r w:rsidR="006A31AE" w:rsidRPr="00930BDF">
              <w:rPr>
                <w:rFonts w:eastAsiaTheme="minorEastAsia"/>
                <w:i/>
                <w:lang w:val="es-ES" w:eastAsia="es-ES"/>
              </w:rPr>
              <w:t xml:space="preserve"> </w:t>
            </w:r>
            <w:r w:rsidRPr="00930BDF">
              <w:rPr>
                <w:rFonts w:eastAsiaTheme="minorEastAsia"/>
                <w:i/>
                <w:lang w:val="es-ES" w:eastAsia="es-ES"/>
              </w:rPr>
              <w:t>presentada</w:t>
            </w:r>
            <w:r w:rsidR="006A31AE" w:rsidRPr="00930BDF">
              <w:rPr>
                <w:rFonts w:eastAsiaTheme="minorEastAsia"/>
                <w:i/>
                <w:lang w:val="es-ES" w:eastAsia="es-ES"/>
              </w:rPr>
              <w:t xml:space="preserve"> </w:t>
            </w:r>
            <w:r w:rsidRPr="00930BDF">
              <w:rPr>
                <w:rFonts w:eastAsiaTheme="minorEastAsia"/>
                <w:i/>
                <w:lang w:val="es-ES" w:eastAsia="es-ES"/>
              </w:rPr>
              <w:t>por</w:t>
            </w:r>
            <w:r w:rsidR="006A31AE" w:rsidRPr="00930BDF">
              <w:rPr>
                <w:rFonts w:eastAsiaTheme="minorEastAsia"/>
                <w:i/>
                <w:lang w:val="es-ES" w:eastAsia="es-ES"/>
              </w:rPr>
              <w:t>:</w:t>
            </w:r>
          </w:p>
        </w:tc>
        <w:tc>
          <w:tcPr>
            <w:tcW w:w="4110" w:type="dxa"/>
            <w:vAlign w:val="bottom"/>
          </w:tcPr>
          <w:p w14:paraId="5BBABF46" w14:textId="6F82738E" w:rsidR="006A31AE" w:rsidRPr="00930BDF" w:rsidRDefault="00F03D7F" w:rsidP="00930BDF">
            <w:pPr>
              <w:pStyle w:val="SingleTxtG"/>
              <w:suppressAutoHyphens w:val="0"/>
              <w:ind w:left="0" w:right="0"/>
              <w:jc w:val="left"/>
              <w:rPr>
                <w:rFonts w:eastAsiaTheme="minorEastAsia"/>
                <w:lang w:val="es-ES" w:eastAsia="es-ES"/>
              </w:rPr>
            </w:pPr>
            <w:r w:rsidRPr="00930BDF">
              <w:rPr>
                <w:rFonts w:eastAsiaTheme="minorEastAsia"/>
                <w:lang w:val="es-ES" w:eastAsia="es-ES"/>
              </w:rPr>
              <w:t>M</w:t>
            </w:r>
            <w:r w:rsidR="00E22C81" w:rsidRPr="00930BDF">
              <w:rPr>
                <w:rFonts w:eastAsiaTheme="minorEastAsia"/>
                <w:lang w:val="es-ES" w:eastAsia="es-ES"/>
              </w:rPr>
              <w:t>.</w:t>
            </w:r>
            <w:r w:rsidRPr="00930BDF">
              <w:rPr>
                <w:rFonts w:eastAsiaTheme="minorEastAsia"/>
                <w:lang w:val="es-ES" w:eastAsia="es-ES"/>
              </w:rPr>
              <w:t xml:space="preserve"> J</w:t>
            </w:r>
            <w:r w:rsidR="00E22C81" w:rsidRPr="00930BDF">
              <w:rPr>
                <w:rFonts w:eastAsiaTheme="minorEastAsia"/>
                <w:lang w:val="es-ES" w:eastAsia="es-ES"/>
              </w:rPr>
              <w:t>.</w:t>
            </w:r>
            <w:r w:rsidRPr="00930BDF">
              <w:rPr>
                <w:rFonts w:eastAsiaTheme="minorEastAsia"/>
                <w:lang w:val="es-ES" w:eastAsia="es-ES"/>
              </w:rPr>
              <w:t xml:space="preserve"> B</w:t>
            </w:r>
            <w:r w:rsidR="00E22C81" w:rsidRPr="00930BDF">
              <w:rPr>
                <w:rFonts w:eastAsiaTheme="minorEastAsia"/>
                <w:lang w:val="es-ES" w:eastAsia="es-ES"/>
              </w:rPr>
              <w:t>.</w:t>
            </w:r>
            <w:r w:rsidRPr="00930BDF">
              <w:rPr>
                <w:rFonts w:eastAsiaTheme="minorEastAsia"/>
                <w:lang w:val="es-ES" w:eastAsia="es-ES"/>
              </w:rPr>
              <w:t xml:space="preserve"> B</w:t>
            </w:r>
            <w:r w:rsidR="00E22C81" w:rsidRPr="00930BDF">
              <w:rPr>
                <w:rFonts w:eastAsiaTheme="minorEastAsia"/>
                <w:lang w:val="es-ES" w:eastAsia="es-ES"/>
              </w:rPr>
              <w:t>.</w:t>
            </w:r>
            <w:r w:rsidRPr="00930BDF">
              <w:rPr>
                <w:rFonts w:eastAsiaTheme="minorEastAsia"/>
                <w:lang w:val="es-ES" w:eastAsia="es-ES"/>
              </w:rPr>
              <w:t>, M</w:t>
            </w:r>
            <w:r w:rsidR="00E22C81" w:rsidRPr="00930BDF">
              <w:rPr>
                <w:rFonts w:eastAsiaTheme="minorEastAsia"/>
                <w:lang w:val="es-ES" w:eastAsia="es-ES"/>
              </w:rPr>
              <w:t>.</w:t>
            </w:r>
            <w:r w:rsidRPr="00930BDF">
              <w:rPr>
                <w:rFonts w:eastAsiaTheme="minorEastAsia"/>
                <w:lang w:val="es-ES" w:eastAsia="es-ES"/>
              </w:rPr>
              <w:t xml:space="preserve"> J</w:t>
            </w:r>
            <w:r w:rsidR="00E22C81" w:rsidRPr="00930BDF">
              <w:rPr>
                <w:rFonts w:eastAsiaTheme="minorEastAsia"/>
                <w:lang w:val="es-ES" w:eastAsia="es-ES"/>
              </w:rPr>
              <w:t>.</w:t>
            </w:r>
            <w:r w:rsidRPr="00930BDF">
              <w:rPr>
                <w:rFonts w:eastAsiaTheme="minorEastAsia"/>
                <w:lang w:val="es-ES" w:eastAsia="es-ES"/>
              </w:rPr>
              <w:t xml:space="preserve"> Z</w:t>
            </w:r>
            <w:r w:rsidR="00E22C81" w:rsidRPr="00930BDF">
              <w:rPr>
                <w:rFonts w:eastAsiaTheme="minorEastAsia"/>
                <w:lang w:val="es-ES" w:eastAsia="es-ES"/>
              </w:rPr>
              <w:t>.</w:t>
            </w:r>
            <w:r w:rsidRPr="00930BDF">
              <w:rPr>
                <w:rFonts w:eastAsiaTheme="minorEastAsia"/>
                <w:lang w:val="es-ES" w:eastAsia="es-ES"/>
              </w:rPr>
              <w:t xml:space="preserve"> S</w:t>
            </w:r>
            <w:r w:rsidR="00E22C81" w:rsidRPr="00930BDF">
              <w:rPr>
                <w:rFonts w:eastAsiaTheme="minorEastAsia"/>
                <w:lang w:val="es-ES" w:eastAsia="es-ES"/>
              </w:rPr>
              <w:t>.</w:t>
            </w:r>
            <w:r w:rsidRPr="00930BDF">
              <w:rPr>
                <w:rFonts w:eastAsiaTheme="minorEastAsia"/>
                <w:lang w:val="es-ES" w:eastAsia="es-ES"/>
              </w:rPr>
              <w:t>, M</w:t>
            </w:r>
            <w:r w:rsidR="00E22C81" w:rsidRPr="00930BDF">
              <w:rPr>
                <w:rFonts w:eastAsiaTheme="minorEastAsia"/>
                <w:lang w:val="es-ES" w:eastAsia="es-ES"/>
              </w:rPr>
              <w:t xml:space="preserve">. </w:t>
            </w:r>
            <w:r w:rsidRPr="00930BDF">
              <w:rPr>
                <w:rFonts w:eastAsiaTheme="minorEastAsia"/>
                <w:lang w:val="es-ES" w:eastAsia="es-ES"/>
              </w:rPr>
              <w:t>J</w:t>
            </w:r>
            <w:r w:rsidR="00E22C81" w:rsidRPr="00930BDF">
              <w:rPr>
                <w:rFonts w:eastAsiaTheme="minorEastAsia"/>
                <w:lang w:val="es-ES" w:eastAsia="es-ES"/>
              </w:rPr>
              <w:t>.</w:t>
            </w:r>
            <w:r w:rsidRPr="00930BDF">
              <w:rPr>
                <w:rFonts w:eastAsiaTheme="minorEastAsia"/>
                <w:lang w:val="es-ES" w:eastAsia="es-ES"/>
              </w:rPr>
              <w:t xml:space="preserve"> F</w:t>
            </w:r>
            <w:r w:rsidR="00E22C81" w:rsidRPr="00930BDF">
              <w:rPr>
                <w:rFonts w:eastAsiaTheme="minorEastAsia"/>
                <w:lang w:val="es-ES" w:eastAsia="es-ES"/>
              </w:rPr>
              <w:t>.</w:t>
            </w:r>
            <w:r w:rsidR="004D0EC1" w:rsidRPr="00930BDF">
              <w:rPr>
                <w:rFonts w:eastAsiaTheme="minorEastAsia"/>
                <w:lang w:val="es-ES" w:eastAsia="es-ES"/>
              </w:rPr>
              <w:t xml:space="preserve"> Z</w:t>
            </w:r>
            <w:r w:rsidR="00E22C81" w:rsidRPr="00930BDF">
              <w:rPr>
                <w:rFonts w:eastAsiaTheme="minorEastAsia"/>
                <w:lang w:val="es-ES" w:eastAsia="es-ES"/>
              </w:rPr>
              <w:t>.</w:t>
            </w:r>
            <w:r w:rsidR="004D0EC1" w:rsidRPr="00930BDF">
              <w:rPr>
                <w:rFonts w:eastAsiaTheme="minorEastAsia"/>
                <w:lang w:val="es-ES" w:eastAsia="es-ES"/>
              </w:rPr>
              <w:t>, M</w:t>
            </w:r>
            <w:r w:rsidR="00E22C81" w:rsidRPr="00930BDF">
              <w:rPr>
                <w:rFonts w:eastAsiaTheme="minorEastAsia"/>
                <w:lang w:val="es-ES" w:eastAsia="es-ES"/>
              </w:rPr>
              <w:t>.</w:t>
            </w:r>
            <w:r w:rsidR="004D0EC1" w:rsidRPr="00930BDF">
              <w:rPr>
                <w:rFonts w:eastAsiaTheme="minorEastAsia"/>
                <w:lang w:val="es-ES" w:eastAsia="es-ES"/>
              </w:rPr>
              <w:t xml:space="preserve"> del C</w:t>
            </w:r>
            <w:r w:rsidR="00E22C81" w:rsidRPr="00930BDF">
              <w:rPr>
                <w:rFonts w:eastAsiaTheme="minorEastAsia"/>
                <w:lang w:val="es-ES" w:eastAsia="es-ES"/>
              </w:rPr>
              <w:t>.</w:t>
            </w:r>
            <w:r w:rsidR="004D0EC1" w:rsidRPr="00930BDF">
              <w:rPr>
                <w:rFonts w:eastAsiaTheme="minorEastAsia"/>
                <w:lang w:val="es-ES" w:eastAsia="es-ES"/>
              </w:rPr>
              <w:t xml:space="preserve"> del R</w:t>
            </w:r>
            <w:r w:rsidR="00E22C81" w:rsidRPr="00930BDF">
              <w:rPr>
                <w:rFonts w:eastAsiaTheme="minorEastAsia"/>
                <w:lang w:val="es-ES" w:eastAsia="es-ES"/>
              </w:rPr>
              <w:t>.</w:t>
            </w:r>
            <w:r w:rsidR="004D0EC1" w:rsidRPr="00930BDF">
              <w:rPr>
                <w:rFonts w:eastAsiaTheme="minorEastAsia"/>
                <w:lang w:val="es-ES" w:eastAsia="es-ES"/>
              </w:rPr>
              <w:t xml:space="preserve"> M</w:t>
            </w:r>
            <w:r w:rsidR="00E22C81" w:rsidRPr="00930BDF">
              <w:rPr>
                <w:rFonts w:eastAsiaTheme="minorEastAsia"/>
                <w:lang w:val="es-ES" w:eastAsia="es-ES"/>
              </w:rPr>
              <w:t>.</w:t>
            </w:r>
            <w:r w:rsidR="004D0EC1" w:rsidRPr="00930BDF">
              <w:rPr>
                <w:rFonts w:eastAsiaTheme="minorEastAsia"/>
                <w:lang w:val="es-ES" w:eastAsia="es-ES"/>
              </w:rPr>
              <w:t>, F</w:t>
            </w:r>
            <w:r w:rsidR="00E22C81" w:rsidRPr="00930BDF">
              <w:rPr>
                <w:rFonts w:eastAsiaTheme="minorEastAsia"/>
                <w:lang w:val="es-ES" w:eastAsia="es-ES"/>
              </w:rPr>
              <w:t>.</w:t>
            </w:r>
            <w:r w:rsidR="004D0EC1" w:rsidRPr="00930BDF">
              <w:rPr>
                <w:rFonts w:eastAsiaTheme="minorEastAsia"/>
                <w:lang w:val="es-ES" w:eastAsia="es-ES"/>
              </w:rPr>
              <w:t xml:space="preserve"> M</w:t>
            </w:r>
            <w:r w:rsidR="00E22C81" w:rsidRPr="00930BDF">
              <w:rPr>
                <w:rFonts w:eastAsiaTheme="minorEastAsia"/>
                <w:lang w:val="es-ES" w:eastAsia="es-ES"/>
              </w:rPr>
              <w:t>.</w:t>
            </w:r>
            <w:r w:rsidR="004D0EC1" w:rsidRPr="00930BDF">
              <w:rPr>
                <w:rFonts w:eastAsiaTheme="minorEastAsia"/>
                <w:lang w:val="es-ES" w:eastAsia="es-ES"/>
              </w:rPr>
              <w:t xml:space="preserve"> H</w:t>
            </w:r>
            <w:r w:rsidR="00E22C81" w:rsidRPr="00930BDF">
              <w:rPr>
                <w:rFonts w:eastAsiaTheme="minorEastAsia"/>
                <w:lang w:val="es-ES" w:eastAsia="es-ES"/>
              </w:rPr>
              <w:t>. y</w:t>
            </w:r>
            <w:r w:rsidR="004D0EC1" w:rsidRPr="00930BDF">
              <w:rPr>
                <w:rFonts w:eastAsiaTheme="minorEastAsia"/>
                <w:lang w:val="es-ES" w:eastAsia="es-ES"/>
              </w:rPr>
              <w:t xml:space="preserve"> M</w:t>
            </w:r>
            <w:r w:rsidR="00E22C81" w:rsidRPr="00930BDF">
              <w:rPr>
                <w:rFonts w:eastAsiaTheme="minorEastAsia"/>
                <w:lang w:val="es-ES" w:eastAsia="es-ES"/>
              </w:rPr>
              <w:t xml:space="preserve">. </w:t>
            </w:r>
            <w:r w:rsidR="004D0EC1" w:rsidRPr="00930BDF">
              <w:rPr>
                <w:rFonts w:eastAsiaTheme="minorEastAsia"/>
                <w:lang w:val="es-ES" w:eastAsia="es-ES"/>
              </w:rPr>
              <w:t>N</w:t>
            </w:r>
            <w:r w:rsidR="00E22C81" w:rsidRPr="00930BDF">
              <w:rPr>
                <w:rFonts w:eastAsiaTheme="minorEastAsia"/>
                <w:lang w:val="es-ES" w:eastAsia="es-ES"/>
              </w:rPr>
              <w:t>.</w:t>
            </w:r>
            <w:r w:rsidR="004D0EC1" w:rsidRPr="00930BDF">
              <w:rPr>
                <w:rFonts w:eastAsiaTheme="minorEastAsia"/>
                <w:lang w:val="es-ES" w:eastAsia="es-ES"/>
              </w:rPr>
              <w:t xml:space="preserve"> S</w:t>
            </w:r>
            <w:r w:rsidR="00E22C81" w:rsidRPr="00930BDF">
              <w:rPr>
                <w:rFonts w:eastAsiaTheme="minorEastAsia"/>
                <w:lang w:val="es-ES" w:eastAsia="es-ES"/>
              </w:rPr>
              <w:t xml:space="preserve">. </w:t>
            </w:r>
            <w:r w:rsidR="004D0EC1" w:rsidRPr="00930BDF">
              <w:rPr>
                <w:rFonts w:eastAsiaTheme="minorEastAsia"/>
                <w:lang w:val="es-ES" w:eastAsia="es-ES"/>
              </w:rPr>
              <w:t>V</w:t>
            </w:r>
            <w:r w:rsidR="00E22C81" w:rsidRPr="00930BDF">
              <w:rPr>
                <w:rFonts w:eastAsiaTheme="minorEastAsia"/>
                <w:lang w:val="es-ES" w:eastAsia="es-ES"/>
              </w:rPr>
              <w:t>.</w:t>
            </w:r>
            <w:r w:rsidR="00F85DD4" w:rsidRPr="00930BDF">
              <w:rPr>
                <w:rFonts w:eastAsiaTheme="minorEastAsia"/>
                <w:lang w:val="es-ES" w:eastAsia="es-ES"/>
              </w:rPr>
              <w:t xml:space="preserve"> (representada</w:t>
            </w:r>
            <w:r w:rsidR="003C6439" w:rsidRPr="00930BDF">
              <w:rPr>
                <w:rFonts w:eastAsiaTheme="minorEastAsia"/>
                <w:lang w:val="es-ES" w:eastAsia="es-ES"/>
              </w:rPr>
              <w:t>s</w:t>
            </w:r>
            <w:r w:rsidR="00F85DD4" w:rsidRPr="00930BDF">
              <w:rPr>
                <w:rFonts w:eastAsiaTheme="minorEastAsia"/>
                <w:lang w:val="es-ES" w:eastAsia="es-ES"/>
              </w:rPr>
              <w:t xml:space="preserve"> por </w:t>
            </w:r>
            <w:r w:rsidR="00DC5800" w:rsidRPr="00930BDF">
              <w:rPr>
                <w:rFonts w:eastAsiaTheme="minorEastAsia"/>
                <w:lang w:val="es-ES" w:eastAsia="es-ES"/>
              </w:rPr>
              <w:t xml:space="preserve">el </w:t>
            </w:r>
            <w:r w:rsidR="00F85DD4" w:rsidRPr="00930BDF">
              <w:rPr>
                <w:rFonts w:eastAsiaTheme="minorEastAsia"/>
                <w:lang w:val="es-ES" w:eastAsia="es-ES"/>
              </w:rPr>
              <w:t>abogad</w:t>
            </w:r>
            <w:r w:rsidRPr="00930BDF">
              <w:rPr>
                <w:rFonts w:eastAsiaTheme="minorEastAsia"/>
                <w:lang w:val="es-ES" w:eastAsia="es-ES"/>
              </w:rPr>
              <w:t>o Diego Fernández Fernández</w:t>
            </w:r>
            <w:r w:rsidR="00F85DD4" w:rsidRPr="00930BDF">
              <w:rPr>
                <w:rFonts w:eastAsiaTheme="minorEastAsia"/>
                <w:lang w:val="es-ES" w:eastAsia="es-ES"/>
              </w:rPr>
              <w:t>)</w:t>
            </w:r>
          </w:p>
        </w:tc>
      </w:tr>
      <w:tr w:rsidR="0036554A" w:rsidRPr="00E42ABB" w14:paraId="3D9C6F80" w14:textId="77777777" w:rsidTr="00930BDF">
        <w:tc>
          <w:tcPr>
            <w:tcW w:w="2694" w:type="dxa"/>
          </w:tcPr>
          <w:p w14:paraId="515DA0DF" w14:textId="5FB6AE4C" w:rsidR="006A31AE" w:rsidRPr="00930BDF" w:rsidRDefault="0013341D" w:rsidP="00930BDF">
            <w:pPr>
              <w:pStyle w:val="SingleTxtG"/>
              <w:suppressAutoHyphens w:val="0"/>
              <w:ind w:left="0" w:right="0"/>
              <w:jc w:val="left"/>
              <w:rPr>
                <w:rFonts w:eastAsiaTheme="minorEastAsia"/>
                <w:i/>
                <w:lang w:val="es-ES" w:eastAsia="es-ES"/>
              </w:rPr>
            </w:pPr>
            <w:r w:rsidRPr="00930BDF">
              <w:rPr>
                <w:rFonts w:eastAsiaTheme="minorEastAsia"/>
                <w:i/>
                <w:lang w:val="es-ES" w:eastAsia="es-ES"/>
              </w:rPr>
              <w:t>Presunta</w:t>
            </w:r>
            <w:r w:rsidR="00687F97" w:rsidRPr="00930BDF">
              <w:rPr>
                <w:rFonts w:eastAsiaTheme="minorEastAsia"/>
                <w:i/>
                <w:lang w:val="es-ES" w:eastAsia="es-ES"/>
              </w:rPr>
              <w:t>s</w:t>
            </w:r>
            <w:r w:rsidRPr="00930BDF">
              <w:rPr>
                <w:rFonts w:eastAsiaTheme="minorEastAsia"/>
                <w:i/>
                <w:lang w:val="es-ES" w:eastAsia="es-ES"/>
              </w:rPr>
              <w:t xml:space="preserve"> víctima</w:t>
            </w:r>
            <w:r w:rsidR="00687F97" w:rsidRPr="00930BDF">
              <w:rPr>
                <w:rFonts w:eastAsiaTheme="minorEastAsia"/>
                <w:i/>
                <w:lang w:val="es-ES" w:eastAsia="es-ES"/>
              </w:rPr>
              <w:t>s</w:t>
            </w:r>
            <w:r w:rsidR="006A31AE" w:rsidRPr="00930BDF">
              <w:rPr>
                <w:rFonts w:eastAsiaTheme="minorEastAsia"/>
                <w:i/>
                <w:lang w:val="es-ES" w:eastAsia="es-ES"/>
              </w:rPr>
              <w:t>:</w:t>
            </w:r>
          </w:p>
        </w:tc>
        <w:tc>
          <w:tcPr>
            <w:tcW w:w="4110" w:type="dxa"/>
            <w:vAlign w:val="bottom"/>
          </w:tcPr>
          <w:p w14:paraId="0FF1782F" w14:textId="29998BCB" w:rsidR="006A31AE" w:rsidRPr="00930BDF" w:rsidRDefault="004D0EC1" w:rsidP="00930BDF">
            <w:pPr>
              <w:pStyle w:val="SingleTxtG"/>
              <w:suppressAutoHyphens w:val="0"/>
              <w:ind w:left="0" w:right="0"/>
              <w:jc w:val="left"/>
              <w:rPr>
                <w:rFonts w:eastAsiaTheme="minorEastAsia"/>
                <w:lang w:val="es-ES" w:eastAsia="es-ES"/>
              </w:rPr>
            </w:pPr>
            <w:r w:rsidRPr="00930BDF">
              <w:rPr>
                <w:rFonts w:eastAsiaTheme="minorEastAsia"/>
                <w:lang w:val="es-ES" w:eastAsia="es-ES"/>
              </w:rPr>
              <w:t>Las autoras</w:t>
            </w:r>
          </w:p>
        </w:tc>
      </w:tr>
      <w:tr w:rsidR="0036554A" w:rsidRPr="00E42ABB" w14:paraId="6A5467DF" w14:textId="77777777" w:rsidTr="00930BDF">
        <w:tc>
          <w:tcPr>
            <w:tcW w:w="2694" w:type="dxa"/>
          </w:tcPr>
          <w:p w14:paraId="356E65D4" w14:textId="77777777" w:rsidR="006A31AE" w:rsidRPr="00930BDF" w:rsidRDefault="0013341D" w:rsidP="00930BDF">
            <w:pPr>
              <w:pStyle w:val="SingleTxtG"/>
              <w:suppressAutoHyphens w:val="0"/>
              <w:ind w:left="0" w:right="0"/>
              <w:jc w:val="left"/>
              <w:rPr>
                <w:rFonts w:eastAsiaTheme="minorEastAsia"/>
                <w:i/>
                <w:lang w:val="es-ES" w:eastAsia="es-ES"/>
              </w:rPr>
            </w:pPr>
            <w:r w:rsidRPr="00930BDF">
              <w:rPr>
                <w:rFonts w:eastAsiaTheme="minorEastAsia"/>
                <w:i/>
                <w:lang w:val="es-ES" w:eastAsia="es-ES"/>
              </w:rPr>
              <w:t>Estado parte</w:t>
            </w:r>
            <w:r w:rsidR="006A31AE" w:rsidRPr="00930BDF">
              <w:rPr>
                <w:rFonts w:eastAsiaTheme="minorEastAsia"/>
                <w:i/>
                <w:lang w:val="es-ES" w:eastAsia="es-ES"/>
              </w:rPr>
              <w:t>:</w:t>
            </w:r>
          </w:p>
        </w:tc>
        <w:tc>
          <w:tcPr>
            <w:tcW w:w="4110" w:type="dxa"/>
            <w:vAlign w:val="bottom"/>
          </w:tcPr>
          <w:p w14:paraId="6745582B" w14:textId="77777777" w:rsidR="006A31AE" w:rsidRPr="00930BDF" w:rsidRDefault="00B1630B" w:rsidP="00930BDF">
            <w:pPr>
              <w:pStyle w:val="SingleTxtG"/>
              <w:suppressAutoHyphens w:val="0"/>
              <w:ind w:left="0" w:right="0"/>
              <w:jc w:val="left"/>
              <w:rPr>
                <w:rFonts w:eastAsiaTheme="minorEastAsia"/>
                <w:lang w:val="es-ES" w:eastAsia="es-ES"/>
              </w:rPr>
            </w:pPr>
            <w:r w:rsidRPr="00930BDF">
              <w:rPr>
                <w:rFonts w:eastAsiaTheme="minorEastAsia"/>
                <w:lang w:val="es-ES" w:eastAsia="es-ES"/>
              </w:rPr>
              <w:t>España</w:t>
            </w:r>
          </w:p>
        </w:tc>
      </w:tr>
      <w:tr w:rsidR="0036554A" w:rsidRPr="0007420E" w14:paraId="23A8FF74" w14:textId="77777777" w:rsidTr="00930BDF">
        <w:tc>
          <w:tcPr>
            <w:tcW w:w="2694" w:type="dxa"/>
          </w:tcPr>
          <w:p w14:paraId="4321D8B0" w14:textId="77777777" w:rsidR="006A31AE" w:rsidRPr="00930BDF" w:rsidRDefault="0013341D" w:rsidP="00930BDF">
            <w:pPr>
              <w:pStyle w:val="SingleTxtG"/>
              <w:suppressAutoHyphens w:val="0"/>
              <w:ind w:left="0" w:right="0"/>
              <w:jc w:val="left"/>
              <w:rPr>
                <w:rFonts w:eastAsiaTheme="minorEastAsia"/>
                <w:i/>
                <w:lang w:val="es-ES" w:eastAsia="es-ES"/>
              </w:rPr>
            </w:pPr>
            <w:r w:rsidRPr="00930BDF">
              <w:rPr>
                <w:rFonts w:eastAsiaTheme="minorEastAsia"/>
                <w:i/>
                <w:lang w:val="es-ES" w:eastAsia="es-ES"/>
              </w:rPr>
              <w:t>Fecha de la comunicación</w:t>
            </w:r>
            <w:r w:rsidR="006A31AE" w:rsidRPr="00930BDF">
              <w:rPr>
                <w:rFonts w:eastAsiaTheme="minorEastAsia"/>
                <w:i/>
                <w:lang w:val="es-ES" w:eastAsia="es-ES"/>
              </w:rPr>
              <w:t>:</w:t>
            </w:r>
          </w:p>
        </w:tc>
        <w:tc>
          <w:tcPr>
            <w:tcW w:w="4110" w:type="dxa"/>
            <w:vAlign w:val="bottom"/>
          </w:tcPr>
          <w:p w14:paraId="0482A963" w14:textId="64701435" w:rsidR="006A31AE" w:rsidRPr="00930BDF" w:rsidRDefault="004D0EC1" w:rsidP="00930BDF">
            <w:pPr>
              <w:pStyle w:val="SingleTxtG"/>
              <w:suppressAutoHyphens w:val="0"/>
              <w:ind w:left="0" w:right="0"/>
              <w:jc w:val="left"/>
              <w:rPr>
                <w:rFonts w:eastAsiaTheme="minorEastAsia"/>
                <w:lang w:val="es-ES" w:eastAsia="es-ES"/>
              </w:rPr>
            </w:pPr>
            <w:r w:rsidRPr="00930BDF">
              <w:rPr>
                <w:rFonts w:eastAsiaTheme="minorEastAsia"/>
                <w:lang w:val="es-ES" w:eastAsia="es-ES"/>
              </w:rPr>
              <w:t>8</w:t>
            </w:r>
            <w:r w:rsidR="00F85DD4" w:rsidRPr="00930BDF">
              <w:rPr>
                <w:rFonts w:eastAsiaTheme="minorEastAsia"/>
                <w:lang w:val="es-ES" w:eastAsia="es-ES"/>
              </w:rPr>
              <w:t xml:space="preserve"> de </w:t>
            </w:r>
            <w:r w:rsidRPr="00930BDF">
              <w:rPr>
                <w:rFonts w:eastAsiaTheme="minorEastAsia"/>
                <w:lang w:val="es-ES" w:eastAsia="es-ES"/>
              </w:rPr>
              <w:t>octubre</w:t>
            </w:r>
            <w:r w:rsidR="00F85DD4" w:rsidRPr="00930BDF">
              <w:rPr>
                <w:rFonts w:eastAsiaTheme="minorEastAsia"/>
                <w:lang w:val="es-ES" w:eastAsia="es-ES"/>
              </w:rPr>
              <w:t xml:space="preserve"> de </w:t>
            </w:r>
            <w:r w:rsidR="00E42ABB" w:rsidRPr="00930BDF">
              <w:rPr>
                <w:rFonts w:eastAsiaTheme="minorEastAsia"/>
                <w:lang w:val="es-ES" w:eastAsia="es-ES"/>
              </w:rPr>
              <w:t>201</w:t>
            </w:r>
            <w:r w:rsidRPr="00930BDF">
              <w:rPr>
                <w:rFonts w:eastAsiaTheme="minorEastAsia"/>
                <w:lang w:val="es-ES" w:eastAsia="es-ES"/>
              </w:rPr>
              <w:t>5</w:t>
            </w:r>
            <w:r w:rsidR="00F85DD4" w:rsidRPr="00930BDF">
              <w:rPr>
                <w:rFonts w:eastAsiaTheme="minorEastAsia"/>
                <w:lang w:val="es-ES" w:eastAsia="es-ES"/>
              </w:rPr>
              <w:t xml:space="preserve"> (primera comunicación)</w:t>
            </w:r>
          </w:p>
        </w:tc>
      </w:tr>
      <w:tr w:rsidR="0036554A" w:rsidRPr="0007420E" w14:paraId="429049D6" w14:textId="77777777" w:rsidTr="00930BDF">
        <w:tc>
          <w:tcPr>
            <w:tcW w:w="2694" w:type="dxa"/>
          </w:tcPr>
          <w:p w14:paraId="255CB95E" w14:textId="77777777" w:rsidR="006A31AE" w:rsidRPr="00930BDF" w:rsidRDefault="00756097" w:rsidP="00930BDF">
            <w:pPr>
              <w:pStyle w:val="SingleTxtG"/>
              <w:suppressAutoHyphens w:val="0"/>
              <w:ind w:left="0" w:right="0"/>
              <w:jc w:val="left"/>
              <w:rPr>
                <w:rFonts w:eastAsiaTheme="minorEastAsia"/>
                <w:i/>
                <w:lang w:val="es-ES" w:eastAsia="es-ES"/>
              </w:rPr>
            </w:pPr>
            <w:r w:rsidRPr="00930BDF">
              <w:rPr>
                <w:rFonts w:eastAsiaTheme="minorEastAsia"/>
                <w:i/>
                <w:lang w:val="es-ES" w:eastAsia="es-ES"/>
              </w:rPr>
              <w:t>Referencias</w:t>
            </w:r>
            <w:r w:rsidR="006A31AE" w:rsidRPr="00930BDF">
              <w:rPr>
                <w:rFonts w:eastAsiaTheme="minorEastAsia"/>
                <w:i/>
                <w:lang w:val="es-ES" w:eastAsia="es-ES"/>
              </w:rPr>
              <w:t>:</w:t>
            </w:r>
          </w:p>
        </w:tc>
        <w:tc>
          <w:tcPr>
            <w:tcW w:w="4110" w:type="dxa"/>
            <w:vAlign w:val="bottom"/>
          </w:tcPr>
          <w:p w14:paraId="714015C6" w14:textId="54DC2B6C" w:rsidR="006A31AE" w:rsidRPr="00930BDF" w:rsidRDefault="00EC5141" w:rsidP="00930BDF">
            <w:pPr>
              <w:pStyle w:val="SingleTxtG"/>
              <w:suppressAutoHyphens w:val="0"/>
              <w:ind w:left="0" w:right="0"/>
              <w:jc w:val="left"/>
              <w:rPr>
                <w:rFonts w:eastAsiaTheme="minorEastAsia"/>
                <w:lang w:val="es-ES" w:eastAsia="es-ES"/>
              </w:rPr>
            </w:pPr>
            <w:r w:rsidRPr="00930BDF">
              <w:rPr>
                <w:rFonts w:eastAsiaTheme="minorEastAsia"/>
                <w:lang w:val="es-ES" w:eastAsia="es-ES"/>
              </w:rPr>
              <w:t xml:space="preserve">Decisión </w:t>
            </w:r>
            <w:r w:rsidR="00C8538E" w:rsidRPr="00930BDF">
              <w:rPr>
                <w:rFonts w:eastAsiaTheme="minorEastAsia"/>
                <w:lang w:val="es-ES" w:eastAsia="es-ES"/>
              </w:rPr>
              <w:t xml:space="preserve">adoptada </w:t>
            </w:r>
            <w:r w:rsidRPr="00930BDF">
              <w:rPr>
                <w:rFonts w:eastAsiaTheme="minorEastAsia"/>
                <w:lang w:val="es-ES" w:eastAsia="es-ES"/>
              </w:rPr>
              <w:t>con arreglo al artículo 9</w:t>
            </w:r>
            <w:r w:rsidR="004D0EC1" w:rsidRPr="00930BDF">
              <w:rPr>
                <w:rFonts w:eastAsiaTheme="minorEastAsia"/>
                <w:lang w:val="es-ES" w:eastAsia="es-ES"/>
              </w:rPr>
              <w:t>2</w:t>
            </w:r>
            <w:r w:rsidR="00955BB9" w:rsidRPr="00930BDF">
              <w:rPr>
                <w:rFonts w:eastAsiaTheme="minorEastAsia"/>
                <w:lang w:val="es-ES" w:eastAsia="es-ES"/>
              </w:rPr>
              <w:t xml:space="preserve"> </w:t>
            </w:r>
            <w:r w:rsidRPr="00930BDF">
              <w:rPr>
                <w:rFonts w:eastAsiaTheme="minorEastAsia"/>
                <w:lang w:val="es-ES" w:eastAsia="es-ES"/>
              </w:rPr>
              <w:t>del reglamento</w:t>
            </w:r>
            <w:r w:rsidR="004D0EC1" w:rsidRPr="00930BDF">
              <w:rPr>
                <w:rFonts w:eastAsiaTheme="minorEastAsia"/>
                <w:lang w:val="es-ES" w:eastAsia="es-ES"/>
              </w:rPr>
              <w:t xml:space="preserve"> </w:t>
            </w:r>
            <w:r w:rsidR="00955BB9" w:rsidRPr="00930BDF">
              <w:rPr>
                <w:rFonts w:eastAsiaTheme="minorEastAsia"/>
                <w:lang w:val="es-ES" w:eastAsia="es-ES"/>
              </w:rPr>
              <w:t xml:space="preserve">del Comité </w:t>
            </w:r>
            <w:r w:rsidR="00DE01A0" w:rsidRPr="00930BDF">
              <w:rPr>
                <w:rFonts w:eastAsiaTheme="minorEastAsia"/>
                <w:lang w:val="es-ES" w:eastAsia="es-ES"/>
              </w:rPr>
              <w:t xml:space="preserve">transmitida </w:t>
            </w:r>
            <w:r w:rsidR="00C8538E" w:rsidRPr="00930BDF">
              <w:rPr>
                <w:rFonts w:eastAsiaTheme="minorEastAsia"/>
                <w:lang w:val="es-ES" w:eastAsia="es-ES"/>
              </w:rPr>
              <w:t xml:space="preserve">al Estado parte </w:t>
            </w:r>
            <w:r w:rsidR="004D0EC1" w:rsidRPr="00930BDF">
              <w:rPr>
                <w:rFonts w:eastAsiaTheme="minorEastAsia"/>
                <w:lang w:val="es-ES" w:eastAsia="es-ES"/>
              </w:rPr>
              <w:t xml:space="preserve">el </w:t>
            </w:r>
            <w:r w:rsidR="002F43EF" w:rsidRPr="00930BDF">
              <w:rPr>
                <w:rFonts w:eastAsiaTheme="minorEastAsia"/>
                <w:lang w:val="es-ES" w:eastAsia="es-ES"/>
              </w:rPr>
              <w:t>2 de julio de 2020</w:t>
            </w:r>
            <w:r w:rsidR="003C2160" w:rsidRPr="00930BDF">
              <w:rPr>
                <w:rFonts w:eastAsiaTheme="minorEastAsia"/>
                <w:lang w:val="es-ES" w:eastAsia="es-ES"/>
              </w:rPr>
              <w:t xml:space="preserve"> </w:t>
            </w:r>
            <w:r w:rsidRPr="00930BDF">
              <w:rPr>
                <w:rFonts w:eastAsiaTheme="minorEastAsia"/>
                <w:lang w:val="es-ES" w:eastAsia="es-ES"/>
              </w:rPr>
              <w:t>(no se publicó como documento)</w:t>
            </w:r>
          </w:p>
        </w:tc>
      </w:tr>
      <w:tr w:rsidR="0036554A" w:rsidRPr="0036554A" w14:paraId="676FEE3B" w14:textId="77777777" w:rsidTr="00930BDF">
        <w:tc>
          <w:tcPr>
            <w:tcW w:w="2694" w:type="dxa"/>
          </w:tcPr>
          <w:p w14:paraId="346D68CA" w14:textId="1D7A9F4F" w:rsidR="006A31AE" w:rsidRPr="00930BDF" w:rsidRDefault="00512402" w:rsidP="00930BDF">
            <w:pPr>
              <w:pStyle w:val="SingleTxtG"/>
              <w:suppressAutoHyphens w:val="0"/>
              <w:ind w:left="0" w:right="0"/>
              <w:jc w:val="left"/>
              <w:rPr>
                <w:rFonts w:eastAsiaTheme="minorEastAsia"/>
                <w:i/>
                <w:lang w:val="es-ES" w:eastAsia="es-ES"/>
              </w:rPr>
            </w:pPr>
            <w:r w:rsidRPr="00930BDF">
              <w:rPr>
                <w:rFonts w:eastAsiaTheme="minorEastAsia"/>
                <w:i/>
                <w:lang w:val="es-ES" w:eastAsia="es-ES"/>
              </w:rPr>
              <w:t>Fecha de adopción</w:t>
            </w:r>
            <w:r w:rsidR="00B211E4" w:rsidRPr="00930BDF">
              <w:rPr>
                <w:rFonts w:eastAsiaTheme="minorEastAsia"/>
                <w:i/>
                <w:lang w:val="es-ES" w:eastAsia="es-ES"/>
              </w:rPr>
              <w:br/>
            </w:r>
            <w:r w:rsidRPr="00930BDF">
              <w:rPr>
                <w:rFonts w:eastAsiaTheme="minorEastAsia"/>
                <w:i/>
                <w:lang w:val="es-ES" w:eastAsia="es-ES"/>
              </w:rPr>
              <w:t>de la decisión</w:t>
            </w:r>
            <w:r w:rsidR="006A31AE" w:rsidRPr="00930BDF">
              <w:rPr>
                <w:rFonts w:eastAsiaTheme="minorEastAsia"/>
                <w:i/>
                <w:lang w:val="es-ES" w:eastAsia="es-ES"/>
              </w:rPr>
              <w:t>:</w:t>
            </w:r>
          </w:p>
        </w:tc>
        <w:tc>
          <w:tcPr>
            <w:tcW w:w="4110" w:type="dxa"/>
            <w:vAlign w:val="bottom"/>
          </w:tcPr>
          <w:p w14:paraId="6459E340" w14:textId="3484EE8B" w:rsidR="006A31AE" w:rsidRPr="00930BDF" w:rsidRDefault="001D44D0" w:rsidP="00930BDF">
            <w:pPr>
              <w:pStyle w:val="SingleTxtG"/>
              <w:suppressAutoHyphens w:val="0"/>
              <w:ind w:left="0" w:right="0"/>
              <w:jc w:val="left"/>
              <w:rPr>
                <w:rFonts w:eastAsiaTheme="minorEastAsia"/>
                <w:lang w:val="es-ES" w:eastAsia="es-ES"/>
              </w:rPr>
            </w:pPr>
            <w:r w:rsidRPr="00930BDF">
              <w:rPr>
                <w:rFonts w:eastAsiaTheme="minorEastAsia"/>
                <w:lang w:val="es-ES" w:eastAsia="es-ES"/>
              </w:rPr>
              <w:t xml:space="preserve">6 </w:t>
            </w:r>
            <w:r w:rsidR="00944E7A" w:rsidRPr="00930BDF">
              <w:rPr>
                <w:rFonts w:eastAsiaTheme="minorEastAsia"/>
                <w:lang w:val="es-ES" w:eastAsia="es-ES"/>
              </w:rPr>
              <w:t xml:space="preserve">de </w:t>
            </w:r>
            <w:r w:rsidRPr="00930BDF">
              <w:rPr>
                <w:rFonts w:eastAsiaTheme="minorEastAsia"/>
                <w:lang w:val="es-ES" w:eastAsia="es-ES"/>
              </w:rPr>
              <w:t>noviembre</w:t>
            </w:r>
            <w:r w:rsidR="00944E7A" w:rsidRPr="00930BDF">
              <w:rPr>
                <w:rFonts w:eastAsiaTheme="minorEastAsia"/>
                <w:lang w:val="es-ES" w:eastAsia="es-ES"/>
              </w:rPr>
              <w:t xml:space="preserve"> </w:t>
            </w:r>
            <w:r w:rsidR="00103AF8" w:rsidRPr="00930BDF">
              <w:rPr>
                <w:rFonts w:eastAsiaTheme="minorEastAsia"/>
                <w:lang w:val="es-ES" w:eastAsia="es-ES"/>
              </w:rPr>
              <w:t xml:space="preserve">de </w:t>
            </w:r>
            <w:r w:rsidR="00944E7A" w:rsidRPr="00930BDF">
              <w:rPr>
                <w:rFonts w:eastAsiaTheme="minorEastAsia"/>
                <w:lang w:val="es-ES" w:eastAsia="es-ES"/>
              </w:rPr>
              <w:t>20</w:t>
            </w:r>
            <w:r w:rsidR="00541FBD" w:rsidRPr="00930BDF">
              <w:rPr>
                <w:rFonts w:eastAsiaTheme="minorEastAsia"/>
                <w:lang w:val="es-ES" w:eastAsia="es-ES"/>
              </w:rPr>
              <w:t>20</w:t>
            </w:r>
          </w:p>
        </w:tc>
      </w:tr>
      <w:tr w:rsidR="0036554A" w:rsidRPr="0007420E" w14:paraId="36156CAD" w14:textId="77777777" w:rsidTr="00930BDF">
        <w:tc>
          <w:tcPr>
            <w:tcW w:w="2694" w:type="dxa"/>
          </w:tcPr>
          <w:p w14:paraId="4C13416C" w14:textId="77777777" w:rsidR="006A31AE" w:rsidRPr="00930BDF" w:rsidRDefault="00512402" w:rsidP="00930BDF">
            <w:pPr>
              <w:pStyle w:val="SingleTxtG"/>
              <w:suppressAutoHyphens w:val="0"/>
              <w:ind w:left="0" w:right="0"/>
              <w:jc w:val="left"/>
              <w:rPr>
                <w:rFonts w:eastAsiaTheme="minorEastAsia"/>
                <w:i/>
                <w:lang w:val="es-ES" w:eastAsia="es-ES"/>
              </w:rPr>
            </w:pPr>
            <w:r w:rsidRPr="00930BDF">
              <w:rPr>
                <w:rFonts w:eastAsiaTheme="minorEastAsia"/>
                <w:i/>
                <w:lang w:val="es-ES" w:eastAsia="es-ES"/>
              </w:rPr>
              <w:t>Asunto</w:t>
            </w:r>
            <w:r w:rsidR="006A31AE" w:rsidRPr="00930BDF">
              <w:rPr>
                <w:rFonts w:eastAsiaTheme="minorEastAsia"/>
                <w:i/>
                <w:lang w:val="es-ES" w:eastAsia="es-ES"/>
              </w:rPr>
              <w:t>:</w:t>
            </w:r>
          </w:p>
        </w:tc>
        <w:tc>
          <w:tcPr>
            <w:tcW w:w="4110" w:type="dxa"/>
            <w:vAlign w:val="bottom"/>
          </w:tcPr>
          <w:p w14:paraId="19C1ACF8" w14:textId="52EFE023" w:rsidR="006A31AE" w:rsidRPr="00930BDF" w:rsidRDefault="00F00380" w:rsidP="00930BDF">
            <w:pPr>
              <w:pStyle w:val="SingleTxtG"/>
              <w:suppressAutoHyphens w:val="0"/>
              <w:ind w:left="0" w:right="0"/>
              <w:jc w:val="left"/>
              <w:rPr>
                <w:rFonts w:eastAsiaTheme="minorEastAsia"/>
                <w:lang w:val="es-ES" w:eastAsia="es-ES"/>
              </w:rPr>
            </w:pPr>
            <w:r w:rsidRPr="00930BDF">
              <w:rPr>
                <w:rFonts w:eastAsiaTheme="minorEastAsia"/>
                <w:lang w:val="es-ES" w:eastAsia="es-ES"/>
              </w:rPr>
              <w:t>Acceso a la función pública</w:t>
            </w:r>
          </w:p>
        </w:tc>
      </w:tr>
      <w:tr w:rsidR="0036554A" w:rsidRPr="0007420E" w14:paraId="06EBEF29" w14:textId="77777777" w:rsidTr="00930BDF">
        <w:tc>
          <w:tcPr>
            <w:tcW w:w="2694" w:type="dxa"/>
          </w:tcPr>
          <w:p w14:paraId="6EF706BB" w14:textId="77777777" w:rsidR="006A31AE" w:rsidRPr="00930BDF" w:rsidRDefault="00512402" w:rsidP="00930BDF">
            <w:pPr>
              <w:pStyle w:val="SingleTxtG"/>
              <w:suppressAutoHyphens w:val="0"/>
              <w:ind w:left="0" w:right="0"/>
              <w:jc w:val="left"/>
              <w:rPr>
                <w:rFonts w:eastAsiaTheme="minorEastAsia"/>
                <w:i/>
                <w:lang w:val="es-ES" w:eastAsia="es-ES"/>
              </w:rPr>
            </w:pPr>
            <w:r w:rsidRPr="00930BDF">
              <w:rPr>
                <w:rFonts w:eastAsiaTheme="minorEastAsia"/>
                <w:i/>
                <w:lang w:val="es-ES" w:eastAsia="es-ES"/>
              </w:rPr>
              <w:t>Cuestiones de procedimiento</w:t>
            </w:r>
            <w:r w:rsidR="006A31AE" w:rsidRPr="00930BDF">
              <w:rPr>
                <w:rFonts w:eastAsiaTheme="minorEastAsia"/>
                <w:i/>
                <w:lang w:val="es-ES" w:eastAsia="es-ES"/>
              </w:rPr>
              <w:t>:</w:t>
            </w:r>
          </w:p>
        </w:tc>
        <w:tc>
          <w:tcPr>
            <w:tcW w:w="4110" w:type="dxa"/>
            <w:vAlign w:val="bottom"/>
          </w:tcPr>
          <w:p w14:paraId="15CA24A1" w14:textId="09332169" w:rsidR="006A31AE" w:rsidRPr="00930BDF" w:rsidRDefault="00981689" w:rsidP="00930BDF">
            <w:pPr>
              <w:pStyle w:val="SingleTxtG"/>
              <w:suppressAutoHyphens w:val="0"/>
              <w:ind w:left="0" w:right="0"/>
              <w:jc w:val="left"/>
              <w:rPr>
                <w:rFonts w:eastAsiaTheme="minorEastAsia"/>
                <w:lang w:val="es-ES" w:eastAsia="es-ES"/>
              </w:rPr>
            </w:pPr>
            <w:r w:rsidRPr="00930BDF">
              <w:rPr>
                <w:rFonts w:eastAsiaTheme="minorEastAsia"/>
                <w:lang w:val="es-ES" w:eastAsia="es-ES"/>
              </w:rPr>
              <w:t>A</w:t>
            </w:r>
            <w:r w:rsidR="00DB26F4" w:rsidRPr="00930BDF">
              <w:rPr>
                <w:rFonts w:eastAsiaTheme="minorEastAsia"/>
                <w:lang w:val="es-ES" w:eastAsia="es-ES"/>
              </w:rPr>
              <w:t>gotamiento de los recursos internos</w:t>
            </w:r>
            <w:r w:rsidRPr="00930BDF">
              <w:rPr>
                <w:rFonts w:eastAsiaTheme="minorEastAsia"/>
                <w:lang w:val="es-ES" w:eastAsia="es-ES"/>
              </w:rPr>
              <w:t xml:space="preserve"> </w:t>
            </w:r>
          </w:p>
        </w:tc>
      </w:tr>
      <w:tr w:rsidR="0036554A" w:rsidRPr="0007420E" w14:paraId="4734CEE4" w14:textId="77777777" w:rsidTr="00930BDF">
        <w:tc>
          <w:tcPr>
            <w:tcW w:w="2694" w:type="dxa"/>
          </w:tcPr>
          <w:p w14:paraId="2442B3FD" w14:textId="77777777" w:rsidR="006A31AE" w:rsidRPr="00930BDF" w:rsidRDefault="00512402" w:rsidP="00930BDF">
            <w:pPr>
              <w:pStyle w:val="SingleTxtG"/>
              <w:suppressAutoHyphens w:val="0"/>
              <w:ind w:left="0" w:right="0"/>
              <w:jc w:val="left"/>
              <w:rPr>
                <w:rFonts w:eastAsiaTheme="minorEastAsia"/>
                <w:i/>
                <w:lang w:val="es-ES" w:eastAsia="es-ES"/>
              </w:rPr>
            </w:pPr>
            <w:r w:rsidRPr="00930BDF">
              <w:rPr>
                <w:rFonts w:eastAsiaTheme="minorEastAsia"/>
                <w:i/>
                <w:lang w:val="es-ES" w:eastAsia="es-ES"/>
              </w:rPr>
              <w:t>Cuestiones de fondo</w:t>
            </w:r>
            <w:r w:rsidR="006A31AE" w:rsidRPr="00930BDF">
              <w:rPr>
                <w:rFonts w:eastAsiaTheme="minorEastAsia"/>
                <w:i/>
                <w:lang w:val="es-ES" w:eastAsia="es-ES"/>
              </w:rPr>
              <w:t>:</w:t>
            </w:r>
          </w:p>
        </w:tc>
        <w:tc>
          <w:tcPr>
            <w:tcW w:w="4110" w:type="dxa"/>
            <w:vAlign w:val="bottom"/>
          </w:tcPr>
          <w:p w14:paraId="2DFFBE50" w14:textId="7443E16C" w:rsidR="00940E31" w:rsidRPr="00930BDF" w:rsidRDefault="003E3CCD" w:rsidP="00930BDF">
            <w:pPr>
              <w:pStyle w:val="SingleTxtG"/>
              <w:suppressAutoHyphens w:val="0"/>
              <w:ind w:left="0" w:right="0"/>
              <w:jc w:val="left"/>
              <w:rPr>
                <w:rFonts w:eastAsiaTheme="minorEastAsia"/>
                <w:lang w:val="es-ES" w:eastAsia="es-ES"/>
              </w:rPr>
            </w:pPr>
            <w:r w:rsidRPr="00930BDF">
              <w:rPr>
                <w:rFonts w:eastAsiaTheme="minorEastAsia"/>
                <w:lang w:val="es-ES" w:eastAsia="es-ES"/>
              </w:rPr>
              <w:t>Igualdad ante los tribunales y cortes de justicia; igualdad ante la ley; discriminación; igual protección de la ley</w:t>
            </w:r>
            <w:r w:rsidR="00940E31" w:rsidRPr="00930BDF">
              <w:rPr>
                <w:rFonts w:eastAsiaTheme="minorEastAsia"/>
                <w:lang w:val="es-ES" w:eastAsia="es-ES"/>
              </w:rPr>
              <w:t>; igualdad de acceso a la función pública</w:t>
            </w:r>
          </w:p>
        </w:tc>
      </w:tr>
      <w:tr w:rsidR="0036554A" w:rsidRPr="0036554A" w14:paraId="04706E33" w14:textId="77777777" w:rsidTr="00930BDF">
        <w:tc>
          <w:tcPr>
            <w:tcW w:w="2694" w:type="dxa"/>
          </w:tcPr>
          <w:p w14:paraId="4FF1D3C6" w14:textId="77777777" w:rsidR="006A31AE" w:rsidRPr="00930BDF" w:rsidRDefault="00512402" w:rsidP="00930BDF">
            <w:pPr>
              <w:pStyle w:val="SingleTxtG"/>
              <w:suppressAutoHyphens w:val="0"/>
              <w:ind w:left="0" w:right="0"/>
              <w:jc w:val="left"/>
              <w:rPr>
                <w:rFonts w:eastAsiaTheme="minorEastAsia"/>
                <w:i/>
                <w:lang w:val="es-ES" w:eastAsia="es-ES"/>
              </w:rPr>
            </w:pPr>
            <w:r w:rsidRPr="00930BDF">
              <w:rPr>
                <w:rFonts w:eastAsiaTheme="minorEastAsia"/>
                <w:i/>
                <w:lang w:val="es-ES" w:eastAsia="es-ES"/>
              </w:rPr>
              <w:t>Artículos del Pacto</w:t>
            </w:r>
            <w:r w:rsidR="006A31AE" w:rsidRPr="00930BDF">
              <w:rPr>
                <w:rFonts w:eastAsiaTheme="minorEastAsia"/>
                <w:i/>
                <w:lang w:val="es-ES" w:eastAsia="es-ES"/>
              </w:rPr>
              <w:t>:</w:t>
            </w:r>
          </w:p>
        </w:tc>
        <w:tc>
          <w:tcPr>
            <w:tcW w:w="4110" w:type="dxa"/>
            <w:vAlign w:val="bottom"/>
          </w:tcPr>
          <w:p w14:paraId="0B562FB2" w14:textId="6AC01007" w:rsidR="006A31AE" w:rsidRPr="00930BDF" w:rsidRDefault="00D135DC" w:rsidP="00930BDF">
            <w:pPr>
              <w:pStyle w:val="SingleTxtG"/>
              <w:suppressAutoHyphens w:val="0"/>
              <w:ind w:left="0" w:right="0"/>
              <w:jc w:val="left"/>
              <w:rPr>
                <w:rFonts w:eastAsiaTheme="minorEastAsia"/>
                <w:lang w:val="es-ES" w:eastAsia="es-ES"/>
              </w:rPr>
            </w:pPr>
            <w:r w:rsidRPr="00930BDF">
              <w:rPr>
                <w:rFonts w:eastAsiaTheme="minorEastAsia"/>
                <w:lang w:val="es-ES" w:eastAsia="es-ES"/>
              </w:rPr>
              <w:t>14, párr</w:t>
            </w:r>
            <w:r w:rsidR="00726AC7" w:rsidRPr="00930BDF">
              <w:rPr>
                <w:rFonts w:eastAsiaTheme="minorEastAsia"/>
                <w:lang w:val="es-ES" w:eastAsia="es-ES"/>
              </w:rPr>
              <w:t xml:space="preserve">. </w:t>
            </w:r>
            <w:r w:rsidRPr="00930BDF">
              <w:rPr>
                <w:rFonts w:eastAsiaTheme="minorEastAsia"/>
                <w:lang w:val="es-ES" w:eastAsia="es-ES"/>
              </w:rPr>
              <w:t>1; 25 y 26</w:t>
            </w:r>
          </w:p>
        </w:tc>
      </w:tr>
      <w:tr w:rsidR="0036554A" w:rsidRPr="008E2D29" w14:paraId="0352EDED" w14:textId="77777777" w:rsidTr="00930BDF">
        <w:tc>
          <w:tcPr>
            <w:tcW w:w="2694" w:type="dxa"/>
          </w:tcPr>
          <w:p w14:paraId="68404649" w14:textId="6533CBF6" w:rsidR="006A31AE" w:rsidRPr="00930BDF" w:rsidRDefault="00F907E8" w:rsidP="00930BDF">
            <w:pPr>
              <w:pStyle w:val="SingleTxtG"/>
              <w:suppressAutoHyphens w:val="0"/>
              <w:ind w:left="0" w:right="0"/>
              <w:jc w:val="left"/>
              <w:rPr>
                <w:rFonts w:eastAsiaTheme="minorEastAsia"/>
                <w:i/>
                <w:lang w:val="es-ES" w:eastAsia="es-ES"/>
              </w:rPr>
            </w:pPr>
            <w:r w:rsidRPr="00930BDF">
              <w:rPr>
                <w:rFonts w:eastAsiaTheme="minorEastAsia"/>
                <w:i/>
                <w:lang w:val="es-ES" w:eastAsia="es-ES"/>
              </w:rPr>
              <w:t>Artículos del Protocolo</w:t>
            </w:r>
            <w:r w:rsidR="00B211E4" w:rsidRPr="00930BDF">
              <w:rPr>
                <w:rFonts w:eastAsiaTheme="minorEastAsia"/>
                <w:i/>
                <w:lang w:val="es-ES" w:eastAsia="es-ES"/>
              </w:rPr>
              <w:br/>
            </w:r>
            <w:r w:rsidRPr="00930BDF">
              <w:rPr>
                <w:rFonts w:eastAsiaTheme="minorEastAsia"/>
                <w:i/>
                <w:lang w:val="es-ES" w:eastAsia="es-ES"/>
              </w:rPr>
              <w:t>Facultativo</w:t>
            </w:r>
            <w:r w:rsidR="006A31AE" w:rsidRPr="00930BDF">
              <w:rPr>
                <w:rFonts w:eastAsiaTheme="minorEastAsia"/>
                <w:i/>
                <w:lang w:val="es-ES" w:eastAsia="es-ES"/>
              </w:rPr>
              <w:t>:</w:t>
            </w:r>
          </w:p>
        </w:tc>
        <w:tc>
          <w:tcPr>
            <w:tcW w:w="4110" w:type="dxa"/>
            <w:vAlign w:val="bottom"/>
          </w:tcPr>
          <w:p w14:paraId="04D53B5C" w14:textId="0F247A08" w:rsidR="006A31AE" w:rsidRPr="00930BDF" w:rsidRDefault="00A26D10" w:rsidP="00930BDF">
            <w:pPr>
              <w:pStyle w:val="SingleTxtG"/>
              <w:suppressAutoHyphens w:val="0"/>
              <w:ind w:left="0" w:right="0"/>
              <w:jc w:val="left"/>
              <w:rPr>
                <w:rFonts w:eastAsiaTheme="minorEastAsia"/>
                <w:lang w:val="es-ES" w:eastAsia="es-ES"/>
              </w:rPr>
            </w:pPr>
            <w:r w:rsidRPr="00930BDF">
              <w:rPr>
                <w:rFonts w:eastAsiaTheme="minorEastAsia"/>
                <w:lang w:val="es-ES" w:eastAsia="es-ES"/>
              </w:rPr>
              <w:t>2</w:t>
            </w:r>
            <w:r w:rsidR="004B3C66" w:rsidRPr="00930BDF">
              <w:rPr>
                <w:rFonts w:eastAsiaTheme="minorEastAsia"/>
                <w:lang w:val="es-ES" w:eastAsia="es-ES"/>
              </w:rPr>
              <w:t xml:space="preserve"> y 5, párr</w:t>
            </w:r>
            <w:r w:rsidR="005B049F" w:rsidRPr="00930BDF">
              <w:rPr>
                <w:rFonts w:eastAsiaTheme="minorEastAsia"/>
                <w:lang w:val="es-ES" w:eastAsia="es-ES"/>
              </w:rPr>
              <w:t>.</w:t>
            </w:r>
            <w:r w:rsidR="004B3C66" w:rsidRPr="00930BDF">
              <w:rPr>
                <w:rFonts w:eastAsiaTheme="minorEastAsia"/>
                <w:lang w:val="es-ES" w:eastAsia="es-ES"/>
              </w:rPr>
              <w:t xml:space="preserve"> 2</w:t>
            </w:r>
            <w:r w:rsidR="00726AC7" w:rsidRPr="00930BDF">
              <w:rPr>
                <w:rFonts w:eastAsiaTheme="minorEastAsia"/>
                <w:lang w:val="es-ES" w:eastAsia="es-ES"/>
              </w:rPr>
              <w:t>, apdo.</w:t>
            </w:r>
            <w:r w:rsidR="008F2B29" w:rsidRPr="00930BDF">
              <w:rPr>
                <w:rFonts w:eastAsiaTheme="minorEastAsia"/>
                <w:lang w:val="es-ES" w:eastAsia="es-ES"/>
              </w:rPr>
              <w:t xml:space="preserve"> </w:t>
            </w:r>
            <w:r w:rsidRPr="00930BDF">
              <w:rPr>
                <w:rFonts w:eastAsiaTheme="minorEastAsia"/>
                <w:lang w:val="es-ES" w:eastAsia="es-ES"/>
              </w:rPr>
              <w:t>a</w:t>
            </w:r>
            <w:r w:rsidR="008F2B29" w:rsidRPr="00930BDF">
              <w:rPr>
                <w:rFonts w:eastAsiaTheme="minorEastAsia"/>
                <w:lang w:val="es-ES" w:eastAsia="es-ES"/>
              </w:rPr>
              <w:t>)</w:t>
            </w:r>
          </w:p>
        </w:tc>
      </w:tr>
    </w:tbl>
    <w:p w14:paraId="59B1F2EA" w14:textId="6790EC46" w:rsidR="00C745C4" w:rsidRPr="002F43EF" w:rsidRDefault="00C745C4" w:rsidP="0007420E">
      <w:pPr>
        <w:pStyle w:val="SingleTxtG"/>
        <w:spacing w:before="240"/>
        <w:rPr>
          <w:lang w:val="es-ES"/>
        </w:rPr>
      </w:pPr>
      <w:r w:rsidRPr="002F43EF">
        <w:rPr>
          <w:lang w:val="es-ES"/>
        </w:rPr>
        <w:t>1.</w:t>
      </w:r>
      <w:r w:rsidRPr="002F43EF">
        <w:rPr>
          <w:lang w:val="es-ES"/>
        </w:rPr>
        <w:tab/>
        <w:t xml:space="preserve">Las autoras son </w:t>
      </w:r>
      <w:r w:rsidR="00432042">
        <w:rPr>
          <w:lang w:val="es-ES"/>
        </w:rPr>
        <w:t>M. J. B. B., M. J. Z. S., M. J. F. Z., M. del C. del R. M., F. M. H. y M. N. S. V.</w:t>
      </w:r>
      <w:r w:rsidRPr="002F43EF">
        <w:rPr>
          <w:lang w:val="es-ES"/>
        </w:rPr>
        <w:t xml:space="preserve">, </w:t>
      </w:r>
      <w:r>
        <w:rPr>
          <w:lang w:val="es-ES"/>
        </w:rPr>
        <w:t xml:space="preserve">todas </w:t>
      </w:r>
      <w:r w:rsidRPr="002F43EF">
        <w:rPr>
          <w:lang w:val="es-ES"/>
        </w:rPr>
        <w:t xml:space="preserve">de nacionalidad española. </w:t>
      </w:r>
      <w:r>
        <w:rPr>
          <w:lang w:val="es-ES"/>
        </w:rPr>
        <w:t xml:space="preserve">Las autoras </w:t>
      </w:r>
      <w:r w:rsidR="00940E31">
        <w:rPr>
          <w:lang w:val="es-ES"/>
        </w:rPr>
        <w:t xml:space="preserve">denuncian ser víctimas de una violación </w:t>
      </w:r>
      <w:r w:rsidRPr="002F43EF">
        <w:rPr>
          <w:lang w:val="es-ES"/>
        </w:rPr>
        <w:t xml:space="preserve">de sus derechos contenidos en </w:t>
      </w:r>
      <w:r w:rsidR="00940E31">
        <w:rPr>
          <w:lang w:val="es-ES"/>
        </w:rPr>
        <w:t>el</w:t>
      </w:r>
      <w:r w:rsidRPr="002F43EF">
        <w:rPr>
          <w:lang w:val="es-ES"/>
        </w:rPr>
        <w:t xml:space="preserve"> artículo 14</w:t>
      </w:r>
      <w:r w:rsidR="00940E31">
        <w:rPr>
          <w:lang w:val="es-ES"/>
        </w:rPr>
        <w:t xml:space="preserve">, párrafo </w:t>
      </w:r>
      <w:r w:rsidRPr="002F43EF">
        <w:rPr>
          <w:lang w:val="es-ES"/>
        </w:rPr>
        <w:t>1</w:t>
      </w:r>
      <w:r w:rsidR="00940E31">
        <w:rPr>
          <w:lang w:val="es-ES"/>
        </w:rPr>
        <w:t xml:space="preserve"> y en los artículos</w:t>
      </w:r>
      <w:r w:rsidRPr="002F43EF">
        <w:rPr>
          <w:lang w:val="es-ES"/>
        </w:rPr>
        <w:t xml:space="preserve"> 25 y 26 </w:t>
      </w:r>
      <w:r w:rsidRPr="002F43EF">
        <w:rPr>
          <w:lang w:val="es-ES"/>
        </w:rPr>
        <w:lastRenderedPageBreak/>
        <w:t xml:space="preserve">del Pacto por parte de España. El Protocolo Facultativo entró en vigor para el Estado parte el 25 de abril de 1985. Las autoras </w:t>
      </w:r>
      <w:r w:rsidR="00940E31">
        <w:rPr>
          <w:lang w:val="es-ES"/>
        </w:rPr>
        <w:t>se encuentran</w:t>
      </w:r>
      <w:r w:rsidRPr="002F43EF">
        <w:rPr>
          <w:lang w:val="es-ES"/>
        </w:rPr>
        <w:t xml:space="preserve"> representadas por abogado.</w:t>
      </w:r>
    </w:p>
    <w:p w14:paraId="74A969DC" w14:textId="18B5ADA3" w:rsidR="00E42ABB" w:rsidRPr="00E42ABB" w:rsidRDefault="004256B8" w:rsidP="00930BDF">
      <w:pPr>
        <w:pStyle w:val="H23G"/>
        <w:rPr>
          <w:lang w:val="es-ES"/>
        </w:rPr>
      </w:pPr>
      <w:r>
        <w:rPr>
          <w:lang w:val="es-ES"/>
        </w:rPr>
        <w:tab/>
      </w:r>
      <w:r>
        <w:rPr>
          <w:lang w:val="es-ES"/>
        </w:rPr>
        <w:tab/>
      </w:r>
      <w:r w:rsidR="00E42ABB" w:rsidRPr="00E42ABB">
        <w:rPr>
          <w:lang w:val="es-ES"/>
        </w:rPr>
        <w:t>Los hechos expuestos por la</w:t>
      </w:r>
      <w:r w:rsidR="00940E31">
        <w:rPr>
          <w:lang w:val="es-ES"/>
        </w:rPr>
        <w:t>s</w:t>
      </w:r>
      <w:r w:rsidR="00E42ABB" w:rsidRPr="00E42ABB">
        <w:rPr>
          <w:lang w:val="es-ES"/>
        </w:rPr>
        <w:t xml:space="preserve"> autora</w:t>
      </w:r>
      <w:r w:rsidR="00940E31">
        <w:rPr>
          <w:lang w:val="es-ES"/>
        </w:rPr>
        <w:t>s</w:t>
      </w:r>
    </w:p>
    <w:p w14:paraId="24A4D2F7" w14:textId="791DF9E5" w:rsidR="005B4D77" w:rsidRDefault="002F43EF" w:rsidP="00930BDF">
      <w:pPr>
        <w:pStyle w:val="SingleTxtG"/>
        <w:rPr>
          <w:lang w:val="es-ES"/>
        </w:rPr>
      </w:pPr>
      <w:r w:rsidRPr="002F43EF">
        <w:rPr>
          <w:lang w:val="es-ES"/>
        </w:rPr>
        <w:t>2.1</w:t>
      </w:r>
      <w:r w:rsidRPr="002F43EF">
        <w:rPr>
          <w:lang w:val="es-ES"/>
        </w:rPr>
        <w:tab/>
        <w:t xml:space="preserve">Las autoras se presentaron a una convocatoria de pruebas selectivas para el ingreso en el Cuerpo de Auxiliares de la Administración de Justicia, llevadas a cabo por orden del Ministerio de Justicia de 17 de noviembre de 1997. </w:t>
      </w:r>
      <w:r w:rsidR="005B4D77">
        <w:rPr>
          <w:lang w:val="es-ES"/>
        </w:rPr>
        <w:t xml:space="preserve">Una vez concluido el proceso selectivo, la Secretaría de Estado de Justicia, mediante </w:t>
      </w:r>
      <w:r w:rsidR="009D05CC">
        <w:rPr>
          <w:lang w:val="es-ES"/>
        </w:rPr>
        <w:t>r</w:t>
      </w:r>
      <w:r w:rsidR="005B4D77">
        <w:rPr>
          <w:lang w:val="es-ES"/>
        </w:rPr>
        <w:t>esolución de 4 de noviembre de 1998</w:t>
      </w:r>
      <w:r w:rsidR="005B4D77" w:rsidRPr="00930BDF">
        <w:rPr>
          <w:rStyle w:val="FootnoteReference"/>
          <w:szCs w:val="18"/>
          <w:lang w:val="es-ES"/>
        </w:rPr>
        <w:footnoteReference w:id="3"/>
      </w:r>
      <w:r w:rsidR="009D05CC">
        <w:rPr>
          <w:lang w:val="es-ES"/>
        </w:rPr>
        <w:t>,</w:t>
      </w:r>
      <w:r w:rsidRPr="002F43EF">
        <w:rPr>
          <w:lang w:val="es-ES"/>
        </w:rPr>
        <w:t xml:space="preserve"> aprobó y publicó la </w:t>
      </w:r>
      <w:r w:rsidR="005B4D77">
        <w:rPr>
          <w:lang w:val="es-ES"/>
        </w:rPr>
        <w:t>lista</w:t>
      </w:r>
      <w:r w:rsidRPr="002F43EF">
        <w:rPr>
          <w:lang w:val="es-ES"/>
        </w:rPr>
        <w:t xml:space="preserve"> de aspirantes que habían superado las pruebas selectivas</w:t>
      </w:r>
      <w:r w:rsidR="005B4D77">
        <w:rPr>
          <w:lang w:val="es-ES"/>
        </w:rPr>
        <w:t xml:space="preserve">. Las autoras no se encontraban en dicha lista. Sin embargo, no impugnaron la resolución </w:t>
      </w:r>
      <w:r w:rsidR="009C1286">
        <w:rPr>
          <w:lang w:val="es-ES"/>
        </w:rPr>
        <w:t xml:space="preserve">en </w:t>
      </w:r>
      <w:r w:rsidR="005B4D77">
        <w:rPr>
          <w:lang w:val="es-ES"/>
        </w:rPr>
        <w:t>la creencia de que la valoración de los distintos aspirantes había sido realizada correctamente.</w:t>
      </w:r>
    </w:p>
    <w:p w14:paraId="277FDC72" w14:textId="23FB7BC6" w:rsidR="00833042" w:rsidRDefault="002F43EF" w:rsidP="00930BDF">
      <w:pPr>
        <w:pStyle w:val="SingleTxtG"/>
        <w:rPr>
          <w:lang w:val="es-ES"/>
        </w:rPr>
      </w:pPr>
      <w:r w:rsidRPr="002F43EF">
        <w:rPr>
          <w:lang w:val="es-ES"/>
        </w:rPr>
        <w:t>2.2</w:t>
      </w:r>
      <w:r w:rsidRPr="002F43EF">
        <w:rPr>
          <w:lang w:val="es-ES"/>
        </w:rPr>
        <w:tab/>
      </w:r>
      <w:r w:rsidR="0047586F">
        <w:rPr>
          <w:lang w:val="es-ES"/>
        </w:rPr>
        <w:t>Entre 2007 y 2009</w:t>
      </w:r>
      <w:r w:rsidR="005B4D77">
        <w:rPr>
          <w:lang w:val="es-ES"/>
        </w:rPr>
        <w:t xml:space="preserve">, </w:t>
      </w:r>
      <w:r w:rsidR="0047586F">
        <w:rPr>
          <w:lang w:val="es-ES"/>
        </w:rPr>
        <w:t xml:space="preserve">en virtud de decenas de impugnaciones por parte de otros aspirantes, </w:t>
      </w:r>
      <w:r w:rsidR="005107D4">
        <w:rPr>
          <w:lang w:val="es-ES"/>
        </w:rPr>
        <w:t xml:space="preserve">las autoras </w:t>
      </w:r>
      <w:r w:rsidR="00FD1385">
        <w:rPr>
          <w:lang w:val="es-ES"/>
        </w:rPr>
        <w:t>descubrieron</w:t>
      </w:r>
      <w:r w:rsidR="005107D4">
        <w:rPr>
          <w:lang w:val="es-ES"/>
        </w:rPr>
        <w:t xml:space="preserve"> que </w:t>
      </w:r>
      <w:r w:rsidR="00833042">
        <w:rPr>
          <w:lang w:val="es-ES"/>
        </w:rPr>
        <w:t>habría</w:t>
      </w:r>
      <w:r w:rsidR="005107D4">
        <w:rPr>
          <w:lang w:val="es-ES"/>
        </w:rPr>
        <w:t xml:space="preserve"> habido irregularidades en la forma en que se habían valorado los resultados de los exámenes</w:t>
      </w:r>
      <w:r w:rsidR="00833042">
        <w:rPr>
          <w:lang w:val="es-ES"/>
        </w:rPr>
        <w:t>.</w:t>
      </w:r>
      <w:r w:rsidR="005107D4">
        <w:rPr>
          <w:lang w:val="es-ES"/>
        </w:rPr>
        <w:t xml:space="preserve"> </w:t>
      </w:r>
      <w:r w:rsidR="00833042">
        <w:rPr>
          <w:lang w:val="es-ES"/>
        </w:rPr>
        <w:t xml:space="preserve">El examen contaba con dos ejercicios. Para el primer ejercicio, el </w:t>
      </w:r>
      <w:r w:rsidR="009D05CC">
        <w:rPr>
          <w:lang w:val="es-ES"/>
        </w:rPr>
        <w:t>t</w:t>
      </w:r>
      <w:r w:rsidR="00833042">
        <w:rPr>
          <w:lang w:val="es-ES"/>
        </w:rPr>
        <w:t xml:space="preserve">ribunal calificador único, en uso de la facultad que le atribuía la norma 9.1 de las </w:t>
      </w:r>
      <w:r w:rsidR="009D05CC">
        <w:rPr>
          <w:lang w:val="es-ES"/>
        </w:rPr>
        <w:t>b</w:t>
      </w:r>
      <w:r w:rsidR="00833042">
        <w:rPr>
          <w:lang w:val="es-ES"/>
        </w:rPr>
        <w:t>ases de la convocatoria, estableció 78 preguntas correctas (una vez descontadas todas las incorrectas) como mínimo para superar la prueba</w:t>
      </w:r>
      <w:r w:rsidR="0047586F">
        <w:rPr>
          <w:rStyle w:val="FootnoteReference"/>
          <w:lang w:val="es-ES"/>
        </w:rPr>
        <w:footnoteReference w:id="4"/>
      </w:r>
      <w:r w:rsidR="009D05CC">
        <w:rPr>
          <w:lang w:val="es-ES"/>
        </w:rPr>
        <w:t>.</w:t>
      </w:r>
      <w:r w:rsidR="00833042">
        <w:rPr>
          <w:lang w:val="es-ES"/>
        </w:rPr>
        <w:t xml:space="preserve"> </w:t>
      </w:r>
      <w:r w:rsidR="00AD2E2D">
        <w:rPr>
          <w:lang w:val="es-ES"/>
        </w:rPr>
        <w:t xml:space="preserve">Sin embargo, </w:t>
      </w:r>
      <w:r w:rsidR="00833042">
        <w:rPr>
          <w:lang w:val="es-ES"/>
        </w:rPr>
        <w:t>en vez de otorgar 78 puntos por 78 preguntas correctas</w:t>
      </w:r>
      <w:r w:rsidR="00AD2E2D">
        <w:rPr>
          <w:lang w:val="es-ES"/>
        </w:rPr>
        <w:t xml:space="preserve">, el </w:t>
      </w:r>
      <w:r w:rsidR="00890A98">
        <w:rPr>
          <w:lang w:val="es-ES"/>
        </w:rPr>
        <w:t>t</w:t>
      </w:r>
      <w:r w:rsidR="00AD2E2D">
        <w:rPr>
          <w:lang w:val="es-ES"/>
        </w:rPr>
        <w:t>ribunal calificador</w:t>
      </w:r>
      <w:r w:rsidR="00833042">
        <w:rPr>
          <w:lang w:val="es-ES"/>
        </w:rPr>
        <w:t xml:space="preserve"> decidió otorgar 50 </w:t>
      </w:r>
      <w:r w:rsidR="00890A98">
        <w:rPr>
          <w:lang w:val="es-ES"/>
        </w:rPr>
        <w:t xml:space="preserve">puntos </w:t>
      </w:r>
      <w:r w:rsidR="00833042">
        <w:rPr>
          <w:lang w:val="es-ES"/>
        </w:rPr>
        <w:t xml:space="preserve">por las primeras 78 preguntas correctas y valorar en 2,5 puntos cada pregunta correcta siguiente, utilizando la </w:t>
      </w:r>
      <w:r w:rsidR="009753A9">
        <w:rPr>
          <w:lang w:val="es-ES"/>
        </w:rPr>
        <w:t xml:space="preserve">siguiente </w:t>
      </w:r>
      <w:r w:rsidR="00833042">
        <w:rPr>
          <w:lang w:val="es-ES"/>
        </w:rPr>
        <w:t xml:space="preserve">fórmula matemática: Nota = ((Preguntas correctas-78) x 2,5) + 50. El segundo ejercicio fue puntuado adecuadamente, asignando un punto a cada pregunta correcta. Ello implicó que en el primer ejercicio se subvalorara el puntaje de personas con menos de 78 preguntas correctas y se sobrevalorara </w:t>
      </w:r>
      <w:r w:rsidR="00890A98">
        <w:rPr>
          <w:lang w:val="es-ES"/>
        </w:rPr>
        <w:t xml:space="preserve">el de </w:t>
      </w:r>
      <w:r w:rsidR="00833042">
        <w:rPr>
          <w:lang w:val="es-ES"/>
        </w:rPr>
        <w:t>aquellas con más de 78 preguntas correctas, dándole</w:t>
      </w:r>
      <w:r w:rsidR="00890A98">
        <w:rPr>
          <w:lang w:val="es-ES"/>
        </w:rPr>
        <w:t>s</w:t>
      </w:r>
      <w:r w:rsidR="00833042">
        <w:rPr>
          <w:lang w:val="es-ES"/>
        </w:rPr>
        <w:t xml:space="preserve"> a las segundas una ventaja respecto de las primeras.</w:t>
      </w:r>
    </w:p>
    <w:p w14:paraId="4DF77DA2" w14:textId="6337622D" w:rsidR="005107D4" w:rsidRPr="002F43EF" w:rsidRDefault="00833042" w:rsidP="00930BDF">
      <w:pPr>
        <w:pStyle w:val="SingleTxtG"/>
        <w:rPr>
          <w:lang w:val="es-ES"/>
        </w:rPr>
      </w:pPr>
      <w:r>
        <w:rPr>
          <w:lang w:val="es-ES"/>
        </w:rPr>
        <w:t>2.3</w:t>
      </w:r>
      <w:r>
        <w:rPr>
          <w:lang w:val="es-ES"/>
        </w:rPr>
        <w:tab/>
      </w:r>
      <w:r w:rsidR="00A5782C">
        <w:rPr>
          <w:lang w:val="es-ES"/>
        </w:rPr>
        <w:t>E</w:t>
      </w:r>
      <w:r w:rsidR="005107D4">
        <w:rPr>
          <w:lang w:val="es-ES"/>
        </w:rPr>
        <w:t xml:space="preserve">ntre 2005 y 2011, más de 30 sentencias dictadas por la Sala </w:t>
      </w:r>
      <w:r w:rsidR="008920EB">
        <w:rPr>
          <w:lang w:val="es-ES"/>
        </w:rPr>
        <w:t>de lo Contencioso-Administrativo</w:t>
      </w:r>
      <w:r w:rsidR="005107D4">
        <w:rPr>
          <w:lang w:val="es-ES"/>
        </w:rPr>
        <w:t xml:space="preserve"> del Tribunal Supremo consideraron que la fórmula matemática aplicada era discriminatoria</w:t>
      </w:r>
      <w:r w:rsidR="006A11F6">
        <w:rPr>
          <w:lang w:val="es-ES"/>
        </w:rPr>
        <w:t>, en violación de los artículos 14 y 23 de la Constitución</w:t>
      </w:r>
      <w:r w:rsidR="005107D4">
        <w:rPr>
          <w:lang w:val="es-ES"/>
        </w:rPr>
        <w:t>. En consecuencia</w:t>
      </w:r>
      <w:r w:rsidR="00A5782C">
        <w:rPr>
          <w:lang w:val="es-ES"/>
        </w:rPr>
        <w:t>,</w:t>
      </w:r>
      <w:r w:rsidR="005107D4">
        <w:rPr>
          <w:lang w:val="es-ES"/>
        </w:rPr>
        <w:t xml:space="preserve"> el Tribunal Supremo acordó anular </w:t>
      </w:r>
      <w:r w:rsidR="005107D4" w:rsidRPr="002F43EF">
        <w:rPr>
          <w:lang w:val="es-ES"/>
        </w:rPr>
        <w:t xml:space="preserve">la exclusión de los recurrentes de la </w:t>
      </w:r>
      <w:r w:rsidR="005107D4">
        <w:rPr>
          <w:lang w:val="es-ES"/>
        </w:rPr>
        <w:t>lista</w:t>
      </w:r>
      <w:r w:rsidR="005107D4" w:rsidRPr="002F43EF">
        <w:rPr>
          <w:lang w:val="es-ES"/>
        </w:rPr>
        <w:t xml:space="preserve"> de aspirantes seleccionados en 1998, declarar </w:t>
      </w:r>
      <w:r w:rsidR="005107D4">
        <w:rPr>
          <w:lang w:val="es-ES"/>
        </w:rPr>
        <w:t>su</w:t>
      </w:r>
      <w:r w:rsidR="005107D4" w:rsidRPr="002F43EF">
        <w:rPr>
          <w:lang w:val="es-ES"/>
        </w:rPr>
        <w:t xml:space="preserve"> derecho a ser nombrados funcionarios del Cuerpo de Auxiliares de la Administración de Justicia, y demandar que se les ofrezca una plaza de dicho cuerpo.</w:t>
      </w:r>
    </w:p>
    <w:p w14:paraId="374A82DB" w14:textId="43E85278" w:rsidR="008920EB" w:rsidRDefault="005107D4" w:rsidP="00930BDF">
      <w:pPr>
        <w:pStyle w:val="SingleTxtG"/>
        <w:rPr>
          <w:lang w:val="es-ES"/>
        </w:rPr>
      </w:pPr>
      <w:r w:rsidRPr="002F43EF">
        <w:rPr>
          <w:lang w:val="es-ES"/>
        </w:rPr>
        <w:t>2.</w:t>
      </w:r>
      <w:r w:rsidR="00833042">
        <w:rPr>
          <w:lang w:val="es-ES"/>
        </w:rPr>
        <w:t>4</w:t>
      </w:r>
      <w:r w:rsidRPr="002F43EF">
        <w:rPr>
          <w:lang w:val="es-ES"/>
        </w:rPr>
        <w:tab/>
      </w:r>
      <w:r>
        <w:rPr>
          <w:lang w:val="es-ES"/>
        </w:rPr>
        <w:t xml:space="preserve">Ante </w:t>
      </w:r>
      <w:r w:rsidR="00833042">
        <w:rPr>
          <w:lang w:val="es-ES"/>
        </w:rPr>
        <w:t>estas</w:t>
      </w:r>
      <w:r>
        <w:rPr>
          <w:lang w:val="es-ES"/>
        </w:rPr>
        <w:t xml:space="preserve"> primeras sentencias, el Defensor del Pueblo emitió una </w:t>
      </w:r>
      <w:r w:rsidR="00890A98">
        <w:rPr>
          <w:lang w:val="es-ES"/>
        </w:rPr>
        <w:t>r</w:t>
      </w:r>
      <w:r>
        <w:rPr>
          <w:lang w:val="es-ES"/>
        </w:rPr>
        <w:t>ecomendación</w:t>
      </w:r>
      <w:r w:rsidR="008920EB">
        <w:rPr>
          <w:rStyle w:val="FootnoteReference"/>
          <w:lang w:val="es-ES"/>
        </w:rPr>
        <w:footnoteReference w:id="5"/>
      </w:r>
      <w:r>
        <w:rPr>
          <w:lang w:val="es-ES"/>
        </w:rPr>
        <w:t xml:space="preserve"> según la cual reafirmaba que la fórmula utilizada para la corrección favorecía a algun</w:t>
      </w:r>
      <w:r w:rsidR="00AD2E2D">
        <w:rPr>
          <w:lang w:val="es-ES"/>
        </w:rPr>
        <w:t>a</w:t>
      </w:r>
      <w:r>
        <w:rPr>
          <w:lang w:val="es-ES"/>
        </w:rPr>
        <w:t>s</w:t>
      </w:r>
      <w:r w:rsidR="00AD2E2D">
        <w:rPr>
          <w:lang w:val="es-ES"/>
        </w:rPr>
        <w:t xml:space="preserve"> personas</w:t>
      </w:r>
      <w:r>
        <w:rPr>
          <w:lang w:val="es-ES"/>
        </w:rPr>
        <w:t xml:space="preserve"> en detrimento de otr</w:t>
      </w:r>
      <w:r w:rsidR="00AD2E2D">
        <w:rPr>
          <w:lang w:val="es-ES"/>
        </w:rPr>
        <w:t>a</w:t>
      </w:r>
      <w:r>
        <w:rPr>
          <w:lang w:val="es-ES"/>
        </w:rPr>
        <w:t xml:space="preserve">s violando el derecho a acceder en condiciones de igualdad a cargos públicos. Al conocer dicha </w:t>
      </w:r>
      <w:r w:rsidR="00E55745">
        <w:rPr>
          <w:lang w:val="es-ES"/>
        </w:rPr>
        <w:t>r</w:t>
      </w:r>
      <w:r>
        <w:rPr>
          <w:lang w:val="es-ES"/>
        </w:rPr>
        <w:t xml:space="preserve">ecomendación, las autoras presentaron, entre 2007 y 2009, escritos ante el </w:t>
      </w:r>
      <w:r w:rsidRPr="002F43EF">
        <w:rPr>
          <w:lang w:val="es-ES"/>
        </w:rPr>
        <w:t xml:space="preserve">Ministerio de Justicia solicitando la nulidad de pleno derecho de la </w:t>
      </w:r>
      <w:r w:rsidR="00334514">
        <w:rPr>
          <w:lang w:val="es-ES"/>
        </w:rPr>
        <w:t>r</w:t>
      </w:r>
      <w:r w:rsidRPr="002F43EF">
        <w:rPr>
          <w:lang w:val="es-ES"/>
        </w:rPr>
        <w:t xml:space="preserve">esolución con la </w:t>
      </w:r>
      <w:r w:rsidR="008920EB">
        <w:rPr>
          <w:lang w:val="es-ES"/>
        </w:rPr>
        <w:t>lista</w:t>
      </w:r>
      <w:r w:rsidRPr="002F43EF">
        <w:rPr>
          <w:lang w:val="es-ES"/>
        </w:rPr>
        <w:t xml:space="preserve"> de aspirantes.</w:t>
      </w:r>
    </w:p>
    <w:p w14:paraId="0549527B" w14:textId="3339E5E6" w:rsidR="005107D4" w:rsidRPr="002F43EF" w:rsidRDefault="008920EB" w:rsidP="00930BDF">
      <w:pPr>
        <w:pStyle w:val="SingleTxtG"/>
        <w:rPr>
          <w:lang w:val="es-ES"/>
        </w:rPr>
      </w:pPr>
      <w:r>
        <w:rPr>
          <w:lang w:val="es-ES"/>
        </w:rPr>
        <w:t>2.</w:t>
      </w:r>
      <w:r w:rsidR="00833042">
        <w:rPr>
          <w:lang w:val="es-ES"/>
        </w:rPr>
        <w:t>5</w:t>
      </w:r>
      <w:r>
        <w:rPr>
          <w:lang w:val="es-ES"/>
        </w:rPr>
        <w:tab/>
      </w:r>
      <w:r w:rsidR="005107D4" w:rsidRPr="002F43EF">
        <w:rPr>
          <w:lang w:val="es-ES"/>
        </w:rPr>
        <w:t xml:space="preserve">Ante el silencio de la </w:t>
      </w:r>
      <w:r w:rsidR="00AD2E2D">
        <w:rPr>
          <w:lang w:val="es-ES"/>
        </w:rPr>
        <w:t>A</w:t>
      </w:r>
      <w:r w:rsidR="005107D4" w:rsidRPr="002F43EF">
        <w:rPr>
          <w:lang w:val="es-ES"/>
        </w:rPr>
        <w:t>dministración</w:t>
      </w:r>
      <w:r>
        <w:rPr>
          <w:lang w:val="es-ES"/>
        </w:rPr>
        <w:t>, las autoras</w:t>
      </w:r>
      <w:r w:rsidR="005107D4" w:rsidRPr="002F43EF">
        <w:rPr>
          <w:lang w:val="es-ES"/>
        </w:rPr>
        <w:t xml:space="preserve"> </w:t>
      </w:r>
      <w:proofErr w:type="gramStart"/>
      <w:r w:rsidR="005107D4" w:rsidRPr="002F43EF">
        <w:rPr>
          <w:lang w:val="es-ES"/>
        </w:rPr>
        <w:t>presentaron</w:t>
      </w:r>
      <w:proofErr w:type="gramEnd"/>
      <w:r w:rsidR="00833042">
        <w:rPr>
          <w:lang w:val="es-ES"/>
        </w:rPr>
        <w:t xml:space="preserve"> </w:t>
      </w:r>
      <w:r w:rsidR="00E90171">
        <w:rPr>
          <w:lang w:val="es-ES"/>
        </w:rPr>
        <w:t>asimismo</w:t>
      </w:r>
      <w:r>
        <w:rPr>
          <w:lang w:val="es-ES"/>
        </w:rPr>
        <w:t>, entre 2009 y 2011, r</w:t>
      </w:r>
      <w:r w:rsidR="005107D4" w:rsidRPr="002F43EF">
        <w:rPr>
          <w:lang w:val="es-ES"/>
        </w:rPr>
        <w:t>ecurso</w:t>
      </w:r>
      <w:r>
        <w:rPr>
          <w:lang w:val="es-ES"/>
        </w:rPr>
        <w:t>s</w:t>
      </w:r>
      <w:r w:rsidR="005107D4" w:rsidRPr="002F43EF">
        <w:rPr>
          <w:lang w:val="es-ES"/>
        </w:rPr>
        <w:t xml:space="preserve"> </w:t>
      </w:r>
      <w:r>
        <w:rPr>
          <w:lang w:val="es-ES"/>
        </w:rPr>
        <w:t>c</w:t>
      </w:r>
      <w:r w:rsidR="005107D4" w:rsidRPr="002F43EF">
        <w:rPr>
          <w:lang w:val="es-ES"/>
        </w:rPr>
        <w:t>ontencioso</w:t>
      </w:r>
      <w:r>
        <w:rPr>
          <w:lang w:val="es-ES"/>
        </w:rPr>
        <w:t>-a</w:t>
      </w:r>
      <w:r w:rsidR="005107D4" w:rsidRPr="002F43EF">
        <w:rPr>
          <w:lang w:val="es-ES"/>
        </w:rPr>
        <w:t>dministrativo</w:t>
      </w:r>
      <w:r>
        <w:rPr>
          <w:lang w:val="es-ES"/>
        </w:rPr>
        <w:t>s</w:t>
      </w:r>
      <w:r w:rsidR="005107D4" w:rsidRPr="002F43EF">
        <w:rPr>
          <w:lang w:val="es-ES"/>
        </w:rPr>
        <w:t xml:space="preserve"> ante la Sala de lo Contencioso</w:t>
      </w:r>
      <w:r>
        <w:rPr>
          <w:lang w:val="es-ES"/>
        </w:rPr>
        <w:t>-</w:t>
      </w:r>
      <w:r w:rsidR="005107D4" w:rsidRPr="002F43EF">
        <w:rPr>
          <w:lang w:val="es-ES"/>
        </w:rPr>
        <w:t xml:space="preserve">Administrativo de la Audiencia Nacional denunciando la violación del derecho a la igualdad ante la ley y a la igualdad en el acceso a las funciones públicas. </w:t>
      </w:r>
      <w:r w:rsidR="00833042">
        <w:rPr>
          <w:lang w:val="es-ES"/>
        </w:rPr>
        <w:t>Las autoras</w:t>
      </w:r>
      <w:r w:rsidR="00833042" w:rsidRPr="002F43EF">
        <w:rPr>
          <w:lang w:val="es-ES"/>
        </w:rPr>
        <w:t xml:space="preserve"> </w:t>
      </w:r>
      <w:r w:rsidR="00833042">
        <w:rPr>
          <w:lang w:val="es-ES"/>
        </w:rPr>
        <w:t>solicitaron</w:t>
      </w:r>
      <w:r w:rsidR="00833042" w:rsidRPr="002F43EF">
        <w:rPr>
          <w:lang w:val="es-ES"/>
        </w:rPr>
        <w:t xml:space="preserve"> que se las </w:t>
      </w:r>
      <w:r w:rsidR="002778A0">
        <w:rPr>
          <w:lang w:val="es-ES"/>
        </w:rPr>
        <w:t xml:space="preserve">tuviera </w:t>
      </w:r>
      <w:r w:rsidR="00833042" w:rsidRPr="002F43EF">
        <w:rPr>
          <w:lang w:val="es-ES"/>
        </w:rPr>
        <w:t>por seleccionadas con los efectos económicos y administrativos desde la fecha en que debieron ser nombradas según la nota que hab</w:t>
      </w:r>
      <w:r w:rsidR="00833042">
        <w:rPr>
          <w:lang w:val="es-ES"/>
        </w:rPr>
        <w:t>r</w:t>
      </w:r>
      <w:r w:rsidR="00833042" w:rsidRPr="002F43EF">
        <w:rPr>
          <w:lang w:val="es-ES"/>
        </w:rPr>
        <w:t>ían obtenido de no haber usado la fórmula de corrección impugnada</w:t>
      </w:r>
      <w:r w:rsidR="00833042">
        <w:rPr>
          <w:lang w:val="es-ES"/>
        </w:rPr>
        <w:t xml:space="preserve"> (en el cas</w:t>
      </w:r>
      <w:r w:rsidR="00FE72F9">
        <w:rPr>
          <w:lang w:val="es-ES"/>
        </w:rPr>
        <w:t>o</w:t>
      </w:r>
      <w:r w:rsidR="00833042">
        <w:rPr>
          <w:lang w:val="es-ES"/>
        </w:rPr>
        <w:t xml:space="preserve"> de cada una de las autoras, su nota final era más alta que la nota de mucha de las personas a quienes ya se les había</w:t>
      </w:r>
      <w:r w:rsidR="00FE72F9">
        <w:rPr>
          <w:lang w:val="es-ES"/>
        </w:rPr>
        <w:t xml:space="preserve"> ofrecido plaza en virtud de las notas asignadas bajo la fórmula matemática impugnada).</w:t>
      </w:r>
      <w:r w:rsidR="00833042" w:rsidRPr="002F43EF">
        <w:rPr>
          <w:lang w:val="es-ES"/>
        </w:rPr>
        <w:t xml:space="preserve"> </w:t>
      </w:r>
      <w:r w:rsidR="005107D4" w:rsidRPr="002F43EF">
        <w:rPr>
          <w:lang w:val="es-ES"/>
        </w:rPr>
        <w:t xml:space="preserve">La Sala desestimó los recursos </w:t>
      </w:r>
      <w:r>
        <w:rPr>
          <w:lang w:val="es-ES"/>
        </w:rPr>
        <w:t>de cada una de las autoras</w:t>
      </w:r>
      <w:r w:rsidR="0089701B">
        <w:rPr>
          <w:lang w:val="es-ES"/>
        </w:rPr>
        <w:t>, de forma idéntica,</w:t>
      </w:r>
      <w:r>
        <w:rPr>
          <w:lang w:val="es-ES"/>
        </w:rPr>
        <w:t xml:space="preserve"> </w:t>
      </w:r>
      <w:r w:rsidR="0089701B">
        <w:rPr>
          <w:lang w:val="es-ES"/>
        </w:rPr>
        <w:t xml:space="preserve">entre junio de 2009 y enero de 2011 </w:t>
      </w:r>
      <w:r w:rsidR="005107D4" w:rsidRPr="002F43EF">
        <w:rPr>
          <w:lang w:val="es-ES"/>
        </w:rPr>
        <w:t>por considerar que</w:t>
      </w:r>
      <w:r>
        <w:rPr>
          <w:lang w:val="es-ES"/>
        </w:rPr>
        <w:t>,</w:t>
      </w:r>
      <w:r w:rsidR="005107D4" w:rsidRPr="002F43EF">
        <w:rPr>
          <w:lang w:val="es-ES"/>
        </w:rPr>
        <w:t xml:space="preserve"> ante el </w:t>
      </w:r>
      <w:r w:rsidR="005107D4" w:rsidRPr="002F43EF">
        <w:rPr>
          <w:lang w:val="es-ES"/>
        </w:rPr>
        <w:lastRenderedPageBreak/>
        <w:t xml:space="preserve">transcurso de más de </w:t>
      </w:r>
      <w:r w:rsidR="000F1ED3">
        <w:rPr>
          <w:lang w:val="es-ES"/>
        </w:rPr>
        <w:t>diez</w:t>
      </w:r>
      <w:r w:rsidR="005107D4" w:rsidRPr="002F43EF">
        <w:rPr>
          <w:lang w:val="es-ES"/>
        </w:rPr>
        <w:t xml:space="preserve"> años de la resolución impugnada</w:t>
      </w:r>
      <w:r>
        <w:rPr>
          <w:lang w:val="es-ES"/>
        </w:rPr>
        <w:t>,</w:t>
      </w:r>
      <w:r w:rsidR="005107D4" w:rsidRPr="002F43EF">
        <w:rPr>
          <w:lang w:val="es-ES"/>
        </w:rPr>
        <w:t xml:space="preserve"> y por motivos de seguridad jurídica, no era posible declarar la nulidad de pleno derecho de la </w:t>
      </w:r>
      <w:r w:rsidR="00334514">
        <w:rPr>
          <w:lang w:val="es-ES"/>
        </w:rPr>
        <w:t>r</w:t>
      </w:r>
      <w:r w:rsidR="005107D4" w:rsidRPr="002F43EF">
        <w:rPr>
          <w:lang w:val="es-ES"/>
        </w:rPr>
        <w:t>esolución</w:t>
      </w:r>
      <w:r w:rsidR="0089701B">
        <w:rPr>
          <w:rStyle w:val="FootnoteReference"/>
          <w:lang w:val="es-ES"/>
        </w:rPr>
        <w:footnoteReference w:id="6"/>
      </w:r>
      <w:r w:rsidR="000F1ED3">
        <w:rPr>
          <w:lang w:val="es-ES"/>
        </w:rPr>
        <w:t>.</w:t>
      </w:r>
    </w:p>
    <w:p w14:paraId="150D093E" w14:textId="4F35822B" w:rsidR="002F43EF" w:rsidRPr="002F43EF" w:rsidRDefault="002F43EF" w:rsidP="00930BDF">
      <w:pPr>
        <w:pStyle w:val="SingleTxtG"/>
        <w:rPr>
          <w:lang w:val="es-ES"/>
        </w:rPr>
      </w:pPr>
      <w:r w:rsidRPr="002F43EF">
        <w:rPr>
          <w:lang w:val="es-ES"/>
        </w:rPr>
        <w:t>2.</w:t>
      </w:r>
      <w:r w:rsidR="00833042">
        <w:rPr>
          <w:lang w:val="es-ES"/>
        </w:rPr>
        <w:t>6</w:t>
      </w:r>
      <w:r w:rsidRPr="002F43EF">
        <w:rPr>
          <w:lang w:val="es-ES"/>
        </w:rPr>
        <w:tab/>
        <w:t xml:space="preserve">Contra estas resoluciones las autoras interpusieron </w:t>
      </w:r>
      <w:r w:rsidR="00334514">
        <w:rPr>
          <w:lang w:val="es-ES"/>
        </w:rPr>
        <w:t>r</w:t>
      </w:r>
      <w:r w:rsidRPr="002F43EF">
        <w:rPr>
          <w:lang w:val="es-ES"/>
        </w:rPr>
        <w:t>ecurso</w:t>
      </w:r>
      <w:r w:rsidR="00334514">
        <w:rPr>
          <w:lang w:val="es-ES"/>
        </w:rPr>
        <w:t>s</w:t>
      </w:r>
      <w:r w:rsidRPr="002F43EF">
        <w:rPr>
          <w:lang w:val="es-ES"/>
        </w:rPr>
        <w:t xml:space="preserve"> de </w:t>
      </w:r>
      <w:r w:rsidR="00334514">
        <w:rPr>
          <w:lang w:val="es-ES"/>
        </w:rPr>
        <w:t>c</w:t>
      </w:r>
      <w:r w:rsidRPr="002F43EF">
        <w:rPr>
          <w:lang w:val="es-ES"/>
        </w:rPr>
        <w:t xml:space="preserve">asación ante el Tribunal Supremo solicitando nuevamente la nulidad de la </w:t>
      </w:r>
      <w:r w:rsidR="00334514">
        <w:rPr>
          <w:lang w:val="es-ES"/>
        </w:rPr>
        <w:t>r</w:t>
      </w:r>
      <w:r w:rsidRPr="002F43EF">
        <w:rPr>
          <w:lang w:val="es-ES"/>
        </w:rPr>
        <w:t xml:space="preserve">esolución de la </w:t>
      </w:r>
      <w:r w:rsidR="00E90171">
        <w:rPr>
          <w:lang w:val="es-ES"/>
        </w:rPr>
        <w:t>A</w:t>
      </w:r>
      <w:r w:rsidRPr="002F43EF">
        <w:rPr>
          <w:lang w:val="es-ES"/>
        </w:rPr>
        <w:t xml:space="preserve">dministración. </w:t>
      </w:r>
      <w:r w:rsidR="00557209">
        <w:rPr>
          <w:lang w:val="es-ES"/>
        </w:rPr>
        <w:t>Entre febrero y septiembre de 2012, l</w:t>
      </w:r>
      <w:r w:rsidRPr="002F43EF">
        <w:rPr>
          <w:lang w:val="es-ES"/>
        </w:rPr>
        <w:t>a Sala de lo Contencioso</w:t>
      </w:r>
      <w:r w:rsidR="0053333B">
        <w:rPr>
          <w:lang w:val="es-ES"/>
        </w:rPr>
        <w:t>-</w:t>
      </w:r>
      <w:r w:rsidRPr="002F43EF">
        <w:rPr>
          <w:lang w:val="es-ES"/>
        </w:rPr>
        <w:t xml:space="preserve">Administrativo del Tribunal Supremo revocó </w:t>
      </w:r>
      <w:r w:rsidR="0053333B">
        <w:rPr>
          <w:lang w:val="es-ES"/>
        </w:rPr>
        <w:t xml:space="preserve">todas </w:t>
      </w:r>
      <w:r w:rsidRPr="002F43EF">
        <w:rPr>
          <w:lang w:val="es-ES"/>
        </w:rPr>
        <w:t>las sentencias inferiores entendiendo que los casos eran admisibles, sin importar el tiempo transcurrido</w:t>
      </w:r>
      <w:r w:rsidR="007867B1">
        <w:rPr>
          <w:rStyle w:val="FootnoteReference"/>
          <w:lang w:val="es-ES"/>
        </w:rPr>
        <w:footnoteReference w:id="7"/>
      </w:r>
      <w:r w:rsidR="000F1ED3">
        <w:rPr>
          <w:lang w:val="es-ES"/>
        </w:rPr>
        <w:t>.</w:t>
      </w:r>
      <w:r w:rsidRPr="002F43EF">
        <w:rPr>
          <w:lang w:val="es-ES"/>
        </w:rPr>
        <w:t xml:space="preserve"> Sin embargo, </w:t>
      </w:r>
      <w:r w:rsidR="00FE72F9">
        <w:rPr>
          <w:lang w:val="es-ES"/>
        </w:rPr>
        <w:t xml:space="preserve">la Sala </w:t>
      </w:r>
      <w:r w:rsidRPr="002F43EF">
        <w:rPr>
          <w:lang w:val="es-ES"/>
        </w:rPr>
        <w:t xml:space="preserve">desestimó </w:t>
      </w:r>
      <w:r w:rsidR="0053333B">
        <w:rPr>
          <w:lang w:val="es-ES"/>
        </w:rPr>
        <w:t>todos los</w:t>
      </w:r>
      <w:r w:rsidRPr="002F43EF">
        <w:rPr>
          <w:lang w:val="es-ES"/>
        </w:rPr>
        <w:t xml:space="preserve"> recurso</w:t>
      </w:r>
      <w:r w:rsidR="0053333B">
        <w:rPr>
          <w:lang w:val="es-ES"/>
        </w:rPr>
        <w:t>s</w:t>
      </w:r>
      <w:r w:rsidRPr="002F43EF">
        <w:rPr>
          <w:lang w:val="es-ES"/>
        </w:rPr>
        <w:t xml:space="preserve"> en cuanto al fondo, pues para entonces la </w:t>
      </w:r>
      <w:r w:rsidR="00E90171">
        <w:rPr>
          <w:lang w:val="es-ES"/>
        </w:rPr>
        <w:t>A</w:t>
      </w:r>
      <w:r w:rsidRPr="002F43EF">
        <w:rPr>
          <w:lang w:val="es-ES"/>
        </w:rPr>
        <w:t xml:space="preserve">dministración ya había revisado las listas de postulantes según las notas que habrían obtenido de no haberse utilizado la fórmula impugnada. En esa revisión, </w:t>
      </w:r>
      <w:r w:rsidR="00DA5F3E">
        <w:rPr>
          <w:lang w:val="es-ES"/>
        </w:rPr>
        <w:t xml:space="preserve">la </w:t>
      </w:r>
      <w:r w:rsidR="00E90171">
        <w:rPr>
          <w:lang w:val="es-ES"/>
        </w:rPr>
        <w:t>A</w:t>
      </w:r>
      <w:r w:rsidR="00DA5F3E">
        <w:rPr>
          <w:lang w:val="es-ES"/>
        </w:rPr>
        <w:t xml:space="preserve">dministración </w:t>
      </w:r>
      <w:r w:rsidR="00CB6BE7">
        <w:rPr>
          <w:lang w:val="es-ES"/>
        </w:rPr>
        <w:t>reordenó</w:t>
      </w:r>
      <w:r w:rsidRPr="002F43EF">
        <w:rPr>
          <w:lang w:val="es-ES"/>
        </w:rPr>
        <w:t xml:space="preserve"> </w:t>
      </w:r>
      <w:r w:rsidR="004E61B8" w:rsidRPr="002F43EF">
        <w:rPr>
          <w:lang w:val="es-ES"/>
        </w:rPr>
        <w:t xml:space="preserve">de forma decreciente </w:t>
      </w:r>
      <w:r w:rsidRPr="002F43EF">
        <w:rPr>
          <w:lang w:val="es-ES"/>
        </w:rPr>
        <w:t xml:space="preserve">a los postulantes </w:t>
      </w:r>
      <w:r w:rsidR="004E61B8">
        <w:rPr>
          <w:lang w:val="es-ES"/>
        </w:rPr>
        <w:t xml:space="preserve">que hasta entonces habían </w:t>
      </w:r>
      <w:r w:rsidR="00CB6BE7">
        <w:rPr>
          <w:lang w:val="es-ES"/>
        </w:rPr>
        <w:t>quedado fuera</w:t>
      </w:r>
      <w:r w:rsidR="004E61B8">
        <w:rPr>
          <w:lang w:val="es-ES"/>
        </w:rPr>
        <w:t xml:space="preserve"> </w:t>
      </w:r>
      <w:r w:rsidRPr="002F43EF">
        <w:rPr>
          <w:lang w:val="es-ES"/>
        </w:rPr>
        <w:t xml:space="preserve">y </w:t>
      </w:r>
      <w:r w:rsidR="004E61B8">
        <w:rPr>
          <w:lang w:val="es-ES"/>
        </w:rPr>
        <w:t xml:space="preserve">les </w:t>
      </w:r>
      <w:r w:rsidR="00CB6BE7">
        <w:rPr>
          <w:lang w:val="es-ES"/>
        </w:rPr>
        <w:t>ofreció</w:t>
      </w:r>
      <w:r w:rsidRPr="002F43EF">
        <w:rPr>
          <w:lang w:val="es-ES"/>
        </w:rPr>
        <w:t xml:space="preserve"> plazas según la</w:t>
      </w:r>
      <w:r w:rsidR="00CB6BE7">
        <w:rPr>
          <w:lang w:val="es-ES"/>
        </w:rPr>
        <w:t xml:space="preserve"> cantidad de</w:t>
      </w:r>
      <w:r w:rsidRPr="002F43EF">
        <w:rPr>
          <w:lang w:val="es-ES"/>
        </w:rPr>
        <w:t xml:space="preserve"> plazas disponibles en la convocatoria.</w:t>
      </w:r>
    </w:p>
    <w:p w14:paraId="7DF83223" w14:textId="52CF8EC0" w:rsidR="009753A9" w:rsidRDefault="002F43EF" w:rsidP="00930BDF">
      <w:pPr>
        <w:pStyle w:val="SingleTxtG"/>
        <w:rPr>
          <w:lang w:val="es-ES"/>
        </w:rPr>
      </w:pPr>
      <w:r w:rsidRPr="002F43EF">
        <w:rPr>
          <w:lang w:val="es-ES"/>
        </w:rPr>
        <w:t>2.</w:t>
      </w:r>
      <w:r w:rsidR="00FE72F9">
        <w:rPr>
          <w:lang w:val="es-ES"/>
        </w:rPr>
        <w:t>7</w:t>
      </w:r>
      <w:r w:rsidRPr="002F43EF">
        <w:rPr>
          <w:lang w:val="es-ES"/>
        </w:rPr>
        <w:tab/>
      </w:r>
      <w:r w:rsidR="009753A9">
        <w:rPr>
          <w:lang w:val="es-ES"/>
        </w:rPr>
        <w:t>Las autoras interpusieron recursos de nulidad de actuaciones</w:t>
      </w:r>
      <w:r w:rsidR="00E90171">
        <w:rPr>
          <w:lang w:val="es-ES"/>
        </w:rPr>
        <w:t xml:space="preserve"> contra la</w:t>
      </w:r>
      <w:r w:rsidR="00BA3E14">
        <w:rPr>
          <w:lang w:val="es-ES"/>
        </w:rPr>
        <w:t>s</w:t>
      </w:r>
      <w:r w:rsidR="00E90171">
        <w:rPr>
          <w:lang w:val="es-ES"/>
        </w:rPr>
        <w:t xml:space="preserve"> sentencia</w:t>
      </w:r>
      <w:r w:rsidR="00BA3E14">
        <w:rPr>
          <w:lang w:val="es-ES"/>
        </w:rPr>
        <w:t>s</w:t>
      </w:r>
      <w:r w:rsidR="00E90171">
        <w:rPr>
          <w:lang w:val="es-ES"/>
        </w:rPr>
        <w:t xml:space="preserve"> del Tribunal Supremo, alegando</w:t>
      </w:r>
      <w:r w:rsidR="009753A9">
        <w:rPr>
          <w:lang w:val="es-ES"/>
        </w:rPr>
        <w:t xml:space="preserve"> que debería haberse ofrecido plazas a todos aquellos postulantes que aprobaron el examen, en virtud de la eliminación de la fórmula matemática discriminatoria. </w:t>
      </w:r>
      <w:r w:rsidR="00E90171">
        <w:rPr>
          <w:lang w:val="es-ES"/>
        </w:rPr>
        <w:t>Según las autoras, a</w:t>
      </w:r>
      <w:r w:rsidR="009753A9">
        <w:rPr>
          <w:lang w:val="es-ES"/>
        </w:rPr>
        <w:t>signar plazas s</w:t>
      </w:r>
      <w:r w:rsidR="000F1ED3">
        <w:rPr>
          <w:lang w:val="es-ES"/>
        </w:rPr>
        <w:t>o</w:t>
      </w:r>
      <w:r w:rsidR="009753A9">
        <w:rPr>
          <w:lang w:val="es-ES"/>
        </w:rPr>
        <w:t xml:space="preserve">lo según la cantidad de vacantes disponibles implicaba que muchos postulantes con menor nota que las autoras cuenten con una plaza en el Cuerpo de Auxiliares de la Administración de Justicia, sea porque se les ofreció una plaza en la primera lista publicada en 1998 en virtud de la fórmula invalidada, o porque se les ofreció una plaza en virtud de una sentencia judicial posterior. Los recursos </w:t>
      </w:r>
      <w:r w:rsidR="00E90171">
        <w:rPr>
          <w:lang w:val="es-ES"/>
        </w:rPr>
        <w:t xml:space="preserve">de nulidad </w:t>
      </w:r>
      <w:r w:rsidR="009753A9">
        <w:rPr>
          <w:lang w:val="es-ES"/>
        </w:rPr>
        <w:t>fueron inadmitidos por el Tribunal Supremo entre junio de 2012 y junio de 2013.</w:t>
      </w:r>
    </w:p>
    <w:p w14:paraId="19E0BD99" w14:textId="7FA44180" w:rsidR="00367C74" w:rsidRDefault="00367C74" w:rsidP="00930BDF">
      <w:pPr>
        <w:pStyle w:val="SingleTxtG"/>
        <w:rPr>
          <w:lang w:val="es-ES"/>
        </w:rPr>
      </w:pPr>
      <w:r>
        <w:rPr>
          <w:lang w:val="es-ES"/>
        </w:rPr>
        <w:t>2.</w:t>
      </w:r>
      <w:r w:rsidR="00E715C7">
        <w:rPr>
          <w:lang w:val="es-ES"/>
        </w:rPr>
        <w:t>8</w:t>
      </w:r>
      <w:r>
        <w:rPr>
          <w:lang w:val="es-ES"/>
        </w:rPr>
        <w:tab/>
        <w:t xml:space="preserve">Entre </w:t>
      </w:r>
      <w:r w:rsidR="00084A94">
        <w:rPr>
          <w:lang w:val="es-ES"/>
        </w:rPr>
        <w:t>julio</w:t>
      </w:r>
      <w:r w:rsidR="00D636DD">
        <w:rPr>
          <w:lang w:val="es-ES"/>
        </w:rPr>
        <w:t xml:space="preserve"> y septiembre de 2012</w:t>
      </w:r>
      <w:r w:rsidR="009753A9">
        <w:rPr>
          <w:lang w:val="es-ES"/>
        </w:rPr>
        <w:t>,</w:t>
      </w:r>
      <w:r>
        <w:rPr>
          <w:lang w:val="es-ES"/>
        </w:rPr>
        <w:t xml:space="preserve"> las autoras interpusieron recursos de amparo constitucional ante el Tribunal Constitucional</w:t>
      </w:r>
      <w:r w:rsidR="00D636DD">
        <w:rPr>
          <w:lang w:val="es-ES"/>
        </w:rPr>
        <w:t xml:space="preserve"> en sus respectivos expedientes. El Tribunal Constitucional </w:t>
      </w:r>
      <w:r>
        <w:rPr>
          <w:lang w:val="es-ES"/>
        </w:rPr>
        <w:t xml:space="preserve">inadmitió </w:t>
      </w:r>
      <w:r w:rsidR="009753A9">
        <w:rPr>
          <w:i/>
          <w:lang w:val="es-ES"/>
        </w:rPr>
        <w:t xml:space="preserve">in </w:t>
      </w:r>
      <w:proofErr w:type="spellStart"/>
      <w:r w:rsidR="009753A9">
        <w:rPr>
          <w:i/>
          <w:lang w:val="es-ES"/>
        </w:rPr>
        <w:t>limine</w:t>
      </w:r>
      <w:proofErr w:type="spellEnd"/>
      <w:r w:rsidR="009753A9">
        <w:rPr>
          <w:i/>
          <w:lang w:val="es-ES"/>
        </w:rPr>
        <w:t xml:space="preserve"> </w:t>
      </w:r>
      <w:r w:rsidR="00D636DD">
        <w:rPr>
          <w:lang w:val="es-ES"/>
        </w:rPr>
        <w:t xml:space="preserve">los recursos </w:t>
      </w:r>
      <w:r>
        <w:rPr>
          <w:lang w:val="es-ES"/>
        </w:rPr>
        <w:t xml:space="preserve">entre </w:t>
      </w:r>
      <w:r w:rsidR="00D636DD">
        <w:rPr>
          <w:lang w:val="es-ES"/>
        </w:rPr>
        <w:t>octubre de 2012 y julio de 2014</w:t>
      </w:r>
      <w:r w:rsidR="00CD3393">
        <w:rPr>
          <w:rStyle w:val="FootnoteReference"/>
          <w:lang w:val="es-ES"/>
        </w:rPr>
        <w:footnoteReference w:id="8"/>
      </w:r>
      <w:r w:rsidR="000F1ED3">
        <w:rPr>
          <w:lang w:val="es-ES"/>
        </w:rPr>
        <w:t>.</w:t>
      </w:r>
    </w:p>
    <w:p w14:paraId="2DB6000B" w14:textId="6389396F" w:rsidR="006D70AE" w:rsidRDefault="00D636DD" w:rsidP="00930BDF">
      <w:pPr>
        <w:pStyle w:val="SingleTxtG"/>
        <w:rPr>
          <w:lang w:val="es-ES"/>
        </w:rPr>
      </w:pPr>
      <w:r>
        <w:rPr>
          <w:lang w:val="es-ES"/>
        </w:rPr>
        <w:t>2.</w:t>
      </w:r>
      <w:r w:rsidR="00E715C7">
        <w:rPr>
          <w:lang w:val="es-ES"/>
        </w:rPr>
        <w:t>9</w:t>
      </w:r>
      <w:r>
        <w:rPr>
          <w:lang w:val="es-ES"/>
        </w:rPr>
        <w:tab/>
        <w:t>El 8 de abril de 2</w:t>
      </w:r>
      <w:r w:rsidR="00084A94">
        <w:rPr>
          <w:lang w:val="es-ES"/>
        </w:rPr>
        <w:t>0</w:t>
      </w:r>
      <w:r>
        <w:rPr>
          <w:lang w:val="es-ES"/>
        </w:rPr>
        <w:t xml:space="preserve">13, las autoras </w:t>
      </w:r>
      <w:r w:rsidRPr="00E634DD">
        <w:rPr>
          <w:lang w:val="es-ES"/>
        </w:rPr>
        <w:t>B</w:t>
      </w:r>
      <w:r w:rsidR="003C6439" w:rsidRPr="00930BDF">
        <w:rPr>
          <w:lang w:val="es-ES"/>
        </w:rPr>
        <w:t>.</w:t>
      </w:r>
      <w:r w:rsidRPr="00E634DD">
        <w:rPr>
          <w:lang w:val="es-ES"/>
        </w:rPr>
        <w:t>B</w:t>
      </w:r>
      <w:r w:rsidR="003C6439" w:rsidRPr="00930BDF">
        <w:rPr>
          <w:lang w:val="es-ES"/>
        </w:rPr>
        <w:t>.</w:t>
      </w:r>
      <w:r w:rsidRPr="00E634DD">
        <w:rPr>
          <w:lang w:val="es-ES"/>
        </w:rPr>
        <w:t>, Z</w:t>
      </w:r>
      <w:r w:rsidR="003C6439" w:rsidRPr="00930BDF">
        <w:rPr>
          <w:lang w:val="es-ES"/>
        </w:rPr>
        <w:t>.</w:t>
      </w:r>
      <w:r w:rsidRPr="00E634DD">
        <w:rPr>
          <w:lang w:val="es-ES"/>
        </w:rPr>
        <w:t>S</w:t>
      </w:r>
      <w:r w:rsidR="003C6439" w:rsidRPr="00930BDF">
        <w:rPr>
          <w:lang w:val="es-ES"/>
        </w:rPr>
        <w:t>.</w:t>
      </w:r>
      <w:r w:rsidRPr="00E634DD">
        <w:rPr>
          <w:lang w:val="es-ES"/>
        </w:rPr>
        <w:t>, F</w:t>
      </w:r>
      <w:r w:rsidR="003C6439" w:rsidRPr="00930BDF">
        <w:rPr>
          <w:lang w:val="es-ES"/>
        </w:rPr>
        <w:t>.</w:t>
      </w:r>
      <w:r w:rsidRPr="00E634DD">
        <w:rPr>
          <w:lang w:val="es-ES"/>
        </w:rPr>
        <w:t>C</w:t>
      </w:r>
      <w:r w:rsidR="003C6439" w:rsidRPr="00930BDF">
        <w:rPr>
          <w:lang w:val="es-ES"/>
        </w:rPr>
        <w:t xml:space="preserve">. </w:t>
      </w:r>
      <w:r w:rsidRPr="00E634DD">
        <w:rPr>
          <w:lang w:val="es-ES"/>
        </w:rPr>
        <w:t xml:space="preserve">y </w:t>
      </w:r>
      <w:r w:rsidR="00E715C7" w:rsidRPr="00E634DD">
        <w:rPr>
          <w:lang w:val="es-ES"/>
        </w:rPr>
        <w:t xml:space="preserve">del </w:t>
      </w:r>
      <w:r w:rsidRPr="00E634DD">
        <w:rPr>
          <w:lang w:val="es-ES"/>
        </w:rPr>
        <w:t>R</w:t>
      </w:r>
      <w:r w:rsidR="003C6439" w:rsidRPr="00930BDF">
        <w:rPr>
          <w:lang w:val="es-ES"/>
        </w:rPr>
        <w:t>.</w:t>
      </w:r>
      <w:r w:rsidRPr="00E634DD">
        <w:rPr>
          <w:lang w:val="es-ES"/>
        </w:rPr>
        <w:t xml:space="preserve"> M</w:t>
      </w:r>
      <w:r w:rsidR="003C6439" w:rsidRPr="00930BDF">
        <w:rPr>
          <w:lang w:val="es-ES"/>
        </w:rPr>
        <w:t>.</w:t>
      </w:r>
      <w:r w:rsidRPr="00E634DD">
        <w:rPr>
          <w:lang w:val="es-ES"/>
        </w:rPr>
        <w:t>, presentaron una demanda contra el Estado parte ante el Tribunal Europeo de Derechos Humanos. La misma fue inadmitida el 13 de noviembre de 2014</w:t>
      </w:r>
      <w:r w:rsidR="006D70AE" w:rsidRPr="00E634DD">
        <w:rPr>
          <w:lang w:val="es-ES"/>
        </w:rPr>
        <w:t xml:space="preserve"> y notificada mediante una carta según la cual la demanda no cumplía “con los requisitos de admisibilidad establecidos en los artículos 34 y 35 del Convenio</w:t>
      </w:r>
      <w:r w:rsidR="000F1ED3" w:rsidRPr="00E634DD">
        <w:rPr>
          <w:lang w:val="es-ES"/>
        </w:rPr>
        <w:t xml:space="preserve"> [Europeo de Derechos Humanos]</w:t>
      </w:r>
      <w:r w:rsidR="006D70AE" w:rsidRPr="00E634DD">
        <w:rPr>
          <w:lang w:val="es-ES"/>
        </w:rPr>
        <w:t>”.</w:t>
      </w:r>
      <w:r w:rsidR="00084A94" w:rsidRPr="00E634DD">
        <w:rPr>
          <w:lang w:val="es-ES"/>
        </w:rPr>
        <w:t xml:space="preserve"> </w:t>
      </w:r>
      <w:r w:rsidR="006D70AE" w:rsidRPr="00E634DD">
        <w:rPr>
          <w:lang w:val="es-ES"/>
        </w:rPr>
        <w:t>El 6 de mayo de 2014, la autora M</w:t>
      </w:r>
      <w:r w:rsidR="002F4D5B" w:rsidRPr="00930BDF">
        <w:rPr>
          <w:lang w:val="es-ES"/>
        </w:rPr>
        <w:t>.</w:t>
      </w:r>
      <w:r w:rsidR="006D70AE" w:rsidRPr="00E634DD">
        <w:rPr>
          <w:lang w:val="es-ES"/>
        </w:rPr>
        <w:t>H</w:t>
      </w:r>
      <w:r w:rsidR="002F4D5B" w:rsidRPr="00930BDF">
        <w:rPr>
          <w:lang w:val="es-ES"/>
        </w:rPr>
        <w:t xml:space="preserve">. </w:t>
      </w:r>
      <w:r w:rsidR="009753A9" w:rsidRPr="00E634DD">
        <w:rPr>
          <w:lang w:val="es-ES"/>
        </w:rPr>
        <w:t xml:space="preserve">también </w:t>
      </w:r>
      <w:r w:rsidR="006D70AE" w:rsidRPr="00E634DD">
        <w:rPr>
          <w:lang w:val="es-ES"/>
        </w:rPr>
        <w:t xml:space="preserve">presentó una demanda contra el Estado parte ante el </w:t>
      </w:r>
      <w:r w:rsidR="000F1ED3" w:rsidRPr="00E634DD">
        <w:rPr>
          <w:lang w:val="es-ES"/>
        </w:rPr>
        <w:t>Tribunal Europeo</w:t>
      </w:r>
      <w:r w:rsidR="006D70AE" w:rsidRPr="00E634DD">
        <w:rPr>
          <w:lang w:val="es-ES"/>
        </w:rPr>
        <w:t xml:space="preserve">. La misma fue inadmitida el 19 de junio de 2014 en los mismos términos </w:t>
      </w:r>
      <w:r w:rsidR="00084A94" w:rsidRPr="00E634DD">
        <w:rPr>
          <w:lang w:val="es-ES"/>
        </w:rPr>
        <w:t>que la</w:t>
      </w:r>
      <w:r w:rsidR="002778A0">
        <w:rPr>
          <w:lang w:val="es-ES"/>
        </w:rPr>
        <w:t>s</w:t>
      </w:r>
      <w:r w:rsidR="00084A94" w:rsidRPr="00E634DD">
        <w:rPr>
          <w:lang w:val="es-ES"/>
        </w:rPr>
        <w:t xml:space="preserve"> </w:t>
      </w:r>
      <w:r w:rsidR="009753A9" w:rsidRPr="00E634DD">
        <w:rPr>
          <w:lang w:val="es-ES"/>
        </w:rPr>
        <w:t>de las otras autoras</w:t>
      </w:r>
      <w:r w:rsidR="00084A94" w:rsidRPr="00E634DD">
        <w:rPr>
          <w:lang w:val="es-ES"/>
        </w:rPr>
        <w:t>.</w:t>
      </w:r>
    </w:p>
    <w:p w14:paraId="20E79C40" w14:textId="08234C70" w:rsidR="002F43EF" w:rsidRPr="00084A94" w:rsidRDefault="004256B8" w:rsidP="00930BDF">
      <w:pPr>
        <w:pStyle w:val="H23G"/>
        <w:rPr>
          <w:lang w:val="es-ES"/>
        </w:rPr>
      </w:pPr>
      <w:r>
        <w:rPr>
          <w:lang w:val="es-ES"/>
        </w:rPr>
        <w:tab/>
      </w:r>
      <w:r>
        <w:rPr>
          <w:lang w:val="es-ES"/>
        </w:rPr>
        <w:tab/>
      </w:r>
      <w:r w:rsidR="002F43EF" w:rsidRPr="00084A94">
        <w:rPr>
          <w:lang w:val="es-ES"/>
        </w:rPr>
        <w:t>La denuncia</w:t>
      </w:r>
    </w:p>
    <w:p w14:paraId="799D098B" w14:textId="318B209A" w:rsidR="006A11F6" w:rsidRDefault="002F43EF" w:rsidP="00930BDF">
      <w:pPr>
        <w:pStyle w:val="SingleTxtG"/>
        <w:rPr>
          <w:lang w:val="es-ES"/>
        </w:rPr>
      </w:pPr>
      <w:r w:rsidRPr="002F43EF">
        <w:rPr>
          <w:lang w:val="es-ES"/>
        </w:rPr>
        <w:t>3</w:t>
      </w:r>
      <w:r w:rsidR="006A11F6">
        <w:rPr>
          <w:lang w:val="es-ES"/>
        </w:rPr>
        <w:t>.1</w:t>
      </w:r>
      <w:r w:rsidRPr="002F43EF">
        <w:rPr>
          <w:lang w:val="es-ES"/>
        </w:rPr>
        <w:tab/>
        <w:t xml:space="preserve">Las autoras entienden que las más de 30 resoluciones judiciales del Tribunal Supremo generaron una violación </w:t>
      </w:r>
      <w:r w:rsidR="00E90171">
        <w:rPr>
          <w:lang w:val="es-ES"/>
        </w:rPr>
        <w:t>a sus derechos</w:t>
      </w:r>
      <w:r w:rsidRPr="002F43EF">
        <w:rPr>
          <w:lang w:val="es-ES"/>
        </w:rPr>
        <w:t xml:space="preserve"> reconocido</w:t>
      </w:r>
      <w:r w:rsidR="00E90171">
        <w:rPr>
          <w:lang w:val="es-ES"/>
        </w:rPr>
        <w:t>s</w:t>
      </w:r>
      <w:r w:rsidRPr="002F43EF">
        <w:rPr>
          <w:lang w:val="es-ES"/>
        </w:rPr>
        <w:t xml:space="preserve"> en los </w:t>
      </w:r>
      <w:r w:rsidR="000F1ED3">
        <w:rPr>
          <w:lang w:val="es-ES"/>
        </w:rPr>
        <w:t>a</w:t>
      </w:r>
      <w:r w:rsidR="00225759">
        <w:rPr>
          <w:lang w:val="es-ES"/>
        </w:rPr>
        <w:t xml:space="preserve">rtículos </w:t>
      </w:r>
      <w:r w:rsidRPr="002F43EF">
        <w:rPr>
          <w:lang w:val="es-ES"/>
        </w:rPr>
        <w:t>14</w:t>
      </w:r>
      <w:r w:rsidR="006A11F6">
        <w:rPr>
          <w:lang w:val="es-ES"/>
        </w:rPr>
        <w:t xml:space="preserve">, párrafo </w:t>
      </w:r>
      <w:r w:rsidRPr="002F43EF">
        <w:rPr>
          <w:lang w:val="es-ES"/>
        </w:rPr>
        <w:t xml:space="preserve">1 (igualdad ante los tribunales y cortes de justicia) y 26 (igualdad ante la ley y no discriminación) del </w:t>
      </w:r>
      <w:r w:rsidRPr="002F43EF">
        <w:rPr>
          <w:lang w:val="es-ES"/>
        </w:rPr>
        <w:lastRenderedPageBreak/>
        <w:t>Pacto, así como el derecho al acceso en condiciones de igualdad a las funciones públicas reconocido en el artículo 25 del Pacto.</w:t>
      </w:r>
    </w:p>
    <w:p w14:paraId="12AC675F" w14:textId="2211DE50" w:rsidR="006F1C7D" w:rsidRDefault="006A11F6" w:rsidP="00930BDF">
      <w:pPr>
        <w:pStyle w:val="SingleTxtG"/>
        <w:rPr>
          <w:lang w:val="es-ES"/>
        </w:rPr>
      </w:pPr>
      <w:r>
        <w:rPr>
          <w:lang w:val="es-ES"/>
        </w:rPr>
        <w:t>3.2</w:t>
      </w:r>
      <w:r>
        <w:rPr>
          <w:lang w:val="es-ES"/>
        </w:rPr>
        <w:tab/>
        <w:t>La</w:t>
      </w:r>
      <w:r w:rsidR="00746CFF">
        <w:rPr>
          <w:lang w:val="es-ES"/>
        </w:rPr>
        <w:t>s</w:t>
      </w:r>
      <w:r>
        <w:rPr>
          <w:lang w:val="es-ES"/>
        </w:rPr>
        <w:t xml:space="preserve"> autoras alegan que </w:t>
      </w:r>
      <w:r w:rsidR="001F7320">
        <w:rPr>
          <w:lang w:val="es-ES"/>
        </w:rPr>
        <w:t xml:space="preserve">la propia </w:t>
      </w:r>
      <w:r>
        <w:rPr>
          <w:lang w:val="es-ES"/>
        </w:rPr>
        <w:t>Sala de lo Contencioso-Administrativo del Tribunal Supremo conside</w:t>
      </w:r>
      <w:r w:rsidR="001F7320">
        <w:rPr>
          <w:lang w:val="es-ES"/>
        </w:rPr>
        <w:t>ró</w:t>
      </w:r>
      <w:r>
        <w:rPr>
          <w:lang w:val="es-ES"/>
        </w:rPr>
        <w:t xml:space="preserve"> que la fórmula matemática aplicada era discriminatoria contra </w:t>
      </w:r>
      <w:r w:rsidR="009753A9">
        <w:rPr>
          <w:lang w:val="es-ES"/>
        </w:rPr>
        <w:t>otros postulantes</w:t>
      </w:r>
      <w:r>
        <w:rPr>
          <w:lang w:val="es-ES"/>
        </w:rPr>
        <w:t>, en violación de los artículos 14 y 23 de la Constitución</w:t>
      </w:r>
      <w:r w:rsidR="001F7320">
        <w:rPr>
          <w:lang w:val="es-ES"/>
        </w:rPr>
        <w:t xml:space="preserve">. Ante ello, el propio Tribunal o la </w:t>
      </w:r>
      <w:r w:rsidR="00E90171">
        <w:rPr>
          <w:lang w:val="es-ES"/>
        </w:rPr>
        <w:t>A</w:t>
      </w:r>
      <w:r w:rsidR="001F7320">
        <w:rPr>
          <w:lang w:val="es-ES"/>
        </w:rPr>
        <w:t xml:space="preserve">dministración deberían haber declarado la nulidad de pleno derecho de la </w:t>
      </w:r>
      <w:r w:rsidR="000F1ED3">
        <w:rPr>
          <w:lang w:val="es-ES"/>
        </w:rPr>
        <w:t>r</w:t>
      </w:r>
      <w:r w:rsidR="001F7320">
        <w:rPr>
          <w:lang w:val="es-ES"/>
        </w:rPr>
        <w:t>esolución de 4 de noviembre de 1998</w:t>
      </w:r>
      <w:r w:rsidR="006F1C7D">
        <w:rPr>
          <w:lang w:val="es-ES"/>
        </w:rPr>
        <w:t xml:space="preserve"> y confeccionado una nueva lista en la cual </w:t>
      </w:r>
      <w:r w:rsidR="00CD4871">
        <w:rPr>
          <w:lang w:val="es-ES"/>
        </w:rPr>
        <w:t xml:space="preserve">a </w:t>
      </w:r>
      <w:r w:rsidR="006F1C7D">
        <w:rPr>
          <w:lang w:val="es-ES"/>
        </w:rPr>
        <w:t>tod</w:t>
      </w:r>
      <w:r w:rsidR="00AF4CAB">
        <w:rPr>
          <w:lang w:val="es-ES"/>
        </w:rPr>
        <w:t>a</w:t>
      </w:r>
      <w:r w:rsidR="006F1C7D">
        <w:rPr>
          <w:lang w:val="es-ES"/>
        </w:rPr>
        <w:t xml:space="preserve">s </w:t>
      </w:r>
      <w:r w:rsidR="00AF4CAB">
        <w:rPr>
          <w:lang w:val="es-ES"/>
        </w:rPr>
        <w:t>las personas</w:t>
      </w:r>
      <w:r w:rsidR="006F1C7D">
        <w:rPr>
          <w:lang w:val="es-ES"/>
        </w:rPr>
        <w:t xml:space="preserve"> aprobad</w:t>
      </w:r>
      <w:r w:rsidR="00AF4CAB">
        <w:rPr>
          <w:lang w:val="es-ES"/>
        </w:rPr>
        <w:t>a</w:t>
      </w:r>
      <w:r w:rsidR="006F1C7D">
        <w:rPr>
          <w:lang w:val="es-ES"/>
        </w:rPr>
        <w:t xml:space="preserve">s </w:t>
      </w:r>
      <w:r w:rsidR="00CD4871">
        <w:rPr>
          <w:lang w:val="es-ES"/>
        </w:rPr>
        <w:t xml:space="preserve">les </w:t>
      </w:r>
      <w:r w:rsidR="009753A9">
        <w:rPr>
          <w:lang w:val="es-ES"/>
        </w:rPr>
        <w:t>fueran</w:t>
      </w:r>
      <w:r w:rsidR="006F1C7D">
        <w:rPr>
          <w:lang w:val="es-ES"/>
        </w:rPr>
        <w:t xml:space="preserve"> ofrecid</w:t>
      </w:r>
      <w:r w:rsidR="00AF4CAB">
        <w:rPr>
          <w:lang w:val="es-ES"/>
        </w:rPr>
        <w:t>a</w:t>
      </w:r>
      <w:r w:rsidR="006F1C7D">
        <w:rPr>
          <w:lang w:val="es-ES"/>
        </w:rPr>
        <w:t xml:space="preserve">s plazas, sin importar el número de plazas disponibles en la </w:t>
      </w:r>
      <w:r w:rsidR="000F1ED3">
        <w:rPr>
          <w:lang w:val="es-ES"/>
        </w:rPr>
        <w:t>r</w:t>
      </w:r>
      <w:r w:rsidR="006F1C7D">
        <w:rPr>
          <w:lang w:val="es-ES"/>
        </w:rPr>
        <w:t>esolución de 1998.</w:t>
      </w:r>
    </w:p>
    <w:p w14:paraId="0E0D60B6" w14:textId="228A76AF" w:rsidR="006F1C7D" w:rsidRDefault="006F1C7D" w:rsidP="00930BDF">
      <w:pPr>
        <w:pStyle w:val="SingleTxtG"/>
        <w:rPr>
          <w:lang w:val="es-ES"/>
        </w:rPr>
      </w:pPr>
      <w:r>
        <w:rPr>
          <w:lang w:val="es-ES"/>
        </w:rPr>
        <w:t>3.3</w:t>
      </w:r>
      <w:r>
        <w:rPr>
          <w:lang w:val="es-ES"/>
        </w:rPr>
        <w:tab/>
        <w:t xml:space="preserve">Las autoras alegan que la violación del derecho a la igualdad y el derecho al acceso en condiciones de igualdad a las funciones públicas es </w:t>
      </w:r>
      <w:r w:rsidR="00F00380">
        <w:rPr>
          <w:lang w:val="es-ES"/>
        </w:rPr>
        <w:t>palmaria</w:t>
      </w:r>
      <w:r w:rsidR="00AF4CAB">
        <w:rPr>
          <w:lang w:val="es-ES"/>
        </w:rPr>
        <w:t xml:space="preserve"> dado que,</w:t>
      </w:r>
      <w:r>
        <w:rPr>
          <w:lang w:val="es-ES"/>
        </w:rPr>
        <w:t xml:space="preserve"> por diversas circunstancias ajenas a su idoneidad para desempeñar su trabajo, </w:t>
      </w:r>
      <w:r w:rsidR="00ED435E">
        <w:rPr>
          <w:lang w:val="es-ES"/>
        </w:rPr>
        <w:t xml:space="preserve">se les ofreció plazas a </w:t>
      </w:r>
      <w:r>
        <w:rPr>
          <w:lang w:val="es-ES"/>
        </w:rPr>
        <w:t>muchos postulantes con menores notas que ellas. La inacción de las autoridades del Estado parte implicó que, al ofrecer plazas s</w:t>
      </w:r>
      <w:r w:rsidR="000F1ED3">
        <w:rPr>
          <w:lang w:val="es-ES"/>
        </w:rPr>
        <w:t>o</w:t>
      </w:r>
      <w:r>
        <w:rPr>
          <w:lang w:val="es-ES"/>
        </w:rPr>
        <w:t>lo en virtud de las plazas disponibles</w:t>
      </w:r>
      <w:r w:rsidR="00ED435E">
        <w:rPr>
          <w:lang w:val="es-ES"/>
        </w:rPr>
        <w:t xml:space="preserve"> a quienes habían quedado fuera de la primera lista de aprobados</w:t>
      </w:r>
      <w:r>
        <w:rPr>
          <w:lang w:val="es-ES"/>
        </w:rPr>
        <w:t>, muchos de los postulantes que contaban con plazas tenían menor calificación que la</w:t>
      </w:r>
      <w:r w:rsidR="00ED435E">
        <w:rPr>
          <w:lang w:val="es-ES"/>
        </w:rPr>
        <w:t xml:space="preserve">s autoras, bajo la correcta </w:t>
      </w:r>
      <w:r>
        <w:rPr>
          <w:lang w:val="es-ES"/>
        </w:rPr>
        <w:t>valoración de su calificación.</w:t>
      </w:r>
    </w:p>
    <w:p w14:paraId="18B68E70" w14:textId="1DDF64AA" w:rsidR="00EB4FA7" w:rsidRDefault="006F1C7D" w:rsidP="00930BDF">
      <w:pPr>
        <w:pStyle w:val="SingleTxtG"/>
        <w:rPr>
          <w:lang w:val="es-ES"/>
        </w:rPr>
      </w:pPr>
      <w:r>
        <w:rPr>
          <w:lang w:val="es-ES"/>
        </w:rPr>
        <w:t>3.</w:t>
      </w:r>
      <w:r w:rsidR="00EB4FA7">
        <w:rPr>
          <w:lang w:val="es-ES"/>
        </w:rPr>
        <w:t>4</w:t>
      </w:r>
      <w:r>
        <w:rPr>
          <w:lang w:val="es-ES"/>
        </w:rPr>
        <w:tab/>
        <w:t xml:space="preserve">Las autoras alegan que tanto la </w:t>
      </w:r>
      <w:r w:rsidR="000F1ED3">
        <w:rPr>
          <w:lang w:val="es-ES"/>
        </w:rPr>
        <w:t>o</w:t>
      </w:r>
      <w:r>
        <w:rPr>
          <w:lang w:val="es-ES"/>
        </w:rPr>
        <w:t xml:space="preserve">bservación general núm. 18 </w:t>
      </w:r>
      <w:r w:rsidR="000F1ED3">
        <w:rPr>
          <w:lang w:val="es-ES"/>
        </w:rPr>
        <w:t>(</w:t>
      </w:r>
      <w:r w:rsidR="00C3285B">
        <w:rPr>
          <w:lang w:val="es-ES"/>
        </w:rPr>
        <w:t>1989</w:t>
      </w:r>
      <w:r w:rsidR="000F1ED3">
        <w:rPr>
          <w:lang w:val="es-ES"/>
        </w:rPr>
        <w:t xml:space="preserve">) </w:t>
      </w:r>
      <w:r>
        <w:rPr>
          <w:lang w:val="es-ES"/>
        </w:rPr>
        <w:t>como la jurisprudencia del Comité explican que una diferenciación es discriminatoria si carece de justificación objetiva y razonable, es decir, si no persigue un fin legítimo o si no existe una relación razonable de proporcionalidad entre los medios empleados y el fin perseguido</w:t>
      </w:r>
      <w:r>
        <w:rPr>
          <w:rStyle w:val="FootnoteReference"/>
          <w:lang w:val="es-ES"/>
        </w:rPr>
        <w:footnoteReference w:id="9"/>
      </w:r>
      <w:r w:rsidR="000F1ED3">
        <w:rPr>
          <w:lang w:val="es-ES"/>
        </w:rPr>
        <w:t>.</w:t>
      </w:r>
      <w:r w:rsidR="00A8515E">
        <w:rPr>
          <w:lang w:val="es-ES"/>
        </w:rPr>
        <w:t xml:space="preserve"> C</w:t>
      </w:r>
      <w:r w:rsidR="000F1ED3">
        <w:rPr>
          <w:lang w:val="es-ES"/>
        </w:rPr>
        <w:t xml:space="preserve">itando </w:t>
      </w:r>
      <w:r w:rsidR="00A8515E">
        <w:rPr>
          <w:lang w:val="es-ES"/>
        </w:rPr>
        <w:t>jurisprudencia del propio Tribunal Constitucional</w:t>
      </w:r>
      <w:r w:rsidR="00A8515E">
        <w:rPr>
          <w:rStyle w:val="FootnoteReference"/>
          <w:lang w:val="es-ES"/>
        </w:rPr>
        <w:footnoteReference w:id="10"/>
      </w:r>
      <w:r w:rsidR="000F1ED3">
        <w:rPr>
          <w:lang w:val="es-ES"/>
        </w:rPr>
        <w:t>,</w:t>
      </w:r>
      <w:r w:rsidR="00A8515E">
        <w:rPr>
          <w:lang w:val="es-ES"/>
        </w:rPr>
        <w:t xml:space="preserve"> las autoras explican </w:t>
      </w:r>
      <w:proofErr w:type="gramStart"/>
      <w:r w:rsidR="00A8515E">
        <w:rPr>
          <w:lang w:val="es-ES"/>
        </w:rPr>
        <w:t>que</w:t>
      </w:r>
      <w:proofErr w:type="gramEnd"/>
      <w:r w:rsidR="00A8515E">
        <w:rPr>
          <w:lang w:val="es-ES"/>
        </w:rPr>
        <w:t xml:space="preserve"> si un postulante es excluido del proceso selectivo en virtud de la aplicación de un criterio erróneo de calificación, cuando este es corregido en virtud de un recurso de terceros, la Administración está objetivamente obligada a dispensar a todos un trato igual. No hacerlo en esa segunda instancia de corrección produce un vicio autónomo y distinto que genera el derecho de reparación.</w:t>
      </w:r>
    </w:p>
    <w:p w14:paraId="6AC00C17" w14:textId="0842A4BE" w:rsidR="006F1C7D" w:rsidRDefault="00EB4FA7" w:rsidP="00930BDF">
      <w:pPr>
        <w:pStyle w:val="SingleTxtG"/>
        <w:rPr>
          <w:lang w:val="es-ES"/>
        </w:rPr>
      </w:pPr>
      <w:r>
        <w:rPr>
          <w:lang w:val="es-ES"/>
        </w:rPr>
        <w:t>3.5</w:t>
      </w:r>
      <w:r>
        <w:rPr>
          <w:lang w:val="es-ES"/>
        </w:rPr>
        <w:tab/>
      </w:r>
      <w:r w:rsidR="00A8515E">
        <w:rPr>
          <w:lang w:val="es-ES"/>
        </w:rPr>
        <w:t>Las autoras destacan que, en su caso, el Tribunal Supremo</w:t>
      </w:r>
      <w:r w:rsidR="00321656">
        <w:rPr>
          <w:lang w:val="es-ES"/>
        </w:rPr>
        <w:t xml:space="preserve"> </w:t>
      </w:r>
      <w:r w:rsidR="00A8515E">
        <w:rPr>
          <w:lang w:val="es-ES"/>
        </w:rPr>
        <w:t xml:space="preserve">otorgó plazas </w:t>
      </w:r>
      <w:r>
        <w:rPr>
          <w:lang w:val="es-ES"/>
        </w:rPr>
        <w:t>a todos los postulantes que consiguieron una sentencia antes de</w:t>
      </w:r>
      <w:r w:rsidR="0029360D">
        <w:rPr>
          <w:lang w:val="es-ES"/>
        </w:rPr>
        <w:t xml:space="preserve"> </w:t>
      </w:r>
      <w:r>
        <w:rPr>
          <w:lang w:val="es-ES"/>
        </w:rPr>
        <w:t>2012, cuando la Administración finalmente revisó las listas y otorgó plazas según el número de plazas disponibles en la convocatoria de 1998. Así, la violación al derecho a la igualdad de las autoras es doble, tanto respecto de las personas a quienes se les ofreció plaza en 1998 como de aquellas a quienes el propio Tribunal Supremo les otorgó plaza en virtud de sentencias previas a</w:t>
      </w:r>
      <w:r w:rsidR="0029360D">
        <w:rPr>
          <w:lang w:val="es-ES"/>
        </w:rPr>
        <w:t xml:space="preserve"> </w:t>
      </w:r>
      <w:r>
        <w:rPr>
          <w:lang w:val="es-ES"/>
        </w:rPr>
        <w:t>2012. Todo ello, sin la existencia de una justificación objetiva y razonable, y sin la existencia de un fin legítimo.</w:t>
      </w:r>
    </w:p>
    <w:p w14:paraId="1E69FBF6" w14:textId="69BD78D1" w:rsidR="006F1C7D" w:rsidRDefault="0055773C" w:rsidP="00930BDF">
      <w:pPr>
        <w:pStyle w:val="SingleTxtG"/>
        <w:rPr>
          <w:b/>
          <w:lang w:val="es-ES"/>
        </w:rPr>
      </w:pPr>
      <w:r>
        <w:rPr>
          <w:lang w:val="es-ES"/>
        </w:rPr>
        <w:t>3.6</w:t>
      </w:r>
      <w:r>
        <w:rPr>
          <w:lang w:val="es-ES"/>
        </w:rPr>
        <w:tab/>
        <w:t>Las autoras solicitan al Comité que declare la violación de los artículos citados del Pacto, y que se repare dicha vulneración exigiendo al Estado parte que declare la nulidad de pleno derecho de todas las resoluciones en su contra. Subsidiariamente, las autoras solicitan al Comité que ordene al Estado parte el pago de una satisfacción equitativa por las violaciones mencionadas.</w:t>
      </w:r>
    </w:p>
    <w:p w14:paraId="0E5DACDA" w14:textId="2A7B2B11" w:rsidR="00E42ABB" w:rsidRPr="00E42ABB" w:rsidRDefault="004256B8" w:rsidP="00930BDF">
      <w:pPr>
        <w:pStyle w:val="H23G"/>
        <w:rPr>
          <w:lang w:val="es-ES"/>
        </w:rPr>
      </w:pPr>
      <w:r>
        <w:rPr>
          <w:lang w:val="es-ES"/>
        </w:rPr>
        <w:tab/>
      </w:r>
      <w:r>
        <w:rPr>
          <w:lang w:val="es-ES"/>
        </w:rPr>
        <w:tab/>
      </w:r>
      <w:r w:rsidR="00E42ABB" w:rsidRPr="00E42ABB">
        <w:rPr>
          <w:lang w:val="es-ES"/>
        </w:rPr>
        <w:t>Deliberaciones del Comité</w:t>
      </w:r>
    </w:p>
    <w:p w14:paraId="3ABCCFF5" w14:textId="4C896F24" w:rsidR="00E42ABB" w:rsidRPr="00E42ABB" w:rsidRDefault="00E42ABB" w:rsidP="00930BDF">
      <w:pPr>
        <w:pStyle w:val="H4G"/>
        <w:rPr>
          <w:lang w:val="es-ES"/>
        </w:rPr>
      </w:pPr>
      <w:r w:rsidRPr="00E42ABB">
        <w:rPr>
          <w:lang w:val="es-ES"/>
        </w:rPr>
        <w:tab/>
      </w:r>
      <w:r w:rsidR="004256B8">
        <w:rPr>
          <w:lang w:val="es-ES"/>
        </w:rPr>
        <w:tab/>
      </w:r>
      <w:r w:rsidRPr="00E42ABB">
        <w:rPr>
          <w:lang w:val="es-ES"/>
        </w:rPr>
        <w:t>Examen de la admisibilidad</w:t>
      </w:r>
    </w:p>
    <w:p w14:paraId="7882BCA6" w14:textId="7FB6B87A" w:rsidR="00E42ABB" w:rsidRPr="00E42ABB" w:rsidRDefault="00F022DD" w:rsidP="00930BDF">
      <w:pPr>
        <w:pStyle w:val="SingleTxtG"/>
        <w:rPr>
          <w:lang w:val="es-ES"/>
        </w:rPr>
      </w:pPr>
      <w:r>
        <w:rPr>
          <w:lang w:val="es-ES"/>
        </w:rPr>
        <w:t>4</w:t>
      </w:r>
      <w:r w:rsidR="00E42ABB" w:rsidRPr="00E42ABB">
        <w:rPr>
          <w:lang w:val="es-ES"/>
        </w:rPr>
        <w:t>.1</w:t>
      </w:r>
      <w:r w:rsidR="00E42ABB" w:rsidRPr="00E42ABB">
        <w:rPr>
          <w:lang w:val="es-ES"/>
        </w:rPr>
        <w:tab/>
        <w:t>Antes de examinar una denuncia formulada en una comunicación, el Comité debe decidir, de conformidad con el artículo 97 de su reglamento, si la comunicación es admisible con arreglo al Protocolo Facultativo del Pacto.</w:t>
      </w:r>
    </w:p>
    <w:p w14:paraId="65035467" w14:textId="622E740A" w:rsidR="00F022DD" w:rsidRPr="00F022DD" w:rsidRDefault="00ED435E" w:rsidP="00930BDF">
      <w:pPr>
        <w:pStyle w:val="SingleTxtG"/>
        <w:rPr>
          <w:lang w:val="es-ES"/>
        </w:rPr>
      </w:pPr>
      <w:r>
        <w:rPr>
          <w:lang w:val="es-ES"/>
        </w:rPr>
        <w:t>4</w:t>
      </w:r>
      <w:r w:rsidR="00E42ABB" w:rsidRPr="00E42ABB">
        <w:rPr>
          <w:lang w:val="es-ES"/>
        </w:rPr>
        <w:t>.2</w:t>
      </w:r>
      <w:r w:rsidR="00E42ABB" w:rsidRPr="00E42ABB">
        <w:rPr>
          <w:lang w:val="es-ES"/>
        </w:rPr>
        <w:tab/>
      </w:r>
      <w:r w:rsidR="00F93E6D" w:rsidRPr="00F93E6D">
        <w:rPr>
          <w:lang w:val="es-ES"/>
        </w:rPr>
        <w:t>El Comité toma nota de la reserva del Estado part</w:t>
      </w:r>
      <w:r w:rsidR="00F93E6D">
        <w:rPr>
          <w:lang w:val="es-ES"/>
        </w:rPr>
        <w:t>e al artículo 5, párrafo 2</w:t>
      </w:r>
      <w:r w:rsidR="0029360D">
        <w:rPr>
          <w:lang w:val="es-ES"/>
        </w:rPr>
        <w:t xml:space="preserve">, apartado </w:t>
      </w:r>
      <w:r w:rsidR="00F93E6D" w:rsidRPr="00F93E6D">
        <w:rPr>
          <w:lang w:val="es-ES"/>
        </w:rPr>
        <w:t>a), del Protocolo Facultativo, por la que se excluye la competencia del Comité respecto de los casos en los que el mismo asunto haya sido o esté siendo examinado en el marco de otro procedimiento de examen o arreglo internacional.</w:t>
      </w:r>
      <w:r w:rsidR="00F93E6D">
        <w:rPr>
          <w:lang w:val="es-ES"/>
        </w:rPr>
        <w:t xml:space="preserve"> </w:t>
      </w:r>
      <w:r w:rsidR="00266C07">
        <w:rPr>
          <w:lang w:val="es-ES"/>
        </w:rPr>
        <w:t xml:space="preserve">Si bien </w:t>
      </w:r>
      <w:r w:rsidR="00F93E6D">
        <w:rPr>
          <w:lang w:val="es-ES"/>
        </w:rPr>
        <w:t xml:space="preserve">cinco de las seis autoras remitieron </w:t>
      </w:r>
      <w:r w:rsidR="00266C07">
        <w:rPr>
          <w:lang w:val="es-ES"/>
        </w:rPr>
        <w:t xml:space="preserve">el mismo asunto al Tribunal Europeo de Derechos Humanos, el Comité </w:t>
      </w:r>
      <w:r w:rsidR="00AF4CAB">
        <w:rPr>
          <w:lang w:val="es-ES"/>
        </w:rPr>
        <w:t xml:space="preserve">observa </w:t>
      </w:r>
      <w:r w:rsidR="00266C07">
        <w:rPr>
          <w:lang w:val="es-ES"/>
        </w:rPr>
        <w:t xml:space="preserve">que el </w:t>
      </w:r>
      <w:r w:rsidR="0029360D">
        <w:rPr>
          <w:lang w:val="es-ES"/>
        </w:rPr>
        <w:t xml:space="preserve">Tribunal Europeo </w:t>
      </w:r>
      <w:r w:rsidR="007E4F44">
        <w:rPr>
          <w:lang w:val="es-ES"/>
        </w:rPr>
        <w:t xml:space="preserve">declaró inadmisible la demanda por no cumplir los requisitos de </w:t>
      </w:r>
      <w:r w:rsidR="007E4F44">
        <w:rPr>
          <w:lang w:val="es-ES"/>
        </w:rPr>
        <w:lastRenderedPageBreak/>
        <w:t>admisibilidad</w:t>
      </w:r>
      <w:r w:rsidR="00AF4CAB">
        <w:rPr>
          <w:lang w:val="es-ES"/>
        </w:rPr>
        <w:t xml:space="preserve"> contemplados en los artículos 34 y 35 de la Convención</w:t>
      </w:r>
      <w:r w:rsidR="0029360D">
        <w:rPr>
          <w:lang w:val="es-ES"/>
        </w:rPr>
        <w:t xml:space="preserve"> Europea de Derechos Humanos</w:t>
      </w:r>
      <w:r w:rsidR="007E4F44">
        <w:rPr>
          <w:lang w:val="es-ES"/>
        </w:rPr>
        <w:t>. El Comité recuerda su jurisprudencia según la cual un asunto no se considerará examinado por un procedimiento de examen o arreglo internacional si la decisión de inadmisibilidad ha sido basada solo en cuestiones procedimentales y no ha incluido consideración alguna del fondo del asunto</w:t>
      </w:r>
      <w:r w:rsidR="007E4F44">
        <w:rPr>
          <w:rStyle w:val="FootnoteReference"/>
          <w:lang w:val="es-ES"/>
        </w:rPr>
        <w:footnoteReference w:id="11"/>
      </w:r>
      <w:r w:rsidR="00F914B7">
        <w:rPr>
          <w:lang w:val="es-ES"/>
        </w:rPr>
        <w:t>.</w:t>
      </w:r>
      <w:r w:rsidR="00AF4CAB">
        <w:rPr>
          <w:lang w:val="es-ES"/>
        </w:rPr>
        <w:t xml:space="preserve"> No pudiendo descartar, con base </w:t>
      </w:r>
      <w:r w:rsidR="00AE64B6">
        <w:rPr>
          <w:lang w:val="es-ES"/>
        </w:rPr>
        <w:t>en</w:t>
      </w:r>
      <w:r w:rsidR="00AF4CAB">
        <w:rPr>
          <w:lang w:val="es-ES"/>
        </w:rPr>
        <w:t xml:space="preserve"> la decisión del T</w:t>
      </w:r>
      <w:r w:rsidR="0029360D">
        <w:rPr>
          <w:lang w:val="es-ES"/>
        </w:rPr>
        <w:t>ribunal Europeo de Derechos Humanos</w:t>
      </w:r>
      <w:r w:rsidR="00AF4CAB">
        <w:rPr>
          <w:lang w:val="es-ES"/>
        </w:rPr>
        <w:t xml:space="preserve">, que este Tribunal hubiera desestimado la demanda de las autoras </w:t>
      </w:r>
      <w:r w:rsidR="00AE64B6">
        <w:rPr>
          <w:lang w:val="es-ES"/>
        </w:rPr>
        <w:t>sobre la</w:t>
      </w:r>
      <w:r w:rsidR="00AF4CAB">
        <w:rPr>
          <w:lang w:val="es-ES"/>
        </w:rPr>
        <w:t xml:space="preserve"> base </w:t>
      </w:r>
      <w:r w:rsidR="00AE64B6">
        <w:rPr>
          <w:lang w:val="es-ES"/>
        </w:rPr>
        <w:t>de</w:t>
      </w:r>
      <w:r w:rsidR="00AF4CAB">
        <w:rPr>
          <w:lang w:val="es-ES"/>
        </w:rPr>
        <w:t xml:space="preserve"> consideraciones puramente formales y sin entrar a examinar, ni siquiera de manera limitada, el fondo del asunto, el Comité concluye que </w:t>
      </w:r>
      <w:r w:rsidR="009C4994">
        <w:rPr>
          <w:lang w:val="es-ES"/>
        </w:rPr>
        <w:t xml:space="preserve">no existe obstáculo para la competencia del Comité </w:t>
      </w:r>
      <w:r w:rsidR="0029360D">
        <w:rPr>
          <w:lang w:val="es-ES"/>
        </w:rPr>
        <w:t xml:space="preserve">con arreglo al </w:t>
      </w:r>
      <w:r w:rsidR="009C4994">
        <w:rPr>
          <w:lang w:val="es-ES"/>
        </w:rPr>
        <w:t>artículo 5, párrafo 2</w:t>
      </w:r>
      <w:r w:rsidR="0029360D">
        <w:rPr>
          <w:lang w:val="es-ES"/>
        </w:rPr>
        <w:t xml:space="preserve">, apartado </w:t>
      </w:r>
      <w:r w:rsidR="009C4994">
        <w:rPr>
          <w:lang w:val="es-ES"/>
        </w:rPr>
        <w:t>a)</w:t>
      </w:r>
      <w:r w:rsidR="0029360D">
        <w:rPr>
          <w:lang w:val="es-ES"/>
        </w:rPr>
        <w:t>,</w:t>
      </w:r>
      <w:r w:rsidR="009C4994">
        <w:rPr>
          <w:lang w:val="es-ES"/>
        </w:rPr>
        <w:t xml:space="preserve"> del P</w:t>
      </w:r>
      <w:r w:rsidR="00AF4CAB">
        <w:rPr>
          <w:lang w:val="es-ES"/>
        </w:rPr>
        <w:t>rotocolo Facultativo</w:t>
      </w:r>
      <w:r w:rsidR="009C4994">
        <w:rPr>
          <w:lang w:val="es-ES"/>
        </w:rPr>
        <w:t>.</w:t>
      </w:r>
    </w:p>
    <w:p w14:paraId="5F3756E3" w14:textId="2B2688B6" w:rsidR="00610DB5" w:rsidRPr="00036E20" w:rsidRDefault="00ED435E" w:rsidP="00930BDF">
      <w:pPr>
        <w:pStyle w:val="SingleTxtG"/>
        <w:rPr>
          <w:lang w:val="es-ES"/>
        </w:rPr>
      </w:pPr>
      <w:r>
        <w:rPr>
          <w:lang w:val="es-ES"/>
        </w:rPr>
        <w:t>4</w:t>
      </w:r>
      <w:r w:rsidR="009C4994" w:rsidRPr="009C4994">
        <w:rPr>
          <w:lang w:val="es-ES"/>
        </w:rPr>
        <w:t>.3</w:t>
      </w:r>
      <w:r w:rsidR="009C4994" w:rsidRPr="009C4994">
        <w:rPr>
          <w:lang w:val="es-ES"/>
        </w:rPr>
        <w:tab/>
        <w:t xml:space="preserve">El Comité </w:t>
      </w:r>
      <w:r w:rsidR="009C4994">
        <w:rPr>
          <w:lang w:val="es-ES"/>
        </w:rPr>
        <w:t xml:space="preserve">considera que las autoras han agotado </w:t>
      </w:r>
      <w:r w:rsidR="00610DB5" w:rsidRPr="00036E20">
        <w:rPr>
          <w:lang w:val="es-ES"/>
        </w:rPr>
        <w:t xml:space="preserve">los recursos </w:t>
      </w:r>
      <w:r w:rsidR="00306798">
        <w:rPr>
          <w:lang w:val="es-ES"/>
        </w:rPr>
        <w:t xml:space="preserve">disponibles </w:t>
      </w:r>
      <w:r w:rsidR="00610DB5" w:rsidRPr="00036E20">
        <w:rPr>
          <w:lang w:val="es-ES"/>
        </w:rPr>
        <w:t xml:space="preserve">de la jurisdicción interna y </w:t>
      </w:r>
      <w:r w:rsidR="00610DB5">
        <w:rPr>
          <w:lang w:val="es-ES"/>
        </w:rPr>
        <w:t xml:space="preserve">que sus alegaciones son </w:t>
      </w:r>
      <w:r w:rsidR="00610DB5" w:rsidRPr="00036E20">
        <w:rPr>
          <w:lang w:val="es-ES"/>
        </w:rPr>
        <w:t>admisible</w:t>
      </w:r>
      <w:r w:rsidR="00610DB5">
        <w:rPr>
          <w:lang w:val="es-ES"/>
        </w:rPr>
        <w:t>s</w:t>
      </w:r>
      <w:r w:rsidR="00610DB5" w:rsidRPr="00036E20">
        <w:rPr>
          <w:lang w:val="es-ES"/>
        </w:rPr>
        <w:t xml:space="preserve"> conforme al </w:t>
      </w:r>
      <w:r w:rsidR="00610DB5">
        <w:rPr>
          <w:lang w:val="es-ES"/>
        </w:rPr>
        <w:t>artículo 5, párrafo 2</w:t>
      </w:r>
      <w:r w:rsidR="0029360D">
        <w:rPr>
          <w:lang w:val="es-ES"/>
        </w:rPr>
        <w:t xml:space="preserve">, apartado </w:t>
      </w:r>
      <w:r w:rsidR="00610DB5">
        <w:rPr>
          <w:lang w:val="es-ES"/>
        </w:rPr>
        <w:t>b)</w:t>
      </w:r>
      <w:r w:rsidR="0029360D">
        <w:rPr>
          <w:lang w:val="es-ES"/>
        </w:rPr>
        <w:t>,</w:t>
      </w:r>
      <w:r w:rsidR="00610DB5">
        <w:rPr>
          <w:lang w:val="es-ES"/>
        </w:rPr>
        <w:t xml:space="preserve"> </w:t>
      </w:r>
      <w:r w:rsidR="00610DB5" w:rsidRPr="00036E20">
        <w:rPr>
          <w:lang w:val="es-ES"/>
        </w:rPr>
        <w:t>del Protocolo Facultativo.</w:t>
      </w:r>
    </w:p>
    <w:p w14:paraId="01F0CC73" w14:textId="45663561" w:rsidR="007E6576" w:rsidRDefault="00ED435E" w:rsidP="00930BDF">
      <w:pPr>
        <w:pStyle w:val="SingleTxtG"/>
        <w:rPr>
          <w:lang w:val="es-ES"/>
        </w:rPr>
      </w:pPr>
      <w:r>
        <w:rPr>
          <w:lang w:val="es-ES"/>
        </w:rPr>
        <w:t>4</w:t>
      </w:r>
      <w:r w:rsidR="009C4994">
        <w:rPr>
          <w:lang w:val="es-ES"/>
        </w:rPr>
        <w:t>.4</w:t>
      </w:r>
      <w:r w:rsidR="009C4994">
        <w:rPr>
          <w:lang w:val="es-ES"/>
        </w:rPr>
        <w:tab/>
      </w:r>
      <w:r w:rsidR="00F00380">
        <w:rPr>
          <w:lang w:val="es-ES"/>
        </w:rPr>
        <w:t xml:space="preserve">El Comité toma nota del argumento de las autoras según </w:t>
      </w:r>
      <w:r w:rsidR="00FB7B5D">
        <w:rPr>
          <w:lang w:val="es-ES"/>
        </w:rPr>
        <w:t>el</w:t>
      </w:r>
      <w:r w:rsidR="00F00380">
        <w:rPr>
          <w:lang w:val="es-ES"/>
        </w:rPr>
        <w:t xml:space="preserve"> cual </w:t>
      </w:r>
      <w:r w:rsidR="00FB7B5D">
        <w:rPr>
          <w:lang w:val="es-ES"/>
        </w:rPr>
        <w:t>fueron discriminadas en su acceso a la función pública porque, por una parte, el Tribunal Supremo otorgó plazas a todos los candidatos que obtuvieron una resolución favorable antes de 2012 y</w:t>
      </w:r>
      <w:r w:rsidR="00930F4C">
        <w:rPr>
          <w:lang w:val="es-ES"/>
        </w:rPr>
        <w:t>,</w:t>
      </w:r>
      <w:r w:rsidR="00FB7B5D">
        <w:rPr>
          <w:lang w:val="es-ES"/>
        </w:rPr>
        <w:t xml:space="preserve"> por otra parte, cuando la Administración finalmente revisó la lista de candidatos, solo otorgó plazas en función de la disponibilidad de plazas</w:t>
      </w:r>
      <w:r w:rsidR="00D2360C">
        <w:rPr>
          <w:lang w:val="es-ES"/>
        </w:rPr>
        <w:t xml:space="preserve"> según la convocatoria de 1998</w:t>
      </w:r>
      <w:r w:rsidR="007E6576">
        <w:rPr>
          <w:lang w:val="es-ES"/>
        </w:rPr>
        <w:t xml:space="preserve">. </w:t>
      </w:r>
      <w:r w:rsidR="00037B5D">
        <w:rPr>
          <w:lang w:val="es-ES"/>
        </w:rPr>
        <w:t xml:space="preserve">El Comité recuerda su jurisprudencia según la cual </w:t>
      </w:r>
      <w:r w:rsidR="003430D7">
        <w:rPr>
          <w:lang w:val="es-ES"/>
        </w:rPr>
        <w:t xml:space="preserve">corresponde en general a los tribunales de los </w:t>
      </w:r>
      <w:proofErr w:type="gramStart"/>
      <w:r w:rsidR="003430D7">
        <w:rPr>
          <w:lang w:val="es-ES"/>
        </w:rPr>
        <w:t>Estados partes</w:t>
      </w:r>
      <w:proofErr w:type="gramEnd"/>
      <w:r w:rsidR="003430D7">
        <w:rPr>
          <w:lang w:val="es-ES"/>
        </w:rPr>
        <w:t xml:space="preserve"> la valoración de los hechos y las pruebas, así como también la aplicación e interpretación de la legislación interna</w:t>
      </w:r>
      <w:r w:rsidR="003430D7">
        <w:rPr>
          <w:rStyle w:val="FootnoteReference"/>
          <w:lang w:val="es-ES"/>
        </w:rPr>
        <w:footnoteReference w:id="12"/>
      </w:r>
      <w:r w:rsidR="00911B06">
        <w:rPr>
          <w:lang w:val="es-ES"/>
        </w:rPr>
        <w:t>.</w:t>
      </w:r>
      <w:r w:rsidR="003430D7">
        <w:rPr>
          <w:lang w:val="es-ES"/>
        </w:rPr>
        <w:t xml:space="preserve"> E</w:t>
      </w:r>
      <w:r w:rsidR="00D2360C">
        <w:rPr>
          <w:lang w:val="es-ES"/>
        </w:rPr>
        <w:t>n el presente caso, e</w:t>
      </w:r>
      <w:r w:rsidR="003430D7">
        <w:rPr>
          <w:lang w:val="es-ES"/>
        </w:rPr>
        <w:t>l Comité considera que las autoras no han demostrado que la actuación de las autoridades</w:t>
      </w:r>
      <w:r w:rsidR="00D2360C">
        <w:rPr>
          <w:lang w:val="es-ES"/>
        </w:rPr>
        <w:t xml:space="preserve"> administrativas y</w:t>
      </w:r>
      <w:r w:rsidR="003430D7">
        <w:rPr>
          <w:lang w:val="es-ES"/>
        </w:rPr>
        <w:t xml:space="preserve"> </w:t>
      </w:r>
      <w:r w:rsidR="00D2360C">
        <w:rPr>
          <w:lang w:val="es-ES"/>
        </w:rPr>
        <w:t>judiciales internas</w:t>
      </w:r>
      <w:r w:rsidR="00E7663D">
        <w:rPr>
          <w:lang w:val="es-ES"/>
        </w:rPr>
        <w:t xml:space="preserve"> y, en particular, su aplicación de estándares de diferenciación objetivos y </w:t>
      </w:r>
      <w:proofErr w:type="gramStart"/>
      <w:r w:rsidR="00E7663D">
        <w:rPr>
          <w:lang w:val="es-ES"/>
        </w:rPr>
        <w:t>razonables,</w:t>
      </w:r>
      <w:proofErr w:type="gramEnd"/>
      <w:r w:rsidR="003430D7">
        <w:rPr>
          <w:lang w:val="es-ES"/>
        </w:rPr>
        <w:t xml:space="preserve"> haya sido arbitraria o haya constituido un error manifiesto o denegación de justicia</w:t>
      </w:r>
      <w:r w:rsidR="003430D7">
        <w:rPr>
          <w:rStyle w:val="FootnoteReference"/>
          <w:lang w:val="es-ES"/>
        </w:rPr>
        <w:footnoteReference w:id="13"/>
      </w:r>
      <w:r w:rsidR="00911B06">
        <w:rPr>
          <w:lang w:val="es-ES"/>
        </w:rPr>
        <w:t>.</w:t>
      </w:r>
      <w:r w:rsidR="003430D7">
        <w:rPr>
          <w:lang w:val="es-ES"/>
        </w:rPr>
        <w:t xml:space="preserve"> </w:t>
      </w:r>
      <w:r w:rsidR="00D2360C">
        <w:rPr>
          <w:lang w:val="es-ES"/>
        </w:rPr>
        <w:t>Las autoras tampoco han justificado suficientemente, a los efectos de la admisibilidad, en qué sentido su falta de acceso a la función pública</w:t>
      </w:r>
      <w:r w:rsidR="00504096">
        <w:rPr>
          <w:lang w:val="es-ES"/>
        </w:rPr>
        <w:t xml:space="preserve"> por no haber interpuesto un recurso judicial a tiempo o por no haber obtenido un puntaje suficientemente elevado una vez revisada la lista de candidatos,</w:t>
      </w:r>
      <w:r w:rsidR="00D2360C">
        <w:rPr>
          <w:lang w:val="es-ES"/>
        </w:rPr>
        <w:t xml:space="preserve"> habría constituido </w:t>
      </w:r>
      <w:r w:rsidR="00504096">
        <w:rPr>
          <w:lang w:val="es-ES"/>
        </w:rPr>
        <w:t>un trato discriminatorio</w:t>
      </w:r>
      <w:r w:rsidR="00E7663D">
        <w:rPr>
          <w:lang w:val="es-ES"/>
        </w:rPr>
        <w:t xml:space="preserve"> sobre la base de</w:t>
      </w:r>
      <w:r w:rsidR="0065249B">
        <w:rPr>
          <w:lang w:val="es-ES"/>
        </w:rPr>
        <w:t xml:space="preserve"> los motivos previstos en el</w:t>
      </w:r>
      <w:r w:rsidR="00E7663D">
        <w:rPr>
          <w:lang w:val="es-ES"/>
        </w:rPr>
        <w:t xml:space="preserve"> artículo 26 del Pacto</w:t>
      </w:r>
      <w:r w:rsidR="00D2360C">
        <w:rPr>
          <w:lang w:val="es-ES"/>
        </w:rPr>
        <w:t>. En consecuencia, e</w:t>
      </w:r>
      <w:r w:rsidR="00875E24">
        <w:rPr>
          <w:lang w:val="es-ES"/>
        </w:rPr>
        <w:t>l Comité concluye que las autora</w:t>
      </w:r>
      <w:r w:rsidR="00320405">
        <w:rPr>
          <w:lang w:val="es-ES"/>
        </w:rPr>
        <w:t>s</w:t>
      </w:r>
      <w:r w:rsidR="00320405" w:rsidRPr="00320405">
        <w:rPr>
          <w:lang w:val="es-ES"/>
        </w:rPr>
        <w:t xml:space="preserve"> </w:t>
      </w:r>
      <w:r w:rsidR="00320405">
        <w:rPr>
          <w:lang w:val="es-ES"/>
        </w:rPr>
        <w:t xml:space="preserve">no han </w:t>
      </w:r>
      <w:r w:rsidR="00D2360C">
        <w:rPr>
          <w:lang w:val="es-ES"/>
        </w:rPr>
        <w:t>fundamentado</w:t>
      </w:r>
      <w:r w:rsidR="00320405">
        <w:rPr>
          <w:lang w:val="es-ES"/>
        </w:rPr>
        <w:t xml:space="preserve"> suficientemente</w:t>
      </w:r>
      <w:r w:rsidR="00D2360C">
        <w:rPr>
          <w:lang w:val="es-ES"/>
        </w:rPr>
        <w:t xml:space="preserve"> sus quejas a los efectos de la admisibilidad, y las declara </w:t>
      </w:r>
      <w:r w:rsidR="00875E24">
        <w:rPr>
          <w:lang w:val="es-ES"/>
        </w:rPr>
        <w:t>inadmisibles con arreglo al artículo 2 del Protocolo Facultativo.</w:t>
      </w:r>
    </w:p>
    <w:p w14:paraId="50F61C08" w14:textId="68A66C18" w:rsidR="00E42ABB" w:rsidRPr="00E42ABB" w:rsidRDefault="00ED435E" w:rsidP="00930BDF">
      <w:pPr>
        <w:pStyle w:val="SingleTxtG"/>
        <w:rPr>
          <w:lang w:val="es-ES"/>
        </w:rPr>
      </w:pPr>
      <w:r>
        <w:rPr>
          <w:lang w:val="es-ES"/>
        </w:rPr>
        <w:t>5</w:t>
      </w:r>
      <w:r w:rsidR="00E42ABB" w:rsidRPr="00E42ABB">
        <w:rPr>
          <w:lang w:val="es-ES"/>
        </w:rPr>
        <w:t>.</w:t>
      </w:r>
      <w:r w:rsidR="00E42ABB" w:rsidRPr="00E42ABB">
        <w:rPr>
          <w:lang w:val="es-ES"/>
        </w:rPr>
        <w:tab/>
        <w:t>Por lo tanto, el Comité de Derechos Humanos decide:</w:t>
      </w:r>
    </w:p>
    <w:p w14:paraId="0C9E33BB" w14:textId="0952F6BC" w:rsidR="00E42ABB" w:rsidRPr="00E42ABB" w:rsidRDefault="00986014" w:rsidP="00930BDF">
      <w:pPr>
        <w:pStyle w:val="SingleTxtG"/>
        <w:rPr>
          <w:lang w:val="es-ES"/>
        </w:rPr>
      </w:pPr>
      <w:r>
        <w:rPr>
          <w:lang w:val="es-ES"/>
        </w:rPr>
        <w:tab/>
      </w:r>
      <w:r w:rsidR="00E42ABB" w:rsidRPr="00E42ABB">
        <w:rPr>
          <w:lang w:val="es-ES"/>
        </w:rPr>
        <w:t>a)</w:t>
      </w:r>
      <w:r w:rsidR="00E42ABB" w:rsidRPr="00E42ABB">
        <w:rPr>
          <w:lang w:val="es-ES"/>
        </w:rPr>
        <w:tab/>
        <w:t>Que la comunicación es inadmisible en virtud de</w:t>
      </w:r>
      <w:r w:rsidR="00875E24">
        <w:rPr>
          <w:lang w:val="es-ES"/>
        </w:rPr>
        <w:t>l</w:t>
      </w:r>
      <w:r w:rsidR="00E42ABB" w:rsidRPr="00E42ABB">
        <w:rPr>
          <w:lang w:val="es-ES"/>
        </w:rPr>
        <w:t xml:space="preserve"> artículo 2 del Protocolo Facultativo;</w:t>
      </w:r>
    </w:p>
    <w:p w14:paraId="2C3331BA" w14:textId="4ED033E2" w:rsidR="00E42ABB" w:rsidRDefault="00986014" w:rsidP="00930BDF">
      <w:pPr>
        <w:pStyle w:val="SingleTxtG"/>
        <w:rPr>
          <w:lang w:val="es-ES"/>
        </w:rPr>
      </w:pPr>
      <w:r>
        <w:rPr>
          <w:lang w:val="es-ES"/>
        </w:rPr>
        <w:tab/>
      </w:r>
      <w:r w:rsidR="00E42ABB" w:rsidRPr="00E42ABB">
        <w:rPr>
          <w:lang w:val="es-ES"/>
        </w:rPr>
        <w:t>b)</w:t>
      </w:r>
      <w:r w:rsidR="00E42ABB" w:rsidRPr="00E42ABB">
        <w:rPr>
          <w:lang w:val="es-ES"/>
        </w:rPr>
        <w:tab/>
        <w:t>Que la presente decisión se ponga en conocimiento del Estado parte y de la</w:t>
      </w:r>
      <w:r w:rsidR="00F37F31">
        <w:rPr>
          <w:lang w:val="es-ES"/>
        </w:rPr>
        <w:t>s</w:t>
      </w:r>
      <w:r w:rsidR="00E42ABB" w:rsidRPr="00E42ABB">
        <w:rPr>
          <w:lang w:val="es-ES"/>
        </w:rPr>
        <w:t xml:space="preserve"> autora</w:t>
      </w:r>
      <w:r w:rsidR="00F37F31">
        <w:rPr>
          <w:lang w:val="es-ES"/>
        </w:rPr>
        <w:t>s</w:t>
      </w:r>
      <w:r w:rsidR="00E42ABB" w:rsidRPr="00E42ABB">
        <w:rPr>
          <w:lang w:val="es-ES"/>
        </w:rPr>
        <w:t xml:space="preserve"> de la comunicación. </w:t>
      </w:r>
    </w:p>
    <w:p w14:paraId="4307672A" w14:textId="69BD506C" w:rsidR="00E42ABB" w:rsidRPr="00724ECB" w:rsidRDefault="00724ECB" w:rsidP="00724ECB">
      <w:pPr>
        <w:pStyle w:val="SingleTxtG"/>
        <w:spacing w:before="240" w:after="0"/>
        <w:jc w:val="center"/>
        <w:rPr>
          <w:u w:val="single"/>
          <w:lang w:val="es-ES"/>
        </w:rPr>
      </w:pPr>
      <w:r>
        <w:rPr>
          <w:u w:val="single"/>
          <w:lang w:val="es-ES"/>
        </w:rPr>
        <w:tab/>
      </w:r>
      <w:r>
        <w:rPr>
          <w:u w:val="single"/>
          <w:lang w:val="es-ES"/>
        </w:rPr>
        <w:tab/>
      </w:r>
      <w:r>
        <w:rPr>
          <w:u w:val="single"/>
          <w:lang w:val="es-ES"/>
        </w:rPr>
        <w:tab/>
      </w:r>
    </w:p>
    <w:sectPr w:rsidR="00E42ABB" w:rsidRPr="00724ECB" w:rsidSect="00F603F4">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9B4AE" w14:textId="77777777" w:rsidR="000F230E" w:rsidRPr="00B903E5" w:rsidRDefault="000F230E" w:rsidP="00B903E5">
      <w:pPr>
        <w:pStyle w:val="Footer"/>
      </w:pPr>
    </w:p>
  </w:endnote>
  <w:endnote w:type="continuationSeparator" w:id="0">
    <w:p w14:paraId="78D1F852" w14:textId="77777777" w:rsidR="000F230E" w:rsidRPr="00B903E5" w:rsidRDefault="000F230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9ED4A" w14:textId="7ECF56FE" w:rsidR="00FE72F9" w:rsidRPr="006A31AE" w:rsidRDefault="00FE72F9"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4429EE">
      <w:rPr>
        <w:b/>
        <w:noProof/>
        <w:sz w:val="18"/>
      </w:rPr>
      <w:t>4</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DCCB9" w14:textId="5C3AE82D" w:rsidR="00FE72F9" w:rsidRPr="006A31AE" w:rsidRDefault="00FE72F9"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4429EE">
      <w:rPr>
        <w:b/>
        <w:noProof/>
        <w:sz w:val="18"/>
      </w:rPr>
      <w:t>5</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71724" w14:textId="6FE34BF3" w:rsidR="00724ECB" w:rsidRPr="00724ECB" w:rsidRDefault="00724ECB" w:rsidP="00724ECB">
    <w:pPr>
      <w:pStyle w:val="Footer"/>
      <w:tabs>
        <w:tab w:val="left" w:pos="6520"/>
        <w:tab w:val="right" w:pos="9638"/>
      </w:tabs>
      <w:spacing w:before="120"/>
      <w:rPr>
        <w:sz w:val="20"/>
      </w:rPr>
    </w:pPr>
    <w:r>
      <w:rPr>
        <w:sz w:val="20"/>
      </w:rPr>
      <w:t>GE.21-</w:t>
    </w:r>
    <w:proofErr w:type="gramStart"/>
    <w:r>
      <w:rPr>
        <w:sz w:val="20"/>
      </w:rPr>
      <w:t>03103  (</w:t>
    </w:r>
    <w:proofErr w:type="gramEnd"/>
    <w:r>
      <w:rPr>
        <w:sz w:val="20"/>
      </w:rPr>
      <w:t>S)</w:t>
    </w:r>
    <w:r>
      <w:rPr>
        <w:sz w:val="20"/>
      </w:rPr>
      <w:tab/>
    </w:r>
    <w:r w:rsidRPr="00724ECB">
      <w:rPr>
        <w:noProof/>
        <w:sz w:val="20"/>
        <w:lang w:val="fr-CH"/>
      </w:rPr>
      <w:drawing>
        <wp:inline distT="0" distB="0" distL="0" distR="0" wp14:anchorId="5045CD00" wp14:editId="20D65B15">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3114481B" wp14:editId="4A519F95">
          <wp:extent cx="638175" cy="6381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93EB6" w14:textId="77777777" w:rsidR="000F230E" w:rsidRPr="00B903E5" w:rsidRDefault="000F230E" w:rsidP="00B903E5">
      <w:pPr>
        <w:tabs>
          <w:tab w:val="right" w:pos="2155"/>
        </w:tabs>
        <w:spacing w:after="80" w:line="240" w:lineRule="auto"/>
        <w:ind w:left="680"/>
      </w:pPr>
      <w:r>
        <w:rPr>
          <w:u w:val="single"/>
        </w:rPr>
        <w:tab/>
      </w:r>
    </w:p>
  </w:footnote>
  <w:footnote w:type="continuationSeparator" w:id="0">
    <w:p w14:paraId="26470AF0" w14:textId="77777777" w:rsidR="000F230E" w:rsidRPr="00B903E5" w:rsidRDefault="000F230E" w:rsidP="00B903E5">
      <w:pPr>
        <w:tabs>
          <w:tab w:val="right" w:pos="2155"/>
        </w:tabs>
        <w:spacing w:after="80" w:line="240" w:lineRule="auto"/>
        <w:ind w:left="680"/>
      </w:pPr>
      <w:r>
        <w:rPr>
          <w:u w:val="single"/>
        </w:rPr>
        <w:tab/>
      </w:r>
    </w:p>
  </w:footnote>
  <w:footnote w:id="1">
    <w:p w14:paraId="37EB41E7" w14:textId="2E5BA6F6" w:rsidR="001D44D0" w:rsidRPr="00930BDF" w:rsidRDefault="001D44D0">
      <w:pPr>
        <w:pStyle w:val="FootnoteText"/>
        <w:rPr>
          <w:lang w:val="es-ES"/>
        </w:rPr>
      </w:pPr>
      <w:r w:rsidRPr="00930BDF">
        <w:rPr>
          <w:rStyle w:val="FootnoteReference"/>
          <w:lang w:val="es-ES"/>
        </w:rPr>
        <w:tab/>
      </w:r>
      <w:r w:rsidRPr="00930BDF">
        <w:rPr>
          <w:rStyle w:val="FootnoteReference"/>
          <w:sz w:val="20"/>
          <w:vertAlign w:val="baseline"/>
          <w:lang w:val="es-ES"/>
        </w:rPr>
        <w:t>*</w:t>
      </w:r>
      <w:r w:rsidRPr="00930BDF">
        <w:rPr>
          <w:rStyle w:val="FootnoteReference"/>
          <w:sz w:val="20"/>
          <w:vertAlign w:val="baseline"/>
          <w:lang w:val="es-ES"/>
        </w:rPr>
        <w:tab/>
      </w:r>
      <w:r>
        <w:rPr>
          <w:lang w:val="es-ES"/>
        </w:rPr>
        <w:t>Adoptad</w:t>
      </w:r>
      <w:r w:rsidR="006663BA">
        <w:rPr>
          <w:lang w:val="es-ES"/>
        </w:rPr>
        <w:t>a</w:t>
      </w:r>
      <w:r>
        <w:rPr>
          <w:lang w:val="es-ES"/>
        </w:rPr>
        <w:t xml:space="preserve"> por el Comité en su 130° período de sesiones (12 de octubre a 6</w:t>
      </w:r>
      <w:r w:rsidRPr="00BE3D7B">
        <w:rPr>
          <w:lang w:val="es-ES"/>
        </w:rPr>
        <w:t xml:space="preserve"> de </w:t>
      </w:r>
      <w:r>
        <w:rPr>
          <w:lang w:val="es-ES"/>
        </w:rPr>
        <w:t>noviembre</w:t>
      </w:r>
      <w:r w:rsidR="00396DCA">
        <w:rPr>
          <w:lang w:val="es-ES"/>
        </w:rPr>
        <w:t xml:space="preserve"> de 2020</w:t>
      </w:r>
      <w:r w:rsidRPr="00BE3D7B">
        <w:rPr>
          <w:lang w:val="es-ES"/>
        </w:rPr>
        <w:t>)</w:t>
      </w:r>
      <w:r w:rsidRPr="00175184">
        <w:rPr>
          <w:lang w:val="es-ES"/>
        </w:rPr>
        <w:t>.</w:t>
      </w:r>
    </w:p>
  </w:footnote>
  <w:footnote w:id="2">
    <w:p w14:paraId="219AEDC3" w14:textId="64A3DC1C" w:rsidR="001D44D0" w:rsidRPr="00930BDF" w:rsidRDefault="001D44D0">
      <w:pPr>
        <w:pStyle w:val="FootnoteText"/>
        <w:rPr>
          <w:lang w:val="es-ES"/>
        </w:rPr>
      </w:pPr>
      <w:r w:rsidRPr="00930BDF">
        <w:rPr>
          <w:rStyle w:val="FootnoteReference"/>
          <w:lang w:val="es-ES"/>
        </w:rPr>
        <w:tab/>
      </w:r>
      <w:r w:rsidRPr="00930BDF">
        <w:rPr>
          <w:rStyle w:val="FootnoteReference"/>
          <w:sz w:val="20"/>
          <w:vertAlign w:val="baseline"/>
          <w:lang w:val="es-ES"/>
        </w:rPr>
        <w:t>**</w:t>
      </w:r>
      <w:r w:rsidRPr="00930BDF">
        <w:rPr>
          <w:lang w:val="es-ES"/>
        </w:rPr>
        <w:tab/>
        <w:t xml:space="preserve">Los siguientes miembros del Comité participaron en el examen de la presente comunicación: </w:t>
      </w:r>
      <w:r w:rsidR="00396DCA" w:rsidRPr="00930BDF">
        <w:rPr>
          <w:bCs/>
          <w:lang w:val="es-ES"/>
        </w:rPr>
        <w:t xml:space="preserve">Tania </w:t>
      </w:r>
      <w:proofErr w:type="spellStart"/>
      <w:r w:rsidR="00396DCA" w:rsidRPr="00930BDF">
        <w:rPr>
          <w:bCs/>
          <w:lang w:val="es-ES"/>
        </w:rPr>
        <w:t>Abdo</w:t>
      </w:r>
      <w:proofErr w:type="spellEnd"/>
      <w:r w:rsidR="00396DCA" w:rsidRPr="00930BDF">
        <w:rPr>
          <w:bCs/>
          <w:lang w:val="es-ES"/>
        </w:rPr>
        <w:t xml:space="preserve"> </w:t>
      </w:r>
      <w:proofErr w:type="spellStart"/>
      <w:proofErr w:type="gramStart"/>
      <w:r w:rsidR="00396DCA" w:rsidRPr="00930BDF">
        <w:rPr>
          <w:bCs/>
          <w:lang w:val="es-ES"/>
        </w:rPr>
        <w:t>Rocholl</w:t>
      </w:r>
      <w:proofErr w:type="spellEnd"/>
      <w:r w:rsidR="00396DCA" w:rsidRPr="00930BDF">
        <w:rPr>
          <w:lang w:val="es-ES"/>
        </w:rPr>
        <w:t xml:space="preserve"> ,</w:t>
      </w:r>
      <w:proofErr w:type="spellStart"/>
      <w:r w:rsidR="00396DCA" w:rsidRPr="00930BDF">
        <w:rPr>
          <w:lang w:val="es-ES"/>
        </w:rPr>
        <w:t>Yadh</w:t>
      </w:r>
      <w:proofErr w:type="spellEnd"/>
      <w:proofErr w:type="gramEnd"/>
      <w:r w:rsidR="00396DCA" w:rsidRPr="00930BDF">
        <w:rPr>
          <w:lang w:val="es-ES"/>
        </w:rPr>
        <w:t xml:space="preserve"> Ben </w:t>
      </w:r>
      <w:proofErr w:type="spellStart"/>
      <w:r w:rsidR="00396DCA" w:rsidRPr="00930BDF">
        <w:rPr>
          <w:lang w:val="es-ES"/>
        </w:rPr>
        <w:t>Achour</w:t>
      </w:r>
      <w:proofErr w:type="spellEnd"/>
      <w:r w:rsidR="00396DCA" w:rsidRPr="00930BDF">
        <w:rPr>
          <w:lang w:val="es-ES"/>
        </w:rPr>
        <w:t xml:space="preserve">, </w:t>
      </w:r>
      <w:proofErr w:type="spellStart"/>
      <w:r w:rsidR="00396DCA" w:rsidRPr="00930BDF">
        <w:rPr>
          <w:lang w:val="es-ES"/>
        </w:rPr>
        <w:t>Arif</w:t>
      </w:r>
      <w:proofErr w:type="spellEnd"/>
      <w:r w:rsidR="00396DCA" w:rsidRPr="00930BDF">
        <w:rPr>
          <w:lang w:val="es-ES"/>
        </w:rPr>
        <w:t xml:space="preserve"> </w:t>
      </w:r>
      <w:proofErr w:type="spellStart"/>
      <w:r w:rsidR="00396DCA" w:rsidRPr="00930BDF">
        <w:rPr>
          <w:lang w:val="es-ES"/>
        </w:rPr>
        <w:t>Bulkan</w:t>
      </w:r>
      <w:proofErr w:type="spellEnd"/>
      <w:r w:rsidR="00396DCA" w:rsidRPr="00930BDF">
        <w:rPr>
          <w:lang w:val="es-ES"/>
        </w:rPr>
        <w:t xml:space="preserve">, Ahmed </w:t>
      </w:r>
      <w:proofErr w:type="spellStart"/>
      <w:r w:rsidR="00396DCA" w:rsidRPr="00930BDF">
        <w:rPr>
          <w:lang w:val="es-ES"/>
        </w:rPr>
        <w:t>Amin</w:t>
      </w:r>
      <w:proofErr w:type="spellEnd"/>
      <w:r w:rsidR="00396DCA" w:rsidRPr="00930BDF">
        <w:rPr>
          <w:lang w:val="es-ES"/>
        </w:rPr>
        <w:t xml:space="preserve"> </w:t>
      </w:r>
      <w:proofErr w:type="spellStart"/>
      <w:r w:rsidR="00396DCA" w:rsidRPr="00930BDF">
        <w:rPr>
          <w:lang w:val="es-ES"/>
        </w:rPr>
        <w:t>Fathalla</w:t>
      </w:r>
      <w:proofErr w:type="spellEnd"/>
      <w:r w:rsidR="00396DCA" w:rsidRPr="00930BDF">
        <w:rPr>
          <w:lang w:val="es-ES"/>
        </w:rPr>
        <w:t xml:space="preserve">, </w:t>
      </w:r>
      <w:proofErr w:type="spellStart"/>
      <w:r w:rsidR="00396DCA" w:rsidRPr="00930BDF">
        <w:rPr>
          <w:lang w:val="es-ES"/>
        </w:rPr>
        <w:t>Schuichi</w:t>
      </w:r>
      <w:proofErr w:type="spellEnd"/>
      <w:r w:rsidR="00396DCA" w:rsidRPr="00930BDF">
        <w:rPr>
          <w:lang w:val="es-ES"/>
        </w:rPr>
        <w:t xml:space="preserve"> </w:t>
      </w:r>
      <w:proofErr w:type="spellStart"/>
      <w:r w:rsidR="00396DCA" w:rsidRPr="00930BDF">
        <w:rPr>
          <w:lang w:val="es-ES"/>
        </w:rPr>
        <w:t>Furuya</w:t>
      </w:r>
      <w:proofErr w:type="spellEnd"/>
      <w:r w:rsidR="00396DCA" w:rsidRPr="00930BDF">
        <w:rPr>
          <w:lang w:val="es-ES"/>
        </w:rPr>
        <w:t xml:space="preserve">, </w:t>
      </w:r>
      <w:proofErr w:type="spellStart"/>
      <w:r w:rsidR="00396DCA" w:rsidRPr="00930BDF">
        <w:rPr>
          <w:lang w:val="es-ES"/>
        </w:rPr>
        <w:t>Christoph</w:t>
      </w:r>
      <w:proofErr w:type="spellEnd"/>
      <w:r w:rsidR="00396DCA" w:rsidRPr="00930BDF">
        <w:rPr>
          <w:lang w:val="es-ES"/>
        </w:rPr>
        <w:t xml:space="preserve"> </w:t>
      </w:r>
      <w:proofErr w:type="spellStart"/>
      <w:r w:rsidR="00396DCA" w:rsidRPr="00930BDF">
        <w:rPr>
          <w:lang w:val="es-ES"/>
        </w:rPr>
        <w:t>Heyns</w:t>
      </w:r>
      <w:proofErr w:type="spellEnd"/>
      <w:r w:rsidR="00396DCA" w:rsidRPr="00930BDF">
        <w:rPr>
          <w:lang w:val="es-ES"/>
        </w:rPr>
        <w:t>, David Moore,</w:t>
      </w:r>
      <w:r w:rsidR="00396DCA" w:rsidRPr="00930BDF">
        <w:rPr>
          <w:bCs/>
          <w:lang w:val="es-ES"/>
        </w:rPr>
        <w:t xml:space="preserve"> </w:t>
      </w:r>
      <w:proofErr w:type="spellStart"/>
      <w:r w:rsidR="00396DCA" w:rsidRPr="00930BDF">
        <w:rPr>
          <w:bCs/>
          <w:lang w:val="es-ES"/>
        </w:rPr>
        <w:t>Bamariam</w:t>
      </w:r>
      <w:proofErr w:type="spellEnd"/>
      <w:r w:rsidR="00396DCA" w:rsidRPr="00930BDF">
        <w:rPr>
          <w:bCs/>
          <w:lang w:val="es-ES"/>
        </w:rPr>
        <w:t xml:space="preserve"> </w:t>
      </w:r>
      <w:proofErr w:type="spellStart"/>
      <w:r w:rsidR="00396DCA" w:rsidRPr="00930BDF">
        <w:rPr>
          <w:bCs/>
          <w:lang w:val="es-ES"/>
        </w:rPr>
        <w:t>Koita</w:t>
      </w:r>
      <w:proofErr w:type="spellEnd"/>
      <w:r w:rsidR="00396DCA" w:rsidRPr="00930BDF">
        <w:rPr>
          <w:bCs/>
          <w:lang w:val="es-ES"/>
        </w:rPr>
        <w:t>,</w:t>
      </w:r>
      <w:r w:rsidR="00396DCA" w:rsidRPr="00930BDF">
        <w:rPr>
          <w:lang w:val="es-ES"/>
        </w:rPr>
        <w:t xml:space="preserve"> Duncan </w:t>
      </w:r>
      <w:proofErr w:type="spellStart"/>
      <w:r w:rsidR="00396DCA" w:rsidRPr="00930BDF">
        <w:rPr>
          <w:lang w:val="es-ES"/>
        </w:rPr>
        <w:t>Laki</w:t>
      </w:r>
      <w:proofErr w:type="spellEnd"/>
      <w:r w:rsidR="00396DCA" w:rsidRPr="00930BDF">
        <w:rPr>
          <w:lang w:val="es-ES"/>
        </w:rPr>
        <w:t xml:space="preserve"> </w:t>
      </w:r>
      <w:proofErr w:type="spellStart"/>
      <w:r w:rsidR="00396DCA" w:rsidRPr="00930BDF">
        <w:rPr>
          <w:lang w:val="es-ES"/>
        </w:rPr>
        <w:t>Muhumuza</w:t>
      </w:r>
      <w:proofErr w:type="spellEnd"/>
      <w:r w:rsidR="00396DCA" w:rsidRPr="00930BDF">
        <w:rPr>
          <w:lang w:val="es-ES"/>
        </w:rPr>
        <w:t xml:space="preserve">, </w:t>
      </w:r>
      <w:proofErr w:type="spellStart"/>
      <w:r w:rsidR="00396DCA" w:rsidRPr="00930BDF">
        <w:rPr>
          <w:lang w:val="es-ES"/>
        </w:rPr>
        <w:t>Photini</w:t>
      </w:r>
      <w:proofErr w:type="spellEnd"/>
      <w:r w:rsidR="00396DCA" w:rsidRPr="00930BDF">
        <w:rPr>
          <w:lang w:val="es-ES"/>
        </w:rPr>
        <w:t xml:space="preserve"> </w:t>
      </w:r>
      <w:proofErr w:type="spellStart"/>
      <w:r w:rsidR="00396DCA" w:rsidRPr="00930BDF">
        <w:rPr>
          <w:lang w:val="es-ES"/>
        </w:rPr>
        <w:t>Pazartzis</w:t>
      </w:r>
      <w:proofErr w:type="spellEnd"/>
      <w:r w:rsidR="00396DCA" w:rsidRPr="00930BDF">
        <w:rPr>
          <w:lang w:val="es-ES"/>
        </w:rPr>
        <w:t xml:space="preserve">, Hernán Quezada Cabrera, </w:t>
      </w:r>
      <w:proofErr w:type="spellStart"/>
      <w:r w:rsidR="00396DCA" w:rsidRPr="00930BDF">
        <w:rPr>
          <w:lang w:val="es-ES"/>
        </w:rPr>
        <w:t>Vasilka</w:t>
      </w:r>
      <w:proofErr w:type="spellEnd"/>
      <w:r w:rsidR="00396DCA" w:rsidRPr="00930BDF">
        <w:rPr>
          <w:lang w:val="es-ES"/>
        </w:rPr>
        <w:t xml:space="preserve"> </w:t>
      </w:r>
      <w:proofErr w:type="spellStart"/>
      <w:r w:rsidR="00396DCA" w:rsidRPr="00930BDF">
        <w:rPr>
          <w:lang w:val="es-ES"/>
        </w:rPr>
        <w:t>Sancin</w:t>
      </w:r>
      <w:proofErr w:type="spellEnd"/>
      <w:r w:rsidR="00396DCA" w:rsidRPr="00930BDF">
        <w:rPr>
          <w:lang w:val="es-ES"/>
        </w:rPr>
        <w:t xml:space="preserve">, José Manuel Santos </w:t>
      </w:r>
      <w:proofErr w:type="spellStart"/>
      <w:r w:rsidR="00396DCA" w:rsidRPr="00930BDF">
        <w:rPr>
          <w:lang w:val="es-ES"/>
        </w:rPr>
        <w:t>Pais</w:t>
      </w:r>
      <w:proofErr w:type="spellEnd"/>
      <w:r w:rsidR="00396DCA" w:rsidRPr="00930BDF">
        <w:rPr>
          <w:lang w:val="es-ES"/>
        </w:rPr>
        <w:t xml:space="preserve">, </w:t>
      </w:r>
      <w:proofErr w:type="spellStart"/>
      <w:r w:rsidR="00396DCA" w:rsidRPr="00930BDF">
        <w:rPr>
          <w:lang w:val="es-ES"/>
        </w:rPr>
        <w:t>Yuval</w:t>
      </w:r>
      <w:proofErr w:type="spellEnd"/>
      <w:r w:rsidR="00396DCA" w:rsidRPr="00930BDF">
        <w:rPr>
          <w:lang w:val="es-ES"/>
        </w:rPr>
        <w:t xml:space="preserve"> </w:t>
      </w:r>
      <w:proofErr w:type="spellStart"/>
      <w:r w:rsidR="00396DCA" w:rsidRPr="00930BDF">
        <w:rPr>
          <w:lang w:val="es-ES"/>
        </w:rPr>
        <w:t>Shany</w:t>
      </w:r>
      <w:proofErr w:type="spellEnd"/>
      <w:r w:rsidR="00396DCA" w:rsidRPr="00930BDF">
        <w:rPr>
          <w:lang w:val="es-ES"/>
        </w:rPr>
        <w:t xml:space="preserve">, </w:t>
      </w:r>
      <w:proofErr w:type="spellStart"/>
      <w:r w:rsidR="00396DCA" w:rsidRPr="00930BDF">
        <w:rPr>
          <w:lang w:val="es-ES"/>
        </w:rPr>
        <w:t>Hélène</w:t>
      </w:r>
      <w:proofErr w:type="spellEnd"/>
      <w:r w:rsidR="00396DCA" w:rsidRPr="00930BDF">
        <w:rPr>
          <w:lang w:val="es-ES"/>
        </w:rPr>
        <w:t xml:space="preserve"> </w:t>
      </w:r>
      <w:proofErr w:type="spellStart"/>
      <w:r w:rsidR="00396DCA" w:rsidRPr="00930BDF">
        <w:rPr>
          <w:lang w:val="es-ES"/>
        </w:rPr>
        <w:t>Tigroudja</w:t>
      </w:r>
      <w:proofErr w:type="spellEnd"/>
      <w:r w:rsidR="00396DCA" w:rsidRPr="00930BDF">
        <w:rPr>
          <w:lang w:val="es-ES"/>
        </w:rPr>
        <w:t xml:space="preserve">, Andreas </w:t>
      </w:r>
      <w:proofErr w:type="spellStart"/>
      <w:r w:rsidR="00396DCA" w:rsidRPr="00930BDF">
        <w:rPr>
          <w:lang w:val="es-ES"/>
        </w:rPr>
        <w:t>Zimmermann</w:t>
      </w:r>
      <w:proofErr w:type="spellEnd"/>
      <w:r w:rsidR="00396DCA" w:rsidRPr="00930BDF">
        <w:rPr>
          <w:lang w:val="es-ES"/>
        </w:rPr>
        <w:t xml:space="preserve"> </w:t>
      </w:r>
      <w:r w:rsidR="00103AF8" w:rsidRPr="00930BDF">
        <w:rPr>
          <w:lang w:val="es-ES"/>
        </w:rPr>
        <w:t>y</w:t>
      </w:r>
      <w:r w:rsidR="00396DCA" w:rsidRPr="00930BDF">
        <w:rPr>
          <w:lang w:val="es-ES"/>
        </w:rPr>
        <w:t xml:space="preserve"> </w:t>
      </w:r>
      <w:proofErr w:type="spellStart"/>
      <w:r w:rsidR="00396DCA" w:rsidRPr="00930BDF">
        <w:rPr>
          <w:lang w:val="es-ES"/>
        </w:rPr>
        <w:t>Gentian</w:t>
      </w:r>
      <w:proofErr w:type="spellEnd"/>
      <w:r w:rsidR="00396DCA" w:rsidRPr="00930BDF">
        <w:rPr>
          <w:lang w:val="es-ES"/>
        </w:rPr>
        <w:t xml:space="preserve"> </w:t>
      </w:r>
      <w:proofErr w:type="spellStart"/>
      <w:r w:rsidR="00396DCA" w:rsidRPr="00930BDF">
        <w:rPr>
          <w:lang w:val="es-ES"/>
        </w:rPr>
        <w:t>Zyberi</w:t>
      </w:r>
      <w:proofErr w:type="spellEnd"/>
      <w:r w:rsidR="00396DCA" w:rsidRPr="00930BDF">
        <w:rPr>
          <w:lang w:val="es-ES"/>
        </w:rPr>
        <w:t>.</w:t>
      </w:r>
    </w:p>
  </w:footnote>
  <w:footnote w:id="3">
    <w:p w14:paraId="62C2C0BE" w14:textId="292A9078" w:rsidR="00FE72F9" w:rsidRPr="009C0CB9" w:rsidRDefault="00866ADC" w:rsidP="00AC3828">
      <w:pPr>
        <w:pStyle w:val="FootnoteText"/>
        <w:rPr>
          <w:lang w:val="es-ES"/>
        </w:rPr>
      </w:pPr>
      <w:r w:rsidRPr="009C0CB9">
        <w:rPr>
          <w:lang w:val="es-ES"/>
        </w:rPr>
        <w:tab/>
      </w:r>
      <w:r w:rsidR="00FE72F9" w:rsidRPr="00866ADC">
        <w:rPr>
          <w:rStyle w:val="FootnoteReference"/>
        </w:rPr>
        <w:footnoteRef/>
      </w:r>
      <w:r w:rsidRPr="009C0CB9">
        <w:rPr>
          <w:lang w:val="es-ES"/>
        </w:rPr>
        <w:tab/>
      </w:r>
      <w:r w:rsidR="00FE72F9" w:rsidRPr="00930BDF">
        <w:rPr>
          <w:i/>
          <w:iCs/>
          <w:lang w:val="es-ES"/>
        </w:rPr>
        <w:t>Boletín Oficial del Estado</w:t>
      </w:r>
      <w:r w:rsidR="00FE72F9" w:rsidRPr="009C0CB9">
        <w:rPr>
          <w:lang w:val="es-ES"/>
        </w:rPr>
        <w:t>, núm. 278 de 20 de noviembre de 1998.</w:t>
      </w:r>
    </w:p>
  </w:footnote>
  <w:footnote w:id="4">
    <w:p w14:paraId="675CD405" w14:textId="7D400831" w:rsidR="0047586F" w:rsidRPr="009C0CB9" w:rsidRDefault="00866ADC" w:rsidP="00AC3828">
      <w:pPr>
        <w:pStyle w:val="FootnoteText"/>
        <w:rPr>
          <w:lang w:val="es-ES"/>
        </w:rPr>
      </w:pPr>
      <w:r w:rsidRPr="009C0CB9">
        <w:rPr>
          <w:lang w:val="es-ES"/>
        </w:rPr>
        <w:tab/>
      </w:r>
      <w:r w:rsidR="0047586F" w:rsidRPr="00866ADC">
        <w:rPr>
          <w:rStyle w:val="FootnoteReference"/>
        </w:rPr>
        <w:footnoteRef/>
      </w:r>
      <w:r w:rsidRPr="009C0CB9">
        <w:rPr>
          <w:lang w:val="es-ES"/>
        </w:rPr>
        <w:tab/>
      </w:r>
      <w:proofErr w:type="spellStart"/>
      <w:r w:rsidR="00E634DD" w:rsidRPr="00930BDF">
        <w:rPr>
          <w:i/>
          <w:iCs/>
          <w:lang w:val="es-ES"/>
        </w:rPr>
        <w:t>Ibid</w:t>
      </w:r>
      <w:proofErr w:type="spellEnd"/>
      <w:r w:rsidR="00E634DD">
        <w:rPr>
          <w:lang w:val="es-ES"/>
        </w:rPr>
        <w:t xml:space="preserve">., </w:t>
      </w:r>
      <w:r w:rsidR="0047586F" w:rsidRPr="009C0CB9">
        <w:rPr>
          <w:lang w:val="es-ES"/>
        </w:rPr>
        <w:t>núm. 290, de 4 de diciembre de 1997.</w:t>
      </w:r>
    </w:p>
  </w:footnote>
  <w:footnote w:id="5">
    <w:p w14:paraId="40470BE0" w14:textId="0BCED6C4" w:rsidR="00FE72F9" w:rsidRPr="009C0CB9" w:rsidRDefault="00866ADC" w:rsidP="00AC3828">
      <w:pPr>
        <w:pStyle w:val="FootnoteText"/>
        <w:rPr>
          <w:lang w:val="es-ES"/>
        </w:rPr>
      </w:pPr>
      <w:r w:rsidRPr="009C0CB9">
        <w:rPr>
          <w:lang w:val="es-ES"/>
        </w:rPr>
        <w:tab/>
      </w:r>
      <w:r w:rsidR="00FE72F9" w:rsidRPr="00866ADC">
        <w:rPr>
          <w:rStyle w:val="FootnoteReference"/>
        </w:rPr>
        <w:footnoteRef/>
      </w:r>
      <w:r w:rsidRPr="009C0CB9">
        <w:rPr>
          <w:lang w:val="es-ES"/>
        </w:rPr>
        <w:tab/>
      </w:r>
      <w:r w:rsidR="00FE72F9" w:rsidRPr="009C0CB9">
        <w:rPr>
          <w:lang w:val="es-ES"/>
        </w:rPr>
        <w:t>Ex</w:t>
      </w:r>
      <w:r w:rsidR="009C2AE6" w:rsidRPr="009C0CB9">
        <w:rPr>
          <w:lang w:val="es-ES"/>
        </w:rPr>
        <w:t>pe</w:t>
      </w:r>
      <w:r w:rsidR="00FE72F9" w:rsidRPr="009C0CB9">
        <w:rPr>
          <w:lang w:val="es-ES"/>
        </w:rPr>
        <w:t>diente núm. Q9817884</w:t>
      </w:r>
      <w:r w:rsidR="009C2AE6" w:rsidRPr="009C0CB9">
        <w:rPr>
          <w:lang w:val="es-ES"/>
        </w:rPr>
        <w:t xml:space="preserve">: “las diferencias reales se han incrementado de forma artificial y no </w:t>
      </w:r>
      <w:r w:rsidR="00E55745" w:rsidRPr="009C0CB9">
        <w:rPr>
          <w:lang w:val="es-ES"/>
        </w:rPr>
        <w:t xml:space="preserve">se </w:t>
      </w:r>
      <w:r w:rsidR="009C2AE6" w:rsidRPr="009C0CB9">
        <w:rPr>
          <w:lang w:val="es-ES"/>
        </w:rPr>
        <w:t>ha respetado la diferencia real entre los opositores, mediante la introducción de un elemento no contemplado en la convocatoria y que puede considerarse como discriminatorio para unos opositores (aquellos que habían obtenido notas más cercanas a 78) mientras favorecía a otros, por lo que se produce infracción del artículo 14 de la Constitución y del derecho a acceder en condiciones de igualdad a las funciones y cargos públicos, del artículo 23.2 de la Constitución, ambos citados como infringidos”.</w:t>
      </w:r>
    </w:p>
  </w:footnote>
  <w:footnote w:id="6">
    <w:p w14:paraId="203955C0" w14:textId="5C178AA6" w:rsidR="00FE72F9" w:rsidRPr="009C0CB9" w:rsidRDefault="00866ADC" w:rsidP="00AC3828">
      <w:pPr>
        <w:pStyle w:val="FootnoteText"/>
        <w:rPr>
          <w:lang w:val="es-ES"/>
        </w:rPr>
      </w:pPr>
      <w:r w:rsidRPr="009C0CB9">
        <w:rPr>
          <w:lang w:val="es-ES"/>
        </w:rPr>
        <w:tab/>
      </w:r>
      <w:r w:rsidR="00FE72F9" w:rsidRPr="00866ADC">
        <w:rPr>
          <w:rStyle w:val="FootnoteReference"/>
        </w:rPr>
        <w:footnoteRef/>
      </w:r>
      <w:r w:rsidRPr="009C0CB9">
        <w:rPr>
          <w:lang w:val="es-ES"/>
        </w:rPr>
        <w:tab/>
      </w:r>
      <w:r w:rsidR="00FE72F9" w:rsidRPr="009C0CB9">
        <w:rPr>
          <w:lang w:val="es-ES"/>
        </w:rPr>
        <w:t>Sentencia</w:t>
      </w:r>
      <w:r w:rsidR="008D3441" w:rsidRPr="009C0CB9">
        <w:rPr>
          <w:lang w:val="es-ES"/>
        </w:rPr>
        <w:t>s de la Sala de lo Contencioso-Administrativo de la Audiencia Nacional:</w:t>
      </w:r>
      <w:r w:rsidR="00FE72F9" w:rsidRPr="009C0CB9">
        <w:rPr>
          <w:lang w:val="es-ES"/>
        </w:rPr>
        <w:t xml:space="preserve"> 2 de diciembre de 2010, recurso contencioso-administrativo núm. 475/09, presentado por B</w:t>
      </w:r>
      <w:r w:rsidR="001D5882">
        <w:rPr>
          <w:lang w:val="es-ES"/>
        </w:rPr>
        <w:t>.</w:t>
      </w:r>
      <w:r w:rsidR="00FE72F9" w:rsidRPr="009C0CB9">
        <w:rPr>
          <w:lang w:val="es-ES"/>
        </w:rPr>
        <w:t>B</w:t>
      </w:r>
      <w:r w:rsidR="001D5882">
        <w:rPr>
          <w:lang w:val="es-ES"/>
        </w:rPr>
        <w:t>.</w:t>
      </w:r>
      <w:r w:rsidR="00FE72F9" w:rsidRPr="009C0CB9">
        <w:rPr>
          <w:lang w:val="es-ES"/>
        </w:rPr>
        <w:t>; 23 de junio de 2009, recurso contencioso-administrativo núm. 948/07, presentado por F</w:t>
      </w:r>
      <w:r w:rsidR="001D5882">
        <w:rPr>
          <w:lang w:val="es-ES"/>
        </w:rPr>
        <w:t>.</w:t>
      </w:r>
      <w:r w:rsidR="00FE72F9" w:rsidRPr="009C0CB9">
        <w:rPr>
          <w:lang w:val="es-ES"/>
        </w:rPr>
        <w:t xml:space="preserve"> Z</w:t>
      </w:r>
      <w:r w:rsidR="001D5882">
        <w:rPr>
          <w:lang w:val="es-ES"/>
        </w:rPr>
        <w:t>.</w:t>
      </w:r>
      <w:r w:rsidR="00FE72F9" w:rsidRPr="009C0CB9">
        <w:rPr>
          <w:lang w:val="es-ES"/>
        </w:rPr>
        <w:t>; 3 de diciembre de 2009, recurso contencioso-administrativo núm. 295/08, presentado por Z</w:t>
      </w:r>
      <w:r w:rsidR="001D5882">
        <w:rPr>
          <w:lang w:val="es-ES"/>
        </w:rPr>
        <w:t>.</w:t>
      </w:r>
      <w:r w:rsidR="00FE72F9" w:rsidRPr="009C0CB9">
        <w:rPr>
          <w:lang w:val="es-ES"/>
        </w:rPr>
        <w:t>S</w:t>
      </w:r>
      <w:r w:rsidR="001D5882">
        <w:rPr>
          <w:lang w:val="es-ES"/>
        </w:rPr>
        <w:t>.</w:t>
      </w:r>
      <w:r w:rsidR="00FE72F9" w:rsidRPr="009C0CB9">
        <w:rPr>
          <w:lang w:val="es-ES"/>
        </w:rPr>
        <w:t>; 24 de enero de 2011, recurso contencioso-administrativo núm. 474/09, presentado por del R</w:t>
      </w:r>
      <w:r w:rsidR="001D5882">
        <w:rPr>
          <w:lang w:val="es-ES"/>
        </w:rPr>
        <w:t>.</w:t>
      </w:r>
      <w:r w:rsidR="00FE72F9" w:rsidRPr="009C0CB9">
        <w:rPr>
          <w:lang w:val="es-ES"/>
        </w:rPr>
        <w:t xml:space="preserve"> M</w:t>
      </w:r>
      <w:r w:rsidR="001D5882">
        <w:rPr>
          <w:lang w:val="es-ES"/>
        </w:rPr>
        <w:t>.</w:t>
      </w:r>
      <w:r w:rsidR="00FE72F9" w:rsidRPr="009C0CB9">
        <w:rPr>
          <w:lang w:val="es-ES"/>
        </w:rPr>
        <w:t>; 1 de octubre de 2009, recurso contencioso-administrativo núm. 77/06, presentado por M</w:t>
      </w:r>
      <w:r w:rsidR="001D5882">
        <w:rPr>
          <w:lang w:val="es-ES"/>
        </w:rPr>
        <w:t>.</w:t>
      </w:r>
      <w:r w:rsidR="00FE72F9" w:rsidRPr="009C0CB9">
        <w:rPr>
          <w:lang w:val="es-ES"/>
        </w:rPr>
        <w:t>H</w:t>
      </w:r>
      <w:r w:rsidR="001D5882">
        <w:rPr>
          <w:lang w:val="es-ES"/>
        </w:rPr>
        <w:t>.</w:t>
      </w:r>
      <w:r w:rsidR="00FE72F9" w:rsidRPr="009C0CB9">
        <w:rPr>
          <w:lang w:val="es-ES"/>
        </w:rPr>
        <w:t>; 30 de junio de 2011, recurso contencioso-administrativo núm. 463/09, presentado por S</w:t>
      </w:r>
      <w:r w:rsidR="001D5882">
        <w:rPr>
          <w:lang w:val="es-ES"/>
        </w:rPr>
        <w:t>.</w:t>
      </w:r>
      <w:r w:rsidR="00FE72F9" w:rsidRPr="009C0CB9">
        <w:rPr>
          <w:lang w:val="es-ES"/>
        </w:rPr>
        <w:t>V.</w:t>
      </w:r>
    </w:p>
  </w:footnote>
  <w:footnote w:id="7">
    <w:p w14:paraId="32A680BA" w14:textId="614A8C0A" w:rsidR="00FE72F9" w:rsidRPr="009C0CB9" w:rsidRDefault="00866ADC" w:rsidP="00AC3828">
      <w:pPr>
        <w:pStyle w:val="FootnoteText"/>
        <w:rPr>
          <w:lang w:val="es-ES"/>
        </w:rPr>
      </w:pPr>
      <w:r w:rsidRPr="009C0CB9">
        <w:rPr>
          <w:lang w:val="es-ES"/>
        </w:rPr>
        <w:tab/>
      </w:r>
      <w:r w:rsidR="00FE72F9" w:rsidRPr="00866ADC">
        <w:rPr>
          <w:rStyle w:val="FootnoteReference"/>
        </w:rPr>
        <w:footnoteRef/>
      </w:r>
      <w:r w:rsidRPr="009C0CB9">
        <w:rPr>
          <w:lang w:val="es-ES"/>
        </w:rPr>
        <w:tab/>
      </w:r>
      <w:r w:rsidR="00FE72F9" w:rsidRPr="009C0CB9">
        <w:rPr>
          <w:lang w:val="es-ES"/>
        </w:rPr>
        <w:t>Sentencias dictadas por la Sección Séptima de la Sala de lo Contencioso Administrativo del Tribunal Supremo: 27 de marzo de 2012, recurso núm. 524/2011, presentado por B</w:t>
      </w:r>
      <w:r w:rsidR="00044942">
        <w:rPr>
          <w:lang w:val="es-ES"/>
        </w:rPr>
        <w:t>.</w:t>
      </w:r>
      <w:r w:rsidR="00FE72F9" w:rsidRPr="009C0CB9">
        <w:rPr>
          <w:lang w:val="es-ES"/>
        </w:rPr>
        <w:t>B</w:t>
      </w:r>
      <w:r w:rsidR="00044942">
        <w:rPr>
          <w:lang w:val="es-ES"/>
        </w:rPr>
        <w:t>.</w:t>
      </w:r>
      <w:r w:rsidR="00FE72F9" w:rsidRPr="009C0CB9">
        <w:rPr>
          <w:lang w:val="es-ES"/>
        </w:rPr>
        <w:t>; 27 de marzo de 2012, recurso núm. 918/2010, presentado por Z</w:t>
      </w:r>
      <w:r w:rsidR="00044942">
        <w:rPr>
          <w:lang w:val="es-ES"/>
        </w:rPr>
        <w:t>.</w:t>
      </w:r>
      <w:r w:rsidR="00FE72F9" w:rsidRPr="009C0CB9">
        <w:rPr>
          <w:lang w:val="es-ES"/>
        </w:rPr>
        <w:t>S</w:t>
      </w:r>
      <w:r w:rsidR="00044942">
        <w:rPr>
          <w:lang w:val="es-ES"/>
        </w:rPr>
        <w:t>.</w:t>
      </w:r>
      <w:r w:rsidR="00FE72F9" w:rsidRPr="009C0CB9">
        <w:rPr>
          <w:lang w:val="es-ES"/>
        </w:rPr>
        <w:t>; 27 de marzo de 2012, recurso núm. 4780/2009, presentado por F</w:t>
      </w:r>
      <w:r w:rsidR="00044942">
        <w:rPr>
          <w:lang w:val="es-ES"/>
        </w:rPr>
        <w:t>.</w:t>
      </w:r>
      <w:r w:rsidR="00FE72F9" w:rsidRPr="009C0CB9">
        <w:rPr>
          <w:lang w:val="es-ES"/>
        </w:rPr>
        <w:t>Z</w:t>
      </w:r>
      <w:r w:rsidR="00044942">
        <w:rPr>
          <w:lang w:val="es-ES"/>
        </w:rPr>
        <w:t>.</w:t>
      </w:r>
      <w:r w:rsidR="00FE72F9" w:rsidRPr="009C0CB9">
        <w:rPr>
          <w:lang w:val="es-ES"/>
        </w:rPr>
        <w:t xml:space="preserve">; 27 de marzo de 2012, recurso núm. 1124/2011, presentado por </w:t>
      </w:r>
      <w:r w:rsidR="008D3441" w:rsidRPr="009C0CB9">
        <w:rPr>
          <w:lang w:val="es-ES"/>
        </w:rPr>
        <w:t>d</w:t>
      </w:r>
      <w:r w:rsidR="00FE72F9" w:rsidRPr="009C0CB9">
        <w:rPr>
          <w:lang w:val="es-ES"/>
        </w:rPr>
        <w:t>el R</w:t>
      </w:r>
      <w:r w:rsidR="00044942">
        <w:rPr>
          <w:lang w:val="es-ES"/>
        </w:rPr>
        <w:t>.</w:t>
      </w:r>
      <w:r w:rsidR="00FE72F9" w:rsidRPr="009C0CB9">
        <w:rPr>
          <w:lang w:val="es-ES"/>
        </w:rPr>
        <w:t>M</w:t>
      </w:r>
      <w:r w:rsidR="00044942">
        <w:rPr>
          <w:lang w:val="es-ES"/>
        </w:rPr>
        <w:t>.</w:t>
      </w:r>
      <w:r w:rsidR="00FE72F9" w:rsidRPr="009C0CB9">
        <w:rPr>
          <w:lang w:val="es-ES"/>
        </w:rPr>
        <w:t>; 13 de febrero de 2012, recurso núm. 6884/2009, presentado por M</w:t>
      </w:r>
      <w:r w:rsidR="00044942">
        <w:rPr>
          <w:lang w:val="es-ES"/>
        </w:rPr>
        <w:t>.</w:t>
      </w:r>
      <w:r w:rsidR="00FE72F9" w:rsidRPr="009C0CB9">
        <w:rPr>
          <w:lang w:val="es-ES"/>
        </w:rPr>
        <w:t>H</w:t>
      </w:r>
      <w:r w:rsidR="00044942">
        <w:rPr>
          <w:lang w:val="es-ES"/>
        </w:rPr>
        <w:t>.</w:t>
      </w:r>
      <w:r w:rsidR="00FE72F9" w:rsidRPr="009C0CB9">
        <w:rPr>
          <w:lang w:val="es-ES"/>
        </w:rPr>
        <w:t>; 28 de septiembre de 2012, recurso núm. 4721/2011, presentado por S</w:t>
      </w:r>
      <w:r w:rsidR="00044942">
        <w:rPr>
          <w:lang w:val="es-ES"/>
        </w:rPr>
        <w:t>.</w:t>
      </w:r>
      <w:r w:rsidR="00FE72F9" w:rsidRPr="009C0CB9">
        <w:rPr>
          <w:lang w:val="es-ES"/>
        </w:rPr>
        <w:t>V.</w:t>
      </w:r>
    </w:p>
  </w:footnote>
  <w:footnote w:id="8">
    <w:p w14:paraId="1052A762" w14:textId="5551114C" w:rsidR="00FE72F9" w:rsidRPr="009C0CB9" w:rsidRDefault="00866ADC">
      <w:pPr>
        <w:pStyle w:val="FootnoteText"/>
        <w:rPr>
          <w:lang w:val="es-ES"/>
        </w:rPr>
      </w:pPr>
      <w:r w:rsidRPr="009C0CB9">
        <w:rPr>
          <w:lang w:val="es-ES"/>
        </w:rPr>
        <w:tab/>
      </w:r>
      <w:r w:rsidR="00FE72F9" w:rsidRPr="00866ADC">
        <w:rPr>
          <w:rStyle w:val="FootnoteReference"/>
        </w:rPr>
        <w:footnoteRef/>
      </w:r>
      <w:r w:rsidRPr="009C0CB9">
        <w:rPr>
          <w:lang w:val="es-ES"/>
        </w:rPr>
        <w:tab/>
      </w:r>
      <w:r w:rsidR="00FE72F9" w:rsidRPr="009C0CB9">
        <w:rPr>
          <w:lang w:val="es-ES"/>
        </w:rPr>
        <w:t>Resoluci</w:t>
      </w:r>
      <w:r w:rsidR="008D3441" w:rsidRPr="009C0CB9">
        <w:rPr>
          <w:lang w:val="es-ES"/>
        </w:rPr>
        <w:t>ones del Tribunal Constitucional:</w:t>
      </w:r>
      <w:r w:rsidR="00FE72F9" w:rsidRPr="009C0CB9">
        <w:rPr>
          <w:lang w:val="es-ES"/>
        </w:rPr>
        <w:t xml:space="preserve"> 24 de octubre de 2012, Sección Tercera de la Sala Segunda, recurso </w:t>
      </w:r>
      <w:r w:rsidR="008D3441" w:rsidRPr="009C0CB9">
        <w:rPr>
          <w:lang w:val="es-ES"/>
        </w:rPr>
        <w:t>presentado</w:t>
      </w:r>
      <w:r w:rsidR="00FE72F9" w:rsidRPr="009C0CB9">
        <w:rPr>
          <w:lang w:val="es-ES"/>
        </w:rPr>
        <w:t xml:space="preserve"> por B</w:t>
      </w:r>
      <w:r w:rsidR="00246B94">
        <w:rPr>
          <w:lang w:val="es-ES"/>
        </w:rPr>
        <w:t>.</w:t>
      </w:r>
      <w:r w:rsidR="00FE72F9" w:rsidRPr="009C0CB9">
        <w:rPr>
          <w:lang w:val="es-ES"/>
        </w:rPr>
        <w:t>B</w:t>
      </w:r>
      <w:r w:rsidR="00246B94">
        <w:rPr>
          <w:lang w:val="es-ES"/>
        </w:rPr>
        <w:t>.</w:t>
      </w:r>
      <w:r w:rsidR="00FE72F9" w:rsidRPr="009C0CB9">
        <w:rPr>
          <w:lang w:val="es-ES"/>
        </w:rPr>
        <w:t>; 18 de octubre de 2012, Sección Tercera de la Sala Primera, recurso interpuesto por Z</w:t>
      </w:r>
      <w:r w:rsidR="00246B94">
        <w:rPr>
          <w:lang w:val="es-ES"/>
        </w:rPr>
        <w:t>.</w:t>
      </w:r>
      <w:r w:rsidR="00FE72F9" w:rsidRPr="009C0CB9">
        <w:rPr>
          <w:lang w:val="es-ES"/>
        </w:rPr>
        <w:t>S</w:t>
      </w:r>
      <w:r w:rsidR="00246B94">
        <w:rPr>
          <w:lang w:val="es-ES"/>
        </w:rPr>
        <w:t>.</w:t>
      </w:r>
      <w:r w:rsidR="00FE72F9" w:rsidRPr="009C0CB9">
        <w:rPr>
          <w:lang w:val="es-ES"/>
        </w:rPr>
        <w:t>; 10 de octubre de 2012, Sección Tercera de la Sala Segunda, recurso interpuesto por F</w:t>
      </w:r>
      <w:r w:rsidR="00246B94">
        <w:rPr>
          <w:lang w:val="es-ES"/>
        </w:rPr>
        <w:t>.</w:t>
      </w:r>
      <w:r w:rsidR="00FE72F9" w:rsidRPr="009C0CB9">
        <w:rPr>
          <w:lang w:val="es-ES"/>
        </w:rPr>
        <w:t>Z</w:t>
      </w:r>
      <w:r w:rsidR="00246B94">
        <w:rPr>
          <w:lang w:val="es-ES"/>
        </w:rPr>
        <w:t>.</w:t>
      </w:r>
      <w:r w:rsidR="00FE72F9" w:rsidRPr="009C0CB9">
        <w:rPr>
          <w:lang w:val="es-ES"/>
        </w:rPr>
        <w:t>; 18 de octubre de 2012, Sección Tercera de la Sala Segunda, recurso interpuesto por del R</w:t>
      </w:r>
      <w:r w:rsidR="00246B94">
        <w:rPr>
          <w:lang w:val="es-ES"/>
        </w:rPr>
        <w:t>.</w:t>
      </w:r>
      <w:r w:rsidR="00FE72F9" w:rsidRPr="009C0CB9">
        <w:rPr>
          <w:lang w:val="es-ES"/>
        </w:rPr>
        <w:t>M</w:t>
      </w:r>
      <w:r w:rsidR="00246B94">
        <w:rPr>
          <w:lang w:val="es-ES"/>
        </w:rPr>
        <w:t>.</w:t>
      </w:r>
      <w:r w:rsidR="00FE72F9" w:rsidRPr="009C0CB9">
        <w:rPr>
          <w:lang w:val="es-ES"/>
        </w:rPr>
        <w:t>; 30 de octubre de 2013, Sección Primera de la Sala Primera, recurso interpuesto por la Sra. Moreno Hidalgo; 21 de julio de 2014, Sección Tercera de la Sala Segunda, recurso interpuesto por S</w:t>
      </w:r>
      <w:r w:rsidR="00246B94">
        <w:rPr>
          <w:lang w:val="es-ES"/>
        </w:rPr>
        <w:t xml:space="preserve">. </w:t>
      </w:r>
      <w:r w:rsidR="00FE72F9" w:rsidRPr="009C0CB9">
        <w:rPr>
          <w:lang w:val="es-ES"/>
        </w:rPr>
        <w:t>V.</w:t>
      </w:r>
    </w:p>
  </w:footnote>
  <w:footnote w:id="9">
    <w:p w14:paraId="287E99F2" w14:textId="1474B5A6" w:rsidR="006F1C7D" w:rsidRPr="006F1C7D" w:rsidRDefault="00866ADC" w:rsidP="00AC3828">
      <w:pPr>
        <w:pStyle w:val="FootnoteText"/>
        <w:rPr>
          <w:lang w:val="es-ES"/>
        </w:rPr>
      </w:pPr>
      <w:r w:rsidRPr="009C0CB9">
        <w:rPr>
          <w:lang w:val="es-ES"/>
        </w:rPr>
        <w:tab/>
      </w:r>
      <w:r w:rsidR="006F1C7D" w:rsidRPr="00866ADC">
        <w:rPr>
          <w:rStyle w:val="FootnoteReference"/>
        </w:rPr>
        <w:footnoteRef/>
      </w:r>
      <w:r w:rsidRPr="009C0CB9">
        <w:rPr>
          <w:lang w:val="es-ES"/>
        </w:rPr>
        <w:tab/>
      </w:r>
      <w:r w:rsidR="006F1C7D" w:rsidRPr="009C0CB9">
        <w:rPr>
          <w:lang w:val="es-ES"/>
        </w:rPr>
        <w:t xml:space="preserve">Las autoras citan la </w:t>
      </w:r>
      <w:r w:rsidR="00053608">
        <w:rPr>
          <w:lang w:val="es-ES"/>
        </w:rPr>
        <w:t>o</w:t>
      </w:r>
      <w:r w:rsidR="006F1C7D" w:rsidRPr="009C0CB9">
        <w:rPr>
          <w:lang w:val="es-ES"/>
        </w:rPr>
        <w:t>bservación general núm. 18</w:t>
      </w:r>
      <w:r w:rsidR="00B252B6" w:rsidRPr="009C0CB9">
        <w:rPr>
          <w:lang w:val="es-ES"/>
        </w:rPr>
        <w:t xml:space="preserve"> (</w:t>
      </w:r>
      <w:r w:rsidR="00E634DD">
        <w:rPr>
          <w:lang w:val="es-ES"/>
        </w:rPr>
        <w:t>1989</w:t>
      </w:r>
      <w:r w:rsidR="00B252B6" w:rsidRPr="009C0CB9">
        <w:rPr>
          <w:lang w:val="es-ES"/>
        </w:rPr>
        <w:t>),</w:t>
      </w:r>
      <w:r w:rsidR="006F1C7D" w:rsidRPr="009C0CB9">
        <w:rPr>
          <w:lang w:val="es-ES"/>
        </w:rPr>
        <w:t xml:space="preserve"> </w:t>
      </w:r>
      <w:proofErr w:type="spellStart"/>
      <w:r w:rsidR="006F1C7D" w:rsidRPr="009C0CB9">
        <w:rPr>
          <w:lang w:val="es-ES"/>
        </w:rPr>
        <w:t>p</w:t>
      </w:r>
      <w:r w:rsidR="00053608">
        <w:rPr>
          <w:lang w:val="es-ES"/>
        </w:rPr>
        <w:t>árrs</w:t>
      </w:r>
      <w:proofErr w:type="spellEnd"/>
      <w:r w:rsidR="006F1C7D" w:rsidRPr="009C0CB9">
        <w:rPr>
          <w:lang w:val="es-ES"/>
        </w:rPr>
        <w:t xml:space="preserve">. </w:t>
      </w:r>
      <w:r w:rsidR="00B252B6" w:rsidRPr="009C0CB9">
        <w:rPr>
          <w:lang w:val="es-ES"/>
        </w:rPr>
        <w:t xml:space="preserve">1 y </w:t>
      </w:r>
      <w:r w:rsidR="006F1C7D" w:rsidRPr="009C0CB9">
        <w:rPr>
          <w:lang w:val="es-ES"/>
        </w:rPr>
        <w:t>12</w:t>
      </w:r>
      <w:r w:rsidR="00B252B6" w:rsidRPr="009C0CB9">
        <w:rPr>
          <w:lang w:val="es-ES"/>
        </w:rPr>
        <w:t xml:space="preserve">; </w:t>
      </w:r>
      <w:r w:rsidR="00053608">
        <w:rPr>
          <w:lang w:val="es-ES"/>
        </w:rPr>
        <w:t xml:space="preserve">y </w:t>
      </w:r>
      <w:proofErr w:type="spellStart"/>
      <w:r w:rsidR="00B252B6" w:rsidRPr="00930BDF">
        <w:rPr>
          <w:i/>
          <w:iCs/>
          <w:lang w:val="es-ES"/>
        </w:rPr>
        <w:t>Foin</w:t>
      </w:r>
      <w:proofErr w:type="spellEnd"/>
      <w:r w:rsidR="00B252B6" w:rsidRPr="00930BDF">
        <w:rPr>
          <w:i/>
          <w:iCs/>
          <w:lang w:val="es-ES"/>
        </w:rPr>
        <w:t xml:space="preserve"> c. Francia</w:t>
      </w:r>
      <w:r w:rsidR="00B252B6">
        <w:rPr>
          <w:i/>
          <w:lang w:val="es-ES"/>
        </w:rPr>
        <w:t xml:space="preserve"> </w:t>
      </w:r>
      <w:r w:rsidR="00B252B6">
        <w:rPr>
          <w:lang w:val="es-ES"/>
        </w:rPr>
        <w:t>(</w:t>
      </w:r>
      <w:r w:rsidR="00B252B6" w:rsidRPr="00B252B6">
        <w:rPr>
          <w:lang w:val="es-ES"/>
        </w:rPr>
        <w:t>CCPR/C/67/D/666/1995), p</w:t>
      </w:r>
      <w:r w:rsidR="00053608">
        <w:rPr>
          <w:lang w:val="es-ES"/>
        </w:rPr>
        <w:t>árr</w:t>
      </w:r>
      <w:r w:rsidR="00B252B6" w:rsidRPr="00B252B6">
        <w:rPr>
          <w:lang w:val="es-ES"/>
        </w:rPr>
        <w:t>.</w:t>
      </w:r>
      <w:r w:rsidR="00B252B6">
        <w:rPr>
          <w:lang w:val="es-ES"/>
        </w:rPr>
        <w:t xml:space="preserve"> 10.3</w:t>
      </w:r>
      <w:r w:rsidR="00053608">
        <w:rPr>
          <w:lang w:val="es-ES"/>
        </w:rPr>
        <w:t>,</w:t>
      </w:r>
      <w:r w:rsidR="00A8515E">
        <w:rPr>
          <w:lang w:val="es-ES"/>
        </w:rPr>
        <w:t xml:space="preserve"> entre otros.</w:t>
      </w:r>
    </w:p>
  </w:footnote>
  <w:footnote w:id="10">
    <w:p w14:paraId="17876A4D" w14:textId="4FACD0EA" w:rsidR="00A8515E" w:rsidRPr="00A8515E" w:rsidRDefault="009C0CB9" w:rsidP="009C0CB9">
      <w:pPr>
        <w:pStyle w:val="FootnoteText"/>
        <w:rPr>
          <w:lang w:val="es-ES"/>
        </w:rPr>
      </w:pPr>
      <w:r>
        <w:rPr>
          <w:lang w:val="es-ES"/>
        </w:rPr>
        <w:tab/>
      </w:r>
      <w:r w:rsidR="00A8515E">
        <w:rPr>
          <w:rStyle w:val="FootnoteReference"/>
        </w:rPr>
        <w:footnoteRef/>
      </w:r>
      <w:r>
        <w:rPr>
          <w:lang w:val="es-ES"/>
        </w:rPr>
        <w:tab/>
      </w:r>
      <w:r w:rsidR="00A8515E">
        <w:rPr>
          <w:lang w:val="es-ES"/>
        </w:rPr>
        <w:t xml:space="preserve">Sentencias </w:t>
      </w:r>
      <w:proofErr w:type="spellStart"/>
      <w:r w:rsidR="00A8515E">
        <w:rPr>
          <w:lang w:val="es-ES"/>
        </w:rPr>
        <w:t>núm</w:t>
      </w:r>
      <w:r w:rsidR="00053608">
        <w:rPr>
          <w:lang w:val="es-ES"/>
        </w:rPr>
        <w:t>s</w:t>
      </w:r>
      <w:proofErr w:type="spellEnd"/>
      <w:r w:rsidR="00A8515E">
        <w:rPr>
          <w:lang w:val="es-ES"/>
        </w:rPr>
        <w:t>. 10/1998, de 13 de enero; 85/1998, de 20 de mayo; y 210/2002, de 11 de noviembre.</w:t>
      </w:r>
    </w:p>
  </w:footnote>
  <w:footnote w:id="11">
    <w:p w14:paraId="5BDBCF3B" w14:textId="731D0C2A" w:rsidR="007E4F44" w:rsidRPr="009C0CB9" w:rsidRDefault="00866ADC" w:rsidP="00AC3828">
      <w:pPr>
        <w:pStyle w:val="FootnoteText"/>
        <w:rPr>
          <w:lang w:val="es-ES"/>
        </w:rPr>
      </w:pPr>
      <w:r w:rsidRPr="009C0CB9">
        <w:rPr>
          <w:lang w:val="es-ES"/>
        </w:rPr>
        <w:tab/>
      </w:r>
      <w:r w:rsidR="007E4F44" w:rsidRPr="009C0CB9">
        <w:rPr>
          <w:rStyle w:val="FootnoteReference"/>
        </w:rPr>
        <w:footnoteRef/>
      </w:r>
      <w:r w:rsidRPr="009C0CB9">
        <w:rPr>
          <w:lang w:val="es-ES"/>
        </w:rPr>
        <w:tab/>
      </w:r>
      <w:proofErr w:type="spellStart"/>
      <w:r w:rsidR="007E4F44" w:rsidRPr="00930BDF">
        <w:rPr>
          <w:i/>
          <w:iCs/>
          <w:lang w:val="es-ES"/>
        </w:rPr>
        <w:t>Bertelli</w:t>
      </w:r>
      <w:proofErr w:type="spellEnd"/>
      <w:r w:rsidR="007E4F44" w:rsidRPr="00930BDF">
        <w:rPr>
          <w:i/>
          <w:iCs/>
          <w:lang w:val="es-ES"/>
        </w:rPr>
        <w:t xml:space="preserve"> Gálvez c. España</w:t>
      </w:r>
      <w:r w:rsidR="007E4F44" w:rsidRPr="009C0CB9">
        <w:rPr>
          <w:lang w:val="es-ES"/>
        </w:rPr>
        <w:t xml:space="preserve"> (CCPR/C/84/D/1389/2005), párr. 4.3; </w:t>
      </w:r>
      <w:proofErr w:type="spellStart"/>
      <w:r w:rsidR="007E4F44" w:rsidRPr="00930BDF">
        <w:rPr>
          <w:i/>
          <w:iCs/>
          <w:lang w:val="es-ES"/>
        </w:rPr>
        <w:t>Wdowiak</w:t>
      </w:r>
      <w:proofErr w:type="spellEnd"/>
      <w:r w:rsidR="007E4F44" w:rsidRPr="00930BDF">
        <w:rPr>
          <w:i/>
          <w:iCs/>
          <w:lang w:val="es-ES"/>
        </w:rPr>
        <w:t xml:space="preserve"> c. Polonia</w:t>
      </w:r>
      <w:r w:rsidR="007E4F44" w:rsidRPr="009C0CB9">
        <w:rPr>
          <w:lang w:val="es-ES"/>
        </w:rPr>
        <w:t xml:space="preserve"> (CCPR/C/88/D/1446/2006), párr. 6.2; </w:t>
      </w:r>
      <w:proofErr w:type="spellStart"/>
      <w:r w:rsidR="007E4F44" w:rsidRPr="00930BDF">
        <w:rPr>
          <w:i/>
          <w:iCs/>
          <w:lang w:val="es-ES"/>
        </w:rPr>
        <w:t>Alzery</w:t>
      </w:r>
      <w:proofErr w:type="spellEnd"/>
      <w:r w:rsidR="007E4F44" w:rsidRPr="00930BDF">
        <w:rPr>
          <w:i/>
          <w:iCs/>
          <w:lang w:val="es-ES"/>
        </w:rPr>
        <w:t xml:space="preserve"> c. Suecia</w:t>
      </w:r>
      <w:r w:rsidR="007E4F44" w:rsidRPr="009C0CB9">
        <w:rPr>
          <w:lang w:val="es-ES"/>
        </w:rPr>
        <w:t xml:space="preserve"> (CCPR/C/88/D/1416/2005), párr. 8.1; y </w:t>
      </w:r>
      <w:proofErr w:type="spellStart"/>
      <w:r w:rsidR="007E4F44" w:rsidRPr="00930BDF">
        <w:rPr>
          <w:i/>
          <w:iCs/>
          <w:lang w:val="es-ES"/>
        </w:rPr>
        <w:t>Quliyev</w:t>
      </w:r>
      <w:proofErr w:type="spellEnd"/>
      <w:r w:rsidR="007E4F44" w:rsidRPr="00930BDF">
        <w:rPr>
          <w:i/>
          <w:iCs/>
          <w:lang w:val="es-ES"/>
        </w:rPr>
        <w:t xml:space="preserve"> c. Azerbaiyán</w:t>
      </w:r>
      <w:r w:rsidR="007E4F44" w:rsidRPr="009C0CB9">
        <w:rPr>
          <w:lang w:val="es-ES"/>
        </w:rPr>
        <w:t xml:space="preserve"> (CCPR/C/112/D/1972/2010), párr. 8.2.</w:t>
      </w:r>
    </w:p>
  </w:footnote>
  <w:footnote w:id="12">
    <w:p w14:paraId="746BD89F" w14:textId="33D78018" w:rsidR="003430D7" w:rsidRPr="009C0CB9" w:rsidRDefault="00AC3828" w:rsidP="00AC3828">
      <w:pPr>
        <w:pStyle w:val="FootnoteText"/>
        <w:rPr>
          <w:lang w:val="es-ES"/>
        </w:rPr>
      </w:pPr>
      <w:r w:rsidRPr="009C0CB9">
        <w:rPr>
          <w:lang w:val="es-ES"/>
        </w:rPr>
        <w:tab/>
      </w:r>
      <w:r w:rsidR="003430D7" w:rsidRPr="009C0CB9">
        <w:rPr>
          <w:rStyle w:val="FootnoteReference"/>
        </w:rPr>
        <w:footnoteRef/>
      </w:r>
      <w:r w:rsidRPr="009C0CB9">
        <w:rPr>
          <w:lang w:val="es-ES"/>
        </w:rPr>
        <w:tab/>
      </w:r>
      <w:r w:rsidR="003430D7" w:rsidRPr="009C0CB9">
        <w:rPr>
          <w:lang w:val="es-ES"/>
        </w:rPr>
        <w:t>Observación general n</w:t>
      </w:r>
      <w:r w:rsidR="00053608">
        <w:rPr>
          <w:lang w:val="es-ES"/>
        </w:rPr>
        <w:t>úm</w:t>
      </w:r>
      <w:r w:rsidR="003430D7" w:rsidRPr="009C0CB9">
        <w:rPr>
          <w:lang w:val="es-ES"/>
        </w:rPr>
        <w:t>. 32</w:t>
      </w:r>
      <w:r w:rsidR="00AA2D07">
        <w:rPr>
          <w:lang w:val="es-ES"/>
        </w:rPr>
        <w:t xml:space="preserve"> (</w:t>
      </w:r>
      <w:r w:rsidR="002B385F">
        <w:rPr>
          <w:lang w:val="es-ES"/>
        </w:rPr>
        <w:t>2007</w:t>
      </w:r>
      <w:r w:rsidR="00AA2D07">
        <w:rPr>
          <w:lang w:val="es-ES"/>
        </w:rPr>
        <w:t>)</w:t>
      </w:r>
      <w:r w:rsidR="003430D7" w:rsidRPr="009C0CB9">
        <w:rPr>
          <w:lang w:val="es-ES"/>
        </w:rPr>
        <w:t>, párr. 26.</w:t>
      </w:r>
    </w:p>
  </w:footnote>
  <w:footnote w:id="13">
    <w:p w14:paraId="04DA070C" w14:textId="2BDE2A9A" w:rsidR="003430D7" w:rsidRPr="003430D7" w:rsidRDefault="00AC3828" w:rsidP="00AC3828">
      <w:pPr>
        <w:pStyle w:val="FootnoteText"/>
        <w:rPr>
          <w:lang w:val="es-ES"/>
        </w:rPr>
      </w:pPr>
      <w:r w:rsidRPr="009C0CB9">
        <w:rPr>
          <w:lang w:val="es-ES"/>
        </w:rPr>
        <w:tab/>
      </w:r>
      <w:r w:rsidR="003430D7" w:rsidRPr="009C0CB9">
        <w:rPr>
          <w:rStyle w:val="FootnoteReference"/>
        </w:rPr>
        <w:footnoteRef/>
      </w:r>
      <w:r w:rsidRPr="009C0CB9">
        <w:rPr>
          <w:lang w:val="es-ES"/>
        </w:rPr>
        <w:tab/>
      </w:r>
      <w:proofErr w:type="spellStart"/>
      <w:r w:rsidR="003430D7" w:rsidRPr="00930BDF">
        <w:rPr>
          <w:i/>
          <w:iCs/>
          <w:lang w:val="es-ES"/>
        </w:rPr>
        <w:t>Riedl-Riedenstein</w:t>
      </w:r>
      <w:proofErr w:type="spellEnd"/>
      <w:r w:rsidR="003430D7" w:rsidRPr="00930BDF">
        <w:rPr>
          <w:i/>
          <w:iCs/>
          <w:lang w:val="es-ES"/>
        </w:rPr>
        <w:t xml:space="preserve"> y otros. c. Alemania</w:t>
      </w:r>
      <w:r w:rsidR="003430D7" w:rsidRPr="009C0CB9">
        <w:rPr>
          <w:lang w:val="es-ES"/>
        </w:rPr>
        <w:t xml:space="preserve"> (CCPR/C/82/D/1188/2003), párr. 7.3; </w:t>
      </w:r>
      <w:proofErr w:type="spellStart"/>
      <w:r w:rsidR="00AA2D07" w:rsidRPr="00930BDF">
        <w:rPr>
          <w:i/>
          <w:iCs/>
          <w:lang w:val="es-ES"/>
        </w:rPr>
        <w:t>Schedko</w:t>
      </w:r>
      <w:proofErr w:type="spellEnd"/>
      <w:r w:rsidR="00AA2D07" w:rsidRPr="00930BDF">
        <w:rPr>
          <w:i/>
          <w:iCs/>
          <w:lang w:val="es-ES"/>
        </w:rPr>
        <w:t xml:space="preserve"> </w:t>
      </w:r>
      <w:r w:rsidR="008A307C">
        <w:rPr>
          <w:i/>
          <w:iCs/>
          <w:lang w:val="es-ES"/>
        </w:rPr>
        <w:t xml:space="preserve">y otro </w:t>
      </w:r>
      <w:r w:rsidR="003430D7" w:rsidRPr="00930BDF">
        <w:rPr>
          <w:i/>
          <w:iCs/>
          <w:lang w:val="es-ES"/>
        </w:rPr>
        <w:t xml:space="preserve">c. </w:t>
      </w:r>
      <w:proofErr w:type="spellStart"/>
      <w:r w:rsidR="00AA2D07" w:rsidRPr="00930BDF">
        <w:rPr>
          <w:i/>
          <w:iCs/>
          <w:lang w:val="es-ES"/>
        </w:rPr>
        <w:t>Belarús</w:t>
      </w:r>
      <w:proofErr w:type="spellEnd"/>
      <w:r w:rsidR="00AA2D07">
        <w:rPr>
          <w:lang w:val="es-ES"/>
        </w:rPr>
        <w:t xml:space="preserve"> </w:t>
      </w:r>
      <w:r w:rsidR="003430D7" w:rsidRPr="009C0CB9">
        <w:rPr>
          <w:lang w:val="es-ES"/>
        </w:rPr>
        <w:t xml:space="preserve">(CCPR/C/77/D/886/1999), párr. 9.3; </w:t>
      </w:r>
      <w:proofErr w:type="spellStart"/>
      <w:r w:rsidR="003430D7" w:rsidRPr="00930BDF">
        <w:rPr>
          <w:i/>
          <w:iCs/>
          <w:lang w:val="es-ES"/>
        </w:rPr>
        <w:t>Arenz</w:t>
      </w:r>
      <w:proofErr w:type="spellEnd"/>
      <w:r w:rsidR="003430D7" w:rsidRPr="00930BDF">
        <w:rPr>
          <w:i/>
          <w:iCs/>
          <w:lang w:val="es-ES"/>
        </w:rPr>
        <w:t xml:space="preserve"> y otros c. Alemania</w:t>
      </w:r>
      <w:r w:rsidR="003430D7" w:rsidRPr="009C0CB9">
        <w:rPr>
          <w:lang w:val="es-ES"/>
        </w:rPr>
        <w:t xml:space="preserve"> (CCPR/C/80/D/1138/2002), párr. 8.6; </w:t>
      </w:r>
      <w:r w:rsidR="003430D7" w:rsidRPr="00930BDF">
        <w:rPr>
          <w:i/>
          <w:iCs/>
          <w:lang w:val="es-ES"/>
        </w:rPr>
        <w:t>F.B.L. c. Costa Rica</w:t>
      </w:r>
      <w:r w:rsidR="003430D7" w:rsidRPr="009C0CB9">
        <w:rPr>
          <w:lang w:val="es-ES"/>
        </w:rPr>
        <w:t xml:space="preserve"> (CCPR/C/109/D/1612/2007), párr. </w:t>
      </w:r>
      <w:r w:rsidR="003430D7" w:rsidRPr="00AC3828">
        <w:t>4.2</w:t>
      </w:r>
      <w:r w:rsidR="003430D7">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2E2E0" w14:textId="0374152A" w:rsidR="00FE72F9" w:rsidRPr="00A04B21" w:rsidRDefault="001A5C8C" w:rsidP="001D44D0">
    <w:pPr>
      <w:pStyle w:val="Header"/>
    </w:pPr>
    <w:r w:rsidRPr="001A5C8C">
      <w:rPr>
        <w:lang w:val="es-ES"/>
      </w:rPr>
      <w:t>CCPR/C/130/D/3778/2020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EB6B2" w14:textId="175C9B3E" w:rsidR="00FE72F9" w:rsidRPr="006A31AE" w:rsidRDefault="001A5C8C">
    <w:pPr>
      <w:pStyle w:val="Header"/>
      <w:jc w:val="right"/>
    </w:pPr>
    <w:r w:rsidRPr="001A5C8C">
      <w:rPr>
        <w:lang w:val="es-ES"/>
      </w:rPr>
      <w:t>CCPR/C/130/D/3778/2020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756E4FFB"/>
    <w:multiLevelType w:val="hybridMultilevel"/>
    <w:tmpl w:val="D0F85DEE"/>
    <w:lvl w:ilvl="0" w:tplc="C2247BB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10"/>
  </w:num>
  <w:num w:numId="5">
    <w:abstractNumId w:val="11"/>
  </w:num>
  <w:num w:numId="6">
    <w:abstractNumId w:val="16"/>
  </w:num>
  <w:num w:numId="7">
    <w:abstractNumId w:val="3"/>
  </w:num>
  <w:num w:numId="8">
    <w:abstractNumId w:val="12"/>
  </w:num>
  <w:num w:numId="9">
    <w:abstractNumId w:val="2"/>
  </w:num>
  <w:num w:numId="10">
    <w:abstractNumId w:val="9"/>
  </w:num>
  <w:num w:numId="11">
    <w:abstractNumId w:val="13"/>
  </w:num>
  <w:num w:numId="12">
    <w:abstractNumId w:val="14"/>
  </w:num>
  <w:num w:numId="13">
    <w:abstractNumId w:val="5"/>
  </w:num>
  <w:num w:numId="14">
    <w:abstractNumId w:val="1"/>
  </w:num>
  <w:num w:numId="15">
    <w:abstractNumId w:val="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s-ES" w:vendorID="64" w:dllVersion="6" w:nlCheck="1" w:checkStyle="0"/>
  <w:activeWritingStyle w:appName="MSWord" w:lang="es-ES_tradnl" w:vendorID="64" w:dllVersion="6" w:nlCheck="1" w:checkStyle="0"/>
  <w:activeWritingStyle w:appName="MSWord" w:lang="es-CL" w:vendorID="64" w:dllVersion="6" w:nlCheck="1" w:checkStyle="0"/>
  <w:activeWritingStyle w:appName="MSWord" w:lang="en-GB" w:vendorID="64" w:dllVersion="6" w:nlCheck="1" w:checkStyle="1"/>
  <w:activeWritingStyle w:appName="MSWord" w:lang="fr-FR" w:vendorID="64" w:dllVersion="6"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10"/>
    <w:rsid w:val="00002271"/>
    <w:rsid w:val="0000254F"/>
    <w:rsid w:val="0000306B"/>
    <w:rsid w:val="000036BF"/>
    <w:rsid w:val="00004526"/>
    <w:rsid w:val="00004D5C"/>
    <w:rsid w:val="00004ECE"/>
    <w:rsid w:val="00005FCE"/>
    <w:rsid w:val="00006C3A"/>
    <w:rsid w:val="000135E6"/>
    <w:rsid w:val="00015197"/>
    <w:rsid w:val="00015773"/>
    <w:rsid w:val="000158F1"/>
    <w:rsid w:val="0001593A"/>
    <w:rsid w:val="00015D00"/>
    <w:rsid w:val="000170F4"/>
    <w:rsid w:val="000203E2"/>
    <w:rsid w:val="00022206"/>
    <w:rsid w:val="00022411"/>
    <w:rsid w:val="00023A6D"/>
    <w:rsid w:val="00024E11"/>
    <w:rsid w:val="00024F11"/>
    <w:rsid w:val="0002643B"/>
    <w:rsid w:val="00026686"/>
    <w:rsid w:val="00027074"/>
    <w:rsid w:val="00027475"/>
    <w:rsid w:val="00030035"/>
    <w:rsid w:val="00030866"/>
    <w:rsid w:val="000310F6"/>
    <w:rsid w:val="00031369"/>
    <w:rsid w:val="000340A1"/>
    <w:rsid w:val="000343BA"/>
    <w:rsid w:val="00034661"/>
    <w:rsid w:val="0003618D"/>
    <w:rsid w:val="00036BBD"/>
    <w:rsid w:val="00036E20"/>
    <w:rsid w:val="00037728"/>
    <w:rsid w:val="00037B5D"/>
    <w:rsid w:val="00037C77"/>
    <w:rsid w:val="0004036D"/>
    <w:rsid w:val="0004068E"/>
    <w:rsid w:val="00041B6D"/>
    <w:rsid w:val="00041BC1"/>
    <w:rsid w:val="0004254F"/>
    <w:rsid w:val="00043A06"/>
    <w:rsid w:val="00044942"/>
    <w:rsid w:val="00045ECB"/>
    <w:rsid w:val="0004688B"/>
    <w:rsid w:val="00046E92"/>
    <w:rsid w:val="00046FA7"/>
    <w:rsid w:val="000479ED"/>
    <w:rsid w:val="00047F56"/>
    <w:rsid w:val="000507DE"/>
    <w:rsid w:val="00050D82"/>
    <w:rsid w:val="00050EE3"/>
    <w:rsid w:val="00052467"/>
    <w:rsid w:val="00052A2D"/>
    <w:rsid w:val="00053608"/>
    <w:rsid w:val="00053F5C"/>
    <w:rsid w:val="00054434"/>
    <w:rsid w:val="00054A02"/>
    <w:rsid w:val="000551FF"/>
    <w:rsid w:val="000555B2"/>
    <w:rsid w:val="00056763"/>
    <w:rsid w:val="00056920"/>
    <w:rsid w:val="00060735"/>
    <w:rsid w:val="00061604"/>
    <w:rsid w:val="000618DC"/>
    <w:rsid w:val="00062C81"/>
    <w:rsid w:val="00062ED9"/>
    <w:rsid w:val="000635F3"/>
    <w:rsid w:val="0006523D"/>
    <w:rsid w:val="000654C0"/>
    <w:rsid w:val="00067419"/>
    <w:rsid w:val="00067583"/>
    <w:rsid w:val="000677A3"/>
    <w:rsid w:val="00071360"/>
    <w:rsid w:val="00072D08"/>
    <w:rsid w:val="00073A1F"/>
    <w:rsid w:val="0007420E"/>
    <w:rsid w:val="00076B5B"/>
    <w:rsid w:val="00077180"/>
    <w:rsid w:val="00082434"/>
    <w:rsid w:val="00082ED8"/>
    <w:rsid w:val="00083082"/>
    <w:rsid w:val="00083121"/>
    <w:rsid w:val="000833F3"/>
    <w:rsid w:val="0008352F"/>
    <w:rsid w:val="00083D53"/>
    <w:rsid w:val="00083E34"/>
    <w:rsid w:val="000843D2"/>
    <w:rsid w:val="00084411"/>
    <w:rsid w:val="00084A94"/>
    <w:rsid w:val="00085402"/>
    <w:rsid w:val="00086501"/>
    <w:rsid w:val="00086F42"/>
    <w:rsid w:val="0008731B"/>
    <w:rsid w:val="000874E4"/>
    <w:rsid w:val="00090AC2"/>
    <w:rsid w:val="00091BD9"/>
    <w:rsid w:val="000936D7"/>
    <w:rsid w:val="00094067"/>
    <w:rsid w:val="00094134"/>
    <w:rsid w:val="00095492"/>
    <w:rsid w:val="00095626"/>
    <w:rsid w:val="0009611E"/>
    <w:rsid w:val="0009624C"/>
    <w:rsid w:val="00096CD8"/>
    <w:rsid w:val="000A0E37"/>
    <w:rsid w:val="000A14EE"/>
    <w:rsid w:val="000A1FF3"/>
    <w:rsid w:val="000A30EE"/>
    <w:rsid w:val="000A3737"/>
    <w:rsid w:val="000A3B6E"/>
    <w:rsid w:val="000A3BC9"/>
    <w:rsid w:val="000A4862"/>
    <w:rsid w:val="000A50B4"/>
    <w:rsid w:val="000A52BE"/>
    <w:rsid w:val="000A682B"/>
    <w:rsid w:val="000A71C0"/>
    <w:rsid w:val="000A7D06"/>
    <w:rsid w:val="000B1174"/>
    <w:rsid w:val="000B1614"/>
    <w:rsid w:val="000B16D2"/>
    <w:rsid w:val="000B2C1F"/>
    <w:rsid w:val="000B323F"/>
    <w:rsid w:val="000B38F4"/>
    <w:rsid w:val="000B474D"/>
    <w:rsid w:val="000B4BF6"/>
    <w:rsid w:val="000B5F9D"/>
    <w:rsid w:val="000B647D"/>
    <w:rsid w:val="000B75D0"/>
    <w:rsid w:val="000B778C"/>
    <w:rsid w:val="000B7907"/>
    <w:rsid w:val="000B7964"/>
    <w:rsid w:val="000C13C1"/>
    <w:rsid w:val="000C1866"/>
    <w:rsid w:val="000C1D18"/>
    <w:rsid w:val="000C2124"/>
    <w:rsid w:val="000C3719"/>
    <w:rsid w:val="000C394E"/>
    <w:rsid w:val="000C3BA7"/>
    <w:rsid w:val="000C5133"/>
    <w:rsid w:val="000C5B18"/>
    <w:rsid w:val="000C7201"/>
    <w:rsid w:val="000C7386"/>
    <w:rsid w:val="000C7E18"/>
    <w:rsid w:val="000D000F"/>
    <w:rsid w:val="000D0579"/>
    <w:rsid w:val="000D083B"/>
    <w:rsid w:val="000D0B21"/>
    <w:rsid w:val="000D0F37"/>
    <w:rsid w:val="000D1D2D"/>
    <w:rsid w:val="000D2821"/>
    <w:rsid w:val="000D4140"/>
    <w:rsid w:val="000D49F2"/>
    <w:rsid w:val="000D61F9"/>
    <w:rsid w:val="000D6317"/>
    <w:rsid w:val="000D762C"/>
    <w:rsid w:val="000D7D92"/>
    <w:rsid w:val="000E02A6"/>
    <w:rsid w:val="000E0B78"/>
    <w:rsid w:val="000E299F"/>
    <w:rsid w:val="000E4359"/>
    <w:rsid w:val="000E48C0"/>
    <w:rsid w:val="000E6CE1"/>
    <w:rsid w:val="000E6FF4"/>
    <w:rsid w:val="000F00DE"/>
    <w:rsid w:val="000F0805"/>
    <w:rsid w:val="000F197F"/>
    <w:rsid w:val="000F1ED3"/>
    <w:rsid w:val="000F230E"/>
    <w:rsid w:val="000F2586"/>
    <w:rsid w:val="000F2EE3"/>
    <w:rsid w:val="000F494A"/>
    <w:rsid w:val="000F6642"/>
    <w:rsid w:val="0010350F"/>
    <w:rsid w:val="00103AF8"/>
    <w:rsid w:val="00103F7B"/>
    <w:rsid w:val="00104ECA"/>
    <w:rsid w:val="00105030"/>
    <w:rsid w:val="00105D56"/>
    <w:rsid w:val="00106B51"/>
    <w:rsid w:val="00111C57"/>
    <w:rsid w:val="00111E9E"/>
    <w:rsid w:val="00112EB1"/>
    <w:rsid w:val="00113D11"/>
    <w:rsid w:val="00114E1C"/>
    <w:rsid w:val="00114ED4"/>
    <w:rsid w:val="00115217"/>
    <w:rsid w:val="001156B8"/>
    <w:rsid w:val="0011738F"/>
    <w:rsid w:val="00120D47"/>
    <w:rsid w:val="00121264"/>
    <w:rsid w:val="00122732"/>
    <w:rsid w:val="00122A15"/>
    <w:rsid w:val="00125BBA"/>
    <w:rsid w:val="00130920"/>
    <w:rsid w:val="00131161"/>
    <w:rsid w:val="0013150C"/>
    <w:rsid w:val="001317C8"/>
    <w:rsid w:val="00131D7A"/>
    <w:rsid w:val="0013321E"/>
    <w:rsid w:val="0013341D"/>
    <w:rsid w:val="0013481A"/>
    <w:rsid w:val="00134E28"/>
    <w:rsid w:val="00134E3D"/>
    <w:rsid w:val="0013514C"/>
    <w:rsid w:val="0013691F"/>
    <w:rsid w:val="00136C70"/>
    <w:rsid w:val="00143089"/>
    <w:rsid w:val="0014371C"/>
    <w:rsid w:val="00143F50"/>
    <w:rsid w:val="00145C89"/>
    <w:rsid w:val="00146939"/>
    <w:rsid w:val="00146AA2"/>
    <w:rsid w:val="001479EC"/>
    <w:rsid w:val="00151328"/>
    <w:rsid w:val="00151691"/>
    <w:rsid w:val="0015195A"/>
    <w:rsid w:val="00152860"/>
    <w:rsid w:val="00152CDA"/>
    <w:rsid w:val="0015340D"/>
    <w:rsid w:val="00154DFB"/>
    <w:rsid w:val="001552BB"/>
    <w:rsid w:val="00155625"/>
    <w:rsid w:val="00155A2C"/>
    <w:rsid w:val="001571C0"/>
    <w:rsid w:val="00157981"/>
    <w:rsid w:val="001600EF"/>
    <w:rsid w:val="00160545"/>
    <w:rsid w:val="00160BF2"/>
    <w:rsid w:val="00161E2F"/>
    <w:rsid w:val="001635DE"/>
    <w:rsid w:val="001643AE"/>
    <w:rsid w:val="00164A89"/>
    <w:rsid w:val="00164A8E"/>
    <w:rsid w:val="00165158"/>
    <w:rsid w:val="00165C15"/>
    <w:rsid w:val="00166F81"/>
    <w:rsid w:val="00167744"/>
    <w:rsid w:val="00173893"/>
    <w:rsid w:val="001738EB"/>
    <w:rsid w:val="001744DF"/>
    <w:rsid w:val="001756EE"/>
    <w:rsid w:val="0017670F"/>
    <w:rsid w:val="00180E8B"/>
    <w:rsid w:val="00181540"/>
    <w:rsid w:val="001817FC"/>
    <w:rsid w:val="001821CE"/>
    <w:rsid w:val="0018340C"/>
    <w:rsid w:val="00183525"/>
    <w:rsid w:val="00183B06"/>
    <w:rsid w:val="00184B3C"/>
    <w:rsid w:val="00185881"/>
    <w:rsid w:val="001863C0"/>
    <w:rsid w:val="001864B7"/>
    <w:rsid w:val="00186750"/>
    <w:rsid w:val="00191B6F"/>
    <w:rsid w:val="00195BDB"/>
    <w:rsid w:val="001966FD"/>
    <w:rsid w:val="001975AA"/>
    <w:rsid w:val="001979B2"/>
    <w:rsid w:val="00197E27"/>
    <w:rsid w:val="001A08B5"/>
    <w:rsid w:val="001A243A"/>
    <w:rsid w:val="001A418A"/>
    <w:rsid w:val="001A5C8C"/>
    <w:rsid w:val="001A5D77"/>
    <w:rsid w:val="001A7E92"/>
    <w:rsid w:val="001B311D"/>
    <w:rsid w:val="001B32C0"/>
    <w:rsid w:val="001B33C0"/>
    <w:rsid w:val="001B3923"/>
    <w:rsid w:val="001B4E60"/>
    <w:rsid w:val="001B534F"/>
    <w:rsid w:val="001C0193"/>
    <w:rsid w:val="001C27E6"/>
    <w:rsid w:val="001C30BE"/>
    <w:rsid w:val="001C41EA"/>
    <w:rsid w:val="001C51D0"/>
    <w:rsid w:val="001C57DA"/>
    <w:rsid w:val="001C6E04"/>
    <w:rsid w:val="001C7517"/>
    <w:rsid w:val="001C7C93"/>
    <w:rsid w:val="001D1A1C"/>
    <w:rsid w:val="001D2E12"/>
    <w:rsid w:val="001D3697"/>
    <w:rsid w:val="001D44D0"/>
    <w:rsid w:val="001D5882"/>
    <w:rsid w:val="001D6481"/>
    <w:rsid w:val="001D78F7"/>
    <w:rsid w:val="001D7EB5"/>
    <w:rsid w:val="001E08F3"/>
    <w:rsid w:val="001E11A3"/>
    <w:rsid w:val="001E1548"/>
    <w:rsid w:val="001E1CB7"/>
    <w:rsid w:val="001E247B"/>
    <w:rsid w:val="001E2F6D"/>
    <w:rsid w:val="001E33A0"/>
    <w:rsid w:val="001E3C98"/>
    <w:rsid w:val="001E3DB9"/>
    <w:rsid w:val="001E431E"/>
    <w:rsid w:val="001E64AE"/>
    <w:rsid w:val="001E6F79"/>
    <w:rsid w:val="001E791F"/>
    <w:rsid w:val="001F02D8"/>
    <w:rsid w:val="001F0654"/>
    <w:rsid w:val="001F2ACE"/>
    <w:rsid w:val="001F2D78"/>
    <w:rsid w:val="001F4916"/>
    <w:rsid w:val="001F545C"/>
    <w:rsid w:val="001F5AEF"/>
    <w:rsid w:val="001F67D3"/>
    <w:rsid w:val="001F7320"/>
    <w:rsid w:val="002013BC"/>
    <w:rsid w:val="0020202B"/>
    <w:rsid w:val="0020211A"/>
    <w:rsid w:val="00204AC2"/>
    <w:rsid w:val="00204AD3"/>
    <w:rsid w:val="00204DBF"/>
    <w:rsid w:val="00205759"/>
    <w:rsid w:val="00207CDF"/>
    <w:rsid w:val="00212046"/>
    <w:rsid w:val="00212BBF"/>
    <w:rsid w:val="00213E4C"/>
    <w:rsid w:val="00214749"/>
    <w:rsid w:val="00215B68"/>
    <w:rsid w:val="002164E8"/>
    <w:rsid w:val="002175CD"/>
    <w:rsid w:val="00217F27"/>
    <w:rsid w:val="00220097"/>
    <w:rsid w:val="00220A9F"/>
    <w:rsid w:val="002218BD"/>
    <w:rsid w:val="00221E6D"/>
    <w:rsid w:val="0022201C"/>
    <w:rsid w:val="00222022"/>
    <w:rsid w:val="00222940"/>
    <w:rsid w:val="00223101"/>
    <w:rsid w:val="00223288"/>
    <w:rsid w:val="00224302"/>
    <w:rsid w:val="002254B7"/>
    <w:rsid w:val="00225759"/>
    <w:rsid w:val="0022582E"/>
    <w:rsid w:val="0022728F"/>
    <w:rsid w:val="00227400"/>
    <w:rsid w:val="00230FAB"/>
    <w:rsid w:val="002328E7"/>
    <w:rsid w:val="00232D7A"/>
    <w:rsid w:val="00232F71"/>
    <w:rsid w:val="0023402C"/>
    <w:rsid w:val="0023440A"/>
    <w:rsid w:val="00235D72"/>
    <w:rsid w:val="00236D6A"/>
    <w:rsid w:val="00236F68"/>
    <w:rsid w:val="00237227"/>
    <w:rsid w:val="0023759C"/>
    <w:rsid w:val="00237698"/>
    <w:rsid w:val="002400D7"/>
    <w:rsid w:val="002407AA"/>
    <w:rsid w:val="002409E3"/>
    <w:rsid w:val="00240AC6"/>
    <w:rsid w:val="00241D18"/>
    <w:rsid w:val="002427FB"/>
    <w:rsid w:val="00243863"/>
    <w:rsid w:val="00243CCD"/>
    <w:rsid w:val="00244617"/>
    <w:rsid w:val="00244BE5"/>
    <w:rsid w:val="002464B8"/>
    <w:rsid w:val="00246B78"/>
    <w:rsid w:val="00246B94"/>
    <w:rsid w:val="00247D3F"/>
    <w:rsid w:val="00247E2C"/>
    <w:rsid w:val="002522E7"/>
    <w:rsid w:val="00253219"/>
    <w:rsid w:val="00255DB6"/>
    <w:rsid w:val="00255F5F"/>
    <w:rsid w:val="0025715B"/>
    <w:rsid w:val="00257839"/>
    <w:rsid w:val="00261E8A"/>
    <w:rsid w:val="0026270D"/>
    <w:rsid w:val="00263ED6"/>
    <w:rsid w:val="00264B4E"/>
    <w:rsid w:val="00266C07"/>
    <w:rsid w:val="00266D4F"/>
    <w:rsid w:val="00267CEC"/>
    <w:rsid w:val="002706D2"/>
    <w:rsid w:val="002727F2"/>
    <w:rsid w:val="002738B9"/>
    <w:rsid w:val="00274B98"/>
    <w:rsid w:val="00274CEB"/>
    <w:rsid w:val="002757E2"/>
    <w:rsid w:val="0027669E"/>
    <w:rsid w:val="0027707C"/>
    <w:rsid w:val="00277892"/>
    <w:rsid w:val="002778A0"/>
    <w:rsid w:val="002806A4"/>
    <w:rsid w:val="00280BCD"/>
    <w:rsid w:val="00281935"/>
    <w:rsid w:val="00281DAD"/>
    <w:rsid w:val="00282A84"/>
    <w:rsid w:val="00283A73"/>
    <w:rsid w:val="00284A30"/>
    <w:rsid w:val="0028528B"/>
    <w:rsid w:val="002867E1"/>
    <w:rsid w:val="00286CF7"/>
    <w:rsid w:val="00287032"/>
    <w:rsid w:val="00287D7E"/>
    <w:rsid w:val="00291F41"/>
    <w:rsid w:val="0029300F"/>
    <w:rsid w:val="002930EA"/>
    <w:rsid w:val="00293142"/>
    <w:rsid w:val="0029355F"/>
    <w:rsid w:val="0029360D"/>
    <w:rsid w:val="00293ABB"/>
    <w:rsid w:val="00294CBE"/>
    <w:rsid w:val="00296E9B"/>
    <w:rsid w:val="002A0722"/>
    <w:rsid w:val="002A1545"/>
    <w:rsid w:val="002A1771"/>
    <w:rsid w:val="002A18E3"/>
    <w:rsid w:val="002A202E"/>
    <w:rsid w:val="002A24C4"/>
    <w:rsid w:val="002A29E6"/>
    <w:rsid w:val="002A33EE"/>
    <w:rsid w:val="002A3BC3"/>
    <w:rsid w:val="002A3F7D"/>
    <w:rsid w:val="002A5D70"/>
    <w:rsid w:val="002A6025"/>
    <w:rsid w:val="002A6BE5"/>
    <w:rsid w:val="002A7DB2"/>
    <w:rsid w:val="002B1FCE"/>
    <w:rsid w:val="002B221F"/>
    <w:rsid w:val="002B22F5"/>
    <w:rsid w:val="002B29EB"/>
    <w:rsid w:val="002B2AE4"/>
    <w:rsid w:val="002B385F"/>
    <w:rsid w:val="002B4A18"/>
    <w:rsid w:val="002B4C49"/>
    <w:rsid w:val="002B5512"/>
    <w:rsid w:val="002B5B42"/>
    <w:rsid w:val="002B64B8"/>
    <w:rsid w:val="002B6DAC"/>
    <w:rsid w:val="002B7404"/>
    <w:rsid w:val="002C07EA"/>
    <w:rsid w:val="002C0C02"/>
    <w:rsid w:val="002C0CF1"/>
    <w:rsid w:val="002C1268"/>
    <w:rsid w:val="002C2878"/>
    <w:rsid w:val="002C2B0F"/>
    <w:rsid w:val="002C34EB"/>
    <w:rsid w:val="002C391B"/>
    <w:rsid w:val="002C3E7D"/>
    <w:rsid w:val="002C4E16"/>
    <w:rsid w:val="002C7660"/>
    <w:rsid w:val="002D008E"/>
    <w:rsid w:val="002D0981"/>
    <w:rsid w:val="002D11B6"/>
    <w:rsid w:val="002D17D0"/>
    <w:rsid w:val="002D1C16"/>
    <w:rsid w:val="002D2963"/>
    <w:rsid w:val="002D39FB"/>
    <w:rsid w:val="002D41EA"/>
    <w:rsid w:val="002D4388"/>
    <w:rsid w:val="002D448A"/>
    <w:rsid w:val="002D491F"/>
    <w:rsid w:val="002D67BA"/>
    <w:rsid w:val="002D6C53"/>
    <w:rsid w:val="002D6D54"/>
    <w:rsid w:val="002D7B0B"/>
    <w:rsid w:val="002E2239"/>
    <w:rsid w:val="002E3B5C"/>
    <w:rsid w:val="002E4871"/>
    <w:rsid w:val="002E49F5"/>
    <w:rsid w:val="002E52FD"/>
    <w:rsid w:val="002E5F86"/>
    <w:rsid w:val="002E6222"/>
    <w:rsid w:val="002E7B24"/>
    <w:rsid w:val="002F22EA"/>
    <w:rsid w:val="002F2DBD"/>
    <w:rsid w:val="002F36F8"/>
    <w:rsid w:val="002F43EF"/>
    <w:rsid w:val="002F4D5B"/>
    <w:rsid w:val="002F5595"/>
    <w:rsid w:val="002F6258"/>
    <w:rsid w:val="002F6692"/>
    <w:rsid w:val="002F7177"/>
    <w:rsid w:val="002F7A5C"/>
    <w:rsid w:val="00301D01"/>
    <w:rsid w:val="003025C3"/>
    <w:rsid w:val="00305318"/>
    <w:rsid w:val="00305CD5"/>
    <w:rsid w:val="00306798"/>
    <w:rsid w:val="00310F1F"/>
    <w:rsid w:val="00311334"/>
    <w:rsid w:val="00311B38"/>
    <w:rsid w:val="00314064"/>
    <w:rsid w:val="00314281"/>
    <w:rsid w:val="0031532E"/>
    <w:rsid w:val="003179DB"/>
    <w:rsid w:val="00320405"/>
    <w:rsid w:val="00320E04"/>
    <w:rsid w:val="003215D9"/>
    <w:rsid w:val="00321656"/>
    <w:rsid w:val="003223E4"/>
    <w:rsid w:val="00322776"/>
    <w:rsid w:val="0032304E"/>
    <w:rsid w:val="003234BD"/>
    <w:rsid w:val="00323538"/>
    <w:rsid w:val="00323997"/>
    <w:rsid w:val="0032423D"/>
    <w:rsid w:val="00324B11"/>
    <w:rsid w:val="00326010"/>
    <w:rsid w:val="0032663F"/>
    <w:rsid w:val="0033034B"/>
    <w:rsid w:val="00333621"/>
    <w:rsid w:val="00333887"/>
    <w:rsid w:val="00334514"/>
    <w:rsid w:val="00334F6A"/>
    <w:rsid w:val="0033536E"/>
    <w:rsid w:val="003365A2"/>
    <w:rsid w:val="003411C7"/>
    <w:rsid w:val="003411F5"/>
    <w:rsid w:val="003415E4"/>
    <w:rsid w:val="00341A3B"/>
    <w:rsid w:val="00342AC8"/>
    <w:rsid w:val="003430D7"/>
    <w:rsid w:val="003437ED"/>
    <w:rsid w:val="00343B01"/>
    <w:rsid w:val="00345613"/>
    <w:rsid w:val="00345EAF"/>
    <w:rsid w:val="00345EB1"/>
    <w:rsid w:val="0034706D"/>
    <w:rsid w:val="00350884"/>
    <w:rsid w:val="00351412"/>
    <w:rsid w:val="00351B2C"/>
    <w:rsid w:val="00351C84"/>
    <w:rsid w:val="00351D23"/>
    <w:rsid w:val="00352470"/>
    <w:rsid w:val="0035264A"/>
    <w:rsid w:val="00352EAB"/>
    <w:rsid w:val="003531AA"/>
    <w:rsid w:val="00354D3E"/>
    <w:rsid w:val="00355CD3"/>
    <w:rsid w:val="00355CF6"/>
    <w:rsid w:val="00356640"/>
    <w:rsid w:val="0035697E"/>
    <w:rsid w:val="00357239"/>
    <w:rsid w:val="00357F2E"/>
    <w:rsid w:val="003600FB"/>
    <w:rsid w:val="003614FA"/>
    <w:rsid w:val="00361C28"/>
    <w:rsid w:val="00363D65"/>
    <w:rsid w:val="00365101"/>
    <w:rsid w:val="0036554A"/>
    <w:rsid w:val="00367C74"/>
    <w:rsid w:val="00370E47"/>
    <w:rsid w:val="0037244C"/>
    <w:rsid w:val="003724BB"/>
    <w:rsid w:val="0037262F"/>
    <w:rsid w:val="00373142"/>
    <w:rsid w:val="0037316D"/>
    <w:rsid w:val="00373440"/>
    <w:rsid w:val="0037588E"/>
    <w:rsid w:val="00375BE8"/>
    <w:rsid w:val="00380A48"/>
    <w:rsid w:val="00381E58"/>
    <w:rsid w:val="0038266B"/>
    <w:rsid w:val="00382C55"/>
    <w:rsid w:val="00384102"/>
    <w:rsid w:val="003844CA"/>
    <w:rsid w:val="0038537E"/>
    <w:rsid w:val="00387E40"/>
    <w:rsid w:val="00390A76"/>
    <w:rsid w:val="00392835"/>
    <w:rsid w:val="0039651E"/>
    <w:rsid w:val="00396DCA"/>
    <w:rsid w:val="003978FB"/>
    <w:rsid w:val="00397939"/>
    <w:rsid w:val="00397D2B"/>
    <w:rsid w:val="00397DA6"/>
    <w:rsid w:val="003A0766"/>
    <w:rsid w:val="003A0D01"/>
    <w:rsid w:val="003A2765"/>
    <w:rsid w:val="003A2954"/>
    <w:rsid w:val="003A2CFF"/>
    <w:rsid w:val="003A3F12"/>
    <w:rsid w:val="003A46B9"/>
    <w:rsid w:val="003A61E2"/>
    <w:rsid w:val="003A64D0"/>
    <w:rsid w:val="003A6789"/>
    <w:rsid w:val="003A7B16"/>
    <w:rsid w:val="003B11E2"/>
    <w:rsid w:val="003B2341"/>
    <w:rsid w:val="003B277A"/>
    <w:rsid w:val="003B4550"/>
    <w:rsid w:val="003B53D9"/>
    <w:rsid w:val="003B5482"/>
    <w:rsid w:val="003B5FB1"/>
    <w:rsid w:val="003B6110"/>
    <w:rsid w:val="003B67E2"/>
    <w:rsid w:val="003B6DFD"/>
    <w:rsid w:val="003C024E"/>
    <w:rsid w:val="003C0347"/>
    <w:rsid w:val="003C2160"/>
    <w:rsid w:val="003C28F3"/>
    <w:rsid w:val="003C33AF"/>
    <w:rsid w:val="003C3565"/>
    <w:rsid w:val="003C36AB"/>
    <w:rsid w:val="003C44DF"/>
    <w:rsid w:val="003C6439"/>
    <w:rsid w:val="003C729C"/>
    <w:rsid w:val="003D2BC7"/>
    <w:rsid w:val="003D2E5D"/>
    <w:rsid w:val="003D3045"/>
    <w:rsid w:val="003D3CA4"/>
    <w:rsid w:val="003D56D0"/>
    <w:rsid w:val="003D5F55"/>
    <w:rsid w:val="003D63E7"/>
    <w:rsid w:val="003D6F7F"/>
    <w:rsid w:val="003D7B23"/>
    <w:rsid w:val="003D7B34"/>
    <w:rsid w:val="003E1E5A"/>
    <w:rsid w:val="003E23E5"/>
    <w:rsid w:val="003E2627"/>
    <w:rsid w:val="003E3403"/>
    <w:rsid w:val="003E3CCD"/>
    <w:rsid w:val="003E3F3E"/>
    <w:rsid w:val="003E5477"/>
    <w:rsid w:val="003E558C"/>
    <w:rsid w:val="003E606A"/>
    <w:rsid w:val="003F0D72"/>
    <w:rsid w:val="003F15FE"/>
    <w:rsid w:val="003F2157"/>
    <w:rsid w:val="003F3A4F"/>
    <w:rsid w:val="003F454E"/>
    <w:rsid w:val="003F5B99"/>
    <w:rsid w:val="003F78DD"/>
    <w:rsid w:val="004006BF"/>
    <w:rsid w:val="00401F19"/>
    <w:rsid w:val="004062F2"/>
    <w:rsid w:val="00406838"/>
    <w:rsid w:val="00406C7E"/>
    <w:rsid w:val="0041183E"/>
    <w:rsid w:val="00411F78"/>
    <w:rsid w:val="00416346"/>
    <w:rsid w:val="00416642"/>
    <w:rsid w:val="00417532"/>
    <w:rsid w:val="00420F17"/>
    <w:rsid w:val="00422114"/>
    <w:rsid w:val="00423EFD"/>
    <w:rsid w:val="004256B8"/>
    <w:rsid w:val="004266B3"/>
    <w:rsid w:val="004268ED"/>
    <w:rsid w:val="00427462"/>
    <w:rsid w:val="004301BC"/>
    <w:rsid w:val="00431785"/>
    <w:rsid w:val="00432042"/>
    <w:rsid w:val="00433591"/>
    <w:rsid w:val="00434197"/>
    <w:rsid w:val="0043420A"/>
    <w:rsid w:val="004354F0"/>
    <w:rsid w:val="00435B83"/>
    <w:rsid w:val="0043793E"/>
    <w:rsid w:val="00437D7F"/>
    <w:rsid w:val="00440731"/>
    <w:rsid w:val="004429EE"/>
    <w:rsid w:val="00442BF6"/>
    <w:rsid w:val="00442F95"/>
    <w:rsid w:val="004446B8"/>
    <w:rsid w:val="004454A7"/>
    <w:rsid w:val="0044657A"/>
    <w:rsid w:val="00447255"/>
    <w:rsid w:val="00447272"/>
    <w:rsid w:val="00447964"/>
    <w:rsid w:val="00451272"/>
    <w:rsid w:val="004519C2"/>
    <w:rsid w:val="00451D2E"/>
    <w:rsid w:val="0045374A"/>
    <w:rsid w:val="00453D9E"/>
    <w:rsid w:val="00454BC8"/>
    <w:rsid w:val="0045548E"/>
    <w:rsid w:val="00456116"/>
    <w:rsid w:val="00456B7F"/>
    <w:rsid w:val="00456D88"/>
    <w:rsid w:val="00456EE4"/>
    <w:rsid w:val="0045753C"/>
    <w:rsid w:val="0045767C"/>
    <w:rsid w:val="00457D6E"/>
    <w:rsid w:val="00461253"/>
    <w:rsid w:val="0046154A"/>
    <w:rsid w:val="00461F4E"/>
    <w:rsid w:val="004633C0"/>
    <w:rsid w:val="0046353A"/>
    <w:rsid w:val="00464EEE"/>
    <w:rsid w:val="00465B54"/>
    <w:rsid w:val="00466F5A"/>
    <w:rsid w:val="00466F8D"/>
    <w:rsid w:val="00471DF1"/>
    <w:rsid w:val="00472FDA"/>
    <w:rsid w:val="00473857"/>
    <w:rsid w:val="00473D1B"/>
    <w:rsid w:val="004749B7"/>
    <w:rsid w:val="00474E77"/>
    <w:rsid w:val="004751FA"/>
    <w:rsid w:val="00475554"/>
    <w:rsid w:val="0047586F"/>
    <w:rsid w:val="00476694"/>
    <w:rsid w:val="00477079"/>
    <w:rsid w:val="0047779E"/>
    <w:rsid w:val="00477B73"/>
    <w:rsid w:val="00480930"/>
    <w:rsid w:val="00481246"/>
    <w:rsid w:val="004818BD"/>
    <w:rsid w:val="00482220"/>
    <w:rsid w:val="00482F86"/>
    <w:rsid w:val="00483765"/>
    <w:rsid w:val="00485A8B"/>
    <w:rsid w:val="0048621D"/>
    <w:rsid w:val="004905FA"/>
    <w:rsid w:val="00491FA9"/>
    <w:rsid w:val="004928D0"/>
    <w:rsid w:val="00494A57"/>
    <w:rsid w:val="00494BD6"/>
    <w:rsid w:val="00495777"/>
    <w:rsid w:val="00495AF0"/>
    <w:rsid w:val="00495C41"/>
    <w:rsid w:val="004A464C"/>
    <w:rsid w:val="004A4694"/>
    <w:rsid w:val="004A5F1A"/>
    <w:rsid w:val="004A72F6"/>
    <w:rsid w:val="004B0670"/>
    <w:rsid w:val="004B068F"/>
    <w:rsid w:val="004B2419"/>
    <w:rsid w:val="004B2DB6"/>
    <w:rsid w:val="004B3163"/>
    <w:rsid w:val="004B3C66"/>
    <w:rsid w:val="004B48F9"/>
    <w:rsid w:val="004B5348"/>
    <w:rsid w:val="004B762B"/>
    <w:rsid w:val="004B7F9B"/>
    <w:rsid w:val="004C0FEE"/>
    <w:rsid w:val="004C19E4"/>
    <w:rsid w:val="004C1CEE"/>
    <w:rsid w:val="004C245F"/>
    <w:rsid w:val="004C2B32"/>
    <w:rsid w:val="004C44A8"/>
    <w:rsid w:val="004C6011"/>
    <w:rsid w:val="004C683C"/>
    <w:rsid w:val="004C69FD"/>
    <w:rsid w:val="004C72AA"/>
    <w:rsid w:val="004D0EC1"/>
    <w:rsid w:val="004D2527"/>
    <w:rsid w:val="004D2AAA"/>
    <w:rsid w:val="004D4459"/>
    <w:rsid w:val="004D4491"/>
    <w:rsid w:val="004D4FC8"/>
    <w:rsid w:val="004D54B2"/>
    <w:rsid w:val="004D5616"/>
    <w:rsid w:val="004D574F"/>
    <w:rsid w:val="004D6638"/>
    <w:rsid w:val="004D6973"/>
    <w:rsid w:val="004E0EF7"/>
    <w:rsid w:val="004E3997"/>
    <w:rsid w:val="004E4E74"/>
    <w:rsid w:val="004E5D2C"/>
    <w:rsid w:val="004E61B8"/>
    <w:rsid w:val="004E6260"/>
    <w:rsid w:val="004E7359"/>
    <w:rsid w:val="004E7E8E"/>
    <w:rsid w:val="004E7EC0"/>
    <w:rsid w:val="004F3BB1"/>
    <w:rsid w:val="004F6222"/>
    <w:rsid w:val="004F6D9C"/>
    <w:rsid w:val="004F7553"/>
    <w:rsid w:val="0050064D"/>
    <w:rsid w:val="005024B7"/>
    <w:rsid w:val="00504096"/>
    <w:rsid w:val="005042C2"/>
    <w:rsid w:val="00505878"/>
    <w:rsid w:val="00506A79"/>
    <w:rsid w:val="005107D4"/>
    <w:rsid w:val="00512184"/>
    <w:rsid w:val="00512402"/>
    <w:rsid w:val="0051364F"/>
    <w:rsid w:val="00513967"/>
    <w:rsid w:val="00513E4D"/>
    <w:rsid w:val="0051548F"/>
    <w:rsid w:val="005167BD"/>
    <w:rsid w:val="00516AF6"/>
    <w:rsid w:val="00516E3F"/>
    <w:rsid w:val="00516ECB"/>
    <w:rsid w:val="00516F38"/>
    <w:rsid w:val="00517E80"/>
    <w:rsid w:val="00522103"/>
    <w:rsid w:val="00522797"/>
    <w:rsid w:val="00524109"/>
    <w:rsid w:val="00524EB0"/>
    <w:rsid w:val="00524F44"/>
    <w:rsid w:val="0052533A"/>
    <w:rsid w:val="00525346"/>
    <w:rsid w:val="00527E99"/>
    <w:rsid w:val="00530111"/>
    <w:rsid w:val="0053047A"/>
    <w:rsid w:val="00531E3C"/>
    <w:rsid w:val="00532490"/>
    <w:rsid w:val="0053263C"/>
    <w:rsid w:val="0053333B"/>
    <w:rsid w:val="00534DBE"/>
    <w:rsid w:val="00534DDB"/>
    <w:rsid w:val="005352B0"/>
    <w:rsid w:val="0053583A"/>
    <w:rsid w:val="005362B0"/>
    <w:rsid w:val="00537CD5"/>
    <w:rsid w:val="00541FBD"/>
    <w:rsid w:val="00544C0D"/>
    <w:rsid w:val="00545921"/>
    <w:rsid w:val="00546287"/>
    <w:rsid w:val="00546706"/>
    <w:rsid w:val="00550041"/>
    <w:rsid w:val="00551B74"/>
    <w:rsid w:val="00551BF2"/>
    <w:rsid w:val="00551DDC"/>
    <w:rsid w:val="00552046"/>
    <w:rsid w:val="005529CE"/>
    <w:rsid w:val="005533E4"/>
    <w:rsid w:val="00553D42"/>
    <w:rsid w:val="005544D0"/>
    <w:rsid w:val="00554A13"/>
    <w:rsid w:val="005553FD"/>
    <w:rsid w:val="005558D8"/>
    <w:rsid w:val="00557209"/>
    <w:rsid w:val="0055773C"/>
    <w:rsid w:val="00557D3A"/>
    <w:rsid w:val="00557E55"/>
    <w:rsid w:val="005610D0"/>
    <w:rsid w:val="005641AE"/>
    <w:rsid w:val="005645D6"/>
    <w:rsid w:val="005645E1"/>
    <w:rsid w:val="0056578B"/>
    <w:rsid w:val="00566AAF"/>
    <w:rsid w:val="00566AD8"/>
    <w:rsid w:val="00570949"/>
    <w:rsid w:val="00570CC0"/>
    <w:rsid w:val="00570D81"/>
    <w:rsid w:val="00571006"/>
    <w:rsid w:val="005711DA"/>
    <w:rsid w:val="00571FB5"/>
    <w:rsid w:val="00574B4D"/>
    <w:rsid w:val="00576B0C"/>
    <w:rsid w:val="00576F95"/>
    <w:rsid w:val="0057723A"/>
    <w:rsid w:val="00577F86"/>
    <w:rsid w:val="00577FA2"/>
    <w:rsid w:val="00581E59"/>
    <w:rsid w:val="00581F47"/>
    <w:rsid w:val="00583644"/>
    <w:rsid w:val="0058536E"/>
    <w:rsid w:val="0058640A"/>
    <w:rsid w:val="005872A1"/>
    <w:rsid w:val="00590202"/>
    <w:rsid w:val="00590CE4"/>
    <w:rsid w:val="005913B7"/>
    <w:rsid w:val="00591466"/>
    <w:rsid w:val="00592DA8"/>
    <w:rsid w:val="00592DB5"/>
    <w:rsid w:val="00592E04"/>
    <w:rsid w:val="00593543"/>
    <w:rsid w:val="00594065"/>
    <w:rsid w:val="00597A50"/>
    <w:rsid w:val="005A0BD7"/>
    <w:rsid w:val="005A1190"/>
    <w:rsid w:val="005A1E5F"/>
    <w:rsid w:val="005A2A77"/>
    <w:rsid w:val="005A41A9"/>
    <w:rsid w:val="005A4C36"/>
    <w:rsid w:val="005A5FFA"/>
    <w:rsid w:val="005A7D8A"/>
    <w:rsid w:val="005B02AC"/>
    <w:rsid w:val="005B049F"/>
    <w:rsid w:val="005B09EF"/>
    <w:rsid w:val="005B3527"/>
    <w:rsid w:val="005B3D70"/>
    <w:rsid w:val="005B43C1"/>
    <w:rsid w:val="005B499B"/>
    <w:rsid w:val="005B4D77"/>
    <w:rsid w:val="005B55EA"/>
    <w:rsid w:val="005B5AD0"/>
    <w:rsid w:val="005B632D"/>
    <w:rsid w:val="005B6330"/>
    <w:rsid w:val="005B68B6"/>
    <w:rsid w:val="005C0686"/>
    <w:rsid w:val="005C0D1E"/>
    <w:rsid w:val="005C1C90"/>
    <w:rsid w:val="005C2EE5"/>
    <w:rsid w:val="005C3BD3"/>
    <w:rsid w:val="005C41B2"/>
    <w:rsid w:val="005C427B"/>
    <w:rsid w:val="005C60CE"/>
    <w:rsid w:val="005C6535"/>
    <w:rsid w:val="005C67EE"/>
    <w:rsid w:val="005C6C4F"/>
    <w:rsid w:val="005C7536"/>
    <w:rsid w:val="005C7965"/>
    <w:rsid w:val="005C7AD0"/>
    <w:rsid w:val="005D1A47"/>
    <w:rsid w:val="005D1BED"/>
    <w:rsid w:val="005D1CAD"/>
    <w:rsid w:val="005D3296"/>
    <w:rsid w:val="005D4154"/>
    <w:rsid w:val="005D5170"/>
    <w:rsid w:val="005D7538"/>
    <w:rsid w:val="005D7B45"/>
    <w:rsid w:val="005E00E7"/>
    <w:rsid w:val="005E07F1"/>
    <w:rsid w:val="005E0DB7"/>
    <w:rsid w:val="005E15C0"/>
    <w:rsid w:val="005E1725"/>
    <w:rsid w:val="005E2556"/>
    <w:rsid w:val="005E4EEE"/>
    <w:rsid w:val="005E6988"/>
    <w:rsid w:val="005F0476"/>
    <w:rsid w:val="005F1607"/>
    <w:rsid w:val="005F3850"/>
    <w:rsid w:val="005F4AAD"/>
    <w:rsid w:val="005F4D28"/>
    <w:rsid w:val="005F645E"/>
    <w:rsid w:val="005F68F5"/>
    <w:rsid w:val="005F697D"/>
    <w:rsid w:val="00600308"/>
    <w:rsid w:val="00600A22"/>
    <w:rsid w:val="006011B7"/>
    <w:rsid w:val="00601A2C"/>
    <w:rsid w:val="00601BB4"/>
    <w:rsid w:val="00602E2E"/>
    <w:rsid w:val="00604C1C"/>
    <w:rsid w:val="00604E90"/>
    <w:rsid w:val="006052AE"/>
    <w:rsid w:val="006066C0"/>
    <w:rsid w:val="00607020"/>
    <w:rsid w:val="0060703C"/>
    <w:rsid w:val="00607F71"/>
    <w:rsid w:val="00610DB5"/>
    <w:rsid w:val="00613374"/>
    <w:rsid w:val="006148B0"/>
    <w:rsid w:val="00614C8E"/>
    <w:rsid w:val="00614EE4"/>
    <w:rsid w:val="00616237"/>
    <w:rsid w:val="00617AAB"/>
    <w:rsid w:val="00620C33"/>
    <w:rsid w:val="00621D6B"/>
    <w:rsid w:val="00625340"/>
    <w:rsid w:val="00625753"/>
    <w:rsid w:val="00627043"/>
    <w:rsid w:val="006303D4"/>
    <w:rsid w:val="00631BA0"/>
    <w:rsid w:val="0063204E"/>
    <w:rsid w:val="00634741"/>
    <w:rsid w:val="00634EF8"/>
    <w:rsid w:val="00637959"/>
    <w:rsid w:val="006415ED"/>
    <w:rsid w:val="00641B0C"/>
    <w:rsid w:val="00642928"/>
    <w:rsid w:val="0064312A"/>
    <w:rsid w:val="00643D30"/>
    <w:rsid w:val="00644D2F"/>
    <w:rsid w:val="00646662"/>
    <w:rsid w:val="00650B22"/>
    <w:rsid w:val="0065153C"/>
    <w:rsid w:val="0065249B"/>
    <w:rsid w:val="006536C7"/>
    <w:rsid w:val="00654F5E"/>
    <w:rsid w:val="00655501"/>
    <w:rsid w:val="0065566B"/>
    <w:rsid w:val="00656220"/>
    <w:rsid w:val="0066068F"/>
    <w:rsid w:val="0066100F"/>
    <w:rsid w:val="0066235A"/>
    <w:rsid w:val="0066396D"/>
    <w:rsid w:val="00665E03"/>
    <w:rsid w:val="006663BA"/>
    <w:rsid w:val="006667BC"/>
    <w:rsid w:val="00666965"/>
    <w:rsid w:val="00667870"/>
    <w:rsid w:val="00670793"/>
    <w:rsid w:val="006711CA"/>
    <w:rsid w:val="00671529"/>
    <w:rsid w:val="00673A47"/>
    <w:rsid w:val="006749B7"/>
    <w:rsid w:val="0067516A"/>
    <w:rsid w:val="00675F31"/>
    <w:rsid w:val="0067654C"/>
    <w:rsid w:val="00676836"/>
    <w:rsid w:val="00676E0F"/>
    <w:rsid w:val="00676E15"/>
    <w:rsid w:val="00677EFE"/>
    <w:rsid w:val="00680CAD"/>
    <w:rsid w:val="00681CF1"/>
    <w:rsid w:val="00682496"/>
    <w:rsid w:val="00682DE9"/>
    <w:rsid w:val="00683700"/>
    <w:rsid w:val="00684121"/>
    <w:rsid w:val="00684D41"/>
    <w:rsid w:val="00685096"/>
    <w:rsid w:val="00685346"/>
    <w:rsid w:val="00685F32"/>
    <w:rsid w:val="006865BD"/>
    <w:rsid w:val="0068682C"/>
    <w:rsid w:val="00686998"/>
    <w:rsid w:val="00686E53"/>
    <w:rsid w:val="0068702A"/>
    <w:rsid w:val="00687400"/>
    <w:rsid w:val="006879A7"/>
    <w:rsid w:val="00687F97"/>
    <w:rsid w:val="006905FA"/>
    <w:rsid w:val="006923F6"/>
    <w:rsid w:val="00695280"/>
    <w:rsid w:val="00695EE5"/>
    <w:rsid w:val="00696038"/>
    <w:rsid w:val="00697DFD"/>
    <w:rsid w:val="006A11F6"/>
    <w:rsid w:val="006A1723"/>
    <w:rsid w:val="006A2473"/>
    <w:rsid w:val="006A2B9C"/>
    <w:rsid w:val="006A2BCF"/>
    <w:rsid w:val="006A31AE"/>
    <w:rsid w:val="006A4F5F"/>
    <w:rsid w:val="006A5EED"/>
    <w:rsid w:val="006A6ACD"/>
    <w:rsid w:val="006A7522"/>
    <w:rsid w:val="006A788D"/>
    <w:rsid w:val="006A79F9"/>
    <w:rsid w:val="006B0862"/>
    <w:rsid w:val="006B10F5"/>
    <w:rsid w:val="006B163A"/>
    <w:rsid w:val="006B512E"/>
    <w:rsid w:val="006B67D5"/>
    <w:rsid w:val="006C09A3"/>
    <w:rsid w:val="006C0DAC"/>
    <w:rsid w:val="006C1080"/>
    <w:rsid w:val="006C1F59"/>
    <w:rsid w:val="006C3C0C"/>
    <w:rsid w:val="006C5A3A"/>
    <w:rsid w:val="006C5BC4"/>
    <w:rsid w:val="006C6152"/>
    <w:rsid w:val="006C647F"/>
    <w:rsid w:val="006C68C1"/>
    <w:rsid w:val="006C7C00"/>
    <w:rsid w:val="006D2397"/>
    <w:rsid w:val="006D2A43"/>
    <w:rsid w:val="006D30BE"/>
    <w:rsid w:val="006D3BAD"/>
    <w:rsid w:val="006D4D1E"/>
    <w:rsid w:val="006D640B"/>
    <w:rsid w:val="006D65A7"/>
    <w:rsid w:val="006D6C0B"/>
    <w:rsid w:val="006D6E95"/>
    <w:rsid w:val="006D70AE"/>
    <w:rsid w:val="006D7314"/>
    <w:rsid w:val="006D7551"/>
    <w:rsid w:val="006E12E7"/>
    <w:rsid w:val="006E214A"/>
    <w:rsid w:val="006E335B"/>
    <w:rsid w:val="006E647A"/>
    <w:rsid w:val="006E75EE"/>
    <w:rsid w:val="006E7D09"/>
    <w:rsid w:val="006E7F0F"/>
    <w:rsid w:val="006F0B47"/>
    <w:rsid w:val="006F1051"/>
    <w:rsid w:val="006F1C7D"/>
    <w:rsid w:val="006F1DE8"/>
    <w:rsid w:val="006F1F5A"/>
    <w:rsid w:val="006F3689"/>
    <w:rsid w:val="006F4488"/>
    <w:rsid w:val="006F4B76"/>
    <w:rsid w:val="006F5BD0"/>
    <w:rsid w:val="006F66F1"/>
    <w:rsid w:val="006F76A2"/>
    <w:rsid w:val="007006FC"/>
    <w:rsid w:val="007019F1"/>
    <w:rsid w:val="00701C9D"/>
    <w:rsid w:val="0070398C"/>
    <w:rsid w:val="00706609"/>
    <w:rsid w:val="00707778"/>
    <w:rsid w:val="00707A90"/>
    <w:rsid w:val="0071020C"/>
    <w:rsid w:val="007106E3"/>
    <w:rsid w:val="007114B8"/>
    <w:rsid w:val="007125CE"/>
    <w:rsid w:val="00712EFE"/>
    <w:rsid w:val="007155F9"/>
    <w:rsid w:val="00716314"/>
    <w:rsid w:val="00720E07"/>
    <w:rsid w:val="00720FEA"/>
    <w:rsid w:val="00721EDA"/>
    <w:rsid w:val="00722C91"/>
    <w:rsid w:val="0072399C"/>
    <w:rsid w:val="0072440B"/>
    <w:rsid w:val="00724ECB"/>
    <w:rsid w:val="007250AC"/>
    <w:rsid w:val="007265F5"/>
    <w:rsid w:val="007268F9"/>
    <w:rsid w:val="00726AC7"/>
    <w:rsid w:val="007301AF"/>
    <w:rsid w:val="007305DC"/>
    <w:rsid w:val="00730A15"/>
    <w:rsid w:val="00732524"/>
    <w:rsid w:val="007326B7"/>
    <w:rsid w:val="00732D1E"/>
    <w:rsid w:val="00736306"/>
    <w:rsid w:val="007364A6"/>
    <w:rsid w:val="007370A8"/>
    <w:rsid w:val="0073711E"/>
    <w:rsid w:val="00737C73"/>
    <w:rsid w:val="00737DDB"/>
    <w:rsid w:val="007403A0"/>
    <w:rsid w:val="00740FC4"/>
    <w:rsid w:val="00741D73"/>
    <w:rsid w:val="00745B13"/>
    <w:rsid w:val="00746A82"/>
    <w:rsid w:val="00746CFF"/>
    <w:rsid w:val="007507C4"/>
    <w:rsid w:val="00751432"/>
    <w:rsid w:val="00751749"/>
    <w:rsid w:val="007519BF"/>
    <w:rsid w:val="00752648"/>
    <w:rsid w:val="00752D59"/>
    <w:rsid w:val="00752F6A"/>
    <w:rsid w:val="00754A4E"/>
    <w:rsid w:val="007550A2"/>
    <w:rsid w:val="00755BCD"/>
    <w:rsid w:val="00756097"/>
    <w:rsid w:val="007560D4"/>
    <w:rsid w:val="00757508"/>
    <w:rsid w:val="0075790B"/>
    <w:rsid w:val="007605A4"/>
    <w:rsid w:val="00760C54"/>
    <w:rsid w:val="00761E0D"/>
    <w:rsid w:val="0076213A"/>
    <w:rsid w:val="00762289"/>
    <w:rsid w:val="00762805"/>
    <w:rsid w:val="00763398"/>
    <w:rsid w:val="007642E9"/>
    <w:rsid w:val="007644F8"/>
    <w:rsid w:val="00764FB3"/>
    <w:rsid w:val="00765BDD"/>
    <w:rsid w:val="00770077"/>
    <w:rsid w:val="00771351"/>
    <w:rsid w:val="00773423"/>
    <w:rsid w:val="00773707"/>
    <w:rsid w:val="00774688"/>
    <w:rsid w:val="0077536D"/>
    <w:rsid w:val="00776D62"/>
    <w:rsid w:val="00782CAD"/>
    <w:rsid w:val="00782FBD"/>
    <w:rsid w:val="0078333A"/>
    <w:rsid w:val="00784A3E"/>
    <w:rsid w:val="00784FF9"/>
    <w:rsid w:val="00785A64"/>
    <w:rsid w:val="007864D1"/>
    <w:rsid w:val="007867B1"/>
    <w:rsid w:val="00786ED6"/>
    <w:rsid w:val="007870B0"/>
    <w:rsid w:val="00787338"/>
    <w:rsid w:val="007873D9"/>
    <w:rsid w:val="0079114C"/>
    <w:rsid w:val="007918A1"/>
    <w:rsid w:val="00794580"/>
    <w:rsid w:val="00794EFC"/>
    <w:rsid w:val="0079511C"/>
    <w:rsid w:val="007956CA"/>
    <w:rsid w:val="007965AE"/>
    <w:rsid w:val="00796C61"/>
    <w:rsid w:val="007976F6"/>
    <w:rsid w:val="007A07ED"/>
    <w:rsid w:val="007A10A9"/>
    <w:rsid w:val="007A1337"/>
    <w:rsid w:val="007A160A"/>
    <w:rsid w:val="007A2F9F"/>
    <w:rsid w:val="007A33D3"/>
    <w:rsid w:val="007A3D24"/>
    <w:rsid w:val="007A5230"/>
    <w:rsid w:val="007A6016"/>
    <w:rsid w:val="007A65B4"/>
    <w:rsid w:val="007A7CF8"/>
    <w:rsid w:val="007B0416"/>
    <w:rsid w:val="007B0887"/>
    <w:rsid w:val="007B0C9D"/>
    <w:rsid w:val="007B1BCB"/>
    <w:rsid w:val="007B242F"/>
    <w:rsid w:val="007B2434"/>
    <w:rsid w:val="007B2CA9"/>
    <w:rsid w:val="007B4449"/>
    <w:rsid w:val="007B514D"/>
    <w:rsid w:val="007B66D4"/>
    <w:rsid w:val="007C2E7D"/>
    <w:rsid w:val="007C34F0"/>
    <w:rsid w:val="007C4E49"/>
    <w:rsid w:val="007C52B0"/>
    <w:rsid w:val="007C5636"/>
    <w:rsid w:val="007C699E"/>
    <w:rsid w:val="007C70E4"/>
    <w:rsid w:val="007C7981"/>
    <w:rsid w:val="007D0DDF"/>
    <w:rsid w:val="007D129C"/>
    <w:rsid w:val="007D1D40"/>
    <w:rsid w:val="007D2B5B"/>
    <w:rsid w:val="007D3F43"/>
    <w:rsid w:val="007D46C8"/>
    <w:rsid w:val="007D63EE"/>
    <w:rsid w:val="007D742A"/>
    <w:rsid w:val="007E1074"/>
    <w:rsid w:val="007E1229"/>
    <w:rsid w:val="007E125F"/>
    <w:rsid w:val="007E1441"/>
    <w:rsid w:val="007E1BF5"/>
    <w:rsid w:val="007E26D6"/>
    <w:rsid w:val="007E298F"/>
    <w:rsid w:val="007E2A6F"/>
    <w:rsid w:val="007E2E53"/>
    <w:rsid w:val="007E306F"/>
    <w:rsid w:val="007E3976"/>
    <w:rsid w:val="007E4C8F"/>
    <w:rsid w:val="007E4C95"/>
    <w:rsid w:val="007E4F44"/>
    <w:rsid w:val="007E53DF"/>
    <w:rsid w:val="007E5758"/>
    <w:rsid w:val="007E6576"/>
    <w:rsid w:val="007E6950"/>
    <w:rsid w:val="007F0FEB"/>
    <w:rsid w:val="007F16A9"/>
    <w:rsid w:val="007F4462"/>
    <w:rsid w:val="008014CB"/>
    <w:rsid w:val="00801BFA"/>
    <w:rsid w:val="00802857"/>
    <w:rsid w:val="00802C15"/>
    <w:rsid w:val="0080396E"/>
    <w:rsid w:val="00804729"/>
    <w:rsid w:val="00804B90"/>
    <w:rsid w:val="008056FD"/>
    <w:rsid w:val="008059C2"/>
    <w:rsid w:val="00806BA5"/>
    <w:rsid w:val="00807BF8"/>
    <w:rsid w:val="00807E93"/>
    <w:rsid w:val="00812280"/>
    <w:rsid w:val="00812B51"/>
    <w:rsid w:val="0081362B"/>
    <w:rsid w:val="00815510"/>
    <w:rsid w:val="008157AF"/>
    <w:rsid w:val="008158F3"/>
    <w:rsid w:val="00817E57"/>
    <w:rsid w:val="00820E31"/>
    <w:rsid w:val="008217EA"/>
    <w:rsid w:val="00823109"/>
    <w:rsid w:val="00823237"/>
    <w:rsid w:val="00824A2E"/>
    <w:rsid w:val="008258E6"/>
    <w:rsid w:val="00826C81"/>
    <w:rsid w:val="00826EC7"/>
    <w:rsid w:val="00831334"/>
    <w:rsid w:val="00831CB5"/>
    <w:rsid w:val="00832ABC"/>
    <w:rsid w:val="00833042"/>
    <w:rsid w:val="00835E44"/>
    <w:rsid w:val="00836030"/>
    <w:rsid w:val="0084271D"/>
    <w:rsid w:val="00844990"/>
    <w:rsid w:val="00844CB2"/>
    <w:rsid w:val="00844FAF"/>
    <w:rsid w:val="008461F1"/>
    <w:rsid w:val="00846421"/>
    <w:rsid w:val="0084669A"/>
    <w:rsid w:val="00847CCA"/>
    <w:rsid w:val="00847E81"/>
    <w:rsid w:val="00847FFA"/>
    <w:rsid w:val="008502ED"/>
    <w:rsid w:val="00850690"/>
    <w:rsid w:val="00851100"/>
    <w:rsid w:val="0085123A"/>
    <w:rsid w:val="008522F1"/>
    <w:rsid w:val="00853E5D"/>
    <w:rsid w:val="008543BD"/>
    <w:rsid w:val="0085472F"/>
    <w:rsid w:val="00854761"/>
    <w:rsid w:val="00854C66"/>
    <w:rsid w:val="0085571C"/>
    <w:rsid w:val="00855F7E"/>
    <w:rsid w:val="0085753E"/>
    <w:rsid w:val="008579F8"/>
    <w:rsid w:val="00857D89"/>
    <w:rsid w:val="00860C0B"/>
    <w:rsid w:val="00860E17"/>
    <w:rsid w:val="00861600"/>
    <w:rsid w:val="00861914"/>
    <w:rsid w:val="008625A8"/>
    <w:rsid w:val="00864AFB"/>
    <w:rsid w:val="00864FAC"/>
    <w:rsid w:val="00866ADC"/>
    <w:rsid w:val="0086744D"/>
    <w:rsid w:val="00867C6E"/>
    <w:rsid w:val="00870919"/>
    <w:rsid w:val="00870E37"/>
    <w:rsid w:val="0087256B"/>
    <w:rsid w:val="00872B16"/>
    <w:rsid w:val="00872E9D"/>
    <w:rsid w:val="008741F5"/>
    <w:rsid w:val="0087423A"/>
    <w:rsid w:val="00875A83"/>
    <w:rsid w:val="00875E24"/>
    <w:rsid w:val="008761BC"/>
    <w:rsid w:val="008764C6"/>
    <w:rsid w:val="00877018"/>
    <w:rsid w:val="0088380B"/>
    <w:rsid w:val="0088381A"/>
    <w:rsid w:val="00884231"/>
    <w:rsid w:val="008872C4"/>
    <w:rsid w:val="00890A98"/>
    <w:rsid w:val="00890C7C"/>
    <w:rsid w:val="008914B0"/>
    <w:rsid w:val="00891783"/>
    <w:rsid w:val="00891F91"/>
    <w:rsid w:val="008920EB"/>
    <w:rsid w:val="00892D66"/>
    <w:rsid w:val="00893872"/>
    <w:rsid w:val="0089388F"/>
    <w:rsid w:val="00893DDC"/>
    <w:rsid w:val="00894E76"/>
    <w:rsid w:val="00895F4A"/>
    <w:rsid w:val="008960E0"/>
    <w:rsid w:val="00896922"/>
    <w:rsid w:val="00896C9E"/>
    <w:rsid w:val="00896CDE"/>
    <w:rsid w:val="0089701B"/>
    <w:rsid w:val="008A02E5"/>
    <w:rsid w:val="008A0BFE"/>
    <w:rsid w:val="008A0D34"/>
    <w:rsid w:val="008A1267"/>
    <w:rsid w:val="008A307C"/>
    <w:rsid w:val="008A5013"/>
    <w:rsid w:val="008A7087"/>
    <w:rsid w:val="008B00AB"/>
    <w:rsid w:val="008B1AD0"/>
    <w:rsid w:val="008B2EFC"/>
    <w:rsid w:val="008B3A4B"/>
    <w:rsid w:val="008B6364"/>
    <w:rsid w:val="008B6AC3"/>
    <w:rsid w:val="008B6CC8"/>
    <w:rsid w:val="008B720E"/>
    <w:rsid w:val="008B7386"/>
    <w:rsid w:val="008B7D7D"/>
    <w:rsid w:val="008C028D"/>
    <w:rsid w:val="008C0ACC"/>
    <w:rsid w:val="008C3A4F"/>
    <w:rsid w:val="008C4B9D"/>
    <w:rsid w:val="008C594B"/>
    <w:rsid w:val="008C68CC"/>
    <w:rsid w:val="008D0BDC"/>
    <w:rsid w:val="008D131D"/>
    <w:rsid w:val="008D1713"/>
    <w:rsid w:val="008D1793"/>
    <w:rsid w:val="008D2163"/>
    <w:rsid w:val="008D3441"/>
    <w:rsid w:val="008D3450"/>
    <w:rsid w:val="008D3730"/>
    <w:rsid w:val="008D39E1"/>
    <w:rsid w:val="008D3F24"/>
    <w:rsid w:val="008D4BD7"/>
    <w:rsid w:val="008D4C69"/>
    <w:rsid w:val="008D4EAF"/>
    <w:rsid w:val="008D5108"/>
    <w:rsid w:val="008E040E"/>
    <w:rsid w:val="008E09C0"/>
    <w:rsid w:val="008E13E2"/>
    <w:rsid w:val="008E2D29"/>
    <w:rsid w:val="008E3CB6"/>
    <w:rsid w:val="008E4325"/>
    <w:rsid w:val="008E6907"/>
    <w:rsid w:val="008E6971"/>
    <w:rsid w:val="008E6B8C"/>
    <w:rsid w:val="008E6C68"/>
    <w:rsid w:val="008E7801"/>
    <w:rsid w:val="008F108B"/>
    <w:rsid w:val="008F134D"/>
    <w:rsid w:val="008F2B29"/>
    <w:rsid w:val="008F3149"/>
    <w:rsid w:val="008F51D3"/>
    <w:rsid w:val="009004E6"/>
    <w:rsid w:val="00900EAE"/>
    <w:rsid w:val="00901C72"/>
    <w:rsid w:val="00901DE1"/>
    <w:rsid w:val="0090276E"/>
    <w:rsid w:val="009028DC"/>
    <w:rsid w:val="00902E9D"/>
    <w:rsid w:val="00903080"/>
    <w:rsid w:val="0090342E"/>
    <w:rsid w:val="00905990"/>
    <w:rsid w:val="00906066"/>
    <w:rsid w:val="0090684C"/>
    <w:rsid w:val="009070DE"/>
    <w:rsid w:val="00907A72"/>
    <w:rsid w:val="00911B06"/>
    <w:rsid w:val="0091205E"/>
    <w:rsid w:val="009122A4"/>
    <w:rsid w:val="00912828"/>
    <w:rsid w:val="009134B7"/>
    <w:rsid w:val="00913A72"/>
    <w:rsid w:val="009172AF"/>
    <w:rsid w:val="0091779E"/>
    <w:rsid w:val="00917986"/>
    <w:rsid w:val="00920245"/>
    <w:rsid w:val="00921A36"/>
    <w:rsid w:val="00921AA4"/>
    <w:rsid w:val="00921AE9"/>
    <w:rsid w:val="00922124"/>
    <w:rsid w:val="00922E70"/>
    <w:rsid w:val="00923A12"/>
    <w:rsid w:val="009246D0"/>
    <w:rsid w:val="00924D01"/>
    <w:rsid w:val="009250AB"/>
    <w:rsid w:val="00925130"/>
    <w:rsid w:val="00925B85"/>
    <w:rsid w:val="0092600C"/>
    <w:rsid w:val="00926B6D"/>
    <w:rsid w:val="0092771A"/>
    <w:rsid w:val="00930BDF"/>
    <w:rsid w:val="00930F4C"/>
    <w:rsid w:val="0093217D"/>
    <w:rsid w:val="00932259"/>
    <w:rsid w:val="00935804"/>
    <w:rsid w:val="00935D25"/>
    <w:rsid w:val="00935EDD"/>
    <w:rsid w:val="00937546"/>
    <w:rsid w:val="00937FA9"/>
    <w:rsid w:val="00940A32"/>
    <w:rsid w:val="00940E31"/>
    <w:rsid w:val="00940F46"/>
    <w:rsid w:val="009411B4"/>
    <w:rsid w:val="009415E8"/>
    <w:rsid w:val="009425C0"/>
    <w:rsid w:val="00942E63"/>
    <w:rsid w:val="00944E7A"/>
    <w:rsid w:val="00945460"/>
    <w:rsid w:val="00945F8D"/>
    <w:rsid w:val="0094657F"/>
    <w:rsid w:val="00946F1D"/>
    <w:rsid w:val="00947456"/>
    <w:rsid w:val="00947AFA"/>
    <w:rsid w:val="0095011D"/>
    <w:rsid w:val="00950A25"/>
    <w:rsid w:val="00950A8F"/>
    <w:rsid w:val="00951440"/>
    <w:rsid w:val="00952364"/>
    <w:rsid w:val="009527B6"/>
    <w:rsid w:val="0095303D"/>
    <w:rsid w:val="00953270"/>
    <w:rsid w:val="009537B5"/>
    <w:rsid w:val="0095383E"/>
    <w:rsid w:val="00953E70"/>
    <w:rsid w:val="00955972"/>
    <w:rsid w:val="00955BB9"/>
    <w:rsid w:val="00956960"/>
    <w:rsid w:val="00956D4D"/>
    <w:rsid w:val="0095729E"/>
    <w:rsid w:val="009572FB"/>
    <w:rsid w:val="00960372"/>
    <w:rsid w:val="00960AAC"/>
    <w:rsid w:val="009619E2"/>
    <w:rsid w:val="009636AA"/>
    <w:rsid w:val="00963907"/>
    <w:rsid w:val="0096395C"/>
    <w:rsid w:val="00964D24"/>
    <w:rsid w:val="00965148"/>
    <w:rsid w:val="009659F2"/>
    <w:rsid w:val="00966520"/>
    <w:rsid w:val="009667CF"/>
    <w:rsid w:val="00966B84"/>
    <w:rsid w:val="009670A9"/>
    <w:rsid w:val="0096764D"/>
    <w:rsid w:val="00967A83"/>
    <w:rsid w:val="0097018C"/>
    <w:rsid w:val="00972482"/>
    <w:rsid w:val="00972502"/>
    <w:rsid w:val="0097293A"/>
    <w:rsid w:val="00973899"/>
    <w:rsid w:val="009741E2"/>
    <w:rsid w:val="009753A9"/>
    <w:rsid w:val="0097551E"/>
    <w:rsid w:val="009758CC"/>
    <w:rsid w:val="009763F1"/>
    <w:rsid w:val="0098076F"/>
    <w:rsid w:val="00981408"/>
    <w:rsid w:val="00981689"/>
    <w:rsid w:val="009828FA"/>
    <w:rsid w:val="009829B1"/>
    <w:rsid w:val="009845D5"/>
    <w:rsid w:val="00986014"/>
    <w:rsid w:val="00987D2E"/>
    <w:rsid w:val="00990196"/>
    <w:rsid w:val="00990746"/>
    <w:rsid w:val="009908C3"/>
    <w:rsid w:val="00990EC2"/>
    <w:rsid w:val="00991485"/>
    <w:rsid w:val="009916E1"/>
    <w:rsid w:val="009923AA"/>
    <w:rsid w:val="00993394"/>
    <w:rsid w:val="009936A5"/>
    <w:rsid w:val="00994745"/>
    <w:rsid w:val="0099495E"/>
    <w:rsid w:val="00994BF5"/>
    <w:rsid w:val="00997D8D"/>
    <w:rsid w:val="009A060C"/>
    <w:rsid w:val="009A0900"/>
    <w:rsid w:val="009A372B"/>
    <w:rsid w:val="009A38E3"/>
    <w:rsid w:val="009A4879"/>
    <w:rsid w:val="009A5261"/>
    <w:rsid w:val="009A5319"/>
    <w:rsid w:val="009A5903"/>
    <w:rsid w:val="009A617F"/>
    <w:rsid w:val="009A627E"/>
    <w:rsid w:val="009A7227"/>
    <w:rsid w:val="009A78FB"/>
    <w:rsid w:val="009A7B12"/>
    <w:rsid w:val="009B08E5"/>
    <w:rsid w:val="009B0CA9"/>
    <w:rsid w:val="009B1370"/>
    <w:rsid w:val="009B1860"/>
    <w:rsid w:val="009B2B62"/>
    <w:rsid w:val="009B39F0"/>
    <w:rsid w:val="009B4642"/>
    <w:rsid w:val="009B4BB3"/>
    <w:rsid w:val="009B5230"/>
    <w:rsid w:val="009B566D"/>
    <w:rsid w:val="009B57DE"/>
    <w:rsid w:val="009B7864"/>
    <w:rsid w:val="009C0B12"/>
    <w:rsid w:val="009C0CB9"/>
    <w:rsid w:val="009C1286"/>
    <w:rsid w:val="009C29CF"/>
    <w:rsid w:val="009C2AE6"/>
    <w:rsid w:val="009C3C57"/>
    <w:rsid w:val="009C3E56"/>
    <w:rsid w:val="009C418A"/>
    <w:rsid w:val="009C4456"/>
    <w:rsid w:val="009C4994"/>
    <w:rsid w:val="009C5C4C"/>
    <w:rsid w:val="009C62C9"/>
    <w:rsid w:val="009C6531"/>
    <w:rsid w:val="009D0139"/>
    <w:rsid w:val="009D05CC"/>
    <w:rsid w:val="009D1B43"/>
    <w:rsid w:val="009D1C34"/>
    <w:rsid w:val="009D29EA"/>
    <w:rsid w:val="009D2DEE"/>
    <w:rsid w:val="009D4E82"/>
    <w:rsid w:val="009D67FB"/>
    <w:rsid w:val="009D68F7"/>
    <w:rsid w:val="009D6CDB"/>
    <w:rsid w:val="009D7FAA"/>
    <w:rsid w:val="009E2055"/>
    <w:rsid w:val="009E3628"/>
    <w:rsid w:val="009E42CD"/>
    <w:rsid w:val="009E442A"/>
    <w:rsid w:val="009E4C65"/>
    <w:rsid w:val="009E4F66"/>
    <w:rsid w:val="009E680D"/>
    <w:rsid w:val="009E7200"/>
    <w:rsid w:val="009F129E"/>
    <w:rsid w:val="009F1FF2"/>
    <w:rsid w:val="009F2377"/>
    <w:rsid w:val="009F335C"/>
    <w:rsid w:val="009F4554"/>
    <w:rsid w:val="009F4618"/>
    <w:rsid w:val="009F4D6F"/>
    <w:rsid w:val="009F5CDC"/>
    <w:rsid w:val="009F639A"/>
    <w:rsid w:val="009F64CC"/>
    <w:rsid w:val="009F678B"/>
    <w:rsid w:val="009F750D"/>
    <w:rsid w:val="00A016CF"/>
    <w:rsid w:val="00A026D0"/>
    <w:rsid w:val="00A028CF"/>
    <w:rsid w:val="00A03D75"/>
    <w:rsid w:val="00A03F2E"/>
    <w:rsid w:val="00A04431"/>
    <w:rsid w:val="00A04933"/>
    <w:rsid w:val="00A04B21"/>
    <w:rsid w:val="00A04E75"/>
    <w:rsid w:val="00A05B13"/>
    <w:rsid w:val="00A071AB"/>
    <w:rsid w:val="00A07D3D"/>
    <w:rsid w:val="00A118FA"/>
    <w:rsid w:val="00A11A9E"/>
    <w:rsid w:val="00A11E52"/>
    <w:rsid w:val="00A130D1"/>
    <w:rsid w:val="00A13E84"/>
    <w:rsid w:val="00A14ABA"/>
    <w:rsid w:val="00A16991"/>
    <w:rsid w:val="00A17292"/>
    <w:rsid w:val="00A20479"/>
    <w:rsid w:val="00A20A1F"/>
    <w:rsid w:val="00A212B5"/>
    <w:rsid w:val="00A23459"/>
    <w:rsid w:val="00A250DE"/>
    <w:rsid w:val="00A252F6"/>
    <w:rsid w:val="00A25601"/>
    <w:rsid w:val="00A2635D"/>
    <w:rsid w:val="00A2670E"/>
    <w:rsid w:val="00A26D10"/>
    <w:rsid w:val="00A316B0"/>
    <w:rsid w:val="00A33A3C"/>
    <w:rsid w:val="00A34618"/>
    <w:rsid w:val="00A34FDC"/>
    <w:rsid w:val="00A3526A"/>
    <w:rsid w:val="00A40131"/>
    <w:rsid w:val="00A4034F"/>
    <w:rsid w:val="00A40BDB"/>
    <w:rsid w:val="00A4230D"/>
    <w:rsid w:val="00A42364"/>
    <w:rsid w:val="00A445BA"/>
    <w:rsid w:val="00A454B2"/>
    <w:rsid w:val="00A46BF6"/>
    <w:rsid w:val="00A47139"/>
    <w:rsid w:val="00A50D41"/>
    <w:rsid w:val="00A51363"/>
    <w:rsid w:val="00A515B2"/>
    <w:rsid w:val="00A519A7"/>
    <w:rsid w:val="00A525E0"/>
    <w:rsid w:val="00A5265A"/>
    <w:rsid w:val="00A531AB"/>
    <w:rsid w:val="00A5336E"/>
    <w:rsid w:val="00A537EB"/>
    <w:rsid w:val="00A547A6"/>
    <w:rsid w:val="00A54A9C"/>
    <w:rsid w:val="00A563D5"/>
    <w:rsid w:val="00A57393"/>
    <w:rsid w:val="00A5782C"/>
    <w:rsid w:val="00A57E91"/>
    <w:rsid w:val="00A57EEC"/>
    <w:rsid w:val="00A605C8"/>
    <w:rsid w:val="00A61B23"/>
    <w:rsid w:val="00A61EB5"/>
    <w:rsid w:val="00A620F6"/>
    <w:rsid w:val="00A634CE"/>
    <w:rsid w:val="00A64389"/>
    <w:rsid w:val="00A64BDA"/>
    <w:rsid w:val="00A657D9"/>
    <w:rsid w:val="00A67097"/>
    <w:rsid w:val="00A701E4"/>
    <w:rsid w:val="00A71CBD"/>
    <w:rsid w:val="00A72333"/>
    <w:rsid w:val="00A73098"/>
    <w:rsid w:val="00A73DEA"/>
    <w:rsid w:val="00A750E2"/>
    <w:rsid w:val="00A775CF"/>
    <w:rsid w:val="00A804F3"/>
    <w:rsid w:val="00A80DE8"/>
    <w:rsid w:val="00A82C7F"/>
    <w:rsid w:val="00A84386"/>
    <w:rsid w:val="00A8515E"/>
    <w:rsid w:val="00A863DA"/>
    <w:rsid w:val="00A86446"/>
    <w:rsid w:val="00A90F82"/>
    <w:rsid w:val="00A914F2"/>
    <w:rsid w:val="00A91D60"/>
    <w:rsid w:val="00A92B2C"/>
    <w:rsid w:val="00A93581"/>
    <w:rsid w:val="00A935C8"/>
    <w:rsid w:val="00A936E6"/>
    <w:rsid w:val="00A95483"/>
    <w:rsid w:val="00A9563E"/>
    <w:rsid w:val="00AA05C7"/>
    <w:rsid w:val="00AA08BA"/>
    <w:rsid w:val="00AA183E"/>
    <w:rsid w:val="00AA1B38"/>
    <w:rsid w:val="00AA2060"/>
    <w:rsid w:val="00AA26AC"/>
    <w:rsid w:val="00AA2929"/>
    <w:rsid w:val="00AA2D07"/>
    <w:rsid w:val="00AA2F68"/>
    <w:rsid w:val="00AA506C"/>
    <w:rsid w:val="00AA5CA5"/>
    <w:rsid w:val="00AA625E"/>
    <w:rsid w:val="00AB2B18"/>
    <w:rsid w:val="00AB2CB7"/>
    <w:rsid w:val="00AB405A"/>
    <w:rsid w:val="00AB48B7"/>
    <w:rsid w:val="00AB4FF5"/>
    <w:rsid w:val="00AB6388"/>
    <w:rsid w:val="00AB67D6"/>
    <w:rsid w:val="00AC0424"/>
    <w:rsid w:val="00AC26AB"/>
    <w:rsid w:val="00AC2E54"/>
    <w:rsid w:val="00AC30B5"/>
    <w:rsid w:val="00AC3828"/>
    <w:rsid w:val="00AC60B5"/>
    <w:rsid w:val="00AD0579"/>
    <w:rsid w:val="00AD16C5"/>
    <w:rsid w:val="00AD2E2D"/>
    <w:rsid w:val="00AD2FD3"/>
    <w:rsid w:val="00AD48F3"/>
    <w:rsid w:val="00AD4AC1"/>
    <w:rsid w:val="00AD4EC9"/>
    <w:rsid w:val="00AD5073"/>
    <w:rsid w:val="00AD54BD"/>
    <w:rsid w:val="00AD5C4F"/>
    <w:rsid w:val="00AD5D43"/>
    <w:rsid w:val="00AD5E81"/>
    <w:rsid w:val="00AD725D"/>
    <w:rsid w:val="00AD729D"/>
    <w:rsid w:val="00AE06F8"/>
    <w:rsid w:val="00AE1080"/>
    <w:rsid w:val="00AE14C3"/>
    <w:rsid w:val="00AE2A34"/>
    <w:rsid w:val="00AE3A01"/>
    <w:rsid w:val="00AE3DD7"/>
    <w:rsid w:val="00AE3F6A"/>
    <w:rsid w:val="00AE593D"/>
    <w:rsid w:val="00AE64B6"/>
    <w:rsid w:val="00AE65AF"/>
    <w:rsid w:val="00AF09FE"/>
    <w:rsid w:val="00AF35BD"/>
    <w:rsid w:val="00AF4CAB"/>
    <w:rsid w:val="00AF5BAF"/>
    <w:rsid w:val="00AF5CED"/>
    <w:rsid w:val="00AF6A23"/>
    <w:rsid w:val="00AF6A51"/>
    <w:rsid w:val="00B0147E"/>
    <w:rsid w:val="00B02D1C"/>
    <w:rsid w:val="00B036B4"/>
    <w:rsid w:val="00B039E0"/>
    <w:rsid w:val="00B04706"/>
    <w:rsid w:val="00B0473F"/>
    <w:rsid w:val="00B04D69"/>
    <w:rsid w:val="00B05931"/>
    <w:rsid w:val="00B05FBE"/>
    <w:rsid w:val="00B06045"/>
    <w:rsid w:val="00B12138"/>
    <w:rsid w:val="00B1225F"/>
    <w:rsid w:val="00B126D0"/>
    <w:rsid w:val="00B13051"/>
    <w:rsid w:val="00B14D6D"/>
    <w:rsid w:val="00B15264"/>
    <w:rsid w:val="00B15804"/>
    <w:rsid w:val="00B162E6"/>
    <w:rsid w:val="00B1630B"/>
    <w:rsid w:val="00B16AD2"/>
    <w:rsid w:val="00B17B9B"/>
    <w:rsid w:val="00B20AA9"/>
    <w:rsid w:val="00B211E4"/>
    <w:rsid w:val="00B215AC"/>
    <w:rsid w:val="00B22CB5"/>
    <w:rsid w:val="00B252B6"/>
    <w:rsid w:val="00B25993"/>
    <w:rsid w:val="00B25DB5"/>
    <w:rsid w:val="00B27038"/>
    <w:rsid w:val="00B30511"/>
    <w:rsid w:val="00B314C2"/>
    <w:rsid w:val="00B31514"/>
    <w:rsid w:val="00B31763"/>
    <w:rsid w:val="00B31E50"/>
    <w:rsid w:val="00B33503"/>
    <w:rsid w:val="00B346AD"/>
    <w:rsid w:val="00B34D53"/>
    <w:rsid w:val="00B35DB8"/>
    <w:rsid w:val="00B3604A"/>
    <w:rsid w:val="00B36336"/>
    <w:rsid w:val="00B37712"/>
    <w:rsid w:val="00B41CC1"/>
    <w:rsid w:val="00B429EA"/>
    <w:rsid w:val="00B43212"/>
    <w:rsid w:val="00B433F9"/>
    <w:rsid w:val="00B43512"/>
    <w:rsid w:val="00B443D5"/>
    <w:rsid w:val="00B45250"/>
    <w:rsid w:val="00B45A1D"/>
    <w:rsid w:val="00B51248"/>
    <w:rsid w:val="00B52116"/>
    <w:rsid w:val="00B53D1D"/>
    <w:rsid w:val="00B55691"/>
    <w:rsid w:val="00B55EC0"/>
    <w:rsid w:val="00B56856"/>
    <w:rsid w:val="00B573BB"/>
    <w:rsid w:val="00B57C36"/>
    <w:rsid w:val="00B57EEA"/>
    <w:rsid w:val="00B60595"/>
    <w:rsid w:val="00B607B9"/>
    <w:rsid w:val="00B60E4B"/>
    <w:rsid w:val="00B617A1"/>
    <w:rsid w:val="00B628F5"/>
    <w:rsid w:val="00B64028"/>
    <w:rsid w:val="00B64943"/>
    <w:rsid w:val="00B659B8"/>
    <w:rsid w:val="00B670D3"/>
    <w:rsid w:val="00B6716D"/>
    <w:rsid w:val="00B70066"/>
    <w:rsid w:val="00B700B1"/>
    <w:rsid w:val="00B70C35"/>
    <w:rsid w:val="00B70EFC"/>
    <w:rsid w:val="00B72298"/>
    <w:rsid w:val="00B7242C"/>
    <w:rsid w:val="00B72679"/>
    <w:rsid w:val="00B72A1B"/>
    <w:rsid w:val="00B73DF0"/>
    <w:rsid w:val="00B74E70"/>
    <w:rsid w:val="00B75069"/>
    <w:rsid w:val="00B754A1"/>
    <w:rsid w:val="00B76040"/>
    <w:rsid w:val="00B76845"/>
    <w:rsid w:val="00B768AE"/>
    <w:rsid w:val="00B76CD1"/>
    <w:rsid w:val="00B7743A"/>
    <w:rsid w:val="00B7787D"/>
    <w:rsid w:val="00B80DE1"/>
    <w:rsid w:val="00B82FB4"/>
    <w:rsid w:val="00B83398"/>
    <w:rsid w:val="00B83CC4"/>
    <w:rsid w:val="00B849FE"/>
    <w:rsid w:val="00B85F97"/>
    <w:rsid w:val="00B903E5"/>
    <w:rsid w:val="00B90A9C"/>
    <w:rsid w:val="00B91D85"/>
    <w:rsid w:val="00B91ED5"/>
    <w:rsid w:val="00B93082"/>
    <w:rsid w:val="00B9519F"/>
    <w:rsid w:val="00B97115"/>
    <w:rsid w:val="00B972AE"/>
    <w:rsid w:val="00BA1843"/>
    <w:rsid w:val="00BA2934"/>
    <w:rsid w:val="00BA35EB"/>
    <w:rsid w:val="00BA3E14"/>
    <w:rsid w:val="00BA6E42"/>
    <w:rsid w:val="00BA738C"/>
    <w:rsid w:val="00BA740C"/>
    <w:rsid w:val="00BA78BC"/>
    <w:rsid w:val="00BA7D4B"/>
    <w:rsid w:val="00BB0070"/>
    <w:rsid w:val="00BB08F9"/>
    <w:rsid w:val="00BB0AFD"/>
    <w:rsid w:val="00BB0D37"/>
    <w:rsid w:val="00BB1C83"/>
    <w:rsid w:val="00BB2BB7"/>
    <w:rsid w:val="00BB39B7"/>
    <w:rsid w:val="00BB3AF1"/>
    <w:rsid w:val="00BB438D"/>
    <w:rsid w:val="00BB4ECE"/>
    <w:rsid w:val="00BB55A9"/>
    <w:rsid w:val="00BB569C"/>
    <w:rsid w:val="00BB57E0"/>
    <w:rsid w:val="00BB5E65"/>
    <w:rsid w:val="00BB6241"/>
    <w:rsid w:val="00BC08B5"/>
    <w:rsid w:val="00BC21AB"/>
    <w:rsid w:val="00BC23F2"/>
    <w:rsid w:val="00BC4827"/>
    <w:rsid w:val="00BC6144"/>
    <w:rsid w:val="00BC73AF"/>
    <w:rsid w:val="00BC7C8B"/>
    <w:rsid w:val="00BD29D2"/>
    <w:rsid w:val="00BD2DAB"/>
    <w:rsid w:val="00BD3641"/>
    <w:rsid w:val="00BD4F4E"/>
    <w:rsid w:val="00BD5357"/>
    <w:rsid w:val="00BD60C2"/>
    <w:rsid w:val="00BD636E"/>
    <w:rsid w:val="00BD7155"/>
    <w:rsid w:val="00BD7398"/>
    <w:rsid w:val="00BD7CD2"/>
    <w:rsid w:val="00BE03F2"/>
    <w:rsid w:val="00BE1506"/>
    <w:rsid w:val="00BE2091"/>
    <w:rsid w:val="00BE2E31"/>
    <w:rsid w:val="00BE2E4C"/>
    <w:rsid w:val="00BE588D"/>
    <w:rsid w:val="00BE5DF7"/>
    <w:rsid w:val="00BE5F46"/>
    <w:rsid w:val="00BE71A6"/>
    <w:rsid w:val="00BE7454"/>
    <w:rsid w:val="00BE7C6C"/>
    <w:rsid w:val="00BF0A82"/>
    <w:rsid w:val="00BF431A"/>
    <w:rsid w:val="00BF4C9A"/>
    <w:rsid w:val="00BF5244"/>
    <w:rsid w:val="00BF658A"/>
    <w:rsid w:val="00BF68DA"/>
    <w:rsid w:val="00C01192"/>
    <w:rsid w:val="00C0310F"/>
    <w:rsid w:val="00C03214"/>
    <w:rsid w:val="00C033B1"/>
    <w:rsid w:val="00C0444D"/>
    <w:rsid w:val="00C05423"/>
    <w:rsid w:val="00C05893"/>
    <w:rsid w:val="00C0729F"/>
    <w:rsid w:val="00C07B9B"/>
    <w:rsid w:val="00C1004C"/>
    <w:rsid w:val="00C10582"/>
    <w:rsid w:val="00C10743"/>
    <w:rsid w:val="00C109B5"/>
    <w:rsid w:val="00C10C3F"/>
    <w:rsid w:val="00C12CDA"/>
    <w:rsid w:val="00C130B1"/>
    <w:rsid w:val="00C152D1"/>
    <w:rsid w:val="00C15CED"/>
    <w:rsid w:val="00C168F4"/>
    <w:rsid w:val="00C16CD0"/>
    <w:rsid w:val="00C1704B"/>
    <w:rsid w:val="00C17666"/>
    <w:rsid w:val="00C17C0F"/>
    <w:rsid w:val="00C206D6"/>
    <w:rsid w:val="00C22A21"/>
    <w:rsid w:val="00C23798"/>
    <w:rsid w:val="00C25A60"/>
    <w:rsid w:val="00C27119"/>
    <w:rsid w:val="00C2762D"/>
    <w:rsid w:val="00C27673"/>
    <w:rsid w:val="00C27A5D"/>
    <w:rsid w:val="00C30277"/>
    <w:rsid w:val="00C304EA"/>
    <w:rsid w:val="00C32042"/>
    <w:rsid w:val="00C3285B"/>
    <w:rsid w:val="00C32E97"/>
    <w:rsid w:val="00C35383"/>
    <w:rsid w:val="00C35A27"/>
    <w:rsid w:val="00C35DDA"/>
    <w:rsid w:val="00C36AA9"/>
    <w:rsid w:val="00C376D4"/>
    <w:rsid w:val="00C40B75"/>
    <w:rsid w:val="00C4553E"/>
    <w:rsid w:val="00C4749B"/>
    <w:rsid w:val="00C50139"/>
    <w:rsid w:val="00C50BD5"/>
    <w:rsid w:val="00C50E82"/>
    <w:rsid w:val="00C51D18"/>
    <w:rsid w:val="00C52D25"/>
    <w:rsid w:val="00C532F3"/>
    <w:rsid w:val="00C53461"/>
    <w:rsid w:val="00C538E4"/>
    <w:rsid w:val="00C53919"/>
    <w:rsid w:val="00C53B41"/>
    <w:rsid w:val="00C54D1C"/>
    <w:rsid w:val="00C55ED1"/>
    <w:rsid w:val="00C563A8"/>
    <w:rsid w:val="00C57869"/>
    <w:rsid w:val="00C610B6"/>
    <w:rsid w:val="00C611B3"/>
    <w:rsid w:val="00C61FA0"/>
    <w:rsid w:val="00C624C0"/>
    <w:rsid w:val="00C631A4"/>
    <w:rsid w:val="00C65C4E"/>
    <w:rsid w:val="00C70887"/>
    <w:rsid w:val="00C71B43"/>
    <w:rsid w:val="00C732F6"/>
    <w:rsid w:val="00C745C4"/>
    <w:rsid w:val="00C7695C"/>
    <w:rsid w:val="00C771DF"/>
    <w:rsid w:val="00C81443"/>
    <w:rsid w:val="00C815DD"/>
    <w:rsid w:val="00C81CDB"/>
    <w:rsid w:val="00C82052"/>
    <w:rsid w:val="00C8331A"/>
    <w:rsid w:val="00C84EFA"/>
    <w:rsid w:val="00C8538E"/>
    <w:rsid w:val="00C856FA"/>
    <w:rsid w:val="00C85B8D"/>
    <w:rsid w:val="00C878BC"/>
    <w:rsid w:val="00C90313"/>
    <w:rsid w:val="00C908D8"/>
    <w:rsid w:val="00C91A5D"/>
    <w:rsid w:val="00C921B5"/>
    <w:rsid w:val="00C93305"/>
    <w:rsid w:val="00C93CB7"/>
    <w:rsid w:val="00C945AB"/>
    <w:rsid w:val="00C94F22"/>
    <w:rsid w:val="00C95165"/>
    <w:rsid w:val="00C97B24"/>
    <w:rsid w:val="00CA048B"/>
    <w:rsid w:val="00CA048C"/>
    <w:rsid w:val="00CA13DB"/>
    <w:rsid w:val="00CA575A"/>
    <w:rsid w:val="00CA5830"/>
    <w:rsid w:val="00CA67E3"/>
    <w:rsid w:val="00CA6E30"/>
    <w:rsid w:val="00CA6F8E"/>
    <w:rsid w:val="00CA7357"/>
    <w:rsid w:val="00CA74BD"/>
    <w:rsid w:val="00CA7723"/>
    <w:rsid w:val="00CA7FED"/>
    <w:rsid w:val="00CB22F3"/>
    <w:rsid w:val="00CB2E47"/>
    <w:rsid w:val="00CB3095"/>
    <w:rsid w:val="00CB39E7"/>
    <w:rsid w:val="00CB45F3"/>
    <w:rsid w:val="00CB6BE7"/>
    <w:rsid w:val="00CB6FBB"/>
    <w:rsid w:val="00CB753A"/>
    <w:rsid w:val="00CC0064"/>
    <w:rsid w:val="00CC15D4"/>
    <w:rsid w:val="00CC1D54"/>
    <w:rsid w:val="00CC1DA3"/>
    <w:rsid w:val="00CC2125"/>
    <w:rsid w:val="00CC2875"/>
    <w:rsid w:val="00CC383C"/>
    <w:rsid w:val="00CC4EBF"/>
    <w:rsid w:val="00CC63AE"/>
    <w:rsid w:val="00CD0F70"/>
    <w:rsid w:val="00CD18EC"/>
    <w:rsid w:val="00CD2269"/>
    <w:rsid w:val="00CD226F"/>
    <w:rsid w:val="00CD2A8E"/>
    <w:rsid w:val="00CD3393"/>
    <w:rsid w:val="00CD362E"/>
    <w:rsid w:val="00CD484B"/>
    <w:rsid w:val="00CD4871"/>
    <w:rsid w:val="00CD631C"/>
    <w:rsid w:val="00CE050C"/>
    <w:rsid w:val="00CE06A9"/>
    <w:rsid w:val="00CE119E"/>
    <w:rsid w:val="00CE12C0"/>
    <w:rsid w:val="00CE1353"/>
    <w:rsid w:val="00CE23BF"/>
    <w:rsid w:val="00CE4A2C"/>
    <w:rsid w:val="00CE4E84"/>
    <w:rsid w:val="00CE650F"/>
    <w:rsid w:val="00CE65A6"/>
    <w:rsid w:val="00CE7DC7"/>
    <w:rsid w:val="00CF160C"/>
    <w:rsid w:val="00CF190E"/>
    <w:rsid w:val="00CF23BA"/>
    <w:rsid w:val="00CF330A"/>
    <w:rsid w:val="00CF36CC"/>
    <w:rsid w:val="00CF3A3E"/>
    <w:rsid w:val="00CF3A62"/>
    <w:rsid w:val="00CF49AE"/>
    <w:rsid w:val="00CF653C"/>
    <w:rsid w:val="00CF67A4"/>
    <w:rsid w:val="00CF76A1"/>
    <w:rsid w:val="00CF7C88"/>
    <w:rsid w:val="00D016DE"/>
    <w:rsid w:val="00D02002"/>
    <w:rsid w:val="00D02117"/>
    <w:rsid w:val="00D0221D"/>
    <w:rsid w:val="00D02E7B"/>
    <w:rsid w:val="00D032D0"/>
    <w:rsid w:val="00D05FB9"/>
    <w:rsid w:val="00D11CA8"/>
    <w:rsid w:val="00D12926"/>
    <w:rsid w:val="00D135DC"/>
    <w:rsid w:val="00D1427E"/>
    <w:rsid w:val="00D14549"/>
    <w:rsid w:val="00D155E4"/>
    <w:rsid w:val="00D156C9"/>
    <w:rsid w:val="00D1724E"/>
    <w:rsid w:val="00D1751A"/>
    <w:rsid w:val="00D17556"/>
    <w:rsid w:val="00D177A6"/>
    <w:rsid w:val="00D178B4"/>
    <w:rsid w:val="00D213DD"/>
    <w:rsid w:val="00D21662"/>
    <w:rsid w:val="00D222CE"/>
    <w:rsid w:val="00D222FC"/>
    <w:rsid w:val="00D22438"/>
    <w:rsid w:val="00D233D7"/>
    <w:rsid w:val="00D2360C"/>
    <w:rsid w:val="00D247BF"/>
    <w:rsid w:val="00D2519F"/>
    <w:rsid w:val="00D25B6D"/>
    <w:rsid w:val="00D26385"/>
    <w:rsid w:val="00D3117F"/>
    <w:rsid w:val="00D31C9A"/>
    <w:rsid w:val="00D3225B"/>
    <w:rsid w:val="00D331B3"/>
    <w:rsid w:val="00D33FDB"/>
    <w:rsid w:val="00D34C0F"/>
    <w:rsid w:val="00D35B54"/>
    <w:rsid w:val="00D361D3"/>
    <w:rsid w:val="00D4016A"/>
    <w:rsid w:val="00D4053A"/>
    <w:rsid w:val="00D414D7"/>
    <w:rsid w:val="00D41996"/>
    <w:rsid w:val="00D4340C"/>
    <w:rsid w:val="00D437A4"/>
    <w:rsid w:val="00D44266"/>
    <w:rsid w:val="00D44EA2"/>
    <w:rsid w:val="00D455A2"/>
    <w:rsid w:val="00D45C66"/>
    <w:rsid w:val="00D4600D"/>
    <w:rsid w:val="00D469AA"/>
    <w:rsid w:val="00D50572"/>
    <w:rsid w:val="00D50BBC"/>
    <w:rsid w:val="00D50CF4"/>
    <w:rsid w:val="00D5148C"/>
    <w:rsid w:val="00D516A3"/>
    <w:rsid w:val="00D51FB8"/>
    <w:rsid w:val="00D52068"/>
    <w:rsid w:val="00D52237"/>
    <w:rsid w:val="00D53EAA"/>
    <w:rsid w:val="00D53F5F"/>
    <w:rsid w:val="00D54155"/>
    <w:rsid w:val="00D54159"/>
    <w:rsid w:val="00D5553D"/>
    <w:rsid w:val="00D57B66"/>
    <w:rsid w:val="00D610D0"/>
    <w:rsid w:val="00D61AAD"/>
    <w:rsid w:val="00D62B28"/>
    <w:rsid w:val="00D636DD"/>
    <w:rsid w:val="00D64FA1"/>
    <w:rsid w:val="00D65A85"/>
    <w:rsid w:val="00D705F5"/>
    <w:rsid w:val="00D7097A"/>
    <w:rsid w:val="00D71B49"/>
    <w:rsid w:val="00D72DA3"/>
    <w:rsid w:val="00D731CE"/>
    <w:rsid w:val="00D73805"/>
    <w:rsid w:val="00D73A30"/>
    <w:rsid w:val="00D74229"/>
    <w:rsid w:val="00D742AA"/>
    <w:rsid w:val="00D74E0C"/>
    <w:rsid w:val="00D76C54"/>
    <w:rsid w:val="00D77A37"/>
    <w:rsid w:val="00D800A9"/>
    <w:rsid w:val="00D804AD"/>
    <w:rsid w:val="00D81196"/>
    <w:rsid w:val="00D833BB"/>
    <w:rsid w:val="00D83C9D"/>
    <w:rsid w:val="00D83FB2"/>
    <w:rsid w:val="00D84098"/>
    <w:rsid w:val="00D847DD"/>
    <w:rsid w:val="00D849D4"/>
    <w:rsid w:val="00D84B7B"/>
    <w:rsid w:val="00D854B8"/>
    <w:rsid w:val="00D857A8"/>
    <w:rsid w:val="00D85B42"/>
    <w:rsid w:val="00D85BF7"/>
    <w:rsid w:val="00D870F2"/>
    <w:rsid w:val="00D87AAE"/>
    <w:rsid w:val="00D906EA"/>
    <w:rsid w:val="00D90C0D"/>
    <w:rsid w:val="00D91037"/>
    <w:rsid w:val="00D910DC"/>
    <w:rsid w:val="00D91E75"/>
    <w:rsid w:val="00D92A11"/>
    <w:rsid w:val="00D93F8E"/>
    <w:rsid w:val="00D9426D"/>
    <w:rsid w:val="00D9542D"/>
    <w:rsid w:val="00DA0957"/>
    <w:rsid w:val="00DA17F3"/>
    <w:rsid w:val="00DA26B9"/>
    <w:rsid w:val="00DA411C"/>
    <w:rsid w:val="00DA4735"/>
    <w:rsid w:val="00DA54E9"/>
    <w:rsid w:val="00DA5F3E"/>
    <w:rsid w:val="00DA67B7"/>
    <w:rsid w:val="00DA6E42"/>
    <w:rsid w:val="00DA7D8D"/>
    <w:rsid w:val="00DB1F55"/>
    <w:rsid w:val="00DB1FA4"/>
    <w:rsid w:val="00DB26F4"/>
    <w:rsid w:val="00DB4287"/>
    <w:rsid w:val="00DB4C95"/>
    <w:rsid w:val="00DB5ED4"/>
    <w:rsid w:val="00DB7D0E"/>
    <w:rsid w:val="00DC07E5"/>
    <w:rsid w:val="00DC1712"/>
    <w:rsid w:val="00DC19D5"/>
    <w:rsid w:val="00DC3753"/>
    <w:rsid w:val="00DC49C5"/>
    <w:rsid w:val="00DC4E73"/>
    <w:rsid w:val="00DC5800"/>
    <w:rsid w:val="00DC598D"/>
    <w:rsid w:val="00DC5EC2"/>
    <w:rsid w:val="00DC7D16"/>
    <w:rsid w:val="00DC7D93"/>
    <w:rsid w:val="00DC7E9D"/>
    <w:rsid w:val="00DD0AC3"/>
    <w:rsid w:val="00DD12C4"/>
    <w:rsid w:val="00DD2004"/>
    <w:rsid w:val="00DD21FE"/>
    <w:rsid w:val="00DD2757"/>
    <w:rsid w:val="00DD3B4A"/>
    <w:rsid w:val="00DD4367"/>
    <w:rsid w:val="00DD51E3"/>
    <w:rsid w:val="00DD5FD0"/>
    <w:rsid w:val="00DD635C"/>
    <w:rsid w:val="00DD70DA"/>
    <w:rsid w:val="00DD7181"/>
    <w:rsid w:val="00DD77D8"/>
    <w:rsid w:val="00DD7D1F"/>
    <w:rsid w:val="00DE01A0"/>
    <w:rsid w:val="00DE1D85"/>
    <w:rsid w:val="00DE242F"/>
    <w:rsid w:val="00DE31AE"/>
    <w:rsid w:val="00DE3221"/>
    <w:rsid w:val="00DE3C4D"/>
    <w:rsid w:val="00DE521E"/>
    <w:rsid w:val="00DE704C"/>
    <w:rsid w:val="00DE730B"/>
    <w:rsid w:val="00DE7395"/>
    <w:rsid w:val="00DE78FE"/>
    <w:rsid w:val="00DE7AD0"/>
    <w:rsid w:val="00DE7CA6"/>
    <w:rsid w:val="00DF0AC9"/>
    <w:rsid w:val="00DF1D77"/>
    <w:rsid w:val="00DF2FE6"/>
    <w:rsid w:val="00DF365A"/>
    <w:rsid w:val="00DF461D"/>
    <w:rsid w:val="00DF48E5"/>
    <w:rsid w:val="00DF4CD2"/>
    <w:rsid w:val="00DF5C41"/>
    <w:rsid w:val="00DF70E1"/>
    <w:rsid w:val="00DF7944"/>
    <w:rsid w:val="00E01351"/>
    <w:rsid w:val="00E0254F"/>
    <w:rsid w:val="00E02635"/>
    <w:rsid w:val="00E02C2B"/>
    <w:rsid w:val="00E03285"/>
    <w:rsid w:val="00E03BB2"/>
    <w:rsid w:val="00E042D2"/>
    <w:rsid w:val="00E04E84"/>
    <w:rsid w:val="00E05F39"/>
    <w:rsid w:val="00E064AB"/>
    <w:rsid w:val="00E064CB"/>
    <w:rsid w:val="00E0685B"/>
    <w:rsid w:val="00E06FAB"/>
    <w:rsid w:val="00E07803"/>
    <w:rsid w:val="00E118C4"/>
    <w:rsid w:val="00E11E9B"/>
    <w:rsid w:val="00E12012"/>
    <w:rsid w:val="00E128BA"/>
    <w:rsid w:val="00E13CE4"/>
    <w:rsid w:val="00E14BDE"/>
    <w:rsid w:val="00E14EA9"/>
    <w:rsid w:val="00E15651"/>
    <w:rsid w:val="00E1600E"/>
    <w:rsid w:val="00E20EC5"/>
    <w:rsid w:val="00E21231"/>
    <w:rsid w:val="00E22C81"/>
    <w:rsid w:val="00E2415B"/>
    <w:rsid w:val="00E25201"/>
    <w:rsid w:val="00E32D21"/>
    <w:rsid w:val="00E331AF"/>
    <w:rsid w:val="00E35A5D"/>
    <w:rsid w:val="00E35C26"/>
    <w:rsid w:val="00E360EC"/>
    <w:rsid w:val="00E36197"/>
    <w:rsid w:val="00E37B40"/>
    <w:rsid w:val="00E406AC"/>
    <w:rsid w:val="00E4295D"/>
    <w:rsid w:val="00E42ABB"/>
    <w:rsid w:val="00E43A06"/>
    <w:rsid w:val="00E442CE"/>
    <w:rsid w:val="00E4534C"/>
    <w:rsid w:val="00E4580F"/>
    <w:rsid w:val="00E45C68"/>
    <w:rsid w:val="00E45CA2"/>
    <w:rsid w:val="00E47BF8"/>
    <w:rsid w:val="00E518EA"/>
    <w:rsid w:val="00E51C00"/>
    <w:rsid w:val="00E5540F"/>
    <w:rsid w:val="00E55745"/>
    <w:rsid w:val="00E5606F"/>
    <w:rsid w:val="00E579FB"/>
    <w:rsid w:val="00E600FB"/>
    <w:rsid w:val="00E60DCC"/>
    <w:rsid w:val="00E617E4"/>
    <w:rsid w:val="00E61810"/>
    <w:rsid w:val="00E6213A"/>
    <w:rsid w:val="00E62BB6"/>
    <w:rsid w:val="00E62FAA"/>
    <w:rsid w:val="00E634DD"/>
    <w:rsid w:val="00E63F5C"/>
    <w:rsid w:val="00E640D1"/>
    <w:rsid w:val="00E64F23"/>
    <w:rsid w:val="00E65DD6"/>
    <w:rsid w:val="00E66428"/>
    <w:rsid w:val="00E66B05"/>
    <w:rsid w:val="00E705E2"/>
    <w:rsid w:val="00E715C7"/>
    <w:rsid w:val="00E71C24"/>
    <w:rsid w:val="00E72291"/>
    <w:rsid w:val="00E74131"/>
    <w:rsid w:val="00E74801"/>
    <w:rsid w:val="00E74E0C"/>
    <w:rsid w:val="00E7663D"/>
    <w:rsid w:val="00E771F5"/>
    <w:rsid w:val="00E7773D"/>
    <w:rsid w:val="00E80D93"/>
    <w:rsid w:val="00E826CF"/>
    <w:rsid w:val="00E83D2C"/>
    <w:rsid w:val="00E84B07"/>
    <w:rsid w:val="00E85396"/>
    <w:rsid w:val="00E857F1"/>
    <w:rsid w:val="00E865F9"/>
    <w:rsid w:val="00E86FB5"/>
    <w:rsid w:val="00E87690"/>
    <w:rsid w:val="00E90171"/>
    <w:rsid w:val="00E919E1"/>
    <w:rsid w:val="00E92592"/>
    <w:rsid w:val="00E92E8D"/>
    <w:rsid w:val="00E95370"/>
    <w:rsid w:val="00E96157"/>
    <w:rsid w:val="00E9721A"/>
    <w:rsid w:val="00E977DE"/>
    <w:rsid w:val="00E97E53"/>
    <w:rsid w:val="00E97E98"/>
    <w:rsid w:val="00EA0CDD"/>
    <w:rsid w:val="00EA0CE4"/>
    <w:rsid w:val="00EA3D6E"/>
    <w:rsid w:val="00EA5004"/>
    <w:rsid w:val="00EA553D"/>
    <w:rsid w:val="00EA5808"/>
    <w:rsid w:val="00EA69DB"/>
    <w:rsid w:val="00EA6D4B"/>
    <w:rsid w:val="00EA7319"/>
    <w:rsid w:val="00EA796F"/>
    <w:rsid w:val="00EB1990"/>
    <w:rsid w:val="00EB1CB7"/>
    <w:rsid w:val="00EB1F2D"/>
    <w:rsid w:val="00EB4FA7"/>
    <w:rsid w:val="00EB5CDF"/>
    <w:rsid w:val="00EB6315"/>
    <w:rsid w:val="00EB65F5"/>
    <w:rsid w:val="00EB7B5F"/>
    <w:rsid w:val="00EC008A"/>
    <w:rsid w:val="00EC11BD"/>
    <w:rsid w:val="00EC3CFE"/>
    <w:rsid w:val="00EC5141"/>
    <w:rsid w:val="00EC6286"/>
    <w:rsid w:val="00EC667C"/>
    <w:rsid w:val="00EC794F"/>
    <w:rsid w:val="00EC7F03"/>
    <w:rsid w:val="00ED0124"/>
    <w:rsid w:val="00ED34AD"/>
    <w:rsid w:val="00ED4328"/>
    <w:rsid w:val="00ED435E"/>
    <w:rsid w:val="00ED44B7"/>
    <w:rsid w:val="00ED4D46"/>
    <w:rsid w:val="00ED4D7A"/>
    <w:rsid w:val="00ED591E"/>
    <w:rsid w:val="00ED6BE8"/>
    <w:rsid w:val="00ED6C48"/>
    <w:rsid w:val="00ED781B"/>
    <w:rsid w:val="00EE1906"/>
    <w:rsid w:val="00EE24D8"/>
    <w:rsid w:val="00EE3094"/>
    <w:rsid w:val="00EE331A"/>
    <w:rsid w:val="00EE39D7"/>
    <w:rsid w:val="00EE4E3A"/>
    <w:rsid w:val="00EE5288"/>
    <w:rsid w:val="00EE52DB"/>
    <w:rsid w:val="00EE5ADC"/>
    <w:rsid w:val="00EF07A3"/>
    <w:rsid w:val="00EF0C07"/>
    <w:rsid w:val="00EF1410"/>
    <w:rsid w:val="00EF2434"/>
    <w:rsid w:val="00EF4282"/>
    <w:rsid w:val="00EF4D49"/>
    <w:rsid w:val="00EF5344"/>
    <w:rsid w:val="00EF74F5"/>
    <w:rsid w:val="00EF7AAA"/>
    <w:rsid w:val="00EF7ACA"/>
    <w:rsid w:val="00F00380"/>
    <w:rsid w:val="00F01581"/>
    <w:rsid w:val="00F01B1F"/>
    <w:rsid w:val="00F022DD"/>
    <w:rsid w:val="00F03D7F"/>
    <w:rsid w:val="00F04A59"/>
    <w:rsid w:val="00F06966"/>
    <w:rsid w:val="00F0761C"/>
    <w:rsid w:val="00F07978"/>
    <w:rsid w:val="00F10DFB"/>
    <w:rsid w:val="00F10FEC"/>
    <w:rsid w:val="00F111E3"/>
    <w:rsid w:val="00F11492"/>
    <w:rsid w:val="00F12609"/>
    <w:rsid w:val="00F1266A"/>
    <w:rsid w:val="00F1272D"/>
    <w:rsid w:val="00F12883"/>
    <w:rsid w:val="00F13A35"/>
    <w:rsid w:val="00F156B1"/>
    <w:rsid w:val="00F165FD"/>
    <w:rsid w:val="00F20000"/>
    <w:rsid w:val="00F2026F"/>
    <w:rsid w:val="00F20AC1"/>
    <w:rsid w:val="00F21CE3"/>
    <w:rsid w:val="00F22D99"/>
    <w:rsid w:val="00F22F63"/>
    <w:rsid w:val="00F24040"/>
    <w:rsid w:val="00F24EBD"/>
    <w:rsid w:val="00F25D44"/>
    <w:rsid w:val="00F25DF6"/>
    <w:rsid w:val="00F26577"/>
    <w:rsid w:val="00F2691D"/>
    <w:rsid w:val="00F26C42"/>
    <w:rsid w:val="00F26E30"/>
    <w:rsid w:val="00F302A3"/>
    <w:rsid w:val="00F30F24"/>
    <w:rsid w:val="00F31B0E"/>
    <w:rsid w:val="00F327A5"/>
    <w:rsid w:val="00F344D1"/>
    <w:rsid w:val="00F354A6"/>
    <w:rsid w:val="00F35737"/>
    <w:rsid w:val="00F36D6A"/>
    <w:rsid w:val="00F3740C"/>
    <w:rsid w:val="00F37F31"/>
    <w:rsid w:val="00F40CA5"/>
    <w:rsid w:val="00F40EC7"/>
    <w:rsid w:val="00F41100"/>
    <w:rsid w:val="00F41F0F"/>
    <w:rsid w:val="00F42335"/>
    <w:rsid w:val="00F42B66"/>
    <w:rsid w:val="00F44BC7"/>
    <w:rsid w:val="00F454B9"/>
    <w:rsid w:val="00F45532"/>
    <w:rsid w:val="00F45571"/>
    <w:rsid w:val="00F45F3F"/>
    <w:rsid w:val="00F47E17"/>
    <w:rsid w:val="00F50914"/>
    <w:rsid w:val="00F51D53"/>
    <w:rsid w:val="00F53131"/>
    <w:rsid w:val="00F532FD"/>
    <w:rsid w:val="00F54062"/>
    <w:rsid w:val="00F549A5"/>
    <w:rsid w:val="00F5632A"/>
    <w:rsid w:val="00F576AF"/>
    <w:rsid w:val="00F603F4"/>
    <w:rsid w:val="00F63630"/>
    <w:rsid w:val="00F63C31"/>
    <w:rsid w:val="00F649A7"/>
    <w:rsid w:val="00F65F5D"/>
    <w:rsid w:val="00F6753D"/>
    <w:rsid w:val="00F71F16"/>
    <w:rsid w:val="00F7218D"/>
    <w:rsid w:val="00F74E0B"/>
    <w:rsid w:val="00F7564D"/>
    <w:rsid w:val="00F76C6A"/>
    <w:rsid w:val="00F77BB5"/>
    <w:rsid w:val="00F80326"/>
    <w:rsid w:val="00F806A4"/>
    <w:rsid w:val="00F82020"/>
    <w:rsid w:val="00F82349"/>
    <w:rsid w:val="00F82A6A"/>
    <w:rsid w:val="00F82C95"/>
    <w:rsid w:val="00F83BEB"/>
    <w:rsid w:val="00F83C7C"/>
    <w:rsid w:val="00F8451C"/>
    <w:rsid w:val="00F84AF1"/>
    <w:rsid w:val="00F85DD4"/>
    <w:rsid w:val="00F86A3A"/>
    <w:rsid w:val="00F86A4A"/>
    <w:rsid w:val="00F8707D"/>
    <w:rsid w:val="00F877E9"/>
    <w:rsid w:val="00F877F0"/>
    <w:rsid w:val="00F87ECC"/>
    <w:rsid w:val="00F900B1"/>
    <w:rsid w:val="00F907E8"/>
    <w:rsid w:val="00F914B7"/>
    <w:rsid w:val="00F91C5E"/>
    <w:rsid w:val="00F9231B"/>
    <w:rsid w:val="00F938EC"/>
    <w:rsid w:val="00F939B5"/>
    <w:rsid w:val="00F93E6D"/>
    <w:rsid w:val="00F94511"/>
    <w:rsid w:val="00F94C48"/>
    <w:rsid w:val="00F969AA"/>
    <w:rsid w:val="00F970CB"/>
    <w:rsid w:val="00F970EA"/>
    <w:rsid w:val="00F9796B"/>
    <w:rsid w:val="00FA0E3E"/>
    <w:rsid w:val="00FA14D2"/>
    <w:rsid w:val="00FA1842"/>
    <w:rsid w:val="00FA44F7"/>
    <w:rsid w:val="00FA4D53"/>
    <w:rsid w:val="00FA5DFC"/>
    <w:rsid w:val="00FA6869"/>
    <w:rsid w:val="00FA7140"/>
    <w:rsid w:val="00FB0589"/>
    <w:rsid w:val="00FB148F"/>
    <w:rsid w:val="00FB2613"/>
    <w:rsid w:val="00FB4C8C"/>
    <w:rsid w:val="00FB4EEC"/>
    <w:rsid w:val="00FB513F"/>
    <w:rsid w:val="00FB5FE5"/>
    <w:rsid w:val="00FB64AB"/>
    <w:rsid w:val="00FB74E2"/>
    <w:rsid w:val="00FB7B5D"/>
    <w:rsid w:val="00FB7C0A"/>
    <w:rsid w:val="00FB7C85"/>
    <w:rsid w:val="00FC0341"/>
    <w:rsid w:val="00FC14C0"/>
    <w:rsid w:val="00FC1BBD"/>
    <w:rsid w:val="00FC3123"/>
    <w:rsid w:val="00FC638A"/>
    <w:rsid w:val="00FC67B0"/>
    <w:rsid w:val="00FC7525"/>
    <w:rsid w:val="00FC7C52"/>
    <w:rsid w:val="00FD1385"/>
    <w:rsid w:val="00FD17B2"/>
    <w:rsid w:val="00FD19B4"/>
    <w:rsid w:val="00FD1E9D"/>
    <w:rsid w:val="00FD25EC"/>
    <w:rsid w:val="00FD28CE"/>
    <w:rsid w:val="00FD353D"/>
    <w:rsid w:val="00FD3E2C"/>
    <w:rsid w:val="00FD5047"/>
    <w:rsid w:val="00FD5449"/>
    <w:rsid w:val="00FD667E"/>
    <w:rsid w:val="00FD7642"/>
    <w:rsid w:val="00FE01B3"/>
    <w:rsid w:val="00FE0AE9"/>
    <w:rsid w:val="00FE18D0"/>
    <w:rsid w:val="00FE3260"/>
    <w:rsid w:val="00FE3737"/>
    <w:rsid w:val="00FE38D4"/>
    <w:rsid w:val="00FE460A"/>
    <w:rsid w:val="00FE55F7"/>
    <w:rsid w:val="00FE579A"/>
    <w:rsid w:val="00FE6F84"/>
    <w:rsid w:val="00FE71AC"/>
    <w:rsid w:val="00FE72F9"/>
    <w:rsid w:val="00FE75BF"/>
    <w:rsid w:val="00FF0AAC"/>
    <w:rsid w:val="00FF26E9"/>
    <w:rsid w:val="00FF357E"/>
    <w:rsid w:val="00FF3A75"/>
    <w:rsid w:val="00FF3E3F"/>
    <w:rsid w:val="00FF4C80"/>
    <w:rsid w:val="00FF62E5"/>
    <w:rsid w:val="00FF70B0"/>
    <w:rsid w:val="00FF7B76"/>
    <w:rsid w:val="00FF7D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FCB944"/>
  <w15:docId w15:val="{158AA096-22EC-48BE-923D-A7BEBA0A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4B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268F9"/>
    <w:pPr>
      <w:tabs>
        <w:tab w:val="left" w:pos="1701"/>
        <w:tab w:val="left" w:pos="2268"/>
        <w:tab w:val="left" w:pos="2835"/>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Text Char1 Char,Footnote Text Char1 Char Char Char,fn,Footnote Reference1, Char,Char,ft,Style 27,C"/>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 Char,Footnote Text Char1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Appel note de bas de p.,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ListParagraph">
    <w:name w:val="List Paragraph"/>
    <w:basedOn w:val="Normal"/>
    <w:uiPriority w:val="34"/>
    <w:qFormat/>
    <w:rsid w:val="002A24C4"/>
    <w:pPr>
      <w:ind w:left="720"/>
      <w:contextualSpacing/>
    </w:pPr>
  </w:style>
  <w:style w:type="character" w:customStyle="1" w:styleId="SingleTxtGChar">
    <w:name w:val="_ Single Txt_G Char"/>
    <w:link w:val="SingleTxtG"/>
    <w:locked/>
    <w:rsid w:val="00ED781B"/>
    <w:rPr>
      <w:rFonts w:ascii="Times New Roman" w:hAnsi="Times New Roman" w:cs="Times New Roman"/>
      <w:sz w:val="20"/>
      <w:szCs w:val="20"/>
    </w:rPr>
  </w:style>
  <w:style w:type="character" w:styleId="CommentReference">
    <w:name w:val="annotation reference"/>
    <w:basedOn w:val="DefaultParagraphFont"/>
    <w:semiHidden/>
    <w:unhideWhenUsed/>
    <w:rsid w:val="0092600C"/>
    <w:rPr>
      <w:sz w:val="16"/>
      <w:szCs w:val="16"/>
    </w:rPr>
  </w:style>
  <w:style w:type="paragraph" w:styleId="CommentText">
    <w:name w:val="annotation text"/>
    <w:basedOn w:val="Normal"/>
    <w:link w:val="CommentTextChar"/>
    <w:uiPriority w:val="99"/>
    <w:unhideWhenUsed/>
    <w:rsid w:val="0092600C"/>
    <w:pPr>
      <w:spacing w:line="240" w:lineRule="auto"/>
    </w:pPr>
  </w:style>
  <w:style w:type="character" w:customStyle="1" w:styleId="CommentTextChar">
    <w:name w:val="Comment Text Char"/>
    <w:basedOn w:val="DefaultParagraphFont"/>
    <w:link w:val="CommentText"/>
    <w:uiPriority w:val="99"/>
    <w:rsid w:val="0092600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2600C"/>
    <w:rPr>
      <w:b/>
      <w:bCs/>
    </w:rPr>
  </w:style>
  <w:style w:type="character" w:customStyle="1" w:styleId="CommentSubjectChar">
    <w:name w:val="Comment Subject Char"/>
    <w:basedOn w:val="CommentTextChar"/>
    <w:link w:val="CommentSubject"/>
    <w:uiPriority w:val="99"/>
    <w:semiHidden/>
    <w:rsid w:val="0092600C"/>
    <w:rPr>
      <w:rFonts w:ascii="Times New Roman" w:eastAsia="Times New Roman" w:hAnsi="Times New Roman" w:cs="Times New Roman"/>
      <w:b/>
      <w:bCs/>
      <w:sz w:val="20"/>
      <w:szCs w:val="20"/>
      <w:lang w:eastAsia="en-US"/>
    </w:rPr>
  </w:style>
  <w:style w:type="paragraph" w:styleId="Revision">
    <w:name w:val="Revision"/>
    <w:hidden/>
    <w:uiPriority w:val="99"/>
    <w:semiHidden/>
    <w:rsid w:val="0051364F"/>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B05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2686">
      <w:bodyDiv w:val="1"/>
      <w:marLeft w:val="0"/>
      <w:marRight w:val="0"/>
      <w:marTop w:val="0"/>
      <w:marBottom w:val="0"/>
      <w:divBdr>
        <w:top w:val="none" w:sz="0" w:space="0" w:color="auto"/>
        <w:left w:val="none" w:sz="0" w:space="0" w:color="auto"/>
        <w:bottom w:val="none" w:sz="0" w:space="0" w:color="auto"/>
        <w:right w:val="none" w:sz="0" w:space="0" w:color="auto"/>
      </w:divBdr>
    </w:div>
    <w:div w:id="129639621">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36154719">
      <w:bodyDiv w:val="1"/>
      <w:marLeft w:val="0"/>
      <w:marRight w:val="0"/>
      <w:marTop w:val="0"/>
      <w:marBottom w:val="0"/>
      <w:divBdr>
        <w:top w:val="none" w:sz="0" w:space="0" w:color="auto"/>
        <w:left w:val="none" w:sz="0" w:space="0" w:color="auto"/>
        <w:bottom w:val="none" w:sz="0" w:space="0" w:color="auto"/>
        <w:right w:val="none" w:sz="0" w:space="0" w:color="auto"/>
      </w:divBdr>
      <w:divsChild>
        <w:div w:id="542254271">
          <w:marLeft w:val="0"/>
          <w:marRight w:val="0"/>
          <w:marTop w:val="0"/>
          <w:marBottom w:val="0"/>
          <w:divBdr>
            <w:top w:val="none" w:sz="0" w:space="0" w:color="auto"/>
            <w:left w:val="none" w:sz="0" w:space="0" w:color="auto"/>
            <w:bottom w:val="none" w:sz="0" w:space="0" w:color="auto"/>
            <w:right w:val="none" w:sz="0" w:space="0" w:color="auto"/>
          </w:divBdr>
        </w:div>
        <w:div w:id="1126584714">
          <w:marLeft w:val="0"/>
          <w:marRight w:val="0"/>
          <w:marTop w:val="0"/>
          <w:marBottom w:val="0"/>
          <w:divBdr>
            <w:top w:val="none" w:sz="0" w:space="0" w:color="auto"/>
            <w:left w:val="none" w:sz="0" w:space="0" w:color="auto"/>
            <w:bottom w:val="none" w:sz="0" w:space="0" w:color="auto"/>
            <w:right w:val="none" w:sz="0" w:space="0" w:color="auto"/>
          </w:divBdr>
        </w:div>
        <w:div w:id="1107851873">
          <w:marLeft w:val="0"/>
          <w:marRight w:val="0"/>
          <w:marTop w:val="0"/>
          <w:marBottom w:val="0"/>
          <w:divBdr>
            <w:top w:val="none" w:sz="0" w:space="0" w:color="auto"/>
            <w:left w:val="none" w:sz="0" w:space="0" w:color="auto"/>
            <w:bottom w:val="none" w:sz="0" w:space="0" w:color="auto"/>
            <w:right w:val="none" w:sz="0" w:space="0" w:color="auto"/>
          </w:divBdr>
        </w:div>
      </w:divsChild>
    </w:div>
    <w:div w:id="368455311">
      <w:bodyDiv w:val="1"/>
      <w:marLeft w:val="0"/>
      <w:marRight w:val="0"/>
      <w:marTop w:val="0"/>
      <w:marBottom w:val="0"/>
      <w:divBdr>
        <w:top w:val="none" w:sz="0" w:space="0" w:color="auto"/>
        <w:left w:val="none" w:sz="0" w:space="0" w:color="auto"/>
        <w:bottom w:val="none" w:sz="0" w:space="0" w:color="auto"/>
        <w:right w:val="none" w:sz="0" w:space="0" w:color="auto"/>
      </w:divBdr>
    </w:div>
    <w:div w:id="373123017">
      <w:bodyDiv w:val="1"/>
      <w:marLeft w:val="0"/>
      <w:marRight w:val="0"/>
      <w:marTop w:val="0"/>
      <w:marBottom w:val="0"/>
      <w:divBdr>
        <w:top w:val="none" w:sz="0" w:space="0" w:color="auto"/>
        <w:left w:val="none" w:sz="0" w:space="0" w:color="auto"/>
        <w:bottom w:val="none" w:sz="0" w:space="0" w:color="auto"/>
        <w:right w:val="none" w:sz="0" w:space="0" w:color="auto"/>
      </w:divBdr>
    </w:div>
    <w:div w:id="389621984">
      <w:bodyDiv w:val="1"/>
      <w:marLeft w:val="0"/>
      <w:marRight w:val="0"/>
      <w:marTop w:val="0"/>
      <w:marBottom w:val="0"/>
      <w:divBdr>
        <w:top w:val="none" w:sz="0" w:space="0" w:color="auto"/>
        <w:left w:val="none" w:sz="0" w:space="0" w:color="auto"/>
        <w:bottom w:val="none" w:sz="0" w:space="0" w:color="auto"/>
        <w:right w:val="none" w:sz="0" w:space="0" w:color="auto"/>
      </w:divBdr>
    </w:div>
    <w:div w:id="405300909">
      <w:bodyDiv w:val="1"/>
      <w:marLeft w:val="0"/>
      <w:marRight w:val="0"/>
      <w:marTop w:val="0"/>
      <w:marBottom w:val="0"/>
      <w:divBdr>
        <w:top w:val="none" w:sz="0" w:space="0" w:color="auto"/>
        <w:left w:val="none" w:sz="0" w:space="0" w:color="auto"/>
        <w:bottom w:val="none" w:sz="0" w:space="0" w:color="auto"/>
        <w:right w:val="none" w:sz="0" w:space="0" w:color="auto"/>
      </w:divBdr>
    </w:div>
    <w:div w:id="409541868">
      <w:bodyDiv w:val="1"/>
      <w:marLeft w:val="0"/>
      <w:marRight w:val="0"/>
      <w:marTop w:val="0"/>
      <w:marBottom w:val="0"/>
      <w:divBdr>
        <w:top w:val="none" w:sz="0" w:space="0" w:color="auto"/>
        <w:left w:val="none" w:sz="0" w:space="0" w:color="auto"/>
        <w:bottom w:val="none" w:sz="0" w:space="0" w:color="auto"/>
        <w:right w:val="none" w:sz="0" w:space="0" w:color="auto"/>
      </w:divBdr>
    </w:div>
    <w:div w:id="418529737">
      <w:bodyDiv w:val="1"/>
      <w:marLeft w:val="0"/>
      <w:marRight w:val="0"/>
      <w:marTop w:val="0"/>
      <w:marBottom w:val="0"/>
      <w:divBdr>
        <w:top w:val="none" w:sz="0" w:space="0" w:color="auto"/>
        <w:left w:val="none" w:sz="0" w:space="0" w:color="auto"/>
        <w:bottom w:val="none" w:sz="0" w:space="0" w:color="auto"/>
        <w:right w:val="none" w:sz="0" w:space="0" w:color="auto"/>
      </w:divBdr>
    </w:div>
    <w:div w:id="432212137">
      <w:bodyDiv w:val="1"/>
      <w:marLeft w:val="0"/>
      <w:marRight w:val="0"/>
      <w:marTop w:val="0"/>
      <w:marBottom w:val="0"/>
      <w:divBdr>
        <w:top w:val="none" w:sz="0" w:space="0" w:color="auto"/>
        <w:left w:val="none" w:sz="0" w:space="0" w:color="auto"/>
        <w:bottom w:val="none" w:sz="0" w:space="0" w:color="auto"/>
        <w:right w:val="none" w:sz="0" w:space="0" w:color="auto"/>
      </w:divBdr>
    </w:div>
    <w:div w:id="512493850">
      <w:bodyDiv w:val="1"/>
      <w:marLeft w:val="0"/>
      <w:marRight w:val="0"/>
      <w:marTop w:val="0"/>
      <w:marBottom w:val="0"/>
      <w:divBdr>
        <w:top w:val="none" w:sz="0" w:space="0" w:color="auto"/>
        <w:left w:val="none" w:sz="0" w:space="0" w:color="auto"/>
        <w:bottom w:val="none" w:sz="0" w:space="0" w:color="auto"/>
        <w:right w:val="none" w:sz="0" w:space="0" w:color="auto"/>
      </w:divBdr>
    </w:div>
    <w:div w:id="550195044">
      <w:bodyDiv w:val="1"/>
      <w:marLeft w:val="0"/>
      <w:marRight w:val="0"/>
      <w:marTop w:val="0"/>
      <w:marBottom w:val="0"/>
      <w:divBdr>
        <w:top w:val="none" w:sz="0" w:space="0" w:color="auto"/>
        <w:left w:val="none" w:sz="0" w:space="0" w:color="auto"/>
        <w:bottom w:val="none" w:sz="0" w:space="0" w:color="auto"/>
        <w:right w:val="none" w:sz="0" w:space="0" w:color="auto"/>
      </w:divBdr>
    </w:div>
    <w:div w:id="559440793">
      <w:bodyDiv w:val="1"/>
      <w:marLeft w:val="0"/>
      <w:marRight w:val="0"/>
      <w:marTop w:val="0"/>
      <w:marBottom w:val="0"/>
      <w:divBdr>
        <w:top w:val="none" w:sz="0" w:space="0" w:color="auto"/>
        <w:left w:val="none" w:sz="0" w:space="0" w:color="auto"/>
        <w:bottom w:val="none" w:sz="0" w:space="0" w:color="auto"/>
        <w:right w:val="none" w:sz="0" w:space="0" w:color="auto"/>
      </w:divBdr>
    </w:div>
    <w:div w:id="583340952">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09512990">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0269335">
      <w:bodyDiv w:val="1"/>
      <w:marLeft w:val="0"/>
      <w:marRight w:val="0"/>
      <w:marTop w:val="0"/>
      <w:marBottom w:val="0"/>
      <w:divBdr>
        <w:top w:val="none" w:sz="0" w:space="0" w:color="auto"/>
        <w:left w:val="none" w:sz="0" w:space="0" w:color="auto"/>
        <w:bottom w:val="none" w:sz="0" w:space="0" w:color="auto"/>
        <w:right w:val="none" w:sz="0" w:space="0" w:color="auto"/>
      </w:divBdr>
      <w:divsChild>
        <w:div w:id="17052443">
          <w:marLeft w:val="0"/>
          <w:marRight w:val="0"/>
          <w:marTop w:val="0"/>
          <w:marBottom w:val="0"/>
          <w:divBdr>
            <w:top w:val="none" w:sz="0" w:space="0" w:color="auto"/>
            <w:left w:val="none" w:sz="0" w:space="0" w:color="auto"/>
            <w:bottom w:val="none" w:sz="0" w:space="0" w:color="auto"/>
            <w:right w:val="none" w:sz="0" w:space="0" w:color="auto"/>
          </w:divBdr>
          <w:divsChild>
            <w:div w:id="887033056">
              <w:marLeft w:val="0"/>
              <w:marRight w:val="0"/>
              <w:marTop w:val="0"/>
              <w:marBottom w:val="0"/>
              <w:divBdr>
                <w:top w:val="none" w:sz="0" w:space="0" w:color="auto"/>
                <w:left w:val="none" w:sz="0" w:space="0" w:color="auto"/>
                <w:bottom w:val="none" w:sz="0" w:space="0" w:color="auto"/>
                <w:right w:val="none" w:sz="0" w:space="0" w:color="auto"/>
              </w:divBdr>
              <w:divsChild>
                <w:div w:id="1225487333">
                  <w:marLeft w:val="0"/>
                  <w:marRight w:val="0"/>
                  <w:marTop w:val="0"/>
                  <w:marBottom w:val="0"/>
                  <w:divBdr>
                    <w:top w:val="none" w:sz="0" w:space="0" w:color="auto"/>
                    <w:left w:val="none" w:sz="0" w:space="0" w:color="auto"/>
                    <w:bottom w:val="none" w:sz="0" w:space="0" w:color="auto"/>
                    <w:right w:val="none" w:sz="0" w:space="0" w:color="auto"/>
                  </w:divBdr>
                  <w:divsChild>
                    <w:div w:id="644352846">
                      <w:marLeft w:val="0"/>
                      <w:marRight w:val="0"/>
                      <w:marTop w:val="0"/>
                      <w:marBottom w:val="0"/>
                      <w:divBdr>
                        <w:top w:val="none" w:sz="0" w:space="0" w:color="auto"/>
                        <w:left w:val="none" w:sz="0" w:space="0" w:color="auto"/>
                        <w:bottom w:val="none" w:sz="0" w:space="0" w:color="auto"/>
                        <w:right w:val="none" w:sz="0" w:space="0" w:color="auto"/>
                      </w:divBdr>
                      <w:divsChild>
                        <w:div w:id="2078433388">
                          <w:marLeft w:val="0"/>
                          <w:marRight w:val="0"/>
                          <w:marTop w:val="0"/>
                          <w:marBottom w:val="0"/>
                          <w:divBdr>
                            <w:top w:val="none" w:sz="0" w:space="0" w:color="auto"/>
                            <w:left w:val="none" w:sz="0" w:space="0" w:color="auto"/>
                            <w:bottom w:val="none" w:sz="0" w:space="0" w:color="auto"/>
                            <w:right w:val="none" w:sz="0" w:space="0" w:color="auto"/>
                          </w:divBdr>
                          <w:divsChild>
                            <w:div w:id="840657173">
                              <w:marLeft w:val="0"/>
                              <w:marRight w:val="0"/>
                              <w:marTop w:val="0"/>
                              <w:marBottom w:val="0"/>
                              <w:divBdr>
                                <w:top w:val="none" w:sz="0" w:space="0" w:color="auto"/>
                                <w:left w:val="none" w:sz="0" w:space="0" w:color="auto"/>
                                <w:bottom w:val="none" w:sz="0" w:space="0" w:color="auto"/>
                                <w:right w:val="none" w:sz="0" w:space="0" w:color="auto"/>
                              </w:divBdr>
                              <w:divsChild>
                                <w:div w:id="1109204969">
                                  <w:marLeft w:val="0"/>
                                  <w:marRight w:val="0"/>
                                  <w:marTop w:val="0"/>
                                  <w:marBottom w:val="0"/>
                                  <w:divBdr>
                                    <w:top w:val="none" w:sz="0" w:space="0" w:color="auto"/>
                                    <w:left w:val="none" w:sz="0" w:space="0" w:color="auto"/>
                                    <w:bottom w:val="none" w:sz="0" w:space="0" w:color="auto"/>
                                    <w:right w:val="none" w:sz="0" w:space="0" w:color="auto"/>
                                  </w:divBdr>
                                  <w:divsChild>
                                    <w:div w:id="881937728">
                                      <w:marLeft w:val="0"/>
                                      <w:marRight w:val="0"/>
                                      <w:marTop w:val="0"/>
                                      <w:marBottom w:val="0"/>
                                      <w:divBdr>
                                        <w:top w:val="none" w:sz="0" w:space="0" w:color="auto"/>
                                        <w:left w:val="none" w:sz="0" w:space="0" w:color="auto"/>
                                        <w:bottom w:val="none" w:sz="0" w:space="0" w:color="auto"/>
                                        <w:right w:val="none" w:sz="0" w:space="0" w:color="auto"/>
                                      </w:divBdr>
                                      <w:divsChild>
                                        <w:div w:id="1086221995">
                                          <w:marLeft w:val="0"/>
                                          <w:marRight w:val="0"/>
                                          <w:marTop w:val="0"/>
                                          <w:marBottom w:val="495"/>
                                          <w:divBdr>
                                            <w:top w:val="none" w:sz="0" w:space="0" w:color="auto"/>
                                            <w:left w:val="none" w:sz="0" w:space="0" w:color="auto"/>
                                            <w:bottom w:val="none" w:sz="0" w:space="0" w:color="auto"/>
                                            <w:right w:val="none" w:sz="0" w:space="0" w:color="auto"/>
                                          </w:divBdr>
                                          <w:divsChild>
                                            <w:div w:id="18437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755858955">
      <w:bodyDiv w:val="1"/>
      <w:marLeft w:val="0"/>
      <w:marRight w:val="0"/>
      <w:marTop w:val="0"/>
      <w:marBottom w:val="0"/>
      <w:divBdr>
        <w:top w:val="none" w:sz="0" w:space="0" w:color="auto"/>
        <w:left w:val="none" w:sz="0" w:space="0" w:color="auto"/>
        <w:bottom w:val="none" w:sz="0" w:space="0" w:color="auto"/>
        <w:right w:val="none" w:sz="0" w:space="0" w:color="auto"/>
      </w:divBdr>
    </w:div>
    <w:div w:id="778916644">
      <w:bodyDiv w:val="1"/>
      <w:marLeft w:val="0"/>
      <w:marRight w:val="0"/>
      <w:marTop w:val="0"/>
      <w:marBottom w:val="0"/>
      <w:divBdr>
        <w:top w:val="none" w:sz="0" w:space="0" w:color="auto"/>
        <w:left w:val="none" w:sz="0" w:space="0" w:color="auto"/>
        <w:bottom w:val="none" w:sz="0" w:space="0" w:color="auto"/>
        <w:right w:val="none" w:sz="0" w:space="0" w:color="auto"/>
      </w:divBdr>
    </w:div>
    <w:div w:id="810632567">
      <w:bodyDiv w:val="1"/>
      <w:marLeft w:val="0"/>
      <w:marRight w:val="0"/>
      <w:marTop w:val="0"/>
      <w:marBottom w:val="0"/>
      <w:divBdr>
        <w:top w:val="none" w:sz="0" w:space="0" w:color="auto"/>
        <w:left w:val="none" w:sz="0" w:space="0" w:color="auto"/>
        <w:bottom w:val="none" w:sz="0" w:space="0" w:color="auto"/>
        <w:right w:val="none" w:sz="0" w:space="0" w:color="auto"/>
      </w:divBdr>
    </w:div>
    <w:div w:id="859439149">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66474979">
      <w:bodyDiv w:val="1"/>
      <w:marLeft w:val="0"/>
      <w:marRight w:val="0"/>
      <w:marTop w:val="0"/>
      <w:marBottom w:val="0"/>
      <w:divBdr>
        <w:top w:val="none" w:sz="0" w:space="0" w:color="auto"/>
        <w:left w:val="none" w:sz="0" w:space="0" w:color="auto"/>
        <w:bottom w:val="none" w:sz="0" w:space="0" w:color="auto"/>
        <w:right w:val="none" w:sz="0" w:space="0" w:color="auto"/>
      </w:divBdr>
      <w:divsChild>
        <w:div w:id="130707327">
          <w:marLeft w:val="0"/>
          <w:marRight w:val="0"/>
          <w:marTop w:val="0"/>
          <w:marBottom w:val="0"/>
          <w:divBdr>
            <w:top w:val="none" w:sz="0" w:space="0" w:color="auto"/>
            <w:left w:val="none" w:sz="0" w:space="0" w:color="auto"/>
            <w:bottom w:val="none" w:sz="0" w:space="0" w:color="auto"/>
            <w:right w:val="none" w:sz="0" w:space="0" w:color="auto"/>
          </w:divBdr>
        </w:div>
        <w:div w:id="321398752">
          <w:marLeft w:val="0"/>
          <w:marRight w:val="0"/>
          <w:marTop w:val="0"/>
          <w:marBottom w:val="0"/>
          <w:divBdr>
            <w:top w:val="none" w:sz="0" w:space="0" w:color="auto"/>
            <w:left w:val="none" w:sz="0" w:space="0" w:color="auto"/>
            <w:bottom w:val="none" w:sz="0" w:space="0" w:color="auto"/>
            <w:right w:val="none" w:sz="0" w:space="0" w:color="auto"/>
          </w:divBdr>
        </w:div>
        <w:div w:id="1620406845">
          <w:marLeft w:val="0"/>
          <w:marRight w:val="0"/>
          <w:marTop w:val="0"/>
          <w:marBottom w:val="0"/>
          <w:divBdr>
            <w:top w:val="none" w:sz="0" w:space="0" w:color="auto"/>
            <w:left w:val="none" w:sz="0" w:space="0" w:color="auto"/>
            <w:bottom w:val="none" w:sz="0" w:space="0" w:color="auto"/>
            <w:right w:val="none" w:sz="0" w:space="0" w:color="auto"/>
          </w:divBdr>
        </w:div>
      </w:divsChild>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39428697">
      <w:bodyDiv w:val="1"/>
      <w:marLeft w:val="0"/>
      <w:marRight w:val="0"/>
      <w:marTop w:val="0"/>
      <w:marBottom w:val="0"/>
      <w:divBdr>
        <w:top w:val="none" w:sz="0" w:space="0" w:color="auto"/>
        <w:left w:val="none" w:sz="0" w:space="0" w:color="auto"/>
        <w:bottom w:val="none" w:sz="0" w:space="0" w:color="auto"/>
        <w:right w:val="none" w:sz="0" w:space="0" w:color="auto"/>
      </w:divBdr>
    </w:div>
    <w:div w:id="1079447340">
      <w:bodyDiv w:val="1"/>
      <w:marLeft w:val="0"/>
      <w:marRight w:val="0"/>
      <w:marTop w:val="0"/>
      <w:marBottom w:val="0"/>
      <w:divBdr>
        <w:top w:val="none" w:sz="0" w:space="0" w:color="auto"/>
        <w:left w:val="none" w:sz="0" w:space="0" w:color="auto"/>
        <w:bottom w:val="none" w:sz="0" w:space="0" w:color="auto"/>
        <w:right w:val="none" w:sz="0" w:space="0" w:color="auto"/>
      </w:divBdr>
      <w:divsChild>
        <w:div w:id="765733054">
          <w:marLeft w:val="0"/>
          <w:marRight w:val="0"/>
          <w:marTop w:val="0"/>
          <w:marBottom w:val="0"/>
          <w:divBdr>
            <w:top w:val="none" w:sz="0" w:space="0" w:color="auto"/>
            <w:left w:val="none" w:sz="0" w:space="0" w:color="auto"/>
            <w:bottom w:val="none" w:sz="0" w:space="0" w:color="auto"/>
            <w:right w:val="none" w:sz="0" w:space="0" w:color="auto"/>
          </w:divBdr>
        </w:div>
        <w:div w:id="200557971">
          <w:marLeft w:val="0"/>
          <w:marRight w:val="0"/>
          <w:marTop w:val="0"/>
          <w:marBottom w:val="0"/>
          <w:divBdr>
            <w:top w:val="none" w:sz="0" w:space="0" w:color="auto"/>
            <w:left w:val="none" w:sz="0" w:space="0" w:color="auto"/>
            <w:bottom w:val="none" w:sz="0" w:space="0" w:color="auto"/>
            <w:right w:val="none" w:sz="0" w:space="0" w:color="auto"/>
          </w:divBdr>
        </w:div>
      </w:divsChild>
    </w:div>
    <w:div w:id="1098913797">
      <w:bodyDiv w:val="1"/>
      <w:marLeft w:val="0"/>
      <w:marRight w:val="0"/>
      <w:marTop w:val="0"/>
      <w:marBottom w:val="0"/>
      <w:divBdr>
        <w:top w:val="none" w:sz="0" w:space="0" w:color="auto"/>
        <w:left w:val="none" w:sz="0" w:space="0" w:color="auto"/>
        <w:bottom w:val="none" w:sz="0" w:space="0" w:color="auto"/>
        <w:right w:val="none" w:sz="0" w:space="0" w:color="auto"/>
      </w:divBdr>
    </w:div>
    <w:div w:id="1179928443">
      <w:bodyDiv w:val="1"/>
      <w:marLeft w:val="0"/>
      <w:marRight w:val="0"/>
      <w:marTop w:val="0"/>
      <w:marBottom w:val="0"/>
      <w:divBdr>
        <w:top w:val="none" w:sz="0" w:space="0" w:color="auto"/>
        <w:left w:val="none" w:sz="0" w:space="0" w:color="auto"/>
        <w:bottom w:val="none" w:sz="0" w:space="0" w:color="auto"/>
        <w:right w:val="none" w:sz="0" w:space="0" w:color="auto"/>
      </w:divBdr>
    </w:div>
    <w:div w:id="1314944357">
      <w:bodyDiv w:val="1"/>
      <w:marLeft w:val="0"/>
      <w:marRight w:val="0"/>
      <w:marTop w:val="0"/>
      <w:marBottom w:val="0"/>
      <w:divBdr>
        <w:top w:val="none" w:sz="0" w:space="0" w:color="auto"/>
        <w:left w:val="none" w:sz="0" w:space="0" w:color="auto"/>
        <w:bottom w:val="none" w:sz="0" w:space="0" w:color="auto"/>
        <w:right w:val="none" w:sz="0" w:space="0" w:color="auto"/>
      </w:divBdr>
    </w:div>
    <w:div w:id="1366711248">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442064321">
      <w:bodyDiv w:val="1"/>
      <w:marLeft w:val="0"/>
      <w:marRight w:val="0"/>
      <w:marTop w:val="0"/>
      <w:marBottom w:val="0"/>
      <w:divBdr>
        <w:top w:val="none" w:sz="0" w:space="0" w:color="auto"/>
        <w:left w:val="none" w:sz="0" w:space="0" w:color="auto"/>
        <w:bottom w:val="none" w:sz="0" w:space="0" w:color="auto"/>
        <w:right w:val="none" w:sz="0" w:space="0" w:color="auto"/>
      </w:divBdr>
    </w:div>
    <w:div w:id="1445685765">
      <w:bodyDiv w:val="1"/>
      <w:marLeft w:val="0"/>
      <w:marRight w:val="0"/>
      <w:marTop w:val="0"/>
      <w:marBottom w:val="0"/>
      <w:divBdr>
        <w:top w:val="none" w:sz="0" w:space="0" w:color="auto"/>
        <w:left w:val="none" w:sz="0" w:space="0" w:color="auto"/>
        <w:bottom w:val="none" w:sz="0" w:space="0" w:color="auto"/>
        <w:right w:val="none" w:sz="0" w:space="0" w:color="auto"/>
      </w:divBdr>
    </w:div>
    <w:div w:id="1488282696">
      <w:bodyDiv w:val="1"/>
      <w:marLeft w:val="0"/>
      <w:marRight w:val="0"/>
      <w:marTop w:val="0"/>
      <w:marBottom w:val="0"/>
      <w:divBdr>
        <w:top w:val="none" w:sz="0" w:space="0" w:color="auto"/>
        <w:left w:val="none" w:sz="0" w:space="0" w:color="auto"/>
        <w:bottom w:val="none" w:sz="0" w:space="0" w:color="auto"/>
        <w:right w:val="none" w:sz="0" w:space="0" w:color="auto"/>
      </w:divBdr>
    </w:div>
    <w:div w:id="1495148184">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3676243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836797552">
      <w:bodyDiv w:val="1"/>
      <w:marLeft w:val="0"/>
      <w:marRight w:val="0"/>
      <w:marTop w:val="0"/>
      <w:marBottom w:val="0"/>
      <w:divBdr>
        <w:top w:val="none" w:sz="0" w:space="0" w:color="auto"/>
        <w:left w:val="none" w:sz="0" w:space="0" w:color="auto"/>
        <w:bottom w:val="none" w:sz="0" w:space="0" w:color="auto"/>
        <w:right w:val="none" w:sz="0" w:space="0" w:color="auto"/>
      </w:divBdr>
    </w:div>
    <w:div w:id="1853105941">
      <w:bodyDiv w:val="1"/>
      <w:marLeft w:val="0"/>
      <w:marRight w:val="0"/>
      <w:marTop w:val="0"/>
      <w:marBottom w:val="0"/>
      <w:divBdr>
        <w:top w:val="none" w:sz="0" w:space="0" w:color="auto"/>
        <w:left w:val="none" w:sz="0" w:space="0" w:color="auto"/>
        <w:bottom w:val="none" w:sz="0" w:space="0" w:color="auto"/>
        <w:right w:val="none" w:sz="0" w:space="0" w:color="auto"/>
      </w:divBdr>
    </w:div>
    <w:div w:id="1932545675">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18726779">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ver_x0020_page xmlns="843519ee-602c-4a77-9f98-e0b2d1df032d">false</Cover_x0020_page>
    <Folder xmlns="843519ee-602c-4a77-9f98-e0b2d1df032d">-</Folder>
    <Chamber_2 xmlns="d0e6e1dd-cead-4b20-a8ab-6c17962cc4ab">false</Chamber_2>
    <Inadmissibility xmlns="d0e6e1dd-cead-4b20-a8ab-6c17962cc4ab">true</Inadmissibility>
    <Chamber_1 xmlns="d0e6e1dd-cead-4b20-a8ab-6c17962cc4ab">false</Chamber_1>
    <Follow_x002d_up xmlns="d0e6e1dd-cead-4b20-a8ab-6c17962cc4ab">false</Follow_x002d_up>
    <Repetitive xmlns="d0e6e1dd-cead-4b20-a8ab-6c17962cc4ab">false</Repetitive>
    <Case xmlns="1bb7588e-e247-4215-aaaa-8ddb8e8e8079" xsi:nil="true"/>
    <Drafts_x0020_adopted_x0020_by_x0020_the_x0020_chambers xmlns="2d113eb4-e65a-468c-82cb-a0357bc1037f">false</Drafts_x0020_adopted_x0020_by_x0020_the_x0020_chambers>
    <Admissible xmlns="2d113eb4-e65a-468c-82cb-a0357bc1037f">false</Admissible>
    <Discontinuance xmlns="d0e6e1dd-cead-4b20-a8ab-6c17962cc4ab">false</Discontinuance>
    <List_x0020_of_x0020_documents xmlns="d0e6e1dd-cead-4b20-a8ab-6c17962cc4ab">false</List_x0020_of_x0020_docu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ase document" ma:contentTypeID="0x010100A70BC505B2949A43BBFACEE4A97207700025AFD0B9E7D9F847AB3AA1146ED874B2" ma:contentTypeVersion="17" ma:contentTypeDescription="" ma:contentTypeScope="" ma:versionID="71fc21a7be5898d67b7d5de50e14214d">
  <xsd:schema xmlns:xsd="http://www.w3.org/2001/XMLSchema" xmlns:xs="http://www.w3.org/2001/XMLSchema" xmlns:p="http://schemas.microsoft.com/office/2006/metadata/properties" xmlns:ns2="843519ee-602c-4a77-9f98-e0b2d1df032d" xmlns:ns3="1bb7588e-e247-4215-aaaa-8ddb8e8e8079" xmlns:ns4="d0e6e1dd-cead-4b20-a8ab-6c17962cc4ab" xmlns:ns5="2d113eb4-e65a-468c-82cb-a0357bc1037f" targetNamespace="http://schemas.microsoft.com/office/2006/metadata/properties" ma:root="true" ma:fieldsID="71c62becfd082241977e2c848b4c2544" ns2:_="" ns3:_="" ns4:_="" ns5:_="">
    <xsd:import namespace="843519ee-602c-4a77-9f98-e0b2d1df032d"/>
    <xsd:import namespace="1bb7588e-e247-4215-aaaa-8ddb8e8e8079"/>
    <xsd:import namespace="d0e6e1dd-cead-4b20-a8ab-6c17962cc4ab"/>
    <xsd:import namespace="2d113eb4-e65a-468c-82cb-a0357bc1037f"/>
    <xsd:element name="properties">
      <xsd:complexType>
        <xsd:sequence>
          <xsd:element name="documentManagement">
            <xsd:complexType>
              <xsd:all>
                <xsd:element ref="ns2:Folder" minOccurs="0"/>
                <xsd:element ref="ns2:Cover_x0020_page" minOccurs="0"/>
                <xsd:element ref="ns3:Case" minOccurs="0"/>
                <xsd:element ref="ns4:Follow_x002d_up" minOccurs="0"/>
                <xsd:element ref="ns4:Inadmissibility" minOccurs="0"/>
                <xsd:element ref="ns4:Discontinuance" minOccurs="0"/>
                <xsd:element ref="ns4:List_x0020_of_x0020_documents" minOccurs="0"/>
                <xsd:element ref="ns4:Repetitive" minOccurs="0"/>
                <xsd:element ref="ns4:Chamber_1" minOccurs="0"/>
                <xsd:element ref="ns4:Chamber_2" minOccurs="0"/>
                <xsd:element ref="ns5:Drafts_x0020_adopted_x0020_by_x0020_the_x0020_chambers" minOccurs="0"/>
                <xsd:element ref="ns5:Admis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Folder" ma:index="8" nillable="true" ma:displayName="Folder" ma:default="-" ma:description="Please select the folder, if needed" ma:format="Dropdown" ma:internalName="Folder">
      <xsd:simpleType>
        <xsd:restriction base="dms:Choice">
          <xsd:enumeration value="-"/>
          <xsd:enumeration value="Folder 1"/>
          <xsd:enumeration value="Folder 2"/>
          <xsd:enumeration value="Folder 3"/>
          <xsd:enumeration value="Folder 4"/>
          <xsd:enumeration value="Folder 5"/>
          <xsd:enumeration value="Folder 6"/>
          <xsd:enumeration value="Folder 7"/>
          <xsd:enumeration value="Folder 8"/>
          <xsd:enumeration value="Folder 9"/>
        </xsd:restriction>
      </xsd:simpleType>
    </xsd:element>
    <xsd:element name="Cover_x0020_page" ma:index="9" nillable="true" ma:displayName="Cover page" ma:default="0" ma:description="Check the box if it is a cover page folder" ma:internalName="Cov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b7588e-e247-4215-aaaa-8ddb8e8e8079" elementFormDefault="qualified">
    <xsd:import namespace="http://schemas.microsoft.com/office/2006/documentManagement/types"/>
    <xsd:import namespace="http://schemas.microsoft.com/office/infopath/2007/PartnerControls"/>
    <xsd:element name="Case" ma:index="10" nillable="true" ma:displayName="Case" ma:description="Please select a case" ma:list="{544f8d53-f405-494b-9312-94ad2f3a27a5}" ma:internalName="Ca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e6e1dd-cead-4b20-a8ab-6c17962cc4ab" elementFormDefault="qualified">
    <xsd:import namespace="http://schemas.microsoft.com/office/2006/documentManagement/types"/>
    <xsd:import namespace="http://schemas.microsoft.com/office/infopath/2007/PartnerControls"/>
    <xsd:element name="Follow_x002d_up" ma:index="11" nillable="true" ma:displayName="Follow-up" ma:default="0" ma:description="Check the box if it is a follow-up report" ma:internalName="Follow_x002d_up">
      <xsd:simpleType>
        <xsd:restriction base="dms:Boolean"/>
      </xsd:simpleType>
    </xsd:element>
    <xsd:element name="Inadmissibility" ma:index="12" nillable="true" ma:displayName="Inadmissibility" ma:default="0" ma:description="Check the box if it is Indadmissibility" ma:internalName="Inadmissibility">
      <xsd:simpleType>
        <xsd:restriction base="dms:Boolean"/>
      </xsd:simpleType>
    </xsd:element>
    <xsd:element name="Discontinuance" ma:index="13" nillable="true" ma:displayName="Discontinuance" ma:default="0" ma:description="Select the box if it is Discontinuance" ma:internalName="Discontinuance">
      <xsd:simpleType>
        <xsd:restriction base="dms:Boolean"/>
      </xsd:simpleType>
    </xsd:element>
    <xsd:element name="List_x0020_of_x0020_documents" ma:index="14" nillable="true" ma:displayName="Drafts on the merits" ma:default="0" ma:description="Select the box if it is a Draft on the merits" ma:internalName="List_x0020_of_x0020_documents">
      <xsd:simpleType>
        <xsd:restriction base="dms:Boolean"/>
      </xsd:simpleType>
    </xsd:element>
    <xsd:element name="Repetitive" ma:index="15" nillable="true" ma:displayName="Repetitive" ma:default="0" ma:description="Select the box if it is repetive" ma:internalName="Repetitive">
      <xsd:simpleType>
        <xsd:restriction base="dms:Boolean"/>
      </xsd:simpleType>
    </xsd:element>
    <xsd:element name="Chamber_1" ma:index="16" nillable="true" ma:displayName="Chamber_1" ma:default="0" ma:description="Select the box if it is Chamber 1" ma:internalName="Chamber_1">
      <xsd:simpleType>
        <xsd:restriction base="dms:Boolean"/>
      </xsd:simpleType>
    </xsd:element>
    <xsd:element name="Chamber_2" ma:index="17" nillable="true" ma:displayName="Chamber_2" ma:default="0" ma:description="Select the box if it is Chamber 2" ma:internalName="Chamber_2">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113eb4-e65a-468c-82cb-a0357bc1037f" elementFormDefault="qualified">
    <xsd:import namespace="http://schemas.microsoft.com/office/2006/documentManagement/types"/>
    <xsd:import namespace="http://schemas.microsoft.com/office/infopath/2007/PartnerControls"/>
    <xsd:element name="Drafts_x0020_adopted_x0020_by_x0020_the_x0020_chambers" ma:index="18" nillable="true" ma:displayName="Drafts adopted by the chambers" ma:default="0" ma:internalName="Drafts_x0020_adopted_x0020_by_x0020_the_x0020_chambers">
      <xsd:simpleType>
        <xsd:restriction base="dms:Boolean"/>
      </xsd:simpleType>
    </xsd:element>
    <xsd:element name="Admissible" ma:index="19" nillable="true" ma:displayName="Admissible" ma:default="0" ma:internalName="Admi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5712A-E885-4495-923E-5D520CBC7D81}">
  <ds:schemaRefs>
    <ds:schemaRef ds:uri="http://schemas.openxmlformats.org/officeDocument/2006/bibliography"/>
  </ds:schemaRefs>
</ds:datastoreItem>
</file>

<file path=customXml/itemProps2.xml><?xml version="1.0" encoding="utf-8"?>
<ds:datastoreItem xmlns:ds="http://schemas.openxmlformats.org/officeDocument/2006/customXml" ds:itemID="{BDF6B080-11B2-4E54-B854-9CEB8A4EFD8B}">
  <ds:schemaRefs>
    <ds:schemaRef ds:uri="http://schemas.microsoft.com/office/2006/metadata/properties"/>
    <ds:schemaRef ds:uri="http://schemas.microsoft.com/office/infopath/2007/PartnerControls"/>
    <ds:schemaRef ds:uri="843519ee-602c-4a77-9f98-e0b2d1df032d"/>
    <ds:schemaRef ds:uri="d0e6e1dd-cead-4b20-a8ab-6c17962cc4ab"/>
    <ds:schemaRef ds:uri="1bb7588e-e247-4215-aaaa-8ddb8e8e8079"/>
    <ds:schemaRef ds:uri="2d113eb4-e65a-468c-82cb-a0357bc1037f"/>
  </ds:schemaRefs>
</ds:datastoreItem>
</file>

<file path=customXml/itemProps3.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4.xml><?xml version="1.0" encoding="utf-8"?>
<ds:datastoreItem xmlns:ds="http://schemas.openxmlformats.org/officeDocument/2006/customXml" ds:itemID="{06033B87-7066-4789-B28E-0354DE764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1bb7588e-e247-4215-aaaa-8ddb8e8e8079"/>
    <ds:schemaRef ds:uri="d0e6e1dd-cead-4b20-a8ab-6c17962cc4ab"/>
    <ds:schemaRef ds:uri="2d113eb4-e65a-468c-82cb-a0357bc1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2285</Words>
  <Characters>13028</Characters>
  <Application>Microsoft Office Word</Application>
  <DocSecurity>0</DocSecurity>
  <Lines>108</Lines>
  <Paragraphs>30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CCPR/C/130/DR/3778/2020</vt:lpstr>
      <vt:lpstr>CCPR/C/127/DR/3085/2017</vt:lpstr>
      <vt:lpstr>1606987</vt:lpstr>
    </vt:vector>
  </TitlesOfParts>
  <Company>DCM</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CCPR/C/130/D/3778/2020</dc:title>
  <dc:subject>CCPR</dc:subject>
  <dc:creator>Giltsoff</dc:creator>
  <cp:keywords/>
  <dc:description/>
  <cp:lastModifiedBy>Daniella Ferreira</cp:lastModifiedBy>
  <cp:revision>2</cp:revision>
  <cp:lastPrinted>2021-03-05T15:24:00Z</cp:lastPrinted>
  <dcterms:created xsi:type="dcterms:W3CDTF">2021-04-13T19:03:00Z</dcterms:created>
  <dcterms:modified xsi:type="dcterms:W3CDTF">2021-04-13T19:03:00Z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0x010100A70BC505B2949A43BBFACEE4A97207700025AFD0B9E7D9F847AB3AA1146ED874B2</vt:lpwstr>
  </property>
</Properties>
</file>